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Pr="00802E12" w:rsidRDefault="00FD6550" w:rsidP="00DA4FCA">
      <w:pPr>
        <w:pStyle w:val="Title"/>
        <w:spacing w:after="240"/>
        <w:ind w:left="720" w:hanging="720"/>
        <w:rPr>
          <w:rFonts w:asciiTheme="minorHAnsi" w:hAnsiTheme="minorHAnsi"/>
          <w:sz w:val="36"/>
          <w:szCs w:val="36"/>
        </w:rPr>
      </w:pPr>
      <w:bookmarkStart w:id="0" w:name="_GoBack"/>
      <w:bookmarkEnd w:id="0"/>
      <w:r w:rsidRPr="00802E12">
        <w:rPr>
          <w:rFonts w:asciiTheme="minorHAnsi" w:hAnsiTheme="minorHAnsi"/>
          <w:sz w:val="36"/>
          <w:szCs w:val="36"/>
        </w:rPr>
        <w:t>5.19</w:t>
      </w:r>
      <w:r w:rsidR="007C0F57" w:rsidRPr="00802E12">
        <w:rPr>
          <w:rFonts w:asciiTheme="minorHAnsi" w:hAnsiTheme="minorHAnsi"/>
          <w:sz w:val="36"/>
          <w:szCs w:val="36"/>
        </w:rPr>
        <w:tab/>
      </w:r>
      <w:r w:rsidRPr="00802E12">
        <w:rPr>
          <w:rFonts w:asciiTheme="minorHAnsi" w:hAnsiTheme="minorHAnsi"/>
          <w:sz w:val="36"/>
          <w:szCs w:val="36"/>
        </w:rPr>
        <w:t>DEFERIPRONE</w:t>
      </w:r>
      <w:r w:rsidR="008A50F1" w:rsidRPr="00802E12">
        <w:rPr>
          <w:rFonts w:asciiTheme="minorHAnsi" w:hAnsiTheme="minorHAnsi"/>
          <w:sz w:val="36"/>
          <w:szCs w:val="36"/>
        </w:rPr>
        <w:t xml:space="preserve"> </w:t>
      </w:r>
      <w:r w:rsidR="008A50F1" w:rsidRPr="00802E12">
        <w:rPr>
          <w:rFonts w:asciiTheme="minorHAnsi" w:hAnsiTheme="minorHAnsi"/>
          <w:sz w:val="36"/>
          <w:szCs w:val="36"/>
        </w:rPr>
        <w:br/>
      </w:r>
      <w:r w:rsidRPr="00802E12">
        <w:rPr>
          <w:rFonts w:asciiTheme="minorHAnsi" w:hAnsiTheme="minorHAnsi"/>
          <w:sz w:val="36"/>
          <w:szCs w:val="36"/>
        </w:rPr>
        <w:t>Tablets</w:t>
      </w:r>
      <w:r w:rsidR="0004240E" w:rsidRPr="00802E12">
        <w:rPr>
          <w:rFonts w:asciiTheme="minorHAnsi" w:hAnsiTheme="minorHAnsi"/>
          <w:sz w:val="36"/>
          <w:szCs w:val="36"/>
        </w:rPr>
        <w:t xml:space="preserve">, </w:t>
      </w:r>
      <w:r w:rsidRPr="00802E12">
        <w:rPr>
          <w:rFonts w:asciiTheme="minorHAnsi" w:hAnsiTheme="minorHAnsi"/>
          <w:sz w:val="36"/>
          <w:szCs w:val="36"/>
        </w:rPr>
        <w:t>1000 mg</w:t>
      </w:r>
      <w:r w:rsidR="0004240E" w:rsidRPr="00802E12">
        <w:rPr>
          <w:rFonts w:asciiTheme="minorHAnsi" w:hAnsiTheme="minorHAnsi"/>
          <w:sz w:val="36"/>
          <w:szCs w:val="36"/>
        </w:rPr>
        <w:t>,</w:t>
      </w:r>
      <w:r w:rsidR="008A50F1" w:rsidRPr="00802E12">
        <w:rPr>
          <w:rFonts w:asciiTheme="minorHAnsi" w:hAnsiTheme="minorHAnsi"/>
          <w:sz w:val="36"/>
          <w:szCs w:val="36"/>
        </w:rPr>
        <w:t xml:space="preserve"> </w:t>
      </w:r>
      <w:r w:rsidR="008A50F1" w:rsidRPr="00802E12">
        <w:rPr>
          <w:rFonts w:asciiTheme="minorHAnsi" w:hAnsiTheme="minorHAnsi"/>
          <w:sz w:val="36"/>
          <w:szCs w:val="36"/>
        </w:rPr>
        <w:br/>
      </w:r>
      <w:r w:rsidR="0098755C" w:rsidRPr="00802E12">
        <w:rPr>
          <w:rFonts w:asciiTheme="minorHAnsi" w:hAnsiTheme="minorHAnsi"/>
          <w:sz w:val="36"/>
          <w:szCs w:val="36"/>
        </w:rPr>
        <w:t>Ferriprox</w:t>
      </w:r>
      <w:r w:rsidR="0004240E" w:rsidRPr="00802E12">
        <w:rPr>
          <w:rFonts w:asciiTheme="minorHAnsi" w:hAnsiTheme="minorHAnsi"/>
          <w:sz w:val="36"/>
          <w:szCs w:val="36"/>
          <w:vertAlign w:val="superscript"/>
        </w:rPr>
        <w:t>®</w:t>
      </w:r>
      <w:r w:rsidR="00EF44A0" w:rsidRPr="00802E12">
        <w:rPr>
          <w:rFonts w:asciiTheme="minorHAnsi" w:hAnsiTheme="minorHAnsi"/>
          <w:sz w:val="36"/>
          <w:szCs w:val="36"/>
        </w:rPr>
        <w:t xml:space="preserve">, </w:t>
      </w:r>
      <w:r w:rsidRPr="00802E12">
        <w:rPr>
          <w:rFonts w:asciiTheme="minorHAnsi" w:hAnsiTheme="minorHAnsi"/>
          <w:sz w:val="36"/>
          <w:szCs w:val="36"/>
        </w:rPr>
        <w:t>Apotex</w:t>
      </w:r>
    </w:p>
    <w:p w:rsidR="008A50F1" w:rsidRPr="00802E12" w:rsidRDefault="00CE10C4" w:rsidP="00DA4FCA">
      <w:pPr>
        <w:pStyle w:val="PBACHeading1"/>
        <w:spacing w:after="240"/>
        <w:ind w:left="709" w:hanging="709"/>
        <w:rPr>
          <w:rFonts w:asciiTheme="minorHAnsi" w:hAnsiTheme="minorHAnsi"/>
          <w:sz w:val="32"/>
          <w:szCs w:val="32"/>
        </w:rPr>
      </w:pPr>
      <w:r w:rsidRPr="00802E12">
        <w:rPr>
          <w:rFonts w:asciiTheme="minorHAnsi" w:hAnsiTheme="minorHAnsi"/>
          <w:sz w:val="32"/>
          <w:szCs w:val="32"/>
        </w:rPr>
        <w:t xml:space="preserve">Purpose of </w:t>
      </w:r>
      <w:r w:rsidR="0004240E" w:rsidRPr="00802E12">
        <w:rPr>
          <w:rFonts w:asciiTheme="minorHAnsi" w:hAnsiTheme="minorHAnsi"/>
          <w:sz w:val="32"/>
          <w:szCs w:val="32"/>
        </w:rPr>
        <w:t>Application</w:t>
      </w:r>
    </w:p>
    <w:p w:rsidR="002D6823" w:rsidRPr="00802E12" w:rsidRDefault="002D6823" w:rsidP="00DA4FCA">
      <w:pPr>
        <w:pStyle w:val="ListParagraph"/>
        <w:widowControl/>
        <w:numPr>
          <w:ilvl w:val="1"/>
          <w:numId w:val="5"/>
        </w:numPr>
        <w:spacing w:after="240"/>
        <w:contextualSpacing w:val="0"/>
        <w:rPr>
          <w:rFonts w:asciiTheme="minorHAnsi" w:eastAsiaTheme="minorHAnsi" w:hAnsiTheme="minorHAnsi" w:cstheme="minorBidi"/>
          <w:snapToGrid/>
          <w:sz w:val="24"/>
          <w:szCs w:val="22"/>
        </w:rPr>
      </w:pPr>
      <w:r w:rsidRPr="00802E12">
        <w:rPr>
          <w:rFonts w:asciiTheme="minorHAnsi" w:eastAsiaTheme="minorHAnsi" w:hAnsiTheme="minorHAnsi" w:cstheme="minorBidi"/>
          <w:snapToGrid/>
          <w:sz w:val="24"/>
          <w:szCs w:val="22"/>
        </w:rPr>
        <w:t xml:space="preserve">The submission sought </w:t>
      </w:r>
      <w:r w:rsidR="00547B1D" w:rsidRPr="00802E12">
        <w:rPr>
          <w:rFonts w:asciiTheme="minorHAnsi" w:eastAsiaTheme="minorHAnsi" w:hAnsiTheme="minorHAnsi" w:cstheme="minorBidi"/>
          <w:snapToGrid/>
          <w:sz w:val="24"/>
          <w:szCs w:val="22"/>
        </w:rPr>
        <w:t>a Section 100 Highly Specialised Drugs</w:t>
      </w:r>
      <w:r w:rsidR="00EE2317" w:rsidRPr="00802E12">
        <w:rPr>
          <w:rFonts w:asciiTheme="minorHAnsi" w:eastAsiaTheme="minorHAnsi" w:hAnsiTheme="minorHAnsi" w:cstheme="minorBidi"/>
          <w:snapToGrid/>
          <w:sz w:val="24"/>
          <w:szCs w:val="22"/>
        </w:rPr>
        <w:t>,</w:t>
      </w:r>
      <w:r w:rsidR="00547B1D" w:rsidRPr="00802E12">
        <w:rPr>
          <w:rFonts w:asciiTheme="minorHAnsi" w:eastAsiaTheme="minorHAnsi" w:hAnsiTheme="minorHAnsi" w:cstheme="minorBidi"/>
          <w:snapToGrid/>
          <w:sz w:val="24"/>
          <w:szCs w:val="22"/>
        </w:rPr>
        <w:t xml:space="preserve"> Authority Required (S</w:t>
      </w:r>
      <w:r w:rsidR="00081DA8" w:rsidRPr="00802E12">
        <w:rPr>
          <w:rFonts w:asciiTheme="minorHAnsi" w:eastAsiaTheme="minorHAnsi" w:hAnsiTheme="minorHAnsi" w:cstheme="minorBidi"/>
          <w:snapToGrid/>
          <w:sz w:val="24"/>
          <w:szCs w:val="22"/>
        </w:rPr>
        <w:t>TREAMLINED</w:t>
      </w:r>
      <w:r w:rsidR="00547B1D" w:rsidRPr="00802E12">
        <w:rPr>
          <w:rFonts w:asciiTheme="minorHAnsi" w:eastAsiaTheme="minorHAnsi" w:hAnsiTheme="minorHAnsi" w:cstheme="minorBidi"/>
          <w:snapToGrid/>
          <w:sz w:val="24"/>
          <w:szCs w:val="22"/>
        </w:rPr>
        <w:t xml:space="preserve">) listing for </w:t>
      </w:r>
      <w:r w:rsidR="00EE2317" w:rsidRPr="00802E12">
        <w:rPr>
          <w:rFonts w:asciiTheme="minorHAnsi" w:eastAsiaTheme="minorHAnsi" w:hAnsiTheme="minorHAnsi" w:cstheme="minorBidi"/>
          <w:snapToGrid/>
          <w:sz w:val="24"/>
          <w:szCs w:val="22"/>
        </w:rPr>
        <w:t xml:space="preserve">a </w:t>
      </w:r>
      <w:r w:rsidR="00EB08AD" w:rsidRPr="00802E12">
        <w:rPr>
          <w:rFonts w:asciiTheme="minorHAnsi" w:eastAsiaTheme="minorHAnsi" w:hAnsiTheme="minorHAnsi" w:cstheme="minorBidi"/>
          <w:snapToGrid/>
          <w:sz w:val="24"/>
          <w:szCs w:val="22"/>
        </w:rPr>
        <w:t>higher strength tablet</w:t>
      </w:r>
      <w:r w:rsidR="00EE2317" w:rsidRPr="00802E12">
        <w:rPr>
          <w:rFonts w:asciiTheme="minorHAnsi" w:eastAsiaTheme="minorHAnsi" w:hAnsiTheme="minorHAnsi" w:cstheme="minorBidi"/>
          <w:snapToGrid/>
          <w:sz w:val="24"/>
          <w:szCs w:val="22"/>
        </w:rPr>
        <w:t xml:space="preserve"> of </w:t>
      </w:r>
      <w:r w:rsidR="00547B1D" w:rsidRPr="00802E12">
        <w:rPr>
          <w:rFonts w:asciiTheme="minorHAnsi" w:eastAsiaTheme="minorHAnsi" w:hAnsiTheme="minorHAnsi" w:cstheme="minorBidi"/>
          <w:snapToGrid/>
          <w:sz w:val="24"/>
          <w:szCs w:val="22"/>
        </w:rPr>
        <w:t xml:space="preserve">deferiprone for the treatment of </w:t>
      </w:r>
      <w:r w:rsidR="00D0260E" w:rsidRPr="00802E12">
        <w:rPr>
          <w:rFonts w:asciiTheme="minorHAnsi" w:eastAsiaTheme="minorHAnsi" w:hAnsiTheme="minorHAnsi" w:cstheme="minorBidi"/>
          <w:snapToGrid/>
          <w:sz w:val="24"/>
          <w:szCs w:val="22"/>
        </w:rPr>
        <w:t xml:space="preserve">transfusional </w:t>
      </w:r>
      <w:r w:rsidR="00547B1D" w:rsidRPr="00802E12">
        <w:rPr>
          <w:rFonts w:asciiTheme="minorHAnsi" w:eastAsiaTheme="minorHAnsi" w:hAnsiTheme="minorHAnsi" w:cstheme="minorBidi"/>
          <w:snapToGrid/>
          <w:sz w:val="24"/>
          <w:szCs w:val="22"/>
        </w:rPr>
        <w:t>iron overload associated with thalassaemia major</w:t>
      </w:r>
      <w:r w:rsidR="00B54DA6" w:rsidRPr="00802E12">
        <w:rPr>
          <w:rFonts w:asciiTheme="minorHAnsi" w:eastAsiaTheme="minorHAnsi" w:hAnsiTheme="minorHAnsi" w:cstheme="minorBidi"/>
          <w:snapToGrid/>
          <w:sz w:val="24"/>
          <w:szCs w:val="22"/>
        </w:rPr>
        <w:t>.</w:t>
      </w:r>
    </w:p>
    <w:p w:rsidR="002D6823" w:rsidRPr="00802E12" w:rsidRDefault="006A12A5" w:rsidP="00DA4FCA">
      <w:pPr>
        <w:pStyle w:val="PBACHeading1"/>
        <w:spacing w:after="240"/>
        <w:rPr>
          <w:rFonts w:asciiTheme="minorHAnsi" w:eastAsiaTheme="minorHAnsi" w:hAnsiTheme="minorHAnsi" w:cstheme="minorBidi"/>
          <w:snapToGrid/>
          <w:sz w:val="32"/>
          <w:szCs w:val="32"/>
        </w:rPr>
      </w:pPr>
      <w:r w:rsidRPr="00802E12">
        <w:rPr>
          <w:rFonts w:asciiTheme="minorHAnsi" w:hAnsiTheme="minorHAnsi"/>
          <w:sz w:val="32"/>
          <w:szCs w:val="32"/>
        </w:rPr>
        <w:t>Requested listing</w:t>
      </w:r>
      <w:r w:rsidR="002D6823" w:rsidRPr="00802E12">
        <w:rPr>
          <w:rFonts w:asciiTheme="minorHAnsi" w:eastAsiaTheme="minorHAnsi" w:hAnsiTheme="minorHAnsi" w:cstheme="minorBidi"/>
          <w:snapToGrid/>
          <w:sz w:val="32"/>
          <w:szCs w:val="32"/>
        </w:rPr>
        <w:t xml:space="preserve"> </w:t>
      </w:r>
    </w:p>
    <w:p w:rsidR="00740037" w:rsidRPr="00802E12" w:rsidRDefault="002D6823" w:rsidP="00DA4FCA">
      <w:pPr>
        <w:pStyle w:val="ListParagraph"/>
        <w:widowControl/>
        <w:numPr>
          <w:ilvl w:val="1"/>
          <w:numId w:val="5"/>
        </w:numPr>
        <w:spacing w:after="240"/>
        <w:contextualSpacing w:val="0"/>
        <w:rPr>
          <w:rFonts w:asciiTheme="minorHAnsi" w:hAnsiTheme="minorHAnsi"/>
          <w:b/>
          <w:i/>
          <w:sz w:val="24"/>
          <w:szCs w:val="24"/>
        </w:rPr>
      </w:pPr>
      <w:r w:rsidRPr="00802E12">
        <w:rPr>
          <w:rFonts w:asciiTheme="minorHAnsi" w:eastAsiaTheme="minorHAnsi" w:hAnsiTheme="minorHAnsi" w:cstheme="minorBidi"/>
          <w:snapToGrid/>
          <w:sz w:val="24"/>
          <w:szCs w:val="24"/>
        </w:rPr>
        <w:t xml:space="preserve">The submission requested </w:t>
      </w:r>
      <w:r w:rsidR="00481231" w:rsidRPr="00802E12">
        <w:rPr>
          <w:rFonts w:asciiTheme="minorHAnsi" w:eastAsiaTheme="minorHAnsi" w:hAnsiTheme="minorHAnsi" w:cstheme="minorBidi"/>
          <w:snapToGrid/>
          <w:sz w:val="24"/>
          <w:szCs w:val="22"/>
        </w:rPr>
        <w:t xml:space="preserve">a Section 100 Highly Specialised Drugs, Authority Required (STREAMLINED) listing for </w:t>
      </w:r>
      <w:r w:rsidR="009333B2" w:rsidRPr="00802E12">
        <w:rPr>
          <w:rFonts w:asciiTheme="minorHAnsi" w:eastAsiaTheme="minorHAnsi" w:hAnsiTheme="minorHAnsi" w:cstheme="minorBidi"/>
          <w:snapToGrid/>
          <w:sz w:val="24"/>
          <w:szCs w:val="22"/>
        </w:rPr>
        <w:t>de</w:t>
      </w:r>
      <w:r w:rsidR="00481231" w:rsidRPr="00802E12">
        <w:rPr>
          <w:rFonts w:asciiTheme="minorHAnsi" w:eastAsiaTheme="minorHAnsi" w:hAnsiTheme="minorHAnsi" w:cstheme="minorBidi"/>
          <w:snapToGrid/>
          <w:sz w:val="24"/>
          <w:szCs w:val="22"/>
        </w:rPr>
        <w:t xml:space="preserve">feriprone 1000 mg tablets. The submission requested </w:t>
      </w:r>
      <w:r w:rsidR="0090502D" w:rsidRPr="00802E12">
        <w:rPr>
          <w:rFonts w:asciiTheme="minorHAnsi" w:eastAsiaTheme="minorHAnsi" w:hAnsiTheme="minorHAnsi" w:cstheme="minorBidi"/>
          <w:snapToGrid/>
          <w:sz w:val="24"/>
          <w:szCs w:val="22"/>
        </w:rPr>
        <w:t xml:space="preserve">the </w:t>
      </w:r>
      <w:r w:rsidR="006F45E9" w:rsidRPr="00802E12">
        <w:rPr>
          <w:rFonts w:asciiTheme="minorHAnsi" w:eastAsiaTheme="minorHAnsi" w:hAnsiTheme="minorHAnsi" w:cstheme="minorBidi"/>
          <w:snapToGrid/>
          <w:sz w:val="24"/>
          <w:szCs w:val="24"/>
        </w:rPr>
        <w:t xml:space="preserve">same restrictions as the </w:t>
      </w:r>
      <w:r w:rsidR="00613FDC" w:rsidRPr="00802E12">
        <w:rPr>
          <w:rFonts w:asciiTheme="minorHAnsi" w:eastAsiaTheme="minorHAnsi" w:hAnsiTheme="minorHAnsi" w:cstheme="minorBidi"/>
          <w:snapToGrid/>
          <w:sz w:val="24"/>
          <w:szCs w:val="24"/>
        </w:rPr>
        <w:t>current PBS listing</w:t>
      </w:r>
      <w:r w:rsidR="006F45E9" w:rsidRPr="00802E12">
        <w:rPr>
          <w:rFonts w:asciiTheme="minorHAnsi" w:eastAsiaTheme="minorHAnsi" w:hAnsiTheme="minorHAnsi" w:cstheme="minorBidi"/>
          <w:snapToGrid/>
          <w:sz w:val="24"/>
          <w:szCs w:val="24"/>
        </w:rPr>
        <w:t xml:space="preserve"> for </w:t>
      </w:r>
      <w:r w:rsidR="00613FDC" w:rsidRPr="00802E12">
        <w:rPr>
          <w:rFonts w:asciiTheme="minorHAnsi" w:eastAsiaTheme="minorHAnsi" w:hAnsiTheme="minorHAnsi" w:cstheme="minorBidi"/>
          <w:snapToGrid/>
          <w:sz w:val="24"/>
          <w:szCs w:val="24"/>
        </w:rPr>
        <w:t xml:space="preserve">deferiprone </w:t>
      </w:r>
      <w:r w:rsidR="006F45E9" w:rsidRPr="00802E12">
        <w:rPr>
          <w:rFonts w:asciiTheme="minorHAnsi" w:eastAsiaTheme="minorHAnsi" w:hAnsiTheme="minorHAnsi" w:cstheme="minorBidi"/>
          <w:snapToGrid/>
          <w:sz w:val="24"/>
          <w:szCs w:val="24"/>
        </w:rPr>
        <w:t xml:space="preserve">500 mg tablets. </w:t>
      </w:r>
      <w:r w:rsidR="00740037" w:rsidRPr="00802E12">
        <w:rPr>
          <w:rFonts w:asciiTheme="minorHAnsi" w:hAnsiTheme="minorHAnsi"/>
          <w:sz w:val="24"/>
          <w:szCs w:val="24"/>
        </w:rPr>
        <w:t xml:space="preserve"> </w:t>
      </w:r>
    </w:p>
    <w:p w:rsidR="00C603D4" w:rsidRPr="00802E12" w:rsidRDefault="00CE10C4" w:rsidP="00DA4FCA">
      <w:pPr>
        <w:pStyle w:val="PBACHeading1"/>
        <w:spacing w:after="240"/>
        <w:rPr>
          <w:rFonts w:asciiTheme="minorHAnsi" w:hAnsiTheme="minorHAnsi"/>
          <w:sz w:val="32"/>
          <w:szCs w:val="32"/>
        </w:rPr>
      </w:pPr>
      <w:r w:rsidRPr="00802E12">
        <w:rPr>
          <w:rFonts w:asciiTheme="minorHAnsi" w:hAnsiTheme="minorHAnsi"/>
          <w:sz w:val="32"/>
          <w:szCs w:val="32"/>
        </w:rPr>
        <w:t>Background</w:t>
      </w:r>
    </w:p>
    <w:p w:rsidR="007938D6" w:rsidRPr="00802E12" w:rsidRDefault="004D3D75" w:rsidP="00DA4FCA">
      <w:pPr>
        <w:pStyle w:val="ListParagraph"/>
        <w:widowControl/>
        <w:numPr>
          <w:ilvl w:val="1"/>
          <w:numId w:val="14"/>
        </w:numPr>
        <w:spacing w:after="240"/>
        <w:contextualSpacing w:val="0"/>
        <w:rPr>
          <w:rFonts w:asciiTheme="minorHAnsi" w:eastAsiaTheme="minorHAnsi" w:hAnsiTheme="minorHAnsi" w:cstheme="minorBidi"/>
          <w:snapToGrid/>
          <w:sz w:val="24"/>
          <w:szCs w:val="22"/>
        </w:rPr>
      </w:pPr>
      <w:r w:rsidRPr="00802E12">
        <w:rPr>
          <w:rFonts w:asciiTheme="minorHAnsi" w:eastAsiaTheme="minorHAnsi" w:hAnsiTheme="minorHAnsi"/>
          <w:snapToGrid/>
          <w:sz w:val="24"/>
          <w:szCs w:val="24"/>
        </w:rPr>
        <w:t xml:space="preserve">Deferiprone is </w:t>
      </w:r>
      <w:r w:rsidR="00476245" w:rsidRPr="00802E12">
        <w:rPr>
          <w:rFonts w:asciiTheme="minorHAnsi" w:eastAsiaTheme="minorHAnsi" w:hAnsiTheme="minorHAnsi" w:cstheme="minorBidi"/>
          <w:snapToGrid/>
          <w:sz w:val="24"/>
          <w:szCs w:val="22"/>
        </w:rPr>
        <w:t xml:space="preserve">TGA registered </w:t>
      </w:r>
      <w:r w:rsidR="00DF49B7" w:rsidRPr="00802E12">
        <w:rPr>
          <w:rFonts w:asciiTheme="minorHAnsi" w:eastAsiaTheme="minorHAnsi" w:hAnsiTheme="minorHAnsi" w:cstheme="minorBidi"/>
          <w:snapToGrid/>
          <w:sz w:val="24"/>
          <w:szCs w:val="22"/>
        </w:rPr>
        <w:t>for</w:t>
      </w:r>
      <w:r w:rsidR="002A46C8" w:rsidRPr="00802E12">
        <w:rPr>
          <w:rFonts w:asciiTheme="minorHAnsi" w:eastAsiaTheme="minorHAnsi" w:hAnsiTheme="minorHAnsi" w:cstheme="minorBidi"/>
          <w:snapToGrid/>
          <w:sz w:val="24"/>
          <w:szCs w:val="22"/>
        </w:rPr>
        <w:t xml:space="preserve"> the treatment of </w:t>
      </w:r>
      <w:r w:rsidR="00CE1E66" w:rsidRPr="00802E12">
        <w:rPr>
          <w:rFonts w:asciiTheme="minorHAnsi" w:eastAsiaTheme="minorHAnsi" w:hAnsiTheme="minorHAnsi" w:cstheme="minorBidi"/>
          <w:snapToGrid/>
          <w:sz w:val="24"/>
          <w:szCs w:val="22"/>
        </w:rPr>
        <w:t>iron overload in patients with t</w:t>
      </w:r>
      <w:r w:rsidR="002A46C8" w:rsidRPr="00802E12">
        <w:rPr>
          <w:rFonts w:asciiTheme="minorHAnsi" w:eastAsiaTheme="minorHAnsi" w:hAnsiTheme="minorHAnsi" w:cstheme="minorBidi"/>
          <w:snapToGrid/>
          <w:sz w:val="24"/>
          <w:szCs w:val="22"/>
        </w:rPr>
        <w:t>halass</w:t>
      </w:r>
      <w:r w:rsidR="00CE1E66" w:rsidRPr="00802E12">
        <w:rPr>
          <w:rFonts w:asciiTheme="minorHAnsi" w:eastAsiaTheme="minorHAnsi" w:hAnsiTheme="minorHAnsi" w:cstheme="minorBidi"/>
          <w:snapToGrid/>
          <w:sz w:val="24"/>
          <w:szCs w:val="22"/>
        </w:rPr>
        <w:t>a</w:t>
      </w:r>
      <w:r w:rsidR="002A46C8" w:rsidRPr="00802E12">
        <w:rPr>
          <w:rFonts w:asciiTheme="minorHAnsi" w:eastAsiaTheme="minorHAnsi" w:hAnsiTheme="minorHAnsi" w:cstheme="minorBidi"/>
          <w:snapToGrid/>
          <w:sz w:val="24"/>
          <w:szCs w:val="22"/>
        </w:rPr>
        <w:t>emia major who are unable to take or in whom desferrioxamine therapy has proven ineffective</w:t>
      </w:r>
      <w:r w:rsidR="007B5F71" w:rsidRPr="00802E12">
        <w:rPr>
          <w:rFonts w:asciiTheme="minorHAnsi" w:eastAsiaTheme="minorHAnsi" w:hAnsiTheme="minorHAnsi" w:cstheme="minorBidi"/>
          <w:snapToGrid/>
          <w:sz w:val="24"/>
          <w:szCs w:val="22"/>
        </w:rPr>
        <w:t xml:space="preserve">. </w:t>
      </w:r>
    </w:p>
    <w:p w:rsidR="002A46C8" w:rsidRPr="00802E12" w:rsidRDefault="00FA3E74" w:rsidP="00DA4FCA">
      <w:pPr>
        <w:pStyle w:val="ListParagraph"/>
        <w:widowControl/>
        <w:numPr>
          <w:ilvl w:val="1"/>
          <w:numId w:val="14"/>
        </w:numPr>
        <w:spacing w:after="240"/>
        <w:contextualSpacing w:val="0"/>
        <w:rPr>
          <w:rFonts w:asciiTheme="minorHAnsi" w:eastAsiaTheme="minorHAnsi" w:hAnsiTheme="minorHAnsi" w:cstheme="minorBidi"/>
          <w:snapToGrid/>
          <w:sz w:val="24"/>
          <w:szCs w:val="22"/>
        </w:rPr>
      </w:pPr>
      <w:r w:rsidRPr="00802E12">
        <w:rPr>
          <w:rFonts w:asciiTheme="minorHAnsi" w:eastAsiaTheme="minorHAnsi" w:hAnsiTheme="minorHAnsi" w:cstheme="minorBidi"/>
          <w:snapToGrid/>
          <w:sz w:val="24"/>
          <w:szCs w:val="22"/>
        </w:rPr>
        <w:t>Deferiprone 500</w:t>
      </w:r>
      <w:r w:rsidR="00667310" w:rsidRPr="00802E12">
        <w:rPr>
          <w:rFonts w:asciiTheme="minorHAnsi" w:eastAsiaTheme="minorHAnsi" w:hAnsiTheme="minorHAnsi" w:cstheme="minorBidi"/>
          <w:snapToGrid/>
          <w:sz w:val="24"/>
          <w:szCs w:val="22"/>
        </w:rPr>
        <w:t xml:space="preserve"> </w:t>
      </w:r>
      <w:r w:rsidR="002C0636" w:rsidRPr="00802E12">
        <w:rPr>
          <w:rFonts w:asciiTheme="minorHAnsi" w:eastAsiaTheme="minorHAnsi" w:hAnsiTheme="minorHAnsi" w:cstheme="minorBidi"/>
          <w:snapToGrid/>
          <w:sz w:val="24"/>
          <w:szCs w:val="22"/>
        </w:rPr>
        <w:t>mg</w:t>
      </w:r>
      <w:r w:rsidRPr="00802E12">
        <w:rPr>
          <w:rFonts w:asciiTheme="minorHAnsi" w:eastAsiaTheme="minorHAnsi" w:hAnsiTheme="minorHAnsi" w:cstheme="minorBidi"/>
          <w:snapToGrid/>
          <w:sz w:val="24"/>
          <w:szCs w:val="22"/>
        </w:rPr>
        <w:t xml:space="preserve"> </w:t>
      </w:r>
      <w:r w:rsidR="001665F6" w:rsidRPr="00802E12">
        <w:rPr>
          <w:rFonts w:asciiTheme="minorHAnsi" w:eastAsiaTheme="minorHAnsi" w:hAnsiTheme="minorHAnsi" w:cstheme="minorBidi"/>
          <w:snapToGrid/>
          <w:sz w:val="24"/>
          <w:szCs w:val="22"/>
        </w:rPr>
        <w:t>tablets, was</w:t>
      </w:r>
      <w:r w:rsidRPr="00802E12">
        <w:rPr>
          <w:rFonts w:asciiTheme="minorHAnsi" w:eastAsiaTheme="minorHAnsi" w:hAnsiTheme="minorHAnsi" w:cstheme="minorBidi"/>
          <w:snapToGrid/>
          <w:sz w:val="24"/>
          <w:szCs w:val="22"/>
        </w:rPr>
        <w:t xml:space="preserve"> </w:t>
      </w:r>
      <w:r w:rsidR="001665F6" w:rsidRPr="00802E12">
        <w:rPr>
          <w:rFonts w:asciiTheme="minorHAnsi" w:eastAsiaTheme="minorHAnsi" w:hAnsiTheme="minorHAnsi" w:cstheme="minorBidi"/>
          <w:snapToGrid/>
          <w:sz w:val="24"/>
          <w:szCs w:val="22"/>
        </w:rPr>
        <w:t xml:space="preserve">PBS </w:t>
      </w:r>
      <w:r w:rsidRPr="00802E12">
        <w:rPr>
          <w:rFonts w:asciiTheme="minorHAnsi" w:eastAsiaTheme="minorHAnsi" w:hAnsiTheme="minorHAnsi" w:cstheme="minorBidi"/>
          <w:snapToGrid/>
          <w:sz w:val="24"/>
          <w:szCs w:val="22"/>
        </w:rPr>
        <w:t xml:space="preserve">listed </w:t>
      </w:r>
      <w:r w:rsidR="001665F6" w:rsidRPr="00802E12">
        <w:rPr>
          <w:rFonts w:asciiTheme="minorHAnsi" w:eastAsiaTheme="minorHAnsi" w:hAnsiTheme="minorHAnsi" w:cstheme="minorBidi"/>
          <w:snapToGrid/>
          <w:sz w:val="24"/>
          <w:szCs w:val="22"/>
        </w:rPr>
        <w:t>in</w:t>
      </w:r>
      <w:r w:rsidRPr="00802E12">
        <w:rPr>
          <w:rFonts w:asciiTheme="minorHAnsi" w:eastAsiaTheme="minorHAnsi" w:hAnsiTheme="minorHAnsi" w:cstheme="minorBidi"/>
          <w:snapToGrid/>
          <w:sz w:val="24"/>
          <w:szCs w:val="22"/>
        </w:rPr>
        <w:t xml:space="preserve"> February 2004 as a Section 100 Highly Specialised Dru</w:t>
      </w:r>
      <w:r w:rsidR="00307940" w:rsidRPr="00802E12">
        <w:rPr>
          <w:rFonts w:asciiTheme="minorHAnsi" w:eastAsiaTheme="minorHAnsi" w:hAnsiTheme="minorHAnsi" w:cstheme="minorBidi"/>
          <w:snapToGrid/>
          <w:sz w:val="24"/>
          <w:szCs w:val="22"/>
        </w:rPr>
        <w:t xml:space="preserve">g </w:t>
      </w:r>
      <w:r w:rsidR="002C0A0B" w:rsidRPr="00802E12">
        <w:rPr>
          <w:rFonts w:asciiTheme="minorHAnsi" w:eastAsiaTheme="minorHAnsi" w:hAnsiTheme="minorHAnsi" w:cstheme="minorBidi"/>
          <w:snapToGrid/>
          <w:sz w:val="24"/>
          <w:szCs w:val="22"/>
        </w:rPr>
        <w:t>(</w:t>
      </w:r>
      <w:r w:rsidR="00307940" w:rsidRPr="00802E12">
        <w:rPr>
          <w:rFonts w:asciiTheme="minorHAnsi" w:eastAsiaTheme="minorHAnsi" w:hAnsiTheme="minorHAnsi" w:cstheme="minorBidi"/>
          <w:snapToGrid/>
          <w:sz w:val="24"/>
          <w:szCs w:val="22"/>
        </w:rPr>
        <w:t>Private and Public Hospitals</w:t>
      </w:r>
      <w:r w:rsidR="002C0A0B" w:rsidRPr="00802E12">
        <w:rPr>
          <w:rFonts w:asciiTheme="minorHAnsi" w:eastAsiaTheme="minorHAnsi" w:hAnsiTheme="minorHAnsi" w:cstheme="minorBidi"/>
          <w:snapToGrid/>
          <w:sz w:val="24"/>
          <w:szCs w:val="22"/>
        </w:rPr>
        <w:t>)</w:t>
      </w:r>
      <w:r w:rsidR="00307940" w:rsidRPr="00802E12">
        <w:rPr>
          <w:rFonts w:asciiTheme="minorHAnsi" w:eastAsiaTheme="minorHAnsi" w:hAnsiTheme="minorHAnsi" w:cstheme="minorBidi"/>
          <w:snapToGrid/>
          <w:sz w:val="24"/>
          <w:szCs w:val="22"/>
        </w:rPr>
        <w:t xml:space="preserve">. </w:t>
      </w:r>
      <w:r w:rsidRPr="00802E12">
        <w:rPr>
          <w:rFonts w:asciiTheme="minorHAnsi" w:eastAsiaTheme="minorHAnsi" w:hAnsiTheme="minorHAnsi" w:cstheme="minorBidi"/>
          <w:snapToGrid/>
          <w:sz w:val="24"/>
          <w:szCs w:val="22"/>
        </w:rPr>
        <w:t>Deferiprone oral solution 100 mg per ml, 250 ml was listed</w:t>
      </w:r>
      <w:r w:rsidR="00307940" w:rsidRPr="00802E12">
        <w:rPr>
          <w:rFonts w:asciiTheme="minorHAnsi" w:eastAsiaTheme="minorHAnsi" w:hAnsiTheme="minorHAnsi" w:cstheme="minorBidi"/>
          <w:snapToGrid/>
          <w:sz w:val="24"/>
          <w:szCs w:val="22"/>
        </w:rPr>
        <w:t xml:space="preserve"> in June 2009. I</w:t>
      </w:r>
      <w:r w:rsidRPr="00802E12">
        <w:rPr>
          <w:rFonts w:asciiTheme="minorHAnsi" w:eastAsiaTheme="minorHAnsi" w:hAnsiTheme="minorHAnsi" w:cstheme="minorBidi"/>
          <w:snapToGrid/>
          <w:sz w:val="24"/>
          <w:szCs w:val="22"/>
        </w:rPr>
        <w:t xml:space="preserve">n November 2010, changes </w:t>
      </w:r>
      <w:r w:rsidR="00307940" w:rsidRPr="00802E12">
        <w:rPr>
          <w:rFonts w:asciiTheme="minorHAnsi" w:eastAsiaTheme="minorHAnsi" w:hAnsiTheme="minorHAnsi" w:cstheme="minorBidi"/>
          <w:snapToGrid/>
          <w:sz w:val="24"/>
          <w:szCs w:val="22"/>
        </w:rPr>
        <w:t>to</w:t>
      </w:r>
      <w:r w:rsidRPr="00802E12">
        <w:rPr>
          <w:rFonts w:asciiTheme="minorHAnsi" w:eastAsiaTheme="minorHAnsi" w:hAnsiTheme="minorHAnsi" w:cstheme="minorBidi"/>
          <w:snapToGrid/>
          <w:sz w:val="24"/>
          <w:szCs w:val="22"/>
        </w:rPr>
        <w:t xml:space="preserve"> the maximum quantity and </w:t>
      </w:r>
      <w:r w:rsidR="006B77BD" w:rsidRPr="00802E12">
        <w:rPr>
          <w:rFonts w:asciiTheme="minorHAnsi" w:eastAsiaTheme="minorHAnsi" w:hAnsiTheme="minorHAnsi" w:cstheme="minorBidi"/>
          <w:snapToGrid/>
          <w:sz w:val="24"/>
          <w:szCs w:val="22"/>
        </w:rPr>
        <w:t xml:space="preserve">number of </w:t>
      </w:r>
      <w:r w:rsidRPr="00802E12">
        <w:rPr>
          <w:rFonts w:asciiTheme="minorHAnsi" w:eastAsiaTheme="minorHAnsi" w:hAnsiTheme="minorHAnsi" w:cstheme="minorBidi"/>
          <w:snapToGrid/>
          <w:sz w:val="24"/>
          <w:szCs w:val="22"/>
        </w:rPr>
        <w:t xml:space="preserve">repeats were implemented following the </w:t>
      </w:r>
      <w:r w:rsidR="006E0102" w:rsidRPr="00802E12">
        <w:rPr>
          <w:rFonts w:asciiTheme="minorHAnsi" w:eastAsiaTheme="minorHAnsi" w:hAnsiTheme="minorHAnsi" w:cstheme="minorBidi"/>
          <w:snapToGrid/>
          <w:sz w:val="24"/>
          <w:szCs w:val="22"/>
        </w:rPr>
        <w:t xml:space="preserve">July 2010 </w:t>
      </w:r>
      <w:r w:rsidRPr="00802E12">
        <w:rPr>
          <w:rFonts w:asciiTheme="minorHAnsi" w:eastAsiaTheme="minorHAnsi" w:hAnsiTheme="minorHAnsi" w:cstheme="minorBidi"/>
          <w:snapToGrid/>
          <w:sz w:val="24"/>
          <w:szCs w:val="22"/>
        </w:rPr>
        <w:t xml:space="preserve">PBAC </w:t>
      </w:r>
      <w:r w:rsidR="006E0102" w:rsidRPr="00802E12">
        <w:rPr>
          <w:rFonts w:asciiTheme="minorHAnsi" w:eastAsiaTheme="minorHAnsi" w:hAnsiTheme="minorHAnsi" w:cstheme="minorBidi"/>
          <w:snapToGrid/>
          <w:sz w:val="24"/>
          <w:szCs w:val="22"/>
        </w:rPr>
        <w:t>meeting</w:t>
      </w:r>
      <w:r w:rsidRPr="00802E12">
        <w:rPr>
          <w:rFonts w:asciiTheme="minorHAnsi" w:eastAsiaTheme="minorHAnsi" w:hAnsiTheme="minorHAnsi" w:cstheme="minorBidi"/>
          <w:snapToGrid/>
          <w:sz w:val="24"/>
          <w:szCs w:val="22"/>
        </w:rPr>
        <w:t xml:space="preserve"> recommendation</w:t>
      </w:r>
      <w:r w:rsidR="00307940" w:rsidRPr="00802E12">
        <w:rPr>
          <w:rFonts w:asciiTheme="minorHAnsi" w:eastAsiaTheme="minorHAnsi" w:hAnsiTheme="minorHAnsi" w:cstheme="minorBidi"/>
          <w:snapToGrid/>
          <w:sz w:val="24"/>
          <w:szCs w:val="22"/>
        </w:rPr>
        <w:t>s</w:t>
      </w:r>
      <w:r w:rsidRPr="00802E12">
        <w:rPr>
          <w:rFonts w:asciiTheme="minorHAnsi" w:eastAsiaTheme="minorHAnsi" w:hAnsiTheme="minorHAnsi" w:cstheme="minorBidi"/>
          <w:snapToGrid/>
          <w:sz w:val="24"/>
          <w:szCs w:val="22"/>
        </w:rPr>
        <w:t xml:space="preserve">.  </w:t>
      </w:r>
    </w:p>
    <w:p w:rsidR="00F361E6" w:rsidRPr="00802E12" w:rsidRDefault="00F361E6" w:rsidP="00F361E6">
      <w:pPr>
        <w:pStyle w:val="ListParagraph"/>
        <w:widowControl/>
        <w:spacing w:after="240"/>
        <w:contextualSpacing w:val="0"/>
        <w:rPr>
          <w:rFonts w:asciiTheme="minorHAnsi" w:eastAsiaTheme="minorHAnsi" w:hAnsiTheme="minorHAnsi" w:cstheme="minorBidi"/>
          <w:i/>
          <w:snapToGrid/>
          <w:sz w:val="24"/>
          <w:szCs w:val="22"/>
        </w:rPr>
      </w:pPr>
      <w:r w:rsidRPr="00802E12">
        <w:rPr>
          <w:rFonts w:asciiTheme="minorHAnsi" w:eastAsiaTheme="minorHAnsi" w:hAnsiTheme="minorHAnsi" w:cstheme="minorBidi"/>
          <w:i/>
          <w:snapToGrid/>
          <w:sz w:val="24"/>
          <w:szCs w:val="22"/>
        </w:rPr>
        <w:t>For more details on PBAC’s view, see section 7 PBAC outcome.</w:t>
      </w:r>
    </w:p>
    <w:p w:rsidR="008654AD" w:rsidRPr="00802E12" w:rsidRDefault="008654AD" w:rsidP="00DA4FCA">
      <w:pPr>
        <w:pStyle w:val="PBACHeading1"/>
        <w:spacing w:after="240"/>
        <w:rPr>
          <w:rFonts w:asciiTheme="minorHAnsi" w:eastAsiaTheme="minorHAnsi" w:hAnsiTheme="minorHAnsi"/>
          <w:snapToGrid/>
          <w:sz w:val="32"/>
          <w:szCs w:val="32"/>
        </w:rPr>
      </w:pPr>
      <w:r w:rsidRPr="00802E12">
        <w:rPr>
          <w:rFonts w:asciiTheme="minorHAnsi" w:eastAsiaTheme="minorHAnsi" w:hAnsiTheme="minorHAnsi"/>
          <w:snapToGrid/>
          <w:sz w:val="32"/>
          <w:szCs w:val="32"/>
        </w:rPr>
        <w:t>Comparator</w:t>
      </w:r>
    </w:p>
    <w:p w:rsidR="008A0DE8" w:rsidRPr="00113653" w:rsidRDefault="008654AD" w:rsidP="00113653">
      <w:pPr>
        <w:pStyle w:val="PBACHeading1"/>
        <w:numPr>
          <w:ilvl w:val="1"/>
          <w:numId w:val="14"/>
        </w:numPr>
        <w:spacing w:after="240"/>
        <w:jc w:val="both"/>
        <w:outlineLvl w:val="9"/>
        <w:rPr>
          <w:rFonts w:asciiTheme="minorHAnsi" w:eastAsiaTheme="minorHAnsi" w:hAnsiTheme="minorHAnsi" w:cstheme="minorBidi"/>
          <w:b w:val="0"/>
          <w:snapToGrid/>
          <w:sz w:val="24"/>
        </w:rPr>
      </w:pPr>
      <w:r w:rsidRPr="00113653">
        <w:rPr>
          <w:rFonts w:asciiTheme="minorHAnsi" w:eastAsiaTheme="minorHAnsi" w:hAnsiTheme="minorHAnsi" w:cstheme="minorBidi"/>
          <w:b w:val="0"/>
          <w:snapToGrid/>
          <w:sz w:val="24"/>
        </w:rPr>
        <w:t xml:space="preserve">The submission nominated deferiprone 500 mg tablets as comparator </w:t>
      </w:r>
      <w:r w:rsidR="00C825E7" w:rsidRPr="00113653">
        <w:rPr>
          <w:rFonts w:asciiTheme="minorHAnsi" w:eastAsiaTheme="minorHAnsi" w:hAnsiTheme="minorHAnsi" w:cstheme="minorBidi"/>
          <w:b w:val="0"/>
          <w:snapToGrid/>
          <w:sz w:val="24"/>
        </w:rPr>
        <w:t>as</w:t>
      </w:r>
      <w:r w:rsidRPr="00113653">
        <w:rPr>
          <w:rFonts w:asciiTheme="minorHAnsi" w:eastAsiaTheme="minorHAnsi" w:hAnsiTheme="minorHAnsi" w:cstheme="minorBidi"/>
          <w:b w:val="0"/>
          <w:snapToGrid/>
          <w:sz w:val="24"/>
        </w:rPr>
        <w:t xml:space="preserve"> the submission argued </w:t>
      </w:r>
      <w:r w:rsidR="00C47B5F" w:rsidRPr="00113653">
        <w:rPr>
          <w:rFonts w:asciiTheme="minorHAnsi" w:eastAsiaTheme="minorHAnsi" w:hAnsiTheme="minorHAnsi" w:cstheme="minorBidi"/>
          <w:b w:val="0"/>
          <w:snapToGrid/>
          <w:sz w:val="24"/>
        </w:rPr>
        <w:t xml:space="preserve">that </w:t>
      </w:r>
      <w:r w:rsidR="00414788" w:rsidRPr="00113653">
        <w:rPr>
          <w:rFonts w:asciiTheme="minorHAnsi" w:eastAsiaTheme="minorHAnsi" w:hAnsiTheme="minorHAnsi" w:cstheme="minorBidi"/>
          <w:b w:val="0"/>
          <w:snapToGrid/>
          <w:sz w:val="24"/>
        </w:rPr>
        <w:t>the 500 mg tablets are likely to be replaced in clinical practice by the 1000 mg tablets.</w:t>
      </w:r>
      <w:r w:rsidRPr="00113653">
        <w:rPr>
          <w:rFonts w:asciiTheme="minorHAnsi" w:eastAsiaTheme="minorHAnsi" w:hAnsiTheme="minorHAnsi" w:cstheme="minorBidi"/>
          <w:b w:val="0"/>
          <w:snapToGrid/>
          <w:sz w:val="24"/>
        </w:rPr>
        <w:t xml:space="preserve"> The submission </w:t>
      </w:r>
      <w:r w:rsidR="00D834B0" w:rsidRPr="00113653">
        <w:rPr>
          <w:rFonts w:asciiTheme="minorHAnsi" w:eastAsiaTheme="minorHAnsi" w:hAnsiTheme="minorHAnsi" w:cstheme="minorBidi"/>
          <w:b w:val="0"/>
          <w:snapToGrid/>
          <w:sz w:val="24"/>
        </w:rPr>
        <w:t xml:space="preserve">indicated that </w:t>
      </w:r>
      <w:r w:rsidR="008018BB" w:rsidRPr="00113653">
        <w:rPr>
          <w:rFonts w:asciiTheme="minorHAnsi" w:eastAsiaTheme="minorHAnsi" w:hAnsiTheme="minorHAnsi" w:cstheme="minorBidi"/>
          <w:b w:val="0"/>
          <w:snapToGrid/>
          <w:sz w:val="24"/>
        </w:rPr>
        <w:t>use</w:t>
      </w:r>
      <w:r w:rsidR="00D834B0" w:rsidRPr="00113653">
        <w:rPr>
          <w:rFonts w:asciiTheme="minorHAnsi" w:eastAsiaTheme="minorHAnsi" w:hAnsiTheme="minorHAnsi" w:cstheme="minorBidi"/>
          <w:b w:val="0"/>
          <w:snapToGrid/>
          <w:sz w:val="24"/>
        </w:rPr>
        <w:t xml:space="preserve"> of the deferiprone oral solution </w:t>
      </w:r>
      <w:r w:rsidR="00C83C8A" w:rsidRPr="00113653">
        <w:rPr>
          <w:rFonts w:asciiTheme="minorHAnsi" w:eastAsiaTheme="minorHAnsi" w:hAnsiTheme="minorHAnsi" w:cstheme="minorBidi"/>
          <w:b w:val="0"/>
          <w:snapToGrid/>
          <w:sz w:val="24"/>
        </w:rPr>
        <w:t>is</w:t>
      </w:r>
      <w:r w:rsidR="00D834B0" w:rsidRPr="00113653">
        <w:rPr>
          <w:rFonts w:asciiTheme="minorHAnsi" w:eastAsiaTheme="minorHAnsi" w:hAnsiTheme="minorHAnsi" w:cstheme="minorBidi"/>
          <w:b w:val="0"/>
          <w:snapToGrid/>
          <w:sz w:val="24"/>
        </w:rPr>
        <w:t xml:space="preserve"> extremely low and </w:t>
      </w:r>
      <w:r w:rsidR="00956FAC" w:rsidRPr="00113653">
        <w:rPr>
          <w:rFonts w:asciiTheme="minorHAnsi" w:eastAsiaTheme="minorHAnsi" w:hAnsiTheme="minorHAnsi" w:cstheme="minorBidi"/>
          <w:b w:val="0"/>
          <w:snapToGrid/>
          <w:sz w:val="24"/>
        </w:rPr>
        <w:t>is</w:t>
      </w:r>
      <w:r w:rsidR="00D834B0" w:rsidRPr="00113653">
        <w:rPr>
          <w:rFonts w:asciiTheme="minorHAnsi" w:eastAsiaTheme="minorHAnsi" w:hAnsiTheme="minorHAnsi" w:cstheme="minorBidi"/>
          <w:b w:val="0"/>
          <w:snapToGrid/>
          <w:sz w:val="24"/>
        </w:rPr>
        <w:t xml:space="preserve"> not expected to change</w:t>
      </w:r>
      <w:r w:rsidR="00D2249D" w:rsidRPr="00113653">
        <w:rPr>
          <w:rFonts w:asciiTheme="minorHAnsi" w:eastAsiaTheme="minorHAnsi" w:hAnsiTheme="minorHAnsi" w:cstheme="minorBidi"/>
          <w:b w:val="0"/>
          <w:snapToGrid/>
          <w:sz w:val="24"/>
        </w:rPr>
        <w:t xml:space="preserve"> in response to the listing of the</w:t>
      </w:r>
      <w:r w:rsidR="00D834B0" w:rsidRPr="00113653">
        <w:rPr>
          <w:rFonts w:asciiTheme="minorHAnsi" w:eastAsiaTheme="minorHAnsi" w:hAnsiTheme="minorHAnsi" w:cstheme="minorBidi"/>
          <w:b w:val="0"/>
          <w:snapToGrid/>
          <w:sz w:val="24"/>
        </w:rPr>
        <w:t xml:space="preserve"> 1000 mg tablet</w:t>
      </w:r>
      <w:r w:rsidR="003D499C" w:rsidRPr="00113653">
        <w:rPr>
          <w:rFonts w:asciiTheme="minorHAnsi" w:eastAsiaTheme="minorHAnsi" w:hAnsiTheme="minorHAnsi" w:cstheme="minorBidi"/>
          <w:b w:val="0"/>
          <w:snapToGrid/>
          <w:sz w:val="24"/>
        </w:rPr>
        <w:t xml:space="preserve"> formulation</w:t>
      </w:r>
      <w:r w:rsidR="00D834B0" w:rsidRPr="00113653">
        <w:rPr>
          <w:rFonts w:asciiTheme="minorHAnsi" w:eastAsiaTheme="minorHAnsi" w:hAnsiTheme="minorHAnsi" w:cstheme="minorBidi"/>
          <w:b w:val="0"/>
          <w:snapToGrid/>
          <w:sz w:val="24"/>
        </w:rPr>
        <w:t xml:space="preserve">. </w:t>
      </w:r>
    </w:p>
    <w:p w:rsidR="00F361E6" w:rsidRPr="00802E12" w:rsidRDefault="00F361E6" w:rsidP="00113653">
      <w:pPr>
        <w:pStyle w:val="PBACHeading1"/>
        <w:numPr>
          <w:ilvl w:val="0"/>
          <w:numId w:val="0"/>
        </w:numPr>
        <w:spacing w:after="240"/>
        <w:ind w:left="720"/>
        <w:jc w:val="both"/>
        <w:outlineLvl w:val="9"/>
        <w:rPr>
          <w:rFonts w:asciiTheme="minorHAnsi" w:eastAsiaTheme="minorHAnsi" w:hAnsiTheme="minorHAnsi"/>
          <w:b w:val="0"/>
          <w:i/>
          <w:snapToGrid/>
          <w:sz w:val="24"/>
          <w:szCs w:val="24"/>
        </w:rPr>
      </w:pPr>
      <w:r w:rsidRPr="00802E12">
        <w:rPr>
          <w:rFonts w:asciiTheme="minorHAnsi" w:eastAsiaTheme="minorHAnsi" w:hAnsiTheme="minorHAnsi"/>
          <w:b w:val="0"/>
          <w:i/>
          <w:snapToGrid/>
          <w:sz w:val="24"/>
          <w:szCs w:val="24"/>
        </w:rPr>
        <w:t>For more details on PBAC’s view, see section 7 PBAC outcome.</w:t>
      </w:r>
    </w:p>
    <w:p w:rsidR="005500F1" w:rsidRPr="00802E12" w:rsidRDefault="005500F1" w:rsidP="0090502D">
      <w:pPr>
        <w:pStyle w:val="PBACHeading1"/>
        <w:spacing w:after="240"/>
        <w:rPr>
          <w:rFonts w:asciiTheme="minorHAnsi" w:eastAsiaTheme="minorHAnsi" w:hAnsiTheme="minorHAnsi"/>
          <w:snapToGrid/>
          <w:sz w:val="32"/>
          <w:szCs w:val="32"/>
        </w:rPr>
      </w:pPr>
      <w:r w:rsidRPr="00802E12">
        <w:rPr>
          <w:rFonts w:asciiTheme="minorHAnsi" w:eastAsiaTheme="minorHAnsi" w:hAnsiTheme="minorHAnsi"/>
          <w:snapToGrid/>
          <w:sz w:val="32"/>
          <w:szCs w:val="32"/>
        </w:rPr>
        <w:t>Consideration of evidence</w:t>
      </w:r>
    </w:p>
    <w:p w:rsidR="0090502D" w:rsidRPr="00802E12" w:rsidRDefault="0090502D" w:rsidP="00113653">
      <w:pPr>
        <w:pStyle w:val="PBACHeading1"/>
        <w:numPr>
          <w:ilvl w:val="1"/>
          <w:numId w:val="14"/>
        </w:numPr>
        <w:spacing w:after="240"/>
        <w:jc w:val="both"/>
        <w:outlineLvl w:val="9"/>
        <w:rPr>
          <w:rFonts w:asciiTheme="minorHAnsi" w:eastAsiaTheme="minorHAnsi" w:hAnsiTheme="minorHAnsi"/>
          <w:b w:val="0"/>
          <w:snapToGrid/>
          <w:sz w:val="24"/>
          <w:szCs w:val="24"/>
        </w:rPr>
      </w:pPr>
      <w:r w:rsidRPr="00802E12">
        <w:rPr>
          <w:rFonts w:asciiTheme="minorHAnsi" w:eastAsiaTheme="minorHAnsi" w:hAnsiTheme="minorHAnsi"/>
          <w:b w:val="0"/>
          <w:snapToGrid/>
          <w:sz w:val="24"/>
          <w:szCs w:val="24"/>
        </w:rPr>
        <w:t xml:space="preserve">The submission included the results of the study LA33-BA, an open label comparative randomised, single dose 2-way crossover bioequivalence study which demonstrated </w:t>
      </w:r>
      <w:r w:rsidRPr="00802E12">
        <w:rPr>
          <w:rFonts w:asciiTheme="minorHAnsi" w:eastAsiaTheme="minorHAnsi" w:hAnsiTheme="minorHAnsi"/>
          <w:b w:val="0"/>
          <w:snapToGrid/>
          <w:sz w:val="24"/>
          <w:szCs w:val="24"/>
        </w:rPr>
        <w:lastRenderedPageBreak/>
        <w:t>the bioequivalence of the 500 mg tablets and the 1000 mg tablets following a single 1000 mg dose of deferiprone’</w:t>
      </w:r>
    </w:p>
    <w:p w:rsidR="005500F1" w:rsidRPr="00802E12" w:rsidRDefault="005500F1" w:rsidP="00113653">
      <w:pPr>
        <w:pStyle w:val="PBACHeading1"/>
        <w:numPr>
          <w:ilvl w:val="0"/>
          <w:numId w:val="0"/>
        </w:numPr>
        <w:spacing w:after="240"/>
        <w:jc w:val="both"/>
        <w:outlineLvl w:val="1"/>
        <w:rPr>
          <w:rFonts w:asciiTheme="minorHAnsi" w:eastAsiaTheme="minorHAnsi" w:hAnsiTheme="minorHAnsi"/>
          <w:snapToGrid/>
          <w:sz w:val="32"/>
          <w:szCs w:val="32"/>
        </w:rPr>
      </w:pPr>
      <w:r w:rsidRPr="00802E12">
        <w:rPr>
          <w:rFonts w:asciiTheme="minorHAnsi" w:eastAsiaTheme="minorHAnsi" w:hAnsiTheme="minorHAnsi"/>
          <w:snapToGrid/>
          <w:sz w:val="32"/>
          <w:szCs w:val="32"/>
        </w:rPr>
        <w:t>Sponsor hearing</w:t>
      </w:r>
    </w:p>
    <w:p w:rsidR="005500F1" w:rsidRPr="00802E12" w:rsidRDefault="00E61213" w:rsidP="00113653">
      <w:pPr>
        <w:pStyle w:val="PBACHeading1"/>
        <w:numPr>
          <w:ilvl w:val="0"/>
          <w:numId w:val="0"/>
        </w:numPr>
        <w:spacing w:after="240"/>
        <w:ind w:left="720" w:hanging="11"/>
        <w:jc w:val="both"/>
        <w:outlineLvl w:val="9"/>
        <w:rPr>
          <w:rFonts w:asciiTheme="minorHAnsi" w:eastAsiaTheme="minorHAnsi" w:hAnsiTheme="minorHAnsi"/>
          <w:b w:val="0"/>
          <w:snapToGrid/>
          <w:sz w:val="24"/>
          <w:szCs w:val="24"/>
        </w:rPr>
      </w:pPr>
      <w:r w:rsidRPr="00802E12">
        <w:rPr>
          <w:rFonts w:asciiTheme="minorHAnsi" w:eastAsiaTheme="minorHAnsi" w:hAnsiTheme="minorHAnsi"/>
          <w:b w:val="0"/>
          <w:snapToGrid/>
          <w:sz w:val="24"/>
          <w:szCs w:val="24"/>
        </w:rPr>
        <w:t xml:space="preserve">There was no Sponsor hearing for this item as it was a minor submission.  </w:t>
      </w:r>
    </w:p>
    <w:p w:rsidR="005500F1" w:rsidRPr="00802E12" w:rsidRDefault="005500F1" w:rsidP="00113653">
      <w:pPr>
        <w:pStyle w:val="PBACHeading1"/>
        <w:numPr>
          <w:ilvl w:val="0"/>
          <w:numId w:val="0"/>
        </w:numPr>
        <w:spacing w:after="240"/>
        <w:jc w:val="both"/>
        <w:outlineLvl w:val="1"/>
        <w:rPr>
          <w:rFonts w:asciiTheme="minorHAnsi" w:eastAsiaTheme="minorHAnsi" w:hAnsiTheme="minorHAnsi"/>
          <w:snapToGrid/>
          <w:sz w:val="32"/>
          <w:szCs w:val="32"/>
        </w:rPr>
      </w:pPr>
      <w:r w:rsidRPr="00802E12">
        <w:rPr>
          <w:rFonts w:asciiTheme="minorHAnsi" w:eastAsiaTheme="minorHAnsi" w:hAnsiTheme="minorHAnsi"/>
          <w:snapToGrid/>
          <w:sz w:val="32"/>
          <w:szCs w:val="32"/>
        </w:rPr>
        <w:t>Consumer comments</w:t>
      </w:r>
    </w:p>
    <w:p w:rsidR="00E61213" w:rsidRPr="00802E12" w:rsidRDefault="00E61213" w:rsidP="00113653">
      <w:pPr>
        <w:pStyle w:val="PBACHeading1"/>
        <w:numPr>
          <w:ilvl w:val="0"/>
          <w:numId w:val="0"/>
        </w:numPr>
        <w:spacing w:after="240"/>
        <w:ind w:left="709"/>
        <w:jc w:val="both"/>
        <w:outlineLvl w:val="9"/>
        <w:rPr>
          <w:rFonts w:asciiTheme="minorHAnsi" w:eastAsiaTheme="minorHAnsi" w:hAnsiTheme="minorHAnsi"/>
          <w:b w:val="0"/>
          <w:snapToGrid/>
          <w:sz w:val="24"/>
          <w:szCs w:val="24"/>
        </w:rPr>
      </w:pPr>
      <w:r w:rsidRPr="00802E12">
        <w:rPr>
          <w:rFonts w:asciiTheme="minorHAnsi" w:eastAsiaTheme="minorHAnsi" w:hAnsiTheme="minorHAnsi"/>
          <w:b w:val="0"/>
          <w:snapToGrid/>
          <w:sz w:val="24"/>
          <w:szCs w:val="24"/>
        </w:rPr>
        <w:t xml:space="preserve">The PBAC noted that no consumer comments were received for this item. </w:t>
      </w:r>
    </w:p>
    <w:p w:rsidR="00A437BA" w:rsidRPr="00802E12" w:rsidRDefault="004D0514" w:rsidP="00E34379">
      <w:pPr>
        <w:pStyle w:val="PBACHeading1"/>
        <w:spacing w:after="240"/>
        <w:rPr>
          <w:rFonts w:asciiTheme="minorHAnsi" w:eastAsiaTheme="minorHAnsi" w:hAnsiTheme="minorHAnsi"/>
          <w:snapToGrid/>
          <w:sz w:val="32"/>
          <w:szCs w:val="32"/>
        </w:rPr>
      </w:pPr>
      <w:r w:rsidRPr="00802E12">
        <w:rPr>
          <w:rFonts w:asciiTheme="minorHAnsi" w:eastAsiaTheme="minorHAnsi" w:hAnsiTheme="minorHAnsi"/>
          <w:snapToGrid/>
          <w:sz w:val="32"/>
          <w:szCs w:val="32"/>
        </w:rPr>
        <w:t>Estimated PBS usage and financial implications</w:t>
      </w:r>
    </w:p>
    <w:p w:rsidR="00737583" w:rsidRPr="00C25113" w:rsidRDefault="00F079B6" w:rsidP="00C25113">
      <w:pPr>
        <w:pStyle w:val="ListParagraph"/>
        <w:widowControl/>
        <w:numPr>
          <w:ilvl w:val="1"/>
          <w:numId w:val="14"/>
        </w:numPr>
        <w:spacing w:after="240"/>
        <w:contextualSpacing w:val="0"/>
        <w:rPr>
          <w:rFonts w:asciiTheme="minorHAnsi" w:eastAsiaTheme="minorHAnsi" w:hAnsiTheme="minorHAnsi" w:cstheme="minorBidi"/>
          <w:snapToGrid/>
          <w:sz w:val="24"/>
          <w:szCs w:val="22"/>
        </w:rPr>
      </w:pPr>
      <w:r w:rsidRPr="00C25113">
        <w:rPr>
          <w:rFonts w:asciiTheme="minorHAnsi" w:eastAsiaTheme="minorHAnsi" w:hAnsiTheme="minorHAnsi" w:cstheme="minorBidi"/>
          <w:snapToGrid/>
          <w:sz w:val="24"/>
          <w:szCs w:val="22"/>
        </w:rPr>
        <w:t>The submission proposed an equivalent price per milligram for the 1000 mg presentation of deferiprone compared to the currently listed 500 mg presentation.</w:t>
      </w:r>
      <w:r w:rsidR="00831E2D" w:rsidRPr="00C25113">
        <w:rPr>
          <w:rFonts w:asciiTheme="minorHAnsi" w:eastAsiaTheme="minorHAnsi" w:hAnsiTheme="minorHAnsi" w:cstheme="minorBidi"/>
          <w:snapToGrid/>
          <w:sz w:val="24"/>
          <w:szCs w:val="22"/>
        </w:rPr>
        <w:t xml:space="preserve"> </w:t>
      </w:r>
    </w:p>
    <w:p w:rsidR="00CC5AB1" w:rsidRPr="00C25113" w:rsidRDefault="00657870" w:rsidP="00C25113">
      <w:pPr>
        <w:pStyle w:val="ListParagraph"/>
        <w:widowControl/>
        <w:numPr>
          <w:ilvl w:val="1"/>
          <w:numId w:val="14"/>
        </w:numPr>
        <w:spacing w:after="240"/>
        <w:contextualSpacing w:val="0"/>
        <w:rPr>
          <w:rFonts w:asciiTheme="minorHAnsi" w:eastAsiaTheme="minorHAnsi" w:hAnsiTheme="minorHAnsi" w:cstheme="minorBidi"/>
          <w:snapToGrid/>
          <w:sz w:val="24"/>
          <w:szCs w:val="22"/>
        </w:rPr>
      </w:pPr>
      <w:r w:rsidRPr="00C25113">
        <w:rPr>
          <w:rFonts w:asciiTheme="minorHAnsi" w:eastAsiaTheme="minorHAnsi" w:hAnsiTheme="minorHAnsi" w:cstheme="minorBidi"/>
          <w:snapToGrid/>
          <w:sz w:val="24"/>
          <w:szCs w:val="22"/>
        </w:rPr>
        <w:t>The submission</w:t>
      </w:r>
      <w:r w:rsidR="00743BD5" w:rsidRPr="00C25113">
        <w:rPr>
          <w:rFonts w:asciiTheme="minorHAnsi" w:eastAsiaTheme="minorHAnsi" w:hAnsiTheme="minorHAnsi" w:cstheme="minorBidi"/>
          <w:snapToGrid/>
          <w:sz w:val="24"/>
          <w:szCs w:val="22"/>
        </w:rPr>
        <w:t xml:space="preserve"> presented the estimated net costs to the PBS/RPBS </w:t>
      </w:r>
      <w:r w:rsidR="0029392F" w:rsidRPr="00C25113">
        <w:rPr>
          <w:rFonts w:asciiTheme="minorHAnsi" w:eastAsiaTheme="minorHAnsi" w:hAnsiTheme="minorHAnsi" w:cstheme="minorBidi"/>
          <w:snapToGrid/>
          <w:sz w:val="24"/>
          <w:szCs w:val="22"/>
        </w:rPr>
        <w:t xml:space="preserve">across the forward </w:t>
      </w:r>
      <w:r w:rsidR="00743BD5" w:rsidRPr="00C25113">
        <w:rPr>
          <w:rFonts w:asciiTheme="minorHAnsi" w:eastAsiaTheme="minorHAnsi" w:hAnsiTheme="minorHAnsi" w:cstheme="minorBidi"/>
          <w:snapToGrid/>
          <w:sz w:val="24"/>
          <w:szCs w:val="22"/>
        </w:rPr>
        <w:t>projections associated with the proposed listing. Det</w:t>
      </w:r>
      <w:r w:rsidR="006768B5" w:rsidRPr="00C25113">
        <w:rPr>
          <w:rFonts w:asciiTheme="minorHAnsi" w:eastAsiaTheme="minorHAnsi" w:hAnsiTheme="minorHAnsi" w:cstheme="minorBidi"/>
          <w:snapToGrid/>
          <w:sz w:val="24"/>
          <w:szCs w:val="22"/>
        </w:rPr>
        <w:t xml:space="preserve">ails are summarised in Table </w:t>
      </w:r>
      <w:r w:rsidR="00CC5AB1" w:rsidRPr="00C25113">
        <w:rPr>
          <w:rFonts w:asciiTheme="minorHAnsi" w:eastAsiaTheme="minorHAnsi" w:hAnsiTheme="minorHAnsi" w:cstheme="minorBidi"/>
          <w:snapToGrid/>
          <w:sz w:val="24"/>
          <w:szCs w:val="22"/>
        </w:rPr>
        <w:t>2</w:t>
      </w:r>
      <w:r w:rsidR="00743BD5" w:rsidRPr="00C25113">
        <w:rPr>
          <w:rFonts w:asciiTheme="minorHAnsi" w:eastAsiaTheme="minorHAnsi" w:hAnsiTheme="minorHAnsi" w:cstheme="minorBidi"/>
          <w:snapToGrid/>
          <w:sz w:val="24"/>
          <w:szCs w:val="22"/>
        </w:rPr>
        <w:t>.</w:t>
      </w:r>
      <w:r w:rsidR="0081787F" w:rsidRPr="00C25113">
        <w:rPr>
          <w:rFonts w:asciiTheme="minorHAnsi" w:eastAsiaTheme="minorHAnsi" w:hAnsiTheme="minorHAnsi" w:cstheme="minorBidi"/>
          <w:snapToGrid/>
          <w:sz w:val="24"/>
          <w:szCs w:val="22"/>
        </w:rPr>
        <w:t xml:space="preserve"> </w:t>
      </w:r>
      <w:bookmarkStart w:id="1" w:name="_Ref405387182"/>
      <w:bookmarkStart w:id="2" w:name="_Toc488667354"/>
    </w:p>
    <w:p w:rsidR="00137593" w:rsidRPr="00802E12" w:rsidRDefault="00137593" w:rsidP="00113653">
      <w:pPr>
        <w:pStyle w:val="PBACHeading1"/>
        <w:keepNext/>
        <w:numPr>
          <w:ilvl w:val="0"/>
          <w:numId w:val="0"/>
        </w:numPr>
        <w:spacing w:after="240"/>
        <w:jc w:val="both"/>
        <w:outlineLvl w:val="9"/>
        <w:rPr>
          <w:rFonts w:ascii="Calibri" w:hAnsi="Calibri"/>
          <w:bCs/>
          <w:i/>
          <w:lang w:bidi="en-US"/>
        </w:rPr>
      </w:pPr>
      <w:r w:rsidRPr="00802E12">
        <w:rPr>
          <w:rFonts w:ascii="Calibri" w:hAnsi="Calibri"/>
          <w:bCs/>
          <w:i/>
          <w:lang w:bidi="en-US"/>
        </w:rPr>
        <w:t xml:space="preserve">Table </w:t>
      </w:r>
      <w:bookmarkEnd w:id="1"/>
      <w:r w:rsidR="00CC5AB1" w:rsidRPr="00802E12">
        <w:rPr>
          <w:rFonts w:ascii="Calibri" w:hAnsi="Calibri"/>
          <w:bCs/>
          <w:i/>
          <w:lang w:bidi="en-US"/>
        </w:rPr>
        <w:t>2</w:t>
      </w:r>
      <w:r w:rsidRPr="00802E12">
        <w:rPr>
          <w:rFonts w:ascii="Calibri" w:hAnsi="Calibri"/>
          <w:bCs/>
          <w:i/>
          <w:lang w:bidi="en-US"/>
        </w:rPr>
        <w:t xml:space="preserve"> Estimated net cost to the PBS/RPBS associated with the proposed listing</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917"/>
        <w:gridCol w:w="991"/>
        <w:gridCol w:w="991"/>
        <w:gridCol w:w="991"/>
        <w:gridCol w:w="992"/>
        <w:gridCol w:w="992"/>
        <w:gridCol w:w="1875"/>
      </w:tblGrid>
      <w:tr w:rsidR="00137593" w:rsidRPr="00802E12" w:rsidTr="00113653">
        <w:trPr>
          <w:trHeight w:val="300"/>
        </w:trPr>
        <w:tc>
          <w:tcPr>
            <w:tcW w:w="523" w:type="pct"/>
            <w:shd w:val="clear" w:color="auto" w:fill="auto"/>
            <w:noWrap/>
            <w:vAlign w:val="bottom"/>
            <w:hideMark/>
          </w:tcPr>
          <w:p w:rsidR="00137593" w:rsidRPr="00802E12" w:rsidRDefault="00137593" w:rsidP="00DA4FCA">
            <w:pPr>
              <w:keepNext/>
              <w:spacing w:after="240" w:line="276" w:lineRule="auto"/>
              <w:contextualSpacing/>
              <w:jc w:val="center"/>
              <w:rPr>
                <w:rFonts w:ascii="Arial Narrow" w:hAnsi="Arial Narrow" w:cs="Arial"/>
                <w:b/>
                <w:bCs/>
                <w:sz w:val="20"/>
                <w:szCs w:val="20"/>
                <w:lang w:eastAsia="en-US" w:bidi="en-US"/>
              </w:rPr>
            </w:pPr>
          </w:p>
        </w:tc>
        <w:tc>
          <w:tcPr>
            <w:tcW w:w="603" w:type="pct"/>
            <w:shd w:val="clear" w:color="auto" w:fill="auto"/>
            <w:noWrap/>
            <w:vAlign w:val="bottom"/>
            <w:hideMark/>
          </w:tcPr>
          <w:p w:rsidR="00137593" w:rsidRPr="00802E12" w:rsidRDefault="00137593" w:rsidP="00DA4FCA">
            <w:pPr>
              <w:keepNext/>
              <w:spacing w:after="240" w:line="276" w:lineRule="auto"/>
              <w:contextualSpacing/>
              <w:jc w:val="center"/>
              <w:rPr>
                <w:rFonts w:ascii="Arial Narrow" w:hAnsi="Arial Narrow" w:cs="Arial"/>
                <w:b/>
                <w:bCs/>
                <w:color w:val="000000"/>
                <w:sz w:val="20"/>
                <w:szCs w:val="20"/>
                <w:lang w:eastAsia="en-US" w:bidi="en-US"/>
              </w:rPr>
            </w:pPr>
            <w:r w:rsidRPr="00802E12">
              <w:rPr>
                <w:rFonts w:ascii="Arial Narrow" w:hAnsi="Arial Narrow" w:cs="Arial"/>
                <w:b/>
                <w:bCs/>
                <w:color w:val="000000"/>
                <w:sz w:val="20"/>
                <w:szCs w:val="20"/>
                <w:lang w:eastAsia="en-US" w:bidi="en-US"/>
              </w:rPr>
              <w:t>Year 1</w:t>
            </w:r>
          </w:p>
        </w:tc>
        <w:tc>
          <w:tcPr>
            <w:tcW w:w="643" w:type="pct"/>
            <w:shd w:val="clear" w:color="auto" w:fill="auto"/>
            <w:noWrap/>
            <w:vAlign w:val="bottom"/>
            <w:hideMark/>
          </w:tcPr>
          <w:p w:rsidR="00137593" w:rsidRPr="00802E12" w:rsidRDefault="00137593" w:rsidP="00DA4FCA">
            <w:pPr>
              <w:keepNext/>
              <w:spacing w:after="240" w:line="276" w:lineRule="auto"/>
              <w:contextualSpacing/>
              <w:jc w:val="center"/>
              <w:rPr>
                <w:rFonts w:ascii="Arial Narrow" w:hAnsi="Arial Narrow" w:cs="Arial"/>
                <w:b/>
                <w:bCs/>
                <w:color w:val="000000"/>
                <w:sz w:val="20"/>
                <w:szCs w:val="20"/>
                <w:lang w:eastAsia="en-US" w:bidi="en-US"/>
              </w:rPr>
            </w:pPr>
            <w:r w:rsidRPr="00802E12">
              <w:rPr>
                <w:rFonts w:ascii="Arial Narrow" w:hAnsi="Arial Narrow" w:cs="Arial"/>
                <w:b/>
                <w:bCs/>
                <w:color w:val="000000"/>
                <w:sz w:val="20"/>
                <w:szCs w:val="20"/>
                <w:lang w:eastAsia="en-US" w:bidi="en-US"/>
              </w:rPr>
              <w:t>Year 2</w:t>
            </w:r>
          </w:p>
        </w:tc>
        <w:tc>
          <w:tcPr>
            <w:tcW w:w="643" w:type="pct"/>
            <w:shd w:val="clear" w:color="auto" w:fill="auto"/>
            <w:noWrap/>
            <w:vAlign w:val="bottom"/>
            <w:hideMark/>
          </w:tcPr>
          <w:p w:rsidR="00137593" w:rsidRPr="00802E12" w:rsidRDefault="00137593" w:rsidP="00DA4FCA">
            <w:pPr>
              <w:keepNext/>
              <w:spacing w:after="240" w:line="276" w:lineRule="auto"/>
              <w:contextualSpacing/>
              <w:jc w:val="center"/>
              <w:rPr>
                <w:rFonts w:ascii="Arial Narrow" w:hAnsi="Arial Narrow" w:cs="Arial"/>
                <w:b/>
                <w:bCs/>
                <w:color w:val="000000"/>
                <w:sz w:val="20"/>
                <w:szCs w:val="20"/>
                <w:lang w:eastAsia="en-US" w:bidi="en-US"/>
              </w:rPr>
            </w:pPr>
            <w:r w:rsidRPr="00802E12">
              <w:rPr>
                <w:rFonts w:ascii="Arial Narrow" w:hAnsi="Arial Narrow" w:cs="Arial"/>
                <w:b/>
                <w:bCs/>
                <w:color w:val="000000"/>
                <w:sz w:val="20"/>
                <w:szCs w:val="20"/>
                <w:lang w:eastAsia="en-US" w:bidi="en-US"/>
              </w:rPr>
              <w:t>Year 3</w:t>
            </w:r>
          </w:p>
        </w:tc>
        <w:tc>
          <w:tcPr>
            <w:tcW w:w="643" w:type="pct"/>
            <w:shd w:val="clear" w:color="auto" w:fill="auto"/>
            <w:noWrap/>
            <w:vAlign w:val="bottom"/>
            <w:hideMark/>
          </w:tcPr>
          <w:p w:rsidR="00137593" w:rsidRPr="00802E12" w:rsidRDefault="00137593" w:rsidP="00DA4FCA">
            <w:pPr>
              <w:keepNext/>
              <w:spacing w:after="240" w:line="276" w:lineRule="auto"/>
              <w:contextualSpacing/>
              <w:jc w:val="center"/>
              <w:rPr>
                <w:rFonts w:ascii="Arial Narrow" w:hAnsi="Arial Narrow" w:cs="Arial"/>
                <w:b/>
                <w:bCs/>
                <w:color w:val="000000"/>
                <w:sz w:val="20"/>
                <w:szCs w:val="20"/>
                <w:lang w:eastAsia="en-US" w:bidi="en-US"/>
              </w:rPr>
            </w:pPr>
            <w:r w:rsidRPr="00802E12">
              <w:rPr>
                <w:rFonts w:ascii="Arial Narrow" w:hAnsi="Arial Narrow" w:cs="Arial"/>
                <w:b/>
                <w:bCs/>
                <w:color w:val="000000"/>
                <w:sz w:val="20"/>
                <w:szCs w:val="20"/>
                <w:lang w:eastAsia="en-US" w:bidi="en-US"/>
              </w:rPr>
              <w:t>Year 4</w:t>
            </w:r>
          </w:p>
        </w:tc>
        <w:tc>
          <w:tcPr>
            <w:tcW w:w="643" w:type="pct"/>
            <w:shd w:val="clear" w:color="auto" w:fill="auto"/>
            <w:noWrap/>
            <w:vAlign w:val="bottom"/>
            <w:hideMark/>
          </w:tcPr>
          <w:p w:rsidR="00137593" w:rsidRPr="00802E12" w:rsidRDefault="00137593" w:rsidP="00DA4FCA">
            <w:pPr>
              <w:keepNext/>
              <w:spacing w:after="240" w:line="276" w:lineRule="auto"/>
              <w:contextualSpacing/>
              <w:jc w:val="center"/>
              <w:rPr>
                <w:rFonts w:ascii="Arial Narrow" w:hAnsi="Arial Narrow" w:cs="Arial"/>
                <w:b/>
                <w:bCs/>
                <w:color w:val="000000"/>
                <w:sz w:val="20"/>
                <w:szCs w:val="20"/>
                <w:lang w:eastAsia="en-US" w:bidi="en-US"/>
              </w:rPr>
            </w:pPr>
            <w:r w:rsidRPr="00802E12">
              <w:rPr>
                <w:rFonts w:ascii="Arial Narrow" w:hAnsi="Arial Narrow" w:cs="Arial"/>
                <w:b/>
                <w:bCs/>
                <w:color w:val="000000"/>
                <w:sz w:val="20"/>
                <w:szCs w:val="20"/>
                <w:lang w:eastAsia="en-US" w:bidi="en-US"/>
              </w:rPr>
              <w:t>Year 5</w:t>
            </w:r>
          </w:p>
        </w:tc>
        <w:tc>
          <w:tcPr>
            <w:tcW w:w="643" w:type="pct"/>
            <w:shd w:val="clear" w:color="auto" w:fill="auto"/>
            <w:noWrap/>
            <w:vAlign w:val="bottom"/>
            <w:hideMark/>
          </w:tcPr>
          <w:p w:rsidR="00137593" w:rsidRPr="00802E12" w:rsidRDefault="00137593" w:rsidP="00DA4FCA">
            <w:pPr>
              <w:keepNext/>
              <w:spacing w:after="240" w:line="276" w:lineRule="auto"/>
              <w:contextualSpacing/>
              <w:jc w:val="center"/>
              <w:rPr>
                <w:rFonts w:ascii="Arial Narrow" w:hAnsi="Arial Narrow" w:cs="Arial"/>
                <w:bCs/>
                <w:color w:val="000000"/>
                <w:sz w:val="20"/>
                <w:szCs w:val="20"/>
                <w:lang w:eastAsia="en-US" w:bidi="en-US"/>
              </w:rPr>
            </w:pPr>
            <w:r w:rsidRPr="00802E12">
              <w:rPr>
                <w:rFonts w:ascii="Arial Narrow" w:hAnsi="Arial Narrow" w:cs="Arial"/>
                <w:b/>
                <w:bCs/>
                <w:color w:val="000000"/>
                <w:sz w:val="20"/>
                <w:szCs w:val="20"/>
                <w:lang w:eastAsia="en-US" w:bidi="en-US"/>
              </w:rPr>
              <w:t>Year 6</w:t>
            </w:r>
          </w:p>
        </w:tc>
        <w:tc>
          <w:tcPr>
            <w:tcW w:w="660" w:type="pct"/>
            <w:shd w:val="clear" w:color="auto" w:fill="auto"/>
            <w:noWrap/>
            <w:vAlign w:val="bottom"/>
            <w:hideMark/>
          </w:tcPr>
          <w:p w:rsidR="00137593" w:rsidRPr="00802E12" w:rsidRDefault="00137593" w:rsidP="00DA4FCA">
            <w:pPr>
              <w:keepNext/>
              <w:spacing w:after="240" w:line="276" w:lineRule="auto"/>
              <w:contextualSpacing/>
              <w:jc w:val="center"/>
              <w:rPr>
                <w:rFonts w:ascii="Arial Narrow" w:hAnsi="Arial Narrow" w:cs="Arial"/>
                <w:b/>
                <w:bCs/>
                <w:sz w:val="20"/>
                <w:szCs w:val="20"/>
                <w:lang w:eastAsia="en-US" w:bidi="en-US"/>
              </w:rPr>
            </w:pPr>
            <w:r w:rsidRPr="00802E12">
              <w:rPr>
                <w:rFonts w:ascii="Arial Narrow" w:hAnsi="Arial Narrow" w:cs="Arial"/>
                <w:b/>
                <w:bCs/>
                <w:sz w:val="20"/>
                <w:szCs w:val="20"/>
                <w:lang w:eastAsia="en-US" w:bidi="en-US"/>
              </w:rPr>
              <w:t>Years 1-6 Cumulative</w:t>
            </w:r>
          </w:p>
        </w:tc>
      </w:tr>
      <w:tr w:rsidR="00137593" w:rsidRPr="00802E12" w:rsidTr="00113653">
        <w:trPr>
          <w:trHeight w:val="300"/>
        </w:trPr>
        <w:tc>
          <w:tcPr>
            <w:tcW w:w="5000" w:type="pct"/>
            <w:gridSpan w:val="8"/>
            <w:tcBorders>
              <w:bottom w:val="single" w:sz="4" w:space="0" w:color="auto"/>
            </w:tcBorders>
            <w:shd w:val="clear" w:color="auto" w:fill="auto"/>
            <w:noWrap/>
            <w:vAlign w:val="bottom"/>
            <w:hideMark/>
          </w:tcPr>
          <w:p w:rsidR="00137593" w:rsidRPr="00802E12" w:rsidRDefault="00137593" w:rsidP="00DA4FCA">
            <w:pPr>
              <w:keepNext/>
              <w:spacing w:after="240" w:line="276" w:lineRule="auto"/>
              <w:contextualSpacing/>
              <w:jc w:val="both"/>
              <w:rPr>
                <w:rFonts w:ascii="Arial Narrow" w:hAnsi="Arial Narrow" w:cs="Arial"/>
                <w:b/>
                <w:bCs/>
                <w:sz w:val="20"/>
                <w:szCs w:val="20"/>
                <w:lang w:eastAsia="en-US" w:bidi="en-US"/>
              </w:rPr>
            </w:pPr>
            <w:r w:rsidRPr="00802E12">
              <w:rPr>
                <w:rFonts w:ascii="Arial Narrow" w:hAnsi="Arial Narrow" w:cs="Arial"/>
                <w:b/>
                <w:bCs/>
                <w:sz w:val="20"/>
                <w:szCs w:val="20"/>
                <w:lang w:eastAsia="en-US" w:bidi="en-US"/>
              </w:rPr>
              <w:t>Projected net cost of new listing</w:t>
            </w:r>
          </w:p>
        </w:tc>
      </w:tr>
      <w:tr w:rsidR="00137593" w:rsidRPr="00802E12" w:rsidTr="00CD5AA4">
        <w:trPr>
          <w:trHeight w:val="283"/>
        </w:trPr>
        <w:tc>
          <w:tcPr>
            <w:tcW w:w="523" w:type="pct"/>
            <w:tcBorders>
              <w:top w:val="single" w:sz="4" w:space="0" w:color="auto"/>
              <w:bottom w:val="single" w:sz="4" w:space="0" w:color="auto"/>
              <w:right w:val="single" w:sz="4" w:space="0" w:color="auto"/>
            </w:tcBorders>
            <w:shd w:val="clear" w:color="auto" w:fill="auto"/>
            <w:noWrap/>
            <w:vAlign w:val="bottom"/>
            <w:hideMark/>
          </w:tcPr>
          <w:p w:rsidR="00137593" w:rsidRPr="00802E12" w:rsidRDefault="00137593" w:rsidP="00DA4FCA">
            <w:pPr>
              <w:keepNext/>
              <w:spacing w:after="240" w:line="276" w:lineRule="auto"/>
              <w:contextualSpacing/>
              <w:rPr>
                <w:rFonts w:ascii="Arial Narrow" w:hAnsi="Arial Narrow" w:cs="Arial"/>
                <w:sz w:val="20"/>
                <w:szCs w:val="20"/>
                <w:lang w:eastAsia="en-US" w:bidi="en-US"/>
              </w:rPr>
            </w:pPr>
            <w:r w:rsidRPr="00802E12">
              <w:rPr>
                <w:rFonts w:ascii="Arial Narrow" w:hAnsi="Arial Narrow" w:cs="Arial"/>
                <w:sz w:val="20"/>
                <w:szCs w:val="20"/>
                <w:lang w:eastAsia="en-US" w:bidi="en-US"/>
              </w:rPr>
              <w:t>to PBS</w:t>
            </w:r>
          </w:p>
        </w:tc>
        <w:tc>
          <w:tcPr>
            <w:tcW w:w="603" w:type="pct"/>
            <w:tcBorders>
              <w:top w:val="single" w:sz="4" w:space="0" w:color="auto"/>
              <w:left w:val="single" w:sz="4" w:space="0" w:color="auto"/>
              <w:bottom w:val="single" w:sz="4" w:space="0" w:color="auto"/>
              <w:right w:val="single" w:sz="4" w:space="0" w:color="auto"/>
            </w:tcBorders>
            <w:shd w:val="clear" w:color="auto" w:fill="auto"/>
            <w:noWrap/>
          </w:tcPr>
          <w:p w:rsidR="00137593" w:rsidRPr="00D37C9F" w:rsidRDefault="00137593" w:rsidP="00DA4FCA">
            <w:pPr>
              <w:keepNext/>
              <w:spacing w:after="240" w:line="276" w:lineRule="auto"/>
              <w:contextualSpacing/>
              <w:jc w:val="right"/>
              <w:rPr>
                <w:rFonts w:ascii="Arial Narrow" w:hAnsi="Arial Narrow" w:cs="Arial"/>
                <w:sz w:val="20"/>
                <w:szCs w:val="20"/>
                <w:lang w:eastAsia="en-US" w:bidi="en-US"/>
              </w:rPr>
            </w:pPr>
            <w:r w:rsidRPr="00D37C9F">
              <w:rPr>
                <w:rFonts w:ascii="Arial Narrow" w:hAnsi="Arial Narrow"/>
                <w:sz w:val="20"/>
                <w:szCs w:val="20"/>
                <w:lang w:eastAsia="en-US" w:bidi="en-US"/>
              </w:rPr>
              <w:t>$455,836</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137593" w:rsidRPr="00D37C9F" w:rsidRDefault="00137593" w:rsidP="00DA4FCA">
            <w:pPr>
              <w:keepNext/>
              <w:spacing w:after="240" w:line="276" w:lineRule="auto"/>
              <w:contextualSpacing/>
              <w:jc w:val="right"/>
              <w:rPr>
                <w:rFonts w:ascii="Arial Narrow" w:hAnsi="Arial Narrow" w:cs="Arial"/>
                <w:sz w:val="20"/>
                <w:szCs w:val="20"/>
                <w:lang w:eastAsia="en-US" w:bidi="en-US"/>
              </w:rPr>
            </w:pPr>
            <w:r w:rsidRPr="00D37C9F">
              <w:rPr>
                <w:rFonts w:ascii="Arial Narrow" w:hAnsi="Arial Narrow"/>
                <w:sz w:val="20"/>
                <w:szCs w:val="20"/>
                <w:lang w:eastAsia="en-US" w:bidi="en-US"/>
              </w:rPr>
              <w:t>$638,171</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137593" w:rsidRPr="00D37C9F" w:rsidRDefault="00137593" w:rsidP="00DA4FCA">
            <w:pPr>
              <w:keepNext/>
              <w:spacing w:after="240" w:line="276" w:lineRule="auto"/>
              <w:contextualSpacing/>
              <w:jc w:val="right"/>
              <w:rPr>
                <w:rFonts w:ascii="Arial Narrow" w:hAnsi="Arial Narrow" w:cs="Arial"/>
                <w:sz w:val="20"/>
                <w:szCs w:val="20"/>
                <w:lang w:eastAsia="en-US" w:bidi="en-US"/>
              </w:rPr>
            </w:pPr>
            <w:r w:rsidRPr="00D37C9F">
              <w:rPr>
                <w:rFonts w:ascii="Arial Narrow" w:hAnsi="Arial Narrow"/>
                <w:sz w:val="20"/>
                <w:szCs w:val="20"/>
                <w:lang w:eastAsia="en-US" w:bidi="en-US"/>
              </w:rPr>
              <w:t>$820,506</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137593" w:rsidRPr="00D37C9F" w:rsidRDefault="00137593" w:rsidP="00DA4FCA">
            <w:pPr>
              <w:keepNext/>
              <w:spacing w:after="240" w:line="276" w:lineRule="auto"/>
              <w:contextualSpacing/>
              <w:jc w:val="right"/>
              <w:rPr>
                <w:rFonts w:ascii="Arial Narrow" w:hAnsi="Arial Narrow" w:cs="Arial"/>
                <w:sz w:val="20"/>
                <w:szCs w:val="20"/>
                <w:lang w:eastAsia="en-US" w:bidi="en-US"/>
              </w:rPr>
            </w:pPr>
            <w:r w:rsidRPr="00D37C9F">
              <w:rPr>
                <w:rFonts w:ascii="Arial Narrow" w:hAnsi="Arial Narrow"/>
                <w:sz w:val="20"/>
                <w:szCs w:val="20"/>
                <w:lang w:eastAsia="en-US" w:bidi="en-US"/>
              </w:rPr>
              <w:t>$911,673</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137593" w:rsidRPr="00D37C9F" w:rsidRDefault="00137593" w:rsidP="00DA4FCA">
            <w:pPr>
              <w:keepNext/>
              <w:spacing w:after="240" w:line="276" w:lineRule="auto"/>
              <w:contextualSpacing/>
              <w:jc w:val="right"/>
              <w:rPr>
                <w:rFonts w:ascii="Arial Narrow" w:hAnsi="Arial Narrow" w:cs="Arial"/>
                <w:sz w:val="20"/>
                <w:szCs w:val="20"/>
                <w:lang w:eastAsia="en-US" w:bidi="en-US"/>
              </w:rPr>
            </w:pPr>
            <w:r w:rsidRPr="00D37C9F">
              <w:rPr>
                <w:rFonts w:ascii="Arial Narrow" w:hAnsi="Arial Narrow"/>
                <w:sz w:val="20"/>
                <w:szCs w:val="20"/>
                <w:lang w:eastAsia="en-US" w:bidi="en-US"/>
              </w:rPr>
              <w:t>$911,673</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137593" w:rsidRPr="00D37C9F" w:rsidRDefault="00137593" w:rsidP="00DA4FCA">
            <w:pPr>
              <w:keepNext/>
              <w:spacing w:after="240" w:line="276" w:lineRule="auto"/>
              <w:contextualSpacing/>
              <w:jc w:val="right"/>
              <w:rPr>
                <w:rFonts w:ascii="Arial Narrow" w:hAnsi="Arial Narrow" w:cs="Arial"/>
                <w:sz w:val="20"/>
                <w:szCs w:val="20"/>
                <w:lang w:eastAsia="en-US" w:bidi="en-US"/>
              </w:rPr>
            </w:pPr>
            <w:r w:rsidRPr="00D37C9F">
              <w:rPr>
                <w:rFonts w:ascii="Arial Narrow" w:hAnsi="Arial Narrow"/>
                <w:sz w:val="20"/>
                <w:szCs w:val="20"/>
                <w:lang w:eastAsia="en-US" w:bidi="en-US"/>
              </w:rPr>
              <w:t>$911,673</w:t>
            </w:r>
          </w:p>
        </w:tc>
        <w:tc>
          <w:tcPr>
            <w:tcW w:w="660" w:type="pct"/>
            <w:tcBorders>
              <w:top w:val="single" w:sz="4" w:space="0" w:color="auto"/>
              <w:left w:val="single" w:sz="4" w:space="0" w:color="auto"/>
              <w:bottom w:val="single" w:sz="4" w:space="0" w:color="auto"/>
              <w:right w:val="single" w:sz="4" w:space="0" w:color="auto"/>
            </w:tcBorders>
            <w:shd w:val="clear" w:color="auto" w:fill="auto"/>
            <w:noWrap/>
          </w:tcPr>
          <w:p w:rsidR="00137593" w:rsidRPr="00D37C9F" w:rsidRDefault="00137593" w:rsidP="00DA4FCA">
            <w:pPr>
              <w:keepNext/>
              <w:spacing w:after="240" w:line="276" w:lineRule="auto"/>
              <w:contextualSpacing/>
              <w:jc w:val="right"/>
              <w:rPr>
                <w:rFonts w:ascii="Arial Narrow" w:hAnsi="Arial Narrow" w:cs="Arial"/>
                <w:sz w:val="20"/>
                <w:szCs w:val="20"/>
                <w:lang w:eastAsia="en-US" w:bidi="en-US"/>
              </w:rPr>
            </w:pPr>
            <w:r w:rsidRPr="00D37C9F">
              <w:rPr>
                <w:rFonts w:ascii="Arial Narrow" w:hAnsi="Arial Narrow"/>
                <w:sz w:val="20"/>
                <w:szCs w:val="20"/>
                <w:lang w:eastAsia="en-US" w:bidi="en-US"/>
              </w:rPr>
              <w:t>$4,649,532</w:t>
            </w:r>
          </w:p>
        </w:tc>
      </w:tr>
      <w:tr w:rsidR="00137593" w:rsidRPr="00802E12" w:rsidTr="00CD5AA4">
        <w:trPr>
          <w:trHeight w:val="283"/>
        </w:trPr>
        <w:tc>
          <w:tcPr>
            <w:tcW w:w="523" w:type="pct"/>
            <w:tcBorders>
              <w:top w:val="single" w:sz="4" w:space="0" w:color="auto"/>
              <w:bottom w:val="single" w:sz="4" w:space="0" w:color="auto"/>
              <w:right w:val="single" w:sz="4" w:space="0" w:color="auto"/>
            </w:tcBorders>
            <w:shd w:val="clear" w:color="auto" w:fill="auto"/>
            <w:noWrap/>
            <w:vAlign w:val="bottom"/>
            <w:hideMark/>
          </w:tcPr>
          <w:p w:rsidR="00137593" w:rsidRPr="00802E12" w:rsidRDefault="00137593" w:rsidP="00DA4FCA">
            <w:pPr>
              <w:keepNext/>
              <w:spacing w:after="240" w:line="276" w:lineRule="auto"/>
              <w:contextualSpacing/>
              <w:rPr>
                <w:rFonts w:ascii="Arial Narrow" w:hAnsi="Arial Narrow" w:cs="Arial"/>
                <w:sz w:val="20"/>
                <w:szCs w:val="20"/>
                <w:lang w:eastAsia="en-US" w:bidi="en-US"/>
              </w:rPr>
            </w:pPr>
            <w:r w:rsidRPr="00802E12">
              <w:rPr>
                <w:rFonts w:ascii="Arial Narrow" w:hAnsi="Arial Narrow" w:cs="Arial"/>
                <w:sz w:val="20"/>
                <w:szCs w:val="20"/>
                <w:lang w:eastAsia="en-US" w:bidi="en-US"/>
              </w:rPr>
              <w:t>to RPBS</w:t>
            </w:r>
          </w:p>
        </w:tc>
        <w:tc>
          <w:tcPr>
            <w:tcW w:w="603" w:type="pct"/>
            <w:tcBorders>
              <w:top w:val="single" w:sz="4" w:space="0" w:color="auto"/>
              <w:left w:val="single" w:sz="4" w:space="0" w:color="auto"/>
              <w:bottom w:val="single" w:sz="4" w:space="0" w:color="auto"/>
              <w:right w:val="single" w:sz="4" w:space="0" w:color="auto"/>
            </w:tcBorders>
            <w:shd w:val="clear" w:color="auto" w:fill="auto"/>
            <w:noWrap/>
          </w:tcPr>
          <w:p w:rsidR="00137593" w:rsidRPr="00D37C9F" w:rsidRDefault="00137593" w:rsidP="00DA4FCA">
            <w:pPr>
              <w:keepNext/>
              <w:spacing w:after="240" w:line="276" w:lineRule="auto"/>
              <w:contextualSpacing/>
              <w:jc w:val="right"/>
              <w:rPr>
                <w:rFonts w:ascii="Arial Narrow" w:hAnsi="Arial Narrow" w:cs="Arial"/>
                <w:sz w:val="20"/>
                <w:szCs w:val="20"/>
                <w:lang w:eastAsia="en-US" w:bidi="en-US"/>
              </w:rPr>
            </w:pPr>
            <w:r w:rsidRPr="00D37C9F">
              <w:rPr>
                <w:rFonts w:ascii="Arial Narrow" w:hAnsi="Arial Narrow"/>
                <w:sz w:val="20"/>
                <w:szCs w:val="20"/>
                <w:lang w:eastAsia="en-US" w:bidi="en-US"/>
              </w:rPr>
              <w:t>$0</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137593" w:rsidRPr="00D37C9F" w:rsidRDefault="00137593" w:rsidP="00DA4FCA">
            <w:pPr>
              <w:keepNext/>
              <w:spacing w:after="240" w:line="276" w:lineRule="auto"/>
              <w:contextualSpacing/>
              <w:jc w:val="right"/>
              <w:rPr>
                <w:rFonts w:ascii="Arial Narrow" w:hAnsi="Arial Narrow" w:cs="Arial"/>
                <w:sz w:val="20"/>
                <w:szCs w:val="20"/>
                <w:lang w:eastAsia="en-US" w:bidi="en-US"/>
              </w:rPr>
            </w:pPr>
            <w:r w:rsidRPr="00D37C9F">
              <w:rPr>
                <w:rFonts w:ascii="Arial Narrow" w:hAnsi="Arial Narrow"/>
                <w:sz w:val="20"/>
                <w:szCs w:val="20"/>
                <w:lang w:eastAsia="en-US" w:bidi="en-US"/>
              </w:rPr>
              <w:t>$0</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137593" w:rsidRPr="00D37C9F" w:rsidRDefault="00137593" w:rsidP="00DA4FCA">
            <w:pPr>
              <w:keepNext/>
              <w:spacing w:after="240" w:line="276" w:lineRule="auto"/>
              <w:contextualSpacing/>
              <w:jc w:val="right"/>
              <w:rPr>
                <w:rFonts w:ascii="Arial Narrow" w:hAnsi="Arial Narrow" w:cs="Arial"/>
                <w:sz w:val="20"/>
                <w:szCs w:val="20"/>
                <w:lang w:eastAsia="en-US" w:bidi="en-US"/>
              </w:rPr>
            </w:pPr>
            <w:r w:rsidRPr="00D37C9F">
              <w:rPr>
                <w:rFonts w:ascii="Arial Narrow" w:hAnsi="Arial Narrow"/>
                <w:sz w:val="20"/>
                <w:szCs w:val="20"/>
                <w:lang w:eastAsia="en-US" w:bidi="en-US"/>
              </w:rPr>
              <w:t>$0</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137593" w:rsidRPr="00D37C9F" w:rsidRDefault="00137593" w:rsidP="00DA4FCA">
            <w:pPr>
              <w:keepNext/>
              <w:spacing w:after="240" w:line="276" w:lineRule="auto"/>
              <w:contextualSpacing/>
              <w:jc w:val="right"/>
              <w:rPr>
                <w:rFonts w:ascii="Arial Narrow" w:hAnsi="Arial Narrow" w:cs="Arial"/>
                <w:sz w:val="20"/>
                <w:szCs w:val="20"/>
                <w:lang w:eastAsia="en-US" w:bidi="en-US"/>
              </w:rPr>
            </w:pPr>
            <w:r w:rsidRPr="00D37C9F">
              <w:rPr>
                <w:rFonts w:ascii="Arial Narrow" w:hAnsi="Arial Narrow"/>
                <w:sz w:val="20"/>
                <w:szCs w:val="20"/>
                <w:lang w:eastAsia="en-US" w:bidi="en-US"/>
              </w:rPr>
              <w:t>$0</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137593" w:rsidRPr="00D37C9F" w:rsidRDefault="00137593" w:rsidP="00DA4FCA">
            <w:pPr>
              <w:keepNext/>
              <w:spacing w:after="240" w:line="276" w:lineRule="auto"/>
              <w:contextualSpacing/>
              <w:jc w:val="right"/>
              <w:rPr>
                <w:rFonts w:ascii="Arial Narrow" w:hAnsi="Arial Narrow" w:cs="Arial"/>
                <w:sz w:val="20"/>
                <w:szCs w:val="20"/>
                <w:lang w:eastAsia="en-US" w:bidi="en-US"/>
              </w:rPr>
            </w:pPr>
            <w:r w:rsidRPr="00D37C9F">
              <w:rPr>
                <w:rFonts w:ascii="Arial Narrow" w:hAnsi="Arial Narrow"/>
                <w:sz w:val="20"/>
                <w:szCs w:val="20"/>
                <w:lang w:eastAsia="en-US" w:bidi="en-US"/>
              </w:rPr>
              <w:t>$0</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137593" w:rsidRPr="00D37C9F" w:rsidRDefault="00137593" w:rsidP="00DA4FCA">
            <w:pPr>
              <w:keepNext/>
              <w:spacing w:after="240" w:line="276" w:lineRule="auto"/>
              <w:contextualSpacing/>
              <w:jc w:val="right"/>
              <w:rPr>
                <w:rFonts w:ascii="Arial Narrow" w:hAnsi="Arial Narrow" w:cs="Arial"/>
                <w:sz w:val="20"/>
                <w:szCs w:val="20"/>
                <w:lang w:eastAsia="en-US" w:bidi="en-US"/>
              </w:rPr>
            </w:pPr>
            <w:r w:rsidRPr="00D37C9F">
              <w:rPr>
                <w:rFonts w:ascii="Arial Narrow" w:hAnsi="Arial Narrow"/>
                <w:sz w:val="20"/>
                <w:szCs w:val="20"/>
                <w:lang w:eastAsia="en-US" w:bidi="en-US"/>
              </w:rPr>
              <w:t>$0</w:t>
            </w:r>
          </w:p>
        </w:tc>
        <w:tc>
          <w:tcPr>
            <w:tcW w:w="660" w:type="pct"/>
            <w:tcBorders>
              <w:top w:val="single" w:sz="4" w:space="0" w:color="auto"/>
              <w:left w:val="single" w:sz="4" w:space="0" w:color="auto"/>
              <w:bottom w:val="single" w:sz="4" w:space="0" w:color="auto"/>
              <w:right w:val="single" w:sz="4" w:space="0" w:color="auto"/>
            </w:tcBorders>
            <w:shd w:val="clear" w:color="auto" w:fill="auto"/>
            <w:noWrap/>
          </w:tcPr>
          <w:p w:rsidR="00137593" w:rsidRPr="00D37C9F" w:rsidRDefault="00137593" w:rsidP="00DA4FCA">
            <w:pPr>
              <w:keepNext/>
              <w:spacing w:after="240" w:line="276" w:lineRule="auto"/>
              <w:contextualSpacing/>
              <w:jc w:val="right"/>
              <w:rPr>
                <w:rFonts w:ascii="Arial Narrow" w:hAnsi="Arial Narrow" w:cs="Arial"/>
                <w:sz w:val="20"/>
                <w:szCs w:val="20"/>
                <w:lang w:eastAsia="en-US" w:bidi="en-US"/>
              </w:rPr>
            </w:pPr>
            <w:r w:rsidRPr="00D37C9F">
              <w:rPr>
                <w:rFonts w:ascii="Arial Narrow" w:hAnsi="Arial Narrow"/>
                <w:sz w:val="20"/>
                <w:szCs w:val="20"/>
                <w:lang w:eastAsia="en-US" w:bidi="en-US"/>
              </w:rPr>
              <w:t>$0</w:t>
            </w:r>
          </w:p>
        </w:tc>
      </w:tr>
      <w:tr w:rsidR="00137593" w:rsidRPr="00802E12" w:rsidTr="00CD5AA4">
        <w:trPr>
          <w:trHeight w:val="283"/>
        </w:trPr>
        <w:tc>
          <w:tcPr>
            <w:tcW w:w="523" w:type="pct"/>
            <w:tcBorders>
              <w:top w:val="single" w:sz="4" w:space="0" w:color="auto"/>
              <w:bottom w:val="single" w:sz="4" w:space="0" w:color="auto"/>
              <w:right w:val="single" w:sz="4" w:space="0" w:color="auto"/>
            </w:tcBorders>
            <w:shd w:val="clear" w:color="auto" w:fill="auto"/>
            <w:noWrap/>
            <w:vAlign w:val="bottom"/>
            <w:hideMark/>
          </w:tcPr>
          <w:p w:rsidR="00137593" w:rsidRPr="00802E12" w:rsidRDefault="00137593" w:rsidP="00DA4FCA">
            <w:pPr>
              <w:keepNext/>
              <w:spacing w:after="240" w:line="276" w:lineRule="auto"/>
              <w:contextualSpacing/>
              <w:rPr>
                <w:rFonts w:ascii="Arial Narrow" w:hAnsi="Arial Narrow" w:cs="Arial"/>
                <w:sz w:val="20"/>
                <w:szCs w:val="20"/>
                <w:lang w:eastAsia="en-US" w:bidi="en-US"/>
              </w:rPr>
            </w:pPr>
            <w:r w:rsidRPr="00802E12">
              <w:rPr>
                <w:rFonts w:ascii="Arial Narrow" w:hAnsi="Arial Narrow" w:cs="Arial"/>
                <w:sz w:val="20"/>
                <w:szCs w:val="20"/>
                <w:lang w:eastAsia="en-US" w:bidi="en-US"/>
              </w:rPr>
              <w:t>to the PBS/RPBS</w:t>
            </w:r>
          </w:p>
        </w:tc>
        <w:tc>
          <w:tcPr>
            <w:tcW w:w="603" w:type="pct"/>
            <w:tcBorders>
              <w:top w:val="single" w:sz="4" w:space="0" w:color="auto"/>
              <w:left w:val="single" w:sz="4" w:space="0" w:color="auto"/>
              <w:bottom w:val="single" w:sz="4" w:space="0" w:color="auto"/>
              <w:right w:val="single" w:sz="4" w:space="0" w:color="auto"/>
            </w:tcBorders>
            <w:shd w:val="clear" w:color="auto" w:fill="auto"/>
            <w:noWrap/>
          </w:tcPr>
          <w:p w:rsidR="00137593" w:rsidRPr="00D37C9F" w:rsidRDefault="00137593" w:rsidP="00DA4FCA">
            <w:pPr>
              <w:keepNext/>
              <w:spacing w:after="240" w:line="276" w:lineRule="auto"/>
              <w:contextualSpacing/>
              <w:jc w:val="right"/>
              <w:rPr>
                <w:rFonts w:ascii="Arial Narrow" w:hAnsi="Arial Narrow" w:cs="Arial"/>
                <w:sz w:val="20"/>
                <w:szCs w:val="20"/>
                <w:lang w:eastAsia="en-US" w:bidi="en-US"/>
              </w:rPr>
            </w:pPr>
            <w:r w:rsidRPr="00D37C9F">
              <w:rPr>
                <w:rFonts w:ascii="Arial Narrow" w:hAnsi="Arial Narrow"/>
                <w:sz w:val="20"/>
                <w:szCs w:val="20"/>
                <w:lang w:eastAsia="en-US" w:bidi="en-US"/>
              </w:rPr>
              <w:t>$455,836</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137593" w:rsidRPr="00D37C9F" w:rsidRDefault="00137593" w:rsidP="00DA4FCA">
            <w:pPr>
              <w:keepNext/>
              <w:spacing w:after="240" w:line="276" w:lineRule="auto"/>
              <w:contextualSpacing/>
              <w:jc w:val="right"/>
              <w:rPr>
                <w:rFonts w:ascii="Arial Narrow" w:hAnsi="Arial Narrow" w:cs="Arial"/>
                <w:sz w:val="20"/>
                <w:szCs w:val="20"/>
                <w:lang w:eastAsia="en-US" w:bidi="en-US"/>
              </w:rPr>
            </w:pPr>
            <w:r w:rsidRPr="00D37C9F">
              <w:rPr>
                <w:rFonts w:ascii="Arial Narrow" w:hAnsi="Arial Narrow"/>
                <w:sz w:val="20"/>
                <w:szCs w:val="20"/>
                <w:lang w:eastAsia="en-US" w:bidi="en-US"/>
              </w:rPr>
              <w:t>$638,171</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137593" w:rsidRPr="00D37C9F" w:rsidRDefault="00137593" w:rsidP="00DA4FCA">
            <w:pPr>
              <w:keepNext/>
              <w:spacing w:after="240" w:line="276" w:lineRule="auto"/>
              <w:contextualSpacing/>
              <w:jc w:val="right"/>
              <w:rPr>
                <w:rFonts w:ascii="Arial Narrow" w:hAnsi="Arial Narrow" w:cs="Arial"/>
                <w:sz w:val="20"/>
                <w:szCs w:val="20"/>
                <w:lang w:eastAsia="en-US" w:bidi="en-US"/>
              </w:rPr>
            </w:pPr>
            <w:r w:rsidRPr="00D37C9F">
              <w:rPr>
                <w:rFonts w:ascii="Arial Narrow" w:hAnsi="Arial Narrow"/>
                <w:sz w:val="20"/>
                <w:szCs w:val="20"/>
                <w:lang w:eastAsia="en-US" w:bidi="en-US"/>
              </w:rPr>
              <w:t>$820,506</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137593" w:rsidRPr="00D37C9F" w:rsidRDefault="00137593" w:rsidP="00DA4FCA">
            <w:pPr>
              <w:keepNext/>
              <w:spacing w:after="240" w:line="276" w:lineRule="auto"/>
              <w:contextualSpacing/>
              <w:jc w:val="right"/>
              <w:rPr>
                <w:rFonts w:ascii="Arial Narrow" w:hAnsi="Arial Narrow" w:cs="Arial"/>
                <w:sz w:val="20"/>
                <w:szCs w:val="20"/>
                <w:lang w:eastAsia="en-US" w:bidi="en-US"/>
              </w:rPr>
            </w:pPr>
            <w:r w:rsidRPr="00D37C9F">
              <w:rPr>
                <w:rFonts w:ascii="Arial Narrow" w:hAnsi="Arial Narrow"/>
                <w:sz w:val="20"/>
                <w:szCs w:val="20"/>
                <w:lang w:eastAsia="en-US" w:bidi="en-US"/>
              </w:rPr>
              <w:t>$911,673</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137593" w:rsidRPr="00D37C9F" w:rsidRDefault="00137593" w:rsidP="00DA4FCA">
            <w:pPr>
              <w:keepNext/>
              <w:spacing w:after="240" w:line="276" w:lineRule="auto"/>
              <w:contextualSpacing/>
              <w:jc w:val="right"/>
              <w:rPr>
                <w:rFonts w:ascii="Arial Narrow" w:hAnsi="Arial Narrow" w:cs="Arial"/>
                <w:sz w:val="20"/>
                <w:szCs w:val="20"/>
                <w:lang w:eastAsia="en-US" w:bidi="en-US"/>
              </w:rPr>
            </w:pPr>
            <w:r w:rsidRPr="00D37C9F">
              <w:rPr>
                <w:rFonts w:ascii="Arial Narrow" w:hAnsi="Arial Narrow"/>
                <w:sz w:val="20"/>
                <w:szCs w:val="20"/>
                <w:lang w:eastAsia="en-US" w:bidi="en-US"/>
              </w:rPr>
              <w:t>$911,673</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137593" w:rsidRPr="00D37C9F" w:rsidRDefault="00137593" w:rsidP="00DA4FCA">
            <w:pPr>
              <w:keepNext/>
              <w:spacing w:after="240" w:line="276" w:lineRule="auto"/>
              <w:contextualSpacing/>
              <w:jc w:val="right"/>
              <w:rPr>
                <w:rFonts w:ascii="Arial Narrow" w:hAnsi="Arial Narrow" w:cs="Arial"/>
                <w:sz w:val="20"/>
                <w:szCs w:val="20"/>
                <w:lang w:eastAsia="en-US" w:bidi="en-US"/>
              </w:rPr>
            </w:pPr>
            <w:r w:rsidRPr="00D37C9F">
              <w:rPr>
                <w:rFonts w:ascii="Arial Narrow" w:hAnsi="Arial Narrow"/>
                <w:sz w:val="20"/>
                <w:szCs w:val="20"/>
                <w:lang w:eastAsia="en-US" w:bidi="en-US"/>
              </w:rPr>
              <w:t>$911,673</w:t>
            </w:r>
          </w:p>
        </w:tc>
        <w:tc>
          <w:tcPr>
            <w:tcW w:w="660" w:type="pct"/>
            <w:tcBorders>
              <w:top w:val="single" w:sz="4" w:space="0" w:color="auto"/>
              <w:left w:val="single" w:sz="4" w:space="0" w:color="auto"/>
              <w:bottom w:val="single" w:sz="4" w:space="0" w:color="auto"/>
              <w:right w:val="single" w:sz="4" w:space="0" w:color="auto"/>
            </w:tcBorders>
            <w:shd w:val="clear" w:color="auto" w:fill="auto"/>
            <w:noWrap/>
          </w:tcPr>
          <w:p w:rsidR="00137593" w:rsidRPr="00D37C9F" w:rsidRDefault="00137593" w:rsidP="00DA4FCA">
            <w:pPr>
              <w:keepNext/>
              <w:spacing w:after="240" w:line="276" w:lineRule="auto"/>
              <w:contextualSpacing/>
              <w:jc w:val="right"/>
              <w:rPr>
                <w:rFonts w:ascii="Arial Narrow" w:hAnsi="Arial Narrow" w:cs="Arial"/>
                <w:sz w:val="20"/>
                <w:szCs w:val="20"/>
                <w:lang w:eastAsia="en-US" w:bidi="en-US"/>
              </w:rPr>
            </w:pPr>
            <w:r w:rsidRPr="00D37C9F">
              <w:rPr>
                <w:rFonts w:ascii="Arial Narrow" w:hAnsi="Arial Narrow"/>
                <w:sz w:val="20"/>
                <w:szCs w:val="20"/>
                <w:lang w:eastAsia="en-US" w:bidi="en-US"/>
              </w:rPr>
              <w:t>$4,649,532</w:t>
            </w:r>
          </w:p>
        </w:tc>
      </w:tr>
      <w:tr w:rsidR="00137593" w:rsidRPr="00802E12" w:rsidTr="00113653">
        <w:trPr>
          <w:trHeight w:val="283"/>
        </w:trPr>
        <w:tc>
          <w:tcPr>
            <w:tcW w:w="5000" w:type="pct"/>
            <w:gridSpan w:val="8"/>
            <w:tcBorders>
              <w:top w:val="single" w:sz="4" w:space="0" w:color="auto"/>
            </w:tcBorders>
            <w:shd w:val="clear" w:color="auto" w:fill="auto"/>
            <w:noWrap/>
            <w:vAlign w:val="bottom"/>
            <w:hideMark/>
          </w:tcPr>
          <w:p w:rsidR="00137593" w:rsidRPr="00802E12" w:rsidRDefault="00137593" w:rsidP="00DA4FCA">
            <w:pPr>
              <w:keepNext/>
              <w:spacing w:after="240" w:line="276" w:lineRule="auto"/>
              <w:contextualSpacing/>
              <w:jc w:val="both"/>
              <w:rPr>
                <w:rFonts w:ascii="Arial Narrow" w:hAnsi="Arial Narrow" w:cs="Arial"/>
                <w:b/>
                <w:bCs/>
                <w:sz w:val="20"/>
                <w:szCs w:val="20"/>
                <w:lang w:eastAsia="en-US" w:bidi="en-US"/>
              </w:rPr>
            </w:pPr>
            <w:r w:rsidRPr="00802E12">
              <w:rPr>
                <w:rFonts w:ascii="Arial Narrow" w:hAnsi="Arial Narrow" w:cs="Arial"/>
                <w:b/>
                <w:bCs/>
                <w:sz w:val="20"/>
                <w:szCs w:val="20"/>
                <w:lang w:eastAsia="en-US" w:bidi="en-US"/>
              </w:rPr>
              <w:t>Projected net costs of displaced medicines</w:t>
            </w:r>
          </w:p>
        </w:tc>
      </w:tr>
      <w:tr w:rsidR="00137593" w:rsidRPr="00802E12" w:rsidTr="00CD5AA4">
        <w:trPr>
          <w:trHeight w:val="283"/>
        </w:trPr>
        <w:tc>
          <w:tcPr>
            <w:tcW w:w="523" w:type="pct"/>
            <w:shd w:val="clear" w:color="auto" w:fill="auto"/>
            <w:noWrap/>
            <w:vAlign w:val="bottom"/>
            <w:hideMark/>
          </w:tcPr>
          <w:p w:rsidR="00137593" w:rsidRPr="00802E12" w:rsidRDefault="00137593" w:rsidP="00DA4FCA">
            <w:pPr>
              <w:keepNext/>
              <w:spacing w:after="240" w:line="276" w:lineRule="auto"/>
              <w:contextualSpacing/>
              <w:rPr>
                <w:rFonts w:ascii="Arial Narrow" w:hAnsi="Arial Narrow" w:cs="Arial"/>
                <w:sz w:val="20"/>
                <w:szCs w:val="20"/>
                <w:lang w:eastAsia="en-US" w:bidi="en-US"/>
              </w:rPr>
            </w:pPr>
            <w:r w:rsidRPr="00802E12">
              <w:rPr>
                <w:rFonts w:ascii="Arial Narrow" w:hAnsi="Arial Narrow" w:cs="Arial"/>
                <w:sz w:val="20"/>
                <w:szCs w:val="20"/>
                <w:lang w:eastAsia="en-US" w:bidi="en-US"/>
              </w:rPr>
              <w:t>to PBS</w:t>
            </w:r>
          </w:p>
        </w:tc>
        <w:tc>
          <w:tcPr>
            <w:tcW w:w="603" w:type="pct"/>
            <w:tcBorders>
              <w:top w:val="single" w:sz="4" w:space="0" w:color="auto"/>
              <w:left w:val="nil"/>
              <w:bottom w:val="single" w:sz="4" w:space="0" w:color="auto"/>
              <w:right w:val="single" w:sz="4" w:space="0" w:color="auto"/>
            </w:tcBorders>
            <w:shd w:val="clear" w:color="auto" w:fill="auto"/>
            <w:noWrap/>
          </w:tcPr>
          <w:p w:rsidR="00137593" w:rsidRPr="00D37C9F" w:rsidRDefault="00137593" w:rsidP="00DA4FCA">
            <w:pPr>
              <w:keepNext/>
              <w:spacing w:after="240" w:line="276" w:lineRule="auto"/>
              <w:contextualSpacing/>
              <w:jc w:val="right"/>
              <w:rPr>
                <w:rFonts w:ascii="Arial Narrow" w:hAnsi="Arial Narrow" w:cs="Arial"/>
                <w:sz w:val="20"/>
                <w:szCs w:val="20"/>
                <w:lang w:eastAsia="en-US" w:bidi="en-US"/>
              </w:rPr>
            </w:pPr>
            <w:r w:rsidRPr="00D37C9F">
              <w:rPr>
                <w:rFonts w:ascii="Arial Narrow" w:hAnsi="Arial Narrow"/>
                <w:sz w:val="20"/>
                <w:szCs w:val="20"/>
                <w:lang w:eastAsia="en-US" w:bidi="en-US"/>
              </w:rPr>
              <w:t>$455,836</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137593" w:rsidRPr="00D37C9F" w:rsidRDefault="00137593" w:rsidP="00DA4FCA">
            <w:pPr>
              <w:keepNext/>
              <w:spacing w:after="240" w:line="276" w:lineRule="auto"/>
              <w:contextualSpacing/>
              <w:jc w:val="right"/>
              <w:rPr>
                <w:rFonts w:ascii="Arial Narrow" w:hAnsi="Arial Narrow" w:cs="Arial"/>
                <w:sz w:val="20"/>
                <w:szCs w:val="20"/>
                <w:lang w:eastAsia="en-US" w:bidi="en-US"/>
              </w:rPr>
            </w:pPr>
            <w:r w:rsidRPr="00D37C9F">
              <w:rPr>
                <w:rFonts w:ascii="Arial Narrow" w:hAnsi="Arial Narrow"/>
                <w:sz w:val="20"/>
                <w:szCs w:val="20"/>
                <w:lang w:eastAsia="en-US" w:bidi="en-US"/>
              </w:rPr>
              <w:t>$638,171</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137593" w:rsidRPr="00D37C9F" w:rsidRDefault="00137593" w:rsidP="00DA4FCA">
            <w:pPr>
              <w:keepNext/>
              <w:spacing w:after="240" w:line="276" w:lineRule="auto"/>
              <w:contextualSpacing/>
              <w:jc w:val="right"/>
              <w:rPr>
                <w:rFonts w:ascii="Arial Narrow" w:hAnsi="Arial Narrow" w:cs="Arial"/>
                <w:sz w:val="20"/>
                <w:szCs w:val="20"/>
                <w:lang w:eastAsia="en-US" w:bidi="en-US"/>
              </w:rPr>
            </w:pPr>
            <w:r w:rsidRPr="00D37C9F">
              <w:rPr>
                <w:rFonts w:ascii="Arial Narrow" w:hAnsi="Arial Narrow"/>
                <w:sz w:val="20"/>
                <w:szCs w:val="20"/>
                <w:lang w:eastAsia="en-US" w:bidi="en-US"/>
              </w:rPr>
              <w:t>$820,506</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137593" w:rsidRPr="00D37C9F" w:rsidRDefault="00137593" w:rsidP="00DA4FCA">
            <w:pPr>
              <w:keepNext/>
              <w:spacing w:after="240" w:line="276" w:lineRule="auto"/>
              <w:contextualSpacing/>
              <w:jc w:val="right"/>
              <w:rPr>
                <w:rFonts w:ascii="Arial Narrow" w:hAnsi="Arial Narrow" w:cs="Arial"/>
                <w:sz w:val="20"/>
                <w:szCs w:val="20"/>
                <w:lang w:eastAsia="en-US" w:bidi="en-US"/>
              </w:rPr>
            </w:pPr>
            <w:r w:rsidRPr="00D37C9F">
              <w:rPr>
                <w:rFonts w:ascii="Arial Narrow" w:hAnsi="Arial Narrow"/>
                <w:sz w:val="20"/>
                <w:szCs w:val="20"/>
                <w:lang w:eastAsia="en-US" w:bidi="en-US"/>
              </w:rPr>
              <w:t>$911,673</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137593" w:rsidRPr="00D37C9F" w:rsidRDefault="00137593" w:rsidP="00DA4FCA">
            <w:pPr>
              <w:keepNext/>
              <w:spacing w:after="240" w:line="276" w:lineRule="auto"/>
              <w:contextualSpacing/>
              <w:jc w:val="right"/>
              <w:rPr>
                <w:rFonts w:ascii="Arial Narrow" w:hAnsi="Arial Narrow" w:cs="Arial"/>
                <w:sz w:val="20"/>
                <w:szCs w:val="20"/>
                <w:lang w:eastAsia="en-US" w:bidi="en-US"/>
              </w:rPr>
            </w:pPr>
            <w:r w:rsidRPr="00D37C9F">
              <w:rPr>
                <w:rFonts w:ascii="Arial Narrow" w:hAnsi="Arial Narrow"/>
                <w:sz w:val="20"/>
                <w:szCs w:val="20"/>
                <w:lang w:eastAsia="en-US" w:bidi="en-US"/>
              </w:rPr>
              <w:t>$911,673</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137593" w:rsidRPr="00D37C9F" w:rsidRDefault="00137593" w:rsidP="00DA4FCA">
            <w:pPr>
              <w:keepNext/>
              <w:spacing w:after="240" w:line="276" w:lineRule="auto"/>
              <w:contextualSpacing/>
              <w:jc w:val="right"/>
              <w:rPr>
                <w:rFonts w:ascii="Arial Narrow" w:hAnsi="Arial Narrow" w:cs="Arial"/>
                <w:sz w:val="20"/>
                <w:szCs w:val="20"/>
                <w:lang w:eastAsia="en-US" w:bidi="en-US"/>
              </w:rPr>
            </w:pPr>
            <w:r w:rsidRPr="00D37C9F">
              <w:rPr>
                <w:rFonts w:ascii="Arial Narrow" w:hAnsi="Arial Narrow"/>
                <w:sz w:val="20"/>
                <w:szCs w:val="20"/>
                <w:lang w:eastAsia="en-US" w:bidi="en-US"/>
              </w:rPr>
              <w:t>$911,673</w:t>
            </w:r>
          </w:p>
        </w:tc>
        <w:tc>
          <w:tcPr>
            <w:tcW w:w="660" w:type="pct"/>
            <w:tcBorders>
              <w:top w:val="single" w:sz="4" w:space="0" w:color="auto"/>
              <w:left w:val="single" w:sz="4" w:space="0" w:color="auto"/>
              <w:bottom w:val="single" w:sz="4" w:space="0" w:color="auto"/>
              <w:right w:val="single" w:sz="4" w:space="0" w:color="auto"/>
            </w:tcBorders>
            <w:shd w:val="clear" w:color="auto" w:fill="auto"/>
            <w:noWrap/>
          </w:tcPr>
          <w:p w:rsidR="00137593" w:rsidRPr="00D37C9F" w:rsidRDefault="00137593" w:rsidP="00DA4FCA">
            <w:pPr>
              <w:keepNext/>
              <w:spacing w:after="240" w:line="276" w:lineRule="auto"/>
              <w:contextualSpacing/>
              <w:jc w:val="right"/>
              <w:rPr>
                <w:rFonts w:ascii="Arial Narrow" w:hAnsi="Arial Narrow" w:cs="Arial"/>
                <w:sz w:val="20"/>
                <w:szCs w:val="20"/>
                <w:lang w:eastAsia="en-US" w:bidi="en-US"/>
              </w:rPr>
            </w:pPr>
            <w:r w:rsidRPr="00D37C9F">
              <w:rPr>
                <w:rFonts w:ascii="Arial Narrow" w:hAnsi="Arial Narrow"/>
                <w:sz w:val="20"/>
                <w:szCs w:val="20"/>
                <w:lang w:eastAsia="en-US" w:bidi="en-US"/>
              </w:rPr>
              <w:t>$4,649,532</w:t>
            </w:r>
          </w:p>
        </w:tc>
      </w:tr>
      <w:tr w:rsidR="00137593" w:rsidRPr="00802E12" w:rsidTr="00CD5AA4">
        <w:trPr>
          <w:trHeight w:val="283"/>
        </w:trPr>
        <w:tc>
          <w:tcPr>
            <w:tcW w:w="523" w:type="pct"/>
            <w:shd w:val="clear" w:color="auto" w:fill="auto"/>
            <w:noWrap/>
            <w:vAlign w:val="bottom"/>
            <w:hideMark/>
          </w:tcPr>
          <w:p w:rsidR="00137593" w:rsidRPr="00802E12" w:rsidRDefault="00137593" w:rsidP="00DA4FCA">
            <w:pPr>
              <w:keepNext/>
              <w:spacing w:after="240" w:line="276" w:lineRule="auto"/>
              <w:contextualSpacing/>
              <w:rPr>
                <w:rFonts w:ascii="Arial Narrow" w:hAnsi="Arial Narrow" w:cs="Arial"/>
                <w:sz w:val="20"/>
                <w:szCs w:val="20"/>
                <w:lang w:eastAsia="en-US" w:bidi="en-US"/>
              </w:rPr>
            </w:pPr>
            <w:r w:rsidRPr="00802E12">
              <w:rPr>
                <w:rFonts w:ascii="Arial Narrow" w:hAnsi="Arial Narrow" w:cs="Arial"/>
                <w:sz w:val="20"/>
                <w:szCs w:val="20"/>
                <w:lang w:eastAsia="en-US" w:bidi="en-US"/>
              </w:rPr>
              <w:t>to RPBS</w:t>
            </w:r>
          </w:p>
        </w:tc>
        <w:tc>
          <w:tcPr>
            <w:tcW w:w="603" w:type="pct"/>
            <w:tcBorders>
              <w:top w:val="single" w:sz="4" w:space="0" w:color="auto"/>
              <w:left w:val="nil"/>
              <w:bottom w:val="single" w:sz="4" w:space="0" w:color="auto"/>
              <w:right w:val="single" w:sz="4" w:space="0" w:color="auto"/>
            </w:tcBorders>
            <w:shd w:val="clear" w:color="auto" w:fill="auto"/>
            <w:noWrap/>
          </w:tcPr>
          <w:p w:rsidR="00137593" w:rsidRPr="00D37C9F" w:rsidRDefault="00137593" w:rsidP="00DA4FCA">
            <w:pPr>
              <w:keepNext/>
              <w:spacing w:after="240" w:line="276" w:lineRule="auto"/>
              <w:contextualSpacing/>
              <w:jc w:val="right"/>
              <w:rPr>
                <w:rFonts w:ascii="Arial Narrow" w:hAnsi="Arial Narrow" w:cs="Arial"/>
                <w:sz w:val="20"/>
                <w:szCs w:val="20"/>
                <w:lang w:eastAsia="en-US" w:bidi="en-US"/>
              </w:rPr>
            </w:pPr>
            <w:r w:rsidRPr="00D37C9F">
              <w:rPr>
                <w:rFonts w:ascii="Arial Narrow" w:hAnsi="Arial Narrow"/>
                <w:sz w:val="20"/>
                <w:szCs w:val="20"/>
                <w:lang w:eastAsia="en-US" w:bidi="en-US"/>
              </w:rPr>
              <w:t>$0</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137593" w:rsidRPr="00D37C9F" w:rsidRDefault="00137593" w:rsidP="00DA4FCA">
            <w:pPr>
              <w:keepNext/>
              <w:spacing w:after="240" w:line="276" w:lineRule="auto"/>
              <w:contextualSpacing/>
              <w:jc w:val="right"/>
              <w:rPr>
                <w:rFonts w:ascii="Arial Narrow" w:hAnsi="Arial Narrow" w:cs="Arial"/>
                <w:sz w:val="20"/>
                <w:szCs w:val="20"/>
                <w:lang w:eastAsia="en-US" w:bidi="en-US"/>
              </w:rPr>
            </w:pPr>
            <w:r w:rsidRPr="00D37C9F">
              <w:rPr>
                <w:rFonts w:ascii="Arial Narrow" w:hAnsi="Arial Narrow"/>
                <w:sz w:val="20"/>
                <w:szCs w:val="20"/>
                <w:lang w:eastAsia="en-US" w:bidi="en-US"/>
              </w:rPr>
              <w:t>$0</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137593" w:rsidRPr="00D37C9F" w:rsidRDefault="00137593" w:rsidP="00DA4FCA">
            <w:pPr>
              <w:keepNext/>
              <w:spacing w:after="240" w:line="276" w:lineRule="auto"/>
              <w:contextualSpacing/>
              <w:jc w:val="right"/>
              <w:rPr>
                <w:rFonts w:ascii="Arial Narrow" w:hAnsi="Arial Narrow" w:cs="Arial"/>
                <w:sz w:val="20"/>
                <w:szCs w:val="20"/>
                <w:lang w:eastAsia="en-US" w:bidi="en-US"/>
              </w:rPr>
            </w:pPr>
            <w:r w:rsidRPr="00D37C9F">
              <w:rPr>
                <w:rFonts w:ascii="Arial Narrow" w:hAnsi="Arial Narrow"/>
                <w:sz w:val="20"/>
                <w:szCs w:val="20"/>
                <w:lang w:eastAsia="en-US" w:bidi="en-US"/>
              </w:rPr>
              <w:t>$0</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137593" w:rsidRPr="00D37C9F" w:rsidRDefault="00137593" w:rsidP="00DA4FCA">
            <w:pPr>
              <w:keepNext/>
              <w:spacing w:after="240" w:line="276" w:lineRule="auto"/>
              <w:contextualSpacing/>
              <w:jc w:val="right"/>
              <w:rPr>
                <w:rFonts w:ascii="Arial Narrow" w:hAnsi="Arial Narrow" w:cs="Arial"/>
                <w:sz w:val="20"/>
                <w:szCs w:val="20"/>
                <w:lang w:eastAsia="en-US" w:bidi="en-US"/>
              </w:rPr>
            </w:pPr>
            <w:r w:rsidRPr="00D37C9F">
              <w:rPr>
                <w:rFonts w:ascii="Arial Narrow" w:hAnsi="Arial Narrow"/>
                <w:sz w:val="20"/>
                <w:szCs w:val="20"/>
                <w:lang w:eastAsia="en-US" w:bidi="en-US"/>
              </w:rPr>
              <w:t>$0</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137593" w:rsidRPr="00D37C9F" w:rsidRDefault="00137593" w:rsidP="00DA4FCA">
            <w:pPr>
              <w:keepNext/>
              <w:spacing w:after="240" w:line="276" w:lineRule="auto"/>
              <w:contextualSpacing/>
              <w:jc w:val="right"/>
              <w:rPr>
                <w:rFonts w:ascii="Arial Narrow" w:hAnsi="Arial Narrow" w:cs="Arial"/>
                <w:sz w:val="20"/>
                <w:szCs w:val="20"/>
                <w:lang w:eastAsia="en-US" w:bidi="en-US"/>
              </w:rPr>
            </w:pPr>
            <w:r w:rsidRPr="00D37C9F">
              <w:rPr>
                <w:rFonts w:ascii="Arial Narrow" w:hAnsi="Arial Narrow"/>
                <w:sz w:val="20"/>
                <w:szCs w:val="20"/>
                <w:lang w:eastAsia="en-US" w:bidi="en-US"/>
              </w:rPr>
              <w:t>$0</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137593" w:rsidRPr="00D37C9F" w:rsidRDefault="00137593" w:rsidP="00DA4FCA">
            <w:pPr>
              <w:keepNext/>
              <w:spacing w:after="240" w:line="276" w:lineRule="auto"/>
              <w:contextualSpacing/>
              <w:jc w:val="right"/>
              <w:rPr>
                <w:rFonts w:ascii="Arial Narrow" w:hAnsi="Arial Narrow" w:cs="Arial"/>
                <w:sz w:val="20"/>
                <w:szCs w:val="20"/>
                <w:lang w:eastAsia="en-US" w:bidi="en-US"/>
              </w:rPr>
            </w:pPr>
            <w:r w:rsidRPr="00D37C9F">
              <w:rPr>
                <w:rFonts w:ascii="Arial Narrow" w:hAnsi="Arial Narrow"/>
                <w:sz w:val="20"/>
                <w:szCs w:val="20"/>
                <w:lang w:eastAsia="en-US" w:bidi="en-US"/>
              </w:rPr>
              <w:t>$0</w:t>
            </w:r>
          </w:p>
        </w:tc>
        <w:tc>
          <w:tcPr>
            <w:tcW w:w="660" w:type="pct"/>
            <w:tcBorders>
              <w:top w:val="single" w:sz="4" w:space="0" w:color="auto"/>
              <w:left w:val="single" w:sz="4" w:space="0" w:color="auto"/>
              <w:bottom w:val="single" w:sz="4" w:space="0" w:color="auto"/>
              <w:right w:val="single" w:sz="4" w:space="0" w:color="auto"/>
            </w:tcBorders>
            <w:shd w:val="clear" w:color="auto" w:fill="auto"/>
            <w:noWrap/>
          </w:tcPr>
          <w:p w:rsidR="00137593" w:rsidRPr="00D37C9F" w:rsidRDefault="00137593" w:rsidP="00DA4FCA">
            <w:pPr>
              <w:keepNext/>
              <w:spacing w:after="240" w:line="276" w:lineRule="auto"/>
              <w:contextualSpacing/>
              <w:jc w:val="right"/>
              <w:rPr>
                <w:rFonts w:ascii="Arial Narrow" w:hAnsi="Arial Narrow" w:cs="Arial"/>
                <w:sz w:val="20"/>
                <w:szCs w:val="20"/>
                <w:lang w:eastAsia="en-US" w:bidi="en-US"/>
              </w:rPr>
            </w:pPr>
            <w:r w:rsidRPr="00D37C9F">
              <w:rPr>
                <w:rFonts w:ascii="Arial Narrow" w:hAnsi="Arial Narrow"/>
                <w:sz w:val="20"/>
                <w:szCs w:val="20"/>
                <w:lang w:eastAsia="en-US" w:bidi="en-US"/>
              </w:rPr>
              <w:t>$0</w:t>
            </w:r>
          </w:p>
        </w:tc>
      </w:tr>
      <w:tr w:rsidR="00137593" w:rsidRPr="00802E12" w:rsidTr="00CD5AA4">
        <w:trPr>
          <w:trHeight w:val="283"/>
        </w:trPr>
        <w:tc>
          <w:tcPr>
            <w:tcW w:w="523" w:type="pct"/>
            <w:shd w:val="clear" w:color="auto" w:fill="auto"/>
            <w:noWrap/>
            <w:vAlign w:val="bottom"/>
            <w:hideMark/>
          </w:tcPr>
          <w:p w:rsidR="00137593" w:rsidRPr="00802E12" w:rsidRDefault="00137593" w:rsidP="00DA4FCA">
            <w:pPr>
              <w:keepNext/>
              <w:spacing w:after="240" w:line="276" w:lineRule="auto"/>
              <w:contextualSpacing/>
              <w:rPr>
                <w:rFonts w:ascii="Arial Narrow" w:hAnsi="Arial Narrow" w:cs="Arial"/>
                <w:sz w:val="20"/>
                <w:szCs w:val="20"/>
                <w:lang w:eastAsia="en-US" w:bidi="en-US"/>
              </w:rPr>
            </w:pPr>
            <w:r w:rsidRPr="00802E12">
              <w:rPr>
                <w:rFonts w:ascii="Arial Narrow" w:hAnsi="Arial Narrow" w:cs="Arial"/>
                <w:sz w:val="20"/>
                <w:szCs w:val="20"/>
                <w:lang w:eastAsia="en-US" w:bidi="en-US"/>
              </w:rPr>
              <w:t>to the PBS/RPBS</w:t>
            </w:r>
          </w:p>
        </w:tc>
        <w:tc>
          <w:tcPr>
            <w:tcW w:w="603" w:type="pct"/>
            <w:tcBorders>
              <w:top w:val="single" w:sz="4" w:space="0" w:color="auto"/>
              <w:left w:val="nil"/>
              <w:bottom w:val="single" w:sz="4" w:space="0" w:color="auto"/>
              <w:right w:val="single" w:sz="4" w:space="0" w:color="auto"/>
            </w:tcBorders>
            <w:shd w:val="clear" w:color="auto" w:fill="auto"/>
            <w:noWrap/>
          </w:tcPr>
          <w:p w:rsidR="00137593" w:rsidRPr="00D37C9F" w:rsidRDefault="00137593" w:rsidP="00DA4FCA">
            <w:pPr>
              <w:keepNext/>
              <w:spacing w:after="240" w:line="276" w:lineRule="auto"/>
              <w:contextualSpacing/>
              <w:jc w:val="right"/>
              <w:rPr>
                <w:rFonts w:ascii="Arial Narrow" w:hAnsi="Arial Narrow" w:cs="Arial"/>
                <w:sz w:val="20"/>
                <w:szCs w:val="20"/>
                <w:lang w:eastAsia="en-US" w:bidi="en-US"/>
              </w:rPr>
            </w:pPr>
            <w:r w:rsidRPr="00D37C9F">
              <w:rPr>
                <w:rFonts w:ascii="Arial Narrow" w:hAnsi="Arial Narrow"/>
                <w:sz w:val="20"/>
                <w:szCs w:val="20"/>
                <w:lang w:eastAsia="en-US" w:bidi="en-US"/>
              </w:rPr>
              <w:t>$455,836</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137593" w:rsidRPr="00D37C9F" w:rsidRDefault="00137593" w:rsidP="00DA4FCA">
            <w:pPr>
              <w:keepNext/>
              <w:spacing w:after="240" w:line="276" w:lineRule="auto"/>
              <w:contextualSpacing/>
              <w:jc w:val="right"/>
              <w:rPr>
                <w:rFonts w:ascii="Arial Narrow" w:hAnsi="Arial Narrow" w:cs="Arial"/>
                <w:sz w:val="20"/>
                <w:szCs w:val="20"/>
                <w:lang w:eastAsia="en-US" w:bidi="en-US"/>
              </w:rPr>
            </w:pPr>
            <w:r w:rsidRPr="00D37C9F">
              <w:rPr>
                <w:rFonts w:ascii="Arial Narrow" w:hAnsi="Arial Narrow"/>
                <w:sz w:val="20"/>
                <w:szCs w:val="20"/>
                <w:lang w:eastAsia="en-US" w:bidi="en-US"/>
              </w:rPr>
              <w:t>$638,171</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137593" w:rsidRPr="00D37C9F" w:rsidRDefault="00137593" w:rsidP="00DA4FCA">
            <w:pPr>
              <w:keepNext/>
              <w:spacing w:after="240" w:line="276" w:lineRule="auto"/>
              <w:contextualSpacing/>
              <w:jc w:val="right"/>
              <w:rPr>
                <w:rFonts w:ascii="Arial Narrow" w:hAnsi="Arial Narrow" w:cs="Arial"/>
                <w:sz w:val="20"/>
                <w:szCs w:val="20"/>
                <w:lang w:eastAsia="en-US" w:bidi="en-US"/>
              </w:rPr>
            </w:pPr>
            <w:r w:rsidRPr="00D37C9F">
              <w:rPr>
                <w:rFonts w:ascii="Arial Narrow" w:hAnsi="Arial Narrow"/>
                <w:sz w:val="20"/>
                <w:szCs w:val="20"/>
                <w:lang w:eastAsia="en-US" w:bidi="en-US"/>
              </w:rPr>
              <w:t>$820,506</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137593" w:rsidRPr="00D37C9F" w:rsidRDefault="00137593" w:rsidP="00DA4FCA">
            <w:pPr>
              <w:keepNext/>
              <w:spacing w:after="240" w:line="276" w:lineRule="auto"/>
              <w:contextualSpacing/>
              <w:jc w:val="right"/>
              <w:rPr>
                <w:rFonts w:ascii="Arial Narrow" w:hAnsi="Arial Narrow" w:cs="Arial"/>
                <w:sz w:val="20"/>
                <w:szCs w:val="20"/>
                <w:lang w:eastAsia="en-US" w:bidi="en-US"/>
              </w:rPr>
            </w:pPr>
            <w:r w:rsidRPr="00D37C9F">
              <w:rPr>
                <w:rFonts w:ascii="Arial Narrow" w:hAnsi="Arial Narrow"/>
                <w:sz w:val="20"/>
                <w:szCs w:val="20"/>
                <w:lang w:eastAsia="en-US" w:bidi="en-US"/>
              </w:rPr>
              <w:t>$911,673</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137593" w:rsidRPr="00D37C9F" w:rsidRDefault="00137593" w:rsidP="00DA4FCA">
            <w:pPr>
              <w:keepNext/>
              <w:spacing w:after="240" w:line="276" w:lineRule="auto"/>
              <w:contextualSpacing/>
              <w:jc w:val="right"/>
              <w:rPr>
                <w:rFonts w:ascii="Arial Narrow" w:hAnsi="Arial Narrow" w:cs="Arial"/>
                <w:sz w:val="20"/>
                <w:szCs w:val="20"/>
                <w:lang w:eastAsia="en-US" w:bidi="en-US"/>
              </w:rPr>
            </w:pPr>
            <w:r w:rsidRPr="00D37C9F">
              <w:rPr>
                <w:rFonts w:ascii="Arial Narrow" w:hAnsi="Arial Narrow"/>
                <w:sz w:val="20"/>
                <w:szCs w:val="20"/>
                <w:lang w:eastAsia="en-US" w:bidi="en-US"/>
              </w:rPr>
              <w:t>$911,673</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137593" w:rsidRPr="00D37C9F" w:rsidRDefault="00137593" w:rsidP="00DA4FCA">
            <w:pPr>
              <w:keepNext/>
              <w:spacing w:after="240" w:line="276" w:lineRule="auto"/>
              <w:contextualSpacing/>
              <w:jc w:val="right"/>
              <w:rPr>
                <w:rFonts w:ascii="Arial Narrow" w:hAnsi="Arial Narrow" w:cs="Arial"/>
                <w:sz w:val="20"/>
                <w:szCs w:val="20"/>
                <w:lang w:eastAsia="en-US" w:bidi="en-US"/>
              </w:rPr>
            </w:pPr>
            <w:r w:rsidRPr="00D37C9F">
              <w:rPr>
                <w:rFonts w:ascii="Arial Narrow" w:hAnsi="Arial Narrow"/>
                <w:sz w:val="20"/>
                <w:szCs w:val="20"/>
                <w:lang w:eastAsia="en-US" w:bidi="en-US"/>
              </w:rPr>
              <w:t>$911,673</w:t>
            </w:r>
          </w:p>
        </w:tc>
        <w:tc>
          <w:tcPr>
            <w:tcW w:w="660" w:type="pct"/>
            <w:tcBorders>
              <w:top w:val="single" w:sz="4" w:space="0" w:color="auto"/>
              <w:left w:val="single" w:sz="4" w:space="0" w:color="auto"/>
              <w:bottom w:val="single" w:sz="4" w:space="0" w:color="auto"/>
              <w:right w:val="single" w:sz="4" w:space="0" w:color="auto"/>
            </w:tcBorders>
            <w:shd w:val="clear" w:color="auto" w:fill="auto"/>
            <w:noWrap/>
          </w:tcPr>
          <w:p w:rsidR="00137593" w:rsidRPr="00D37C9F" w:rsidRDefault="00137593" w:rsidP="00DA4FCA">
            <w:pPr>
              <w:keepNext/>
              <w:spacing w:after="240" w:line="276" w:lineRule="auto"/>
              <w:contextualSpacing/>
              <w:jc w:val="right"/>
              <w:rPr>
                <w:rFonts w:ascii="Arial Narrow" w:hAnsi="Arial Narrow" w:cs="Arial"/>
                <w:sz w:val="20"/>
                <w:szCs w:val="20"/>
                <w:lang w:eastAsia="en-US" w:bidi="en-US"/>
              </w:rPr>
            </w:pPr>
            <w:r w:rsidRPr="00D37C9F">
              <w:rPr>
                <w:rFonts w:ascii="Arial Narrow" w:hAnsi="Arial Narrow"/>
                <w:sz w:val="20"/>
                <w:szCs w:val="20"/>
                <w:lang w:eastAsia="en-US" w:bidi="en-US"/>
              </w:rPr>
              <w:t>$4,649,532</w:t>
            </w:r>
          </w:p>
        </w:tc>
      </w:tr>
      <w:tr w:rsidR="00137593" w:rsidRPr="00802E12" w:rsidTr="00113653">
        <w:trPr>
          <w:trHeight w:val="283"/>
        </w:trPr>
        <w:tc>
          <w:tcPr>
            <w:tcW w:w="5000" w:type="pct"/>
            <w:gridSpan w:val="8"/>
            <w:shd w:val="clear" w:color="auto" w:fill="auto"/>
            <w:noWrap/>
            <w:vAlign w:val="bottom"/>
            <w:hideMark/>
          </w:tcPr>
          <w:p w:rsidR="00137593" w:rsidRPr="00802E12" w:rsidRDefault="00137593" w:rsidP="00DA4FCA">
            <w:pPr>
              <w:keepNext/>
              <w:spacing w:after="240" w:line="276" w:lineRule="auto"/>
              <w:contextualSpacing/>
              <w:jc w:val="both"/>
              <w:rPr>
                <w:rFonts w:ascii="Arial Narrow" w:hAnsi="Arial Narrow" w:cs="Arial"/>
                <w:b/>
                <w:bCs/>
                <w:sz w:val="20"/>
                <w:szCs w:val="20"/>
                <w:lang w:eastAsia="en-US" w:bidi="en-US"/>
              </w:rPr>
            </w:pPr>
            <w:r w:rsidRPr="00802E12">
              <w:rPr>
                <w:rFonts w:ascii="Arial Narrow" w:hAnsi="Arial Narrow" w:cs="Arial"/>
                <w:b/>
                <w:bCs/>
                <w:sz w:val="20"/>
                <w:szCs w:val="20"/>
                <w:lang w:eastAsia="en-US" w:bidi="en-US"/>
              </w:rPr>
              <w:t>Overall net cost to the PBS/RPBS </w:t>
            </w:r>
          </w:p>
        </w:tc>
      </w:tr>
      <w:tr w:rsidR="00137593" w:rsidRPr="00802E12" w:rsidTr="00CD5AA4">
        <w:trPr>
          <w:trHeight w:val="283"/>
        </w:trPr>
        <w:tc>
          <w:tcPr>
            <w:tcW w:w="523" w:type="pct"/>
            <w:shd w:val="clear" w:color="auto" w:fill="auto"/>
            <w:noWrap/>
            <w:vAlign w:val="bottom"/>
            <w:hideMark/>
          </w:tcPr>
          <w:p w:rsidR="00137593" w:rsidRPr="00802E12" w:rsidRDefault="00137593" w:rsidP="00DA4FCA">
            <w:pPr>
              <w:keepNext/>
              <w:spacing w:after="240" w:line="276" w:lineRule="auto"/>
              <w:contextualSpacing/>
              <w:rPr>
                <w:rFonts w:ascii="Arial Narrow" w:hAnsi="Arial Narrow" w:cs="Arial"/>
                <w:sz w:val="20"/>
                <w:szCs w:val="20"/>
                <w:lang w:eastAsia="en-US" w:bidi="en-US"/>
              </w:rPr>
            </w:pPr>
            <w:r w:rsidRPr="00802E12">
              <w:rPr>
                <w:rFonts w:ascii="Arial Narrow" w:hAnsi="Arial Narrow" w:cs="Arial"/>
                <w:sz w:val="20"/>
                <w:szCs w:val="20"/>
                <w:lang w:eastAsia="en-US" w:bidi="en-US"/>
              </w:rPr>
              <w:t>to PBS</w:t>
            </w:r>
          </w:p>
        </w:tc>
        <w:tc>
          <w:tcPr>
            <w:tcW w:w="603" w:type="pct"/>
            <w:tcBorders>
              <w:top w:val="single" w:sz="4" w:space="0" w:color="auto"/>
              <w:left w:val="nil"/>
              <w:bottom w:val="single" w:sz="4" w:space="0" w:color="auto"/>
              <w:right w:val="single" w:sz="4" w:space="0" w:color="auto"/>
            </w:tcBorders>
            <w:shd w:val="clear" w:color="auto" w:fill="auto"/>
            <w:noWrap/>
          </w:tcPr>
          <w:p w:rsidR="00137593" w:rsidRPr="00D37C9F" w:rsidRDefault="00137593" w:rsidP="00DA4FCA">
            <w:pPr>
              <w:keepNext/>
              <w:spacing w:after="240" w:line="276" w:lineRule="auto"/>
              <w:contextualSpacing/>
              <w:jc w:val="right"/>
              <w:rPr>
                <w:rFonts w:ascii="Arial Narrow" w:hAnsi="Arial Narrow" w:cs="Arial"/>
                <w:sz w:val="20"/>
                <w:szCs w:val="20"/>
                <w:lang w:eastAsia="en-US" w:bidi="en-US"/>
              </w:rPr>
            </w:pPr>
            <w:r w:rsidRPr="00D37C9F">
              <w:rPr>
                <w:rFonts w:ascii="Arial Narrow" w:hAnsi="Arial Narrow"/>
                <w:sz w:val="20"/>
                <w:szCs w:val="20"/>
                <w:lang w:eastAsia="en-US" w:bidi="en-US"/>
              </w:rPr>
              <w:t>$0</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137593" w:rsidRPr="00D37C9F" w:rsidRDefault="00137593" w:rsidP="00DA4FCA">
            <w:pPr>
              <w:keepNext/>
              <w:spacing w:after="240" w:line="276" w:lineRule="auto"/>
              <w:contextualSpacing/>
              <w:jc w:val="right"/>
              <w:rPr>
                <w:rFonts w:ascii="Arial Narrow" w:hAnsi="Arial Narrow" w:cs="Arial"/>
                <w:sz w:val="20"/>
                <w:szCs w:val="20"/>
                <w:lang w:eastAsia="en-US" w:bidi="en-US"/>
              </w:rPr>
            </w:pPr>
            <w:r w:rsidRPr="00D37C9F">
              <w:rPr>
                <w:rFonts w:ascii="Arial Narrow" w:hAnsi="Arial Narrow"/>
                <w:sz w:val="20"/>
                <w:szCs w:val="20"/>
                <w:lang w:eastAsia="en-US" w:bidi="en-US"/>
              </w:rPr>
              <w:t>$0</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137593" w:rsidRPr="00D37C9F" w:rsidRDefault="00137593" w:rsidP="00DA4FCA">
            <w:pPr>
              <w:keepNext/>
              <w:spacing w:after="240" w:line="276" w:lineRule="auto"/>
              <w:contextualSpacing/>
              <w:jc w:val="right"/>
              <w:rPr>
                <w:rFonts w:ascii="Arial Narrow" w:hAnsi="Arial Narrow" w:cs="Arial"/>
                <w:sz w:val="20"/>
                <w:szCs w:val="20"/>
                <w:lang w:eastAsia="en-US" w:bidi="en-US"/>
              </w:rPr>
            </w:pPr>
            <w:r w:rsidRPr="00D37C9F">
              <w:rPr>
                <w:rFonts w:ascii="Arial Narrow" w:hAnsi="Arial Narrow"/>
                <w:sz w:val="20"/>
                <w:szCs w:val="20"/>
                <w:lang w:eastAsia="en-US" w:bidi="en-US"/>
              </w:rPr>
              <w:t>$0</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137593" w:rsidRPr="00D37C9F" w:rsidRDefault="00137593" w:rsidP="00DA4FCA">
            <w:pPr>
              <w:keepNext/>
              <w:spacing w:after="240" w:line="276" w:lineRule="auto"/>
              <w:contextualSpacing/>
              <w:jc w:val="right"/>
              <w:rPr>
                <w:rFonts w:ascii="Arial Narrow" w:hAnsi="Arial Narrow" w:cs="Arial"/>
                <w:sz w:val="20"/>
                <w:szCs w:val="20"/>
                <w:lang w:eastAsia="en-US" w:bidi="en-US"/>
              </w:rPr>
            </w:pPr>
            <w:r w:rsidRPr="00D37C9F">
              <w:rPr>
                <w:rFonts w:ascii="Arial Narrow" w:hAnsi="Arial Narrow"/>
                <w:sz w:val="20"/>
                <w:szCs w:val="20"/>
                <w:lang w:eastAsia="en-US" w:bidi="en-US"/>
              </w:rPr>
              <w:t>$0</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137593" w:rsidRPr="00D37C9F" w:rsidRDefault="00137593" w:rsidP="00DA4FCA">
            <w:pPr>
              <w:keepNext/>
              <w:spacing w:after="240" w:line="276" w:lineRule="auto"/>
              <w:contextualSpacing/>
              <w:jc w:val="right"/>
              <w:rPr>
                <w:rFonts w:ascii="Arial Narrow" w:hAnsi="Arial Narrow" w:cs="Arial"/>
                <w:sz w:val="20"/>
                <w:szCs w:val="20"/>
                <w:lang w:eastAsia="en-US" w:bidi="en-US"/>
              </w:rPr>
            </w:pPr>
            <w:r w:rsidRPr="00D37C9F">
              <w:rPr>
                <w:rFonts w:ascii="Arial Narrow" w:hAnsi="Arial Narrow"/>
                <w:sz w:val="20"/>
                <w:szCs w:val="20"/>
                <w:lang w:eastAsia="en-US" w:bidi="en-US"/>
              </w:rPr>
              <w:t>$0</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137593" w:rsidRPr="00D37C9F" w:rsidRDefault="00137593" w:rsidP="00DA4FCA">
            <w:pPr>
              <w:keepNext/>
              <w:spacing w:after="240" w:line="276" w:lineRule="auto"/>
              <w:contextualSpacing/>
              <w:jc w:val="right"/>
              <w:rPr>
                <w:rFonts w:ascii="Arial Narrow" w:hAnsi="Arial Narrow" w:cs="Arial"/>
                <w:sz w:val="20"/>
                <w:szCs w:val="20"/>
                <w:lang w:eastAsia="en-US" w:bidi="en-US"/>
              </w:rPr>
            </w:pPr>
            <w:r w:rsidRPr="00D37C9F">
              <w:rPr>
                <w:rFonts w:ascii="Arial Narrow" w:hAnsi="Arial Narrow"/>
                <w:sz w:val="20"/>
                <w:szCs w:val="20"/>
                <w:lang w:eastAsia="en-US" w:bidi="en-US"/>
              </w:rPr>
              <w:t>$0</w:t>
            </w:r>
          </w:p>
        </w:tc>
        <w:tc>
          <w:tcPr>
            <w:tcW w:w="660" w:type="pct"/>
            <w:tcBorders>
              <w:top w:val="single" w:sz="4" w:space="0" w:color="auto"/>
              <w:left w:val="single" w:sz="4" w:space="0" w:color="auto"/>
              <w:bottom w:val="single" w:sz="4" w:space="0" w:color="auto"/>
              <w:right w:val="single" w:sz="4" w:space="0" w:color="auto"/>
            </w:tcBorders>
            <w:shd w:val="clear" w:color="auto" w:fill="auto"/>
            <w:noWrap/>
          </w:tcPr>
          <w:p w:rsidR="00137593" w:rsidRPr="00D37C9F" w:rsidRDefault="00137593" w:rsidP="00DA4FCA">
            <w:pPr>
              <w:keepNext/>
              <w:spacing w:after="240" w:line="276" w:lineRule="auto"/>
              <w:contextualSpacing/>
              <w:jc w:val="right"/>
              <w:rPr>
                <w:rFonts w:ascii="Arial Narrow" w:hAnsi="Arial Narrow" w:cs="Arial"/>
                <w:sz w:val="20"/>
                <w:szCs w:val="20"/>
                <w:lang w:eastAsia="en-US" w:bidi="en-US"/>
              </w:rPr>
            </w:pPr>
            <w:r w:rsidRPr="00D37C9F">
              <w:rPr>
                <w:rFonts w:ascii="Arial Narrow" w:hAnsi="Arial Narrow"/>
                <w:sz w:val="20"/>
                <w:szCs w:val="20"/>
                <w:lang w:eastAsia="en-US" w:bidi="en-US"/>
              </w:rPr>
              <w:t>$0</w:t>
            </w:r>
          </w:p>
        </w:tc>
      </w:tr>
      <w:tr w:rsidR="00137593" w:rsidRPr="00802E12" w:rsidTr="00CD5AA4">
        <w:trPr>
          <w:trHeight w:val="283"/>
        </w:trPr>
        <w:tc>
          <w:tcPr>
            <w:tcW w:w="523" w:type="pct"/>
            <w:shd w:val="clear" w:color="auto" w:fill="auto"/>
            <w:noWrap/>
            <w:vAlign w:val="bottom"/>
            <w:hideMark/>
          </w:tcPr>
          <w:p w:rsidR="00137593" w:rsidRPr="00802E12" w:rsidRDefault="00137593" w:rsidP="00DA4FCA">
            <w:pPr>
              <w:keepNext/>
              <w:spacing w:after="240" w:line="276" w:lineRule="auto"/>
              <w:contextualSpacing/>
              <w:rPr>
                <w:rFonts w:ascii="Arial Narrow" w:hAnsi="Arial Narrow" w:cs="Arial"/>
                <w:sz w:val="20"/>
                <w:szCs w:val="20"/>
                <w:lang w:eastAsia="en-US" w:bidi="en-US"/>
              </w:rPr>
            </w:pPr>
            <w:r w:rsidRPr="00802E12">
              <w:rPr>
                <w:rFonts w:ascii="Arial Narrow" w:hAnsi="Arial Narrow" w:cs="Arial"/>
                <w:sz w:val="20"/>
                <w:szCs w:val="20"/>
                <w:lang w:eastAsia="en-US" w:bidi="en-US"/>
              </w:rPr>
              <w:t>to RPBS</w:t>
            </w:r>
          </w:p>
        </w:tc>
        <w:tc>
          <w:tcPr>
            <w:tcW w:w="603" w:type="pct"/>
            <w:tcBorders>
              <w:top w:val="single" w:sz="4" w:space="0" w:color="auto"/>
              <w:left w:val="nil"/>
              <w:bottom w:val="single" w:sz="4" w:space="0" w:color="auto"/>
              <w:right w:val="single" w:sz="4" w:space="0" w:color="auto"/>
            </w:tcBorders>
            <w:shd w:val="clear" w:color="auto" w:fill="auto"/>
            <w:noWrap/>
          </w:tcPr>
          <w:p w:rsidR="00137593" w:rsidRPr="00D37C9F" w:rsidRDefault="00137593" w:rsidP="00DA4FCA">
            <w:pPr>
              <w:keepNext/>
              <w:spacing w:after="240" w:line="276" w:lineRule="auto"/>
              <w:contextualSpacing/>
              <w:jc w:val="right"/>
              <w:rPr>
                <w:rFonts w:ascii="Arial Narrow" w:hAnsi="Arial Narrow" w:cs="Arial"/>
                <w:sz w:val="20"/>
                <w:szCs w:val="20"/>
                <w:lang w:eastAsia="en-US" w:bidi="en-US"/>
              </w:rPr>
            </w:pPr>
            <w:r w:rsidRPr="00D37C9F">
              <w:rPr>
                <w:rFonts w:ascii="Arial Narrow" w:hAnsi="Arial Narrow"/>
                <w:sz w:val="20"/>
                <w:szCs w:val="20"/>
                <w:lang w:eastAsia="en-US" w:bidi="en-US"/>
              </w:rPr>
              <w:t>$0</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137593" w:rsidRPr="00D37C9F" w:rsidRDefault="00137593" w:rsidP="00DA4FCA">
            <w:pPr>
              <w:keepNext/>
              <w:spacing w:after="240" w:line="276" w:lineRule="auto"/>
              <w:contextualSpacing/>
              <w:jc w:val="right"/>
              <w:rPr>
                <w:rFonts w:ascii="Arial Narrow" w:hAnsi="Arial Narrow" w:cs="Arial"/>
                <w:sz w:val="20"/>
                <w:szCs w:val="20"/>
                <w:lang w:eastAsia="en-US" w:bidi="en-US"/>
              </w:rPr>
            </w:pPr>
            <w:r w:rsidRPr="00D37C9F">
              <w:rPr>
                <w:rFonts w:ascii="Arial Narrow" w:hAnsi="Arial Narrow"/>
                <w:sz w:val="20"/>
                <w:szCs w:val="20"/>
                <w:lang w:eastAsia="en-US" w:bidi="en-US"/>
              </w:rPr>
              <w:t>$0</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137593" w:rsidRPr="00D37C9F" w:rsidRDefault="00137593" w:rsidP="00DA4FCA">
            <w:pPr>
              <w:keepNext/>
              <w:spacing w:after="240" w:line="276" w:lineRule="auto"/>
              <w:contextualSpacing/>
              <w:jc w:val="right"/>
              <w:rPr>
                <w:rFonts w:ascii="Arial Narrow" w:hAnsi="Arial Narrow" w:cs="Arial"/>
                <w:sz w:val="20"/>
                <w:szCs w:val="20"/>
                <w:lang w:eastAsia="en-US" w:bidi="en-US"/>
              </w:rPr>
            </w:pPr>
            <w:r w:rsidRPr="00D37C9F">
              <w:rPr>
                <w:rFonts w:ascii="Arial Narrow" w:hAnsi="Arial Narrow"/>
                <w:sz w:val="20"/>
                <w:szCs w:val="20"/>
                <w:lang w:eastAsia="en-US" w:bidi="en-US"/>
              </w:rPr>
              <w:t>$0</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137593" w:rsidRPr="00D37C9F" w:rsidRDefault="00137593" w:rsidP="00DA4FCA">
            <w:pPr>
              <w:keepNext/>
              <w:spacing w:after="240" w:line="276" w:lineRule="auto"/>
              <w:contextualSpacing/>
              <w:jc w:val="right"/>
              <w:rPr>
                <w:rFonts w:ascii="Arial Narrow" w:hAnsi="Arial Narrow" w:cs="Arial"/>
                <w:sz w:val="20"/>
                <w:szCs w:val="20"/>
                <w:lang w:eastAsia="en-US" w:bidi="en-US"/>
              </w:rPr>
            </w:pPr>
            <w:r w:rsidRPr="00D37C9F">
              <w:rPr>
                <w:rFonts w:ascii="Arial Narrow" w:hAnsi="Arial Narrow"/>
                <w:sz w:val="20"/>
                <w:szCs w:val="20"/>
                <w:lang w:eastAsia="en-US" w:bidi="en-US"/>
              </w:rPr>
              <w:t>$0</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137593" w:rsidRPr="00D37C9F" w:rsidRDefault="00137593" w:rsidP="00DA4FCA">
            <w:pPr>
              <w:keepNext/>
              <w:spacing w:after="240" w:line="276" w:lineRule="auto"/>
              <w:contextualSpacing/>
              <w:jc w:val="right"/>
              <w:rPr>
                <w:rFonts w:ascii="Arial Narrow" w:hAnsi="Arial Narrow" w:cs="Arial"/>
                <w:sz w:val="20"/>
                <w:szCs w:val="20"/>
                <w:lang w:eastAsia="en-US" w:bidi="en-US"/>
              </w:rPr>
            </w:pPr>
            <w:r w:rsidRPr="00D37C9F">
              <w:rPr>
                <w:rFonts w:ascii="Arial Narrow" w:hAnsi="Arial Narrow"/>
                <w:sz w:val="20"/>
                <w:szCs w:val="20"/>
                <w:lang w:eastAsia="en-US" w:bidi="en-US"/>
              </w:rPr>
              <w:t>$0</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137593" w:rsidRPr="00D37C9F" w:rsidRDefault="00137593" w:rsidP="00DA4FCA">
            <w:pPr>
              <w:keepNext/>
              <w:spacing w:after="240" w:line="276" w:lineRule="auto"/>
              <w:contextualSpacing/>
              <w:jc w:val="right"/>
              <w:rPr>
                <w:rFonts w:ascii="Arial Narrow" w:hAnsi="Arial Narrow" w:cs="Arial"/>
                <w:sz w:val="20"/>
                <w:szCs w:val="20"/>
                <w:lang w:eastAsia="en-US" w:bidi="en-US"/>
              </w:rPr>
            </w:pPr>
            <w:r w:rsidRPr="00D37C9F">
              <w:rPr>
                <w:rFonts w:ascii="Arial Narrow" w:hAnsi="Arial Narrow"/>
                <w:sz w:val="20"/>
                <w:szCs w:val="20"/>
                <w:lang w:eastAsia="en-US" w:bidi="en-US"/>
              </w:rPr>
              <w:t>$0</w:t>
            </w:r>
          </w:p>
        </w:tc>
        <w:tc>
          <w:tcPr>
            <w:tcW w:w="660" w:type="pct"/>
            <w:tcBorders>
              <w:top w:val="single" w:sz="4" w:space="0" w:color="auto"/>
              <w:left w:val="single" w:sz="4" w:space="0" w:color="auto"/>
              <w:bottom w:val="single" w:sz="4" w:space="0" w:color="auto"/>
              <w:right w:val="single" w:sz="4" w:space="0" w:color="auto"/>
            </w:tcBorders>
            <w:shd w:val="clear" w:color="auto" w:fill="auto"/>
            <w:noWrap/>
          </w:tcPr>
          <w:p w:rsidR="00137593" w:rsidRPr="00D37C9F" w:rsidRDefault="00137593" w:rsidP="00DA4FCA">
            <w:pPr>
              <w:keepNext/>
              <w:spacing w:after="240" w:line="276" w:lineRule="auto"/>
              <w:contextualSpacing/>
              <w:jc w:val="right"/>
              <w:rPr>
                <w:rFonts w:ascii="Arial Narrow" w:hAnsi="Arial Narrow" w:cs="Arial"/>
                <w:sz w:val="20"/>
                <w:szCs w:val="20"/>
                <w:lang w:eastAsia="en-US" w:bidi="en-US"/>
              </w:rPr>
            </w:pPr>
            <w:r w:rsidRPr="00D37C9F">
              <w:rPr>
                <w:rFonts w:ascii="Arial Narrow" w:hAnsi="Arial Narrow"/>
                <w:sz w:val="20"/>
                <w:szCs w:val="20"/>
                <w:lang w:eastAsia="en-US" w:bidi="en-US"/>
              </w:rPr>
              <w:t>$0</w:t>
            </w:r>
          </w:p>
        </w:tc>
      </w:tr>
      <w:tr w:rsidR="00137593" w:rsidRPr="00802E12" w:rsidTr="00CD5AA4">
        <w:trPr>
          <w:trHeight w:val="283"/>
        </w:trPr>
        <w:tc>
          <w:tcPr>
            <w:tcW w:w="523" w:type="pct"/>
            <w:shd w:val="clear" w:color="auto" w:fill="auto"/>
            <w:noWrap/>
            <w:vAlign w:val="bottom"/>
            <w:hideMark/>
          </w:tcPr>
          <w:p w:rsidR="00137593" w:rsidRPr="00802E12" w:rsidRDefault="00137593" w:rsidP="00DA4FCA">
            <w:pPr>
              <w:keepNext/>
              <w:spacing w:after="240" w:line="276" w:lineRule="auto"/>
              <w:contextualSpacing/>
              <w:rPr>
                <w:rFonts w:ascii="Arial Narrow" w:hAnsi="Arial Narrow" w:cs="Arial"/>
                <w:sz w:val="20"/>
                <w:szCs w:val="20"/>
                <w:lang w:eastAsia="en-US" w:bidi="en-US"/>
              </w:rPr>
            </w:pPr>
            <w:r w:rsidRPr="00802E12">
              <w:rPr>
                <w:rFonts w:ascii="Arial Narrow" w:hAnsi="Arial Narrow" w:cs="Arial"/>
                <w:sz w:val="20"/>
                <w:szCs w:val="20"/>
                <w:lang w:eastAsia="en-US" w:bidi="en-US"/>
              </w:rPr>
              <w:t>to the PBS/RPBS</w:t>
            </w:r>
          </w:p>
        </w:tc>
        <w:tc>
          <w:tcPr>
            <w:tcW w:w="603" w:type="pct"/>
            <w:tcBorders>
              <w:top w:val="single" w:sz="4" w:space="0" w:color="auto"/>
              <w:left w:val="nil"/>
              <w:bottom w:val="single" w:sz="4" w:space="0" w:color="auto"/>
              <w:right w:val="single" w:sz="4" w:space="0" w:color="auto"/>
            </w:tcBorders>
            <w:shd w:val="clear" w:color="auto" w:fill="auto"/>
            <w:noWrap/>
          </w:tcPr>
          <w:p w:rsidR="00137593" w:rsidRPr="00D37C9F" w:rsidRDefault="00137593" w:rsidP="00DA4FCA">
            <w:pPr>
              <w:keepNext/>
              <w:spacing w:after="240" w:line="276" w:lineRule="auto"/>
              <w:contextualSpacing/>
              <w:jc w:val="right"/>
              <w:rPr>
                <w:rFonts w:ascii="Arial Narrow" w:hAnsi="Arial Narrow" w:cs="Arial"/>
                <w:sz w:val="20"/>
                <w:szCs w:val="20"/>
                <w:lang w:eastAsia="en-US" w:bidi="en-US"/>
              </w:rPr>
            </w:pPr>
            <w:r w:rsidRPr="00D37C9F">
              <w:rPr>
                <w:rFonts w:ascii="Arial Narrow" w:hAnsi="Arial Narrow"/>
                <w:sz w:val="20"/>
                <w:szCs w:val="20"/>
                <w:lang w:eastAsia="en-US" w:bidi="en-US"/>
              </w:rPr>
              <w:t>$0</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137593" w:rsidRPr="00D37C9F" w:rsidRDefault="00137593" w:rsidP="00DA4FCA">
            <w:pPr>
              <w:keepNext/>
              <w:spacing w:after="240" w:line="276" w:lineRule="auto"/>
              <w:contextualSpacing/>
              <w:jc w:val="right"/>
              <w:rPr>
                <w:rFonts w:ascii="Arial Narrow" w:hAnsi="Arial Narrow" w:cs="Arial"/>
                <w:sz w:val="20"/>
                <w:szCs w:val="20"/>
                <w:lang w:eastAsia="en-US" w:bidi="en-US"/>
              </w:rPr>
            </w:pPr>
            <w:r w:rsidRPr="00D37C9F">
              <w:rPr>
                <w:rFonts w:ascii="Arial Narrow" w:hAnsi="Arial Narrow"/>
                <w:sz w:val="20"/>
                <w:szCs w:val="20"/>
                <w:lang w:eastAsia="en-US" w:bidi="en-US"/>
              </w:rPr>
              <w:t>$0</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137593" w:rsidRPr="00D37C9F" w:rsidRDefault="00137593" w:rsidP="00DA4FCA">
            <w:pPr>
              <w:keepNext/>
              <w:spacing w:after="240" w:line="276" w:lineRule="auto"/>
              <w:contextualSpacing/>
              <w:jc w:val="right"/>
              <w:rPr>
                <w:rFonts w:ascii="Arial Narrow" w:hAnsi="Arial Narrow" w:cs="Arial"/>
                <w:sz w:val="20"/>
                <w:szCs w:val="20"/>
                <w:lang w:eastAsia="en-US" w:bidi="en-US"/>
              </w:rPr>
            </w:pPr>
            <w:r w:rsidRPr="00D37C9F">
              <w:rPr>
                <w:rFonts w:ascii="Arial Narrow" w:hAnsi="Arial Narrow"/>
                <w:sz w:val="20"/>
                <w:szCs w:val="20"/>
                <w:lang w:eastAsia="en-US" w:bidi="en-US"/>
              </w:rPr>
              <w:t>$0</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137593" w:rsidRPr="00D37C9F" w:rsidRDefault="00137593" w:rsidP="00DA4FCA">
            <w:pPr>
              <w:keepNext/>
              <w:spacing w:after="240" w:line="276" w:lineRule="auto"/>
              <w:contextualSpacing/>
              <w:jc w:val="right"/>
              <w:rPr>
                <w:rFonts w:ascii="Arial Narrow" w:hAnsi="Arial Narrow" w:cs="Arial"/>
                <w:sz w:val="20"/>
                <w:szCs w:val="20"/>
                <w:lang w:eastAsia="en-US" w:bidi="en-US"/>
              </w:rPr>
            </w:pPr>
            <w:r w:rsidRPr="00D37C9F">
              <w:rPr>
                <w:rFonts w:ascii="Arial Narrow" w:hAnsi="Arial Narrow"/>
                <w:sz w:val="20"/>
                <w:szCs w:val="20"/>
                <w:lang w:eastAsia="en-US" w:bidi="en-US"/>
              </w:rPr>
              <w:t>$0</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137593" w:rsidRPr="00D37C9F" w:rsidRDefault="00137593" w:rsidP="00DA4FCA">
            <w:pPr>
              <w:keepNext/>
              <w:spacing w:after="240" w:line="276" w:lineRule="auto"/>
              <w:contextualSpacing/>
              <w:jc w:val="right"/>
              <w:rPr>
                <w:rFonts w:ascii="Arial Narrow" w:hAnsi="Arial Narrow" w:cs="Arial"/>
                <w:sz w:val="20"/>
                <w:szCs w:val="20"/>
                <w:lang w:eastAsia="en-US" w:bidi="en-US"/>
              </w:rPr>
            </w:pPr>
            <w:r w:rsidRPr="00D37C9F">
              <w:rPr>
                <w:rFonts w:ascii="Arial Narrow" w:hAnsi="Arial Narrow"/>
                <w:sz w:val="20"/>
                <w:szCs w:val="20"/>
                <w:lang w:eastAsia="en-US" w:bidi="en-US"/>
              </w:rPr>
              <w:t>$0</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137593" w:rsidRPr="00D37C9F" w:rsidRDefault="00137593" w:rsidP="00DA4FCA">
            <w:pPr>
              <w:keepNext/>
              <w:spacing w:after="240" w:line="276" w:lineRule="auto"/>
              <w:contextualSpacing/>
              <w:jc w:val="right"/>
              <w:rPr>
                <w:rFonts w:ascii="Arial Narrow" w:hAnsi="Arial Narrow" w:cs="Arial"/>
                <w:sz w:val="20"/>
                <w:szCs w:val="20"/>
                <w:lang w:eastAsia="en-US" w:bidi="en-US"/>
              </w:rPr>
            </w:pPr>
            <w:r w:rsidRPr="00D37C9F">
              <w:rPr>
                <w:rFonts w:ascii="Arial Narrow" w:hAnsi="Arial Narrow"/>
                <w:sz w:val="20"/>
                <w:szCs w:val="20"/>
                <w:lang w:eastAsia="en-US" w:bidi="en-US"/>
              </w:rPr>
              <w:t>$0</w:t>
            </w:r>
          </w:p>
        </w:tc>
        <w:tc>
          <w:tcPr>
            <w:tcW w:w="660" w:type="pct"/>
            <w:tcBorders>
              <w:top w:val="single" w:sz="4" w:space="0" w:color="auto"/>
              <w:left w:val="single" w:sz="4" w:space="0" w:color="auto"/>
              <w:bottom w:val="single" w:sz="4" w:space="0" w:color="auto"/>
              <w:right w:val="single" w:sz="4" w:space="0" w:color="auto"/>
            </w:tcBorders>
            <w:shd w:val="clear" w:color="auto" w:fill="auto"/>
            <w:noWrap/>
          </w:tcPr>
          <w:p w:rsidR="00137593" w:rsidRPr="00D37C9F" w:rsidRDefault="00137593" w:rsidP="00DA4FCA">
            <w:pPr>
              <w:keepNext/>
              <w:spacing w:after="240" w:line="276" w:lineRule="auto"/>
              <w:contextualSpacing/>
              <w:jc w:val="right"/>
              <w:rPr>
                <w:rFonts w:ascii="Arial Narrow" w:hAnsi="Arial Narrow" w:cs="Arial"/>
                <w:sz w:val="20"/>
                <w:szCs w:val="20"/>
                <w:lang w:eastAsia="en-US" w:bidi="en-US"/>
              </w:rPr>
            </w:pPr>
            <w:r w:rsidRPr="00D37C9F">
              <w:rPr>
                <w:rFonts w:ascii="Arial Narrow" w:hAnsi="Arial Narrow"/>
                <w:sz w:val="20"/>
                <w:szCs w:val="20"/>
                <w:lang w:eastAsia="en-US" w:bidi="en-US"/>
              </w:rPr>
              <w:t>$0</w:t>
            </w:r>
          </w:p>
        </w:tc>
      </w:tr>
    </w:tbl>
    <w:p w:rsidR="006C11EE" w:rsidRPr="00802E12" w:rsidRDefault="006C11EE" w:rsidP="00113653">
      <w:pPr>
        <w:rPr>
          <w:lang w:bidi="en-US"/>
        </w:rPr>
      </w:pPr>
    </w:p>
    <w:p w:rsidR="002C6140" w:rsidRDefault="002C6140" w:rsidP="00F361E6">
      <w:pPr>
        <w:pStyle w:val="ListParagraph"/>
        <w:widowControl/>
        <w:spacing w:after="240"/>
        <w:contextualSpacing w:val="0"/>
        <w:rPr>
          <w:rFonts w:asciiTheme="minorHAnsi" w:eastAsiaTheme="minorHAnsi" w:hAnsiTheme="minorHAnsi" w:cstheme="minorBidi"/>
          <w:i/>
          <w:snapToGrid/>
          <w:sz w:val="24"/>
          <w:szCs w:val="22"/>
        </w:rPr>
      </w:pPr>
    </w:p>
    <w:p w:rsidR="00F361E6" w:rsidRPr="00802E12" w:rsidRDefault="00F361E6" w:rsidP="00F361E6">
      <w:pPr>
        <w:pStyle w:val="ListParagraph"/>
        <w:widowControl/>
        <w:spacing w:after="240"/>
        <w:contextualSpacing w:val="0"/>
        <w:rPr>
          <w:rFonts w:asciiTheme="minorHAnsi" w:eastAsiaTheme="minorHAnsi" w:hAnsiTheme="minorHAnsi" w:cstheme="minorBidi"/>
          <w:i/>
          <w:snapToGrid/>
          <w:sz w:val="24"/>
          <w:szCs w:val="22"/>
        </w:rPr>
      </w:pPr>
      <w:r w:rsidRPr="00802E12">
        <w:rPr>
          <w:rFonts w:asciiTheme="minorHAnsi" w:eastAsiaTheme="minorHAnsi" w:hAnsiTheme="minorHAnsi" w:cstheme="minorBidi"/>
          <w:i/>
          <w:snapToGrid/>
          <w:sz w:val="24"/>
          <w:szCs w:val="22"/>
        </w:rPr>
        <w:t>For more details on PBAC’s view, see section 7 PBAC outcome.</w:t>
      </w:r>
    </w:p>
    <w:p w:rsidR="000719ED" w:rsidRPr="00802E12" w:rsidRDefault="00674C55" w:rsidP="00DA4FCA">
      <w:pPr>
        <w:pStyle w:val="PBACHeading1"/>
        <w:numPr>
          <w:ilvl w:val="0"/>
          <w:numId w:val="22"/>
        </w:numPr>
        <w:spacing w:after="240"/>
        <w:rPr>
          <w:rFonts w:asciiTheme="minorHAnsi" w:hAnsiTheme="minorHAnsi"/>
          <w:sz w:val="32"/>
          <w:szCs w:val="32"/>
        </w:rPr>
      </w:pPr>
      <w:r w:rsidRPr="00802E12">
        <w:rPr>
          <w:rFonts w:asciiTheme="minorHAnsi" w:hAnsiTheme="minorHAnsi"/>
          <w:sz w:val="32"/>
          <w:szCs w:val="32"/>
        </w:rPr>
        <w:t>PBAC Outcome</w:t>
      </w:r>
    </w:p>
    <w:p w:rsidR="00674C55" w:rsidRPr="00802E12" w:rsidRDefault="00674C55" w:rsidP="00113653">
      <w:pPr>
        <w:pStyle w:val="PBACHeading1"/>
        <w:keepNext/>
        <w:numPr>
          <w:ilvl w:val="1"/>
          <w:numId w:val="5"/>
        </w:numPr>
        <w:spacing w:after="240"/>
        <w:jc w:val="both"/>
        <w:outlineLvl w:val="9"/>
        <w:rPr>
          <w:rFonts w:ascii="Calibri" w:hAnsi="Calibri" w:cs="Calibri"/>
          <w:b w:val="0"/>
          <w:sz w:val="24"/>
          <w:szCs w:val="24"/>
          <w:lang w:bidi="en-US"/>
        </w:rPr>
      </w:pPr>
      <w:r w:rsidRPr="00802E12">
        <w:rPr>
          <w:rFonts w:ascii="Calibri" w:hAnsi="Calibri" w:cs="Calibri"/>
          <w:b w:val="0"/>
          <w:sz w:val="24"/>
          <w:szCs w:val="24"/>
          <w:lang w:bidi="en-US"/>
        </w:rPr>
        <w:lastRenderedPageBreak/>
        <w:t xml:space="preserve">The PBAC recommended the listing of </w:t>
      </w:r>
      <w:r w:rsidR="0028621F" w:rsidRPr="00802E12">
        <w:rPr>
          <w:rFonts w:ascii="Calibri" w:hAnsi="Calibri" w:cs="Calibri"/>
          <w:b w:val="0"/>
          <w:sz w:val="24"/>
          <w:szCs w:val="24"/>
          <w:lang w:bidi="en-US"/>
        </w:rPr>
        <w:t>d</w:t>
      </w:r>
      <w:r w:rsidRPr="00802E12">
        <w:rPr>
          <w:rFonts w:ascii="Calibri" w:hAnsi="Calibri" w:cs="Calibri"/>
          <w:b w:val="0"/>
          <w:sz w:val="24"/>
          <w:szCs w:val="24"/>
          <w:lang w:bidi="en-US"/>
        </w:rPr>
        <w:t>eferiprone 1000 mg as a Section 100 Highly Specialised Drugs,</w:t>
      </w:r>
      <w:r w:rsidR="00873338" w:rsidRPr="00802E12">
        <w:rPr>
          <w:rFonts w:ascii="Calibri" w:hAnsi="Calibri" w:cs="Calibri"/>
          <w:b w:val="0"/>
          <w:sz w:val="24"/>
          <w:szCs w:val="24"/>
          <w:lang w:bidi="en-US"/>
        </w:rPr>
        <w:t xml:space="preserve"> </w:t>
      </w:r>
      <w:r w:rsidR="0028621F" w:rsidRPr="00802E12">
        <w:rPr>
          <w:rFonts w:ascii="Calibri" w:hAnsi="Calibri" w:cs="Calibri"/>
          <w:b w:val="0"/>
          <w:sz w:val="24"/>
          <w:szCs w:val="24"/>
          <w:lang w:bidi="en-US"/>
        </w:rPr>
        <w:t xml:space="preserve">Private and Public Hospitals, </w:t>
      </w:r>
      <w:r w:rsidRPr="00802E12">
        <w:rPr>
          <w:rFonts w:ascii="Calibri" w:hAnsi="Calibri" w:cs="Calibri"/>
          <w:b w:val="0"/>
          <w:sz w:val="24"/>
          <w:szCs w:val="24"/>
          <w:lang w:bidi="en-US"/>
        </w:rPr>
        <w:t>Authority Required (STREAMLINED) for the treatment of transfusional iron overload associated with thalassaemia major.</w:t>
      </w:r>
    </w:p>
    <w:p w:rsidR="00447F95" w:rsidRPr="00802E12" w:rsidRDefault="00447F95" w:rsidP="00113653">
      <w:pPr>
        <w:pStyle w:val="PBACHeading1"/>
        <w:keepNext/>
        <w:numPr>
          <w:ilvl w:val="1"/>
          <w:numId w:val="5"/>
        </w:numPr>
        <w:spacing w:after="240"/>
        <w:jc w:val="both"/>
        <w:outlineLvl w:val="9"/>
        <w:rPr>
          <w:rFonts w:ascii="Calibri" w:hAnsi="Calibri" w:cs="Calibri"/>
          <w:b w:val="0"/>
          <w:sz w:val="24"/>
          <w:szCs w:val="24"/>
          <w:lang w:bidi="en-US"/>
        </w:rPr>
      </w:pPr>
      <w:r w:rsidRPr="00802E12">
        <w:rPr>
          <w:rFonts w:ascii="Calibri" w:hAnsi="Calibri" w:cs="Calibri"/>
          <w:b w:val="0"/>
          <w:sz w:val="24"/>
          <w:szCs w:val="24"/>
          <w:lang w:bidi="en-US"/>
        </w:rPr>
        <w:t>The PBAC noted that the 1000 mg tablets w</w:t>
      </w:r>
      <w:r w:rsidR="00C00EA0" w:rsidRPr="00802E12">
        <w:rPr>
          <w:rFonts w:ascii="Calibri" w:hAnsi="Calibri" w:cs="Calibri"/>
          <w:b w:val="0"/>
          <w:sz w:val="24"/>
          <w:szCs w:val="24"/>
          <w:lang w:bidi="en-US"/>
        </w:rPr>
        <w:t>ould</w:t>
      </w:r>
      <w:r w:rsidRPr="00802E12">
        <w:rPr>
          <w:rFonts w:ascii="Calibri" w:hAnsi="Calibri" w:cs="Calibri"/>
          <w:b w:val="0"/>
          <w:sz w:val="24"/>
          <w:szCs w:val="24"/>
          <w:lang w:bidi="en-US"/>
        </w:rPr>
        <w:t xml:space="preserve"> reduce the </w:t>
      </w:r>
      <w:r w:rsidR="00122DE7" w:rsidRPr="00802E12">
        <w:rPr>
          <w:rFonts w:ascii="Calibri" w:hAnsi="Calibri" w:cs="Calibri"/>
          <w:b w:val="0"/>
          <w:sz w:val="24"/>
          <w:szCs w:val="24"/>
          <w:lang w:bidi="en-US"/>
        </w:rPr>
        <w:t xml:space="preserve">patient’s tablet </w:t>
      </w:r>
      <w:r w:rsidRPr="00802E12">
        <w:rPr>
          <w:rFonts w:ascii="Calibri" w:hAnsi="Calibri" w:cs="Calibri"/>
          <w:b w:val="0"/>
          <w:sz w:val="24"/>
          <w:szCs w:val="24"/>
          <w:lang w:bidi="en-US"/>
        </w:rPr>
        <w:t>burden.</w:t>
      </w:r>
    </w:p>
    <w:p w:rsidR="004D03C9" w:rsidRPr="00802E12" w:rsidRDefault="004D03C9" w:rsidP="00113653">
      <w:pPr>
        <w:pStyle w:val="PBACHeading1"/>
        <w:keepNext/>
        <w:numPr>
          <w:ilvl w:val="1"/>
          <w:numId w:val="5"/>
        </w:numPr>
        <w:spacing w:after="240"/>
        <w:jc w:val="both"/>
        <w:outlineLvl w:val="9"/>
        <w:rPr>
          <w:rFonts w:ascii="Calibri" w:hAnsi="Calibri" w:cs="Calibri"/>
          <w:b w:val="0"/>
          <w:sz w:val="24"/>
          <w:szCs w:val="24"/>
          <w:lang w:bidi="en-US"/>
        </w:rPr>
      </w:pPr>
      <w:r w:rsidRPr="00802E12">
        <w:rPr>
          <w:rFonts w:ascii="Calibri" w:hAnsi="Calibri" w:cs="Calibri"/>
          <w:b w:val="0"/>
          <w:sz w:val="24"/>
          <w:szCs w:val="24"/>
          <w:lang w:bidi="en-US"/>
        </w:rPr>
        <w:t>The PBAC was satisfied that one tablet of the 1000 mg strength is bioequivalent to two of the currently listed 500 mg tablets.</w:t>
      </w:r>
    </w:p>
    <w:p w:rsidR="001B5ADB" w:rsidRPr="00802E12" w:rsidRDefault="00C00EA0" w:rsidP="00113653">
      <w:pPr>
        <w:pStyle w:val="PBACHeading1"/>
        <w:keepNext/>
        <w:numPr>
          <w:ilvl w:val="1"/>
          <w:numId w:val="5"/>
        </w:numPr>
        <w:spacing w:after="240"/>
        <w:jc w:val="both"/>
        <w:outlineLvl w:val="9"/>
        <w:rPr>
          <w:rFonts w:ascii="Calibri" w:hAnsi="Calibri" w:cs="Calibri"/>
          <w:b w:val="0"/>
          <w:sz w:val="24"/>
          <w:szCs w:val="24"/>
          <w:lang w:bidi="en-US"/>
        </w:rPr>
      </w:pPr>
      <w:r w:rsidRPr="00802E12">
        <w:rPr>
          <w:rFonts w:ascii="Calibri" w:hAnsi="Calibri" w:cs="Calibri"/>
          <w:b w:val="0"/>
          <w:sz w:val="24"/>
          <w:szCs w:val="24"/>
          <w:lang w:bidi="en-US"/>
        </w:rPr>
        <w:t xml:space="preserve">The PBAC noted that the </w:t>
      </w:r>
      <w:r w:rsidR="00802E12">
        <w:rPr>
          <w:rFonts w:ascii="Calibri" w:hAnsi="Calibri" w:cs="Calibri"/>
          <w:b w:val="0"/>
          <w:sz w:val="24"/>
          <w:szCs w:val="24"/>
          <w:lang w:bidi="en-US"/>
        </w:rPr>
        <w:t xml:space="preserve">sponsor estimated that the </w:t>
      </w:r>
      <w:r w:rsidRPr="00802E12">
        <w:rPr>
          <w:rFonts w:ascii="Calibri" w:hAnsi="Calibri" w:cs="Calibri"/>
          <w:b w:val="0"/>
          <w:sz w:val="24"/>
          <w:szCs w:val="24"/>
          <w:lang w:bidi="en-US"/>
        </w:rPr>
        <w:t xml:space="preserve">proposed listing </w:t>
      </w:r>
      <w:r w:rsidR="00802E12">
        <w:rPr>
          <w:rFonts w:ascii="Calibri" w:hAnsi="Calibri" w:cs="Calibri"/>
          <w:b w:val="0"/>
          <w:sz w:val="24"/>
          <w:szCs w:val="24"/>
          <w:lang w:bidi="en-US"/>
        </w:rPr>
        <w:t xml:space="preserve">of </w:t>
      </w:r>
      <w:r w:rsidRPr="00802E12">
        <w:rPr>
          <w:rFonts w:ascii="Calibri" w:hAnsi="Calibri" w:cs="Calibri"/>
          <w:b w:val="0"/>
          <w:sz w:val="24"/>
          <w:szCs w:val="24"/>
          <w:lang w:bidi="en-US"/>
        </w:rPr>
        <w:t xml:space="preserve">the 1000 mg tablets </w:t>
      </w:r>
      <w:r w:rsidR="00802E12">
        <w:rPr>
          <w:rFonts w:ascii="Calibri" w:hAnsi="Calibri" w:cs="Calibri"/>
          <w:b w:val="0"/>
          <w:sz w:val="24"/>
          <w:szCs w:val="24"/>
          <w:lang w:bidi="en-US"/>
        </w:rPr>
        <w:t xml:space="preserve">would </w:t>
      </w:r>
      <w:r w:rsidR="001B3D6B" w:rsidRPr="00802E12">
        <w:rPr>
          <w:rFonts w:ascii="Calibri" w:hAnsi="Calibri" w:cs="Calibri"/>
          <w:b w:val="0"/>
          <w:sz w:val="24"/>
          <w:szCs w:val="24"/>
          <w:lang w:bidi="en-US"/>
        </w:rPr>
        <w:t xml:space="preserve">be </w:t>
      </w:r>
      <w:r w:rsidR="001B5ADB" w:rsidRPr="00802E12">
        <w:rPr>
          <w:rFonts w:ascii="Calibri" w:hAnsi="Calibri" w:cs="Calibri"/>
          <w:b w:val="0"/>
          <w:sz w:val="24"/>
          <w:szCs w:val="24"/>
          <w:lang w:bidi="en-US"/>
        </w:rPr>
        <w:t xml:space="preserve">cost-neutral </w:t>
      </w:r>
      <w:r w:rsidR="00802E12">
        <w:rPr>
          <w:rFonts w:ascii="Calibri" w:hAnsi="Calibri" w:cs="Calibri"/>
          <w:b w:val="0"/>
          <w:sz w:val="24"/>
          <w:szCs w:val="24"/>
          <w:lang w:bidi="en-US"/>
        </w:rPr>
        <w:t xml:space="preserve">against </w:t>
      </w:r>
      <w:r w:rsidR="001B5ADB" w:rsidRPr="00802E12">
        <w:rPr>
          <w:rFonts w:ascii="Calibri" w:hAnsi="Calibri" w:cs="Calibri"/>
          <w:b w:val="0"/>
          <w:sz w:val="24"/>
          <w:szCs w:val="24"/>
          <w:lang w:bidi="en-US"/>
        </w:rPr>
        <w:t>the current</w:t>
      </w:r>
      <w:r w:rsidRPr="00802E12">
        <w:rPr>
          <w:rFonts w:ascii="Calibri" w:hAnsi="Calibri" w:cs="Calibri"/>
          <w:b w:val="0"/>
          <w:sz w:val="24"/>
          <w:szCs w:val="24"/>
          <w:lang w:bidi="en-US"/>
        </w:rPr>
        <w:t xml:space="preserve"> listing </w:t>
      </w:r>
      <w:r w:rsidR="00802E12">
        <w:rPr>
          <w:rFonts w:ascii="Calibri" w:hAnsi="Calibri" w:cs="Calibri"/>
          <w:b w:val="0"/>
          <w:sz w:val="24"/>
          <w:szCs w:val="24"/>
          <w:lang w:bidi="en-US"/>
        </w:rPr>
        <w:t xml:space="preserve">of </w:t>
      </w:r>
      <w:r w:rsidRPr="00802E12">
        <w:rPr>
          <w:rFonts w:ascii="Calibri" w:hAnsi="Calibri" w:cs="Calibri"/>
          <w:b w:val="0"/>
          <w:sz w:val="24"/>
          <w:szCs w:val="24"/>
          <w:lang w:bidi="en-US"/>
        </w:rPr>
        <w:t>the 500 mg tablets.</w:t>
      </w:r>
      <w:r w:rsidR="00A76D4D" w:rsidRPr="00802E12">
        <w:rPr>
          <w:rFonts w:ascii="Calibri" w:hAnsi="Calibri" w:cs="Calibri"/>
          <w:b w:val="0"/>
          <w:sz w:val="24"/>
          <w:szCs w:val="24"/>
          <w:lang w:bidi="en-US"/>
        </w:rPr>
        <w:t xml:space="preserve"> </w:t>
      </w:r>
    </w:p>
    <w:p w:rsidR="00873338" w:rsidRDefault="000D3448" w:rsidP="00113653">
      <w:pPr>
        <w:pStyle w:val="PBACHeading1"/>
        <w:keepNext/>
        <w:numPr>
          <w:ilvl w:val="1"/>
          <w:numId w:val="5"/>
        </w:numPr>
        <w:spacing w:after="240"/>
        <w:jc w:val="both"/>
        <w:outlineLvl w:val="9"/>
        <w:rPr>
          <w:rFonts w:ascii="Calibri" w:hAnsi="Calibri" w:cs="Calibri"/>
          <w:b w:val="0"/>
          <w:sz w:val="24"/>
          <w:szCs w:val="24"/>
          <w:lang w:bidi="en-US"/>
        </w:rPr>
      </w:pPr>
      <w:r w:rsidRPr="00802E12">
        <w:rPr>
          <w:rFonts w:ascii="Calibri" w:hAnsi="Calibri" w:cs="Calibri"/>
          <w:b w:val="0"/>
          <w:sz w:val="24"/>
          <w:szCs w:val="24"/>
          <w:lang w:bidi="en-US"/>
        </w:rPr>
        <w:t>The</w:t>
      </w:r>
      <w:r w:rsidR="00873338" w:rsidRPr="00802E12">
        <w:rPr>
          <w:rFonts w:ascii="Calibri" w:hAnsi="Calibri" w:cs="Calibri"/>
          <w:b w:val="0"/>
          <w:sz w:val="24"/>
          <w:szCs w:val="24"/>
          <w:lang w:bidi="en-US"/>
        </w:rPr>
        <w:t xml:space="preserve"> </w:t>
      </w:r>
      <w:r w:rsidR="0028621F" w:rsidRPr="00802E12">
        <w:rPr>
          <w:rFonts w:ascii="Calibri" w:hAnsi="Calibri" w:cs="Calibri"/>
          <w:b w:val="0"/>
          <w:sz w:val="24"/>
          <w:szCs w:val="24"/>
          <w:lang w:bidi="en-US"/>
        </w:rPr>
        <w:t>PBAC</w:t>
      </w:r>
      <w:r w:rsidR="00853EAF" w:rsidRPr="00802E12">
        <w:rPr>
          <w:rFonts w:ascii="Calibri" w:hAnsi="Calibri" w:cs="Calibri"/>
          <w:b w:val="0"/>
          <w:sz w:val="24"/>
          <w:szCs w:val="24"/>
          <w:lang w:bidi="en-US"/>
        </w:rPr>
        <w:t xml:space="preserve"> </w:t>
      </w:r>
      <w:r w:rsidR="001B3D6B" w:rsidRPr="00802E12">
        <w:rPr>
          <w:rFonts w:ascii="Calibri" w:hAnsi="Calibri" w:cs="Calibri"/>
          <w:b w:val="0"/>
          <w:sz w:val="24"/>
          <w:szCs w:val="24"/>
          <w:lang w:bidi="en-US"/>
        </w:rPr>
        <w:t>considered</w:t>
      </w:r>
      <w:r w:rsidR="0028621F" w:rsidRPr="00802E12">
        <w:rPr>
          <w:rFonts w:ascii="Calibri" w:hAnsi="Calibri" w:cs="Calibri"/>
          <w:b w:val="0"/>
          <w:sz w:val="24"/>
          <w:szCs w:val="24"/>
          <w:lang w:bidi="en-US"/>
        </w:rPr>
        <w:t xml:space="preserve"> that</w:t>
      </w:r>
      <w:r w:rsidR="00873338" w:rsidRPr="00802E12">
        <w:rPr>
          <w:rFonts w:ascii="Calibri" w:hAnsi="Calibri" w:cs="Calibri"/>
          <w:b w:val="0"/>
          <w:sz w:val="24"/>
          <w:szCs w:val="24"/>
          <w:lang w:bidi="en-US"/>
        </w:rPr>
        <w:t xml:space="preserve"> </w:t>
      </w:r>
      <w:r w:rsidR="00177269" w:rsidRPr="00802E12">
        <w:rPr>
          <w:rFonts w:ascii="Calibri" w:hAnsi="Calibri" w:cs="Calibri"/>
          <w:b w:val="0"/>
          <w:sz w:val="24"/>
          <w:szCs w:val="24"/>
          <w:lang w:bidi="en-US"/>
        </w:rPr>
        <w:t xml:space="preserve">clinicians </w:t>
      </w:r>
      <w:r w:rsidR="0028621F" w:rsidRPr="00802E12">
        <w:rPr>
          <w:rFonts w:ascii="Calibri" w:hAnsi="Calibri" w:cs="Calibri"/>
          <w:b w:val="0"/>
          <w:sz w:val="24"/>
          <w:szCs w:val="24"/>
          <w:lang w:bidi="en-US"/>
        </w:rPr>
        <w:t xml:space="preserve">might </w:t>
      </w:r>
      <w:r w:rsidR="00177269" w:rsidRPr="00802E12">
        <w:rPr>
          <w:rFonts w:ascii="Calibri" w:hAnsi="Calibri" w:cs="Calibri"/>
          <w:b w:val="0"/>
          <w:sz w:val="24"/>
          <w:szCs w:val="24"/>
          <w:lang w:bidi="en-US"/>
        </w:rPr>
        <w:t xml:space="preserve">opt to prescribe </w:t>
      </w:r>
      <w:r w:rsidR="0028621F" w:rsidRPr="00802E12">
        <w:rPr>
          <w:rFonts w:ascii="Calibri" w:hAnsi="Calibri" w:cs="Calibri"/>
          <w:b w:val="0"/>
          <w:sz w:val="24"/>
          <w:szCs w:val="24"/>
          <w:lang w:bidi="en-US"/>
        </w:rPr>
        <w:t>tablets of the two strengths at the same time to achieve the optimal dosage per body weight. As such, the PBAC</w:t>
      </w:r>
      <w:r w:rsidR="00873338" w:rsidRPr="00802E12">
        <w:rPr>
          <w:rFonts w:ascii="Calibri" w:hAnsi="Calibri" w:cs="Calibri"/>
          <w:b w:val="0"/>
          <w:sz w:val="24"/>
          <w:szCs w:val="24"/>
          <w:lang w:bidi="en-US"/>
        </w:rPr>
        <w:t xml:space="preserve"> </w:t>
      </w:r>
      <w:r w:rsidR="00C52ABD" w:rsidRPr="00802E12">
        <w:rPr>
          <w:rFonts w:ascii="Calibri" w:hAnsi="Calibri" w:cs="Calibri"/>
          <w:b w:val="0"/>
          <w:sz w:val="24"/>
          <w:szCs w:val="24"/>
          <w:lang w:bidi="en-US"/>
        </w:rPr>
        <w:t xml:space="preserve">recommended </w:t>
      </w:r>
      <w:r w:rsidR="00177269" w:rsidRPr="00802E12">
        <w:rPr>
          <w:rFonts w:ascii="Calibri" w:hAnsi="Calibri" w:cs="Calibri"/>
          <w:b w:val="0"/>
          <w:sz w:val="24"/>
          <w:szCs w:val="24"/>
          <w:lang w:bidi="en-US"/>
        </w:rPr>
        <w:t xml:space="preserve">to reduce </w:t>
      </w:r>
      <w:r w:rsidR="00873338" w:rsidRPr="00802E12">
        <w:rPr>
          <w:rFonts w:ascii="Calibri" w:hAnsi="Calibri" w:cs="Calibri"/>
          <w:b w:val="0"/>
          <w:sz w:val="24"/>
          <w:szCs w:val="24"/>
          <w:lang w:bidi="en-US"/>
        </w:rPr>
        <w:t xml:space="preserve">the maximum quantity </w:t>
      </w:r>
      <w:r w:rsidR="00177269" w:rsidRPr="00802E12">
        <w:rPr>
          <w:rFonts w:ascii="Calibri" w:hAnsi="Calibri" w:cs="Calibri"/>
          <w:b w:val="0"/>
          <w:sz w:val="24"/>
          <w:szCs w:val="24"/>
          <w:lang w:bidi="en-US"/>
        </w:rPr>
        <w:t>for</w:t>
      </w:r>
      <w:r w:rsidR="00873338" w:rsidRPr="00802E12">
        <w:rPr>
          <w:rFonts w:ascii="Calibri" w:hAnsi="Calibri" w:cs="Calibri"/>
          <w:b w:val="0"/>
          <w:sz w:val="24"/>
          <w:szCs w:val="24"/>
          <w:lang w:bidi="en-US"/>
        </w:rPr>
        <w:t xml:space="preserve"> the 500 mg strength tablets</w:t>
      </w:r>
      <w:r w:rsidR="00C839AF" w:rsidRPr="00802E12">
        <w:rPr>
          <w:rFonts w:ascii="Calibri" w:hAnsi="Calibri" w:cs="Calibri"/>
          <w:b w:val="0"/>
          <w:sz w:val="24"/>
          <w:szCs w:val="24"/>
          <w:lang w:bidi="en-US"/>
        </w:rPr>
        <w:t xml:space="preserve"> to minimise </w:t>
      </w:r>
      <w:r w:rsidR="0028621F" w:rsidRPr="00802E12">
        <w:rPr>
          <w:rFonts w:ascii="Calibri" w:hAnsi="Calibri" w:cs="Calibri"/>
          <w:b w:val="0"/>
          <w:sz w:val="24"/>
          <w:szCs w:val="24"/>
          <w:lang w:bidi="en-US"/>
        </w:rPr>
        <w:t>the potential wastage of medicine</w:t>
      </w:r>
      <w:r w:rsidR="00C839AF" w:rsidRPr="00802E12">
        <w:rPr>
          <w:rFonts w:ascii="Calibri" w:hAnsi="Calibri" w:cs="Calibri"/>
          <w:b w:val="0"/>
          <w:sz w:val="24"/>
          <w:szCs w:val="24"/>
          <w:lang w:bidi="en-US"/>
        </w:rPr>
        <w:t xml:space="preserve"> and associate</w:t>
      </w:r>
      <w:r w:rsidR="00853EAF" w:rsidRPr="00802E12">
        <w:rPr>
          <w:rFonts w:ascii="Calibri" w:hAnsi="Calibri" w:cs="Calibri"/>
          <w:b w:val="0"/>
          <w:sz w:val="24"/>
          <w:szCs w:val="24"/>
          <w:lang w:bidi="en-US"/>
        </w:rPr>
        <w:t>d</w:t>
      </w:r>
      <w:r w:rsidR="00C839AF" w:rsidRPr="00802E12">
        <w:rPr>
          <w:rFonts w:ascii="Calibri" w:hAnsi="Calibri" w:cs="Calibri"/>
          <w:b w:val="0"/>
          <w:sz w:val="24"/>
          <w:szCs w:val="24"/>
          <w:lang w:bidi="en-US"/>
        </w:rPr>
        <w:t xml:space="preserve"> cost</w:t>
      </w:r>
      <w:r w:rsidR="00853EAF" w:rsidRPr="00802E12">
        <w:rPr>
          <w:rFonts w:ascii="Calibri" w:hAnsi="Calibri" w:cs="Calibri"/>
          <w:b w:val="0"/>
          <w:sz w:val="24"/>
          <w:szCs w:val="24"/>
          <w:lang w:bidi="en-US"/>
        </w:rPr>
        <w:t>s</w:t>
      </w:r>
      <w:r w:rsidR="00C839AF" w:rsidRPr="00802E12">
        <w:rPr>
          <w:rFonts w:ascii="Calibri" w:hAnsi="Calibri" w:cs="Calibri"/>
          <w:b w:val="0"/>
          <w:sz w:val="24"/>
          <w:szCs w:val="24"/>
          <w:lang w:bidi="en-US"/>
        </w:rPr>
        <w:t xml:space="preserve"> to the PBS</w:t>
      </w:r>
      <w:r w:rsidR="00873338" w:rsidRPr="00802E12">
        <w:rPr>
          <w:rFonts w:ascii="Calibri" w:hAnsi="Calibri" w:cs="Calibri"/>
          <w:b w:val="0"/>
          <w:sz w:val="24"/>
          <w:szCs w:val="24"/>
          <w:lang w:bidi="en-US"/>
        </w:rPr>
        <w:t xml:space="preserve">.  </w:t>
      </w:r>
    </w:p>
    <w:p w:rsidR="00FA05D4" w:rsidRPr="00FA05D4" w:rsidRDefault="00FA05D4" w:rsidP="00FA05D4">
      <w:pPr>
        <w:pStyle w:val="ListParagraph"/>
        <w:widowControl/>
        <w:spacing w:before="120"/>
        <w:ind w:left="709" w:hanging="709"/>
        <w:contextualSpacing w:val="0"/>
        <w:rPr>
          <w:rFonts w:asciiTheme="minorHAnsi" w:eastAsiaTheme="minorHAnsi" w:hAnsiTheme="minorHAnsi" w:cstheme="minorBidi"/>
          <w:b/>
          <w:snapToGrid/>
          <w:sz w:val="28"/>
          <w:szCs w:val="28"/>
        </w:rPr>
      </w:pPr>
      <w:r w:rsidRPr="00FA05D4">
        <w:rPr>
          <w:rFonts w:asciiTheme="minorHAnsi" w:eastAsiaTheme="minorHAnsi" w:hAnsiTheme="minorHAnsi" w:cstheme="minorBidi"/>
          <w:b/>
          <w:snapToGrid/>
          <w:sz w:val="28"/>
          <w:szCs w:val="28"/>
        </w:rPr>
        <w:t>Outcome</w:t>
      </w:r>
    </w:p>
    <w:p w:rsidR="00FA05D4" w:rsidRPr="00113653" w:rsidRDefault="00FA05D4" w:rsidP="00113653">
      <w:pPr>
        <w:pStyle w:val="PBACHeading1"/>
        <w:numPr>
          <w:ilvl w:val="0"/>
          <w:numId w:val="0"/>
        </w:numPr>
        <w:jc w:val="both"/>
        <w:outlineLvl w:val="9"/>
        <w:rPr>
          <w:rFonts w:asciiTheme="minorHAnsi" w:hAnsiTheme="minorHAnsi"/>
          <w:b w:val="0"/>
          <w:sz w:val="24"/>
          <w:szCs w:val="24"/>
        </w:rPr>
      </w:pPr>
      <w:r w:rsidRPr="00113653">
        <w:rPr>
          <w:rFonts w:asciiTheme="minorHAnsi" w:hAnsiTheme="minorHAnsi"/>
          <w:b w:val="0"/>
          <w:sz w:val="24"/>
          <w:szCs w:val="24"/>
        </w:rPr>
        <w:t>Recommended</w:t>
      </w:r>
    </w:p>
    <w:p w:rsidR="00113653" w:rsidRPr="00113653" w:rsidRDefault="00113653" w:rsidP="00113653">
      <w:pPr>
        <w:rPr>
          <w:rFonts w:ascii="Calibri" w:hAnsi="Calibri" w:cs="Calibri"/>
          <w:snapToGrid w:val="0"/>
          <w:lang w:eastAsia="en-US" w:bidi="en-US"/>
        </w:rPr>
      </w:pPr>
    </w:p>
    <w:p w:rsidR="00873338" w:rsidRPr="00802E12" w:rsidRDefault="00873338" w:rsidP="00873338">
      <w:pPr>
        <w:pStyle w:val="PBACHeading1"/>
        <w:numPr>
          <w:ilvl w:val="0"/>
          <w:numId w:val="22"/>
        </w:numPr>
        <w:jc w:val="both"/>
        <w:rPr>
          <w:rFonts w:asciiTheme="minorHAnsi" w:eastAsiaTheme="minorHAnsi" w:hAnsiTheme="minorHAnsi" w:cstheme="minorBidi"/>
          <w:snapToGrid/>
          <w:sz w:val="32"/>
          <w:szCs w:val="32"/>
        </w:rPr>
      </w:pPr>
      <w:r w:rsidRPr="00802E12">
        <w:rPr>
          <w:rFonts w:asciiTheme="minorHAnsi" w:eastAsiaTheme="minorHAnsi" w:hAnsiTheme="minorHAnsi" w:cstheme="minorBidi"/>
          <w:snapToGrid/>
          <w:sz w:val="32"/>
          <w:szCs w:val="32"/>
        </w:rPr>
        <w:t>Recommended listing</w:t>
      </w:r>
    </w:p>
    <w:p w:rsidR="00873338" w:rsidRDefault="00873338" w:rsidP="00113653">
      <w:pPr>
        <w:pStyle w:val="PBACHeading1"/>
        <w:numPr>
          <w:ilvl w:val="0"/>
          <w:numId w:val="0"/>
        </w:numPr>
        <w:jc w:val="both"/>
        <w:outlineLvl w:val="9"/>
        <w:rPr>
          <w:rFonts w:asciiTheme="minorHAnsi" w:hAnsiTheme="minorHAnsi"/>
          <w:b w:val="0"/>
          <w:sz w:val="24"/>
          <w:szCs w:val="24"/>
        </w:rPr>
      </w:pPr>
      <w:r w:rsidRPr="00802E12">
        <w:rPr>
          <w:rFonts w:asciiTheme="minorHAnsi" w:hAnsiTheme="minorHAnsi"/>
          <w:b w:val="0"/>
          <w:sz w:val="24"/>
          <w:szCs w:val="24"/>
        </w:rPr>
        <w:t>Add new item.</w:t>
      </w:r>
      <w:r w:rsidR="00796C86" w:rsidRPr="00802E12">
        <w:rPr>
          <w:rFonts w:asciiTheme="minorHAnsi" w:hAnsiTheme="minorHAnsi"/>
          <w:b w:val="0"/>
          <w:sz w:val="24"/>
          <w:szCs w:val="24"/>
        </w:rPr>
        <w:t xml:space="preserve"> </w:t>
      </w:r>
    </w:p>
    <w:p w:rsidR="00113653" w:rsidRPr="00802E12" w:rsidRDefault="00113653" w:rsidP="00113653">
      <w:pPr>
        <w:pStyle w:val="PBACHeading1"/>
        <w:numPr>
          <w:ilvl w:val="0"/>
          <w:numId w:val="0"/>
        </w:numPr>
        <w:jc w:val="both"/>
        <w:outlineLvl w:val="9"/>
        <w:rPr>
          <w:rFonts w:asciiTheme="minorHAnsi" w:hAnsiTheme="minorHAnsi"/>
          <w:b w:val="0"/>
          <w:sz w:val="24"/>
          <w:szCs w:val="24"/>
        </w:rPr>
      </w:pPr>
    </w:p>
    <w:tbl>
      <w:tblPr>
        <w:tblW w:w="4915" w:type="pct"/>
        <w:tblLook w:val="0000" w:firstRow="0" w:lastRow="0" w:firstColumn="0" w:lastColumn="0" w:noHBand="0" w:noVBand="0"/>
      </w:tblPr>
      <w:tblGrid>
        <w:gridCol w:w="1962"/>
        <w:gridCol w:w="1383"/>
        <w:gridCol w:w="749"/>
        <w:gridCol w:w="901"/>
        <w:gridCol w:w="1639"/>
        <w:gridCol w:w="874"/>
        <w:gridCol w:w="1570"/>
        <w:gridCol w:w="7"/>
      </w:tblGrid>
      <w:tr w:rsidR="00873338" w:rsidRPr="00802E12" w:rsidTr="007F427F">
        <w:trPr>
          <w:cantSplit/>
          <w:trHeight w:val="465"/>
        </w:trPr>
        <w:tc>
          <w:tcPr>
            <w:tcW w:w="1841" w:type="pct"/>
            <w:gridSpan w:val="2"/>
            <w:tcBorders>
              <w:bottom w:val="single" w:sz="4" w:space="0" w:color="auto"/>
            </w:tcBorders>
          </w:tcPr>
          <w:p w:rsidR="00873338" w:rsidRPr="00802E12" w:rsidRDefault="00873338" w:rsidP="007F427F">
            <w:pPr>
              <w:keepNext/>
              <w:spacing w:before="40" w:after="40"/>
              <w:jc w:val="both"/>
              <w:rPr>
                <w:rFonts w:ascii="Arial Narrow" w:hAnsi="Arial Narrow" w:cs="Arial"/>
                <w:b/>
                <w:sz w:val="20"/>
                <w:szCs w:val="20"/>
              </w:rPr>
            </w:pPr>
            <w:r w:rsidRPr="00802E12">
              <w:rPr>
                <w:rFonts w:ascii="Arial Narrow" w:hAnsi="Arial Narrow" w:cs="Arial"/>
                <w:b/>
                <w:sz w:val="20"/>
                <w:szCs w:val="20"/>
              </w:rPr>
              <w:t>Name, Restriction,</w:t>
            </w:r>
          </w:p>
          <w:p w:rsidR="00873338" w:rsidRPr="00802E12" w:rsidRDefault="00873338" w:rsidP="007F427F">
            <w:pPr>
              <w:keepNext/>
              <w:spacing w:before="40" w:after="40"/>
              <w:jc w:val="both"/>
              <w:rPr>
                <w:rFonts w:ascii="Arial Narrow" w:hAnsi="Arial Narrow" w:cs="Arial"/>
                <w:b/>
                <w:sz w:val="20"/>
                <w:szCs w:val="20"/>
              </w:rPr>
            </w:pPr>
            <w:r w:rsidRPr="00802E12">
              <w:rPr>
                <w:rFonts w:ascii="Arial Narrow" w:hAnsi="Arial Narrow" w:cs="Arial"/>
                <w:b/>
                <w:sz w:val="20"/>
                <w:szCs w:val="20"/>
              </w:rPr>
              <w:t>Manner of administration and form</w:t>
            </w:r>
          </w:p>
        </w:tc>
        <w:tc>
          <w:tcPr>
            <w:tcW w:w="412" w:type="pct"/>
            <w:tcBorders>
              <w:bottom w:val="single" w:sz="4" w:space="0" w:color="auto"/>
            </w:tcBorders>
          </w:tcPr>
          <w:p w:rsidR="00873338" w:rsidRPr="00802E12" w:rsidRDefault="00873338" w:rsidP="007F427F">
            <w:pPr>
              <w:keepNext/>
              <w:spacing w:before="40" w:after="40"/>
              <w:jc w:val="both"/>
              <w:rPr>
                <w:rFonts w:ascii="Arial Narrow" w:hAnsi="Arial Narrow" w:cs="Arial"/>
                <w:b/>
                <w:sz w:val="20"/>
                <w:szCs w:val="20"/>
              </w:rPr>
            </w:pPr>
            <w:r w:rsidRPr="00802E12">
              <w:rPr>
                <w:rFonts w:ascii="Arial Narrow" w:hAnsi="Arial Narrow" w:cs="Arial"/>
                <w:b/>
                <w:sz w:val="20"/>
                <w:szCs w:val="20"/>
              </w:rPr>
              <w:t>Max.</w:t>
            </w:r>
          </w:p>
          <w:p w:rsidR="00873338" w:rsidRPr="00802E12" w:rsidRDefault="00873338" w:rsidP="007F427F">
            <w:pPr>
              <w:keepNext/>
              <w:spacing w:before="40" w:after="40"/>
              <w:jc w:val="both"/>
              <w:rPr>
                <w:rFonts w:ascii="Arial Narrow" w:hAnsi="Arial Narrow" w:cs="Arial"/>
                <w:b/>
                <w:sz w:val="20"/>
                <w:szCs w:val="20"/>
              </w:rPr>
            </w:pPr>
            <w:r w:rsidRPr="00802E12">
              <w:rPr>
                <w:rFonts w:ascii="Arial Narrow" w:hAnsi="Arial Narrow" w:cs="Arial"/>
                <w:b/>
                <w:sz w:val="20"/>
                <w:szCs w:val="20"/>
              </w:rPr>
              <w:t>Qty</w:t>
            </w:r>
          </w:p>
        </w:tc>
        <w:tc>
          <w:tcPr>
            <w:tcW w:w="496" w:type="pct"/>
            <w:tcBorders>
              <w:bottom w:val="single" w:sz="4" w:space="0" w:color="auto"/>
            </w:tcBorders>
          </w:tcPr>
          <w:p w:rsidR="00873338" w:rsidRPr="00802E12" w:rsidRDefault="00873338" w:rsidP="007F427F">
            <w:pPr>
              <w:keepNext/>
              <w:spacing w:before="40" w:after="40"/>
              <w:jc w:val="both"/>
              <w:rPr>
                <w:rFonts w:ascii="Arial Narrow" w:hAnsi="Arial Narrow" w:cs="Arial"/>
                <w:b/>
                <w:sz w:val="20"/>
                <w:szCs w:val="20"/>
              </w:rPr>
            </w:pPr>
            <w:r w:rsidRPr="00802E12">
              <w:rPr>
                <w:rFonts w:ascii="Arial Narrow" w:hAnsi="Arial Narrow" w:cs="Arial"/>
                <w:b/>
                <w:sz w:val="20"/>
                <w:szCs w:val="20"/>
              </w:rPr>
              <w:t>№.of</w:t>
            </w:r>
          </w:p>
          <w:p w:rsidR="00873338" w:rsidRPr="00802E12" w:rsidRDefault="00873338" w:rsidP="007F427F">
            <w:pPr>
              <w:keepNext/>
              <w:spacing w:before="40" w:after="40"/>
              <w:jc w:val="both"/>
              <w:rPr>
                <w:rFonts w:ascii="Arial Narrow" w:hAnsi="Arial Narrow" w:cs="Arial"/>
                <w:b/>
                <w:sz w:val="20"/>
                <w:szCs w:val="20"/>
              </w:rPr>
            </w:pPr>
            <w:r w:rsidRPr="00802E12">
              <w:rPr>
                <w:rFonts w:ascii="Arial Narrow" w:hAnsi="Arial Narrow" w:cs="Arial"/>
                <w:b/>
                <w:sz w:val="20"/>
                <w:szCs w:val="20"/>
              </w:rPr>
              <w:t>Rpts</w:t>
            </w:r>
          </w:p>
        </w:tc>
        <w:tc>
          <w:tcPr>
            <w:tcW w:w="902" w:type="pct"/>
            <w:tcBorders>
              <w:bottom w:val="single" w:sz="4" w:space="0" w:color="auto"/>
            </w:tcBorders>
          </w:tcPr>
          <w:p w:rsidR="00873338" w:rsidRPr="00802E12" w:rsidRDefault="002872B1" w:rsidP="007F427F">
            <w:pPr>
              <w:keepNext/>
              <w:spacing w:before="40" w:after="40"/>
              <w:jc w:val="both"/>
              <w:rPr>
                <w:rFonts w:ascii="Arial Narrow" w:hAnsi="Arial Narrow" w:cs="Arial"/>
                <w:b/>
                <w:sz w:val="20"/>
                <w:szCs w:val="20"/>
              </w:rPr>
            </w:pPr>
            <w:r w:rsidRPr="00802E12">
              <w:rPr>
                <w:rFonts w:ascii="Arial Narrow" w:hAnsi="Arial Narrow" w:cs="Arial"/>
                <w:b/>
                <w:sz w:val="20"/>
                <w:szCs w:val="20"/>
              </w:rPr>
              <w:t>Proprietary Name</w:t>
            </w:r>
          </w:p>
        </w:tc>
        <w:tc>
          <w:tcPr>
            <w:tcW w:w="1349" w:type="pct"/>
            <w:gridSpan w:val="3"/>
            <w:tcBorders>
              <w:bottom w:val="single" w:sz="4" w:space="0" w:color="auto"/>
            </w:tcBorders>
          </w:tcPr>
          <w:p w:rsidR="00873338" w:rsidRPr="00802E12" w:rsidRDefault="00873338" w:rsidP="007F427F">
            <w:pPr>
              <w:keepNext/>
              <w:spacing w:before="40" w:after="40"/>
              <w:jc w:val="both"/>
              <w:rPr>
                <w:rFonts w:ascii="Arial Narrow" w:hAnsi="Arial Narrow" w:cs="Arial"/>
                <w:b/>
                <w:sz w:val="20"/>
                <w:szCs w:val="20"/>
              </w:rPr>
            </w:pPr>
            <w:r w:rsidRPr="00802E12">
              <w:rPr>
                <w:rFonts w:ascii="Arial Narrow" w:hAnsi="Arial Narrow" w:cs="Arial"/>
                <w:b/>
                <w:sz w:val="20"/>
                <w:szCs w:val="20"/>
              </w:rPr>
              <w:t>Manufacturer</w:t>
            </w:r>
          </w:p>
        </w:tc>
      </w:tr>
      <w:tr w:rsidR="00873338" w:rsidRPr="00802E12" w:rsidTr="007F427F">
        <w:trPr>
          <w:cantSplit/>
          <w:trHeight w:val="567"/>
        </w:trPr>
        <w:tc>
          <w:tcPr>
            <w:tcW w:w="1841" w:type="pct"/>
            <w:gridSpan w:val="2"/>
          </w:tcPr>
          <w:p w:rsidR="00873338" w:rsidRPr="00802E12" w:rsidRDefault="00873338" w:rsidP="00E34379">
            <w:pPr>
              <w:keepNext/>
              <w:spacing w:before="40"/>
              <w:jc w:val="both"/>
              <w:rPr>
                <w:rFonts w:ascii="Arial Narrow" w:hAnsi="Arial Narrow" w:cs="Arial"/>
                <w:sz w:val="20"/>
                <w:szCs w:val="20"/>
              </w:rPr>
            </w:pPr>
            <w:r w:rsidRPr="00802E12">
              <w:rPr>
                <w:rFonts w:ascii="Arial Narrow" w:hAnsi="Arial Narrow" w:cs="Arial"/>
                <w:smallCaps/>
                <w:sz w:val="20"/>
                <w:szCs w:val="20"/>
              </w:rPr>
              <w:t>deferiprone</w:t>
            </w:r>
          </w:p>
          <w:p w:rsidR="00873338" w:rsidRPr="00802E12" w:rsidRDefault="00873338" w:rsidP="00E34379">
            <w:pPr>
              <w:keepNext/>
              <w:spacing w:before="40"/>
              <w:jc w:val="both"/>
              <w:rPr>
                <w:rFonts w:ascii="Arial Narrow" w:hAnsi="Arial Narrow" w:cs="Arial"/>
                <w:sz w:val="20"/>
                <w:szCs w:val="20"/>
              </w:rPr>
            </w:pPr>
            <w:r w:rsidRPr="00802E12">
              <w:rPr>
                <w:rFonts w:ascii="Arial Narrow" w:hAnsi="Arial Narrow" w:cs="Arial"/>
                <w:sz w:val="20"/>
                <w:szCs w:val="20"/>
              </w:rPr>
              <w:t>1000 mg tablet, 50</w:t>
            </w:r>
          </w:p>
        </w:tc>
        <w:tc>
          <w:tcPr>
            <w:tcW w:w="412" w:type="pct"/>
          </w:tcPr>
          <w:p w:rsidR="00873338" w:rsidRPr="00802E12" w:rsidRDefault="00873338" w:rsidP="00E34379">
            <w:pPr>
              <w:keepNext/>
              <w:spacing w:before="40"/>
              <w:jc w:val="both"/>
              <w:rPr>
                <w:rFonts w:ascii="Arial Narrow" w:hAnsi="Arial Narrow" w:cs="Arial"/>
                <w:sz w:val="20"/>
                <w:szCs w:val="20"/>
              </w:rPr>
            </w:pPr>
            <w:r w:rsidRPr="00802E12">
              <w:rPr>
                <w:rFonts w:ascii="Arial Narrow" w:hAnsi="Arial Narrow" w:cs="Arial"/>
                <w:sz w:val="20"/>
                <w:szCs w:val="20"/>
              </w:rPr>
              <w:t>6</w:t>
            </w:r>
          </w:p>
        </w:tc>
        <w:tc>
          <w:tcPr>
            <w:tcW w:w="496" w:type="pct"/>
          </w:tcPr>
          <w:p w:rsidR="00873338" w:rsidRPr="00802E12" w:rsidRDefault="00873338" w:rsidP="00E34379">
            <w:pPr>
              <w:keepNext/>
              <w:spacing w:before="40"/>
              <w:jc w:val="both"/>
              <w:rPr>
                <w:rFonts w:ascii="Arial Narrow" w:hAnsi="Arial Narrow" w:cs="Arial"/>
                <w:sz w:val="20"/>
                <w:szCs w:val="20"/>
              </w:rPr>
            </w:pPr>
            <w:r w:rsidRPr="00802E12">
              <w:rPr>
                <w:rFonts w:ascii="Arial Narrow" w:hAnsi="Arial Narrow" w:cs="Arial"/>
                <w:sz w:val="20"/>
                <w:szCs w:val="20"/>
              </w:rPr>
              <w:t>5</w:t>
            </w:r>
          </w:p>
        </w:tc>
        <w:tc>
          <w:tcPr>
            <w:tcW w:w="902" w:type="pct"/>
          </w:tcPr>
          <w:p w:rsidR="00873338" w:rsidRPr="00802E12" w:rsidRDefault="002872B1" w:rsidP="00E34379">
            <w:pPr>
              <w:keepNext/>
              <w:spacing w:before="40"/>
              <w:jc w:val="both"/>
              <w:rPr>
                <w:rFonts w:ascii="Arial Narrow" w:hAnsi="Arial Narrow" w:cs="Arial"/>
                <w:sz w:val="20"/>
                <w:szCs w:val="20"/>
              </w:rPr>
            </w:pPr>
            <w:r w:rsidRPr="00802E12">
              <w:rPr>
                <w:rFonts w:ascii="Arial Narrow" w:hAnsi="Arial Narrow" w:cs="Arial"/>
                <w:sz w:val="20"/>
                <w:szCs w:val="20"/>
              </w:rPr>
              <w:t>Ferriprox</w:t>
            </w:r>
          </w:p>
        </w:tc>
        <w:tc>
          <w:tcPr>
            <w:tcW w:w="481" w:type="pct"/>
          </w:tcPr>
          <w:p w:rsidR="00873338" w:rsidRPr="00802E12" w:rsidRDefault="00873338" w:rsidP="00E34379">
            <w:pPr>
              <w:keepNext/>
              <w:spacing w:before="40"/>
              <w:jc w:val="both"/>
              <w:rPr>
                <w:rFonts w:ascii="Arial Narrow" w:hAnsi="Arial Narrow" w:cs="Arial"/>
                <w:sz w:val="20"/>
                <w:szCs w:val="20"/>
              </w:rPr>
            </w:pPr>
          </w:p>
        </w:tc>
        <w:tc>
          <w:tcPr>
            <w:tcW w:w="868" w:type="pct"/>
            <w:gridSpan w:val="2"/>
          </w:tcPr>
          <w:p w:rsidR="00873338" w:rsidRPr="00802E12" w:rsidRDefault="00873338" w:rsidP="00E34379">
            <w:pPr>
              <w:keepNext/>
              <w:spacing w:before="40"/>
              <w:jc w:val="both"/>
              <w:rPr>
                <w:rFonts w:ascii="Arial Narrow" w:hAnsi="Arial Narrow" w:cs="Arial"/>
                <w:sz w:val="20"/>
                <w:szCs w:val="20"/>
              </w:rPr>
            </w:pPr>
            <w:r w:rsidRPr="00802E12">
              <w:rPr>
                <w:rFonts w:ascii="Arial Narrow" w:hAnsi="Arial Narrow" w:cs="Arial"/>
                <w:sz w:val="20"/>
                <w:szCs w:val="20"/>
              </w:rPr>
              <w:t>Apotex</w:t>
            </w:r>
          </w:p>
        </w:tc>
      </w:tr>
      <w:tr w:rsidR="00873338" w:rsidRPr="00802E12" w:rsidTr="007F427F">
        <w:trPr>
          <w:gridAfter w:val="1"/>
          <w:wAfter w:w="4" w:type="pct"/>
          <w:cantSplit/>
          <w:trHeight w:val="360"/>
        </w:trPr>
        <w:tc>
          <w:tcPr>
            <w:tcW w:w="1080" w:type="pct"/>
            <w:tcBorders>
              <w:top w:val="single" w:sz="4" w:space="0" w:color="auto"/>
              <w:left w:val="single" w:sz="4" w:space="0" w:color="auto"/>
              <w:bottom w:val="single" w:sz="4" w:space="0" w:color="auto"/>
              <w:right w:val="single" w:sz="4" w:space="0" w:color="auto"/>
            </w:tcBorders>
          </w:tcPr>
          <w:p w:rsidR="00873338" w:rsidRPr="00802E12" w:rsidRDefault="00873338" w:rsidP="007F427F">
            <w:pPr>
              <w:spacing w:before="40" w:after="40"/>
              <w:jc w:val="both"/>
              <w:rPr>
                <w:rFonts w:ascii="Arial Narrow" w:hAnsi="Arial Narrow" w:cs="Arial"/>
                <w:sz w:val="20"/>
                <w:szCs w:val="20"/>
              </w:rPr>
            </w:pPr>
            <w:r w:rsidRPr="00802E12">
              <w:rPr>
                <w:rFonts w:ascii="Arial Narrow" w:hAnsi="Arial Narrow" w:cs="Arial"/>
                <w:sz w:val="20"/>
                <w:szCs w:val="20"/>
              </w:rPr>
              <w:t xml:space="preserve">Category / </w:t>
            </w:r>
          </w:p>
          <w:p w:rsidR="00873338" w:rsidRPr="00802E12" w:rsidRDefault="00873338" w:rsidP="007F427F">
            <w:pPr>
              <w:spacing w:before="40" w:after="40"/>
              <w:jc w:val="both"/>
              <w:rPr>
                <w:rFonts w:ascii="Arial Narrow" w:hAnsi="Arial Narrow" w:cs="Arial"/>
                <w:b/>
                <w:sz w:val="20"/>
                <w:szCs w:val="20"/>
              </w:rPr>
            </w:pPr>
            <w:r w:rsidRPr="00802E12">
              <w:rPr>
                <w:rFonts w:ascii="Arial Narrow" w:hAnsi="Arial Narrow" w:cs="Arial"/>
                <w:sz w:val="20"/>
                <w:szCs w:val="20"/>
              </w:rPr>
              <w:t>Program</w:t>
            </w:r>
          </w:p>
        </w:tc>
        <w:tc>
          <w:tcPr>
            <w:tcW w:w="3916" w:type="pct"/>
            <w:gridSpan w:val="6"/>
            <w:tcBorders>
              <w:top w:val="single" w:sz="4" w:space="0" w:color="auto"/>
              <w:left w:val="single" w:sz="4" w:space="0" w:color="auto"/>
              <w:bottom w:val="single" w:sz="4" w:space="0" w:color="auto"/>
              <w:right w:val="single" w:sz="4" w:space="0" w:color="auto"/>
            </w:tcBorders>
          </w:tcPr>
          <w:p w:rsidR="00873338" w:rsidRPr="00802E12" w:rsidRDefault="00873338" w:rsidP="007F427F">
            <w:pPr>
              <w:spacing w:before="40" w:after="40"/>
              <w:rPr>
                <w:rFonts w:ascii="Arial Narrow" w:hAnsi="Arial Narrow" w:cs="Arial"/>
                <w:sz w:val="20"/>
                <w:szCs w:val="20"/>
              </w:rPr>
            </w:pPr>
            <w:r w:rsidRPr="00802E12">
              <w:rPr>
                <w:rFonts w:ascii="Arial Narrow" w:hAnsi="Arial Narrow" w:cs="Arial"/>
                <w:sz w:val="20"/>
                <w:szCs w:val="20"/>
              </w:rPr>
              <w:t xml:space="preserve">Section 100 – Highly Specialised Drugs Program (Private and Public Hospitals) </w:t>
            </w:r>
          </w:p>
          <w:p w:rsidR="00873338" w:rsidRPr="00802E12" w:rsidRDefault="00873338" w:rsidP="007F427F">
            <w:pPr>
              <w:spacing w:before="40" w:after="40"/>
              <w:rPr>
                <w:rFonts w:ascii="Arial Narrow" w:hAnsi="Arial Narrow" w:cs="Arial"/>
                <w:sz w:val="20"/>
                <w:szCs w:val="20"/>
              </w:rPr>
            </w:pPr>
          </w:p>
        </w:tc>
      </w:tr>
      <w:tr w:rsidR="00873338" w:rsidRPr="00802E12" w:rsidTr="007F427F">
        <w:trPr>
          <w:gridAfter w:val="1"/>
          <w:wAfter w:w="4" w:type="pct"/>
          <w:cantSplit/>
          <w:trHeight w:val="360"/>
        </w:trPr>
        <w:tc>
          <w:tcPr>
            <w:tcW w:w="1080" w:type="pct"/>
            <w:tcBorders>
              <w:top w:val="single" w:sz="4" w:space="0" w:color="auto"/>
              <w:left w:val="single" w:sz="4" w:space="0" w:color="auto"/>
              <w:bottom w:val="single" w:sz="4" w:space="0" w:color="auto"/>
              <w:right w:val="single" w:sz="4" w:space="0" w:color="auto"/>
            </w:tcBorders>
          </w:tcPr>
          <w:p w:rsidR="00873338" w:rsidRPr="00802E12" w:rsidRDefault="00873338" w:rsidP="007F427F">
            <w:pPr>
              <w:spacing w:before="40" w:after="40"/>
              <w:jc w:val="both"/>
              <w:rPr>
                <w:rFonts w:ascii="Arial Narrow" w:hAnsi="Arial Narrow" w:cs="Arial"/>
                <w:b/>
                <w:sz w:val="20"/>
                <w:szCs w:val="20"/>
              </w:rPr>
            </w:pPr>
            <w:r w:rsidRPr="00802E12">
              <w:rPr>
                <w:rFonts w:ascii="Arial Narrow" w:hAnsi="Arial Narrow" w:cs="Arial"/>
                <w:b/>
                <w:sz w:val="20"/>
                <w:szCs w:val="20"/>
              </w:rPr>
              <w:t>Prescriber type:</w:t>
            </w:r>
          </w:p>
        </w:tc>
        <w:tc>
          <w:tcPr>
            <w:tcW w:w="3916" w:type="pct"/>
            <w:gridSpan w:val="6"/>
            <w:tcBorders>
              <w:top w:val="single" w:sz="4" w:space="0" w:color="auto"/>
              <w:left w:val="single" w:sz="4" w:space="0" w:color="auto"/>
              <w:bottom w:val="single" w:sz="4" w:space="0" w:color="auto"/>
              <w:right w:val="single" w:sz="4" w:space="0" w:color="auto"/>
            </w:tcBorders>
          </w:tcPr>
          <w:p w:rsidR="00873338" w:rsidRPr="00802E12" w:rsidRDefault="00873338" w:rsidP="007F427F">
            <w:pPr>
              <w:rPr>
                <w:rFonts w:ascii="Arial Narrow" w:hAnsi="Arial Narrow" w:cs="Arial"/>
                <w:sz w:val="20"/>
                <w:szCs w:val="20"/>
              </w:rPr>
            </w:pPr>
            <w:r w:rsidRPr="00802E12">
              <w:rPr>
                <w:rFonts w:ascii="Arial Narrow" w:hAnsi="Arial Narrow" w:cs="Arial"/>
                <w:sz w:val="20"/>
                <w:szCs w:val="20"/>
              </w:rPr>
              <w:fldChar w:fldCharType="begin">
                <w:ffData>
                  <w:name w:val="Check1"/>
                  <w:enabled/>
                  <w:calcOnExit w:val="0"/>
                  <w:checkBox>
                    <w:sizeAuto/>
                    <w:default w:val="0"/>
                  </w:checkBox>
                </w:ffData>
              </w:fldChar>
            </w:r>
            <w:r w:rsidRPr="00802E12">
              <w:rPr>
                <w:rFonts w:ascii="Arial Narrow" w:hAnsi="Arial Narrow" w:cs="Arial"/>
                <w:sz w:val="20"/>
                <w:szCs w:val="20"/>
              </w:rPr>
              <w:instrText xml:space="preserve"> FORMCHECKBOX </w:instrText>
            </w:r>
            <w:r w:rsidR="00E5787F">
              <w:rPr>
                <w:rFonts w:ascii="Arial Narrow" w:hAnsi="Arial Narrow" w:cs="Arial"/>
                <w:sz w:val="20"/>
                <w:szCs w:val="20"/>
              </w:rPr>
            </w:r>
            <w:r w:rsidR="00E5787F">
              <w:rPr>
                <w:rFonts w:ascii="Arial Narrow" w:hAnsi="Arial Narrow" w:cs="Arial"/>
                <w:sz w:val="20"/>
                <w:szCs w:val="20"/>
              </w:rPr>
              <w:fldChar w:fldCharType="separate"/>
            </w:r>
            <w:r w:rsidRPr="00802E12">
              <w:rPr>
                <w:rFonts w:ascii="Arial Narrow" w:hAnsi="Arial Narrow" w:cs="Arial"/>
                <w:sz w:val="20"/>
                <w:szCs w:val="20"/>
              </w:rPr>
              <w:fldChar w:fldCharType="end"/>
            </w:r>
            <w:r w:rsidRPr="00802E12">
              <w:rPr>
                <w:rFonts w:ascii="Arial Narrow" w:hAnsi="Arial Narrow" w:cs="Arial"/>
                <w:sz w:val="20"/>
                <w:szCs w:val="20"/>
              </w:rPr>
              <w:t xml:space="preserve">Dental  </w:t>
            </w:r>
            <w:r w:rsidRPr="00802E12">
              <w:rPr>
                <w:rFonts w:ascii="Arial Narrow" w:hAnsi="Arial Narrow" w:cs="Arial"/>
                <w:sz w:val="20"/>
                <w:szCs w:val="20"/>
              </w:rPr>
              <w:fldChar w:fldCharType="begin">
                <w:ffData>
                  <w:name w:val=""/>
                  <w:enabled/>
                  <w:calcOnExit w:val="0"/>
                  <w:checkBox>
                    <w:sizeAuto/>
                    <w:default w:val="1"/>
                  </w:checkBox>
                </w:ffData>
              </w:fldChar>
            </w:r>
            <w:r w:rsidRPr="00802E12">
              <w:rPr>
                <w:rFonts w:ascii="Arial Narrow" w:hAnsi="Arial Narrow" w:cs="Arial"/>
                <w:sz w:val="20"/>
                <w:szCs w:val="20"/>
              </w:rPr>
              <w:instrText xml:space="preserve"> FORMCHECKBOX </w:instrText>
            </w:r>
            <w:r w:rsidR="00E5787F">
              <w:rPr>
                <w:rFonts w:ascii="Arial Narrow" w:hAnsi="Arial Narrow" w:cs="Arial"/>
                <w:sz w:val="20"/>
                <w:szCs w:val="20"/>
              </w:rPr>
            </w:r>
            <w:r w:rsidR="00E5787F">
              <w:rPr>
                <w:rFonts w:ascii="Arial Narrow" w:hAnsi="Arial Narrow" w:cs="Arial"/>
                <w:sz w:val="20"/>
                <w:szCs w:val="20"/>
              </w:rPr>
              <w:fldChar w:fldCharType="separate"/>
            </w:r>
            <w:r w:rsidRPr="00802E12">
              <w:rPr>
                <w:rFonts w:ascii="Arial Narrow" w:hAnsi="Arial Narrow" w:cs="Arial"/>
                <w:sz w:val="20"/>
                <w:szCs w:val="20"/>
              </w:rPr>
              <w:fldChar w:fldCharType="end"/>
            </w:r>
            <w:r w:rsidRPr="00802E12">
              <w:rPr>
                <w:rFonts w:ascii="Arial Narrow" w:hAnsi="Arial Narrow" w:cs="Arial"/>
                <w:sz w:val="20"/>
                <w:szCs w:val="20"/>
              </w:rPr>
              <w:t xml:space="preserve">Medical Practitioners  </w:t>
            </w:r>
            <w:r w:rsidRPr="00802E12">
              <w:rPr>
                <w:rFonts w:ascii="Arial Narrow" w:hAnsi="Arial Narrow" w:cs="Arial"/>
                <w:sz w:val="20"/>
                <w:szCs w:val="20"/>
              </w:rPr>
              <w:fldChar w:fldCharType="begin">
                <w:ffData>
                  <w:name w:val="Check3"/>
                  <w:enabled/>
                  <w:calcOnExit w:val="0"/>
                  <w:checkBox>
                    <w:sizeAuto/>
                    <w:default w:val="0"/>
                  </w:checkBox>
                </w:ffData>
              </w:fldChar>
            </w:r>
            <w:r w:rsidRPr="00802E12">
              <w:rPr>
                <w:rFonts w:ascii="Arial Narrow" w:hAnsi="Arial Narrow" w:cs="Arial"/>
                <w:sz w:val="20"/>
                <w:szCs w:val="20"/>
              </w:rPr>
              <w:instrText xml:space="preserve"> FORMCHECKBOX </w:instrText>
            </w:r>
            <w:r w:rsidR="00E5787F">
              <w:rPr>
                <w:rFonts w:ascii="Arial Narrow" w:hAnsi="Arial Narrow" w:cs="Arial"/>
                <w:sz w:val="20"/>
                <w:szCs w:val="20"/>
              </w:rPr>
            </w:r>
            <w:r w:rsidR="00E5787F">
              <w:rPr>
                <w:rFonts w:ascii="Arial Narrow" w:hAnsi="Arial Narrow" w:cs="Arial"/>
                <w:sz w:val="20"/>
                <w:szCs w:val="20"/>
              </w:rPr>
              <w:fldChar w:fldCharType="separate"/>
            </w:r>
            <w:r w:rsidRPr="00802E12">
              <w:rPr>
                <w:rFonts w:ascii="Arial Narrow" w:hAnsi="Arial Narrow" w:cs="Arial"/>
                <w:sz w:val="20"/>
                <w:szCs w:val="20"/>
              </w:rPr>
              <w:fldChar w:fldCharType="end"/>
            </w:r>
            <w:r w:rsidRPr="00802E12">
              <w:rPr>
                <w:rFonts w:ascii="Arial Narrow" w:hAnsi="Arial Narrow" w:cs="Arial"/>
                <w:sz w:val="20"/>
                <w:szCs w:val="20"/>
              </w:rPr>
              <w:t xml:space="preserve">Nurse practitioners  </w:t>
            </w:r>
            <w:r w:rsidRPr="00802E12">
              <w:rPr>
                <w:rFonts w:ascii="Arial Narrow" w:hAnsi="Arial Narrow" w:cs="Arial"/>
                <w:sz w:val="20"/>
                <w:szCs w:val="20"/>
              </w:rPr>
              <w:fldChar w:fldCharType="begin">
                <w:ffData>
                  <w:name w:val=""/>
                  <w:enabled/>
                  <w:calcOnExit w:val="0"/>
                  <w:checkBox>
                    <w:sizeAuto/>
                    <w:default w:val="0"/>
                  </w:checkBox>
                </w:ffData>
              </w:fldChar>
            </w:r>
            <w:r w:rsidRPr="00802E12">
              <w:rPr>
                <w:rFonts w:ascii="Arial Narrow" w:hAnsi="Arial Narrow" w:cs="Arial"/>
                <w:sz w:val="20"/>
                <w:szCs w:val="20"/>
              </w:rPr>
              <w:instrText xml:space="preserve"> FORMCHECKBOX </w:instrText>
            </w:r>
            <w:r w:rsidR="00E5787F">
              <w:rPr>
                <w:rFonts w:ascii="Arial Narrow" w:hAnsi="Arial Narrow" w:cs="Arial"/>
                <w:sz w:val="20"/>
                <w:szCs w:val="20"/>
              </w:rPr>
            </w:r>
            <w:r w:rsidR="00E5787F">
              <w:rPr>
                <w:rFonts w:ascii="Arial Narrow" w:hAnsi="Arial Narrow" w:cs="Arial"/>
                <w:sz w:val="20"/>
                <w:szCs w:val="20"/>
              </w:rPr>
              <w:fldChar w:fldCharType="separate"/>
            </w:r>
            <w:r w:rsidRPr="00802E12">
              <w:rPr>
                <w:rFonts w:ascii="Arial Narrow" w:hAnsi="Arial Narrow" w:cs="Arial"/>
                <w:sz w:val="20"/>
                <w:szCs w:val="20"/>
              </w:rPr>
              <w:fldChar w:fldCharType="end"/>
            </w:r>
            <w:r w:rsidRPr="00802E12">
              <w:rPr>
                <w:rFonts w:ascii="Arial Narrow" w:hAnsi="Arial Narrow" w:cs="Arial"/>
                <w:sz w:val="20"/>
                <w:szCs w:val="20"/>
              </w:rPr>
              <w:t>Optometrists</w:t>
            </w:r>
          </w:p>
          <w:p w:rsidR="00873338" w:rsidRPr="00802E12" w:rsidRDefault="00873338" w:rsidP="007F427F">
            <w:pPr>
              <w:spacing w:before="40" w:after="40"/>
              <w:rPr>
                <w:rFonts w:ascii="Arial Narrow" w:hAnsi="Arial Narrow" w:cs="Arial"/>
                <w:sz w:val="20"/>
                <w:szCs w:val="20"/>
              </w:rPr>
            </w:pPr>
            <w:r w:rsidRPr="00802E12">
              <w:rPr>
                <w:rFonts w:ascii="Arial Narrow" w:hAnsi="Arial Narrow" w:cs="Arial"/>
                <w:sz w:val="20"/>
                <w:szCs w:val="20"/>
              </w:rPr>
              <w:fldChar w:fldCharType="begin">
                <w:ffData>
                  <w:name w:val="Check5"/>
                  <w:enabled/>
                  <w:calcOnExit w:val="0"/>
                  <w:checkBox>
                    <w:sizeAuto/>
                    <w:default w:val="0"/>
                  </w:checkBox>
                </w:ffData>
              </w:fldChar>
            </w:r>
            <w:r w:rsidRPr="00802E12">
              <w:rPr>
                <w:rFonts w:ascii="Arial Narrow" w:hAnsi="Arial Narrow" w:cs="Arial"/>
                <w:sz w:val="20"/>
                <w:szCs w:val="20"/>
              </w:rPr>
              <w:instrText xml:space="preserve"> FORMCHECKBOX </w:instrText>
            </w:r>
            <w:r w:rsidR="00E5787F">
              <w:rPr>
                <w:rFonts w:ascii="Arial Narrow" w:hAnsi="Arial Narrow" w:cs="Arial"/>
                <w:sz w:val="20"/>
                <w:szCs w:val="20"/>
              </w:rPr>
            </w:r>
            <w:r w:rsidR="00E5787F">
              <w:rPr>
                <w:rFonts w:ascii="Arial Narrow" w:hAnsi="Arial Narrow" w:cs="Arial"/>
                <w:sz w:val="20"/>
                <w:szCs w:val="20"/>
              </w:rPr>
              <w:fldChar w:fldCharType="separate"/>
            </w:r>
            <w:r w:rsidRPr="00802E12">
              <w:rPr>
                <w:rFonts w:ascii="Arial Narrow" w:hAnsi="Arial Narrow" w:cs="Arial"/>
                <w:sz w:val="20"/>
                <w:szCs w:val="20"/>
              </w:rPr>
              <w:fldChar w:fldCharType="end"/>
            </w:r>
            <w:r w:rsidRPr="00802E12">
              <w:rPr>
                <w:rFonts w:ascii="Arial Narrow" w:hAnsi="Arial Narrow" w:cs="Arial"/>
                <w:sz w:val="20"/>
                <w:szCs w:val="20"/>
              </w:rPr>
              <w:t xml:space="preserve">Midwives </w:t>
            </w:r>
          </w:p>
        </w:tc>
      </w:tr>
      <w:tr w:rsidR="00873338" w:rsidRPr="00802E12" w:rsidTr="007F427F">
        <w:trPr>
          <w:gridAfter w:val="1"/>
          <w:wAfter w:w="4" w:type="pct"/>
          <w:cantSplit/>
          <w:trHeight w:val="360"/>
        </w:trPr>
        <w:tc>
          <w:tcPr>
            <w:tcW w:w="1080" w:type="pct"/>
            <w:tcBorders>
              <w:top w:val="single" w:sz="4" w:space="0" w:color="auto"/>
              <w:left w:val="single" w:sz="4" w:space="0" w:color="auto"/>
              <w:bottom w:val="single" w:sz="4" w:space="0" w:color="auto"/>
              <w:right w:val="single" w:sz="4" w:space="0" w:color="auto"/>
            </w:tcBorders>
          </w:tcPr>
          <w:p w:rsidR="00873338" w:rsidRPr="00802E12" w:rsidRDefault="00873338" w:rsidP="007F427F">
            <w:pPr>
              <w:spacing w:before="40" w:after="40"/>
              <w:jc w:val="both"/>
              <w:rPr>
                <w:rFonts w:ascii="Arial Narrow" w:hAnsi="Arial Narrow" w:cs="Arial"/>
                <w:b/>
                <w:sz w:val="20"/>
                <w:szCs w:val="20"/>
              </w:rPr>
            </w:pPr>
            <w:r w:rsidRPr="00802E12">
              <w:rPr>
                <w:rFonts w:ascii="Arial Narrow" w:hAnsi="Arial Narrow" w:cs="Arial"/>
                <w:b/>
                <w:sz w:val="20"/>
                <w:szCs w:val="20"/>
              </w:rPr>
              <w:t>Severity:</w:t>
            </w:r>
          </w:p>
        </w:tc>
        <w:tc>
          <w:tcPr>
            <w:tcW w:w="3916" w:type="pct"/>
            <w:gridSpan w:val="6"/>
            <w:tcBorders>
              <w:top w:val="single" w:sz="4" w:space="0" w:color="auto"/>
              <w:left w:val="single" w:sz="4" w:space="0" w:color="auto"/>
              <w:bottom w:val="single" w:sz="4" w:space="0" w:color="auto"/>
              <w:right w:val="single" w:sz="4" w:space="0" w:color="auto"/>
            </w:tcBorders>
          </w:tcPr>
          <w:p w:rsidR="00873338" w:rsidRPr="00802E12" w:rsidRDefault="00873338" w:rsidP="007F427F">
            <w:pPr>
              <w:spacing w:before="40" w:after="40"/>
              <w:rPr>
                <w:rFonts w:ascii="Arial Narrow" w:hAnsi="Arial Narrow" w:cs="Arial"/>
                <w:sz w:val="20"/>
                <w:szCs w:val="20"/>
              </w:rPr>
            </w:pPr>
            <w:r w:rsidRPr="00802E12">
              <w:rPr>
                <w:rFonts w:ascii="Arial Narrow" w:hAnsi="Arial Narrow" w:cs="Arial"/>
                <w:sz w:val="20"/>
                <w:szCs w:val="20"/>
              </w:rPr>
              <w:t>Chronic</w:t>
            </w:r>
          </w:p>
        </w:tc>
      </w:tr>
      <w:tr w:rsidR="00873338" w:rsidRPr="00802E12" w:rsidTr="007F427F">
        <w:trPr>
          <w:gridAfter w:val="1"/>
          <w:wAfter w:w="4" w:type="pct"/>
          <w:cantSplit/>
          <w:trHeight w:val="360"/>
        </w:trPr>
        <w:tc>
          <w:tcPr>
            <w:tcW w:w="1080" w:type="pct"/>
            <w:tcBorders>
              <w:top w:val="single" w:sz="4" w:space="0" w:color="auto"/>
              <w:left w:val="single" w:sz="4" w:space="0" w:color="auto"/>
              <w:bottom w:val="single" w:sz="4" w:space="0" w:color="auto"/>
              <w:right w:val="single" w:sz="4" w:space="0" w:color="auto"/>
            </w:tcBorders>
          </w:tcPr>
          <w:p w:rsidR="00873338" w:rsidRPr="00802E12" w:rsidRDefault="00873338" w:rsidP="007F427F">
            <w:pPr>
              <w:spacing w:before="40" w:after="40"/>
              <w:jc w:val="both"/>
              <w:rPr>
                <w:rFonts w:ascii="Arial Narrow" w:hAnsi="Arial Narrow" w:cs="Arial"/>
                <w:b/>
                <w:sz w:val="20"/>
                <w:szCs w:val="20"/>
              </w:rPr>
            </w:pPr>
            <w:r w:rsidRPr="00802E12">
              <w:rPr>
                <w:rFonts w:ascii="Arial Narrow" w:hAnsi="Arial Narrow" w:cs="Arial"/>
                <w:b/>
                <w:sz w:val="20"/>
                <w:szCs w:val="20"/>
              </w:rPr>
              <w:t>Condition:</w:t>
            </w:r>
          </w:p>
        </w:tc>
        <w:tc>
          <w:tcPr>
            <w:tcW w:w="3916" w:type="pct"/>
            <w:gridSpan w:val="6"/>
            <w:tcBorders>
              <w:top w:val="single" w:sz="4" w:space="0" w:color="auto"/>
              <w:left w:val="single" w:sz="4" w:space="0" w:color="auto"/>
              <w:bottom w:val="single" w:sz="4" w:space="0" w:color="auto"/>
              <w:right w:val="single" w:sz="4" w:space="0" w:color="auto"/>
            </w:tcBorders>
          </w:tcPr>
          <w:p w:rsidR="00873338" w:rsidRPr="00802E12" w:rsidRDefault="00873338" w:rsidP="007F427F">
            <w:pPr>
              <w:spacing w:before="40" w:after="40"/>
              <w:rPr>
                <w:rFonts w:ascii="Arial Narrow" w:hAnsi="Arial Narrow" w:cs="Arial"/>
                <w:sz w:val="20"/>
                <w:szCs w:val="20"/>
              </w:rPr>
            </w:pPr>
            <w:r w:rsidRPr="00802E12">
              <w:rPr>
                <w:rFonts w:ascii="Arial Narrow" w:hAnsi="Arial Narrow" w:cs="Arial"/>
                <w:sz w:val="20"/>
                <w:szCs w:val="20"/>
              </w:rPr>
              <w:t>Iron Overload</w:t>
            </w:r>
          </w:p>
        </w:tc>
      </w:tr>
      <w:tr w:rsidR="00873338" w:rsidRPr="00802E12" w:rsidTr="007F427F">
        <w:trPr>
          <w:gridAfter w:val="1"/>
          <w:wAfter w:w="4" w:type="pct"/>
          <w:cantSplit/>
          <w:trHeight w:val="360"/>
        </w:trPr>
        <w:tc>
          <w:tcPr>
            <w:tcW w:w="1080" w:type="pct"/>
            <w:tcBorders>
              <w:top w:val="single" w:sz="4" w:space="0" w:color="auto"/>
              <w:left w:val="single" w:sz="4" w:space="0" w:color="auto"/>
              <w:bottom w:val="single" w:sz="4" w:space="0" w:color="auto"/>
              <w:right w:val="single" w:sz="4" w:space="0" w:color="auto"/>
            </w:tcBorders>
          </w:tcPr>
          <w:p w:rsidR="00873338" w:rsidRPr="00802E12" w:rsidRDefault="00873338" w:rsidP="007F427F">
            <w:pPr>
              <w:spacing w:before="40" w:after="40"/>
              <w:jc w:val="both"/>
              <w:rPr>
                <w:rFonts w:ascii="Arial Narrow" w:hAnsi="Arial Narrow" w:cs="Arial"/>
                <w:b/>
                <w:sz w:val="20"/>
                <w:szCs w:val="20"/>
              </w:rPr>
            </w:pPr>
            <w:r w:rsidRPr="00802E12">
              <w:rPr>
                <w:rFonts w:ascii="Arial Narrow" w:hAnsi="Arial Narrow" w:cs="Arial"/>
                <w:b/>
                <w:sz w:val="20"/>
                <w:szCs w:val="20"/>
              </w:rPr>
              <w:t>PBS Indication:</w:t>
            </w:r>
          </w:p>
        </w:tc>
        <w:tc>
          <w:tcPr>
            <w:tcW w:w="3916" w:type="pct"/>
            <w:gridSpan w:val="6"/>
            <w:tcBorders>
              <w:top w:val="single" w:sz="4" w:space="0" w:color="auto"/>
              <w:left w:val="single" w:sz="4" w:space="0" w:color="auto"/>
              <w:bottom w:val="single" w:sz="4" w:space="0" w:color="auto"/>
              <w:right w:val="single" w:sz="4" w:space="0" w:color="auto"/>
            </w:tcBorders>
          </w:tcPr>
          <w:p w:rsidR="00873338" w:rsidRPr="00802E12" w:rsidRDefault="00873338" w:rsidP="007F427F">
            <w:pPr>
              <w:spacing w:before="40" w:after="40"/>
              <w:rPr>
                <w:rFonts w:ascii="Arial Narrow" w:hAnsi="Arial Narrow" w:cs="Arial"/>
                <w:sz w:val="20"/>
                <w:szCs w:val="20"/>
              </w:rPr>
            </w:pPr>
            <w:r w:rsidRPr="00802E12">
              <w:rPr>
                <w:rFonts w:ascii="Arial Narrow" w:hAnsi="Arial Narrow" w:cs="Arial"/>
                <w:sz w:val="20"/>
                <w:szCs w:val="20"/>
              </w:rPr>
              <w:t>Iron Overload</w:t>
            </w:r>
          </w:p>
        </w:tc>
      </w:tr>
      <w:tr w:rsidR="00873338" w:rsidRPr="00802E12" w:rsidTr="007F427F">
        <w:trPr>
          <w:gridAfter w:val="1"/>
          <w:wAfter w:w="4" w:type="pct"/>
          <w:cantSplit/>
          <w:trHeight w:val="360"/>
        </w:trPr>
        <w:tc>
          <w:tcPr>
            <w:tcW w:w="1080" w:type="pct"/>
            <w:tcBorders>
              <w:top w:val="single" w:sz="4" w:space="0" w:color="auto"/>
              <w:left w:val="single" w:sz="4" w:space="0" w:color="auto"/>
              <w:bottom w:val="single" w:sz="4" w:space="0" w:color="auto"/>
              <w:right w:val="single" w:sz="4" w:space="0" w:color="auto"/>
            </w:tcBorders>
          </w:tcPr>
          <w:p w:rsidR="00873338" w:rsidRPr="00802E12" w:rsidRDefault="00873338" w:rsidP="007F427F">
            <w:pPr>
              <w:spacing w:before="40" w:after="40"/>
              <w:jc w:val="both"/>
              <w:rPr>
                <w:rFonts w:ascii="Arial Narrow" w:hAnsi="Arial Narrow" w:cs="Arial"/>
                <w:b/>
                <w:sz w:val="20"/>
                <w:szCs w:val="20"/>
              </w:rPr>
            </w:pPr>
            <w:r w:rsidRPr="00802E12">
              <w:rPr>
                <w:rFonts w:ascii="Arial Narrow" w:hAnsi="Arial Narrow" w:cs="Arial"/>
                <w:b/>
                <w:sz w:val="20"/>
                <w:szCs w:val="20"/>
              </w:rPr>
              <w:t>Restriction Level / Method:</w:t>
            </w:r>
          </w:p>
          <w:p w:rsidR="00873338" w:rsidRPr="00802E12" w:rsidRDefault="00873338" w:rsidP="007F427F">
            <w:pPr>
              <w:spacing w:before="40" w:after="40"/>
              <w:rPr>
                <w:rFonts w:ascii="Arial Narrow" w:hAnsi="Arial Narrow" w:cs="Arial"/>
                <w:sz w:val="20"/>
                <w:szCs w:val="20"/>
              </w:rPr>
            </w:pPr>
          </w:p>
        </w:tc>
        <w:tc>
          <w:tcPr>
            <w:tcW w:w="3916" w:type="pct"/>
            <w:gridSpan w:val="6"/>
            <w:tcBorders>
              <w:top w:val="single" w:sz="4" w:space="0" w:color="auto"/>
              <w:left w:val="single" w:sz="4" w:space="0" w:color="auto"/>
              <w:bottom w:val="single" w:sz="4" w:space="0" w:color="auto"/>
              <w:right w:val="single" w:sz="4" w:space="0" w:color="auto"/>
            </w:tcBorders>
          </w:tcPr>
          <w:p w:rsidR="00873338" w:rsidRPr="00802E12" w:rsidRDefault="00873338" w:rsidP="007F427F">
            <w:pPr>
              <w:rPr>
                <w:rFonts w:ascii="Arial Narrow" w:hAnsi="Arial Narrow" w:cs="Arial"/>
                <w:sz w:val="20"/>
                <w:szCs w:val="20"/>
              </w:rPr>
            </w:pPr>
            <w:r w:rsidRPr="00802E12">
              <w:rPr>
                <w:rFonts w:ascii="Arial Narrow" w:hAnsi="Arial Narrow" w:cs="Arial"/>
                <w:sz w:val="20"/>
                <w:szCs w:val="20"/>
              </w:rPr>
              <w:fldChar w:fldCharType="begin">
                <w:ffData>
                  <w:name w:val=""/>
                  <w:enabled/>
                  <w:calcOnExit w:val="0"/>
                  <w:checkBox>
                    <w:sizeAuto/>
                    <w:default w:val="0"/>
                  </w:checkBox>
                </w:ffData>
              </w:fldChar>
            </w:r>
            <w:r w:rsidRPr="00802E12">
              <w:rPr>
                <w:rFonts w:ascii="Arial Narrow" w:hAnsi="Arial Narrow" w:cs="Arial"/>
                <w:sz w:val="20"/>
                <w:szCs w:val="20"/>
              </w:rPr>
              <w:instrText xml:space="preserve"> FORMCHECKBOX </w:instrText>
            </w:r>
            <w:r w:rsidR="00E5787F">
              <w:rPr>
                <w:rFonts w:ascii="Arial Narrow" w:hAnsi="Arial Narrow" w:cs="Arial"/>
                <w:sz w:val="20"/>
                <w:szCs w:val="20"/>
              </w:rPr>
            </w:r>
            <w:r w:rsidR="00E5787F">
              <w:rPr>
                <w:rFonts w:ascii="Arial Narrow" w:hAnsi="Arial Narrow" w:cs="Arial"/>
                <w:sz w:val="20"/>
                <w:szCs w:val="20"/>
              </w:rPr>
              <w:fldChar w:fldCharType="separate"/>
            </w:r>
            <w:r w:rsidRPr="00802E12">
              <w:rPr>
                <w:rFonts w:ascii="Arial Narrow" w:hAnsi="Arial Narrow" w:cs="Arial"/>
                <w:sz w:val="20"/>
                <w:szCs w:val="20"/>
              </w:rPr>
              <w:fldChar w:fldCharType="end"/>
            </w:r>
            <w:r w:rsidRPr="00802E12">
              <w:rPr>
                <w:rFonts w:ascii="Arial Narrow" w:hAnsi="Arial Narrow" w:cs="Arial"/>
                <w:sz w:val="20"/>
                <w:szCs w:val="20"/>
              </w:rPr>
              <w:t>Restricted benefit</w:t>
            </w:r>
          </w:p>
          <w:p w:rsidR="00873338" w:rsidRPr="00802E12" w:rsidRDefault="00873338" w:rsidP="007F427F">
            <w:pPr>
              <w:rPr>
                <w:rFonts w:ascii="Arial Narrow" w:hAnsi="Arial Narrow" w:cs="Arial"/>
                <w:sz w:val="20"/>
                <w:szCs w:val="20"/>
              </w:rPr>
            </w:pPr>
            <w:r w:rsidRPr="00802E12">
              <w:rPr>
                <w:rFonts w:ascii="Arial Narrow" w:hAnsi="Arial Narrow" w:cs="Arial"/>
                <w:sz w:val="20"/>
                <w:szCs w:val="20"/>
              </w:rPr>
              <w:fldChar w:fldCharType="begin">
                <w:ffData>
                  <w:name w:val=""/>
                  <w:enabled/>
                  <w:calcOnExit w:val="0"/>
                  <w:checkBox>
                    <w:sizeAuto/>
                    <w:default w:val="0"/>
                  </w:checkBox>
                </w:ffData>
              </w:fldChar>
            </w:r>
            <w:r w:rsidRPr="00802E12">
              <w:rPr>
                <w:rFonts w:ascii="Arial Narrow" w:hAnsi="Arial Narrow" w:cs="Arial"/>
                <w:sz w:val="20"/>
                <w:szCs w:val="20"/>
              </w:rPr>
              <w:instrText xml:space="preserve"> FORMCHECKBOX </w:instrText>
            </w:r>
            <w:r w:rsidR="00E5787F">
              <w:rPr>
                <w:rFonts w:ascii="Arial Narrow" w:hAnsi="Arial Narrow" w:cs="Arial"/>
                <w:sz w:val="20"/>
                <w:szCs w:val="20"/>
              </w:rPr>
            </w:r>
            <w:r w:rsidR="00E5787F">
              <w:rPr>
                <w:rFonts w:ascii="Arial Narrow" w:hAnsi="Arial Narrow" w:cs="Arial"/>
                <w:sz w:val="20"/>
                <w:szCs w:val="20"/>
              </w:rPr>
              <w:fldChar w:fldCharType="separate"/>
            </w:r>
            <w:r w:rsidRPr="00802E12">
              <w:rPr>
                <w:rFonts w:ascii="Arial Narrow" w:hAnsi="Arial Narrow" w:cs="Arial"/>
                <w:sz w:val="20"/>
                <w:szCs w:val="20"/>
              </w:rPr>
              <w:fldChar w:fldCharType="end"/>
            </w:r>
            <w:r w:rsidRPr="00802E12">
              <w:rPr>
                <w:rFonts w:ascii="Arial Narrow" w:hAnsi="Arial Narrow" w:cs="Arial"/>
                <w:sz w:val="20"/>
                <w:szCs w:val="20"/>
              </w:rPr>
              <w:t>Authority Required - In Writing</w:t>
            </w:r>
          </w:p>
          <w:p w:rsidR="00873338" w:rsidRPr="00802E12" w:rsidRDefault="00873338" w:rsidP="007F427F">
            <w:pPr>
              <w:rPr>
                <w:rFonts w:ascii="Arial Narrow" w:hAnsi="Arial Narrow" w:cs="Arial"/>
                <w:sz w:val="20"/>
                <w:szCs w:val="20"/>
              </w:rPr>
            </w:pPr>
            <w:r w:rsidRPr="00802E12">
              <w:rPr>
                <w:rFonts w:ascii="Arial Narrow" w:hAnsi="Arial Narrow" w:cs="Arial"/>
                <w:sz w:val="20"/>
                <w:szCs w:val="20"/>
              </w:rPr>
              <w:fldChar w:fldCharType="begin">
                <w:ffData>
                  <w:name w:val="Check3"/>
                  <w:enabled/>
                  <w:calcOnExit w:val="0"/>
                  <w:checkBox>
                    <w:sizeAuto/>
                    <w:default w:val="0"/>
                  </w:checkBox>
                </w:ffData>
              </w:fldChar>
            </w:r>
            <w:r w:rsidRPr="00802E12">
              <w:rPr>
                <w:rFonts w:ascii="Arial Narrow" w:hAnsi="Arial Narrow" w:cs="Arial"/>
                <w:sz w:val="20"/>
                <w:szCs w:val="20"/>
              </w:rPr>
              <w:instrText xml:space="preserve"> FORMCHECKBOX </w:instrText>
            </w:r>
            <w:r w:rsidR="00E5787F">
              <w:rPr>
                <w:rFonts w:ascii="Arial Narrow" w:hAnsi="Arial Narrow" w:cs="Arial"/>
                <w:sz w:val="20"/>
                <w:szCs w:val="20"/>
              </w:rPr>
            </w:r>
            <w:r w:rsidR="00E5787F">
              <w:rPr>
                <w:rFonts w:ascii="Arial Narrow" w:hAnsi="Arial Narrow" w:cs="Arial"/>
                <w:sz w:val="20"/>
                <w:szCs w:val="20"/>
              </w:rPr>
              <w:fldChar w:fldCharType="separate"/>
            </w:r>
            <w:r w:rsidRPr="00802E12">
              <w:rPr>
                <w:rFonts w:ascii="Arial Narrow" w:hAnsi="Arial Narrow" w:cs="Arial"/>
                <w:sz w:val="20"/>
                <w:szCs w:val="20"/>
              </w:rPr>
              <w:fldChar w:fldCharType="end"/>
            </w:r>
            <w:r w:rsidRPr="00802E12">
              <w:rPr>
                <w:rFonts w:ascii="Arial Narrow" w:hAnsi="Arial Narrow" w:cs="Arial"/>
                <w:sz w:val="20"/>
                <w:szCs w:val="20"/>
              </w:rPr>
              <w:t>Authority Required - Telephone</w:t>
            </w:r>
          </w:p>
          <w:p w:rsidR="00873338" w:rsidRPr="00802E12" w:rsidRDefault="00873338" w:rsidP="007F427F">
            <w:pPr>
              <w:rPr>
                <w:rFonts w:ascii="Arial Narrow" w:hAnsi="Arial Narrow" w:cs="Arial"/>
                <w:sz w:val="20"/>
                <w:szCs w:val="20"/>
              </w:rPr>
            </w:pPr>
            <w:r w:rsidRPr="00802E12">
              <w:rPr>
                <w:rFonts w:ascii="Arial Narrow" w:hAnsi="Arial Narrow" w:cs="Arial"/>
                <w:sz w:val="20"/>
                <w:szCs w:val="20"/>
              </w:rPr>
              <w:fldChar w:fldCharType="begin">
                <w:ffData>
                  <w:name w:val=""/>
                  <w:enabled/>
                  <w:calcOnExit w:val="0"/>
                  <w:checkBox>
                    <w:sizeAuto/>
                    <w:default w:val="0"/>
                  </w:checkBox>
                </w:ffData>
              </w:fldChar>
            </w:r>
            <w:r w:rsidRPr="00802E12">
              <w:rPr>
                <w:rFonts w:ascii="Arial Narrow" w:hAnsi="Arial Narrow" w:cs="Arial"/>
                <w:sz w:val="20"/>
                <w:szCs w:val="20"/>
              </w:rPr>
              <w:instrText xml:space="preserve"> FORMCHECKBOX </w:instrText>
            </w:r>
            <w:r w:rsidR="00E5787F">
              <w:rPr>
                <w:rFonts w:ascii="Arial Narrow" w:hAnsi="Arial Narrow" w:cs="Arial"/>
                <w:sz w:val="20"/>
                <w:szCs w:val="20"/>
              </w:rPr>
            </w:r>
            <w:r w:rsidR="00E5787F">
              <w:rPr>
                <w:rFonts w:ascii="Arial Narrow" w:hAnsi="Arial Narrow" w:cs="Arial"/>
                <w:sz w:val="20"/>
                <w:szCs w:val="20"/>
              </w:rPr>
              <w:fldChar w:fldCharType="separate"/>
            </w:r>
            <w:r w:rsidRPr="00802E12">
              <w:rPr>
                <w:rFonts w:ascii="Arial Narrow" w:hAnsi="Arial Narrow" w:cs="Arial"/>
                <w:sz w:val="20"/>
                <w:szCs w:val="20"/>
              </w:rPr>
              <w:fldChar w:fldCharType="end"/>
            </w:r>
            <w:r w:rsidRPr="00802E12">
              <w:rPr>
                <w:rFonts w:ascii="Arial Narrow" w:hAnsi="Arial Narrow" w:cs="Arial"/>
                <w:sz w:val="20"/>
                <w:szCs w:val="20"/>
              </w:rPr>
              <w:t>Authority Required - Emergency</w:t>
            </w:r>
          </w:p>
          <w:p w:rsidR="00873338" w:rsidRPr="00802E12" w:rsidRDefault="00873338" w:rsidP="007F427F">
            <w:pPr>
              <w:rPr>
                <w:rFonts w:ascii="Arial Narrow" w:hAnsi="Arial Narrow" w:cs="Arial"/>
                <w:sz w:val="20"/>
                <w:szCs w:val="20"/>
              </w:rPr>
            </w:pPr>
            <w:r w:rsidRPr="00802E12">
              <w:rPr>
                <w:rFonts w:ascii="Arial Narrow" w:hAnsi="Arial Narrow" w:cs="Arial"/>
                <w:sz w:val="20"/>
                <w:szCs w:val="20"/>
              </w:rPr>
              <w:fldChar w:fldCharType="begin">
                <w:ffData>
                  <w:name w:val="Check5"/>
                  <w:enabled/>
                  <w:calcOnExit w:val="0"/>
                  <w:checkBox>
                    <w:sizeAuto/>
                    <w:default w:val="0"/>
                  </w:checkBox>
                </w:ffData>
              </w:fldChar>
            </w:r>
            <w:r w:rsidRPr="00802E12">
              <w:rPr>
                <w:rFonts w:ascii="Arial Narrow" w:hAnsi="Arial Narrow" w:cs="Arial"/>
                <w:sz w:val="20"/>
                <w:szCs w:val="20"/>
              </w:rPr>
              <w:instrText xml:space="preserve"> FORMCHECKBOX </w:instrText>
            </w:r>
            <w:r w:rsidR="00E5787F">
              <w:rPr>
                <w:rFonts w:ascii="Arial Narrow" w:hAnsi="Arial Narrow" w:cs="Arial"/>
                <w:sz w:val="20"/>
                <w:szCs w:val="20"/>
              </w:rPr>
            </w:r>
            <w:r w:rsidR="00E5787F">
              <w:rPr>
                <w:rFonts w:ascii="Arial Narrow" w:hAnsi="Arial Narrow" w:cs="Arial"/>
                <w:sz w:val="20"/>
                <w:szCs w:val="20"/>
              </w:rPr>
              <w:fldChar w:fldCharType="separate"/>
            </w:r>
            <w:r w:rsidRPr="00802E12">
              <w:rPr>
                <w:rFonts w:ascii="Arial Narrow" w:hAnsi="Arial Narrow" w:cs="Arial"/>
                <w:sz w:val="20"/>
                <w:szCs w:val="20"/>
              </w:rPr>
              <w:fldChar w:fldCharType="end"/>
            </w:r>
            <w:r w:rsidRPr="00802E12">
              <w:rPr>
                <w:rFonts w:ascii="Arial Narrow" w:hAnsi="Arial Narrow" w:cs="Arial"/>
                <w:sz w:val="20"/>
                <w:szCs w:val="20"/>
              </w:rPr>
              <w:t>Authority Required - Electronic</w:t>
            </w:r>
          </w:p>
          <w:p w:rsidR="00873338" w:rsidRPr="00802E12" w:rsidRDefault="00873338" w:rsidP="007F427F">
            <w:pPr>
              <w:spacing w:before="40" w:after="40"/>
              <w:rPr>
                <w:rFonts w:ascii="Arial Narrow" w:hAnsi="Arial Narrow" w:cs="Arial"/>
                <w:sz w:val="20"/>
                <w:szCs w:val="20"/>
              </w:rPr>
            </w:pPr>
            <w:r w:rsidRPr="00802E12">
              <w:rPr>
                <w:rFonts w:ascii="Arial Narrow" w:hAnsi="Arial Narrow" w:cs="Arial"/>
                <w:sz w:val="20"/>
                <w:szCs w:val="20"/>
              </w:rPr>
              <w:fldChar w:fldCharType="begin">
                <w:ffData>
                  <w:name w:val=""/>
                  <w:enabled/>
                  <w:calcOnExit w:val="0"/>
                  <w:checkBox>
                    <w:sizeAuto/>
                    <w:default w:val="1"/>
                  </w:checkBox>
                </w:ffData>
              </w:fldChar>
            </w:r>
            <w:r w:rsidRPr="00802E12">
              <w:rPr>
                <w:rFonts w:ascii="Arial Narrow" w:hAnsi="Arial Narrow" w:cs="Arial"/>
                <w:sz w:val="20"/>
                <w:szCs w:val="20"/>
              </w:rPr>
              <w:instrText xml:space="preserve"> FORMCHECKBOX </w:instrText>
            </w:r>
            <w:r w:rsidR="00E5787F">
              <w:rPr>
                <w:rFonts w:ascii="Arial Narrow" w:hAnsi="Arial Narrow" w:cs="Arial"/>
                <w:sz w:val="20"/>
                <w:szCs w:val="20"/>
              </w:rPr>
            </w:r>
            <w:r w:rsidR="00E5787F">
              <w:rPr>
                <w:rFonts w:ascii="Arial Narrow" w:hAnsi="Arial Narrow" w:cs="Arial"/>
                <w:sz w:val="20"/>
                <w:szCs w:val="20"/>
              </w:rPr>
              <w:fldChar w:fldCharType="separate"/>
            </w:r>
            <w:r w:rsidRPr="00802E12">
              <w:rPr>
                <w:rFonts w:ascii="Arial Narrow" w:hAnsi="Arial Narrow" w:cs="Arial"/>
                <w:sz w:val="20"/>
                <w:szCs w:val="20"/>
              </w:rPr>
              <w:fldChar w:fldCharType="end"/>
            </w:r>
            <w:r w:rsidRPr="00802E12">
              <w:rPr>
                <w:rFonts w:ascii="Arial Narrow" w:hAnsi="Arial Narrow" w:cs="Arial"/>
                <w:sz w:val="20"/>
                <w:szCs w:val="20"/>
              </w:rPr>
              <w:t>Streamlined</w:t>
            </w:r>
          </w:p>
        </w:tc>
      </w:tr>
      <w:tr w:rsidR="00873338" w:rsidRPr="00802E12" w:rsidTr="007F427F">
        <w:trPr>
          <w:gridAfter w:val="1"/>
          <w:wAfter w:w="4" w:type="pct"/>
          <w:cantSplit/>
          <w:trHeight w:val="360"/>
        </w:trPr>
        <w:tc>
          <w:tcPr>
            <w:tcW w:w="1080" w:type="pct"/>
            <w:tcBorders>
              <w:top w:val="single" w:sz="4" w:space="0" w:color="auto"/>
              <w:left w:val="single" w:sz="4" w:space="0" w:color="auto"/>
              <w:bottom w:val="single" w:sz="4" w:space="0" w:color="auto"/>
              <w:right w:val="single" w:sz="4" w:space="0" w:color="auto"/>
            </w:tcBorders>
          </w:tcPr>
          <w:p w:rsidR="00873338" w:rsidRPr="00802E12" w:rsidRDefault="00873338" w:rsidP="007F427F">
            <w:pPr>
              <w:spacing w:before="40" w:after="40"/>
              <w:jc w:val="both"/>
              <w:rPr>
                <w:rFonts w:ascii="Arial Narrow" w:hAnsi="Arial Narrow" w:cs="Arial"/>
                <w:b/>
                <w:sz w:val="20"/>
                <w:szCs w:val="20"/>
              </w:rPr>
            </w:pPr>
            <w:r w:rsidRPr="00802E12">
              <w:rPr>
                <w:rFonts w:ascii="Arial Narrow" w:hAnsi="Arial Narrow" w:cs="Arial"/>
                <w:b/>
                <w:sz w:val="20"/>
                <w:szCs w:val="20"/>
              </w:rPr>
              <w:t>Clinical criteria:</w:t>
            </w:r>
          </w:p>
          <w:p w:rsidR="00873338" w:rsidRPr="00802E12" w:rsidRDefault="00873338" w:rsidP="007F427F">
            <w:pPr>
              <w:spacing w:before="40" w:after="40"/>
              <w:jc w:val="both"/>
              <w:rPr>
                <w:rFonts w:ascii="Arial Narrow" w:hAnsi="Arial Narrow" w:cs="Arial"/>
                <w:sz w:val="20"/>
                <w:szCs w:val="20"/>
              </w:rPr>
            </w:pPr>
          </w:p>
        </w:tc>
        <w:tc>
          <w:tcPr>
            <w:tcW w:w="3916" w:type="pct"/>
            <w:gridSpan w:val="6"/>
            <w:tcBorders>
              <w:top w:val="single" w:sz="4" w:space="0" w:color="auto"/>
              <w:left w:val="single" w:sz="4" w:space="0" w:color="auto"/>
              <w:bottom w:val="single" w:sz="4" w:space="0" w:color="auto"/>
              <w:right w:val="single" w:sz="4" w:space="0" w:color="auto"/>
            </w:tcBorders>
          </w:tcPr>
          <w:p w:rsidR="00873338" w:rsidRPr="00802E12" w:rsidRDefault="00873338" w:rsidP="00284791">
            <w:pPr>
              <w:rPr>
                <w:rFonts w:ascii="Arial Narrow" w:hAnsi="Arial Narrow" w:cs="Arial"/>
                <w:sz w:val="20"/>
                <w:szCs w:val="20"/>
              </w:rPr>
            </w:pPr>
            <w:r w:rsidRPr="00802E12">
              <w:rPr>
                <w:rFonts w:ascii="Arial Narrow" w:hAnsi="Arial Narrow" w:cs="Arial"/>
                <w:sz w:val="20"/>
                <w:szCs w:val="20"/>
              </w:rPr>
              <w:t xml:space="preserve">Patient must have thalassaemia major, AND </w:t>
            </w:r>
          </w:p>
          <w:p w:rsidR="00873338" w:rsidRPr="00802E12" w:rsidRDefault="00873338" w:rsidP="00284791">
            <w:pPr>
              <w:rPr>
                <w:rFonts w:ascii="Arial Narrow" w:hAnsi="Arial Narrow" w:cs="Arial"/>
                <w:sz w:val="20"/>
                <w:szCs w:val="20"/>
              </w:rPr>
            </w:pPr>
          </w:p>
          <w:p w:rsidR="00873338" w:rsidRPr="00802E12" w:rsidRDefault="00873338" w:rsidP="00284791">
            <w:pPr>
              <w:rPr>
                <w:rFonts w:ascii="Arial Narrow" w:hAnsi="Arial Narrow" w:cs="Arial"/>
                <w:sz w:val="20"/>
                <w:szCs w:val="20"/>
              </w:rPr>
            </w:pPr>
            <w:r w:rsidRPr="00802E12">
              <w:rPr>
                <w:rFonts w:ascii="Arial Narrow" w:hAnsi="Arial Narrow" w:cs="Arial"/>
                <w:sz w:val="20"/>
                <w:szCs w:val="20"/>
              </w:rPr>
              <w:t>Patient must be unable to take desferrioxamine therapy,</w:t>
            </w:r>
          </w:p>
          <w:p w:rsidR="00873338" w:rsidRPr="00802E12" w:rsidRDefault="00873338" w:rsidP="00284791">
            <w:pPr>
              <w:spacing w:before="40" w:after="40"/>
              <w:rPr>
                <w:rFonts w:ascii="Arial Narrow" w:hAnsi="Arial Narrow" w:cs="Arial"/>
                <w:sz w:val="20"/>
                <w:szCs w:val="20"/>
              </w:rPr>
            </w:pPr>
          </w:p>
        </w:tc>
      </w:tr>
    </w:tbl>
    <w:p w:rsidR="00113653" w:rsidRDefault="00113653" w:rsidP="00674C55"/>
    <w:p w:rsidR="00113653" w:rsidRDefault="00113653">
      <w:r>
        <w:br w:type="page"/>
      </w:r>
    </w:p>
    <w:p w:rsidR="00674C55" w:rsidRPr="00113653" w:rsidRDefault="0090502D" w:rsidP="00113653">
      <w:pPr>
        <w:pStyle w:val="PBACHeading1"/>
        <w:numPr>
          <w:ilvl w:val="0"/>
          <w:numId w:val="0"/>
        </w:numPr>
        <w:jc w:val="both"/>
        <w:outlineLvl w:val="9"/>
        <w:rPr>
          <w:rFonts w:asciiTheme="minorHAnsi" w:hAnsiTheme="minorHAnsi"/>
          <w:b w:val="0"/>
          <w:sz w:val="24"/>
          <w:szCs w:val="24"/>
        </w:rPr>
      </w:pPr>
      <w:r w:rsidRPr="00113653">
        <w:rPr>
          <w:rFonts w:asciiTheme="minorHAnsi" w:hAnsiTheme="minorHAnsi"/>
          <w:b w:val="0"/>
          <w:sz w:val="24"/>
          <w:szCs w:val="24"/>
        </w:rPr>
        <w:t>Flow</w:t>
      </w:r>
      <w:r w:rsidR="00A54915" w:rsidRPr="00113653">
        <w:rPr>
          <w:rFonts w:asciiTheme="minorHAnsi" w:hAnsiTheme="minorHAnsi"/>
          <w:b w:val="0"/>
          <w:sz w:val="24"/>
          <w:szCs w:val="24"/>
        </w:rPr>
        <w:t xml:space="preserve">-on changes. </w:t>
      </w:r>
    </w:p>
    <w:p w:rsidR="00A54915" w:rsidRPr="00113653" w:rsidRDefault="00A54915" w:rsidP="00113653">
      <w:pPr>
        <w:pStyle w:val="PBACHeading1"/>
        <w:numPr>
          <w:ilvl w:val="0"/>
          <w:numId w:val="0"/>
        </w:numPr>
        <w:jc w:val="both"/>
        <w:outlineLvl w:val="9"/>
        <w:rPr>
          <w:rFonts w:asciiTheme="minorHAnsi" w:hAnsiTheme="minorHAnsi"/>
          <w:b w:val="0"/>
          <w:sz w:val="24"/>
          <w:szCs w:val="24"/>
        </w:rPr>
      </w:pPr>
      <w:r w:rsidRPr="00113653">
        <w:rPr>
          <w:rFonts w:asciiTheme="minorHAnsi" w:hAnsiTheme="minorHAnsi"/>
          <w:b w:val="0"/>
          <w:sz w:val="24"/>
          <w:szCs w:val="24"/>
        </w:rPr>
        <w:t>Amend the current listing for deferiprone 500 mg tablet</w:t>
      </w:r>
      <w:r w:rsidR="007B19E3" w:rsidRPr="00113653">
        <w:rPr>
          <w:rFonts w:asciiTheme="minorHAnsi" w:hAnsiTheme="minorHAnsi"/>
          <w:b w:val="0"/>
          <w:sz w:val="24"/>
          <w:szCs w:val="24"/>
        </w:rPr>
        <w:t xml:space="preserve"> as follows.</w:t>
      </w:r>
      <w:r w:rsidRPr="00113653">
        <w:rPr>
          <w:rFonts w:asciiTheme="minorHAnsi" w:hAnsiTheme="minorHAnsi"/>
          <w:b w:val="0"/>
          <w:sz w:val="24"/>
          <w:szCs w:val="24"/>
        </w:rPr>
        <w:t xml:space="preserve"> </w:t>
      </w:r>
    </w:p>
    <w:p w:rsidR="00674C55" w:rsidRPr="00802E12" w:rsidRDefault="00674C55" w:rsidP="00674C55"/>
    <w:tbl>
      <w:tblPr>
        <w:tblW w:w="4915" w:type="pct"/>
        <w:tblLook w:val="0000" w:firstRow="0" w:lastRow="0" w:firstColumn="0" w:lastColumn="0" w:noHBand="0" w:noVBand="0"/>
      </w:tblPr>
      <w:tblGrid>
        <w:gridCol w:w="3345"/>
        <w:gridCol w:w="749"/>
        <w:gridCol w:w="901"/>
        <w:gridCol w:w="1639"/>
        <w:gridCol w:w="874"/>
        <w:gridCol w:w="1577"/>
      </w:tblGrid>
      <w:tr w:rsidR="00A54915" w:rsidRPr="00802E12" w:rsidTr="007F427F">
        <w:trPr>
          <w:cantSplit/>
          <w:trHeight w:val="465"/>
        </w:trPr>
        <w:tc>
          <w:tcPr>
            <w:tcW w:w="1841" w:type="pct"/>
            <w:tcBorders>
              <w:bottom w:val="single" w:sz="4" w:space="0" w:color="auto"/>
            </w:tcBorders>
          </w:tcPr>
          <w:p w:rsidR="00A54915" w:rsidRPr="00802E12" w:rsidRDefault="00A54915" w:rsidP="007F427F">
            <w:pPr>
              <w:keepNext/>
              <w:spacing w:before="40" w:after="40"/>
              <w:jc w:val="both"/>
              <w:rPr>
                <w:rFonts w:ascii="Arial Narrow" w:hAnsi="Arial Narrow" w:cs="Arial"/>
                <w:b/>
                <w:sz w:val="20"/>
                <w:szCs w:val="20"/>
              </w:rPr>
            </w:pPr>
            <w:r w:rsidRPr="00802E12">
              <w:rPr>
                <w:rFonts w:ascii="Arial Narrow" w:hAnsi="Arial Narrow" w:cs="Arial"/>
                <w:b/>
                <w:sz w:val="20"/>
                <w:szCs w:val="20"/>
              </w:rPr>
              <w:t>Name, Restriction,</w:t>
            </w:r>
          </w:p>
          <w:p w:rsidR="00A54915" w:rsidRPr="00802E12" w:rsidRDefault="00A54915" w:rsidP="007F427F">
            <w:pPr>
              <w:keepNext/>
              <w:spacing w:before="40" w:after="40"/>
              <w:jc w:val="both"/>
              <w:rPr>
                <w:rFonts w:ascii="Arial Narrow" w:hAnsi="Arial Narrow" w:cs="Arial"/>
                <w:b/>
                <w:sz w:val="20"/>
                <w:szCs w:val="20"/>
              </w:rPr>
            </w:pPr>
            <w:r w:rsidRPr="00802E12">
              <w:rPr>
                <w:rFonts w:ascii="Arial Narrow" w:hAnsi="Arial Narrow" w:cs="Arial"/>
                <w:b/>
                <w:sz w:val="20"/>
                <w:szCs w:val="20"/>
              </w:rPr>
              <w:t>Manner of administration and form</w:t>
            </w:r>
          </w:p>
        </w:tc>
        <w:tc>
          <w:tcPr>
            <w:tcW w:w="412" w:type="pct"/>
            <w:tcBorders>
              <w:bottom w:val="single" w:sz="4" w:space="0" w:color="auto"/>
            </w:tcBorders>
          </w:tcPr>
          <w:p w:rsidR="00A54915" w:rsidRPr="00802E12" w:rsidRDefault="00A54915" w:rsidP="007F427F">
            <w:pPr>
              <w:keepNext/>
              <w:spacing w:before="40" w:after="40"/>
              <w:jc w:val="both"/>
              <w:rPr>
                <w:rFonts w:ascii="Arial Narrow" w:hAnsi="Arial Narrow" w:cs="Arial"/>
                <w:b/>
                <w:sz w:val="20"/>
                <w:szCs w:val="20"/>
              </w:rPr>
            </w:pPr>
            <w:r w:rsidRPr="00802E12">
              <w:rPr>
                <w:rFonts w:ascii="Arial Narrow" w:hAnsi="Arial Narrow" w:cs="Arial"/>
                <w:b/>
                <w:sz w:val="20"/>
                <w:szCs w:val="20"/>
              </w:rPr>
              <w:t>Max.</w:t>
            </w:r>
          </w:p>
          <w:p w:rsidR="00A54915" w:rsidRPr="00802E12" w:rsidRDefault="00A54915" w:rsidP="007F427F">
            <w:pPr>
              <w:keepNext/>
              <w:spacing w:before="40" w:after="40"/>
              <w:jc w:val="both"/>
              <w:rPr>
                <w:rFonts w:ascii="Arial Narrow" w:hAnsi="Arial Narrow" w:cs="Arial"/>
                <w:b/>
                <w:sz w:val="20"/>
                <w:szCs w:val="20"/>
              </w:rPr>
            </w:pPr>
            <w:r w:rsidRPr="00802E12">
              <w:rPr>
                <w:rFonts w:ascii="Arial Narrow" w:hAnsi="Arial Narrow" w:cs="Arial"/>
                <w:b/>
                <w:sz w:val="20"/>
                <w:szCs w:val="20"/>
              </w:rPr>
              <w:t>Qty</w:t>
            </w:r>
          </w:p>
        </w:tc>
        <w:tc>
          <w:tcPr>
            <w:tcW w:w="496" w:type="pct"/>
            <w:tcBorders>
              <w:bottom w:val="single" w:sz="4" w:space="0" w:color="auto"/>
            </w:tcBorders>
          </w:tcPr>
          <w:p w:rsidR="00A54915" w:rsidRPr="00802E12" w:rsidRDefault="00A54915" w:rsidP="007F427F">
            <w:pPr>
              <w:keepNext/>
              <w:spacing w:before="40" w:after="40"/>
              <w:jc w:val="both"/>
              <w:rPr>
                <w:rFonts w:ascii="Arial Narrow" w:hAnsi="Arial Narrow" w:cs="Arial"/>
                <w:b/>
                <w:sz w:val="20"/>
                <w:szCs w:val="20"/>
              </w:rPr>
            </w:pPr>
            <w:r w:rsidRPr="00802E12">
              <w:rPr>
                <w:rFonts w:ascii="Arial Narrow" w:hAnsi="Arial Narrow" w:cs="Arial"/>
                <w:b/>
                <w:sz w:val="20"/>
                <w:szCs w:val="20"/>
              </w:rPr>
              <w:t>№.of</w:t>
            </w:r>
          </w:p>
          <w:p w:rsidR="00A54915" w:rsidRPr="00802E12" w:rsidRDefault="00A54915" w:rsidP="007F427F">
            <w:pPr>
              <w:keepNext/>
              <w:spacing w:before="40" w:after="40"/>
              <w:jc w:val="both"/>
              <w:rPr>
                <w:rFonts w:ascii="Arial Narrow" w:hAnsi="Arial Narrow" w:cs="Arial"/>
                <w:b/>
                <w:sz w:val="20"/>
                <w:szCs w:val="20"/>
              </w:rPr>
            </w:pPr>
            <w:r w:rsidRPr="00802E12">
              <w:rPr>
                <w:rFonts w:ascii="Arial Narrow" w:hAnsi="Arial Narrow" w:cs="Arial"/>
                <w:b/>
                <w:sz w:val="20"/>
                <w:szCs w:val="20"/>
              </w:rPr>
              <w:t>Rpts</w:t>
            </w:r>
          </w:p>
        </w:tc>
        <w:tc>
          <w:tcPr>
            <w:tcW w:w="902" w:type="pct"/>
            <w:tcBorders>
              <w:bottom w:val="single" w:sz="4" w:space="0" w:color="auto"/>
            </w:tcBorders>
          </w:tcPr>
          <w:p w:rsidR="00A54915" w:rsidRPr="00802E12" w:rsidRDefault="002872B1" w:rsidP="007F427F">
            <w:pPr>
              <w:keepNext/>
              <w:spacing w:before="40" w:after="40"/>
              <w:jc w:val="both"/>
              <w:rPr>
                <w:rFonts w:ascii="Arial Narrow" w:hAnsi="Arial Narrow" w:cs="Arial"/>
                <w:b/>
                <w:sz w:val="20"/>
                <w:szCs w:val="20"/>
              </w:rPr>
            </w:pPr>
            <w:r w:rsidRPr="00802E12">
              <w:rPr>
                <w:rFonts w:ascii="Arial Narrow" w:hAnsi="Arial Narrow" w:cs="Arial"/>
                <w:b/>
                <w:sz w:val="20"/>
                <w:szCs w:val="20"/>
              </w:rPr>
              <w:t>Proprietary Name</w:t>
            </w:r>
          </w:p>
        </w:tc>
        <w:tc>
          <w:tcPr>
            <w:tcW w:w="1349" w:type="pct"/>
            <w:gridSpan w:val="2"/>
            <w:tcBorders>
              <w:bottom w:val="single" w:sz="4" w:space="0" w:color="auto"/>
            </w:tcBorders>
          </w:tcPr>
          <w:p w:rsidR="00A54915" w:rsidRPr="00802E12" w:rsidRDefault="00A54915" w:rsidP="007F427F">
            <w:pPr>
              <w:keepNext/>
              <w:spacing w:before="40" w:after="40"/>
              <w:jc w:val="both"/>
              <w:rPr>
                <w:rFonts w:ascii="Arial Narrow" w:hAnsi="Arial Narrow" w:cs="Arial"/>
                <w:b/>
                <w:sz w:val="20"/>
                <w:szCs w:val="20"/>
              </w:rPr>
            </w:pPr>
            <w:r w:rsidRPr="00802E12">
              <w:rPr>
                <w:rFonts w:ascii="Arial Narrow" w:hAnsi="Arial Narrow" w:cs="Arial"/>
                <w:b/>
                <w:sz w:val="20"/>
                <w:szCs w:val="20"/>
              </w:rPr>
              <w:t>Manufacturer</w:t>
            </w:r>
          </w:p>
        </w:tc>
      </w:tr>
      <w:tr w:rsidR="00A54915" w:rsidRPr="00802E12" w:rsidTr="007F427F">
        <w:trPr>
          <w:cantSplit/>
          <w:trHeight w:val="567"/>
        </w:trPr>
        <w:tc>
          <w:tcPr>
            <w:tcW w:w="1841" w:type="pct"/>
          </w:tcPr>
          <w:p w:rsidR="00A54915" w:rsidRPr="00802E12" w:rsidRDefault="00A54915" w:rsidP="007F427F">
            <w:pPr>
              <w:keepNext/>
              <w:spacing w:before="40" w:after="40"/>
              <w:jc w:val="both"/>
              <w:rPr>
                <w:rFonts w:ascii="Arial Narrow" w:hAnsi="Arial Narrow" w:cs="Arial"/>
                <w:sz w:val="20"/>
                <w:szCs w:val="20"/>
              </w:rPr>
            </w:pPr>
            <w:r w:rsidRPr="00802E12">
              <w:rPr>
                <w:rFonts w:ascii="Arial Narrow" w:hAnsi="Arial Narrow" w:cs="Arial"/>
                <w:smallCaps/>
                <w:sz w:val="20"/>
                <w:szCs w:val="20"/>
              </w:rPr>
              <w:t>deferiprone</w:t>
            </w:r>
          </w:p>
          <w:p w:rsidR="00A54915" w:rsidRPr="00802E12" w:rsidRDefault="00A54915" w:rsidP="00C70F47">
            <w:pPr>
              <w:keepNext/>
              <w:spacing w:before="40" w:after="40"/>
              <w:jc w:val="both"/>
              <w:rPr>
                <w:rFonts w:ascii="Arial Narrow" w:hAnsi="Arial Narrow" w:cs="Arial"/>
                <w:sz w:val="20"/>
                <w:szCs w:val="20"/>
              </w:rPr>
            </w:pPr>
            <w:r w:rsidRPr="00802E12">
              <w:rPr>
                <w:rFonts w:ascii="Arial Narrow" w:hAnsi="Arial Narrow" w:cs="Arial"/>
                <w:sz w:val="20"/>
                <w:szCs w:val="20"/>
              </w:rPr>
              <w:t xml:space="preserve">500 mg tablet, </w:t>
            </w:r>
            <w:r w:rsidR="00C70F47">
              <w:rPr>
                <w:rFonts w:ascii="Arial Narrow" w:hAnsi="Arial Narrow" w:cs="Arial"/>
                <w:sz w:val="20"/>
                <w:szCs w:val="20"/>
              </w:rPr>
              <w:t>10</w:t>
            </w:r>
            <w:r w:rsidR="00C70F47" w:rsidRPr="00802E12">
              <w:rPr>
                <w:rFonts w:ascii="Arial Narrow" w:hAnsi="Arial Narrow" w:cs="Arial"/>
                <w:sz w:val="20"/>
                <w:szCs w:val="20"/>
              </w:rPr>
              <w:t>0</w:t>
            </w:r>
          </w:p>
        </w:tc>
        <w:tc>
          <w:tcPr>
            <w:tcW w:w="412" w:type="pct"/>
          </w:tcPr>
          <w:p w:rsidR="00A54915" w:rsidRPr="00802E12" w:rsidRDefault="00A54915" w:rsidP="007F427F">
            <w:pPr>
              <w:keepNext/>
              <w:spacing w:before="40" w:after="40"/>
              <w:jc w:val="both"/>
              <w:rPr>
                <w:rFonts w:ascii="Arial Narrow" w:hAnsi="Arial Narrow" w:cs="Arial"/>
                <w:sz w:val="20"/>
                <w:szCs w:val="20"/>
              </w:rPr>
            </w:pPr>
            <w:r w:rsidRPr="00802E12">
              <w:rPr>
                <w:rFonts w:ascii="Arial Narrow" w:hAnsi="Arial Narrow" w:cs="Arial"/>
                <w:strike/>
                <w:sz w:val="20"/>
                <w:szCs w:val="20"/>
              </w:rPr>
              <w:t>6</w:t>
            </w:r>
            <w:r w:rsidRPr="00802E12">
              <w:rPr>
                <w:rFonts w:ascii="Arial Narrow" w:hAnsi="Arial Narrow" w:cs="Arial"/>
                <w:sz w:val="20"/>
                <w:szCs w:val="20"/>
              </w:rPr>
              <w:t xml:space="preserve">  </w:t>
            </w:r>
            <w:r w:rsidRPr="002872B1">
              <w:rPr>
                <w:rFonts w:ascii="Arial Narrow" w:hAnsi="Arial Narrow" w:cs="Arial"/>
                <w:i/>
                <w:sz w:val="20"/>
                <w:szCs w:val="20"/>
              </w:rPr>
              <w:t>3</w:t>
            </w:r>
          </w:p>
        </w:tc>
        <w:tc>
          <w:tcPr>
            <w:tcW w:w="496" w:type="pct"/>
          </w:tcPr>
          <w:p w:rsidR="00A54915" w:rsidRPr="00802E12" w:rsidRDefault="00A54915" w:rsidP="007F427F">
            <w:pPr>
              <w:keepNext/>
              <w:spacing w:before="40" w:after="40"/>
              <w:jc w:val="both"/>
              <w:rPr>
                <w:rFonts w:ascii="Arial Narrow" w:hAnsi="Arial Narrow" w:cs="Arial"/>
                <w:sz w:val="20"/>
                <w:szCs w:val="20"/>
              </w:rPr>
            </w:pPr>
            <w:r w:rsidRPr="00802E12">
              <w:rPr>
                <w:rFonts w:ascii="Arial Narrow" w:hAnsi="Arial Narrow" w:cs="Arial"/>
                <w:sz w:val="20"/>
                <w:szCs w:val="20"/>
              </w:rPr>
              <w:t>5</w:t>
            </w:r>
          </w:p>
        </w:tc>
        <w:tc>
          <w:tcPr>
            <w:tcW w:w="902" w:type="pct"/>
          </w:tcPr>
          <w:p w:rsidR="00A54915" w:rsidRPr="00802E12" w:rsidRDefault="002872B1" w:rsidP="007F427F">
            <w:pPr>
              <w:keepNext/>
              <w:spacing w:before="40" w:after="40"/>
              <w:jc w:val="both"/>
              <w:rPr>
                <w:rFonts w:ascii="Arial Narrow" w:hAnsi="Arial Narrow" w:cs="Arial"/>
                <w:sz w:val="20"/>
                <w:szCs w:val="20"/>
              </w:rPr>
            </w:pPr>
            <w:r w:rsidRPr="00802E12">
              <w:rPr>
                <w:rFonts w:ascii="Arial Narrow" w:hAnsi="Arial Narrow" w:cs="Arial"/>
                <w:sz w:val="20"/>
                <w:szCs w:val="20"/>
              </w:rPr>
              <w:t>Ferriprox</w:t>
            </w:r>
          </w:p>
        </w:tc>
        <w:tc>
          <w:tcPr>
            <w:tcW w:w="481" w:type="pct"/>
          </w:tcPr>
          <w:p w:rsidR="00A54915" w:rsidRPr="00802E12" w:rsidRDefault="002872B1" w:rsidP="007F427F">
            <w:pPr>
              <w:keepNext/>
              <w:spacing w:before="40" w:after="40"/>
              <w:jc w:val="both"/>
              <w:rPr>
                <w:rFonts w:ascii="Arial Narrow" w:hAnsi="Arial Narrow" w:cs="Arial"/>
                <w:sz w:val="20"/>
                <w:szCs w:val="20"/>
              </w:rPr>
            </w:pPr>
            <w:r w:rsidRPr="00802E12">
              <w:rPr>
                <w:rFonts w:ascii="Arial Narrow" w:hAnsi="Arial Narrow" w:cs="Arial"/>
                <w:sz w:val="20"/>
                <w:szCs w:val="20"/>
              </w:rPr>
              <w:t>Apotex</w:t>
            </w:r>
          </w:p>
        </w:tc>
        <w:tc>
          <w:tcPr>
            <w:tcW w:w="868" w:type="pct"/>
          </w:tcPr>
          <w:p w:rsidR="00A54915" w:rsidRPr="00802E12" w:rsidRDefault="00A54915" w:rsidP="007F427F">
            <w:pPr>
              <w:keepNext/>
              <w:spacing w:before="40" w:after="40"/>
              <w:jc w:val="both"/>
              <w:rPr>
                <w:rFonts w:ascii="Arial Narrow" w:hAnsi="Arial Narrow" w:cs="Arial"/>
                <w:sz w:val="20"/>
                <w:szCs w:val="20"/>
              </w:rPr>
            </w:pPr>
          </w:p>
        </w:tc>
      </w:tr>
    </w:tbl>
    <w:p w:rsidR="00064D69" w:rsidRPr="00802E12" w:rsidRDefault="00064D69" w:rsidP="00064D69">
      <w:pPr>
        <w:pStyle w:val="ListParagraph"/>
        <w:ind w:left="360"/>
        <w:rPr>
          <w:rFonts w:ascii="Calibri" w:hAnsi="Calibri" w:cs="Calibri"/>
        </w:rPr>
      </w:pPr>
    </w:p>
    <w:tbl>
      <w:tblPr>
        <w:tblW w:w="4915" w:type="pct"/>
        <w:tblLook w:val="0000" w:firstRow="0" w:lastRow="0" w:firstColumn="0" w:lastColumn="0" w:noHBand="0" w:noVBand="0"/>
      </w:tblPr>
      <w:tblGrid>
        <w:gridCol w:w="1964"/>
        <w:gridCol w:w="7121"/>
      </w:tblGrid>
      <w:tr w:rsidR="00C25113" w:rsidRPr="00802E12" w:rsidTr="00F8636F">
        <w:trPr>
          <w:cantSplit/>
          <w:trHeight w:val="360"/>
        </w:trPr>
        <w:tc>
          <w:tcPr>
            <w:tcW w:w="1081" w:type="pct"/>
            <w:tcBorders>
              <w:top w:val="single" w:sz="4" w:space="0" w:color="auto"/>
              <w:left w:val="single" w:sz="4" w:space="0" w:color="auto"/>
              <w:bottom w:val="single" w:sz="4" w:space="0" w:color="auto"/>
              <w:right w:val="single" w:sz="4" w:space="0" w:color="auto"/>
            </w:tcBorders>
          </w:tcPr>
          <w:p w:rsidR="00C25113" w:rsidRPr="00802E12" w:rsidRDefault="00C25113" w:rsidP="00F8636F">
            <w:pPr>
              <w:spacing w:before="40" w:after="40"/>
              <w:jc w:val="both"/>
              <w:rPr>
                <w:rFonts w:ascii="Arial Narrow" w:hAnsi="Arial Narrow" w:cs="Arial"/>
                <w:sz w:val="20"/>
                <w:szCs w:val="20"/>
              </w:rPr>
            </w:pPr>
            <w:r w:rsidRPr="00802E12">
              <w:rPr>
                <w:rFonts w:ascii="Arial Narrow" w:hAnsi="Arial Narrow" w:cs="Arial"/>
                <w:sz w:val="20"/>
                <w:szCs w:val="20"/>
              </w:rPr>
              <w:t xml:space="preserve">Category / </w:t>
            </w:r>
          </w:p>
          <w:p w:rsidR="00C25113" w:rsidRPr="00802E12" w:rsidRDefault="00C25113" w:rsidP="00F8636F">
            <w:pPr>
              <w:spacing w:before="40" w:after="40"/>
              <w:jc w:val="both"/>
              <w:rPr>
                <w:rFonts w:ascii="Arial Narrow" w:hAnsi="Arial Narrow" w:cs="Arial"/>
                <w:b/>
                <w:sz w:val="20"/>
                <w:szCs w:val="20"/>
              </w:rPr>
            </w:pPr>
            <w:r w:rsidRPr="00802E12">
              <w:rPr>
                <w:rFonts w:ascii="Arial Narrow" w:hAnsi="Arial Narrow" w:cs="Arial"/>
                <w:sz w:val="20"/>
                <w:szCs w:val="20"/>
              </w:rPr>
              <w:t>Program</w:t>
            </w:r>
          </w:p>
        </w:tc>
        <w:tc>
          <w:tcPr>
            <w:tcW w:w="3919" w:type="pct"/>
            <w:tcBorders>
              <w:top w:val="single" w:sz="4" w:space="0" w:color="auto"/>
              <w:left w:val="single" w:sz="4" w:space="0" w:color="auto"/>
              <w:bottom w:val="single" w:sz="4" w:space="0" w:color="auto"/>
              <w:right w:val="single" w:sz="4" w:space="0" w:color="auto"/>
            </w:tcBorders>
          </w:tcPr>
          <w:p w:rsidR="00C25113" w:rsidRPr="00802E12" w:rsidRDefault="00C25113" w:rsidP="00F8636F">
            <w:pPr>
              <w:spacing w:before="40" w:after="40"/>
              <w:rPr>
                <w:rFonts w:ascii="Arial Narrow" w:hAnsi="Arial Narrow" w:cs="Arial"/>
                <w:sz w:val="20"/>
                <w:szCs w:val="20"/>
              </w:rPr>
            </w:pPr>
            <w:r w:rsidRPr="00802E12">
              <w:rPr>
                <w:rFonts w:ascii="Arial Narrow" w:hAnsi="Arial Narrow" w:cs="Arial"/>
                <w:sz w:val="20"/>
                <w:szCs w:val="20"/>
              </w:rPr>
              <w:t>Section 100 – Highly Specialised Drugs Program (Private and Public Hospitals)</w:t>
            </w:r>
          </w:p>
          <w:p w:rsidR="00C25113" w:rsidRPr="00802E12" w:rsidRDefault="00C25113" w:rsidP="00F8636F">
            <w:pPr>
              <w:spacing w:before="40" w:after="40"/>
              <w:rPr>
                <w:rFonts w:ascii="Arial Narrow" w:hAnsi="Arial Narrow" w:cs="Arial"/>
                <w:sz w:val="20"/>
                <w:szCs w:val="20"/>
              </w:rPr>
            </w:pPr>
          </w:p>
        </w:tc>
      </w:tr>
      <w:tr w:rsidR="00C25113" w:rsidRPr="00802E12" w:rsidTr="00F8636F">
        <w:trPr>
          <w:cantSplit/>
          <w:trHeight w:val="360"/>
        </w:trPr>
        <w:tc>
          <w:tcPr>
            <w:tcW w:w="1081" w:type="pct"/>
            <w:tcBorders>
              <w:top w:val="single" w:sz="4" w:space="0" w:color="auto"/>
              <w:left w:val="single" w:sz="4" w:space="0" w:color="auto"/>
              <w:bottom w:val="single" w:sz="4" w:space="0" w:color="auto"/>
              <w:right w:val="single" w:sz="4" w:space="0" w:color="auto"/>
            </w:tcBorders>
          </w:tcPr>
          <w:p w:rsidR="00C25113" w:rsidRPr="00802E12" w:rsidRDefault="00C25113" w:rsidP="00F8636F">
            <w:pPr>
              <w:spacing w:before="40" w:after="40"/>
              <w:jc w:val="both"/>
              <w:rPr>
                <w:rFonts w:ascii="Arial Narrow" w:hAnsi="Arial Narrow" w:cs="Arial"/>
                <w:b/>
                <w:sz w:val="20"/>
                <w:szCs w:val="20"/>
              </w:rPr>
            </w:pPr>
            <w:r w:rsidRPr="00802E12">
              <w:rPr>
                <w:rFonts w:ascii="Arial Narrow" w:hAnsi="Arial Narrow" w:cs="Arial"/>
                <w:b/>
                <w:sz w:val="20"/>
                <w:szCs w:val="20"/>
              </w:rPr>
              <w:t>Prescriber type:</w:t>
            </w:r>
          </w:p>
        </w:tc>
        <w:tc>
          <w:tcPr>
            <w:tcW w:w="3919" w:type="pct"/>
            <w:tcBorders>
              <w:top w:val="single" w:sz="4" w:space="0" w:color="auto"/>
              <w:left w:val="single" w:sz="4" w:space="0" w:color="auto"/>
              <w:bottom w:val="single" w:sz="4" w:space="0" w:color="auto"/>
              <w:right w:val="single" w:sz="4" w:space="0" w:color="auto"/>
            </w:tcBorders>
          </w:tcPr>
          <w:p w:rsidR="00C25113" w:rsidRPr="00802E12" w:rsidRDefault="00C25113" w:rsidP="00F8636F">
            <w:pPr>
              <w:rPr>
                <w:rFonts w:ascii="Arial Narrow" w:hAnsi="Arial Narrow" w:cs="Arial"/>
                <w:sz w:val="20"/>
                <w:szCs w:val="20"/>
              </w:rPr>
            </w:pPr>
            <w:r w:rsidRPr="00802E12">
              <w:rPr>
                <w:rFonts w:ascii="Arial Narrow" w:hAnsi="Arial Narrow" w:cs="Arial"/>
                <w:sz w:val="20"/>
                <w:szCs w:val="20"/>
              </w:rPr>
              <w:fldChar w:fldCharType="begin">
                <w:ffData>
                  <w:name w:val="Check1"/>
                  <w:enabled/>
                  <w:calcOnExit w:val="0"/>
                  <w:checkBox>
                    <w:sizeAuto/>
                    <w:default w:val="0"/>
                  </w:checkBox>
                </w:ffData>
              </w:fldChar>
            </w:r>
            <w:r w:rsidRPr="00802E12">
              <w:rPr>
                <w:rFonts w:ascii="Arial Narrow" w:hAnsi="Arial Narrow" w:cs="Arial"/>
                <w:sz w:val="20"/>
                <w:szCs w:val="20"/>
              </w:rPr>
              <w:instrText xml:space="preserve"> FORMCHECKBOX </w:instrText>
            </w:r>
            <w:r w:rsidR="00E5787F">
              <w:rPr>
                <w:rFonts w:ascii="Arial Narrow" w:hAnsi="Arial Narrow" w:cs="Arial"/>
                <w:sz w:val="20"/>
                <w:szCs w:val="20"/>
              </w:rPr>
            </w:r>
            <w:r w:rsidR="00E5787F">
              <w:rPr>
                <w:rFonts w:ascii="Arial Narrow" w:hAnsi="Arial Narrow" w:cs="Arial"/>
                <w:sz w:val="20"/>
                <w:szCs w:val="20"/>
              </w:rPr>
              <w:fldChar w:fldCharType="separate"/>
            </w:r>
            <w:r w:rsidRPr="00802E12">
              <w:rPr>
                <w:rFonts w:ascii="Arial Narrow" w:hAnsi="Arial Narrow" w:cs="Arial"/>
                <w:sz w:val="20"/>
                <w:szCs w:val="20"/>
              </w:rPr>
              <w:fldChar w:fldCharType="end"/>
            </w:r>
            <w:r w:rsidRPr="00802E12">
              <w:rPr>
                <w:rFonts w:ascii="Arial Narrow" w:hAnsi="Arial Narrow" w:cs="Arial"/>
                <w:sz w:val="20"/>
                <w:szCs w:val="20"/>
              </w:rPr>
              <w:t xml:space="preserve">Dental  </w:t>
            </w:r>
            <w:r w:rsidRPr="00802E12">
              <w:rPr>
                <w:rFonts w:ascii="Arial Narrow" w:hAnsi="Arial Narrow" w:cs="Arial"/>
                <w:sz w:val="20"/>
                <w:szCs w:val="20"/>
              </w:rPr>
              <w:fldChar w:fldCharType="begin">
                <w:ffData>
                  <w:name w:val=""/>
                  <w:enabled/>
                  <w:calcOnExit w:val="0"/>
                  <w:checkBox>
                    <w:sizeAuto/>
                    <w:default w:val="1"/>
                  </w:checkBox>
                </w:ffData>
              </w:fldChar>
            </w:r>
            <w:r w:rsidRPr="00802E12">
              <w:rPr>
                <w:rFonts w:ascii="Arial Narrow" w:hAnsi="Arial Narrow" w:cs="Arial"/>
                <w:sz w:val="20"/>
                <w:szCs w:val="20"/>
              </w:rPr>
              <w:instrText xml:space="preserve"> FORMCHECKBOX </w:instrText>
            </w:r>
            <w:r w:rsidR="00E5787F">
              <w:rPr>
                <w:rFonts w:ascii="Arial Narrow" w:hAnsi="Arial Narrow" w:cs="Arial"/>
                <w:sz w:val="20"/>
                <w:szCs w:val="20"/>
              </w:rPr>
            </w:r>
            <w:r w:rsidR="00E5787F">
              <w:rPr>
                <w:rFonts w:ascii="Arial Narrow" w:hAnsi="Arial Narrow" w:cs="Arial"/>
                <w:sz w:val="20"/>
                <w:szCs w:val="20"/>
              </w:rPr>
              <w:fldChar w:fldCharType="separate"/>
            </w:r>
            <w:r w:rsidRPr="00802E12">
              <w:rPr>
                <w:rFonts w:ascii="Arial Narrow" w:hAnsi="Arial Narrow" w:cs="Arial"/>
                <w:sz w:val="20"/>
                <w:szCs w:val="20"/>
              </w:rPr>
              <w:fldChar w:fldCharType="end"/>
            </w:r>
            <w:r w:rsidRPr="00802E12">
              <w:rPr>
                <w:rFonts w:ascii="Arial Narrow" w:hAnsi="Arial Narrow" w:cs="Arial"/>
                <w:sz w:val="20"/>
                <w:szCs w:val="20"/>
              </w:rPr>
              <w:t xml:space="preserve">Medical Practitioners  </w:t>
            </w:r>
            <w:r w:rsidRPr="00802E12">
              <w:rPr>
                <w:rFonts w:ascii="Arial Narrow" w:hAnsi="Arial Narrow" w:cs="Arial"/>
                <w:sz w:val="20"/>
                <w:szCs w:val="20"/>
              </w:rPr>
              <w:fldChar w:fldCharType="begin">
                <w:ffData>
                  <w:name w:val="Check3"/>
                  <w:enabled/>
                  <w:calcOnExit w:val="0"/>
                  <w:checkBox>
                    <w:sizeAuto/>
                    <w:default w:val="0"/>
                  </w:checkBox>
                </w:ffData>
              </w:fldChar>
            </w:r>
            <w:r w:rsidRPr="00802E12">
              <w:rPr>
                <w:rFonts w:ascii="Arial Narrow" w:hAnsi="Arial Narrow" w:cs="Arial"/>
                <w:sz w:val="20"/>
                <w:szCs w:val="20"/>
              </w:rPr>
              <w:instrText xml:space="preserve"> FORMCHECKBOX </w:instrText>
            </w:r>
            <w:r w:rsidR="00E5787F">
              <w:rPr>
                <w:rFonts w:ascii="Arial Narrow" w:hAnsi="Arial Narrow" w:cs="Arial"/>
                <w:sz w:val="20"/>
                <w:szCs w:val="20"/>
              </w:rPr>
            </w:r>
            <w:r w:rsidR="00E5787F">
              <w:rPr>
                <w:rFonts w:ascii="Arial Narrow" w:hAnsi="Arial Narrow" w:cs="Arial"/>
                <w:sz w:val="20"/>
                <w:szCs w:val="20"/>
              </w:rPr>
              <w:fldChar w:fldCharType="separate"/>
            </w:r>
            <w:r w:rsidRPr="00802E12">
              <w:rPr>
                <w:rFonts w:ascii="Arial Narrow" w:hAnsi="Arial Narrow" w:cs="Arial"/>
                <w:sz w:val="20"/>
                <w:szCs w:val="20"/>
              </w:rPr>
              <w:fldChar w:fldCharType="end"/>
            </w:r>
            <w:r w:rsidRPr="00802E12">
              <w:rPr>
                <w:rFonts w:ascii="Arial Narrow" w:hAnsi="Arial Narrow" w:cs="Arial"/>
                <w:sz w:val="20"/>
                <w:szCs w:val="20"/>
              </w:rPr>
              <w:t xml:space="preserve">Nurse practitioners  </w:t>
            </w:r>
            <w:r w:rsidRPr="00802E12">
              <w:rPr>
                <w:rFonts w:ascii="Arial Narrow" w:hAnsi="Arial Narrow" w:cs="Arial"/>
                <w:sz w:val="20"/>
                <w:szCs w:val="20"/>
              </w:rPr>
              <w:fldChar w:fldCharType="begin">
                <w:ffData>
                  <w:name w:val=""/>
                  <w:enabled/>
                  <w:calcOnExit w:val="0"/>
                  <w:checkBox>
                    <w:sizeAuto/>
                    <w:default w:val="0"/>
                  </w:checkBox>
                </w:ffData>
              </w:fldChar>
            </w:r>
            <w:r w:rsidRPr="00802E12">
              <w:rPr>
                <w:rFonts w:ascii="Arial Narrow" w:hAnsi="Arial Narrow" w:cs="Arial"/>
                <w:sz w:val="20"/>
                <w:szCs w:val="20"/>
              </w:rPr>
              <w:instrText xml:space="preserve"> FORMCHECKBOX </w:instrText>
            </w:r>
            <w:r w:rsidR="00E5787F">
              <w:rPr>
                <w:rFonts w:ascii="Arial Narrow" w:hAnsi="Arial Narrow" w:cs="Arial"/>
                <w:sz w:val="20"/>
                <w:szCs w:val="20"/>
              </w:rPr>
            </w:r>
            <w:r w:rsidR="00E5787F">
              <w:rPr>
                <w:rFonts w:ascii="Arial Narrow" w:hAnsi="Arial Narrow" w:cs="Arial"/>
                <w:sz w:val="20"/>
                <w:szCs w:val="20"/>
              </w:rPr>
              <w:fldChar w:fldCharType="separate"/>
            </w:r>
            <w:r w:rsidRPr="00802E12">
              <w:rPr>
                <w:rFonts w:ascii="Arial Narrow" w:hAnsi="Arial Narrow" w:cs="Arial"/>
                <w:sz w:val="20"/>
                <w:szCs w:val="20"/>
              </w:rPr>
              <w:fldChar w:fldCharType="end"/>
            </w:r>
            <w:r w:rsidRPr="00802E12">
              <w:rPr>
                <w:rFonts w:ascii="Arial Narrow" w:hAnsi="Arial Narrow" w:cs="Arial"/>
                <w:sz w:val="20"/>
                <w:szCs w:val="20"/>
              </w:rPr>
              <w:t>Optometrists</w:t>
            </w:r>
          </w:p>
          <w:p w:rsidR="00C25113" w:rsidRPr="00802E12" w:rsidRDefault="00C25113" w:rsidP="00F8636F">
            <w:pPr>
              <w:spacing w:before="40" w:after="40"/>
              <w:rPr>
                <w:rFonts w:ascii="Arial Narrow" w:hAnsi="Arial Narrow" w:cs="Arial"/>
                <w:sz w:val="20"/>
                <w:szCs w:val="20"/>
              </w:rPr>
            </w:pPr>
            <w:r w:rsidRPr="00802E12">
              <w:rPr>
                <w:rFonts w:ascii="Arial Narrow" w:hAnsi="Arial Narrow" w:cs="Arial"/>
                <w:sz w:val="20"/>
                <w:szCs w:val="20"/>
              </w:rPr>
              <w:fldChar w:fldCharType="begin">
                <w:ffData>
                  <w:name w:val="Check5"/>
                  <w:enabled/>
                  <w:calcOnExit w:val="0"/>
                  <w:checkBox>
                    <w:sizeAuto/>
                    <w:default w:val="0"/>
                  </w:checkBox>
                </w:ffData>
              </w:fldChar>
            </w:r>
            <w:r w:rsidRPr="00802E12">
              <w:rPr>
                <w:rFonts w:ascii="Arial Narrow" w:hAnsi="Arial Narrow" w:cs="Arial"/>
                <w:sz w:val="20"/>
                <w:szCs w:val="20"/>
              </w:rPr>
              <w:instrText xml:space="preserve"> FORMCHECKBOX </w:instrText>
            </w:r>
            <w:r w:rsidR="00E5787F">
              <w:rPr>
                <w:rFonts w:ascii="Arial Narrow" w:hAnsi="Arial Narrow" w:cs="Arial"/>
                <w:sz w:val="20"/>
                <w:szCs w:val="20"/>
              </w:rPr>
            </w:r>
            <w:r w:rsidR="00E5787F">
              <w:rPr>
                <w:rFonts w:ascii="Arial Narrow" w:hAnsi="Arial Narrow" w:cs="Arial"/>
                <w:sz w:val="20"/>
                <w:szCs w:val="20"/>
              </w:rPr>
              <w:fldChar w:fldCharType="separate"/>
            </w:r>
            <w:r w:rsidRPr="00802E12">
              <w:rPr>
                <w:rFonts w:ascii="Arial Narrow" w:hAnsi="Arial Narrow" w:cs="Arial"/>
                <w:sz w:val="20"/>
                <w:szCs w:val="20"/>
              </w:rPr>
              <w:fldChar w:fldCharType="end"/>
            </w:r>
            <w:r w:rsidRPr="00802E12">
              <w:rPr>
                <w:rFonts w:ascii="Arial Narrow" w:hAnsi="Arial Narrow" w:cs="Arial"/>
                <w:sz w:val="20"/>
                <w:szCs w:val="20"/>
              </w:rPr>
              <w:t xml:space="preserve">Midwives </w:t>
            </w:r>
          </w:p>
        </w:tc>
      </w:tr>
      <w:tr w:rsidR="00C25113" w:rsidRPr="00802E12" w:rsidTr="00F8636F">
        <w:trPr>
          <w:cantSplit/>
          <w:trHeight w:val="360"/>
        </w:trPr>
        <w:tc>
          <w:tcPr>
            <w:tcW w:w="1081" w:type="pct"/>
            <w:tcBorders>
              <w:top w:val="single" w:sz="4" w:space="0" w:color="auto"/>
              <w:left w:val="single" w:sz="4" w:space="0" w:color="auto"/>
              <w:bottom w:val="single" w:sz="4" w:space="0" w:color="auto"/>
              <w:right w:val="single" w:sz="4" w:space="0" w:color="auto"/>
            </w:tcBorders>
          </w:tcPr>
          <w:p w:rsidR="00C25113" w:rsidRPr="00802E12" w:rsidRDefault="00C25113" w:rsidP="00F8636F">
            <w:pPr>
              <w:spacing w:before="40" w:after="40"/>
              <w:jc w:val="both"/>
              <w:rPr>
                <w:rFonts w:ascii="Arial Narrow" w:hAnsi="Arial Narrow" w:cs="Arial"/>
                <w:b/>
                <w:sz w:val="20"/>
                <w:szCs w:val="20"/>
              </w:rPr>
            </w:pPr>
            <w:r w:rsidRPr="00802E12">
              <w:rPr>
                <w:rFonts w:ascii="Arial Narrow" w:hAnsi="Arial Narrow" w:cs="Arial"/>
                <w:b/>
                <w:sz w:val="20"/>
                <w:szCs w:val="20"/>
              </w:rPr>
              <w:t>Severity:</w:t>
            </w:r>
          </w:p>
        </w:tc>
        <w:tc>
          <w:tcPr>
            <w:tcW w:w="3919" w:type="pct"/>
            <w:tcBorders>
              <w:top w:val="single" w:sz="4" w:space="0" w:color="auto"/>
              <w:left w:val="single" w:sz="4" w:space="0" w:color="auto"/>
              <w:bottom w:val="single" w:sz="4" w:space="0" w:color="auto"/>
              <w:right w:val="single" w:sz="4" w:space="0" w:color="auto"/>
            </w:tcBorders>
          </w:tcPr>
          <w:p w:rsidR="00C25113" w:rsidRPr="00802E12" w:rsidRDefault="00C25113" w:rsidP="00F8636F">
            <w:pPr>
              <w:spacing w:before="40" w:after="40"/>
              <w:rPr>
                <w:rFonts w:ascii="Arial Narrow" w:hAnsi="Arial Narrow" w:cs="Arial"/>
                <w:sz w:val="20"/>
                <w:szCs w:val="20"/>
              </w:rPr>
            </w:pPr>
            <w:r w:rsidRPr="00802E12">
              <w:rPr>
                <w:rFonts w:ascii="Arial Narrow" w:hAnsi="Arial Narrow" w:cs="Arial"/>
                <w:sz w:val="20"/>
                <w:szCs w:val="20"/>
              </w:rPr>
              <w:t>Chronic</w:t>
            </w:r>
          </w:p>
        </w:tc>
      </w:tr>
      <w:tr w:rsidR="00C25113" w:rsidRPr="00802E12" w:rsidTr="00F8636F">
        <w:trPr>
          <w:cantSplit/>
          <w:trHeight w:val="360"/>
        </w:trPr>
        <w:tc>
          <w:tcPr>
            <w:tcW w:w="1081" w:type="pct"/>
            <w:tcBorders>
              <w:top w:val="single" w:sz="4" w:space="0" w:color="auto"/>
              <w:left w:val="single" w:sz="4" w:space="0" w:color="auto"/>
              <w:bottom w:val="single" w:sz="4" w:space="0" w:color="auto"/>
              <w:right w:val="single" w:sz="4" w:space="0" w:color="auto"/>
            </w:tcBorders>
          </w:tcPr>
          <w:p w:rsidR="00C25113" w:rsidRPr="00802E12" w:rsidRDefault="00C25113" w:rsidP="00F8636F">
            <w:pPr>
              <w:spacing w:before="40" w:after="40"/>
              <w:jc w:val="both"/>
              <w:rPr>
                <w:rFonts w:ascii="Arial Narrow" w:hAnsi="Arial Narrow" w:cs="Arial"/>
                <w:b/>
                <w:sz w:val="20"/>
                <w:szCs w:val="20"/>
              </w:rPr>
            </w:pPr>
            <w:r w:rsidRPr="00802E12">
              <w:rPr>
                <w:rFonts w:ascii="Arial Narrow" w:hAnsi="Arial Narrow" w:cs="Arial"/>
                <w:b/>
                <w:sz w:val="20"/>
                <w:szCs w:val="20"/>
              </w:rPr>
              <w:t>Condition:</w:t>
            </w:r>
          </w:p>
        </w:tc>
        <w:tc>
          <w:tcPr>
            <w:tcW w:w="3919" w:type="pct"/>
            <w:tcBorders>
              <w:top w:val="single" w:sz="4" w:space="0" w:color="auto"/>
              <w:left w:val="single" w:sz="4" w:space="0" w:color="auto"/>
              <w:bottom w:val="single" w:sz="4" w:space="0" w:color="auto"/>
              <w:right w:val="single" w:sz="4" w:space="0" w:color="auto"/>
            </w:tcBorders>
          </w:tcPr>
          <w:p w:rsidR="00C25113" w:rsidRPr="00802E12" w:rsidRDefault="00C25113" w:rsidP="00F8636F">
            <w:pPr>
              <w:spacing w:before="40" w:after="40"/>
              <w:rPr>
                <w:rFonts w:ascii="Arial Narrow" w:hAnsi="Arial Narrow" w:cs="Arial"/>
                <w:sz w:val="20"/>
                <w:szCs w:val="20"/>
              </w:rPr>
            </w:pPr>
            <w:r w:rsidRPr="00802E12">
              <w:rPr>
                <w:rFonts w:ascii="Arial Narrow" w:hAnsi="Arial Narrow" w:cs="Arial"/>
                <w:sz w:val="20"/>
                <w:szCs w:val="20"/>
              </w:rPr>
              <w:t>Iron Overload</w:t>
            </w:r>
          </w:p>
        </w:tc>
      </w:tr>
      <w:tr w:rsidR="00C25113" w:rsidRPr="00802E12" w:rsidTr="00F8636F">
        <w:trPr>
          <w:cantSplit/>
          <w:trHeight w:val="360"/>
        </w:trPr>
        <w:tc>
          <w:tcPr>
            <w:tcW w:w="1081" w:type="pct"/>
            <w:tcBorders>
              <w:top w:val="single" w:sz="4" w:space="0" w:color="auto"/>
              <w:left w:val="single" w:sz="4" w:space="0" w:color="auto"/>
              <w:bottom w:val="single" w:sz="4" w:space="0" w:color="auto"/>
              <w:right w:val="single" w:sz="4" w:space="0" w:color="auto"/>
            </w:tcBorders>
          </w:tcPr>
          <w:p w:rsidR="00C25113" w:rsidRPr="00802E12" w:rsidRDefault="00C25113" w:rsidP="00F8636F">
            <w:pPr>
              <w:spacing w:before="40" w:after="40"/>
              <w:jc w:val="both"/>
              <w:rPr>
                <w:rFonts w:ascii="Arial Narrow" w:hAnsi="Arial Narrow" w:cs="Arial"/>
                <w:b/>
                <w:sz w:val="20"/>
                <w:szCs w:val="20"/>
              </w:rPr>
            </w:pPr>
            <w:r w:rsidRPr="00802E12">
              <w:rPr>
                <w:rFonts w:ascii="Arial Narrow" w:hAnsi="Arial Narrow" w:cs="Arial"/>
                <w:b/>
                <w:sz w:val="20"/>
                <w:szCs w:val="20"/>
              </w:rPr>
              <w:t>PBS Indication:</w:t>
            </w:r>
          </w:p>
        </w:tc>
        <w:tc>
          <w:tcPr>
            <w:tcW w:w="3919" w:type="pct"/>
            <w:tcBorders>
              <w:top w:val="single" w:sz="4" w:space="0" w:color="auto"/>
              <w:left w:val="single" w:sz="4" w:space="0" w:color="auto"/>
              <w:bottom w:val="single" w:sz="4" w:space="0" w:color="auto"/>
              <w:right w:val="single" w:sz="4" w:space="0" w:color="auto"/>
            </w:tcBorders>
          </w:tcPr>
          <w:p w:rsidR="00C25113" w:rsidRPr="00802E12" w:rsidRDefault="00C25113" w:rsidP="00F8636F">
            <w:pPr>
              <w:spacing w:before="40" w:after="40"/>
              <w:rPr>
                <w:rFonts w:ascii="Arial Narrow" w:hAnsi="Arial Narrow" w:cs="Arial"/>
                <w:sz w:val="20"/>
                <w:szCs w:val="20"/>
              </w:rPr>
            </w:pPr>
            <w:r w:rsidRPr="00802E12">
              <w:rPr>
                <w:rFonts w:ascii="Arial Narrow" w:hAnsi="Arial Narrow" w:cs="Arial"/>
                <w:sz w:val="20"/>
                <w:szCs w:val="20"/>
              </w:rPr>
              <w:t>Iron Overload</w:t>
            </w:r>
          </w:p>
        </w:tc>
      </w:tr>
      <w:tr w:rsidR="00C25113" w:rsidRPr="00802E12" w:rsidTr="00F8636F">
        <w:trPr>
          <w:cantSplit/>
          <w:trHeight w:val="360"/>
        </w:trPr>
        <w:tc>
          <w:tcPr>
            <w:tcW w:w="1081" w:type="pct"/>
            <w:tcBorders>
              <w:top w:val="single" w:sz="4" w:space="0" w:color="auto"/>
              <w:left w:val="single" w:sz="4" w:space="0" w:color="auto"/>
              <w:bottom w:val="single" w:sz="4" w:space="0" w:color="auto"/>
              <w:right w:val="single" w:sz="4" w:space="0" w:color="auto"/>
            </w:tcBorders>
          </w:tcPr>
          <w:p w:rsidR="00C25113" w:rsidRPr="00802E12" w:rsidRDefault="00C25113" w:rsidP="00F8636F">
            <w:pPr>
              <w:spacing w:before="40" w:after="40"/>
              <w:jc w:val="both"/>
              <w:rPr>
                <w:rFonts w:ascii="Arial Narrow" w:hAnsi="Arial Narrow" w:cs="Arial"/>
                <w:b/>
                <w:sz w:val="20"/>
                <w:szCs w:val="20"/>
              </w:rPr>
            </w:pPr>
            <w:r w:rsidRPr="00802E12">
              <w:rPr>
                <w:rFonts w:ascii="Arial Narrow" w:hAnsi="Arial Narrow" w:cs="Arial"/>
                <w:b/>
                <w:sz w:val="20"/>
                <w:szCs w:val="20"/>
              </w:rPr>
              <w:t>Restriction Level / Method:</w:t>
            </w:r>
          </w:p>
          <w:p w:rsidR="00C25113" w:rsidRPr="00802E12" w:rsidRDefault="00C25113" w:rsidP="00F8636F">
            <w:pPr>
              <w:spacing w:before="40" w:after="40"/>
              <w:rPr>
                <w:rFonts w:ascii="Arial Narrow" w:hAnsi="Arial Narrow" w:cs="Arial"/>
                <w:sz w:val="20"/>
                <w:szCs w:val="20"/>
              </w:rPr>
            </w:pPr>
          </w:p>
        </w:tc>
        <w:tc>
          <w:tcPr>
            <w:tcW w:w="3919" w:type="pct"/>
            <w:tcBorders>
              <w:top w:val="single" w:sz="4" w:space="0" w:color="auto"/>
              <w:left w:val="single" w:sz="4" w:space="0" w:color="auto"/>
              <w:bottom w:val="single" w:sz="4" w:space="0" w:color="auto"/>
              <w:right w:val="single" w:sz="4" w:space="0" w:color="auto"/>
            </w:tcBorders>
          </w:tcPr>
          <w:p w:rsidR="00C25113" w:rsidRPr="00802E12" w:rsidRDefault="00C25113" w:rsidP="00F8636F">
            <w:pPr>
              <w:rPr>
                <w:rFonts w:ascii="Arial Narrow" w:hAnsi="Arial Narrow" w:cs="Arial"/>
                <w:sz w:val="20"/>
                <w:szCs w:val="20"/>
              </w:rPr>
            </w:pPr>
            <w:r w:rsidRPr="00802E12">
              <w:rPr>
                <w:rFonts w:ascii="Arial Narrow" w:hAnsi="Arial Narrow" w:cs="Arial"/>
                <w:sz w:val="20"/>
                <w:szCs w:val="20"/>
              </w:rPr>
              <w:fldChar w:fldCharType="begin">
                <w:ffData>
                  <w:name w:val=""/>
                  <w:enabled/>
                  <w:calcOnExit w:val="0"/>
                  <w:checkBox>
                    <w:sizeAuto/>
                    <w:default w:val="0"/>
                  </w:checkBox>
                </w:ffData>
              </w:fldChar>
            </w:r>
            <w:r w:rsidRPr="00802E12">
              <w:rPr>
                <w:rFonts w:ascii="Arial Narrow" w:hAnsi="Arial Narrow" w:cs="Arial"/>
                <w:sz w:val="20"/>
                <w:szCs w:val="20"/>
              </w:rPr>
              <w:instrText xml:space="preserve"> FORMCHECKBOX </w:instrText>
            </w:r>
            <w:r w:rsidR="00E5787F">
              <w:rPr>
                <w:rFonts w:ascii="Arial Narrow" w:hAnsi="Arial Narrow" w:cs="Arial"/>
                <w:sz w:val="20"/>
                <w:szCs w:val="20"/>
              </w:rPr>
            </w:r>
            <w:r w:rsidR="00E5787F">
              <w:rPr>
                <w:rFonts w:ascii="Arial Narrow" w:hAnsi="Arial Narrow" w:cs="Arial"/>
                <w:sz w:val="20"/>
                <w:szCs w:val="20"/>
              </w:rPr>
              <w:fldChar w:fldCharType="separate"/>
            </w:r>
            <w:r w:rsidRPr="00802E12">
              <w:rPr>
                <w:rFonts w:ascii="Arial Narrow" w:hAnsi="Arial Narrow" w:cs="Arial"/>
                <w:sz w:val="20"/>
                <w:szCs w:val="20"/>
              </w:rPr>
              <w:fldChar w:fldCharType="end"/>
            </w:r>
            <w:r w:rsidRPr="00802E12">
              <w:rPr>
                <w:rFonts w:ascii="Arial Narrow" w:hAnsi="Arial Narrow" w:cs="Arial"/>
                <w:sz w:val="20"/>
                <w:szCs w:val="20"/>
              </w:rPr>
              <w:t>Restricted benefit</w:t>
            </w:r>
          </w:p>
          <w:p w:rsidR="00C25113" w:rsidRPr="00802E12" w:rsidRDefault="00C25113" w:rsidP="00F8636F">
            <w:pPr>
              <w:rPr>
                <w:rFonts w:ascii="Arial Narrow" w:hAnsi="Arial Narrow" w:cs="Arial"/>
                <w:sz w:val="20"/>
                <w:szCs w:val="20"/>
              </w:rPr>
            </w:pPr>
            <w:r w:rsidRPr="00802E12">
              <w:rPr>
                <w:rFonts w:ascii="Arial Narrow" w:hAnsi="Arial Narrow" w:cs="Arial"/>
                <w:sz w:val="20"/>
                <w:szCs w:val="20"/>
              </w:rPr>
              <w:fldChar w:fldCharType="begin">
                <w:ffData>
                  <w:name w:val=""/>
                  <w:enabled/>
                  <w:calcOnExit w:val="0"/>
                  <w:checkBox>
                    <w:sizeAuto/>
                    <w:default w:val="0"/>
                  </w:checkBox>
                </w:ffData>
              </w:fldChar>
            </w:r>
            <w:r w:rsidRPr="00802E12">
              <w:rPr>
                <w:rFonts w:ascii="Arial Narrow" w:hAnsi="Arial Narrow" w:cs="Arial"/>
                <w:sz w:val="20"/>
                <w:szCs w:val="20"/>
              </w:rPr>
              <w:instrText xml:space="preserve"> FORMCHECKBOX </w:instrText>
            </w:r>
            <w:r w:rsidR="00E5787F">
              <w:rPr>
                <w:rFonts w:ascii="Arial Narrow" w:hAnsi="Arial Narrow" w:cs="Arial"/>
                <w:sz w:val="20"/>
                <w:szCs w:val="20"/>
              </w:rPr>
            </w:r>
            <w:r w:rsidR="00E5787F">
              <w:rPr>
                <w:rFonts w:ascii="Arial Narrow" w:hAnsi="Arial Narrow" w:cs="Arial"/>
                <w:sz w:val="20"/>
                <w:szCs w:val="20"/>
              </w:rPr>
              <w:fldChar w:fldCharType="separate"/>
            </w:r>
            <w:r w:rsidRPr="00802E12">
              <w:rPr>
                <w:rFonts w:ascii="Arial Narrow" w:hAnsi="Arial Narrow" w:cs="Arial"/>
                <w:sz w:val="20"/>
                <w:szCs w:val="20"/>
              </w:rPr>
              <w:fldChar w:fldCharType="end"/>
            </w:r>
            <w:r w:rsidRPr="00802E12">
              <w:rPr>
                <w:rFonts w:ascii="Arial Narrow" w:hAnsi="Arial Narrow" w:cs="Arial"/>
                <w:sz w:val="20"/>
                <w:szCs w:val="20"/>
              </w:rPr>
              <w:t>Authority Required - In Writing</w:t>
            </w:r>
          </w:p>
          <w:p w:rsidR="00C25113" w:rsidRPr="00802E12" w:rsidRDefault="00C25113" w:rsidP="00F8636F">
            <w:pPr>
              <w:rPr>
                <w:rFonts w:ascii="Arial Narrow" w:hAnsi="Arial Narrow" w:cs="Arial"/>
                <w:sz w:val="20"/>
                <w:szCs w:val="20"/>
              </w:rPr>
            </w:pPr>
            <w:r w:rsidRPr="00802E12">
              <w:rPr>
                <w:rFonts w:ascii="Arial Narrow" w:hAnsi="Arial Narrow" w:cs="Arial"/>
                <w:sz w:val="20"/>
                <w:szCs w:val="20"/>
              </w:rPr>
              <w:fldChar w:fldCharType="begin">
                <w:ffData>
                  <w:name w:val="Check3"/>
                  <w:enabled/>
                  <w:calcOnExit w:val="0"/>
                  <w:checkBox>
                    <w:sizeAuto/>
                    <w:default w:val="0"/>
                  </w:checkBox>
                </w:ffData>
              </w:fldChar>
            </w:r>
            <w:r w:rsidRPr="00802E12">
              <w:rPr>
                <w:rFonts w:ascii="Arial Narrow" w:hAnsi="Arial Narrow" w:cs="Arial"/>
                <w:sz w:val="20"/>
                <w:szCs w:val="20"/>
              </w:rPr>
              <w:instrText xml:space="preserve"> FORMCHECKBOX </w:instrText>
            </w:r>
            <w:r w:rsidR="00E5787F">
              <w:rPr>
                <w:rFonts w:ascii="Arial Narrow" w:hAnsi="Arial Narrow" w:cs="Arial"/>
                <w:sz w:val="20"/>
                <w:szCs w:val="20"/>
              </w:rPr>
            </w:r>
            <w:r w:rsidR="00E5787F">
              <w:rPr>
                <w:rFonts w:ascii="Arial Narrow" w:hAnsi="Arial Narrow" w:cs="Arial"/>
                <w:sz w:val="20"/>
                <w:szCs w:val="20"/>
              </w:rPr>
              <w:fldChar w:fldCharType="separate"/>
            </w:r>
            <w:r w:rsidRPr="00802E12">
              <w:rPr>
                <w:rFonts w:ascii="Arial Narrow" w:hAnsi="Arial Narrow" w:cs="Arial"/>
                <w:sz w:val="20"/>
                <w:szCs w:val="20"/>
              </w:rPr>
              <w:fldChar w:fldCharType="end"/>
            </w:r>
            <w:r w:rsidRPr="00802E12">
              <w:rPr>
                <w:rFonts w:ascii="Arial Narrow" w:hAnsi="Arial Narrow" w:cs="Arial"/>
                <w:sz w:val="20"/>
                <w:szCs w:val="20"/>
              </w:rPr>
              <w:t>Authority Required - Telephone</w:t>
            </w:r>
          </w:p>
          <w:p w:rsidR="00C25113" w:rsidRPr="00802E12" w:rsidRDefault="00C25113" w:rsidP="00F8636F">
            <w:pPr>
              <w:rPr>
                <w:rFonts w:ascii="Arial Narrow" w:hAnsi="Arial Narrow" w:cs="Arial"/>
                <w:sz w:val="20"/>
                <w:szCs w:val="20"/>
              </w:rPr>
            </w:pPr>
            <w:r w:rsidRPr="00802E12">
              <w:rPr>
                <w:rFonts w:ascii="Arial Narrow" w:hAnsi="Arial Narrow" w:cs="Arial"/>
                <w:sz w:val="20"/>
                <w:szCs w:val="20"/>
              </w:rPr>
              <w:fldChar w:fldCharType="begin">
                <w:ffData>
                  <w:name w:val=""/>
                  <w:enabled/>
                  <w:calcOnExit w:val="0"/>
                  <w:checkBox>
                    <w:sizeAuto/>
                    <w:default w:val="0"/>
                  </w:checkBox>
                </w:ffData>
              </w:fldChar>
            </w:r>
            <w:r w:rsidRPr="00802E12">
              <w:rPr>
                <w:rFonts w:ascii="Arial Narrow" w:hAnsi="Arial Narrow" w:cs="Arial"/>
                <w:sz w:val="20"/>
                <w:szCs w:val="20"/>
              </w:rPr>
              <w:instrText xml:space="preserve"> FORMCHECKBOX </w:instrText>
            </w:r>
            <w:r w:rsidR="00E5787F">
              <w:rPr>
                <w:rFonts w:ascii="Arial Narrow" w:hAnsi="Arial Narrow" w:cs="Arial"/>
                <w:sz w:val="20"/>
                <w:szCs w:val="20"/>
              </w:rPr>
            </w:r>
            <w:r w:rsidR="00E5787F">
              <w:rPr>
                <w:rFonts w:ascii="Arial Narrow" w:hAnsi="Arial Narrow" w:cs="Arial"/>
                <w:sz w:val="20"/>
                <w:szCs w:val="20"/>
              </w:rPr>
              <w:fldChar w:fldCharType="separate"/>
            </w:r>
            <w:r w:rsidRPr="00802E12">
              <w:rPr>
                <w:rFonts w:ascii="Arial Narrow" w:hAnsi="Arial Narrow" w:cs="Arial"/>
                <w:sz w:val="20"/>
                <w:szCs w:val="20"/>
              </w:rPr>
              <w:fldChar w:fldCharType="end"/>
            </w:r>
            <w:r w:rsidRPr="00802E12">
              <w:rPr>
                <w:rFonts w:ascii="Arial Narrow" w:hAnsi="Arial Narrow" w:cs="Arial"/>
                <w:sz w:val="20"/>
                <w:szCs w:val="20"/>
              </w:rPr>
              <w:t>Authority Required - Emergency</w:t>
            </w:r>
          </w:p>
          <w:p w:rsidR="00C25113" w:rsidRPr="00802E12" w:rsidRDefault="00C25113" w:rsidP="00F8636F">
            <w:pPr>
              <w:rPr>
                <w:rFonts w:ascii="Arial Narrow" w:hAnsi="Arial Narrow" w:cs="Arial"/>
                <w:sz w:val="20"/>
                <w:szCs w:val="20"/>
              </w:rPr>
            </w:pPr>
            <w:r w:rsidRPr="00802E12">
              <w:rPr>
                <w:rFonts w:ascii="Arial Narrow" w:hAnsi="Arial Narrow" w:cs="Arial"/>
                <w:sz w:val="20"/>
                <w:szCs w:val="20"/>
              </w:rPr>
              <w:fldChar w:fldCharType="begin">
                <w:ffData>
                  <w:name w:val="Check5"/>
                  <w:enabled/>
                  <w:calcOnExit w:val="0"/>
                  <w:checkBox>
                    <w:sizeAuto/>
                    <w:default w:val="0"/>
                  </w:checkBox>
                </w:ffData>
              </w:fldChar>
            </w:r>
            <w:r w:rsidRPr="00802E12">
              <w:rPr>
                <w:rFonts w:ascii="Arial Narrow" w:hAnsi="Arial Narrow" w:cs="Arial"/>
                <w:sz w:val="20"/>
                <w:szCs w:val="20"/>
              </w:rPr>
              <w:instrText xml:space="preserve"> FORMCHECKBOX </w:instrText>
            </w:r>
            <w:r w:rsidR="00E5787F">
              <w:rPr>
                <w:rFonts w:ascii="Arial Narrow" w:hAnsi="Arial Narrow" w:cs="Arial"/>
                <w:sz w:val="20"/>
                <w:szCs w:val="20"/>
              </w:rPr>
            </w:r>
            <w:r w:rsidR="00E5787F">
              <w:rPr>
                <w:rFonts w:ascii="Arial Narrow" w:hAnsi="Arial Narrow" w:cs="Arial"/>
                <w:sz w:val="20"/>
                <w:szCs w:val="20"/>
              </w:rPr>
              <w:fldChar w:fldCharType="separate"/>
            </w:r>
            <w:r w:rsidRPr="00802E12">
              <w:rPr>
                <w:rFonts w:ascii="Arial Narrow" w:hAnsi="Arial Narrow" w:cs="Arial"/>
                <w:sz w:val="20"/>
                <w:szCs w:val="20"/>
              </w:rPr>
              <w:fldChar w:fldCharType="end"/>
            </w:r>
            <w:r w:rsidRPr="00802E12">
              <w:rPr>
                <w:rFonts w:ascii="Arial Narrow" w:hAnsi="Arial Narrow" w:cs="Arial"/>
                <w:sz w:val="20"/>
                <w:szCs w:val="20"/>
              </w:rPr>
              <w:t>Authority Required - Electronic</w:t>
            </w:r>
          </w:p>
          <w:p w:rsidR="00C25113" w:rsidRPr="00802E12" w:rsidRDefault="00C25113" w:rsidP="00F8636F">
            <w:pPr>
              <w:spacing w:before="40" w:after="40"/>
              <w:rPr>
                <w:rFonts w:ascii="Arial Narrow" w:hAnsi="Arial Narrow" w:cs="Arial"/>
                <w:sz w:val="20"/>
                <w:szCs w:val="20"/>
              </w:rPr>
            </w:pPr>
            <w:r w:rsidRPr="00802E12">
              <w:rPr>
                <w:rFonts w:ascii="Arial Narrow" w:hAnsi="Arial Narrow" w:cs="Arial"/>
                <w:sz w:val="20"/>
                <w:szCs w:val="20"/>
              </w:rPr>
              <w:fldChar w:fldCharType="begin">
                <w:ffData>
                  <w:name w:val=""/>
                  <w:enabled/>
                  <w:calcOnExit w:val="0"/>
                  <w:checkBox>
                    <w:sizeAuto/>
                    <w:default w:val="1"/>
                  </w:checkBox>
                </w:ffData>
              </w:fldChar>
            </w:r>
            <w:r w:rsidRPr="00802E12">
              <w:rPr>
                <w:rFonts w:ascii="Arial Narrow" w:hAnsi="Arial Narrow" w:cs="Arial"/>
                <w:sz w:val="20"/>
                <w:szCs w:val="20"/>
              </w:rPr>
              <w:instrText xml:space="preserve"> FORMCHECKBOX </w:instrText>
            </w:r>
            <w:r w:rsidR="00E5787F">
              <w:rPr>
                <w:rFonts w:ascii="Arial Narrow" w:hAnsi="Arial Narrow" w:cs="Arial"/>
                <w:sz w:val="20"/>
                <w:szCs w:val="20"/>
              </w:rPr>
            </w:r>
            <w:r w:rsidR="00E5787F">
              <w:rPr>
                <w:rFonts w:ascii="Arial Narrow" w:hAnsi="Arial Narrow" w:cs="Arial"/>
                <w:sz w:val="20"/>
                <w:szCs w:val="20"/>
              </w:rPr>
              <w:fldChar w:fldCharType="separate"/>
            </w:r>
            <w:r w:rsidRPr="00802E12">
              <w:rPr>
                <w:rFonts w:ascii="Arial Narrow" w:hAnsi="Arial Narrow" w:cs="Arial"/>
                <w:sz w:val="20"/>
                <w:szCs w:val="20"/>
              </w:rPr>
              <w:fldChar w:fldCharType="end"/>
            </w:r>
            <w:r w:rsidRPr="00802E12">
              <w:rPr>
                <w:rFonts w:ascii="Arial Narrow" w:hAnsi="Arial Narrow" w:cs="Arial"/>
                <w:sz w:val="20"/>
                <w:szCs w:val="20"/>
              </w:rPr>
              <w:t>Streamlined</w:t>
            </w:r>
          </w:p>
        </w:tc>
      </w:tr>
      <w:tr w:rsidR="00C25113" w:rsidRPr="00802E12" w:rsidTr="00F8636F">
        <w:trPr>
          <w:cantSplit/>
          <w:trHeight w:val="360"/>
        </w:trPr>
        <w:tc>
          <w:tcPr>
            <w:tcW w:w="1081" w:type="pct"/>
            <w:tcBorders>
              <w:top w:val="single" w:sz="4" w:space="0" w:color="auto"/>
              <w:left w:val="single" w:sz="4" w:space="0" w:color="auto"/>
              <w:bottom w:val="single" w:sz="4" w:space="0" w:color="auto"/>
              <w:right w:val="single" w:sz="4" w:space="0" w:color="auto"/>
            </w:tcBorders>
          </w:tcPr>
          <w:p w:rsidR="00C25113" w:rsidRPr="00802E12" w:rsidRDefault="00C25113" w:rsidP="00F8636F">
            <w:pPr>
              <w:spacing w:before="40" w:after="40"/>
              <w:jc w:val="both"/>
              <w:rPr>
                <w:rFonts w:ascii="Arial Narrow" w:hAnsi="Arial Narrow" w:cs="Arial"/>
                <w:b/>
                <w:sz w:val="20"/>
                <w:szCs w:val="20"/>
              </w:rPr>
            </w:pPr>
            <w:r w:rsidRPr="00802E12">
              <w:rPr>
                <w:rFonts w:ascii="Arial Narrow" w:hAnsi="Arial Narrow" w:cs="Arial"/>
                <w:b/>
                <w:sz w:val="20"/>
                <w:szCs w:val="20"/>
              </w:rPr>
              <w:t>Clinical criteria:</w:t>
            </w:r>
          </w:p>
          <w:p w:rsidR="00C25113" w:rsidRPr="00802E12" w:rsidRDefault="00C25113" w:rsidP="00F8636F">
            <w:pPr>
              <w:spacing w:before="40" w:after="40"/>
              <w:jc w:val="both"/>
              <w:rPr>
                <w:rFonts w:ascii="Arial Narrow" w:hAnsi="Arial Narrow" w:cs="Arial"/>
                <w:sz w:val="20"/>
                <w:szCs w:val="20"/>
              </w:rPr>
            </w:pPr>
          </w:p>
        </w:tc>
        <w:tc>
          <w:tcPr>
            <w:tcW w:w="3919" w:type="pct"/>
            <w:tcBorders>
              <w:top w:val="single" w:sz="4" w:space="0" w:color="auto"/>
              <w:left w:val="single" w:sz="4" w:space="0" w:color="auto"/>
              <w:bottom w:val="single" w:sz="4" w:space="0" w:color="auto"/>
              <w:right w:val="single" w:sz="4" w:space="0" w:color="auto"/>
            </w:tcBorders>
          </w:tcPr>
          <w:p w:rsidR="00C25113" w:rsidRPr="00802E12" w:rsidRDefault="00C25113" w:rsidP="00F8636F">
            <w:pPr>
              <w:rPr>
                <w:rFonts w:ascii="Arial Narrow" w:hAnsi="Arial Narrow" w:cs="Arial"/>
                <w:sz w:val="20"/>
                <w:szCs w:val="20"/>
              </w:rPr>
            </w:pPr>
            <w:r w:rsidRPr="00802E12">
              <w:rPr>
                <w:rFonts w:ascii="Arial Narrow" w:hAnsi="Arial Narrow" w:cs="Arial"/>
                <w:sz w:val="20"/>
                <w:szCs w:val="20"/>
              </w:rPr>
              <w:t xml:space="preserve">Patient must have thalassaemia major, AND </w:t>
            </w:r>
          </w:p>
          <w:p w:rsidR="00C25113" w:rsidRPr="00802E12" w:rsidRDefault="00C25113" w:rsidP="00F8636F">
            <w:pPr>
              <w:rPr>
                <w:rFonts w:ascii="Arial Narrow" w:hAnsi="Arial Narrow" w:cs="Arial"/>
                <w:sz w:val="20"/>
                <w:szCs w:val="20"/>
              </w:rPr>
            </w:pPr>
          </w:p>
          <w:p w:rsidR="00C25113" w:rsidRPr="00802E12" w:rsidRDefault="00C25113" w:rsidP="00F8636F">
            <w:pPr>
              <w:rPr>
                <w:rFonts w:ascii="Arial Narrow" w:hAnsi="Arial Narrow" w:cs="Arial"/>
                <w:sz w:val="20"/>
                <w:szCs w:val="20"/>
              </w:rPr>
            </w:pPr>
            <w:r w:rsidRPr="00802E12">
              <w:rPr>
                <w:rFonts w:ascii="Arial Narrow" w:hAnsi="Arial Narrow" w:cs="Arial"/>
                <w:sz w:val="20"/>
                <w:szCs w:val="20"/>
              </w:rPr>
              <w:t>Patient must be one in whom desferrioxamine therapy has proven ineffective.</w:t>
            </w:r>
          </w:p>
          <w:p w:rsidR="00C25113" w:rsidRPr="00802E12" w:rsidRDefault="00C25113" w:rsidP="00F8636F">
            <w:pPr>
              <w:spacing w:before="40" w:after="40"/>
              <w:jc w:val="both"/>
              <w:rPr>
                <w:rFonts w:ascii="Arial Narrow" w:hAnsi="Arial Narrow" w:cs="Arial"/>
                <w:sz w:val="20"/>
                <w:szCs w:val="20"/>
              </w:rPr>
            </w:pPr>
          </w:p>
        </w:tc>
      </w:tr>
    </w:tbl>
    <w:p w:rsidR="00064D69" w:rsidRDefault="00064D69" w:rsidP="008A4AC9"/>
    <w:p w:rsidR="00113653" w:rsidRPr="00113653" w:rsidRDefault="00113653" w:rsidP="00113653">
      <w:pPr>
        <w:keepNext/>
        <w:keepLines/>
        <w:numPr>
          <w:ilvl w:val="0"/>
          <w:numId w:val="5"/>
        </w:numPr>
        <w:spacing w:before="240" w:after="120"/>
        <w:ind w:left="709" w:hanging="709"/>
        <w:outlineLvl w:val="0"/>
        <w:rPr>
          <w:rFonts w:ascii="Calibri" w:hAnsi="Calibri"/>
          <w:b/>
          <w:sz w:val="32"/>
          <w:szCs w:val="32"/>
          <w:lang w:eastAsia="en-US"/>
        </w:rPr>
      </w:pPr>
      <w:r w:rsidRPr="00113653">
        <w:rPr>
          <w:rFonts w:ascii="Calibri" w:hAnsi="Calibri"/>
          <w:b/>
          <w:sz w:val="32"/>
          <w:szCs w:val="32"/>
          <w:lang w:eastAsia="en-US"/>
        </w:rPr>
        <w:t>Context for Decision</w:t>
      </w:r>
    </w:p>
    <w:p w:rsidR="00113653" w:rsidRPr="00113653" w:rsidRDefault="00113653" w:rsidP="00113653">
      <w:pPr>
        <w:spacing w:before="120" w:after="120"/>
        <w:rPr>
          <w:rFonts w:ascii="Calibri" w:eastAsia="Calibri" w:hAnsi="Calibri" w:cs="Arial"/>
          <w:szCs w:val="22"/>
          <w:lang w:eastAsia="en-US"/>
        </w:rPr>
      </w:pPr>
      <w:r w:rsidRPr="00113653">
        <w:rPr>
          <w:rFonts w:ascii="Calibri" w:eastAsia="Calibri" w:hAnsi="Calibri" w:cs="Arial"/>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113653" w:rsidRPr="00C70F47" w:rsidRDefault="00113653" w:rsidP="00C70F47">
      <w:pPr>
        <w:keepNext/>
        <w:keepLines/>
        <w:numPr>
          <w:ilvl w:val="0"/>
          <w:numId w:val="5"/>
        </w:numPr>
        <w:spacing w:before="240" w:after="120"/>
        <w:ind w:left="709" w:hanging="709"/>
        <w:outlineLvl w:val="0"/>
        <w:rPr>
          <w:rFonts w:ascii="Calibri" w:hAnsi="Calibri"/>
          <w:b/>
          <w:sz w:val="32"/>
          <w:szCs w:val="32"/>
          <w:lang w:eastAsia="en-US"/>
        </w:rPr>
      </w:pPr>
      <w:r w:rsidRPr="00113653">
        <w:rPr>
          <w:rFonts w:ascii="Calibri" w:hAnsi="Calibri"/>
          <w:b/>
          <w:sz w:val="32"/>
          <w:szCs w:val="32"/>
          <w:lang w:eastAsia="en-US"/>
        </w:rPr>
        <w:t>Sponsor’s Comment</w:t>
      </w:r>
    </w:p>
    <w:p w:rsidR="00113653" w:rsidRPr="00113653" w:rsidRDefault="00113653" w:rsidP="00113653">
      <w:pPr>
        <w:spacing w:before="120" w:after="160"/>
        <w:jc w:val="both"/>
        <w:rPr>
          <w:rFonts w:ascii="Calibri" w:eastAsia="Calibri" w:hAnsi="Calibri" w:cs="Arial"/>
          <w:snapToGrid w:val="0"/>
          <w:szCs w:val="20"/>
          <w:lang w:eastAsia="en-US"/>
        </w:rPr>
      </w:pPr>
      <w:r w:rsidRPr="00113653">
        <w:rPr>
          <w:rFonts w:ascii="Calibri" w:eastAsia="Calibri" w:hAnsi="Calibri" w:cs="Arial"/>
          <w:snapToGrid w:val="0"/>
          <w:szCs w:val="20"/>
          <w:lang w:eastAsia="en-US"/>
        </w:rPr>
        <w:t>The sponsor had no comment.</w:t>
      </w:r>
    </w:p>
    <w:p w:rsidR="00113653" w:rsidRPr="00802E12" w:rsidRDefault="00113653" w:rsidP="008A4AC9"/>
    <w:sectPr w:rsidR="00113653" w:rsidRPr="00802E12" w:rsidSect="00113653">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87F" w:rsidRDefault="00E5787F">
      <w:r>
        <w:separator/>
      </w:r>
    </w:p>
    <w:p w:rsidR="00E5787F" w:rsidRDefault="00E5787F"/>
  </w:endnote>
  <w:endnote w:type="continuationSeparator" w:id="0">
    <w:p w:rsidR="00E5787F" w:rsidRDefault="00E5787F">
      <w:r>
        <w:continuationSeparator/>
      </w:r>
    </w:p>
    <w:p w:rsidR="00E5787F" w:rsidRDefault="00E578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C725E8" w:rsidTr="005A3173">
      <w:trPr>
        <w:trHeight w:val="151"/>
      </w:trPr>
      <w:tc>
        <w:tcPr>
          <w:tcW w:w="2250" w:type="pct"/>
          <w:tcBorders>
            <w:top w:val="nil"/>
            <w:left w:val="nil"/>
            <w:bottom w:val="single" w:sz="4" w:space="0" w:color="4F81BD"/>
            <w:right w:val="nil"/>
          </w:tcBorders>
        </w:tcPr>
        <w:p w:rsidR="00C725E8" w:rsidRPr="005A3173" w:rsidRDefault="00C725E8"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725E8" w:rsidRPr="005A3173" w:rsidRDefault="00C725E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725E8" w:rsidRPr="005A3173" w:rsidRDefault="00C725E8" w:rsidP="005A3173">
          <w:pPr>
            <w:pStyle w:val="Header"/>
            <w:spacing w:line="276" w:lineRule="auto"/>
            <w:rPr>
              <w:rFonts w:ascii="Calibri" w:eastAsia="MS Gothic" w:hAnsi="Calibri"/>
              <w:b/>
              <w:bCs/>
              <w:color w:val="4F81BD"/>
            </w:rPr>
          </w:pPr>
        </w:p>
      </w:tc>
    </w:tr>
    <w:tr w:rsidR="00C725E8" w:rsidTr="005A3173">
      <w:trPr>
        <w:trHeight w:val="150"/>
      </w:trPr>
      <w:tc>
        <w:tcPr>
          <w:tcW w:w="2250" w:type="pct"/>
          <w:tcBorders>
            <w:top w:val="single" w:sz="4" w:space="0" w:color="4F81BD"/>
            <w:left w:val="nil"/>
            <w:bottom w:val="nil"/>
            <w:right w:val="nil"/>
          </w:tcBorders>
        </w:tcPr>
        <w:p w:rsidR="00C725E8" w:rsidRPr="005A3173" w:rsidRDefault="00C725E8" w:rsidP="005A3173">
          <w:pPr>
            <w:pStyle w:val="Header"/>
            <w:spacing w:line="276" w:lineRule="auto"/>
            <w:rPr>
              <w:rFonts w:ascii="Calibri" w:eastAsia="MS Gothic" w:hAnsi="Calibri"/>
              <w:b/>
              <w:bCs/>
              <w:color w:val="4F81BD"/>
            </w:rPr>
          </w:pPr>
        </w:p>
      </w:tc>
      <w:tc>
        <w:tcPr>
          <w:tcW w:w="0" w:type="auto"/>
          <w:vMerge/>
          <w:vAlign w:val="center"/>
          <w:hideMark/>
        </w:tcPr>
        <w:p w:rsidR="00C725E8" w:rsidRPr="005A3173" w:rsidRDefault="00C725E8" w:rsidP="005A3173">
          <w:pPr>
            <w:rPr>
              <w:rFonts w:ascii="Calibri" w:hAnsi="Calibri"/>
              <w:color w:val="365F91"/>
              <w:sz w:val="22"/>
              <w:szCs w:val="22"/>
            </w:rPr>
          </w:pPr>
        </w:p>
      </w:tc>
      <w:tc>
        <w:tcPr>
          <w:tcW w:w="2250" w:type="pct"/>
          <w:tcBorders>
            <w:top w:val="single" w:sz="4" w:space="0" w:color="4F81BD"/>
            <w:left w:val="nil"/>
            <w:bottom w:val="nil"/>
            <w:right w:val="nil"/>
          </w:tcBorders>
        </w:tcPr>
        <w:p w:rsidR="00C725E8" w:rsidRPr="005A3173" w:rsidRDefault="00C725E8" w:rsidP="005A3173">
          <w:pPr>
            <w:pStyle w:val="Header"/>
            <w:spacing w:line="276" w:lineRule="auto"/>
            <w:rPr>
              <w:rFonts w:ascii="Calibri" w:eastAsia="MS Gothic" w:hAnsi="Calibri"/>
              <w:b/>
              <w:bCs/>
              <w:color w:val="4F81BD"/>
            </w:rPr>
          </w:pPr>
        </w:p>
      </w:tc>
    </w:tr>
  </w:tbl>
  <w:p w:rsidR="00C725E8" w:rsidRDefault="00C725E8"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725E8" w:rsidRDefault="00C725E8">
    <w:pPr>
      <w:pStyle w:val="Footer"/>
    </w:pPr>
  </w:p>
  <w:p w:rsidR="00C725E8" w:rsidRDefault="00C725E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6567132"/>
      <w:docPartObj>
        <w:docPartGallery w:val="Page Numbers (Bottom of Page)"/>
        <w:docPartUnique/>
      </w:docPartObj>
    </w:sdtPr>
    <w:sdtEndPr>
      <w:rPr>
        <w:noProof/>
      </w:rPr>
    </w:sdtEndPr>
    <w:sdtContent>
      <w:p w:rsidR="00C725E8" w:rsidRDefault="00C725E8" w:rsidP="007825F8">
        <w:pPr>
          <w:pStyle w:val="Footer"/>
          <w:jc w:val="center"/>
        </w:pPr>
        <w:r w:rsidRPr="007825F8">
          <w:rPr>
            <w:rFonts w:asciiTheme="minorHAnsi" w:hAnsiTheme="minorHAnsi"/>
          </w:rPr>
          <w:fldChar w:fldCharType="begin"/>
        </w:r>
        <w:r w:rsidRPr="007825F8">
          <w:rPr>
            <w:rFonts w:asciiTheme="minorHAnsi" w:hAnsiTheme="minorHAnsi"/>
          </w:rPr>
          <w:instrText xml:space="preserve"> PAGE   \* MERGEFORMAT </w:instrText>
        </w:r>
        <w:r w:rsidRPr="007825F8">
          <w:rPr>
            <w:rFonts w:asciiTheme="minorHAnsi" w:hAnsiTheme="minorHAnsi"/>
          </w:rPr>
          <w:fldChar w:fldCharType="separate"/>
        </w:r>
        <w:r w:rsidR="00E5787F">
          <w:rPr>
            <w:rFonts w:asciiTheme="minorHAnsi" w:hAnsiTheme="minorHAnsi"/>
            <w:noProof/>
          </w:rPr>
          <w:t>1</w:t>
        </w:r>
        <w:r w:rsidRPr="007825F8">
          <w:rPr>
            <w:rFonts w:asciiTheme="minorHAnsi" w:hAnsiTheme="minorHAnsi"/>
            <w:noProof/>
          </w:rPr>
          <w:fldChar w:fldCharType="end"/>
        </w:r>
      </w:p>
    </w:sdtContent>
  </w:sdt>
  <w:p w:rsidR="00C725E8" w:rsidRPr="005E1333" w:rsidRDefault="00C725E8" w:rsidP="00EF44A0">
    <w:pPr>
      <w:pStyle w:val="Footer"/>
      <w:jc w:val="center"/>
      <w:rPr>
        <w:rFonts w:asciiTheme="minorHAnsi" w:hAnsiTheme="minorHAnsi" w:cs="Arial"/>
        <w:b/>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C725E8" w:rsidTr="005A3173">
      <w:trPr>
        <w:trHeight w:val="151"/>
      </w:trPr>
      <w:tc>
        <w:tcPr>
          <w:tcW w:w="2250" w:type="pct"/>
          <w:tcBorders>
            <w:top w:val="nil"/>
            <w:left w:val="nil"/>
            <w:bottom w:val="single" w:sz="4" w:space="0" w:color="4F81BD"/>
            <w:right w:val="nil"/>
          </w:tcBorders>
        </w:tcPr>
        <w:p w:rsidR="00C725E8" w:rsidRPr="005A3173" w:rsidRDefault="00C725E8"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725E8" w:rsidRPr="005A3173" w:rsidRDefault="00C725E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725E8" w:rsidRPr="005A3173" w:rsidRDefault="00C725E8" w:rsidP="005A3173">
          <w:pPr>
            <w:pStyle w:val="Header"/>
            <w:spacing w:line="276" w:lineRule="auto"/>
            <w:rPr>
              <w:rFonts w:ascii="Calibri" w:eastAsia="MS Gothic" w:hAnsi="Calibri"/>
              <w:b/>
              <w:bCs/>
              <w:color w:val="4F81BD"/>
            </w:rPr>
          </w:pPr>
        </w:p>
      </w:tc>
    </w:tr>
    <w:tr w:rsidR="00C725E8" w:rsidTr="005A3173">
      <w:trPr>
        <w:trHeight w:val="150"/>
      </w:trPr>
      <w:tc>
        <w:tcPr>
          <w:tcW w:w="2250" w:type="pct"/>
          <w:tcBorders>
            <w:top w:val="single" w:sz="4" w:space="0" w:color="4F81BD"/>
            <w:left w:val="nil"/>
            <w:bottom w:val="nil"/>
            <w:right w:val="nil"/>
          </w:tcBorders>
        </w:tcPr>
        <w:p w:rsidR="00C725E8" w:rsidRPr="005A3173" w:rsidRDefault="00C725E8" w:rsidP="005A3173">
          <w:pPr>
            <w:pStyle w:val="Header"/>
            <w:spacing w:line="276" w:lineRule="auto"/>
            <w:rPr>
              <w:rFonts w:ascii="Calibri" w:eastAsia="MS Gothic" w:hAnsi="Calibri"/>
              <w:b/>
              <w:bCs/>
              <w:color w:val="4F81BD"/>
            </w:rPr>
          </w:pPr>
        </w:p>
      </w:tc>
      <w:tc>
        <w:tcPr>
          <w:tcW w:w="0" w:type="auto"/>
          <w:vMerge/>
          <w:vAlign w:val="center"/>
          <w:hideMark/>
        </w:tcPr>
        <w:p w:rsidR="00C725E8" w:rsidRPr="005A3173" w:rsidRDefault="00C725E8" w:rsidP="005A3173">
          <w:pPr>
            <w:rPr>
              <w:rFonts w:ascii="Calibri" w:hAnsi="Calibri"/>
              <w:color w:val="365F91"/>
              <w:sz w:val="22"/>
              <w:szCs w:val="22"/>
            </w:rPr>
          </w:pPr>
        </w:p>
      </w:tc>
      <w:tc>
        <w:tcPr>
          <w:tcW w:w="2250" w:type="pct"/>
          <w:tcBorders>
            <w:top w:val="single" w:sz="4" w:space="0" w:color="4F81BD"/>
            <w:left w:val="nil"/>
            <w:bottom w:val="nil"/>
            <w:right w:val="nil"/>
          </w:tcBorders>
        </w:tcPr>
        <w:p w:rsidR="00C725E8" w:rsidRPr="005A3173" w:rsidRDefault="00C725E8"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C725E8" w:rsidTr="005A3173">
      <w:trPr>
        <w:trHeight w:val="151"/>
      </w:trPr>
      <w:tc>
        <w:tcPr>
          <w:tcW w:w="2250" w:type="pct"/>
          <w:tcBorders>
            <w:top w:val="nil"/>
            <w:left w:val="nil"/>
            <w:bottom w:val="single" w:sz="4" w:space="0" w:color="4F81BD"/>
            <w:right w:val="nil"/>
          </w:tcBorders>
        </w:tcPr>
        <w:p w:rsidR="00C725E8" w:rsidRPr="005A3173" w:rsidRDefault="00C725E8"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725E8" w:rsidRPr="005A3173" w:rsidRDefault="00C725E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725E8" w:rsidRPr="005A3173" w:rsidRDefault="00C725E8" w:rsidP="005A3173">
          <w:pPr>
            <w:pStyle w:val="Header"/>
            <w:spacing w:line="276" w:lineRule="auto"/>
            <w:rPr>
              <w:rFonts w:ascii="Calibri" w:eastAsia="MS Gothic" w:hAnsi="Calibri"/>
              <w:b/>
              <w:bCs/>
              <w:color w:val="4F81BD"/>
            </w:rPr>
          </w:pPr>
        </w:p>
      </w:tc>
    </w:tr>
    <w:tr w:rsidR="00C725E8" w:rsidTr="005A3173">
      <w:trPr>
        <w:trHeight w:val="150"/>
      </w:trPr>
      <w:tc>
        <w:tcPr>
          <w:tcW w:w="2250" w:type="pct"/>
          <w:tcBorders>
            <w:top w:val="single" w:sz="4" w:space="0" w:color="4F81BD"/>
            <w:left w:val="nil"/>
            <w:bottom w:val="nil"/>
            <w:right w:val="nil"/>
          </w:tcBorders>
        </w:tcPr>
        <w:p w:rsidR="00C725E8" w:rsidRPr="005A3173" w:rsidRDefault="00C725E8" w:rsidP="005A3173">
          <w:pPr>
            <w:pStyle w:val="Header"/>
            <w:spacing w:line="276" w:lineRule="auto"/>
            <w:rPr>
              <w:rFonts w:ascii="Calibri" w:eastAsia="MS Gothic" w:hAnsi="Calibri"/>
              <w:b/>
              <w:bCs/>
              <w:color w:val="4F81BD"/>
            </w:rPr>
          </w:pPr>
        </w:p>
      </w:tc>
      <w:tc>
        <w:tcPr>
          <w:tcW w:w="0" w:type="auto"/>
          <w:vMerge/>
          <w:vAlign w:val="center"/>
          <w:hideMark/>
        </w:tcPr>
        <w:p w:rsidR="00C725E8" w:rsidRPr="005A3173" w:rsidRDefault="00C725E8" w:rsidP="005A3173">
          <w:pPr>
            <w:rPr>
              <w:rFonts w:ascii="Calibri" w:hAnsi="Calibri"/>
              <w:color w:val="365F91"/>
              <w:sz w:val="22"/>
              <w:szCs w:val="22"/>
            </w:rPr>
          </w:pPr>
        </w:p>
      </w:tc>
      <w:tc>
        <w:tcPr>
          <w:tcW w:w="2250" w:type="pct"/>
          <w:tcBorders>
            <w:top w:val="single" w:sz="4" w:space="0" w:color="4F81BD"/>
            <w:left w:val="nil"/>
            <w:bottom w:val="nil"/>
            <w:right w:val="nil"/>
          </w:tcBorders>
        </w:tcPr>
        <w:p w:rsidR="00C725E8" w:rsidRPr="005A3173" w:rsidRDefault="00C725E8" w:rsidP="005A3173">
          <w:pPr>
            <w:pStyle w:val="Header"/>
            <w:spacing w:line="276" w:lineRule="auto"/>
            <w:rPr>
              <w:rFonts w:ascii="Calibri" w:eastAsia="MS Gothic" w:hAnsi="Calibri"/>
              <w:b/>
              <w:bCs/>
              <w:color w:val="4F81BD"/>
            </w:rPr>
          </w:pPr>
        </w:p>
      </w:tc>
    </w:tr>
  </w:tbl>
  <w:p w:rsidR="00C725E8" w:rsidRPr="007C0F57" w:rsidRDefault="00C725E8"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C725E8" w:rsidRPr="007C0F57" w:rsidRDefault="00C725E8" w:rsidP="007C0F57">
    <w:pPr>
      <w:pStyle w:val="Footer"/>
      <w:jc w:val="center"/>
      <w:rPr>
        <w:b/>
        <w:i/>
        <w:sz w:val="20"/>
        <w:szCs w:val="20"/>
      </w:rPr>
    </w:pPr>
    <w:r w:rsidRPr="007C0F57">
      <w:rPr>
        <w:b/>
        <w:i/>
        <w:sz w:val="20"/>
        <w:szCs w:val="20"/>
      </w:rPr>
      <w:t>Commercial-in-Confidence</w:t>
    </w:r>
  </w:p>
  <w:p w:rsidR="00C725E8" w:rsidRDefault="00C725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87F" w:rsidRDefault="00E5787F">
      <w:r>
        <w:separator/>
      </w:r>
    </w:p>
    <w:p w:rsidR="00E5787F" w:rsidRDefault="00E5787F"/>
  </w:footnote>
  <w:footnote w:type="continuationSeparator" w:id="0">
    <w:p w:rsidR="00E5787F" w:rsidRDefault="00E5787F">
      <w:r>
        <w:continuationSeparator/>
      </w:r>
    </w:p>
    <w:p w:rsidR="00E5787F" w:rsidRDefault="00E5787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C725E8" w:rsidRPr="008E0D90" w:rsidTr="00A06225">
      <w:trPr>
        <w:trHeight w:val="151"/>
      </w:trPr>
      <w:tc>
        <w:tcPr>
          <w:tcW w:w="2389" w:type="pct"/>
          <w:tcBorders>
            <w:top w:val="nil"/>
            <w:left w:val="nil"/>
            <w:bottom w:val="single" w:sz="4" w:space="0" w:color="4F81BD"/>
            <w:right w:val="nil"/>
          </w:tcBorders>
        </w:tcPr>
        <w:p w:rsidR="00C725E8" w:rsidRPr="00A06225" w:rsidRDefault="00C725E8">
          <w:pPr>
            <w:pStyle w:val="Header"/>
            <w:spacing w:line="276" w:lineRule="auto"/>
            <w:rPr>
              <w:rFonts w:ascii="Cambria" w:eastAsia="MS Gothic" w:hAnsi="Cambria"/>
              <w:b/>
              <w:bCs/>
              <w:color w:val="4F81BD"/>
            </w:rPr>
          </w:pPr>
        </w:p>
      </w:tc>
      <w:tc>
        <w:tcPr>
          <w:tcW w:w="333" w:type="pct"/>
          <w:vMerge w:val="restart"/>
          <w:noWrap/>
          <w:vAlign w:val="center"/>
          <w:hideMark/>
        </w:tcPr>
        <w:p w:rsidR="00C725E8" w:rsidRPr="00A06225" w:rsidRDefault="00C725E8"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C725E8" w:rsidRPr="00A06225" w:rsidRDefault="00C725E8">
          <w:pPr>
            <w:pStyle w:val="Header"/>
            <w:spacing w:line="276" w:lineRule="auto"/>
            <w:rPr>
              <w:rFonts w:ascii="Cambria" w:eastAsia="MS Gothic" w:hAnsi="Cambria"/>
              <w:b/>
              <w:bCs/>
              <w:color w:val="4F81BD"/>
            </w:rPr>
          </w:pPr>
        </w:p>
      </w:tc>
    </w:tr>
    <w:tr w:rsidR="00C725E8" w:rsidRPr="008E0D90" w:rsidTr="00A06225">
      <w:trPr>
        <w:trHeight w:val="150"/>
      </w:trPr>
      <w:tc>
        <w:tcPr>
          <w:tcW w:w="2389" w:type="pct"/>
          <w:tcBorders>
            <w:top w:val="single" w:sz="4" w:space="0" w:color="4F81BD"/>
            <w:left w:val="nil"/>
            <w:bottom w:val="nil"/>
            <w:right w:val="nil"/>
          </w:tcBorders>
        </w:tcPr>
        <w:p w:rsidR="00C725E8" w:rsidRPr="00A06225" w:rsidRDefault="00C725E8">
          <w:pPr>
            <w:pStyle w:val="Header"/>
            <w:spacing w:line="276" w:lineRule="auto"/>
            <w:rPr>
              <w:rFonts w:ascii="Cambria" w:eastAsia="MS Gothic" w:hAnsi="Cambria"/>
              <w:b/>
              <w:bCs/>
              <w:color w:val="4F81BD"/>
            </w:rPr>
          </w:pPr>
        </w:p>
      </w:tc>
      <w:tc>
        <w:tcPr>
          <w:tcW w:w="0" w:type="auto"/>
          <w:vMerge/>
          <w:vAlign w:val="center"/>
          <w:hideMark/>
        </w:tcPr>
        <w:p w:rsidR="00C725E8" w:rsidRPr="00A06225" w:rsidRDefault="00C725E8">
          <w:pPr>
            <w:rPr>
              <w:rFonts w:ascii="Cambria" w:hAnsi="Cambria"/>
              <w:color w:val="4F81BD"/>
              <w:sz w:val="22"/>
              <w:szCs w:val="22"/>
            </w:rPr>
          </w:pPr>
        </w:p>
      </w:tc>
      <w:tc>
        <w:tcPr>
          <w:tcW w:w="2278" w:type="pct"/>
          <w:tcBorders>
            <w:top w:val="single" w:sz="4" w:space="0" w:color="4F81BD"/>
            <w:left w:val="nil"/>
            <w:bottom w:val="nil"/>
            <w:right w:val="nil"/>
          </w:tcBorders>
        </w:tcPr>
        <w:p w:rsidR="00C725E8" w:rsidRPr="00A06225" w:rsidRDefault="00C725E8">
          <w:pPr>
            <w:pStyle w:val="Header"/>
            <w:spacing w:line="276" w:lineRule="auto"/>
            <w:rPr>
              <w:rFonts w:ascii="Cambria" w:eastAsia="MS Gothic" w:hAnsi="Cambria"/>
              <w:b/>
              <w:bCs/>
              <w:color w:val="4F81BD"/>
            </w:rPr>
          </w:pPr>
        </w:p>
      </w:tc>
    </w:tr>
  </w:tbl>
  <w:p w:rsidR="00C725E8" w:rsidRDefault="00C725E8">
    <w:pPr>
      <w:pStyle w:val="Header"/>
    </w:pPr>
  </w:p>
  <w:p w:rsidR="00C725E8" w:rsidRDefault="00C725E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5E8" w:rsidRPr="00782306" w:rsidRDefault="00113653" w:rsidP="00DE023F">
    <w:pPr>
      <w:pStyle w:val="NoSpacing"/>
      <w:jc w:val="center"/>
      <w:rPr>
        <w:rFonts w:asciiTheme="minorHAnsi" w:hAnsiTheme="minorHAnsi"/>
        <w:i/>
      </w:rPr>
    </w:pPr>
    <w:r>
      <w:rPr>
        <w:rFonts w:asciiTheme="minorHAnsi" w:hAnsiTheme="minorHAnsi"/>
        <w:i/>
      </w:rPr>
      <w:t>Public Summary Document</w:t>
    </w:r>
    <w:r w:rsidR="00C725E8" w:rsidRPr="00782306">
      <w:rPr>
        <w:rFonts w:asciiTheme="minorHAnsi" w:hAnsiTheme="minorHAnsi"/>
        <w:i/>
      </w:rPr>
      <w:t xml:space="preserve"> - November 2017 PBAC Meeting</w:t>
    </w:r>
  </w:p>
  <w:p w:rsidR="00C725E8" w:rsidRDefault="00C725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87F" w:rsidRDefault="00E578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3">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5">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7">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784D033C"/>
    <w:multiLevelType w:val="multilevel"/>
    <w:tmpl w:val="FFD42952"/>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2"/>
  </w:num>
  <w:num w:numId="3">
    <w:abstractNumId w:val="4"/>
  </w:num>
  <w:num w:numId="4">
    <w:abstractNumId w:val="11"/>
  </w:num>
  <w:num w:numId="5">
    <w:abstractNumId w:val="12"/>
  </w:num>
  <w:num w:numId="6">
    <w:abstractNumId w:val="5"/>
  </w:num>
  <w:num w:numId="7">
    <w:abstractNumId w:val="10"/>
  </w:num>
  <w:num w:numId="8">
    <w:abstractNumId w:val="3"/>
  </w:num>
  <w:num w:numId="9">
    <w:abstractNumId w:val="9"/>
  </w:num>
  <w:num w:numId="10">
    <w:abstractNumId w:val="8"/>
  </w:num>
  <w:num w:numId="11">
    <w:abstractNumId w:val="7"/>
  </w:num>
  <w:num w:numId="12">
    <w:abstractNumId w:val="1"/>
  </w:num>
  <w:num w:numId="13">
    <w:abstractNumId w:val="0"/>
  </w:num>
  <w:num w:numId="14">
    <w:abstractNumId w:val="12"/>
  </w:num>
  <w:num w:numId="15">
    <w:abstractNumId w:val="12"/>
    <w:lvlOverride w:ilvl="0">
      <w:startOverride w:val="2"/>
    </w:lvlOverride>
    <w:lvlOverride w:ilvl="1">
      <w:startOverride w:val="1"/>
    </w:lvlOverride>
  </w:num>
  <w:num w:numId="16">
    <w:abstractNumId w:val="12"/>
    <w:lvlOverride w:ilvl="0">
      <w:startOverride w:val="6"/>
    </w:lvlOverride>
    <w:lvlOverride w:ilvl="1">
      <w:startOverride w:val="2"/>
    </w:lvlOverride>
  </w:num>
  <w:num w:numId="17">
    <w:abstractNumId w:val="12"/>
    <w:lvlOverride w:ilvl="0">
      <w:startOverride w:val="6"/>
    </w:lvlOverride>
    <w:lvlOverride w:ilvl="1">
      <w:startOverride w:val="2"/>
    </w:lvlOverride>
  </w:num>
  <w:num w:numId="18">
    <w:abstractNumId w:val="12"/>
    <w:lvlOverride w:ilvl="0">
      <w:startOverride w:val="6"/>
    </w:lvlOverride>
    <w:lvlOverride w:ilvl="1">
      <w:startOverride w:val="2"/>
    </w:lvlOverride>
  </w:num>
  <w:num w:numId="19">
    <w:abstractNumId w:val="12"/>
    <w:lvlOverride w:ilvl="0">
      <w:startOverride w:val="7"/>
    </w:lvlOverride>
  </w:num>
  <w:num w:numId="20">
    <w:abstractNumId w:val="12"/>
    <w:lvlOverride w:ilvl="0">
      <w:startOverride w:val="6"/>
    </w:lvlOverride>
    <w:lvlOverride w:ilvl="1">
      <w:startOverride w:val="3"/>
    </w:lvlOverride>
  </w:num>
  <w:num w:numId="21">
    <w:abstractNumId w:val="12"/>
    <w:lvlOverride w:ilvl="0">
      <w:startOverride w:val="2"/>
    </w:lvlOverride>
    <w:lvlOverride w:ilvl="1">
      <w:startOverride w:val="6"/>
    </w:lvlOverride>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2AEE"/>
    <w:rsid w:val="0000335D"/>
    <w:rsid w:val="000050C4"/>
    <w:rsid w:val="00007101"/>
    <w:rsid w:val="00014DA6"/>
    <w:rsid w:val="00016EC0"/>
    <w:rsid w:val="0002048C"/>
    <w:rsid w:val="00021CB7"/>
    <w:rsid w:val="00023B7D"/>
    <w:rsid w:val="000242A2"/>
    <w:rsid w:val="0002464A"/>
    <w:rsid w:val="0003106B"/>
    <w:rsid w:val="00032B6C"/>
    <w:rsid w:val="00034587"/>
    <w:rsid w:val="00037F92"/>
    <w:rsid w:val="00041A0E"/>
    <w:rsid w:val="000421A1"/>
    <w:rsid w:val="0004240E"/>
    <w:rsid w:val="00045E26"/>
    <w:rsid w:val="000514AD"/>
    <w:rsid w:val="000514B5"/>
    <w:rsid w:val="00052A79"/>
    <w:rsid w:val="00052EE2"/>
    <w:rsid w:val="00060E64"/>
    <w:rsid w:val="00062597"/>
    <w:rsid w:val="000646C8"/>
    <w:rsid w:val="00064D69"/>
    <w:rsid w:val="00066755"/>
    <w:rsid w:val="00067460"/>
    <w:rsid w:val="000708B4"/>
    <w:rsid w:val="00070F2C"/>
    <w:rsid w:val="000719ED"/>
    <w:rsid w:val="00074770"/>
    <w:rsid w:val="0007507B"/>
    <w:rsid w:val="00077143"/>
    <w:rsid w:val="00081DA8"/>
    <w:rsid w:val="00082169"/>
    <w:rsid w:val="000826C9"/>
    <w:rsid w:val="00084709"/>
    <w:rsid w:val="0009594F"/>
    <w:rsid w:val="000969AD"/>
    <w:rsid w:val="000A20CC"/>
    <w:rsid w:val="000A40BA"/>
    <w:rsid w:val="000B558D"/>
    <w:rsid w:val="000C0D74"/>
    <w:rsid w:val="000C1C5B"/>
    <w:rsid w:val="000C24BB"/>
    <w:rsid w:val="000C6996"/>
    <w:rsid w:val="000C6E0E"/>
    <w:rsid w:val="000D23BA"/>
    <w:rsid w:val="000D3448"/>
    <w:rsid w:val="000D67FB"/>
    <w:rsid w:val="000E681E"/>
    <w:rsid w:val="000F0003"/>
    <w:rsid w:val="000F17EE"/>
    <w:rsid w:val="000F1E48"/>
    <w:rsid w:val="000F4E6A"/>
    <w:rsid w:val="000F522D"/>
    <w:rsid w:val="00104227"/>
    <w:rsid w:val="0010660F"/>
    <w:rsid w:val="001107BF"/>
    <w:rsid w:val="00111AFE"/>
    <w:rsid w:val="00113653"/>
    <w:rsid w:val="00117850"/>
    <w:rsid w:val="00121B9F"/>
    <w:rsid w:val="00122DE7"/>
    <w:rsid w:val="0012417C"/>
    <w:rsid w:val="00131F82"/>
    <w:rsid w:val="00132CDA"/>
    <w:rsid w:val="00133F41"/>
    <w:rsid w:val="00137593"/>
    <w:rsid w:val="00141CFC"/>
    <w:rsid w:val="0014207E"/>
    <w:rsid w:val="00142395"/>
    <w:rsid w:val="00142714"/>
    <w:rsid w:val="001452ED"/>
    <w:rsid w:val="00150000"/>
    <w:rsid w:val="00151B13"/>
    <w:rsid w:val="00153F5A"/>
    <w:rsid w:val="00163329"/>
    <w:rsid w:val="00164623"/>
    <w:rsid w:val="00165B64"/>
    <w:rsid w:val="001665F6"/>
    <w:rsid w:val="001723BC"/>
    <w:rsid w:val="0017498B"/>
    <w:rsid w:val="00177269"/>
    <w:rsid w:val="001830CE"/>
    <w:rsid w:val="00184C86"/>
    <w:rsid w:val="0018643B"/>
    <w:rsid w:val="00187F37"/>
    <w:rsid w:val="00190F4C"/>
    <w:rsid w:val="001914BD"/>
    <w:rsid w:val="00196307"/>
    <w:rsid w:val="001A33EA"/>
    <w:rsid w:val="001A610C"/>
    <w:rsid w:val="001B017F"/>
    <w:rsid w:val="001B1A2F"/>
    <w:rsid w:val="001B1F02"/>
    <w:rsid w:val="001B2BBC"/>
    <w:rsid w:val="001B3D6B"/>
    <w:rsid w:val="001B5129"/>
    <w:rsid w:val="001B5ADB"/>
    <w:rsid w:val="001B6D76"/>
    <w:rsid w:val="001C1195"/>
    <w:rsid w:val="001C3AED"/>
    <w:rsid w:val="001C666F"/>
    <w:rsid w:val="001E08ED"/>
    <w:rsid w:val="001E7E31"/>
    <w:rsid w:val="001F1850"/>
    <w:rsid w:val="001F5067"/>
    <w:rsid w:val="001F5B1D"/>
    <w:rsid w:val="00203FAC"/>
    <w:rsid w:val="00206AAE"/>
    <w:rsid w:val="00210121"/>
    <w:rsid w:val="00213CFB"/>
    <w:rsid w:val="0021731E"/>
    <w:rsid w:val="00217BE1"/>
    <w:rsid w:val="0022036B"/>
    <w:rsid w:val="0022110E"/>
    <w:rsid w:val="0023229F"/>
    <w:rsid w:val="00241C89"/>
    <w:rsid w:val="00243108"/>
    <w:rsid w:val="00246694"/>
    <w:rsid w:val="00250319"/>
    <w:rsid w:val="0025717C"/>
    <w:rsid w:val="00262AB6"/>
    <w:rsid w:val="00262BEF"/>
    <w:rsid w:val="00264A78"/>
    <w:rsid w:val="0026673F"/>
    <w:rsid w:val="00267E48"/>
    <w:rsid w:val="00267FE8"/>
    <w:rsid w:val="00270741"/>
    <w:rsid w:val="00271BA1"/>
    <w:rsid w:val="00275A1E"/>
    <w:rsid w:val="002762FA"/>
    <w:rsid w:val="00277505"/>
    <w:rsid w:val="0028185F"/>
    <w:rsid w:val="002830D1"/>
    <w:rsid w:val="00284791"/>
    <w:rsid w:val="0028621F"/>
    <w:rsid w:val="002872B1"/>
    <w:rsid w:val="00287631"/>
    <w:rsid w:val="0029392F"/>
    <w:rsid w:val="0029458F"/>
    <w:rsid w:val="00297000"/>
    <w:rsid w:val="002A104C"/>
    <w:rsid w:val="002A1AF8"/>
    <w:rsid w:val="002A3F40"/>
    <w:rsid w:val="002A46C8"/>
    <w:rsid w:val="002A4960"/>
    <w:rsid w:val="002B1AE6"/>
    <w:rsid w:val="002B1B63"/>
    <w:rsid w:val="002B2DE8"/>
    <w:rsid w:val="002B30F8"/>
    <w:rsid w:val="002B4666"/>
    <w:rsid w:val="002B5596"/>
    <w:rsid w:val="002B5803"/>
    <w:rsid w:val="002B5AE5"/>
    <w:rsid w:val="002B6B53"/>
    <w:rsid w:val="002C0636"/>
    <w:rsid w:val="002C0A0B"/>
    <w:rsid w:val="002C212F"/>
    <w:rsid w:val="002C25FC"/>
    <w:rsid w:val="002C33FD"/>
    <w:rsid w:val="002C5996"/>
    <w:rsid w:val="002C6140"/>
    <w:rsid w:val="002D24C5"/>
    <w:rsid w:val="002D25FB"/>
    <w:rsid w:val="002D2B31"/>
    <w:rsid w:val="002D4543"/>
    <w:rsid w:val="002D6823"/>
    <w:rsid w:val="002D6AB9"/>
    <w:rsid w:val="002D7FF2"/>
    <w:rsid w:val="002E16C7"/>
    <w:rsid w:val="002E3153"/>
    <w:rsid w:val="002E701A"/>
    <w:rsid w:val="002E72CA"/>
    <w:rsid w:val="00300AD6"/>
    <w:rsid w:val="003028ED"/>
    <w:rsid w:val="00303EFA"/>
    <w:rsid w:val="003064A6"/>
    <w:rsid w:val="00307940"/>
    <w:rsid w:val="00312F5B"/>
    <w:rsid w:val="003130E0"/>
    <w:rsid w:val="00316D3A"/>
    <w:rsid w:val="00317566"/>
    <w:rsid w:val="00317C6C"/>
    <w:rsid w:val="00325671"/>
    <w:rsid w:val="00326E79"/>
    <w:rsid w:val="0033518A"/>
    <w:rsid w:val="00335F8B"/>
    <w:rsid w:val="003367EF"/>
    <w:rsid w:val="00336FA7"/>
    <w:rsid w:val="00341AE4"/>
    <w:rsid w:val="0034467C"/>
    <w:rsid w:val="00355D14"/>
    <w:rsid w:val="00356312"/>
    <w:rsid w:val="0036357B"/>
    <w:rsid w:val="00373A97"/>
    <w:rsid w:val="00380EDB"/>
    <w:rsid w:val="003850E2"/>
    <w:rsid w:val="003872CF"/>
    <w:rsid w:val="00387557"/>
    <w:rsid w:val="00391CF7"/>
    <w:rsid w:val="00397189"/>
    <w:rsid w:val="0039782C"/>
    <w:rsid w:val="003A5B4A"/>
    <w:rsid w:val="003B00E0"/>
    <w:rsid w:val="003B23C5"/>
    <w:rsid w:val="003B2A75"/>
    <w:rsid w:val="003B6124"/>
    <w:rsid w:val="003B6AEA"/>
    <w:rsid w:val="003B6E7A"/>
    <w:rsid w:val="003B7739"/>
    <w:rsid w:val="003C2FB5"/>
    <w:rsid w:val="003C3EAB"/>
    <w:rsid w:val="003D499C"/>
    <w:rsid w:val="003D4AC4"/>
    <w:rsid w:val="003D63B7"/>
    <w:rsid w:val="003D6B3D"/>
    <w:rsid w:val="003E084B"/>
    <w:rsid w:val="003E468B"/>
    <w:rsid w:val="003F3228"/>
    <w:rsid w:val="003F3E1C"/>
    <w:rsid w:val="003F5C8C"/>
    <w:rsid w:val="004017D2"/>
    <w:rsid w:val="00404829"/>
    <w:rsid w:val="00414788"/>
    <w:rsid w:val="00416196"/>
    <w:rsid w:val="0042072F"/>
    <w:rsid w:val="004252EC"/>
    <w:rsid w:val="00446214"/>
    <w:rsid w:val="004465BD"/>
    <w:rsid w:val="00447F95"/>
    <w:rsid w:val="004538D5"/>
    <w:rsid w:val="00455033"/>
    <w:rsid w:val="00464BAF"/>
    <w:rsid w:val="00465E12"/>
    <w:rsid w:val="0046629A"/>
    <w:rsid w:val="00466ADA"/>
    <w:rsid w:val="004679AC"/>
    <w:rsid w:val="00476245"/>
    <w:rsid w:val="00480E21"/>
    <w:rsid w:val="00481231"/>
    <w:rsid w:val="004826B5"/>
    <w:rsid w:val="00483035"/>
    <w:rsid w:val="004839A9"/>
    <w:rsid w:val="00485940"/>
    <w:rsid w:val="00490214"/>
    <w:rsid w:val="004906B3"/>
    <w:rsid w:val="00493A53"/>
    <w:rsid w:val="00495650"/>
    <w:rsid w:val="004A0741"/>
    <w:rsid w:val="004A211D"/>
    <w:rsid w:val="004A2484"/>
    <w:rsid w:val="004A2901"/>
    <w:rsid w:val="004A54DB"/>
    <w:rsid w:val="004A5A85"/>
    <w:rsid w:val="004A71D1"/>
    <w:rsid w:val="004B0735"/>
    <w:rsid w:val="004B5640"/>
    <w:rsid w:val="004B6EAB"/>
    <w:rsid w:val="004B7163"/>
    <w:rsid w:val="004C1B40"/>
    <w:rsid w:val="004C1BD7"/>
    <w:rsid w:val="004C31FE"/>
    <w:rsid w:val="004C663B"/>
    <w:rsid w:val="004C67C9"/>
    <w:rsid w:val="004C691D"/>
    <w:rsid w:val="004C6C07"/>
    <w:rsid w:val="004C72BF"/>
    <w:rsid w:val="004D03C9"/>
    <w:rsid w:val="004D0514"/>
    <w:rsid w:val="004D3D75"/>
    <w:rsid w:val="004D60F7"/>
    <w:rsid w:val="004E3A65"/>
    <w:rsid w:val="004E4E29"/>
    <w:rsid w:val="004E57CC"/>
    <w:rsid w:val="004E66FB"/>
    <w:rsid w:val="004E692D"/>
    <w:rsid w:val="004F1F0F"/>
    <w:rsid w:val="004F2F5D"/>
    <w:rsid w:val="00500FB9"/>
    <w:rsid w:val="00501554"/>
    <w:rsid w:val="005145A8"/>
    <w:rsid w:val="00514CD7"/>
    <w:rsid w:val="00516112"/>
    <w:rsid w:val="005204B7"/>
    <w:rsid w:val="005319B2"/>
    <w:rsid w:val="00531C39"/>
    <w:rsid w:val="00532402"/>
    <w:rsid w:val="00532C74"/>
    <w:rsid w:val="005333A6"/>
    <w:rsid w:val="00534E2E"/>
    <w:rsid w:val="005370BF"/>
    <w:rsid w:val="00540B87"/>
    <w:rsid w:val="00543C11"/>
    <w:rsid w:val="00544552"/>
    <w:rsid w:val="005461AC"/>
    <w:rsid w:val="00546AC8"/>
    <w:rsid w:val="00547A01"/>
    <w:rsid w:val="00547B1D"/>
    <w:rsid w:val="005500F1"/>
    <w:rsid w:val="00556ECE"/>
    <w:rsid w:val="00571687"/>
    <w:rsid w:val="005728A5"/>
    <w:rsid w:val="00577C4D"/>
    <w:rsid w:val="00580F96"/>
    <w:rsid w:val="00581932"/>
    <w:rsid w:val="00584828"/>
    <w:rsid w:val="00584F1B"/>
    <w:rsid w:val="005943BF"/>
    <w:rsid w:val="005963BB"/>
    <w:rsid w:val="00596D4A"/>
    <w:rsid w:val="005A2CC3"/>
    <w:rsid w:val="005A3173"/>
    <w:rsid w:val="005A3223"/>
    <w:rsid w:val="005A3DA3"/>
    <w:rsid w:val="005A52C4"/>
    <w:rsid w:val="005A5A66"/>
    <w:rsid w:val="005C5AEF"/>
    <w:rsid w:val="005D03AB"/>
    <w:rsid w:val="005D277A"/>
    <w:rsid w:val="005D5017"/>
    <w:rsid w:val="005E1333"/>
    <w:rsid w:val="005E35F9"/>
    <w:rsid w:val="005F0178"/>
    <w:rsid w:val="005F494F"/>
    <w:rsid w:val="00601329"/>
    <w:rsid w:val="00601A91"/>
    <w:rsid w:val="00602BA3"/>
    <w:rsid w:val="00602C3C"/>
    <w:rsid w:val="00612E34"/>
    <w:rsid w:val="00613FDC"/>
    <w:rsid w:val="00614159"/>
    <w:rsid w:val="00617C00"/>
    <w:rsid w:val="006263BF"/>
    <w:rsid w:val="0062748A"/>
    <w:rsid w:val="00630A2C"/>
    <w:rsid w:val="006353E7"/>
    <w:rsid w:val="00635686"/>
    <w:rsid w:val="0063682E"/>
    <w:rsid w:val="00637B02"/>
    <w:rsid w:val="00642DDF"/>
    <w:rsid w:val="006436CD"/>
    <w:rsid w:val="00650D17"/>
    <w:rsid w:val="00651169"/>
    <w:rsid w:val="00653448"/>
    <w:rsid w:val="00653D11"/>
    <w:rsid w:val="00653D69"/>
    <w:rsid w:val="00654309"/>
    <w:rsid w:val="00657870"/>
    <w:rsid w:val="0066472F"/>
    <w:rsid w:val="006650B2"/>
    <w:rsid w:val="006670BE"/>
    <w:rsid w:val="00667310"/>
    <w:rsid w:val="00670A76"/>
    <w:rsid w:val="006711AA"/>
    <w:rsid w:val="00672B57"/>
    <w:rsid w:val="00674625"/>
    <w:rsid w:val="00674C55"/>
    <w:rsid w:val="00675622"/>
    <w:rsid w:val="006768B5"/>
    <w:rsid w:val="00677CCA"/>
    <w:rsid w:val="00677D8C"/>
    <w:rsid w:val="00680AE4"/>
    <w:rsid w:val="006906DB"/>
    <w:rsid w:val="00691E6C"/>
    <w:rsid w:val="00693B36"/>
    <w:rsid w:val="00696129"/>
    <w:rsid w:val="0069642C"/>
    <w:rsid w:val="00697CF2"/>
    <w:rsid w:val="006A12A5"/>
    <w:rsid w:val="006A5911"/>
    <w:rsid w:val="006B0D94"/>
    <w:rsid w:val="006B3EAF"/>
    <w:rsid w:val="006B485D"/>
    <w:rsid w:val="006B77BD"/>
    <w:rsid w:val="006C11EE"/>
    <w:rsid w:val="006C2A0A"/>
    <w:rsid w:val="006C708E"/>
    <w:rsid w:val="006D6EC7"/>
    <w:rsid w:val="006D7F88"/>
    <w:rsid w:val="006E0102"/>
    <w:rsid w:val="006E7368"/>
    <w:rsid w:val="006E7841"/>
    <w:rsid w:val="006F1684"/>
    <w:rsid w:val="006F2EE2"/>
    <w:rsid w:val="006F45E9"/>
    <w:rsid w:val="006F5125"/>
    <w:rsid w:val="00702B6F"/>
    <w:rsid w:val="00711920"/>
    <w:rsid w:val="0071340B"/>
    <w:rsid w:val="007174BB"/>
    <w:rsid w:val="0072025D"/>
    <w:rsid w:val="0072302F"/>
    <w:rsid w:val="007353D3"/>
    <w:rsid w:val="00737583"/>
    <w:rsid w:val="00740037"/>
    <w:rsid w:val="00743BD5"/>
    <w:rsid w:val="00757099"/>
    <w:rsid w:val="0076420C"/>
    <w:rsid w:val="00764328"/>
    <w:rsid w:val="00765A14"/>
    <w:rsid w:val="007753C2"/>
    <w:rsid w:val="00775F9B"/>
    <w:rsid w:val="00782306"/>
    <w:rsid w:val="007825F8"/>
    <w:rsid w:val="007838B8"/>
    <w:rsid w:val="00784E29"/>
    <w:rsid w:val="00786850"/>
    <w:rsid w:val="0078722B"/>
    <w:rsid w:val="00787965"/>
    <w:rsid w:val="00793391"/>
    <w:rsid w:val="007938D6"/>
    <w:rsid w:val="00796C86"/>
    <w:rsid w:val="007B0BB1"/>
    <w:rsid w:val="007B19E3"/>
    <w:rsid w:val="007B5F71"/>
    <w:rsid w:val="007B6CCA"/>
    <w:rsid w:val="007B7A3F"/>
    <w:rsid w:val="007C0F57"/>
    <w:rsid w:val="007C40B6"/>
    <w:rsid w:val="007C729F"/>
    <w:rsid w:val="007E1613"/>
    <w:rsid w:val="007E1D28"/>
    <w:rsid w:val="007E4165"/>
    <w:rsid w:val="007F0114"/>
    <w:rsid w:val="007F2641"/>
    <w:rsid w:val="007F427F"/>
    <w:rsid w:val="007F6621"/>
    <w:rsid w:val="007F7C36"/>
    <w:rsid w:val="008018BB"/>
    <w:rsid w:val="00802E12"/>
    <w:rsid w:val="00806796"/>
    <w:rsid w:val="00811954"/>
    <w:rsid w:val="008151D6"/>
    <w:rsid w:val="0081787F"/>
    <w:rsid w:val="00817B5F"/>
    <w:rsid w:val="008201C3"/>
    <w:rsid w:val="00820620"/>
    <w:rsid w:val="00826F6D"/>
    <w:rsid w:val="008306F3"/>
    <w:rsid w:val="008319B5"/>
    <w:rsid w:val="00831E2D"/>
    <w:rsid w:val="008429FB"/>
    <w:rsid w:val="0084587D"/>
    <w:rsid w:val="008460AC"/>
    <w:rsid w:val="00850D88"/>
    <w:rsid w:val="00853EAF"/>
    <w:rsid w:val="00856DDD"/>
    <w:rsid w:val="00860C29"/>
    <w:rsid w:val="00863E68"/>
    <w:rsid w:val="008654AD"/>
    <w:rsid w:val="00873338"/>
    <w:rsid w:val="00881361"/>
    <w:rsid w:val="00882085"/>
    <w:rsid w:val="00883188"/>
    <w:rsid w:val="00885D61"/>
    <w:rsid w:val="008952D8"/>
    <w:rsid w:val="00897D58"/>
    <w:rsid w:val="00897F22"/>
    <w:rsid w:val="008A0DE8"/>
    <w:rsid w:val="008A1956"/>
    <w:rsid w:val="008A32B3"/>
    <w:rsid w:val="008A4937"/>
    <w:rsid w:val="008A4AC9"/>
    <w:rsid w:val="008A50F1"/>
    <w:rsid w:val="008B1B04"/>
    <w:rsid w:val="008C16D4"/>
    <w:rsid w:val="008D1009"/>
    <w:rsid w:val="008D14EB"/>
    <w:rsid w:val="008D1B5C"/>
    <w:rsid w:val="008D3BAE"/>
    <w:rsid w:val="008D3C82"/>
    <w:rsid w:val="008D447E"/>
    <w:rsid w:val="008D7A41"/>
    <w:rsid w:val="008E27FB"/>
    <w:rsid w:val="008E3680"/>
    <w:rsid w:val="008E3956"/>
    <w:rsid w:val="008E5870"/>
    <w:rsid w:val="008E692D"/>
    <w:rsid w:val="008F1434"/>
    <w:rsid w:val="008F3880"/>
    <w:rsid w:val="008F671B"/>
    <w:rsid w:val="008F7355"/>
    <w:rsid w:val="0090502D"/>
    <w:rsid w:val="009067B7"/>
    <w:rsid w:val="00906905"/>
    <w:rsid w:val="00911D0F"/>
    <w:rsid w:val="009233F3"/>
    <w:rsid w:val="00926ABE"/>
    <w:rsid w:val="00930937"/>
    <w:rsid w:val="00932806"/>
    <w:rsid w:val="009333B2"/>
    <w:rsid w:val="00933E6C"/>
    <w:rsid w:val="00937958"/>
    <w:rsid w:val="0094189A"/>
    <w:rsid w:val="00942160"/>
    <w:rsid w:val="00942C09"/>
    <w:rsid w:val="0094357D"/>
    <w:rsid w:val="0095146F"/>
    <w:rsid w:val="00956FAC"/>
    <w:rsid w:val="009602C5"/>
    <w:rsid w:val="00961114"/>
    <w:rsid w:val="00962223"/>
    <w:rsid w:val="00962CDD"/>
    <w:rsid w:val="00966D0D"/>
    <w:rsid w:val="009679F3"/>
    <w:rsid w:val="00974C21"/>
    <w:rsid w:val="00981BD8"/>
    <w:rsid w:val="0098755C"/>
    <w:rsid w:val="00995565"/>
    <w:rsid w:val="00997069"/>
    <w:rsid w:val="009A74EA"/>
    <w:rsid w:val="009B0F67"/>
    <w:rsid w:val="009B1120"/>
    <w:rsid w:val="009B5052"/>
    <w:rsid w:val="009C687C"/>
    <w:rsid w:val="009C703C"/>
    <w:rsid w:val="009C7679"/>
    <w:rsid w:val="009D3CAA"/>
    <w:rsid w:val="009D417B"/>
    <w:rsid w:val="009D5E62"/>
    <w:rsid w:val="009E52F8"/>
    <w:rsid w:val="009F4E46"/>
    <w:rsid w:val="009F5B65"/>
    <w:rsid w:val="009F5F2E"/>
    <w:rsid w:val="00A03026"/>
    <w:rsid w:val="00A0372A"/>
    <w:rsid w:val="00A044AA"/>
    <w:rsid w:val="00A06225"/>
    <w:rsid w:val="00A10C26"/>
    <w:rsid w:val="00A128E6"/>
    <w:rsid w:val="00A207D4"/>
    <w:rsid w:val="00A22E44"/>
    <w:rsid w:val="00A231F7"/>
    <w:rsid w:val="00A34C89"/>
    <w:rsid w:val="00A34E6C"/>
    <w:rsid w:val="00A360DF"/>
    <w:rsid w:val="00A37C8D"/>
    <w:rsid w:val="00A42C3A"/>
    <w:rsid w:val="00A437BA"/>
    <w:rsid w:val="00A4432F"/>
    <w:rsid w:val="00A518D0"/>
    <w:rsid w:val="00A5273B"/>
    <w:rsid w:val="00A53A4E"/>
    <w:rsid w:val="00A53A9D"/>
    <w:rsid w:val="00A54915"/>
    <w:rsid w:val="00A55FEE"/>
    <w:rsid w:val="00A61625"/>
    <w:rsid w:val="00A62C1A"/>
    <w:rsid w:val="00A6426D"/>
    <w:rsid w:val="00A665C1"/>
    <w:rsid w:val="00A70622"/>
    <w:rsid w:val="00A70977"/>
    <w:rsid w:val="00A76D4D"/>
    <w:rsid w:val="00A77613"/>
    <w:rsid w:val="00A80409"/>
    <w:rsid w:val="00A8390C"/>
    <w:rsid w:val="00A928BD"/>
    <w:rsid w:val="00A959E5"/>
    <w:rsid w:val="00A976F2"/>
    <w:rsid w:val="00A97BF6"/>
    <w:rsid w:val="00AA4D1C"/>
    <w:rsid w:val="00AC11EF"/>
    <w:rsid w:val="00AC193C"/>
    <w:rsid w:val="00AC5206"/>
    <w:rsid w:val="00AC67B1"/>
    <w:rsid w:val="00AC6966"/>
    <w:rsid w:val="00AD6500"/>
    <w:rsid w:val="00AD73C5"/>
    <w:rsid w:val="00AE11A5"/>
    <w:rsid w:val="00AE13E2"/>
    <w:rsid w:val="00AE22D3"/>
    <w:rsid w:val="00AE3E21"/>
    <w:rsid w:val="00AF62DF"/>
    <w:rsid w:val="00AF68CC"/>
    <w:rsid w:val="00B03087"/>
    <w:rsid w:val="00B0401A"/>
    <w:rsid w:val="00B04DCD"/>
    <w:rsid w:val="00B05C9B"/>
    <w:rsid w:val="00B1059E"/>
    <w:rsid w:val="00B148C5"/>
    <w:rsid w:val="00B176C8"/>
    <w:rsid w:val="00B205AA"/>
    <w:rsid w:val="00B22E84"/>
    <w:rsid w:val="00B233F5"/>
    <w:rsid w:val="00B25F75"/>
    <w:rsid w:val="00B26B3F"/>
    <w:rsid w:val="00B32934"/>
    <w:rsid w:val="00B33B79"/>
    <w:rsid w:val="00B43E90"/>
    <w:rsid w:val="00B467DC"/>
    <w:rsid w:val="00B54DA6"/>
    <w:rsid w:val="00B56118"/>
    <w:rsid w:val="00B57D03"/>
    <w:rsid w:val="00B6773F"/>
    <w:rsid w:val="00B77D9B"/>
    <w:rsid w:val="00B801BA"/>
    <w:rsid w:val="00B82107"/>
    <w:rsid w:val="00B84D5C"/>
    <w:rsid w:val="00B8742F"/>
    <w:rsid w:val="00B8747A"/>
    <w:rsid w:val="00B957ED"/>
    <w:rsid w:val="00B97F75"/>
    <w:rsid w:val="00BA13A7"/>
    <w:rsid w:val="00BA688F"/>
    <w:rsid w:val="00BB62F4"/>
    <w:rsid w:val="00BB69F5"/>
    <w:rsid w:val="00BB6F64"/>
    <w:rsid w:val="00BB7EC3"/>
    <w:rsid w:val="00BC03FC"/>
    <w:rsid w:val="00BC0A9C"/>
    <w:rsid w:val="00BC11F4"/>
    <w:rsid w:val="00BC46CD"/>
    <w:rsid w:val="00BC4B9A"/>
    <w:rsid w:val="00BD14BD"/>
    <w:rsid w:val="00BD784C"/>
    <w:rsid w:val="00BE1C32"/>
    <w:rsid w:val="00BE2203"/>
    <w:rsid w:val="00BE26F5"/>
    <w:rsid w:val="00BE60B1"/>
    <w:rsid w:val="00BE696B"/>
    <w:rsid w:val="00BF11B6"/>
    <w:rsid w:val="00BF33A2"/>
    <w:rsid w:val="00BF4AB7"/>
    <w:rsid w:val="00BF4CB6"/>
    <w:rsid w:val="00BF5A38"/>
    <w:rsid w:val="00C00DA7"/>
    <w:rsid w:val="00C00EA0"/>
    <w:rsid w:val="00C03983"/>
    <w:rsid w:val="00C04D12"/>
    <w:rsid w:val="00C055F3"/>
    <w:rsid w:val="00C10C96"/>
    <w:rsid w:val="00C112B1"/>
    <w:rsid w:val="00C12768"/>
    <w:rsid w:val="00C145FA"/>
    <w:rsid w:val="00C20C3C"/>
    <w:rsid w:val="00C21062"/>
    <w:rsid w:val="00C21BDE"/>
    <w:rsid w:val="00C23C67"/>
    <w:rsid w:val="00C23D57"/>
    <w:rsid w:val="00C25113"/>
    <w:rsid w:val="00C278BA"/>
    <w:rsid w:val="00C27B58"/>
    <w:rsid w:val="00C31F7D"/>
    <w:rsid w:val="00C3521B"/>
    <w:rsid w:val="00C35996"/>
    <w:rsid w:val="00C46656"/>
    <w:rsid w:val="00C4747E"/>
    <w:rsid w:val="00C47B5F"/>
    <w:rsid w:val="00C50727"/>
    <w:rsid w:val="00C52ABD"/>
    <w:rsid w:val="00C532F9"/>
    <w:rsid w:val="00C5342C"/>
    <w:rsid w:val="00C54740"/>
    <w:rsid w:val="00C548C6"/>
    <w:rsid w:val="00C603D4"/>
    <w:rsid w:val="00C6256A"/>
    <w:rsid w:val="00C652DD"/>
    <w:rsid w:val="00C70F47"/>
    <w:rsid w:val="00C71792"/>
    <w:rsid w:val="00C725E8"/>
    <w:rsid w:val="00C7584D"/>
    <w:rsid w:val="00C77891"/>
    <w:rsid w:val="00C825E7"/>
    <w:rsid w:val="00C839AF"/>
    <w:rsid w:val="00C83C8A"/>
    <w:rsid w:val="00C848AC"/>
    <w:rsid w:val="00C91449"/>
    <w:rsid w:val="00C9280E"/>
    <w:rsid w:val="00C92D10"/>
    <w:rsid w:val="00C93C1B"/>
    <w:rsid w:val="00C9489B"/>
    <w:rsid w:val="00C97464"/>
    <w:rsid w:val="00CA3F2A"/>
    <w:rsid w:val="00CA4D18"/>
    <w:rsid w:val="00CA69B4"/>
    <w:rsid w:val="00CB287E"/>
    <w:rsid w:val="00CB3745"/>
    <w:rsid w:val="00CB691F"/>
    <w:rsid w:val="00CC1063"/>
    <w:rsid w:val="00CC2933"/>
    <w:rsid w:val="00CC4E9D"/>
    <w:rsid w:val="00CC5AB1"/>
    <w:rsid w:val="00CD1F88"/>
    <w:rsid w:val="00CD5AA4"/>
    <w:rsid w:val="00CD65B9"/>
    <w:rsid w:val="00CD7601"/>
    <w:rsid w:val="00CE10C4"/>
    <w:rsid w:val="00CE1E66"/>
    <w:rsid w:val="00CE2537"/>
    <w:rsid w:val="00CE27B5"/>
    <w:rsid w:val="00CE4940"/>
    <w:rsid w:val="00CF0177"/>
    <w:rsid w:val="00CF3625"/>
    <w:rsid w:val="00CF3820"/>
    <w:rsid w:val="00CF592E"/>
    <w:rsid w:val="00CF6BF6"/>
    <w:rsid w:val="00D01E27"/>
    <w:rsid w:val="00D01E36"/>
    <w:rsid w:val="00D0260E"/>
    <w:rsid w:val="00D0321E"/>
    <w:rsid w:val="00D10F70"/>
    <w:rsid w:val="00D1455A"/>
    <w:rsid w:val="00D15A2F"/>
    <w:rsid w:val="00D2249D"/>
    <w:rsid w:val="00D31150"/>
    <w:rsid w:val="00D3138B"/>
    <w:rsid w:val="00D31B1C"/>
    <w:rsid w:val="00D3280C"/>
    <w:rsid w:val="00D3406A"/>
    <w:rsid w:val="00D35122"/>
    <w:rsid w:val="00D37C9F"/>
    <w:rsid w:val="00D41548"/>
    <w:rsid w:val="00D4545A"/>
    <w:rsid w:val="00D4572C"/>
    <w:rsid w:val="00D45FA8"/>
    <w:rsid w:val="00D469B2"/>
    <w:rsid w:val="00D46FCA"/>
    <w:rsid w:val="00D475A2"/>
    <w:rsid w:val="00D50EA0"/>
    <w:rsid w:val="00D5444A"/>
    <w:rsid w:val="00D619D7"/>
    <w:rsid w:val="00D7211F"/>
    <w:rsid w:val="00D741EB"/>
    <w:rsid w:val="00D82A2E"/>
    <w:rsid w:val="00D834B0"/>
    <w:rsid w:val="00D83605"/>
    <w:rsid w:val="00D84934"/>
    <w:rsid w:val="00D86D04"/>
    <w:rsid w:val="00D91271"/>
    <w:rsid w:val="00D943BB"/>
    <w:rsid w:val="00DA2CB5"/>
    <w:rsid w:val="00DA4B67"/>
    <w:rsid w:val="00DA4BAC"/>
    <w:rsid w:val="00DA4FCA"/>
    <w:rsid w:val="00DB3CD7"/>
    <w:rsid w:val="00DC5802"/>
    <w:rsid w:val="00DE023F"/>
    <w:rsid w:val="00DE6D27"/>
    <w:rsid w:val="00DF00BE"/>
    <w:rsid w:val="00DF217D"/>
    <w:rsid w:val="00DF26A7"/>
    <w:rsid w:val="00DF334D"/>
    <w:rsid w:val="00DF49B7"/>
    <w:rsid w:val="00E02FEC"/>
    <w:rsid w:val="00E03971"/>
    <w:rsid w:val="00E044E1"/>
    <w:rsid w:val="00E07777"/>
    <w:rsid w:val="00E1178E"/>
    <w:rsid w:val="00E12D17"/>
    <w:rsid w:val="00E1370F"/>
    <w:rsid w:val="00E13FF3"/>
    <w:rsid w:val="00E15627"/>
    <w:rsid w:val="00E164B3"/>
    <w:rsid w:val="00E1668F"/>
    <w:rsid w:val="00E16910"/>
    <w:rsid w:val="00E25762"/>
    <w:rsid w:val="00E34379"/>
    <w:rsid w:val="00E36A88"/>
    <w:rsid w:val="00E42BDB"/>
    <w:rsid w:val="00E44075"/>
    <w:rsid w:val="00E445DA"/>
    <w:rsid w:val="00E51883"/>
    <w:rsid w:val="00E542FA"/>
    <w:rsid w:val="00E543DC"/>
    <w:rsid w:val="00E5787F"/>
    <w:rsid w:val="00E57EEB"/>
    <w:rsid w:val="00E61213"/>
    <w:rsid w:val="00E62D94"/>
    <w:rsid w:val="00E63D9E"/>
    <w:rsid w:val="00E65E54"/>
    <w:rsid w:val="00E664FA"/>
    <w:rsid w:val="00E670AC"/>
    <w:rsid w:val="00E71224"/>
    <w:rsid w:val="00E80155"/>
    <w:rsid w:val="00E803F4"/>
    <w:rsid w:val="00E847D9"/>
    <w:rsid w:val="00E848C0"/>
    <w:rsid w:val="00E85BA7"/>
    <w:rsid w:val="00E905E4"/>
    <w:rsid w:val="00E91963"/>
    <w:rsid w:val="00E91B96"/>
    <w:rsid w:val="00E941A1"/>
    <w:rsid w:val="00E95CE3"/>
    <w:rsid w:val="00EA1E82"/>
    <w:rsid w:val="00EA2825"/>
    <w:rsid w:val="00EA6792"/>
    <w:rsid w:val="00EB08AD"/>
    <w:rsid w:val="00EB0B63"/>
    <w:rsid w:val="00EB2EB9"/>
    <w:rsid w:val="00EB5088"/>
    <w:rsid w:val="00EB7B80"/>
    <w:rsid w:val="00EC6C4B"/>
    <w:rsid w:val="00EC7BC8"/>
    <w:rsid w:val="00ED1644"/>
    <w:rsid w:val="00ED2593"/>
    <w:rsid w:val="00ED6AFF"/>
    <w:rsid w:val="00ED7D9C"/>
    <w:rsid w:val="00ED7F28"/>
    <w:rsid w:val="00EE2317"/>
    <w:rsid w:val="00EF44A0"/>
    <w:rsid w:val="00EF4FED"/>
    <w:rsid w:val="00EF6E04"/>
    <w:rsid w:val="00EF7BB5"/>
    <w:rsid w:val="00F050BD"/>
    <w:rsid w:val="00F05657"/>
    <w:rsid w:val="00F079B6"/>
    <w:rsid w:val="00F11794"/>
    <w:rsid w:val="00F15996"/>
    <w:rsid w:val="00F21B24"/>
    <w:rsid w:val="00F23962"/>
    <w:rsid w:val="00F23DE1"/>
    <w:rsid w:val="00F25578"/>
    <w:rsid w:val="00F258E5"/>
    <w:rsid w:val="00F262E2"/>
    <w:rsid w:val="00F270DB"/>
    <w:rsid w:val="00F300BC"/>
    <w:rsid w:val="00F32565"/>
    <w:rsid w:val="00F3334E"/>
    <w:rsid w:val="00F355CD"/>
    <w:rsid w:val="00F361E6"/>
    <w:rsid w:val="00F36CCB"/>
    <w:rsid w:val="00F374E5"/>
    <w:rsid w:val="00F43489"/>
    <w:rsid w:val="00F43AF2"/>
    <w:rsid w:val="00F46201"/>
    <w:rsid w:val="00F50C84"/>
    <w:rsid w:val="00F50EC4"/>
    <w:rsid w:val="00F550CF"/>
    <w:rsid w:val="00F5579E"/>
    <w:rsid w:val="00F57A6D"/>
    <w:rsid w:val="00F61CA7"/>
    <w:rsid w:val="00F638CC"/>
    <w:rsid w:val="00F64A6F"/>
    <w:rsid w:val="00F64CC1"/>
    <w:rsid w:val="00F7035E"/>
    <w:rsid w:val="00F72317"/>
    <w:rsid w:val="00F74FB4"/>
    <w:rsid w:val="00F76C8C"/>
    <w:rsid w:val="00F76CF3"/>
    <w:rsid w:val="00F80475"/>
    <w:rsid w:val="00F8247A"/>
    <w:rsid w:val="00F83657"/>
    <w:rsid w:val="00F85FBC"/>
    <w:rsid w:val="00F92771"/>
    <w:rsid w:val="00F95B8B"/>
    <w:rsid w:val="00F9629A"/>
    <w:rsid w:val="00F97B7C"/>
    <w:rsid w:val="00F97EFC"/>
    <w:rsid w:val="00FA05D4"/>
    <w:rsid w:val="00FA3DEC"/>
    <w:rsid w:val="00FA3E74"/>
    <w:rsid w:val="00FA4EC2"/>
    <w:rsid w:val="00FA5883"/>
    <w:rsid w:val="00FA6055"/>
    <w:rsid w:val="00FB2B5A"/>
    <w:rsid w:val="00FB322F"/>
    <w:rsid w:val="00FB442F"/>
    <w:rsid w:val="00FC1929"/>
    <w:rsid w:val="00FC4DAD"/>
    <w:rsid w:val="00FC5244"/>
    <w:rsid w:val="00FC5B46"/>
    <w:rsid w:val="00FD1E08"/>
    <w:rsid w:val="00FD4BB4"/>
    <w:rsid w:val="00FD4DED"/>
    <w:rsid w:val="00FD5F73"/>
    <w:rsid w:val="00FD6550"/>
    <w:rsid w:val="00FD6D8E"/>
    <w:rsid w:val="00FD7C38"/>
    <w:rsid w:val="00FE0E94"/>
    <w:rsid w:val="00FE26AE"/>
    <w:rsid w:val="00FF00BD"/>
    <w:rsid w:val="00FF0453"/>
    <w:rsid w:val="00FF1957"/>
    <w:rsid w:val="00FF1ED4"/>
    <w:rsid w:val="00FF2801"/>
    <w:rsid w:val="00FF4DE1"/>
    <w:rsid w:val="00FF63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99"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642DDF"/>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Bullet point,List Paragraph1,List Paragraph11,Recommendation,Footnote"/>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Bullet point Char,List Paragraph1 Char,List Paragraph11 Char,Recommendation Char,Footnote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5"/>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customStyle="1" w:styleId="Default">
    <w:name w:val="Default"/>
    <w:rsid w:val="00007101"/>
    <w:pPr>
      <w:autoSpaceDE w:val="0"/>
      <w:autoSpaceDN w:val="0"/>
      <w:adjustRightInd w:val="0"/>
    </w:pPr>
    <w:rPr>
      <w:rFonts w:ascii="Cambria" w:hAnsi="Cambria" w:cs="Cambria"/>
      <w:color w:val="000000"/>
      <w:sz w:val="24"/>
      <w:szCs w:val="24"/>
    </w:rPr>
  </w:style>
  <w:style w:type="paragraph" w:styleId="Revision">
    <w:name w:val="Revision"/>
    <w:hidden/>
    <w:uiPriority w:val="71"/>
    <w:rsid w:val="00141CFC"/>
    <w:rPr>
      <w:sz w:val="24"/>
      <w:szCs w:val="24"/>
    </w:rPr>
  </w:style>
  <w:style w:type="paragraph" w:customStyle="1" w:styleId="Table">
    <w:name w:val="Table"/>
    <w:basedOn w:val="Normal"/>
    <w:link w:val="TableChar"/>
    <w:qFormat/>
    <w:rsid w:val="008F671B"/>
    <w:rPr>
      <w:rFonts w:ascii="Candara" w:eastAsiaTheme="majorEastAsia" w:hAnsi="Candara" w:cstheme="majorBidi"/>
      <w:sz w:val="20"/>
      <w:szCs w:val="22"/>
      <w:lang w:eastAsia="en-US" w:bidi="en-US"/>
    </w:rPr>
  </w:style>
  <w:style w:type="character" w:customStyle="1" w:styleId="TableChar">
    <w:name w:val="Table Char"/>
    <w:basedOn w:val="DefaultParagraphFont"/>
    <w:link w:val="Table"/>
    <w:locked/>
    <w:rsid w:val="008F671B"/>
    <w:rPr>
      <w:rFonts w:ascii="Candara" w:eastAsiaTheme="majorEastAsia" w:hAnsi="Candara" w:cstheme="majorBidi"/>
      <w:szCs w:val="22"/>
      <w:lang w:eastAsia="en-US" w:bidi="en-US"/>
    </w:rPr>
  </w:style>
  <w:style w:type="paragraph" w:styleId="Caption">
    <w:name w:val="caption"/>
    <w:aliases w:val="CSR Caption,Bayer Caption,IB Caption,Medical Caption,- H17,Char,Caption2,Caption Char1 Char,Caption Char Char Char,Caption Char1 Char Char Char,Caption Char Char Char Char Char,Caption Char Char1 Char,Caption Char1 Char1,CAPTION"/>
    <w:basedOn w:val="Normal"/>
    <w:next w:val="Normal"/>
    <w:link w:val="CaptionChar"/>
    <w:uiPriority w:val="99"/>
    <w:qFormat/>
    <w:rsid w:val="008F671B"/>
    <w:pPr>
      <w:spacing w:after="200"/>
    </w:pPr>
    <w:rPr>
      <w:rFonts w:ascii="Calibri" w:eastAsiaTheme="majorEastAsia" w:hAnsi="Calibri" w:cstheme="majorBidi"/>
      <w:b/>
      <w:bCs/>
      <w:szCs w:val="18"/>
      <w:lang w:eastAsia="en-US" w:bidi="en-US"/>
    </w:rPr>
  </w:style>
  <w:style w:type="character" w:customStyle="1" w:styleId="CaptionChar">
    <w:name w:val="Caption Char"/>
    <w:aliases w:val="CSR Caption Char,Bayer Caption Char,IB Caption Char,Medical Caption Char,- H17 Char,Char Char,Caption2 Char,Caption Char1 Char Char,Caption Char Char Char Char,Caption Char1 Char Char Char Char,Caption Char Char Char Char Char Char"/>
    <w:basedOn w:val="DefaultParagraphFont"/>
    <w:link w:val="Caption"/>
    <w:uiPriority w:val="99"/>
    <w:rsid w:val="008F671B"/>
    <w:rPr>
      <w:rFonts w:ascii="Calibri" w:eastAsiaTheme="majorEastAsia" w:hAnsi="Calibri" w:cstheme="majorBidi"/>
      <w:b/>
      <w:bCs/>
      <w:sz w:val="24"/>
      <w:szCs w:val="18"/>
      <w:lang w:eastAsia="en-US" w:bidi="en-US"/>
    </w:rPr>
  </w:style>
  <w:style w:type="character" w:customStyle="1" w:styleId="SmallBold">
    <w:name w:val="Small Bold"/>
    <w:basedOn w:val="DefaultParagraphFont"/>
    <w:uiPriority w:val="4"/>
    <w:qFormat/>
    <w:rsid w:val="008F671B"/>
    <w:rPr>
      <w:rFonts w:ascii="Candara" w:hAnsi="Candara"/>
      <w:b/>
      <w:sz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99"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642DDF"/>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Bullet point,List Paragraph1,List Paragraph11,Recommendation,Footnote"/>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Bullet point Char,List Paragraph1 Char,List Paragraph11 Char,Recommendation Char,Footnote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5"/>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customStyle="1" w:styleId="Default">
    <w:name w:val="Default"/>
    <w:rsid w:val="00007101"/>
    <w:pPr>
      <w:autoSpaceDE w:val="0"/>
      <w:autoSpaceDN w:val="0"/>
      <w:adjustRightInd w:val="0"/>
    </w:pPr>
    <w:rPr>
      <w:rFonts w:ascii="Cambria" w:hAnsi="Cambria" w:cs="Cambria"/>
      <w:color w:val="000000"/>
      <w:sz w:val="24"/>
      <w:szCs w:val="24"/>
    </w:rPr>
  </w:style>
  <w:style w:type="paragraph" w:styleId="Revision">
    <w:name w:val="Revision"/>
    <w:hidden/>
    <w:uiPriority w:val="71"/>
    <w:rsid w:val="00141CFC"/>
    <w:rPr>
      <w:sz w:val="24"/>
      <w:szCs w:val="24"/>
    </w:rPr>
  </w:style>
  <w:style w:type="paragraph" w:customStyle="1" w:styleId="Table">
    <w:name w:val="Table"/>
    <w:basedOn w:val="Normal"/>
    <w:link w:val="TableChar"/>
    <w:qFormat/>
    <w:rsid w:val="008F671B"/>
    <w:rPr>
      <w:rFonts w:ascii="Candara" w:eastAsiaTheme="majorEastAsia" w:hAnsi="Candara" w:cstheme="majorBidi"/>
      <w:sz w:val="20"/>
      <w:szCs w:val="22"/>
      <w:lang w:eastAsia="en-US" w:bidi="en-US"/>
    </w:rPr>
  </w:style>
  <w:style w:type="character" w:customStyle="1" w:styleId="TableChar">
    <w:name w:val="Table Char"/>
    <w:basedOn w:val="DefaultParagraphFont"/>
    <w:link w:val="Table"/>
    <w:locked/>
    <w:rsid w:val="008F671B"/>
    <w:rPr>
      <w:rFonts w:ascii="Candara" w:eastAsiaTheme="majorEastAsia" w:hAnsi="Candara" w:cstheme="majorBidi"/>
      <w:szCs w:val="22"/>
      <w:lang w:eastAsia="en-US" w:bidi="en-US"/>
    </w:rPr>
  </w:style>
  <w:style w:type="paragraph" w:styleId="Caption">
    <w:name w:val="caption"/>
    <w:aliases w:val="CSR Caption,Bayer Caption,IB Caption,Medical Caption,- H17,Char,Caption2,Caption Char1 Char,Caption Char Char Char,Caption Char1 Char Char Char,Caption Char Char Char Char Char,Caption Char Char1 Char,Caption Char1 Char1,CAPTION"/>
    <w:basedOn w:val="Normal"/>
    <w:next w:val="Normal"/>
    <w:link w:val="CaptionChar"/>
    <w:uiPriority w:val="99"/>
    <w:qFormat/>
    <w:rsid w:val="008F671B"/>
    <w:pPr>
      <w:spacing w:after="200"/>
    </w:pPr>
    <w:rPr>
      <w:rFonts w:ascii="Calibri" w:eastAsiaTheme="majorEastAsia" w:hAnsi="Calibri" w:cstheme="majorBidi"/>
      <w:b/>
      <w:bCs/>
      <w:szCs w:val="18"/>
      <w:lang w:eastAsia="en-US" w:bidi="en-US"/>
    </w:rPr>
  </w:style>
  <w:style w:type="character" w:customStyle="1" w:styleId="CaptionChar">
    <w:name w:val="Caption Char"/>
    <w:aliases w:val="CSR Caption Char,Bayer Caption Char,IB Caption Char,Medical Caption Char,- H17 Char,Char Char,Caption2 Char,Caption Char1 Char Char,Caption Char Char Char Char,Caption Char1 Char Char Char Char,Caption Char Char Char Char Char Char"/>
    <w:basedOn w:val="DefaultParagraphFont"/>
    <w:link w:val="Caption"/>
    <w:uiPriority w:val="99"/>
    <w:rsid w:val="008F671B"/>
    <w:rPr>
      <w:rFonts w:ascii="Calibri" w:eastAsiaTheme="majorEastAsia" w:hAnsi="Calibri" w:cstheme="majorBidi"/>
      <w:b/>
      <w:bCs/>
      <w:sz w:val="24"/>
      <w:szCs w:val="18"/>
      <w:lang w:eastAsia="en-US" w:bidi="en-US"/>
    </w:rPr>
  </w:style>
  <w:style w:type="character" w:customStyle="1" w:styleId="SmallBold">
    <w:name w:val="Small Bold"/>
    <w:basedOn w:val="DefaultParagraphFont"/>
    <w:uiPriority w:val="4"/>
    <w:qFormat/>
    <w:rsid w:val="008F671B"/>
    <w:rPr>
      <w:rFonts w:ascii="Candara" w:hAnsi="Candara"/>
      <w:b/>
      <w:sz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36940-6C4F-4107-977D-5895C1922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980</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2018-02-19T22:19:00Z</dcterms:created>
  <dcterms:modified xsi:type="dcterms:W3CDTF">2018-02-19T22:20:00Z</dcterms:modified>
</cp:coreProperties>
</file>