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9D" w:rsidRPr="00300918" w:rsidRDefault="00297E05" w:rsidP="0072653F">
      <w:pPr>
        <w:ind w:left="992" w:hanging="992"/>
        <w:outlineLvl w:val="0"/>
        <w:rPr>
          <w:b/>
          <w:sz w:val="36"/>
          <w:szCs w:val="36"/>
        </w:rPr>
      </w:pPr>
      <w:bookmarkStart w:id="0" w:name="_GoBack"/>
      <w:bookmarkEnd w:id="0"/>
      <w:r w:rsidRPr="00300918">
        <w:rPr>
          <w:b/>
          <w:sz w:val="36"/>
          <w:szCs w:val="36"/>
        </w:rPr>
        <w:t>6.03</w:t>
      </w:r>
      <w:r w:rsidR="00F1629D" w:rsidRPr="00300918">
        <w:rPr>
          <w:b/>
          <w:sz w:val="36"/>
          <w:szCs w:val="36"/>
        </w:rPr>
        <w:tab/>
        <w:t>DEXAMETHASONE,</w:t>
      </w:r>
      <w:r w:rsidR="00F1629D" w:rsidRPr="00300918">
        <w:rPr>
          <w:b/>
          <w:sz w:val="36"/>
          <w:szCs w:val="36"/>
        </w:rPr>
        <w:br/>
      </w:r>
      <w:r w:rsidR="001A79BB" w:rsidRPr="00300918">
        <w:rPr>
          <w:b/>
          <w:sz w:val="36"/>
          <w:szCs w:val="36"/>
        </w:rPr>
        <w:t>Intravitreal i</w:t>
      </w:r>
      <w:r w:rsidR="00C7795B" w:rsidRPr="00300918">
        <w:rPr>
          <w:b/>
          <w:sz w:val="36"/>
          <w:szCs w:val="36"/>
        </w:rPr>
        <w:t>mplant</w:t>
      </w:r>
      <w:r w:rsidR="001A79BB" w:rsidRPr="00300918">
        <w:rPr>
          <w:b/>
          <w:sz w:val="36"/>
          <w:szCs w:val="36"/>
        </w:rPr>
        <w:t xml:space="preserve"> 700 </w:t>
      </w:r>
      <w:r w:rsidR="00F1629D" w:rsidRPr="00300918">
        <w:rPr>
          <w:b/>
          <w:sz w:val="36"/>
          <w:szCs w:val="36"/>
        </w:rPr>
        <w:t xml:space="preserve">µg, </w:t>
      </w:r>
      <w:r w:rsidR="00F1629D" w:rsidRPr="00300918">
        <w:rPr>
          <w:b/>
          <w:sz w:val="36"/>
          <w:szCs w:val="36"/>
        </w:rPr>
        <w:br/>
        <w:t>Ozurdex®, Allergan</w:t>
      </w:r>
      <w:r w:rsidR="00987C98" w:rsidRPr="00300918">
        <w:rPr>
          <w:b/>
          <w:sz w:val="36"/>
          <w:szCs w:val="36"/>
        </w:rPr>
        <w:t xml:space="preserve"> Australia Pty Ltd</w:t>
      </w:r>
    </w:p>
    <w:p w:rsidR="00F1629D" w:rsidRPr="00300918" w:rsidRDefault="00F1629D" w:rsidP="00312247">
      <w:pPr>
        <w:pStyle w:val="Heading1"/>
        <w:numPr>
          <w:ilvl w:val="0"/>
          <w:numId w:val="1"/>
        </w:numPr>
        <w:ind w:left="709" w:hanging="709"/>
      </w:pPr>
      <w:bookmarkStart w:id="1" w:name="_Toc413139271"/>
      <w:bookmarkStart w:id="2" w:name="_Toc490486473"/>
      <w:bookmarkStart w:id="3" w:name="_Toc492995304"/>
      <w:r w:rsidRPr="00300918">
        <w:t>Purpose of application</w:t>
      </w:r>
      <w:bookmarkEnd w:id="1"/>
      <w:bookmarkEnd w:id="2"/>
      <w:bookmarkEnd w:id="3"/>
    </w:p>
    <w:p w:rsidR="00F1629D" w:rsidRPr="00300918" w:rsidRDefault="00F1629D" w:rsidP="00312247">
      <w:pPr>
        <w:numPr>
          <w:ilvl w:val="1"/>
          <w:numId w:val="4"/>
        </w:numPr>
        <w:spacing w:before="0" w:after="120"/>
        <w:jc w:val="both"/>
      </w:pPr>
      <w:r w:rsidRPr="00300918">
        <w:t xml:space="preserve">The submission requested an Authority Required listing for dexamethasone implant for the treatment of non-infectious posterior segment uveitis. </w:t>
      </w:r>
    </w:p>
    <w:p w:rsidR="00400FA2" w:rsidRPr="00300918" w:rsidRDefault="00800817" w:rsidP="00312247">
      <w:pPr>
        <w:pStyle w:val="ListParagraph"/>
        <w:numPr>
          <w:ilvl w:val="1"/>
          <w:numId w:val="4"/>
        </w:numPr>
        <w:spacing w:before="0" w:after="120"/>
        <w:jc w:val="both"/>
      </w:pPr>
      <w:r w:rsidRPr="00300918">
        <w:t>Listing was requested on the basis of a cost utility analysis compared to placebo</w:t>
      </w:r>
      <w:r w:rsidR="001723D9" w:rsidRPr="00300918">
        <w:t xml:space="preserve"> (standard of care)</w:t>
      </w:r>
      <w:r w:rsidRPr="00300918">
        <w:t>.</w:t>
      </w:r>
    </w:p>
    <w:p w:rsidR="00F1629D" w:rsidRPr="00300918" w:rsidRDefault="00F1629D" w:rsidP="00C7795B">
      <w:pPr>
        <w:pStyle w:val="TableHeading0"/>
        <w:rPr>
          <w:color w:val="0070C0"/>
        </w:rPr>
      </w:pPr>
      <w:r w:rsidRPr="00300918">
        <w:t>Table 1: Key components of the clinical issue addressed by the submission</w:t>
      </w:r>
    </w:p>
    <w:tbl>
      <w:tblPr>
        <w:tblStyle w:val="TableGridbeth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739"/>
        <w:gridCol w:w="7503"/>
      </w:tblGrid>
      <w:tr w:rsidR="00F1629D" w:rsidRPr="00300918" w:rsidTr="00F10E9D">
        <w:trPr>
          <w:cnfStyle w:val="100000000000" w:firstRow="1" w:lastRow="0" w:firstColumn="0" w:lastColumn="0" w:oddVBand="0" w:evenVBand="0" w:oddHBand="0" w:evenHBand="0" w:firstRowFirstColumn="0" w:firstRowLastColumn="0" w:lastRowFirstColumn="0" w:lastRowLastColumn="0"/>
          <w:cantSplit/>
          <w:tblHeader/>
        </w:trPr>
        <w:tc>
          <w:tcPr>
            <w:tcW w:w="941" w:type="pct"/>
            <w:shd w:val="clear" w:color="auto" w:fill="auto"/>
          </w:tcPr>
          <w:p w:rsidR="00F1629D" w:rsidRPr="00300918" w:rsidRDefault="00F1629D" w:rsidP="00F1629D">
            <w:pPr>
              <w:keepNext/>
              <w:spacing w:before="40" w:after="40"/>
              <w:rPr>
                <w:rFonts w:ascii="Arial Narrow" w:hAnsi="Arial Narrow"/>
                <w:sz w:val="20"/>
                <w:szCs w:val="20"/>
                <w:lang w:val="en-AU"/>
              </w:rPr>
            </w:pPr>
            <w:r w:rsidRPr="00300918">
              <w:rPr>
                <w:rFonts w:ascii="Arial Narrow" w:hAnsi="Arial Narrow"/>
                <w:sz w:val="20"/>
                <w:lang w:val="en-AU"/>
              </w:rPr>
              <w:t>Component</w:t>
            </w:r>
          </w:p>
        </w:tc>
        <w:tc>
          <w:tcPr>
            <w:tcW w:w="4059" w:type="pct"/>
            <w:shd w:val="clear" w:color="auto" w:fill="auto"/>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Description</w:t>
            </w:r>
          </w:p>
        </w:tc>
      </w:tr>
      <w:tr w:rsidR="00F1629D" w:rsidRPr="00300918" w:rsidTr="00F10E9D">
        <w:trPr>
          <w:cantSplit/>
        </w:trPr>
        <w:tc>
          <w:tcPr>
            <w:tcW w:w="941" w:type="pct"/>
            <w:shd w:val="clear" w:color="auto" w:fill="auto"/>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Population</w:t>
            </w:r>
          </w:p>
        </w:tc>
        <w:tc>
          <w:tcPr>
            <w:tcW w:w="4059" w:type="pct"/>
            <w:shd w:val="clear" w:color="auto" w:fill="auto"/>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Patients with non-infectious uveitis affecting the posterior segment of the eye.</w:t>
            </w:r>
          </w:p>
        </w:tc>
      </w:tr>
      <w:tr w:rsidR="00F1629D" w:rsidRPr="00300918" w:rsidTr="00F10E9D">
        <w:trPr>
          <w:cantSplit/>
        </w:trPr>
        <w:tc>
          <w:tcPr>
            <w:tcW w:w="941" w:type="pct"/>
            <w:shd w:val="clear" w:color="auto" w:fill="auto"/>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Intervention</w:t>
            </w:r>
          </w:p>
        </w:tc>
        <w:tc>
          <w:tcPr>
            <w:tcW w:w="4059" w:type="pct"/>
            <w:shd w:val="clear" w:color="auto" w:fill="auto"/>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Dexamethasone intravitreal implant (700 µg)</w:t>
            </w:r>
          </w:p>
        </w:tc>
      </w:tr>
      <w:tr w:rsidR="00F1629D" w:rsidRPr="00300918" w:rsidTr="00F10E9D">
        <w:trPr>
          <w:cantSplit/>
        </w:trPr>
        <w:tc>
          <w:tcPr>
            <w:tcW w:w="941" w:type="pct"/>
            <w:shd w:val="clear" w:color="auto" w:fill="auto"/>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Comparator</w:t>
            </w:r>
          </w:p>
        </w:tc>
        <w:tc>
          <w:tcPr>
            <w:tcW w:w="4059" w:type="pct"/>
            <w:shd w:val="clear" w:color="auto" w:fill="auto"/>
          </w:tcPr>
          <w:p w:rsidR="00F1629D" w:rsidRPr="00300918" w:rsidRDefault="00F1629D" w:rsidP="003F1BFA">
            <w:pPr>
              <w:keepNext/>
              <w:spacing w:before="40" w:after="40"/>
              <w:rPr>
                <w:rFonts w:ascii="Arial Narrow" w:hAnsi="Arial Narrow"/>
                <w:sz w:val="20"/>
                <w:lang w:val="en-AU"/>
              </w:rPr>
            </w:pPr>
            <w:r w:rsidRPr="00300918">
              <w:rPr>
                <w:rFonts w:ascii="Arial Narrow" w:hAnsi="Arial Narrow"/>
                <w:sz w:val="20"/>
                <w:lang w:val="en-AU"/>
              </w:rPr>
              <w:t>Standard of care (</w:t>
            </w:r>
            <w:r w:rsidR="003F1BFA" w:rsidRPr="00300918">
              <w:rPr>
                <w:rFonts w:ascii="Arial Narrow" w:hAnsi="Arial Narrow"/>
                <w:sz w:val="20"/>
                <w:lang w:val="en-AU"/>
              </w:rPr>
              <w:t>represented by sham with use of rescue medication in the trial</w:t>
            </w:r>
            <w:r w:rsidRPr="00300918">
              <w:rPr>
                <w:rFonts w:ascii="Arial Narrow" w:hAnsi="Arial Narrow"/>
                <w:sz w:val="20"/>
                <w:lang w:val="en-AU"/>
              </w:rPr>
              <w:t>). Secondary comparisons with adalimumab and intravitreal triamcinolone acetonide (IVTA)</w:t>
            </w:r>
          </w:p>
        </w:tc>
      </w:tr>
      <w:tr w:rsidR="00F1629D" w:rsidRPr="00300918" w:rsidTr="00F10E9D">
        <w:trPr>
          <w:cantSplit/>
        </w:trPr>
        <w:tc>
          <w:tcPr>
            <w:tcW w:w="941" w:type="pct"/>
            <w:shd w:val="clear" w:color="auto" w:fill="auto"/>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Outcomes</w:t>
            </w:r>
          </w:p>
        </w:tc>
        <w:tc>
          <w:tcPr>
            <w:tcW w:w="4059" w:type="pct"/>
            <w:shd w:val="clear" w:color="auto" w:fill="auto"/>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Improvement in best corrected visual acuity</w:t>
            </w:r>
          </w:p>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Reduction in use of systemic corticosteroids and immunosuppressants</w:t>
            </w:r>
          </w:p>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Reduction of vitreous haze</w:t>
            </w:r>
          </w:p>
          <w:p w:rsidR="00F1629D" w:rsidRPr="00300918" w:rsidRDefault="00F1629D" w:rsidP="00800817">
            <w:pPr>
              <w:keepNext/>
              <w:spacing w:before="40" w:after="40"/>
              <w:rPr>
                <w:rFonts w:ascii="Arial Narrow" w:hAnsi="Arial Narrow"/>
                <w:sz w:val="20"/>
                <w:lang w:val="en-AU"/>
              </w:rPr>
            </w:pPr>
            <w:r w:rsidRPr="00300918">
              <w:rPr>
                <w:rFonts w:ascii="Arial Narrow" w:hAnsi="Arial Narrow"/>
                <w:sz w:val="20"/>
                <w:lang w:val="en-AU"/>
              </w:rPr>
              <w:t xml:space="preserve">Reduction of macular oedema (central retinal </w:t>
            </w:r>
            <w:r w:rsidR="00800817" w:rsidRPr="00300918">
              <w:rPr>
                <w:rFonts w:ascii="Arial Narrow" w:hAnsi="Arial Narrow"/>
                <w:sz w:val="20"/>
                <w:lang w:val="en-AU"/>
              </w:rPr>
              <w:t>thickness</w:t>
            </w:r>
            <w:r w:rsidRPr="00300918">
              <w:rPr>
                <w:rFonts w:ascii="Arial Narrow" w:hAnsi="Arial Narrow"/>
                <w:sz w:val="20"/>
                <w:lang w:val="en-AU"/>
              </w:rPr>
              <w:t>)</w:t>
            </w:r>
          </w:p>
        </w:tc>
      </w:tr>
      <w:tr w:rsidR="00F1629D" w:rsidRPr="00300918" w:rsidTr="00F10E9D">
        <w:trPr>
          <w:cantSplit/>
        </w:trPr>
        <w:tc>
          <w:tcPr>
            <w:tcW w:w="941" w:type="pct"/>
            <w:shd w:val="clear" w:color="auto" w:fill="auto"/>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sz w:val="20"/>
                <w:lang w:val="en-AU"/>
              </w:rPr>
              <w:t>Clinical claim</w:t>
            </w:r>
          </w:p>
        </w:tc>
        <w:tc>
          <w:tcPr>
            <w:tcW w:w="4059" w:type="pct"/>
            <w:shd w:val="clear" w:color="auto" w:fill="auto"/>
          </w:tcPr>
          <w:p w:rsidR="00F1629D" w:rsidRPr="00300918" w:rsidRDefault="00F1629D" w:rsidP="003F1BFA">
            <w:pPr>
              <w:keepNext/>
              <w:spacing w:before="40" w:after="40"/>
              <w:rPr>
                <w:rFonts w:ascii="Arial Narrow" w:hAnsi="Arial Narrow"/>
                <w:sz w:val="20"/>
                <w:lang w:val="en-AU"/>
              </w:rPr>
            </w:pPr>
            <w:r w:rsidRPr="00300918">
              <w:rPr>
                <w:rFonts w:ascii="Arial Narrow" w:hAnsi="Arial Narrow"/>
                <w:sz w:val="20"/>
                <w:lang w:val="en-AU"/>
              </w:rPr>
              <w:t xml:space="preserve">In patients with non-infectious posterior </w:t>
            </w:r>
            <w:r w:rsidR="00F86A5C">
              <w:rPr>
                <w:rFonts w:ascii="Arial Narrow" w:hAnsi="Arial Narrow"/>
                <w:sz w:val="20"/>
                <w:lang w:val="en-AU"/>
              </w:rPr>
              <w:t xml:space="preserve">segment </w:t>
            </w:r>
            <w:r w:rsidRPr="00300918">
              <w:rPr>
                <w:rFonts w:ascii="Arial Narrow" w:hAnsi="Arial Narrow"/>
                <w:sz w:val="20"/>
                <w:lang w:val="en-AU"/>
              </w:rPr>
              <w:t xml:space="preserve">uveitis, a single dexamethasone implant is significantly more effective than </w:t>
            </w:r>
            <w:r w:rsidR="003F1BFA" w:rsidRPr="00300918">
              <w:rPr>
                <w:rFonts w:ascii="Arial Narrow" w:hAnsi="Arial Narrow"/>
                <w:sz w:val="20"/>
                <w:lang w:val="en-AU"/>
              </w:rPr>
              <w:t xml:space="preserve">sham </w:t>
            </w:r>
            <w:r w:rsidRPr="00300918">
              <w:rPr>
                <w:rFonts w:ascii="Arial Narrow" w:hAnsi="Arial Narrow"/>
                <w:sz w:val="20"/>
                <w:lang w:val="en-AU"/>
              </w:rPr>
              <w:t xml:space="preserve">in improving intraocular inflammation, visual haze, and visual acuity, with an inferior (but acceptable) safety profile. </w:t>
            </w:r>
          </w:p>
        </w:tc>
      </w:tr>
    </w:tbl>
    <w:p w:rsidR="00F1629D" w:rsidRPr="00300918" w:rsidRDefault="00F1629D" w:rsidP="00F1629D">
      <w:pPr>
        <w:widowControl w:val="0"/>
        <w:spacing w:before="0" w:after="12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Source: Table 1-1, p.2 of the submission</w:t>
      </w:r>
    </w:p>
    <w:p w:rsidR="00F1629D" w:rsidRPr="00300918" w:rsidRDefault="00F1629D" w:rsidP="00312247">
      <w:pPr>
        <w:pStyle w:val="Heading1"/>
        <w:numPr>
          <w:ilvl w:val="0"/>
          <w:numId w:val="1"/>
        </w:numPr>
        <w:ind w:left="709" w:hanging="709"/>
      </w:pPr>
      <w:bookmarkStart w:id="4" w:name="_Toc413139272"/>
      <w:bookmarkStart w:id="5" w:name="_Toc490486474"/>
      <w:bookmarkStart w:id="6" w:name="_Toc492995305"/>
      <w:r w:rsidRPr="00300918">
        <w:t>Requested listing</w:t>
      </w:r>
      <w:bookmarkEnd w:id="4"/>
      <w:bookmarkEnd w:id="5"/>
      <w:bookmarkEnd w:id="6"/>
      <w:r w:rsidRPr="00300918">
        <w:t xml:space="preserve"> </w:t>
      </w:r>
    </w:p>
    <w:tbl>
      <w:tblPr>
        <w:tblW w:w="5010" w:type="pct"/>
        <w:tblCellMar>
          <w:left w:w="28" w:type="dxa"/>
          <w:right w:w="28" w:type="dxa"/>
        </w:tblCellMar>
        <w:tblLook w:val="0000" w:firstRow="0" w:lastRow="0" w:firstColumn="0" w:lastColumn="0" w:noHBand="0" w:noVBand="0"/>
      </w:tblPr>
      <w:tblGrid>
        <w:gridCol w:w="22"/>
        <w:gridCol w:w="1980"/>
        <w:gridCol w:w="1370"/>
        <w:gridCol w:w="763"/>
        <w:gridCol w:w="919"/>
        <w:gridCol w:w="1654"/>
        <w:gridCol w:w="976"/>
        <w:gridCol w:w="1401"/>
        <w:gridCol w:w="15"/>
      </w:tblGrid>
      <w:tr w:rsidR="00F1629D" w:rsidRPr="00300918" w:rsidTr="00F1629D">
        <w:trPr>
          <w:gridAfter w:val="1"/>
          <w:wAfter w:w="8" w:type="pct"/>
          <w:cantSplit/>
          <w:trHeight w:val="463"/>
        </w:trPr>
        <w:tc>
          <w:tcPr>
            <w:tcW w:w="1853" w:type="pct"/>
            <w:gridSpan w:val="3"/>
            <w:tcBorders>
              <w:bottom w:val="single" w:sz="4" w:space="0" w:color="auto"/>
            </w:tcBorders>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Name, Restriction,</w:t>
            </w:r>
          </w:p>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Manner of administration and form</w:t>
            </w:r>
          </w:p>
        </w:tc>
        <w:tc>
          <w:tcPr>
            <w:tcW w:w="419" w:type="pct"/>
            <w:tcBorders>
              <w:bottom w:val="single" w:sz="4" w:space="0" w:color="auto"/>
            </w:tcBorders>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Max.</w:t>
            </w:r>
          </w:p>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 xml:space="preserve">Qty </w:t>
            </w:r>
          </w:p>
        </w:tc>
        <w:tc>
          <w:tcPr>
            <w:tcW w:w="505" w:type="pct"/>
            <w:tcBorders>
              <w:bottom w:val="single" w:sz="4" w:space="0" w:color="auto"/>
            </w:tcBorders>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№.of</w:t>
            </w:r>
          </w:p>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Rpts</w:t>
            </w:r>
          </w:p>
        </w:tc>
        <w:tc>
          <w:tcPr>
            <w:tcW w:w="909" w:type="pct"/>
            <w:tcBorders>
              <w:bottom w:val="single" w:sz="4" w:space="0" w:color="auto"/>
            </w:tcBorders>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 xml:space="preserve">Dispensed Price for Max. Qty </w:t>
            </w:r>
          </w:p>
        </w:tc>
        <w:tc>
          <w:tcPr>
            <w:tcW w:w="1306" w:type="pct"/>
            <w:gridSpan w:val="2"/>
            <w:tcBorders>
              <w:bottom w:val="single" w:sz="4" w:space="0" w:color="auto"/>
            </w:tcBorders>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Proprietary Name and Manufacturer</w:t>
            </w:r>
          </w:p>
        </w:tc>
      </w:tr>
      <w:tr w:rsidR="00F1629D" w:rsidRPr="00300918" w:rsidTr="00F53F64">
        <w:trPr>
          <w:gridAfter w:val="1"/>
          <w:wAfter w:w="8" w:type="pct"/>
          <w:cantSplit/>
          <w:trHeight w:val="567"/>
        </w:trPr>
        <w:tc>
          <w:tcPr>
            <w:tcW w:w="1853" w:type="pct"/>
            <w:gridSpan w:val="3"/>
            <w:vAlign w:val="center"/>
          </w:tcPr>
          <w:p w:rsidR="00F1629D" w:rsidRPr="00300918" w:rsidRDefault="00F1629D" w:rsidP="00F1629D">
            <w:pPr>
              <w:keepNext/>
              <w:spacing w:before="40" w:after="40"/>
              <w:rPr>
                <w:rFonts w:ascii="Arial Narrow" w:hAnsi="Arial Narrow"/>
                <w:sz w:val="20"/>
              </w:rPr>
            </w:pPr>
            <w:r w:rsidRPr="00300918">
              <w:rPr>
                <w:rFonts w:ascii="Arial Narrow" w:hAnsi="Arial Narrow"/>
                <w:smallCaps/>
                <w:sz w:val="20"/>
              </w:rPr>
              <w:t xml:space="preserve">Dexamethasone intravitreal implant, </w:t>
            </w:r>
            <w:r w:rsidR="007E3341" w:rsidRPr="00300918">
              <w:rPr>
                <w:rFonts w:ascii="Arial Narrow" w:hAnsi="Arial Narrow"/>
                <w:smallCaps/>
                <w:sz w:val="20"/>
              </w:rPr>
              <w:br/>
            </w:r>
            <w:r w:rsidRPr="00300918">
              <w:rPr>
                <w:rFonts w:ascii="Arial Narrow" w:hAnsi="Arial Narrow"/>
                <w:smallCaps/>
                <w:sz w:val="20"/>
              </w:rPr>
              <w:t>700 microgram</w:t>
            </w:r>
          </w:p>
        </w:tc>
        <w:tc>
          <w:tcPr>
            <w:tcW w:w="419" w:type="pct"/>
            <w:vAlign w:val="center"/>
          </w:tcPr>
          <w:p w:rsidR="00F1629D" w:rsidRPr="00300918" w:rsidRDefault="00F1629D" w:rsidP="00F1629D">
            <w:pPr>
              <w:keepNext/>
              <w:spacing w:before="40" w:after="40"/>
              <w:rPr>
                <w:rFonts w:ascii="Arial Narrow" w:hAnsi="Arial Narrow"/>
                <w:sz w:val="20"/>
              </w:rPr>
            </w:pPr>
          </w:p>
          <w:p w:rsidR="00F1629D" w:rsidRPr="00300918" w:rsidRDefault="00F1629D" w:rsidP="00F1629D">
            <w:pPr>
              <w:keepNext/>
              <w:spacing w:before="40" w:after="40"/>
              <w:rPr>
                <w:rFonts w:ascii="Arial Narrow" w:hAnsi="Arial Narrow"/>
                <w:sz w:val="20"/>
              </w:rPr>
            </w:pPr>
            <w:r w:rsidRPr="00300918">
              <w:rPr>
                <w:rFonts w:ascii="Arial Narrow" w:hAnsi="Arial Narrow"/>
                <w:sz w:val="20"/>
              </w:rPr>
              <w:t>1</w:t>
            </w:r>
          </w:p>
        </w:tc>
        <w:tc>
          <w:tcPr>
            <w:tcW w:w="505" w:type="pct"/>
            <w:vAlign w:val="center"/>
          </w:tcPr>
          <w:p w:rsidR="00F1629D" w:rsidRPr="00300918" w:rsidRDefault="00F1629D" w:rsidP="00F1629D">
            <w:pPr>
              <w:keepNext/>
              <w:spacing w:before="40" w:after="40"/>
              <w:rPr>
                <w:rFonts w:ascii="Arial Narrow" w:hAnsi="Arial Narrow"/>
                <w:sz w:val="20"/>
              </w:rPr>
            </w:pPr>
          </w:p>
          <w:p w:rsidR="00F1629D" w:rsidRPr="00300918" w:rsidRDefault="00800817" w:rsidP="00F1629D">
            <w:pPr>
              <w:keepNext/>
              <w:spacing w:before="40" w:after="40"/>
              <w:rPr>
                <w:rFonts w:ascii="Arial Narrow" w:hAnsi="Arial Narrow"/>
                <w:sz w:val="20"/>
              </w:rPr>
            </w:pPr>
            <w:r w:rsidRPr="00300918">
              <w:rPr>
                <w:rFonts w:ascii="Arial Narrow" w:hAnsi="Arial Narrow"/>
                <w:sz w:val="20"/>
              </w:rPr>
              <w:t>0</w:t>
            </w:r>
          </w:p>
        </w:tc>
        <w:tc>
          <w:tcPr>
            <w:tcW w:w="909" w:type="pct"/>
            <w:vAlign w:val="center"/>
          </w:tcPr>
          <w:p w:rsidR="00F1629D" w:rsidRPr="00300918" w:rsidRDefault="00F1629D" w:rsidP="00F1629D">
            <w:pPr>
              <w:keepNext/>
              <w:spacing w:before="40" w:after="40"/>
              <w:rPr>
                <w:rFonts w:ascii="Arial Narrow" w:hAnsi="Arial Narrow"/>
                <w:sz w:val="20"/>
              </w:rPr>
            </w:pPr>
          </w:p>
          <w:p w:rsidR="00F1629D" w:rsidRPr="00D45D40" w:rsidRDefault="00F1629D" w:rsidP="00356313">
            <w:pPr>
              <w:keepNext/>
              <w:spacing w:before="40" w:after="40"/>
              <w:rPr>
                <w:rFonts w:ascii="Arial Narrow" w:hAnsi="Arial Narrow"/>
                <w:sz w:val="20"/>
              </w:rPr>
            </w:pPr>
            <w:r w:rsidRPr="00300918">
              <w:rPr>
                <w:rFonts w:ascii="Arial Narrow" w:hAnsi="Arial Narrow"/>
                <w:sz w:val="20"/>
              </w:rPr>
              <w:t>$</w:t>
            </w:r>
            <w:r w:rsidR="0090474F">
              <w:rPr>
                <w:rFonts w:ascii="Arial Narrow" w:hAnsi="Arial Narrow"/>
                <w:noProof/>
                <w:color w:val="000000"/>
                <w:sz w:val="20"/>
                <w:highlight w:val="black"/>
              </w:rPr>
              <w:t>''''''''''''''''''''</w:t>
            </w:r>
          </w:p>
        </w:tc>
        <w:tc>
          <w:tcPr>
            <w:tcW w:w="536" w:type="pct"/>
            <w:vAlign w:val="center"/>
          </w:tcPr>
          <w:p w:rsidR="00F1629D" w:rsidRPr="008E29F0" w:rsidRDefault="00F1629D" w:rsidP="00F1629D">
            <w:pPr>
              <w:keepNext/>
              <w:spacing w:before="40" w:after="40"/>
              <w:rPr>
                <w:rFonts w:ascii="Arial Narrow" w:hAnsi="Arial Narrow"/>
                <w:sz w:val="20"/>
                <w:vertAlign w:val="superscript"/>
              </w:rPr>
            </w:pPr>
            <w:r w:rsidRPr="008E29F0">
              <w:rPr>
                <w:rFonts w:ascii="Arial Narrow" w:hAnsi="Arial Narrow"/>
                <w:sz w:val="20"/>
              </w:rPr>
              <w:t>Ozurdex</w:t>
            </w:r>
            <w:r w:rsidRPr="008E29F0">
              <w:rPr>
                <w:rFonts w:ascii="Arial Narrow" w:hAnsi="Arial Narrow"/>
                <w:sz w:val="20"/>
                <w:vertAlign w:val="superscript"/>
              </w:rPr>
              <w:t>®</w:t>
            </w:r>
          </w:p>
        </w:tc>
        <w:tc>
          <w:tcPr>
            <w:tcW w:w="770" w:type="pct"/>
            <w:vAlign w:val="center"/>
          </w:tcPr>
          <w:p w:rsidR="00F1629D" w:rsidRPr="008E29F0" w:rsidRDefault="00F1629D" w:rsidP="00F1629D">
            <w:pPr>
              <w:keepNext/>
              <w:spacing w:before="40" w:after="40"/>
              <w:rPr>
                <w:rFonts w:ascii="Arial Narrow" w:hAnsi="Arial Narrow"/>
                <w:sz w:val="20"/>
              </w:rPr>
            </w:pPr>
            <w:r w:rsidRPr="008E29F0">
              <w:rPr>
                <w:rFonts w:ascii="Arial Narrow" w:hAnsi="Arial Narrow"/>
                <w:sz w:val="20"/>
              </w:rPr>
              <w:t>Allergan</w:t>
            </w:r>
          </w:p>
        </w:tc>
      </w:tr>
      <w:tr w:rsidR="00F1629D" w:rsidRPr="00300918" w:rsidTr="00F1629D">
        <w:tblPrEx>
          <w:tblCellMar>
            <w:left w:w="108" w:type="dxa"/>
            <w:right w:w="108" w:type="dxa"/>
          </w:tblCellMar>
        </w:tblPrEx>
        <w:trPr>
          <w:gridBefore w:val="1"/>
          <w:wBefore w:w="12"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PBS Indication:</w:t>
            </w:r>
          </w:p>
        </w:tc>
        <w:tc>
          <w:tcPr>
            <w:tcW w:w="3900" w:type="pct"/>
            <w:gridSpan w:val="7"/>
            <w:tcBorders>
              <w:top w:val="single" w:sz="4" w:space="0" w:color="auto"/>
              <w:left w:val="single" w:sz="4" w:space="0" w:color="auto"/>
              <w:bottom w:val="single" w:sz="4" w:space="0" w:color="auto"/>
              <w:right w:val="single" w:sz="4" w:space="0" w:color="auto"/>
            </w:tcBorders>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Non-infectious uveitis affecting the posterior segment of the eye</w:t>
            </w:r>
          </w:p>
        </w:tc>
      </w:tr>
      <w:tr w:rsidR="00F1629D" w:rsidRPr="00300918" w:rsidTr="00F1629D">
        <w:tblPrEx>
          <w:tblCellMar>
            <w:left w:w="108" w:type="dxa"/>
            <w:right w:w="108" w:type="dxa"/>
          </w:tblCellMar>
        </w:tblPrEx>
        <w:trPr>
          <w:gridBefore w:val="1"/>
          <w:wBefore w:w="12" w:type="pct"/>
          <w:cantSplit/>
          <w:trHeight w:val="76"/>
        </w:trPr>
        <w:tc>
          <w:tcPr>
            <w:tcW w:w="1088" w:type="pct"/>
            <w:tcBorders>
              <w:top w:val="single" w:sz="4" w:space="0" w:color="auto"/>
              <w:left w:val="single" w:sz="4" w:space="0" w:color="auto"/>
              <w:bottom w:val="single" w:sz="4" w:space="0" w:color="auto"/>
              <w:right w:val="single" w:sz="4" w:space="0" w:color="auto"/>
            </w:tcBorders>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Restriction:</w:t>
            </w:r>
          </w:p>
        </w:tc>
        <w:tc>
          <w:tcPr>
            <w:tcW w:w="3900" w:type="pct"/>
            <w:gridSpan w:val="7"/>
            <w:tcBorders>
              <w:top w:val="single" w:sz="4" w:space="0" w:color="auto"/>
              <w:left w:val="single" w:sz="4" w:space="0" w:color="auto"/>
              <w:bottom w:val="single" w:sz="4" w:space="0" w:color="auto"/>
              <w:right w:val="single" w:sz="4" w:space="0" w:color="auto"/>
            </w:tcBorders>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Authority Required – Writing, Telephone, or Electronic</w:t>
            </w:r>
          </w:p>
        </w:tc>
      </w:tr>
      <w:tr w:rsidR="00F1629D" w:rsidRPr="00300918" w:rsidTr="00F1629D">
        <w:tblPrEx>
          <w:tblCellMar>
            <w:left w:w="108" w:type="dxa"/>
            <w:right w:w="108" w:type="dxa"/>
          </w:tblCellMar>
        </w:tblPrEx>
        <w:trPr>
          <w:gridBefore w:val="1"/>
          <w:wBefore w:w="12"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Treatment criteria:</w:t>
            </w:r>
          </w:p>
        </w:tc>
        <w:tc>
          <w:tcPr>
            <w:tcW w:w="3900" w:type="pct"/>
            <w:gridSpan w:val="7"/>
            <w:tcBorders>
              <w:top w:val="single" w:sz="4" w:space="0" w:color="auto"/>
              <w:left w:val="single" w:sz="4" w:space="0" w:color="auto"/>
              <w:bottom w:val="single" w:sz="4" w:space="0" w:color="auto"/>
              <w:right w:val="single" w:sz="4" w:space="0" w:color="auto"/>
            </w:tcBorders>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Must be treated by an ophthalmologist or in consultation with an ophthalmologist.</w:t>
            </w:r>
          </w:p>
        </w:tc>
      </w:tr>
      <w:tr w:rsidR="00F1629D" w:rsidRPr="00300918" w:rsidTr="00F1629D">
        <w:tblPrEx>
          <w:tblCellMar>
            <w:left w:w="108" w:type="dxa"/>
            <w:right w:w="108" w:type="dxa"/>
          </w:tblCellMar>
        </w:tblPrEx>
        <w:trPr>
          <w:gridBefore w:val="1"/>
          <w:wBefore w:w="12"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Clinical criteria:</w:t>
            </w:r>
          </w:p>
        </w:tc>
        <w:tc>
          <w:tcPr>
            <w:tcW w:w="3900" w:type="pct"/>
            <w:gridSpan w:val="7"/>
            <w:tcBorders>
              <w:top w:val="single" w:sz="4" w:space="0" w:color="auto"/>
              <w:left w:val="single" w:sz="4" w:space="0" w:color="auto"/>
              <w:bottom w:val="single" w:sz="4" w:space="0" w:color="auto"/>
              <w:right w:val="single" w:sz="4" w:space="0" w:color="auto"/>
            </w:tcBorders>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Patient must have non-infectious uveitis affecting the posterior segment of the eye.</w:t>
            </w:r>
          </w:p>
          <w:p w:rsidR="00F1629D" w:rsidRPr="00300918" w:rsidRDefault="00F1629D" w:rsidP="00F1629D">
            <w:pPr>
              <w:keepNext/>
              <w:spacing w:before="40" w:after="40"/>
              <w:rPr>
                <w:rFonts w:ascii="Arial Narrow" w:hAnsi="Arial Narrow"/>
                <w:sz w:val="20"/>
              </w:rPr>
            </w:pPr>
            <w:r w:rsidRPr="00300918">
              <w:rPr>
                <w:rFonts w:ascii="Arial Narrow" w:hAnsi="Arial Narrow"/>
                <w:sz w:val="20"/>
              </w:rPr>
              <w:t>Patient must have documented visual impairment (BCVA ≤ 6/12) secondary to vitreous haze and/or macular oedema.</w:t>
            </w:r>
          </w:p>
        </w:tc>
      </w:tr>
    </w:tbl>
    <w:p w:rsidR="00C02A39" w:rsidRPr="00300918" w:rsidRDefault="00F1629D" w:rsidP="009F0DAB">
      <w:pPr>
        <w:pStyle w:val="ListParagraph"/>
        <w:numPr>
          <w:ilvl w:val="1"/>
          <w:numId w:val="1"/>
        </w:numPr>
        <w:spacing w:before="240"/>
        <w:jc w:val="both"/>
      </w:pPr>
      <w:r w:rsidRPr="00300918">
        <w:t xml:space="preserve">The requested restriction does not </w:t>
      </w:r>
      <w:r w:rsidR="00A0754A" w:rsidRPr="00300918">
        <w:t xml:space="preserve">adequately </w:t>
      </w:r>
      <w:r w:rsidRPr="00300918">
        <w:t xml:space="preserve">define the proposed population, and is not consistent with the place in therapy identified in the submission. </w:t>
      </w:r>
      <w:r w:rsidR="00C02A39" w:rsidRPr="00300918">
        <w:t xml:space="preserve">The </w:t>
      </w:r>
      <w:r w:rsidR="00C02A39" w:rsidRPr="009F0DAB">
        <w:rPr>
          <w:szCs w:val="24"/>
        </w:rPr>
        <w:t>Pre-Sub-Committee Response (PSCR, p3) clarified the population for whom listing of dexamethasone implant is sought:</w:t>
      </w:r>
    </w:p>
    <w:p w:rsidR="00C02A39" w:rsidRPr="00300918" w:rsidRDefault="00C02A39" w:rsidP="00312247">
      <w:pPr>
        <w:pStyle w:val="ListParagraph"/>
        <w:numPr>
          <w:ilvl w:val="0"/>
          <w:numId w:val="14"/>
        </w:numPr>
        <w:spacing w:before="240"/>
        <w:jc w:val="both"/>
      </w:pPr>
      <w:r w:rsidRPr="00300918">
        <w:t xml:space="preserve">Unilateral/asymmetric/bilateral flare-up with inactive (or controlled) systemic disease </w:t>
      </w:r>
    </w:p>
    <w:p w:rsidR="00C02A39" w:rsidRPr="00300918" w:rsidRDefault="00C02A39" w:rsidP="00312247">
      <w:pPr>
        <w:pStyle w:val="ListParagraph"/>
        <w:numPr>
          <w:ilvl w:val="0"/>
          <w:numId w:val="14"/>
        </w:numPr>
        <w:spacing w:before="240"/>
        <w:jc w:val="both"/>
      </w:pPr>
      <w:r w:rsidRPr="00300918">
        <w:lastRenderedPageBreak/>
        <w:t>Unilateral/asymmetric flare-up secondary to active systemic disease where further intensification of systemic treatment is not clinically indicated</w:t>
      </w:r>
    </w:p>
    <w:p w:rsidR="00D5279F" w:rsidRPr="00300918" w:rsidRDefault="00C02A39" w:rsidP="00E24128">
      <w:pPr>
        <w:pStyle w:val="ListParagraph"/>
        <w:numPr>
          <w:ilvl w:val="0"/>
          <w:numId w:val="14"/>
        </w:numPr>
        <w:spacing w:before="240"/>
        <w:jc w:val="both"/>
      </w:pPr>
      <w:r w:rsidRPr="00300918">
        <w:t>Bilateral flare-up secondary to active systemic disease where further intensification of systemic treatment is not clinically indicated.</w:t>
      </w:r>
    </w:p>
    <w:p w:rsidR="00E50BA7" w:rsidRPr="00300918" w:rsidRDefault="00C02A39" w:rsidP="00CF546A">
      <w:pPr>
        <w:spacing w:before="240"/>
        <w:ind w:left="720"/>
        <w:jc w:val="both"/>
      </w:pPr>
      <w:r w:rsidRPr="00300918">
        <w:t>The PSCR (p3) confirmed</w:t>
      </w:r>
      <w:r w:rsidR="007C452C" w:rsidRPr="00300918">
        <w:t xml:space="preserve"> that in</w:t>
      </w:r>
      <w:r w:rsidRPr="00300918">
        <w:t xml:space="preserve"> t</w:t>
      </w:r>
      <w:r w:rsidR="00F1629D" w:rsidRPr="00300918">
        <w:t xml:space="preserve">he clinical management algorithm dexamethasone implant will be used as first line therapy in patients </w:t>
      </w:r>
      <w:r w:rsidRPr="00300918">
        <w:t xml:space="preserve">under population </w:t>
      </w:r>
      <w:r w:rsidR="00346769" w:rsidRPr="00300918">
        <w:t>(</w:t>
      </w:r>
      <w:r w:rsidRPr="00300918">
        <w:t xml:space="preserve">a) </w:t>
      </w:r>
      <w:r w:rsidR="000D63B2" w:rsidRPr="00300918">
        <w:t>whereas for population (c) dexamethasone would be used later in the clinical management algorithm</w:t>
      </w:r>
      <w:r w:rsidRPr="00300918">
        <w:t xml:space="preserve">. </w:t>
      </w:r>
      <w:r w:rsidR="005A2BBE" w:rsidRPr="00300918">
        <w:t xml:space="preserve">The PSCR </w:t>
      </w:r>
      <w:r w:rsidR="00346769" w:rsidRPr="00300918">
        <w:t xml:space="preserve">(p3) </w:t>
      </w:r>
      <w:r w:rsidR="005A2BBE" w:rsidRPr="00300918">
        <w:t xml:space="preserve">also noted that for population </w:t>
      </w:r>
      <w:r w:rsidR="007C29C7" w:rsidRPr="00300918">
        <w:t>(</w:t>
      </w:r>
      <w:r w:rsidR="005A2BBE" w:rsidRPr="00300918">
        <w:t xml:space="preserve">b), the use of dexamethasone implant may be considered clinically appropriate at an earlier point in the treatment algorithm due to the unilateral/asymmetric presentation of the patient’s uveitis (compared with population </w:t>
      </w:r>
      <w:r w:rsidR="007C29C7" w:rsidRPr="00300918">
        <w:t>(</w:t>
      </w:r>
      <w:r w:rsidR="005A2BBE" w:rsidRPr="00300918">
        <w:t xml:space="preserve">c)) to avoid </w:t>
      </w:r>
      <w:r w:rsidR="007C29C7" w:rsidRPr="00300918">
        <w:t>unnecessary</w:t>
      </w:r>
      <w:r w:rsidR="005A2BBE" w:rsidRPr="00300918">
        <w:t xml:space="preserve"> intensification of systemic </w:t>
      </w:r>
      <w:r w:rsidR="007C29C7" w:rsidRPr="00300918">
        <w:t>treatment</w:t>
      </w:r>
      <w:r w:rsidR="005A2BBE" w:rsidRPr="00300918">
        <w:t xml:space="preserve"> and their inherent side effects. </w:t>
      </w:r>
      <w:r w:rsidR="005D5F13" w:rsidRPr="00300918">
        <w:t xml:space="preserve">The ESC noted that non-infectious uveitis affecting the posterior segment of the eye was primarily due to an underlying systemic disease but was occasionally idiopathic. The ESC also noted that the systemic treatments referred to by the PSCR include </w:t>
      </w:r>
      <w:r w:rsidR="00F1629D" w:rsidRPr="00300918">
        <w:t xml:space="preserve">systemic corticosteroids, steroid sparing immunomodulatory therapy and biologics (primarily tumour necrosis factor alpha inhibitors). </w:t>
      </w:r>
    </w:p>
    <w:p w:rsidR="00F1629D" w:rsidRPr="00300918" w:rsidRDefault="00F1629D" w:rsidP="00F91249">
      <w:pPr>
        <w:pStyle w:val="ListParagraph"/>
        <w:numPr>
          <w:ilvl w:val="1"/>
          <w:numId w:val="1"/>
        </w:numPr>
        <w:spacing w:before="240"/>
        <w:ind w:left="709" w:hanging="709"/>
        <w:jc w:val="both"/>
      </w:pPr>
      <w:r w:rsidRPr="00300918">
        <w:t xml:space="preserve">The clinical evidence includes primarily patients with unilateral/bilateral disease with inactive systemic disease or no systemic disease (idiopathic uveitis). No clinical evidence was provided in patients who experienced incomplete control in one eye (asymmetric inflammation) or in patients who experienced incomplete control in both eyes and required bilateral implants. </w:t>
      </w:r>
      <w:r w:rsidR="00460611" w:rsidRPr="00300918">
        <w:t xml:space="preserve">The PSCR (p2) argued that patients with asymmetric inflammation, patients with incomplete control in both eyes (in whom bilateral implants would have been indicated [though not able to be used during the trial]), and those with active (but stable) systemic disease were not excluded from recruitment to the HURON trial. However, the ESC </w:t>
      </w:r>
      <w:r w:rsidR="00564DBB" w:rsidRPr="00300918">
        <w:t>considered that</w:t>
      </w:r>
      <w:r w:rsidR="00460611" w:rsidRPr="00300918">
        <w:t xml:space="preserve"> the proportion of patients with active systemic disease could not be </w:t>
      </w:r>
      <w:r w:rsidR="00D5279F" w:rsidRPr="00300918">
        <w:t xml:space="preserve">accurately </w:t>
      </w:r>
      <w:r w:rsidR="00460611" w:rsidRPr="00300918">
        <w:t>inferred from rates of systemic corticosteroid use alone, as suggested by the response, since this therapy may be used to treat uveitis in the absence of systemic disease.</w:t>
      </w:r>
    </w:p>
    <w:p w:rsidR="00F1629D" w:rsidRPr="00300918" w:rsidRDefault="00F1629D" w:rsidP="00F91249">
      <w:pPr>
        <w:numPr>
          <w:ilvl w:val="1"/>
          <w:numId w:val="1"/>
        </w:numPr>
        <w:ind w:left="709" w:hanging="709"/>
        <w:jc w:val="both"/>
      </w:pPr>
      <w:r w:rsidRPr="00300918">
        <w:t xml:space="preserve">The submission suggested dexamethasone implant may be repeated as needed to maintain control. </w:t>
      </w:r>
      <w:r w:rsidR="009B1F92" w:rsidRPr="00300918">
        <w:rPr>
          <w:szCs w:val="24"/>
        </w:rPr>
        <w:t>T</w:t>
      </w:r>
      <w:r w:rsidR="00DE6778" w:rsidRPr="00300918">
        <w:rPr>
          <w:szCs w:val="24"/>
        </w:rPr>
        <w:t>he PSCR</w:t>
      </w:r>
      <w:r w:rsidR="00983A13" w:rsidRPr="00300918">
        <w:rPr>
          <w:szCs w:val="24"/>
        </w:rPr>
        <w:t xml:space="preserve"> </w:t>
      </w:r>
      <w:r w:rsidR="00DE6778" w:rsidRPr="00300918">
        <w:rPr>
          <w:szCs w:val="24"/>
        </w:rPr>
        <w:t>(</w:t>
      </w:r>
      <w:r w:rsidR="00983A13" w:rsidRPr="00300918">
        <w:rPr>
          <w:szCs w:val="24"/>
        </w:rPr>
        <w:t>p5) clarified that dexamethasone</w:t>
      </w:r>
      <w:r w:rsidR="00725EB4" w:rsidRPr="00300918">
        <w:rPr>
          <w:szCs w:val="24"/>
        </w:rPr>
        <w:t xml:space="preserve"> implant</w:t>
      </w:r>
      <w:r w:rsidR="00983A13" w:rsidRPr="00300918">
        <w:rPr>
          <w:szCs w:val="24"/>
        </w:rPr>
        <w:t xml:space="preserve"> is proposed to be used to treat relapses or recurrence of flare</w:t>
      </w:r>
      <w:r w:rsidR="00124B81" w:rsidRPr="00300918">
        <w:rPr>
          <w:szCs w:val="24"/>
        </w:rPr>
        <w:t>-</w:t>
      </w:r>
      <w:r w:rsidR="00983A13" w:rsidRPr="00300918">
        <w:rPr>
          <w:szCs w:val="24"/>
        </w:rPr>
        <w:t>ups rather than preventing relapse after achieving an improvement</w:t>
      </w:r>
      <w:r w:rsidR="003C3D1D" w:rsidRPr="00300918">
        <w:rPr>
          <w:szCs w:val="24"/>
        </w:rPr>
        <w:t xml:space="preserve"> (</w:t>
      </w:r>
      <w:r w:rsidR="00983A13" w:rsidRPr="00300918">
        <w:rPr>
          <w:szCs w:val="24"/>
        </w:rPr>
        <w:t>i.e. maintenance of improvement</w:t>
      </w:r>
      <w:r w:rsidR="003C3D1D" w:rsidRPr="00300918">
        <w:rPr>
          <w:szCs w:val="24"/>
        </w:rPr>
        <w:t>)</w:t>
      </w:r>
      <w:r w:rsidR="00983A13" w:rsidRPr="00300918">
        <w:rPr>
          <w:szCs w:val="24"/>
        </w:rPr>
        <w:t xml:space="preserve">. </w:t>
      </w:r>
      <w:r w:rsidRPr="00300918">
        <w:t xml:space="preserve">Patients would need to requalify according to the clinical criteria in order to receive a subsequent implant. The submission did not provide any </w:t>
      </w:r>
      <w:r w:rsidR="00400BC0" w:rsidRPr="00300918">
        <w:t xml:space="preserve">comparative </w:t>
      </w:r>
      <w:r w:rsidRPr="00300918">
        <w:t>clinical evidence for repeat treatment with dexamethasone implant.</w:t>
      </w:r>
      <w:r w:rsidR="00647DE5" w:rsidRPr="00300918">
        <w:t xml:space="preserve"> </w:t>
      </w:r>
      <w:r w:rsidR="006265E6" w:rsidRPr="00300918">
        <w:t>The ESC noted the submis</w:t>
      </w:r>
      <w:r w:rsidR="00151A9C" w:rsidRPr="00300918">
        <w:t xml:space="preserve">sion presented data from </w:t>
      </w:r>
      <w:r w:rsidR="006265E6" w:rsidRPr="00300918">
        <w:t>observational studies investigating outcomes after administration of repeat treatment with dexamethasone implant. In addition</w:t>
      </w:r>
      <w:r w:rsidR="003904F7" w:rsidRPr="00300918">
        <w:t>, while some attenuation of response may be seen with repeat implants</w:t>
      </w:r>
      <w:r w:rsidR="002F58C7" w:rsidRPr="00300918">
        <w:t xml:space="preserve"> when treating relapses or recurrence of flare-ups</w:t>
      </w:r>
      <w:r w:rsidR="003904F7" w:rsidRPr="00300918">
        <w:t xml:space="preserve">, </w:t>
      </w:r>
      <w:r w:rsidR="00FB497B" w:rsidRPr="00300918">
        <w:t xml:space="preserve">the ESC considered </w:t>
      </w:r>
      <w:r w:rsidR="003904F7" w:rsidRPr="00300918">
        <w:t xml:space="preserve">it </w:t>
      </w:r>
      <w:r w:rsidR="00B01B9A" w:rsidRPr="00300918">
        <w:t xml:space="preserve">was </w:t>
      </w:r>
      <w:r w:rsidR="007E6842" w:rsidRPr="00300918">
        <w:t xml:space="preserve">not unreasonable to </w:t>
      </w:r>
      <w:r w:rsidR="003904F7" w:rsidRPr="00300918">
        <w:t xml:space="preserve">expect that repeat implants in individuals with </w:t>
      </w:r>
      <w:r w:rsidR="007E6842" w:rsidRPr="00300918">
        <w:t xml:space="preserve">a </w:t>
      </w:r>
      <w:r w:rsidR="003904F7" w:rsidRPr="00300918">
        <w:t>prior satisfactory response would have efficacy.</w:t>
      </w:r>
      <w:r w:rsidR="00725925" w:rsidRPr="00300918">
        <w:t xml:space="preserve"> The PBAC considered this to be acceptable.</w:t>
      </w:r>
    </w:p>
    <w:p w:rsidR="002D3C2A" w:rsidRPr="00300918" w:rsidRDefault="00C507DE" w:rsidP="00F91249">
      <w:pPr>
        <w:numPr>
          <w:ilvl w:val="1"/>
          <w:numId w:val="1"/>
        </w:numPr>
        <w:ind w:left="709" w:hanging="709"/>
        <w:jc w:val="both"/>
      </w:pPr>
      <w:r w:rsidRPr="00300918">
        <w:t>The PSCR (p2)</w:t>
      </w:r>
      <w:r w:rsidR="002D3C2A" w:rsidRPr="00300918">
        <w:t xml:space="preserve"> noted </w:t>
      </w:r>
      <w:r w:rsidRPr="00300918">
        <w:t xml:space="preserve">that the proposed restriction permits use of dexamethasone implant for posterior segment uveitis, which would include patients with panuveitis, </w:t>
      </w:r>
      <w:r w:rsidRPr="00300918">
        <w:lastRenderedPageBreak/>
        <w:t xml:space="preserve">and that the commentary </w:t>
      </w:r>
      <w:r w:rsidR="00B90ECF" w:rsidRPr="00300918">
        <w:t>indicated</w:t>
      </w:r>
      <w:r w:rsidRPr="00300918">
        <w:t xml:space="preserve"> patients with panuveitis were </w:t>
      </w:r>
      <w:r w:rsidR="005B5853" w:rsidRPr="00300918">
        <w:t xml:space="preserve">not </w:t>
      </w:r>
      <w:r w:rsidRPr="00300918">
        <w:t xml:space="preserve">included in the </w:t>
      </w:r>
      <w:r w:rsidR="005B5853" w:rsidRPr="00300918">
        <w:t>HURON</w:t>
      </w:r>
      <w:r w:rsidRPr="00300918">
        <w:t xml:space="preserve"> trial. The PSCR (p2) claimed that there was a requirement that patients have a diagnosis of intermediate or posterior segment uveitis and patients with panuveitis and patients with anterior uveitis were not excluded from recruitment to the trial. </w:t>
      </w:r>
      <w:r w:rsidR="00B56EAE" w:rsidRPr="00300918">
        <w:t xml:space="preserve">The ESC </w:t>
      </w:r>
      <w:r w:rsidR="00346FEE" w:rsidRPr="00300918">
        <w:t>noted that patients with panuveitis comprise a small proportion of those with non-infectious posterior segment uveitis</w:t>
      </w:r>
      <w:r w:rsidR="00B56EAE" w:rsidRPr="00300918">
        <w:t xml:space="preserve">. </w:t>
      </w:r>
    </w:p>
    <w:p w:rsidR="002A03F4" w:rsidRPr="00300918" w:rsidRDefault="00B47C39" w:rsidP="00F91249">
      <w:pPr>
        <w:numPr>
          <w:ilvl w:val="1"/>
          <w:numId w:val="1"/>
        </w:numPr>
        <w:ind w:left="709" w:hanging="709"/>
        <w:jc w:val="both"/>
      </w:pPr>
      <w:r w:rsidRPr="00300918">
        <w:rPr>
          <w:szCs w:val="24"/>
        </w:rPr>
        <w:t xml:space="preserve">The </w:t>
      </w:r>
      <w:r w:rsidR="00C74FC5" w:rsidRPr="00300918">
        <w:rPr>
          <w:szCs w:val="24"/>
        </w:rPr>
        <w:t xml:space="preserve">PBAC considered </w:t>
      </w:r>
      <w:r w:rsidRPr="00300918">
        <w:rPr>
          <w:szCs w:val="24"/>
        </w:rPr>
        <w:t xml:space="preserve">there is a clinical place for dexamethasone </w:t>
      </w:r>
      <w:r w:rsidR="00D52BA9" w:rsidRPr="00300918">
        <w:rPr>
          <w:szCs w:val="24"/>
        </w:rPr>
        <w:t xml:space="preserve">implant </w:t>
      </w:r>
      <w:r w:rsidRPr="00300918">
        <w:rPr>
          <w:szCs w:val="24"/>
        </w:rPr>
        <w:t xml:space="preserve">in the treatment of non-infectious uveitis affecting the posterior segment of the eye given the gap in available treatment for these patients. </w:t>
      </w:r>
    </w:p>
    <w:p w:rsidR="00BB2D83" w:rsidRPr="00300918" w:rsidRDefault="00BB2D83" w:rsidP="00F91249">
      <w:pPr>
        <w:pStyle w:val="ListParagraph"/>
        <w:numPr>
          <w:ilvl w:val="1"/>
          <w:numId w:val="1"/>
        </w:numPr>
        <w:spacing w:before="240"/>
        <w:ind w:left="709" w:hanging="709"/>
        <w:jc w:val="both"/>
      </w:pPr>
      <w:r w:rsidRPr="00300918">
        <w:t xml:space="preserve">The PBAC noted the pre-PBAC response </w:t>
      </w:r>
      <w:r w:rsidR="00E2011E" w:rsidRPr="00300918">
        <w:t xml:space="preserve">(p1) </w:t>
      </w:r>
      <w:r w:rsidRPr="00300918">
        <w:t>did not propose new restriction wording</w:t>
      </w:r>
      <w:r w:rsidR="00EB607F" w:rsidRPr="00300918">
        <w:t xml:space="preserve">. </w:t>
      </w:r>
      <w:r w:rsidRPr="00300918">
        <w:t xml:space="preserve">The PBAC </w:t>
      </w:r>
      <w:r w:rsidR="00DE7565" w:rsidRPr="00300918">
        <w:t>recommended</w:t>
      </w:r>
      <w:r w:rsidRPr="00300918">
        <w:t xml:space="preserve"> that the dexamethasone implant be </w:t>
      </w:r>
      <w:r w:rsidR="00DE7565" w:rsidRPr="00300918">
        <w:t>PBS listed</w:t>
      </w:r>
      <w:r w:rsidRPr="00300918">
        <w:t xml:space="preserve"> for unilateral/bilateral flare of </w:t>
      </w:r>
      <w:r w:rsidR="00D46E49" w:rsidRPr="00300918">
        <w:t xml:space="preserve">non-infectious </w:t>
      </w:r>
      <w:r w:rsidRPr="00300918">
        <w:t xml:space="preserve">posterior </w:t>
      </w:r>
      <w:r w:rsidR="00D46E49" w:rsidRPr="00300918">
        <w:t xml:space="preserve">segment </w:t>
      </w:r>
      <w:r w:rsidRPr="00300918">
        <w:t>uveitis where systemic therapy or further intensific</w:t>
      </w:r>
      <w:r w:rsidR="00EB607F" w:rsidRPr="00300918">
        <w:t xml:space="preserve">ation </w:t>
      </w:r>
      <w:r w:rsidR="00D46E49" w:rsidRPr="00300918">
        <w:t xml:space="preserve">of systemic therapy </w:t>
      </w:r>
      <w:r w:rsidR="00EB607F" w:rsidRPr="00300918">
        <w:t>is not required or contra</w:t>
      </w:r>
      <w:r w:rsidRPr="00300918">
        <w:t>indicated and where there is documented visual impairment (BCVA ≤ 6/12) secondary to vitreous haze and/or macular oedema.</w:t>
      </w:r>
    </w:p>
    <w:p w:rsidR="00A535EB" w:rsidRPr="00300918" w:rsidRDefault="00A535EB" w:rsidP="00F91249">
      <w:pPr>
        <w:pStyle w:val="ListParagraph"/>
        <w:numPr>
          <w:ilvl w:val="1"/>
          <w:numId w:val="1"/>
        </w:numPr>
        <w:spacing w:before="240"/>
        <w:ind w:left="709" w:hanging="709"/>
        <w:jc w:val="both"/>
      </w:pPr>
      <w:r w:rsidRPr="00300918">
        <w:t xml:space="preserve">The PBAC </w:t>
      </w:r>
      <w:r w:rsidR="00BC57C1" w:rsidRPr="00300918">
        <w:t xml:space="preserve">recommended </w:t>
      </w:r>
      <w:r w:rsidRPr="00300918">
        <w:t xml:space="preserve">an Authority Required </w:t>
      </w:r>
      <w:r w:rsidR="00030D69">
        <w:t xml:space="preserve">(Telephone) </w:t>
      </w:r>
      <w:r w:rsidRPr="00300918">
        <w:t>listing for dexamethasone implant for the treatment of non-infectious posterior segment uveitis.</w:t>
      </w:r>
    </w:p>
    <w:p w:rsidR="00BA438A" w:rsidRPr="00300918" w:rsidRDefault="00BA438A" w:rsidP="00BA438A">
      <w:pPr>
        <w:ind w:left="720"/>
        <w:jc w:val="both"/>
      </w:pPr>
      <w:r w:rsidRPr="00300918">
        <w:rPr>
          <w:i/>
        </w:rPr>
        <w:t>For more detail on PBAC’s view, see section 7 PBAC outcome.</w:t>
      </w:r>
    </w:p>
    <w:p w:rsidR="00F1629D" w:rsidRPr="00300918" w:rsidRDefault="00F1629D" w:rsidP="00312247">
      <w:pPr>
        <w:pStyle w:val="Heading1"/>
        <w:numPr>
          <w:ilvl w:val="0"/>
          <w:numId w:val="1"/>
        </w:numPr>
        <w:ind w:left="709" w:hanging="709"/>
      </w:pPr>
      <w:bookmarkStart w:id="7" w:name="_Toc413139273"/>
      <w:bookmarkStart w:id="8" w:name="_Toc490486475"/>
      <w:bookmarkStart w:id="9" w:name="_Toc492995306"/>
      <w:r w:rsidRPr="00300918">
        <w:t>Background</w:t>
      </w:r>
      <w:bookmarkEnd w:id="7"/>
      <w:bookmarkEnd w:id="8"/>
      <w:bookmarkEnd w:id="9"/>
    </w:p>
    <w:p w:rsidR="00F1629D" w:rsidRPr="00300918" w:rsidRDefault="00F1629D" w:rsidP="00944061">
      <w:pPr>
        <w:pStyle w:val="Heading2"/>
        <w:rPr>
          <w:i w:val="0"/>
        </w:rPr>
      </w:pPr>
      <w:bookmarkStart w:id="10" w:name="_Toc490486476"/>
      <w:bookmarkStart w:id="11" w:name="_Toc492995307"/>
      <w:r w:rsidRPr="00300918">
        <w:rPr>
          <w:i w:val="0"/>
        </w:rPr>
        <w:t>Registration status</w:t>
      </w:r>
      <w:bookmarkEnd w:id="10"/>
      <w:bookmarkEnd w:id="11"/>
    </w:p>
    <w:p w:rsidR="00F1629D" w:rsidRPr="00300918" w:rsidRDefault="00010DA0" w:rsidP="00F91249">
      <w:pPr>
        <w:numPr>
          <w:ilvl w:val="1"/>
          <w:numId w:val="1"/>
        </w:numPr>
        <w:ind w:left="709" w:hanging="709"/>
        <w:jc w:val="both"/>
      </w:pPr>
      <w:r w:rsidRPr="00300918">
        <w:t xml:space="preserve">TGA status at time of </w:t>
      </w:r>
      <w:r w:rsidR="004636CA" w:rsidRPr="00300918">
        <w:t>PBAC consideration</w:t>
      </w:r>
      <w:r w:rsidR="00F1629D" w:rsidRPr="00300918">
        <w:t xml:space="preserve">: Dexamethasone implant was granted orphan drug designation by the TGA for ‘the treatment of non-infectious uveitis affecting the posterior section of the eye’ on 12 April 2017. Dexamethasone implant was TGA registered on 16 June 2017 for non-infectious uveitis affecting the posterior segment of the eye. </w:t>
      </w:r>
    </w:p>
    <w:p w:rsidR="00F1629D" w:rsidRPr="00300918" w:rsidRDefault="00F1629D" w:rsidP="00F91249">
      <w:pPr>
        <w:numPr>
          <w:ilvl w:val="1"/>
          <w:numId w:val="1"/>
        </w:numPr>
        <w:ind w:left="709" w:hanging="709"/>
        <w:jc w:val="both"/>
      </w:pPr>
      <w:r w:rsidRPr="00300918">
        <w:t>Dexamethasone implant is also TGA registered for diabetic macular oedema, and macular oedema due to branch retinal vein occlusion or central retinal vein occlusion.</w:t>
      </w:r>
    </w:p>
    <w:p w:rsidR="00F1629D" w:rsidRPr="00300918" w:rsidRDefault="00F1629D" w:rsidP="00312247">
      <w:pPr>
        <w:pStyle w:val="Heading1"/>
        <w:numPr>
          <w:ilvl w:val="0"/>
          <w:numId w:val="1"/>
        </w:numPr>
        <w:ind w:left="709" w:hanging="709"/>
      </w:pPr>
      <w:bookmarkStart w:id="12" w:name="_Toc490486477"/>
      <w:bookmarkStart w:id="13" w:name="_Toc492995308"/>
      <w:r w:rsidRPr="00300918">
        <w:t>Population and disease</w:t>
      </w:r>
      <w:bookmarkEnd w:id="12"/>
      <w:bookmarkEnd w:id="13"/>
    </w:p>
    <w:p w:rsidR="009E3849" w:rsidRPr="00300918" w:rsidRDefault="00F1629D" w:rsidP="00F91249">
      <w:pPr>
        <w:numPr>
          <w:ilvl w:val="1"/>
          <w:numId w:val="1"/>
        </w:numPr>
        <w:ind w:left="709" w:hanging="709"/>
        <w:jc w:val="both"/>
      </w:pPr>
      <w:r w:rsidRPr="00300918">
        <w:t xml:space="preserve">Non-infectious intermediate, posterior and panuveitis </w:t>
      </w:r>
      <w:r w:rsidR="00E06BC4" w:rsidRPr="00300918">
        <w:t xml:space="preserve">(non-infectious posterior segment uveitis) </w:t>
      </w:r>
      <w:r w:rsidRPr="00300918">
        <w:t xml:space="preserve">are a group of vision-threatening diseases that are characterised by intraocular inflammation. </w:t>
      </w:r>
    </w:p>
    <w:p w:rsidR="00E06BC4" w:rsidRPr="00300918" w:rsidRDefault="00E06BC4" w:rsidP="00F91249">
      <w:pPr>
        <w:numPr>
          <w:ilvl w:val="1"/>
          <w:numId w:val="1"/>
        </w:numPr>
        <w:ind w:left="709" w:hanging="709"/>
        <w:jc w:val="both"/>
      </w:pPr>
      <w:r w:rsidRPr="00300918">
        <w:t xml:space="preserve">Non-infectious uveitis may be idiopathic or associated with systemic autoimmune diseases. Regardless of the underlying aetiology, persistent intraocular inflammation can lead to ocular complications and </w:t>
      </w:r>
      <w:r w:rsidR="00B02489" w:rsidRPr="00300918">
        <w:t xml:space="preserve">even </w:t>
      </w:r>
      <w:r w:rsidRPr="00300918">
        <w:t xml:space="preserve">blindness if left untreated. </w:t>
      </w:r>
    </w:p>
    <w:p w:rsidR="00E06BC4" w:rsidRPr="00300918" w:rsidRDefault="00E06BC4" w:rsidP="00F91249">
      <w:pPr>
        <w:numPr>
          <w:ilvl w:val="1"/>
          <w:numId w:val="1"/>
        </w:numPr>
        <w:ind w:left="709" w:hanging="709"/>
        <w:jc w:val="both"/>
      </w:pPr>
      <w:r w:rsidRPr="00300918">
        <w:t>Non-infectious posterior segment uveitis has a relatively early onset and the incidence is highest in working-age people.</w:t>
      </w:r>
    </w:p>
    <w:p w:rsidR="00F1629D" w:rsidRPr="00300918" w:rsidRDefault="00F1629D" w:rsidP="00F91249">
      <w:pPr>
        <w:numPr>
          <w:ilvl w:val="1"/>
          <w:numId w:val="1"/>
        </w:numPr>
        <w:ind w:left="709" w:hanging="709"/>
        <w:jc w:val="both"/>
      </w:pPr>
      <w:r w:rsidRPr="00300918">
        <w:t>Current treatment</w:t>
      </w:r>
      <w:r w:rsidR="00E06BC4" w:rsidRPr="00300918">
        <w:t xml:space="preserve">s </w:t>
      </w:r>
      <w:r w:rsidRPr="00300918">
        <w:t>include oral</w:t>
      </w:r>
      <w:r w:rsidR="00AF392D" w:rsidRPr="00300918">
        <w:t>, intravitreal, or periocular</w:t>
      </w:r>
      <w:r w:rsidRPr="00300918">
        <w:t xml:space="preserve"> corticosteroid</w:t>
      </w:r>
      <w:r w:rsidR="00E06BC4" w:rsidRPr="00300918">
        <w:t xml:space="preserve"> therapy,</w:t>
      </w:r>
      <w:r w:rsidRPr="00300918">
        <w:t xml:space="preserve"> and </w:t>
      </w:r>
      <w:r w:rsidR="00E06BC4" w:rsidRPr="00300918">
        <w:t xml:space="preserve">corticosteroid-sparing </w:t>
      </w:r>
      <w:r w:rsidRPr="00300918">
        <w:t>immunomodulatory therapy</w:t>
      </w:r>
      <w:r w:rsidR="00E06BC4" w:rsidRPr="00300918">
        <w:t xml:space="preserve"> and biologics in some cases</w:t>
      </w:r>
      <w:r w:rsidRPr="00300918">
        <w:t>.</w:t>
      </w:r>
    </w:p>
    <w:p w:rsidR="00F1629D" w:rsidRPr="00300918" w:rsidRDefault="00F1629D" w:rsidP="00F91249">
      <w:pPr>
        <w:numPr>
          <w:ilvl w:val="1"/>
          <w:numId w:val="1"/>
        </w:numPr>
        <w:ind w:left="709" w:hanging="709"/>
        <w:jc w:val="both"/>
      </w:pPr>
      <w:r w:rsidRPr="00300918">
        <w:t>The submission claimed that dexamethasone implant will primarily replace current intravitreal triamcinolone acetonide, which is currently used as second or first line therapy in local and/or unilateral disease.</w:t>
      </w:r>
    </w:p>
    <w:p w:rsidR="00F1629D" w:rsidRPr="00300918" w:rsidRDefault="00F1629D" w:rsidP="00F91249">
      <w:pPr>
        <w:numPr>
          <w:ilvl w:val="1"/>
          <w:numId w:val="1"/>
        </w:numPr>
        <w:spacing w:before="0" w:after="120"/>
        <w:ind w:left="709" w:hanging="709"/>
        <w:jc w:val="both"/>
      </w:pPr>
      <w:r w:rsidRPr="00300918">
        <w:t>The submission also positions dexamethasone implant as an adjunct to systemic therapy</w:t>
      </w:r>
      <w:r w:rsidR="003A2F2A" w:rsidRPr="00300918">
        <w:t xml:space="preserve"> to reduce steroid or steroid-sparing therapy usage</w:t>
      </w:r>
      <w:r w:rsidRPr="00300918">
        <w:t xml:space="preserve">. Systemic treatment </w:t>
      </w:r>
      <w:r w:rsidR="003A2235" w:rsidRPr="00300918">
        <w:t xml:space="preserve">may </w:t>
      </w:r>
      <w:r w:rsidRPr="00300918">
        <w:t>be required for patients with bilateral uveitis</w:t>
      </w:r>
      <w:r w:rsidR="00226AC9" w:rsidRPr="00300918">
        <w:t xml:space="preserve"> who more commonly have active systemic disease</w:t>
      </w:r>
      <w:r w:rsidRPr="00300918">
        <w:t xml:space="preserve">. Dexamethasone implant has a role in bilateral disease if it is asymmetrical in severity – for example after one eye responds better than the other to systemic therapy. No </w:t>
      </w:r>
      <w:r w:rsidR="00AA0F06" w:rsidRPr="00300918">
        <w:t xml:space="preserve">specific comparative </w:t>
      </w:r>
      <w:r w:rsidRPr="00300918">
        <w:t xml:space="preserve">clinical evidence was provided for dexamethasone implant in uveitis accompanied by systemic disease, or as maintenance therapy in inactive disease. </w:t>
      </w:r>
      <w:r w:rsidR="00B948DC" w:rsidRPr="00300918">
        <w:t>The PSCR (p</w:t>
      </w:r>
      <w:r w:rsidR="00FB36DC" w:rsidRPr="00300918">
        <w:t>5</w:t>
      </w:r>
      <w:r w:rsidR="00B948DC" w:rsidRPr="00300918">
        <w:t>) clarified that the submission is not seeking listing for maintenance treatment, but only use of dexamethasone implant for the treatment of flare</w:t>
      </w:r>
      <w:r w:rsidR="00124B81" w:rsidRPr="00300918">
        <w:t>-</w:t>
      </w:r>
      <w:r w:rsidR="00B948DC" w:rsidRPr="00300918">
        <w:t>ups (including treatment of relapse/recurrence) of uveitis.</w:t>
      </w:r>
      <w:r w:rsidR="00CE30AB" w:rsidRPr="00300918">
        <w:t xml:space="preserve"> The </w:t>
      </w:r>
      <w:r w:rsidR="00C85329" w:rsidRPr="00300918">
        <w:t xml:space="preserve">PBAC </w:t>
      </w:r>
      <w:r w:rsidR="00CE30AB" w:rsidRPr="00300918">
        <w:t>considered this was appropriate.</w:t>
      </w:r>
    </w:p>
    <w:p w:rsidR="00BA438A" w:rsidRPr="00300918" w:rsidRDefault="00BA438A" w:rsidP="00BA438A">
      <w:pPr>
        <w:spacing w:before="0" w:after="120"/>
        <w:ind w:left="720"/>
        <w:jc w:val="both"/>
      </w:pPr>
      <w:r w:rsidRPr="00300918">
        <w:rPr>
          <w:i/>
        </w:rPr>
        <w:t>For more detail on PBAC’s view, see section 7 PBAC outcome.</w:t>
      </w:r>
    </w:p>
    <w:p w:rsidR="00F1629D" w:rsidRPr="00300918" w:rsidRDefault="00F1629D" w:rsidP="00312247">
      <w:pPr>
        <w:pStyle w:val="Heading1"/>
        <w:numPr>
          <w:ilvl w:val="0"/>
          <w:numId w:val="1"/>
        </w:numPr>
        <w:ind w:left="709" w:hanging="709"/>
      </w:pPr>
      <w:bookmarkStart w:id="14" w:name="_Toc413139275"/>
      <w:bookmarkStart w:id="15" w:name="_Toc490486478"/>
      <w:bookmarkStart w:id="16" w:name="_Toc492995309"/>
      <w:r w:rsidRPr="00300918">
        <w:t>Comparator</w:t>
      </w:r>
      <w:bookmarkEnd w:id="14"/>
      <w:bookmarkEnd w:id="15"/>
      <w:bookmarkEnd w:id="16"/>
    </w:p>
    <w:p w:rsidR="00F1629D" w:rsidRPr="00300918" w:rsidRDefault="00F1629D" w:rsidP="00F91249">
      <w:pPr>
        <w:numPr>
          <w:ilvl w:val="1"/>
          <w:numId w:val="1"/>
        </w:numPr>
        <w:ind w:left="709" w:hanging="709"/>
        <w:jc w:val="both"/>
      </w:pPr>
      <w:r w:rsidRPr="00300918">
        <w:t>The submission nominated placebo (standard of care) as the main comparator. In the key trial, standard of care included the use of rescue medications only (including administration of intravitreal/periocular injections of corticosteroids or systemic medications) immediately upon worsening of intraocular inflammation. The therapy most likely to be replaced in clinical practice is intravitreal, periocular, or systemic corticosteroids. Efficacy outcomes for patients who received corticosteroids (periocular, intravitreal, or systemic) as rescue medication in the HURON trial were not recorded</w:t>
      </w:r>
      <w:r w:rsidR="0018217D" w:rsidRPr="00300918">
        <w:t xml:space="preserve"> as </w:t>
      </w:r>
      <w:r w:rsidR="0018217D" w:rsidRPr="00300918">
        <w:rPr>
          <w:szCs w:val="24"/>
        </w:rPr>
        <w:t xml:space="preserve">censoring </w:t>
      </w:r>
      <w:r w:rsidR="00F30E9F" w:rsidRPr="00300918">
        <w:rPr>
          <w:szCs w:val="24"/>
        </w:rPr>
        <w:t xml:space="preserve">occurred in both arms of the trial </w:t>
      </w:r>
      <w:r w:rsidR="0018217D" w:rsidRPr="00300918">
        <w:rPr>
          <w:szCs w:val="24"/>
        </w:rPr>
        <w:t>at the point of rescue therapy being required</w:t>
      </w:r>
      <w:r w:rsidRPr="00300918">
        <w:t xml:space="preserve">. </w:t>
      </w:r>
      <w:r w:rsidR="003C43D5" w:rsidRPr="00300918">
        <w:t xml:space="preserve">As a result the </w:t>
      </w:r>
      <w:r w:rsidR="005D5147" w:rsidRPr="00300918">
        <w:t>PBAC</w:t>
      </w:r>
      <w:r w:rsidR="003C43D5" w:rsidRPr="00300918">
        <w:t xml:space="preserve"> considered</w:t>
      </w:r>
      <w:r w:rsidR="000A4D8A" w:rsidRPr="00300918">
        <w:t xml:space="preserve"> </w:t>
      </w:r>
      <w:r w:rsidR="00D4587E" w:rsidRPr="00300918">
        <w:t xml:space="preserve">the sham treatment arm in the HURON trial </w:t>
      </w:r>
      <w:r w:rsidR="00CF07F0">
        <w:t>may</w:t>
      </w:r>
      <w:r w:rsidR="00D4587E" w:rsidRPr="00300918">
        <w:t xml:space="preserve"> not represent current </w:t>
      </w:r>
      <w:r w:rsidR="003C43D5" w:rsidRPr="00300918">
        <w:t xml:space="preserve">true </w:t>
      </w:r>
      <w:r w:rsidR="00D4587E" w:rsidRPr="00300918">
        <w:t>standard of care for posterior segment uveitis</w:t>
      </w:r>
      <w:r w:rsidR="000A4D8A" w:rsidRPr="00300918">
        <w:t>.</w:t>
      </w:r>
      <w:r w:rsidR="005A395C" w:rsidRPr="00300918">
        <w:t xml:space="preserve"> </w:t>
      </w:r>
    </w:p>
    <w:p w:rsidR="001F0262" w:rsidRPr="00300918" w:rsidRDefault="00F1629D" w:rsidP="00F91249">
      <w:pPr>
        <w:numPr>
          <w:ilvl w:val="1"/>
          <w:numId w:val="1"/>
        </w:numPr>
        <w:ind w:left="709" w:hanging="709"/>
        <w:jc w:val="both"/>
      </w:pPr>
      <w:r w:rsidRPr="00300918">
        <w:t>The submission nominated intravitreal triamcinolone acetonide as a secondary comparator. The submission claimed that in patients with predominantly unilateral/asymmetric disease</w:t>
      </w:r>
      <w:r w:rsidR="001F0262" w:rsidRPr="00300918">
        <w:t xml:space="preserve"> (either idiopathic or with inactive systemic disease), patients with bilateral flare</w:t>
      </w:r>
      <w:r w:rsidR="00124B81" w:rsidRPr="00300918">
        <w:t>-</w:t>
      </w:r>
      <w:r w:rsidR="001F0262" w:rsidRPr="00300918">
        <w:t xml:space="preserve">up with </w:t>
      </w:r>
      <w:r w:rsidRPr="00300918">
        <w:t>inactive systemic disease</w:t>
      </w:r>
      <w:r w:rsidR="001F0262" w:rsidRPr="00300918">
        <w:t>,</w:t>
      </w:r>
      <w:r w:rsidRPr="00300918">
        <w:t xml:space="preserve"> and in patients with uveitis who have active systemic disease but are on maximal systemic therapy, dexamethasone implant may replace unregistered or off-label intravitreal triamcinolone acetonide to treat ocular flare-ups in clinical practice. </w:t>
      </w:r>
      <w:r w:rsidR="006A64C0" w:rsidRPr="00300918">
        <w:t xml:space="preserve">The PBAC considered this was </w:t>
      </w:r>
      <w:r w:rsidRPr="00300918">
        <w:t xml:space="preserve">an appropriate </w:t>
      </w:r>
      <w:r w:rsidR="00BD20CB" w:rsidRPr="00300918">
        <w:t xml:space="preserve">secondary </w:t>
      </w:r>
      <w:r w:rsidR="00BA7C17" w:rsidRPr="00300918">
        <w:t>comparator.</w:t>
      </w:r>
    </w:p>
    <w:p w:rsidR="00F1629D" w:rsidRPr="00300918" w:rsidRDefault="00F1629D" w:rsidP="00F91249">
      <w:pPr>
        <w:numPr>
          <w:ilvl w:val="1"/>
          <w:numId w:val="1"/>
        </w:numPr>
        <w:ind w:left="709" w:hanging="709"/>
        <w:jc w:val="both"/>
      </w:pPr>
      <w:r w:rsidRPr="00300918">
        <w:t xml:space="preserve">The submission nominated adalimumab as a secondary </w:t>
      </w:r>
      <w:r w:rsidR="00067FB4" w:rsidRPr="00300918">
        <w:t>near</w:t>
      </w:r>
      <w:r w:rsidR="004D471C" w:rsidRPr="00300918">
        <w:t xml:space="preserve"> market </w:t>
      </w:r>
      <w:r w:rsidRPr="00300918">
        <w:t xml:space="preserve">comparator. A submission to list adalimumab for non-infectious intermediate, posterior or pan-uveitis on the PBS was rejected at the March 2017 PBAC meeting. Dexamethasone implant and adalimumab are likely to be used in different populations with non-infectious posterior segment uveitis, and as such the </w:t>
      </w:r>
      <w:r w:rsidR="00E35914" w:rsidRPr="00300918">
        <w:t xml:space="preserve">PBAC considered the </w:t>
      </w:r>
      <w:r w:rsidRPr="00300918">
        <w:t xml:space="preserve">usefulness of this comparison </w:t>
      </w:r>
      <w:r w:rsidR="003B4385" w:rsidRPr="00300918">
        <w:t xml:space="preserve">to be </w:t>
      </w:r>
      <w:r w:rsidRPr="00300918">
        <w:t xml:space="preserve">limited. </w:t>
      </w:r>
    </w:p>
    <w:p w:rsidR="00BA438A" w:rsidRPr="00300918" w:rsidRDefault="00BA438A" w:rsidP="00BA438A">
      <w:pPr>
        <w:ind w:left="720"/>
        <w:jc w:val="both"/>
      </w:pPr>
      <w:r w:rsidRPr="00300918">
        <w:rPr>
          <w:i/>
        </w:rPr>
        <w:t>For more detail on PBAC’s view, see section 7 PBAC outcome.</w:t>
      </w:r>
    </w:p>
    <w:p w:rsidR="00F1629D" w:rsidRPr="00300918" w:rsidRDefault="00F1629D" w:rsidP="00312247">
      <w:pPr>
        <w:pStyle w:val="Heading1"/>
        <w:numPr>
          <w:ilvl w:val="0"/>
          <w:numId w:val="1"/>
        </w:numPr>
        <w:ind w:left="709" w:hanging="709"/>
      </w:pPr>
      <w:bookmarkStart w:id="17" w:name="_Toc413139276"/>
      <w:bookmarkStart w:id="18" w:name="_Toc490486479"/>
      <w:bookmarkStart w:id="19" w:name="_Toc492995310"/>
      <w:r w:rsidRPr="00300918">
        <w:t>Consideration of the evidence</w:t>
      </w:r>
      <w:bookmarkEnd w:id="17"/>
      <w:bookmarkEnd w:id="18"/>
      <w:bookmarkEnd w:id="19"/>
    </w:p>
    <w:p w:rsidR="00DD53E9" w:rsidRPr="00CE03C8" w:rsidRDefault="00DD53E9" w:rsidP="00CE03C8">
      <w:pPr>
        <w:pStyle w:val="Heading2"/>
        <w:rPr>
          <w:i w:val="0"/>
        </w:rPr>
      </w:pPr>
      <w:bookmarkStart w:id="20" w:name="_Toc413139277"/>
      <w:bookmarkStart w:id="21" w:name="_Toc490486480"/>
      <w:bookmarkStart w:id="22" w:name="_Toc492995311"/>
      <w:r w:rsidRPr="00CE03C8">
        <w:rPr>
          <w:i w:val="0"/>
        </w:rPr>
        <w:t>Sponsor hearing</w:t>
      </w:r>
    </w:p>
    <w:p w:rsidR="00DD53E9" w:rsidRPr="00300918" w:rsidRDefault="00A84922" w:rsidP="005A2BFE">
      <w:pPr>
        <w:numPr>
          <w:ilvl w:val="1"/>
          <w:numId w:val="1"/>
        </w:numPr>
        <w:ind w:left="709" w:hanging="709"/>
        <w:jc w:val="both"/>
        <w:rPr>
          <w:rFonts w:cs="Arial"/>
          <w:bCs/>
          <w:snapToGrid w:val="0"/>
        </w:rPr>
      </w:pPr>
      <w:r w:rsidRPr="00300918">
        <w:rPr>
          <w:rFonts w:cs="Arial"/>
          <w:bCs/>
          <w:snapToGrid w:val="0"/>
        </w:rPr>
        <w:t>There was no hearing for this item</w:t>
      </w:r>
      <w:r w:rsidR="00DD53E9" w:rsidRPr="00300918">
        <w:rPr>
          <w:rFonts w:cs="Arial"/>
          <w:bCs/>
          <w:snapToGrid w:val="0"/>
        </w:rPr>
        <w:t>.</w:t>
      </w:r>
    </w:p>
    <w:p w:rsidR="00DD53E9" w:rsidRPr="00CE03C8" w:rsidRDefault="00DD53E9" w:rsidP="00CE03C8">
      <w:pPr>
        <w:pStyle w:val="Heading2"/>
        <w:rPr>
          <w:i w:val="0"/>
        </w:rPr>
      </w:pPr>
      <w:r w:rsidRPr="00CE03C8">
        <w:rPr>
          <w:i w:val="0"/>
        </w:rPr>
        <w:t>Consumer comments</w:t>
      </w:r>
    </w:p>
    <w:p w:rsidR="00396B61" w:rsidRPr="00300918" w:rsidRDefault="00DD53E9" w:rsidP="005A2BFE">
      <w:pPr>
        <w:numPr>
          <w:ilvl w:val="1"/>
          <w:numId w:val="1"/>
        </w:numPr>
        <w:ind w:left="709" w:hanging="709"/>
        <w:jc w:val="both"/>
        <w:rPr>
          <w:rFonts w:cs="Arial"/>
          <w:bCs/>
          <w:snapToGrid w:val="0"/>
        </w:rPr>
      </w:pPr>
      <w:r w:rsidRPr="00300918">
        <w:rPr>
          <w:rFonts w:cs="Arial"/>
          <w:bCs/>
          <w:snapToGrid w:val="0"/>
        </w:rPr>
        <w:t xml:space="preserve">The </w:t>
      </w:r>
      <w:r w:rsidR="00B11E97" w:rsidRPr="00300918">
        <w:rPr>
          <w:rFonts w:cs="Arial"/>
          <w:bCs/>
          <w:snapToGrid w:val="0"/>
        </w:rPr>
        <w:t>PBAC noted and welcomed the input from individuals (7), health care professional (1) and organisations (1) via the Consumer Comments facility on the PBS website</w:t>
      </w:r>
      <w:r w:rsidR="008E29F0">
        <w:rPr>
          <w:rFonts w:cs="Arial"/>
          <w:bCs/>
          <w:snapToGrid w:val="0"/>
        </w:rPr>
        <w:t xml:space="preserve">. </w:t>
      </w:r>
      <w:r w:rsidR="00B11E97" w:rsidRPr="00300918">
        <w:rPr>
          <w:rFonts w:cs="Arial"/>
          <w:bCs/>
          <w:snapToGrid w:val="0"/>
        </w:rPr>
        <w:t>The comments described a range of benefits of treatment with dexamethasone implant over systemic treatment and intravitreal triamcinolone</w:t>
      </w:r>
      <w:r w:rsidR="007C2F93" w:rsidRPr="00300918">
        <w:rPr>
          <w:rFonts w:cs="Arial"/>
          <w:bCs/>
          <w:snapToGrid w:val="0"/>
        </w:rPr>
        <w:t>. These</w:t>
      </w:r>
      <w:r w:rsidR="00B11E97" w:rsidRPr="00300918">
        <w:rPr>
          <w:rFonts w:cs="Arial"/>
          <w:bCs/>
          <w:snapToGrid w:val="0"/>
        </w:rPr>
        <w:t xml:space="preserve"> includ</w:t>
      </w:r>
      <w:r w:rsidR="007C2F93" w:rsidRPr="00300918">
        <w:rPr>
          <w:rFonts w:cs="Arial"/>
          <w:bCs/>
          <w:snapToGrid w:val="0"/>
        </w:rPr>
        <w:t xml:space="preserve">ed </w:t>
      </w:r>
      <w:r w:rsidR="00B11E97" w:rsidRPr="00300918">
        <w:rPr>
          <w:rFonts w:cs="Arial"/>
          <w:bCs/>
          <w:snapToGrid w:val="0"/>
        </w:rPr>
        <w:t>improvement</w:t>
      </w:r>
      <w:r w:rsidR="007C2F93" w:rsidRPr="00300918">
        <w:rPr>
          <w:rFonts w:cs="Arial"/>
          <w:bCs/>
          <w:snapToGrid w:val="0"/>
        </w:rPr>
        <w:t>s in</w:t>
      </w:r>
      <w:r w:rsidR="00B11E97" w:rsidRPr="00300918">
        <w:rPr>
          <w:rFonts w:cs="Arial"/>
          <w:bCs/>
          <w:snapToGrid w:val="0"/>
        </w:rPr>
        <w:t xml:space="preserve"> vision</w:t>
      </w:r>
      <w:r w:rsidR="007C2F93" w:rsidRPr="00300918">
        <w:rPr>
          <w:rFonts w:cs="Arial"/>
          <w:bCs/>
          <w:snapToGrid w:val="0"/>
        </w:rPr>
        <w:t xml:space="preserve"> over a </w:t>
      </w:r>
      <w:r w:rsidR="00B11E97" w:rsidRPr="00300918">
        <w:rPr>
          <w:rFonts w:cs="Arial"/>
          <w:bCs/>
          <w:snapToGrid w:val="0"/>
        </w:rPr>
        <w:t xml:space="preserve">longer duration </w:t>
      </w:r>
      <w:r w:rsidR="007C2F93" w:rsidRPr="00300918">
        <w:rPr>
          <w:rFonts w:cs="Arial"/>
          <w:bCs/>
          <w:snapToGrid w:val="0"/>
        </w:rPr>
        <w:t>along with a reduction in side</w:t>
      </w:r>
      <w:r w:rsidR="00B11E97" w:rsidRPr="00300918">
        <w:rPr>
          <w:rFonts w:cs="Arial"/>
          <w:bCs/>
          <w:snapToGrid w:val="0"/>
        </w:rPr>
        <w:t xml:space="preserve"> effects </w:t>
      </w:r>
      <w:r w:rsidR="007C2F93" w:rsidRPr="00300918">
        <w:rPr>
          <w:rFonts w:cs="Arial"/>
          <w:bCs/>
          <w:snapToGrid w:val="0"/>
        </w:rPr>
        <w:t xml:space="preserve">and the number of </w:t>
      </w:r>
      <w:r w:rsidR="00B11E97" w:rsidRPr="00300918">
        <w:rPr>
          <w:rFonts w:cs="Arial"/>
          <w:bCs/>
          <w:snapToGrid w:val="0"/>
        </w:rPr>
        <w:t>specialist</w:t>
      </w:r>
      <w:r w:rsidR="007C2F93" w:rsidRPr="00300918">
        <w:rPr>
          <w:rFonts w:cs="Arial"/>
          <w:bCs/>
          <w:snapToGrid w:val="0"/>
        </w:rPr>
        <w:t xml:space="preserve"> visits required</w:t>
      </w:r>
      <w:r w:rsidR="00B11E97" w:rsidRPr="00300918">
        <w:rPr>
          <w:rFonts w:cs="Arial"/>
          <w:bCs/>
          <w:snapToGrid w:val="0"/>
        </w:rPr>
        <w:t>.</w:t>
      </w:r>
    </w:p>
    <w:p w:rsidR="00DD53E9" w:rsidRPr="00300918" w:rsidRDefault="00DD53E9" w:rsidP="005A2BFE">
      <w:pPr>
        <w:numPr>
          <w:ilvl w:val="1"/>
          <w:numId w:val="1"/>
        </w:numPr>
        <w:ind w:left="709" w:hanging="709"/>
        <w:jc w:val="both"/>
        <w:rPr>
          <w:rFonts w:cs="Arial"/>
          <w:bCs/>
          <w:snapToGrid w:val="0"/>
        </w:rPr>
      </w:pPr>
      <w:r w:rsidRPr="00300918">
        <w:rPr>
          <w:rFonts w:cs="Arial"/>
          <w:bCs/>
          <w:snapToGrid w:val="0"/>
        </w:rPr>
        <w:t xml:space="preserve">The </w:t>
      </w:r>
      <w:r w:rsidR="00B11E97" w:rsidRPr="00300918">
        <w:rPr>
          <w:rFonts w:cs="Arial"/>
          <w:bCs/>
          <w:snapToGrid w:val="0"/>
        </w:rPr>
        <w:t xml:space="preserve">PBAC noted the correspondence received from The Royal Australian and New Zealand College of Ophthalmologists (RANZCO) supporting the use of dexamethasone implant in clinical practice. The PBAC specifically noted that uveitis is the most common cause of vision loss in people of working age. </w:t>
      </w:r>
      <w:r w:rsidR="00AB54D9" w:rsidRPr="00300918">
        <w:t>RANZCO indicated the side effect profile of dexamethasone was tolerable</w:t>
      </w:r>
      <w:r w:rsidR="00B11E97" w:rsidRPr="00300918">
        <w:rPr>
          <w:rFonts w:cs="Arial"/>
          <w:bCs/>
          <w:snapToGrid w:val="0"/>
        </w:rPr>
        <w:t>, and the medication lasts for between 4</w:t>
      </w:r>
      <w:r w:rsidR="007C2F93" w:rsidRPr="00300918">
        <w:rPr>
          <w:rFonts w:cs="Arial"/>
          <w:bCs/>
          <w:snapToGrid w:val="0"/>
        </w:rPr>
        <w:t>–</w:t>
      </w:r>
      <w:r w:rsidR="00B11E97" w:rsidRPr="00300918">
        <w:rPr>
          <w:rFonts w:cs="Arial"/>
          <w:bCs/>
          <w:snapToGrid w:val="0"/>
        </w:rPr>
        <w:t xml:space="preserve">6 months. Additionally, </w:t>
      </w:r>
      <w:r w:rsidR="007C2F93" w:rsidRPr="00300918">
        <w:rPr>
          <w:rFonts w:cs="Arial"/>
          <w:bCs/>
          <w:snapToGrid w:val="0"/>
        </w:rPr>
        <w:t xml:space="preserve">RANZCO indicated that </w:t>
      </w:r>
      <w:r w:rsidR="00B11E97" w:rsidRPr="00300918">
        <w:rPr>
          <w:rFonts w:cs="Arial"/>
          <w:bCs/>
          <w:snapToGrid w:val="0"/>
        </w:rPr>
        <w:t>the slow release profile of this drug is particularly useful in patients who have had a vitrectomy. The PBAC noted that this advice was supportive of the evidence provided in the submission.</w:t>
      </w:r>
    </w:p>
    <w:p w:rsidR="00F1629D" w:rsidRPr="00300918" w:rsidRDefault="00F1629D" w:rsidP="00944061">
      <w:pPr>
        <w:pStyle w:val="Heading2"/>
        <w:rPr>
          <w:i w:val="0"/>
        </w:rPr>
      </w:pPr>
      <w:r w:rsidRPr="00300918">
        <w:rPr>
          <w:i w:val="0"/>
        </w:rPr>
        <w:t>Clinical trials</w:t>
      </w:r>
      <w:bookmarkEnd w:id="20"/>
      <w:bookmarkEnd w:id="21"/>
      <w:bookmarkEnd w:id="22"/>
    </w:p>
    <w:p w:rsidR="00F1629D" w:rsidRPr="00300918" w:rsidRDefault="00F1629D" w:rsidP="005A2BFE">
      <w:pPr>
        <w:numPr>
          <w:ilvl w:val="1"/>
          <w:numId w:val="1"/>
        </w:numPr>
        <w:ind w:left="709" w:hanging="709"/>
        <w:jc w:val="both"/>
      </w:pPr>
      <w:r w:rsidRPr="00300918">
        <w:t xml:space="preserve">The submission is based on one head-to-head randomised trial comparing </w:t>
      </w:r>
      <w:r w:rsidR="00E06BC4" w:rsidRPr="00300918">
        <w:t xml:space="preserve">a single </w:t>
      </w:r>
      <w:r w:rsidRPr="00300918">
        <w:t xml:space="preserve">dexamethasone implant to placebo (sham) in patients with non-infectious posterior segment uveitis (HURON). </w:t>
      </w:r>
    </w:p>
    <w:p w:rsidR="00F1629D" w:rsidRPr="00300918" w:rsidRDefault="00F1629D" w:rsidP="005A2BFE">
      <w:pPr>
        <w:numPr>
          <w:ilvl w:val="1"/>
          <w:numId w:val="1"/>
        </w:numPr>
        <w:ind w:left="709" w:hanging="709"/>
        <w:jc w:val="both"/>
        <w:rPr>
          <w:rFonts w:ascii="Calibri" w:hAnsi="Calibri"/>
        </w:rPr>
      </w:pPr>
      <w:r w:rsidRPr="00300918">
        <w:rPr>
          <w:rFonts w:cs="Arial"/>
          <w:bCs/>
          <w:snapToGrid w:val="0"/>
        </w:rPr>
        <w:t>The</w:t>
      </w:r>
      <w:r w:rsidRPr="00300918">
        <w:rPr>
          <w:rFonts w:ascii="Calibri" w:hAnsi="Calibri"/>
        </w:rPr>
        <w:t xml:space="preserve"> submission also included two supplementary comparisons:</w:t>
      </w:r>
    </w:p>
    <w:p w:rsidR="00F1629D" w:rsidRPr="00300918" w:rsidRDefault="00F1629D" w:rsidP="00B83B6E">
      <w:pPr>
        <w:numPr>
          <w:ilvl w:val="1"/>
          <w:numId w:val="12"/>
        </w:numPr>
        <w:ind w:hanging="437"/>
        <w:jc w:val="both"/>
        <w:rPr>
          <w:rFonts w:ascii="Calibri" w:hAnsi="Calibri"/>
        </w:rPr>
      </w:pPr>
      <w:r w:rsidRPr="00300918">
        <w:rPr>
          <w:rFonts w:ascii="Calibri" w:hAnsi="Calibri"/>
        </w:rPr>
        <w:t>Indirect comparison of dexamethasone implant to intravitreal triamcinolone acetonide (Shin et al., 2015) in non-infectious posterior segment uveitis.</w:t>
      </w:r>
    </w:p>
    <w:p w:rsidR="00F1629D" w:rsidRPr="00300918" w:rsidRDefault="00F1629D" w:rsidP="00B83B6E">
      <w:pPr>
        <w:numPr>
          <w:ilvl w:val="1"/>
          <w:numId w:val="12"/>
        </w:numPr>
        <w:spacing w:before="0" w:after="120"/>
        <w:ind w:hanging="437"/>
        <w:jc w:val="both"/>
        <w:rPr>
          <w:rFonts w:ascii="Calibri" w:hAnsi="Calibri"/>
        </w:rPr>
      </w:pPr>
      <w:r w:rsidRPr="00300918">
        <w:rPr>
          <w:rFonts w:ascii="Calibri" w:hAnsi="Calibri"/>
        </w:rPr>
        <w:t xml:space="preserve">Indirect comparison of dexamethasone implant to adalimumab (VISUAL I) in non-infectious posterior segment uveitis. </w:t>
      </w:r>
    </w:p>
    <w:p w:rsidR="00F1629D" w:rsidRPr="00300918" w:rsidRDefault="00F1629D" w:rsidP="005A2BFE">
      <w:pPr>
        <w:numPr>
          <w:ilvl w:val="1"/>
          <w:numId w:val="1"/>
        </w:numPr>
        <w:ind w:left="709" w:hanging="709"/>
        <w:jc w:val="both"/>
      </w:pPr>
      <w:r w:rsidRPr="00300918">
        <w:t xml:space="preserve">Details of the trials presented in the submission are provided in the table below. </w:t>
      </w:r>
    </w:p>
    <w:p w:rsidR="00CE03C8" w:rsidRDefault="00CE03C8">
      <w:pPr>
        <w:spacing w:before="0" w:line="259" w:lineRule="auto"/>
        <w:rPr>
          <w:rFonts w:ascii="Arial Narrow" w:hAnsi="Arial Narrow"/>
          <w:b/>
          <w:sz w:val="20"/>
        </w:rPr>
      </w:pPr>
      <w:r>
        <w:rPr>
          <w:rFonts w:ascii="Arial Narrow" w:hAnsi="Arial Narrow"/>
          <w:b/>
          <w:sz w:val="20"/>
        </w:rPr>
        <w:br w:type="page"/>
      </w:r>
    </w:p>
    <w:p w:rsidR="00F1629D" w:rsidRPr="00300918" w:rsidRDefault="00F1629D" w:rsidP="00F1629D">
      <w:pPr>
        <w:spacing w:before="0" w:after="60"/>
        <w:rPr>
          <w:rFonts w:ascii="Arial Narrow" w:hAnsi="Arial Narrow"/>
          <w:b/>
          <w:sz w:val="20"/>
        </w:rPr>
      </w:pPr>
      <w:r w:rsidRPr="00300918">
        <w:rPr>
          <w:rFonts w:ascii="Arial Narrow" w:hAnsi="Arial Narrow"/>
          <w:b/>
          <w:sz w:val="20"/>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4390"/>
        <w:gridCol w:w="2959"/>
      </w:tblGrid>
      <w:tr w:rsidR="00F1629D" w:rsidRPr="00300918" w:rsidTr="00F1629D">
        <w:trPr>
          <w:cantSplit/>
        </w:trPr>
        <w:tc>
          <w:tcPr>
            <w:tcW w:w="954" w:type="pct"/>
          </w:tcPr>
          <w:p w:rsidR="00F1629D" w:rsidRPr="00300918" w:rsidRDefault="00F1629D" w:rsidP="00F1629D">
            <w:pPr>
              <w:spacing w:before="40" w:after="40"/>
              <w:rPr>
                <w:rFonts w:ascii="Arial Narrow" w:hAnsi="Arial Narrow"/>
                <w:b/>
                <w:sz w:val="20"/>
              </w:rPr>
            </w:pPr>
            <w:r w:rsidRPr="00300918">
              <w:rPr>
                <w:rFonts w:ascii="Arial Narrow" w:hAnsi="Arial Narrow"/>
                <w:b/>
                <w:sz w:val="20"/>
              </w:rPr>
              <w:t>Trial ID</w:t>
            </w:r>
          </w:p>
        </w:tc>
        <w:tc>
          <w:tcPr>
            <w:tcW w:w="2417" w:type="pct"/>
          </w:tcPr>
          <w:p w:rsidR="00F1629D" w:rsidRPr="00300918" w:rsidRDefault="00F1629D" w:rsidP="00F1629D">
            <w:pPr>
              <w:spacing w:before="40" w:after="40"/>
              <w:rPr>
                <w:rFonts w:ascii="Arial Narrow" w:hAnsi="Arial Narrow"/>
                <w:b/>
                <w:sz w:val="20"/>
              </w:rPr>
            </w:pPr>
            <w:r w:rsidRPr="00300918">
              <w:rPr>
                <w:rFonts w:ascii="Arial Narrow" w:hAnsi="Arial Narrow"/>
                <w:b/>
                <w:sz w:val="20"/>
              </w:rPr>
              <w:t>Protocol title/ Publication title</w:t>
            </w:r>
          </w:p>
        </w:tc>
        <w:tc>
          <w:tcPr>
            <w:tcW w:w="1628" w:type="pct"/>
          </w:tcPr>
          <w:p w:rsidR="00F1629D" w:rsidRPr="00300918" w:rsidRDefault="00F1629D" w:rsidP="00F1629D">
            <w:pPr>
              <w:spacing w:before="40" w:after="40"/>
              <w:rPr>
                <w:rFonts w:ascii="Arial Narrow" w:hAnsi="Arial Narrow"/>
                <w:b/>
                <w:sz w:val="20"/>
              </w:rPr>
            </w:pPr>
            <w:r w:rsidRPr="00300918">
              <w:rPr>
                <w:rFonts w:ascii="Arial Narrow" w:hAnsi="Arial Narrow"/>
                <w:b/>
                <w:sz w:val="20"/>
              </w:rPr>
              <w:t>Publication citation</w:t>
            </w:r>
          </w:p>
        </w:tc>
      </w:tr>
      <w:tr w:rsidR="00F1629D" w:rsidRPr="00300918" w:rsidTr="00F1629D">
        <w:trPr>
          <w:cantSplit/>
        </w:trPr>
        <w:tc>
          <w:tcPr>
            <w:tcW w:w="5000" w:type="pct"/>
            <w:gridSpan w:val="3"/>
            <w:tcBorders>
              <w:bottom w:val="single" w:sz="4" w:space="0" w:color="auto"/>
            </w:tcBorders>
          </w:tcPr>
          <w:p w:rsidR="00F1629D" w:rsidRPr="00300918" w:rsidRDefault="00F1629D" w:rsidP="00F1629D">
            <w:pPr>
              <w:spacing w:before="40" w:after="40"/>
              <w:rPr>
                <w:rFonts w:ascii="Arial Narrow" w:hAnsi="Arial Narrow"/>
                <w:b/>
                <w:sz w:val="20"/>
              </w:rPr>
            </w:pPr>
            <w:r w:rsidRPr="00300918">
              <w:rPr>
                <w:rFonts w:ascii="Arial Narrow" w:hAnsi="Arial Narrow"/>
                <w:b/>
                <w:sz w:val="20"/>
              </w:rPr>
              <w:t>Direct randomised trial</w:t>
            </w:r>
          </w:p>
        </w:tc>
      </w:tr>
      <w:tr w:rsidR="00F1629D" w:rsidRPr="00300918" w:rsidTr="00F1629D">
        <w:trPr>
          <w:cantSplit/>
        </w:trPr>
        <w:tc>
          <w:tcPr>
            <w:tcW w:w="954" w:type="pct"/>
            <w:tcBorders>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HURON (Trial 014)</w:t>
            </w:r>
          </w:p>
        </w:tc>
        <w:tc>
          <w:tcPr>
            <w:tcW w:w="2417" w:type="pct"/>
            <w:tcBorders>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 xml:space="preserve">Clinical Study Report 206207-0 14: An 8-Week, Multicentre, Masked, Randomized Trial (with an 18-Week Masked Extension) to Assess the Safety and Efficacy of 700 µg and 350 µg Dexamethasone Posterior Segment Drug Delivery System (DEX PS DDS) Applicator System Compared with Sham DEX PS DDS Applicator System in the Treatment of Non Infectious Ocular Inflammation of the Posterior Segment in Patients with Intermediate or Posterior Uveitis </w:t>
            </w:r>
          </w:p>
        </w:tc>
        <w:tc>
          <w:tcPr>
            <w:tcW w:w="1628" w:type="pct"/>
            <w:tcBorders>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22 September 2009</w:t>
            </w:r>
          </w:p>
          <w:p w:rsidR="00F1629D" w:rsidRPr="00300918" w:rsidRDefault="00F1629D" w:rsidP="00F1629D">
            <w:pPr>
              <w:spacing w:before="40" w:after="40"/>
              <w:rPr>
                <w:rFonts w:ascii="Arial Narrow" w:hAnsi="Arial Narrow"/>
                <w:sz w:val="20"/>
              </w:rPr>
            </w:pPr>
          </w:p>
        </w:tc>
      </w:tr>
      <w:tr w:rsidR="00F1629D" w:rsidRPr="00300918" w:rsidTr="00F1629D">
        <w:trPr>
          <w:cantSplit/>
        </w:trPr>
        <w:tc>
          <w:tcPr>
            <w:tcW w:w="954" w:type="pct"/>
            <w:tcBorders>
              <w:top w:val="nil"/>
              <w:bottom w:val="nil"/>
            </w:tcBorders>
          </w:tcPr>
          <w:p w:rsidR="00F1629D" w:rsidRPr="00300918" w:rsidRDefault="00F1629D" w:rsidP="00F1629D">
            <w:pPr>
              <w:spacing w:before="40" w:after="40"/>
              <w:rPr>
                <w:rFonts w:ascii="Arial Narrow" w:hAnsi="Arial Narrow"/>
                <w:sz w:val="20"/>
              </w:rPr>
            </w:pPr>
          </w:p>
        </w:tc>
        <w:tc>
          <w:tcPr>
            <w:tcW w:w="2417" w:type="pct"/>
            <w:tcBorders>
              <w:top w:val="nil"/>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 xml:space="preserve">Lowder et al. Dexamethasone Intravitreal Implant for Non-infectious Intermediate or Posterior Uveitis </w:t>
            </w:r>
          </w:p>
        </w:tc>
        <w:tc>
          <w:tcPr>
            <w:tcW w:w="1628" w:type="pct"/>
            <w:tcBorders>
              <w:top w:val="nil"/>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Arch Ophthalmol. 2011;129(5):545-553</w:t>
            </w:r>
          </w:p>
          <w:p w:rsidR="00F1629D" w:rsidRPr="00300918" w:rsidRDefault="00F1629D" w:rsidP="00F1629D">
            <w:pPr>
              <w:spacing w:before="40" w:after="40"/>
              <w:rPr>
                <w:rFonts w:ascii="Arial Narrow" w:hAnsi="Arial Narrow"/>
                <w:sz w:val="20"/>
              </w:rPr>
            </w:pPr>
          </w:p>
        </w:tc>
      </w:tr>
      <w:tr w:rsidR="00F1629D" w:rsidRPr="00300918" w:rsidTr="00F1629D">
        <w:trPr>
          <w:cantSplit/>
        </w:trPr>
        <w:tc>
          <w:tcPr>
            <w:tcW w:w="954" w:type="pct"/>
            <w:tcBorders>
              <w:top w:val="nil"/>
              <w:bottom w:val="nil"/>
            </w:tcBorders>
          </w:tcPr>
          <w:p w:rsidR="00F1629D" w:rsidRPr="00300918" w:rsidRDefault="00F1629D" w:rsidP="00F1629D">
            <w:pPr>
              <w:spacing w:before="40" w:after="40"/>
              <w:rPr>
                <w:rFonts w:ascii="Arial Narrow" w:hAnsi="Arial Narrow"/>
                <w:sz w:val="20"/>
              </w:rPr>
            </w:pPr>
          </w:p>
        </w:tc>
        <w:tc>
          <w:tcPr>
            <w:tcW w:w="2417" w:type="pct"/>
            <w:tcBorders>
              <w:top w:val="nil"/>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Lightman et al. Vision-Related Functioning Outcomes of Dexamethasone Intravitreal Implant in Noninfectious Intermediate or Posterior Uveitis</w:t>
            </w:r>
          </w:p>
        </w:tc>
        <w:tc>
          <w:tcPr>
            <w:tcW w:w="1628" w:type="pct"/>
            <w:tcBorders>
              <w:top w:val="nil"/>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Invest Ophthalmol Vis Sci. 2013;54:4864–4870</w:t>
            </w:r>
          </w:p>
          <w:p w:rsidR="00F1629D" w:rsidRPr="00300918" w:rsidRDefault="00F1629D" w:rsidP="00F1629D">
            <w:pPr>
              <w:spacing w:before="40" w:after="40"/>
              <w:rPr>
                <w:rFonts w:ascii="Arial Narrow" w:hAnsi="Arial Narrow"/>
                <w:sz w:val="20"/>
              </w:rPr>
            </w:pPr>
          </w:p>
        </w:tc>
      </w:tr>
      <w:tr w:rsidR="00F1629D" w:rsidRPr="00300918" w:rsidTr="00F1629D">
        <w:trPr>
          <w:cantSplit/>
        </w:trPr>
        <w:tc>
          <w:tcPr>
            <w:tcW w:w="954" w:type="pct"/>
            <w:tcBorders>
              <w:top w:val="nil"/>
            </w:tcBorders>
          </w:tcPr>
          <w:p w:rsidR="00F1629D" w:rsidRPr="00300918" w:rsidRDefault="00F1629D" w:rsidP="00F1629D">
            <w:pPr>
              <w:spacing w:before="40" w:after="40"/>
              <w:rPr>
                <w:rFonts w:ascii="Arial Narrow" w:hAnsi="Arial Narrow"/>
                <w:sz w:val="20"/>
              </w:rPr>
            </w:pPr>
          </w:p>
        </w:tc>
        <w:tc>
          <w:tcPr>
            <w:tcW w:w="2417" w:type="pct"/>
            <w:tcBorders>
              <w:top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Naik et al. Normative Comparison of Patient-Reported Outcomes in Patients With Noninfectious Uveitis</w:t>
            </w:r>
          </w:p>
        </w:tc>
        <w:tc>
          <w:tcPr>
            <w:tcW w:w="1628" w:type="pct"/>
            <w:tcBorders>
              <w:top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JAMA Ophthalmol. 2013;131(2):219-225</w:t>
            </w:r>
          </w:p>
        </w:tc>
      </w:tr>
      <w:tr w:rsidR="00F1629D" w:rsidRPr="00300918" w:rsidTr="00F1629D">
        <w:trPr>
          <w:cantSplit/>
        </w:trPr>
        <w:tc>
          <w:tcPr>
            <w:tcW w:w="5000" w:type="pct"/>
            <w:gridSpan w:val="3"/>
            <w:tcBorders>
              <w:bottom w:val="single" w:sz="4" w:space="0" w:color="auto"/>
            </w:tcBorders>
          </w:tcPr>
          <w:p w:rsidR="00F1629D" w:rsidRPr="00300918" w:rsidRDefault="00F1629D" w:rsidP="00F1629D">
            <w:pPr>
              <w:spacing w:before="40" w:after="40"/>
              <w:rPr>
                <w:rFonts w:ascii="Arial Narrow" w:hAnsi="Arial Narrow"/>
                <w:b/>
                <w:sz w:val="20"/>
              </w:rPr>
            </w:pPr>
            <w:r w:rsidRPr="00300918">
              <w:rPr>
                <w:rFonts w:ascii="Arial Narrow" w:hAnsi="Arial Narrow"/>
                <w:b/>
                <w:sz w:val="20"/>
              </w:rPr>
              <w:t>Supplementary randomised trials</w:t>
            </w:r>
          </w:p>
        </w:tc>
      </w:tr>
      <w:tr w:rsidR="00F1629D" w:rsidRPr="00300918" w:rsidTr="00F1629D">
        <w:trPr>
          <w:cantSplit/>
        </w:trPr>
        <w:tc>
          <w:tcPr>
            <w:tcW w:w="954" w:type="pct"/>
            <w:tcBorders>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VISUAL I</w:t>
            </w:r>
          </w:p>
        </w:tc>
        <w:tc>
          <w:tcPr>
            <w:tcW w:w="2417" w:type="pct"/>
            <w:tcBorders>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Jaffe et al. Adalimumab in Patients with Active Noninfectious Uveitis</w:t>
            </w:r>
          </w:p>
        </w:tc>
        <w:tc>
          <w:tcPr>
            <w:tcW w:w="1628" w:type="pct"/>
            <w:tcBorders>
              <w:bottom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N Engl J Med 2016;375:932-43</w:t>
            </w:r>
          </w:p>
        </w:tc>
      </w:tr>
      <w:tr w:rsidR="00F1629D" w:rsidRPr="00300918" w:rsidTr="00F1629D">
        <w:trPr>
          <w:cantSplit/>
        </w:trPr>
        <w:tc>
          <w:tcPr>
            <w:tcW w:w="954" w:type="pct"/>
            <w:tcBorders>
              <w:top w:val="nil"/>
            </w:tcBorders>
          </w:tcPr>
          <w:p w:rsidR="00F1629D" w:rsidRPr="00300918" w:rsidRDefault="00F1629D" w:rsidP="00F1629D">
            <w:pPr>
              <w:spacing w:before="40" w:after="40"/>
              <w:rPr>
                <w:rFonts w:ascii="Arial Narrow" w:hAnsi="Arial Narrow"/>
                <w:sz w:val="20"/>
              </w:rPr>
            </w:pPr>
          </w:p>
        </w:tc>
        <w:tc>
          <w:tcPr>
            <w:tcW w:w="2417" w:type="pct"/>
            <w:tcBorders>
              <w:top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Sheppard et al. Effect of Adalimumab on Visual Functioning in Patients With Noninfectious Intermediate Uveitis, Posterior Uveitis, and Panuveitis in the VISUAL-1 and VISUAL-2 Trials</w:t>
            </w:r>
          </w:p>
        </w:tc>
        <w:tc>
          <w:tcPr>
            <w:tcW w:w="1628" w:type="pct"/>
            <w:tcBorders>
              <w:top w:val="nil"/>
            </w:tcBorders>
          </w:tcPr>
          <w:p w:rsidR="00F1629D" w:rsidRPr="00300918" w:rsidRDefault="00F1629D" w:rsidP="00F1629D">
            <w:pPr>
              <w:spacing w:before="40" w:after="40"/>
              <w:rPr>
                <w:rFonts w:ascii="Arial Narrow" w:hAnsi="Arial Narrow"/>
                <w:sz w:val="20"/>
              </w:rPr>
            </w:pPr>
            <w:r w:rsidRPr="00300918">
              <w:rPr>
                <w:rFonts w:ascii="Arial Narrow" w:hAnsi="Arial Narrow"/>
                <w:sz w:val="20"/>
              </w:rPr>
              <w:t>JAMA Ophthalmol. 2017. doi:10.1001/jamaophthalmol.2017.0603</w:t>
            </w:r>
          </w:p>
        </w:tc>
      </w:tr>
      <w:tr w:rsidR="00F1629D" w:rsidRPr="00300918" w:rsidTr="00F1629D">
        <w:trPr>
          <w:cantSplit/>
        </w:trPr>
        <w:tc>
          <w:tcPr>
            <w:tcW w:w="954" w:type="pct"/>
          </w:tcPr>
          <w:p w:rsidR="00F1629D" w:rsidRPr="00300918" w:rsidRDefault="00F1629D" w:rsidP="00F1629D">
            <w:pPr>
              <w:spacing w:before="40" w:after="40"/>
              <w:rPr>
                <w:rFonts w:ascii="Arial Narrow" w:hAnsi="Arial Narrow"/>
                <w:sz w:val="20"/>
              </w:rPr>
            </w:pPr>
            <w:r w:rsidRPr="00300918">
              <w:rPr>
                <w:rFonts w:ascii="Arial Narrow" w:hAnsi="Arial Narrow"/>
                <w:sz w:val="20"/>
              </w:rPr>
              <w:t>Shin et al. 2015</w:t>
            </w:r>
          </w:p>
        </w:tc>
        <w:tc>
          <w:tcPr>
            <w:tcW w:w="2417" w:type="pct"/>
          </w:tcPr>
          <w:p w:rsidR="00F1629D" w:rsidRPr="00300918" w:rsidRDefault="00F1629D" w:rsidP="00F1629D">
            <w:pPr>
              <w:spacing w:before="40" w:after="40"/>
              <w:rPr>
                <w:rFonts w:ascii="Arial Narrow" w:hAnsi="Arial Narrow"/>
                <w:sz w:val="20"/>
              </w:rPr>
            </w:pPr>
            <w:r w:rsidRPr="00300918">
              <w:rPr>
                <w:rFonts w:ascii="Arial Narrow" w:hAnsi="Arial Narrow"/>
                <w:sz w:val="20"/>
              </w:rPr>
              <w:t>Intravitreal Triamcinolone Injection for Uveitic Macular Edema: A Randomized Clinical Study</w:t>
            </w:r>
          </w:p>
        </w:tc>
        <w:tc>
          <w:tcPr>
            <w:tcW w:w="1628" w:type="pct"/>
          </w:tcPr>
          <w:p w:rsidR="00F1629D" w:rsidRPr="00300918" w:rsidRDefault="00F1629D" w:rsidP="00F1629D">
            <w:pPr>
              <w:spacing w:before="40" w:after="40"/>
              <w:rPr>
                <w:rFonts w:ascii="Arial Narrow" w:hAnsi="Arial Narrow"/>
                <w:sz w:val="20"/>
              </w:rPr>
            </w:pPr>
            <w:r w:rsidRPr="00300918">
              <w:rPr>
                <w:rFonts w:ascii="Arial Narrow" w:hAnsi="Arial Narrow"/>
                <w:sz w:val="20"/>
              </w:rPr>
              <w:t>Ocular Immunology &amp; Inflammation 2015; 23(6):430–436</w:t>
            </w:r>
          </w:p>
        </w:tc>
      </w:tr>
    </w:tbl>
    <w:p w:rsidR="00F1629D" w:rsidRPr="00300918" w:rsidRDefault="00F1629D" w:rsidP="00F1629D">
      <w:pPr>
        <w:widowControl w:val="0"/>
        <w:spacing w:before="0" w:after="12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Source: Table 2-3, p.41 of the submission; Table 3, p.8 of Appendix 1 of the submission; and Table 3, p.6 of Appendix 2 of the submission</w:t>
      </w:r>
    </w:p>
    <w:p w:rsidR="00F8690E" w:rsidRPr="00300918" w:rsidRDefault="00F8690E" w:rsidP="00F1629D">
      <w:pPr>
        <w:widowControl w:val="0"/>
        <w:spacing w:before="0" w:after="120"/>
        <w:contextualSpacing/>
        <w:jc w:val="both"/>
        <w:rPr>
          <w:rFonts w:ascii="Arial Narrow" w:eastAsia="Times New Roman" w:hAnsi="Arial Narrow" w:cs="Arial"/>
          <w:snapToGrid w:val="0"/>
          <w:sz w:val="18"/>
          <w:szCs w:val="20"/>
        </w:rPr>
      </w:pPr>
    </w:p>
    <w:p w:rsidR="00F1629D" w:rsidRPr="00300918" w:rsidRDefault="00F1629D" w:rsidP="00564892">
      <w:pPr>
        <w:numPr>
          <w:ilvl w:val="1"/>
          <w:numId w:val="1"/>
        </w:numPr>
        <w:ind w:left="709" w:hanging="709"/>
        <w:jc w:val="both"/>
      </w:pPr>
      <w:r w:rsidRPr="00300918">
        <w:t xml:space="preserve">The </w:t>
      </w:r>
      <w:r w:rsidRPr="00300918">
        <w:rPr>
          <w:rFonts w:cs="Arial"/>
          <w:bCs/>
          <w:snapToGrid w:val="0"/>
        </w:rPr>
        <w:t>key</w:t>
      </w:r>
      <w:r w:rsidRPr="00300918">
        <w:t xml:space="preserve"> features of the direct randomised trials are summarised in the table below</w:t>
      </w:r>
      <w:r w:rsidR="008E29F0">
        <w:t xml:space="preserve">. </w:t>
      </w:r>
    </w:p>
    <w:p w:rsidR="00F1629D" w:rsidRPr="00300918" w:rsidRDefault="00F1629D" w:rsidP="00F1629D">
      <w:pPr>
        <w:keepNext/>
        <w:spacing w:before="0" w:after="60"/>
        <w:rPr>
          <w:rFonts w:ascii="Arial Narrow" w:hAnsi="Arial Narrow"/>
          <w:b/>
          <w:sz w:val="20"/>
        </w:rPr>
      </w:pPr>
      <w:r w:rsidRPr="00300918">
        <w:rPr>
          <w:rFonts w:ascii="Arial Narrow" w:hAnsi="Arial Narrow"/>
          <w:b/>
          <w:sz w:val="20"/>
        </w:rPr>
        <w:t>Table 3: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9"/>
        <w:gridCol w:w="425"/>
        <w:gridCol w:w="1134"/>
        <w:gridCol w:w="992"/>
        <w:gridCol w:w="1701"/>
        <w:gridCol w:w="1985"/>
        <w:gridCol w:w="1966"/>
      </w:tblGrid>
      <w:tr w:rsidR="00F1629D" w:rsidRPr="00300918" w:rsidTr="00F1629D">
        <w:tc>
          <w:tcPr>
            <w:tcW w:w="879" w:type="dxa"/>
            <w:shd w:val="clear" w:color="auto" w:fill="auto"/>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Trial</w:t>
            </w:r>
          </w:p>
        </w:tc>
        <w:tc>
          <w:tcPr>
            <w:tcW w:w="425" w:type="dxa"/>
            <w:shd w:val="clear" w:color="auto" w:fill="auto"/>
            <w:vAlign w:val="center"/>
          </w:tcPr>
          <w:p w:rsidR="00F1629D" w:rsidRPr="00300918" w:rsidRDefault="00F1629D" w:rsidP="00F1629D">
            <w:pPr>
              <w:keepNext/>
              <w:spacing w:before="40" w:after="40"/>
              <w:jc w:val="center"/>
              <w:rPr>
                <w:rFonts w:ascii="Arial Narrow" w:hAnsi="Arial Narrow"/>
                <w:b/>
                <w:sz w:val="20"/>
              </w:rPr>
            </w:pPr>
            <w:r w:rsidRPr="00300918">
              <w:rPr>
                <w:rFonts w:ascii="Arial Narrow" w:hAnsi="Arial Narrow"/>
                <w:b/>
                <w:sz w:val="20"/>
              </w:rPr>
              <w:t>N</w:t>
            </w:r>
          </w:p>
        </w:tc>
        <w:tc>
          <w:tcPr>
            <w:tcW w:w="1134" w:type="dxa"/>
            <w:shd w:val="clear" w:color="auto" w:fill="auto"/>
            <w:vAlign w:val="center"/>
          </w:tcPr>
          <w:p w:rsidR="00F1629D" w:rsidRPr="00300918" w:rsidRDefault="00F1629D" w:rsidP="00F1629D">
            <w:pPr>
              <w:keepNext/>
              <w:spacing w:before="40" w:after="40"/>
              <w:jc w:val="center"/>
              <w:rPr>
                <w:rFonts w:ascii="Arial Narrow" w:hAnsi="Arial Narrow"/>
                <w:b/>
                <w:sz w:val="20"/>
              </w:rPr>
            </w:pPr>
            <w:r w:rsidRPr="00300918">
              <w:rPr>
                <w:rFonts w:ascii="Arial Narrow" w:hAnsi="Arial Narrow"/>
                <w:b/>
                <w:sz w:val="20"/>
              </w:rPr>
              <w:t>Design/ duration of follow-up</w:t>
            </w:r>
          </w:p>
        </w:tc>
        <w:tc>
          <w:tcPr>
            <w:tcW w:w="992" w:type="dxa"/>
            <w:shd w:val="clear" w:color="auto" w:fill="auto"/>
            <w:vAlign w:val="center"/>
          </w:tcPr>
          <w:p w:rsidR="00F1629D" w:rsidRPr="00300918" w:rsidRDefault="00F1629D" w:rsidP="00F1629D">
            <w:pPr>
              <w:keepNext/>
              <w:spacing w:before="40" w:after="40"/>
              <w:jc w:val="center"/>
              <w:rPr>
                <w:rFonts w:ascii="Arial Narrow" w:hAnsi="Arial Narrow"/>
                <w:b/>
                <w:sz w:val="20"/>
              </w:rPr>
            </w:pPr>
            <w:r w:rsidRPr="00300918">
              <w:rPr>
                <w:rFonts w:ascii="Arial Narrow" w:hAnsi="Arial Narrow"/>
                <w:b/>
                <w:sz w:val="20"/>
              </w:rPr>
              <w:t>Risk of bias</w:t>
            </w:r>
          </w:p>
        </w:tc>
        <w:tc>
          <w:tcPr>
            <w:tcW w:w="1701" w:type="dxa"/>
            <w:shd w:val="clear" w:color="auto" w:fill="auto"/>
            <w:vAlign w:val="center"/>
          </w:tcPr>
          <w:p w:rsidR="00F1629D" w:rsidRPr="00300918" w:rsidRDefault="00F1629D" w:rsidP="00F1629D">
            <w:pPr>
              <w:keepNext/>
              <w:spacing w:before="40" w:after="40"/>
              <w:jc w:val="center"/>
              <w:rPr>
                <w:rFonts w:ascii="Arial Narrow" w:hAnsi="Arial Narrow"/>
                <w:b/>
                <w:sz w:val="20"/>
              </w:rPr>
            </w:pPr>
            <w:r w:rsidRPr="00300918">
              <w:rPr>
                <w:rFonts w:ascii="Arial Narrow" w:hAnsi="Arial Narrow"/>
                <w:b/>
                <w:sz w:val="20"/>
              </w:rPr>
              <w:t>Patient population</w:t>
            </w:r>
          </w:p>
        </w:tc>
        <w:tc>
          <w:tcPr>
            <w:tcW w:w="1985" w:type="dxa"/>
            <w:shd w:val="clear" w:color="auto" w:fill="auto"/>
            <w:vAlign w:val="center"/>
          </w:tcPr>
          <w:p w:rsidR="00F1629D" w:rsidRPr="00300918" w:rsidRDefault="00F1629D" w:rsidP="00F1629D">
            <w:pPr>
              <w:keepNext/>
              <w:spacing w:before="40" w:after="40"/>
              <w:jc w:val="center"/>
              <w:rPr>
                <w:rFonts w:ascii="Arial Narrow" w:hAnsi="Arial Narrow"/>
                <w:b/>
                <w:sz w:val="20"/>
              </w:rPr>
            </w:pPr>
            <w:r w:rsidRPr="00300918">
              <w:rPr>
                <w:rFonts w:ascii="Arial Narrow" w:hAnsi="Arial Narrow"/>
                <w:b/>
                <w:sz w:val="20"/>
              </w:rPr>
              <w:t>Outcomes</w:t>
            </w:r>
          </w:p>
        </w:tc>
        <w:tc>
          <w:tcPr>
            <w:tcW w:w="1966" w:type="dxa"/>
            <w:shd w:val="clear" w:color="auto" w:fill="auto"/>
            <w:vAlign w:val="center"/>
          </w:tcPr>
          <w:p w:rsidR="00F1629D" w:rsidRPr="00300918" w:rsidRDefault="00F1629D" w:rsidP="00F1629D">
            <w:pPr>
              <w:keepNext/>
              <w:spacing w:before="40" w:after="40"/>
              <w:jc w:val="center"/>
              <w:rPr>
                <w:rFonts w:ascii="Arial Narrow" w:hAnsi="Arial Narrow"/>
                <w:b/>
                <w:sz w:val="20"/>
              </w:rPr>
            </w:pPr>
            <w:r w:rsidRPr="00300918">
              <w:rPr>
                <w:rFonts w:ascii="Arial Narrow" w:hAnsi="Arial Narrow"/>
                <w:b/>
                <w:sz w:val="20"/>
              </w:rPr>
              <w:t>Use in modelled evaluation</w:t>
            </w:r>
          </w:p>
        </w:tc>
      </w:tr>
      <w:tr w:rsidR="00F1629D" w:rsidRPr="00300918" w:rsidTr="00F1629D">
        <w:tc>
          <w:tcPr>
            <w:tcW w:w="0" w:type="auto"/>
            <w:gridSpan w:val="7"/>
            <w:shd w:val="clear" w:color="auto" w:fill="auto"/>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Dexamethasone implant versus sham</w:t>
            </w:r>
          </w:p>
        </w:tc>
      </w:tr>
      <w:tr w:rsidR="00F1629D" w:rsidRPr="00300918" w:rsidTr="00F1629D">
        <w:tc>
          <w:tcPr>
            <w:tcW w:w="879" w:type="dxa"/>
            <w:shd w:val="clear" w:color="auto" w:fill="auto"/>
            <w:vAlign w:val="center"/>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HURON</w:t>
            </w:r>
          </w:p>
        </w:tc>
        <w:tc>
          <w:tcPr>
            <w:tcW w:w="425"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229</w:t>
            </w:r>
          </w:p>
        </w:tc>
        <w:tc>
          <w:tcPr>
            <w:tcW w:w="1134"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Randomised, double blind</w:t>
            </w:r>
          </w:p>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26 weeks</w:t>
            </w:r>
          </w:p>
        </w:tc>
        <w:tc>
          <w:tcPr>
            <w:tcW w:w="992"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Low</w:t>
            </w:r>
          </w:p>
        </w:tc>
        <w:tc>
          <w:tcPr>
            <w:tcW w:w="1701"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Non-infectious posterior or intermediate uveitis</w:t>
            </w:r>
          </w:p>
        </w:tc>
        <w:tc>
          <w:tcPr>
            <w:tcW w:w="1985"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Proportion achieving vitreous haze score of 0; improvement in BCVA</w:t>
            </w:r>
          </w:p>
        </w:tc>
        <w:tc>
          <w:tcPr>
            <w:tcW w:w="1966"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Proportion achieving gain in BCVA of ≥</w:t>
            </w:r>
            <w:r w:rsidR="00A10569" w:rsidRPr="00300918">
              <w:rPr>
                <w:rFonts w:ascii="Arial Narrow" w:hAnsi="Arial Narrow"/>
                <w:sz w:val="20"/>
              </w:rPr>
              <w:t xml:space="preserve"> </w:t>
            </w:r>
            <w:r w:rsidRPr="00300918">
              <w:rPr>
                <w:rFonts w:ascii="Arial Narrow" w:hAnsi="Arial Narrow"/>
                <w:sz w:val="20"/>
              </w:rPr>
              <w:t>5, 10 or 15 letters; peak letters gained weeks 6-12</w:t>
            </w:r>
          </w:p>
        </w:tc>
      </w:tr>
      <w:tr w:rsidR="00F1629D" w:rsidRPr="00300918" w:rsidTr="00F1629D">
        <w:tc>
          <w:tcPr>
            <w:tcW w:w="0" w:type="auto"/>
            <w:gridSpan w:val="7"/>
            <w:shd w:val="clear" w:color="auto" w:fill="auto"/>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Intravitreal triamcinolone acetonide versus sham</w:t>
            </w:r>
          </w:p>
        </w:tc>
      </w:tr>
      <w:tr w:rsidR="00F1629D" w:rsidRPr="00300918" w:rsidTr="00F1629D">
        <w:tc>
          <w:tcPr>
            <w:tcW w:w="879" w:type="dxa"/>
            <w:shd w:val="clear" w:color="auto" w:fill="auto"/>
            <w:vAlign w:val="center"/>
          </w:tcPr>
          <w:p w:rsidR="00F1629D" w:rsidRPr="00300918" w:rsidRDefault="00F1629D" w:rsidP="00F1629D">
            <w:pPr>
              <w:keepNext/>
              <w:spacing w:before="40" w:after="40"/>
              <w:rPr>
                <w:rFonts w:ascii="Times" w:eastAsia="Times New Roman" w:hAnsi="Times" w:cs="Times New Roman"/>
                <w:sz w:val="20"/>
              </w:rPr>
            </w:pPr>
            <w:r w:rsidRPr="00300918">
              <w:rPr>
                <w:rFonts w:ascii="Arial Narrow" w:hAnsi="Arial Narrow"/>
                <w:sz w:val="20"/>
              </w:rPr>
              <w:t>Shin et al. (2015)</w:t>
            </w:r>
          </w:p>
        </w:tc>
        <w:tc>
          <w:tcPr>
            <w:tcW w:w="425"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50</w:t>
            </w:r>
          </w:p>
        </w:tc>
        <w:tc>
          <w:tcPr>
            <w:tcW w:w="1134"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Randomised, double blind</w:t>
            </w:r>
          </w:p>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6 months</w:t>
            </w:r>
          </w:p>
        </w:tc>
        <w:tc>
          <w:tcPr>
            <w:tcW w:w="992"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High</w:t>
            </w:r>
          </w:p>
        </w:tc>
        <w:tc>
          <w:tcPr>
            <w:tcW w:w="1701"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Non-infectious uveitis complicated by macular oedema</w:t>
            </w:r>
          </w:p>
        </w:tc>
        <w:tc>
          <w:tcPr>
            <w:tcW w:w="1985"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Change in retinal thickness, change in BCVA, inflammatory control</w:t>
            </w:r>
          </w:p>
        </w:tc>
        <w:tc>
          <w:tcPr>
            <w:tcW w:w="1966"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Not used</w:t>
            </w:r>
          </w:p>
        </w:tc>
      </w:tr>
      <w:tr w:rsidR="00F1629D" w:rsidRPr="00300918" w:rsidTr="00F1629D">
        <w:tc>
          <w:tcPr>
            <w:tcW w:w="0" w:type="auto"/>
            <w:gridSpan w:val="7"/>
            <w:shd w:val="clear" w:color="auto" w:fill="auto"/>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Adalimumab versus placebo</w:t>
            </w:r>
          </w:p>
        </w:tc>
      </w:tr>
      <w:tr w:rsidR="00F1629D" w:rsidRPr="00300918" w:rsidTr="00F1629D">
        <w:tc>
          <w:tcPr>
            <w:tcW w:w="879" w:type="dxa"/>
            <w:shd w:val="clear" w:color="auto" w:fill="auto"/>
            <w:vAlign w:val="center"/>
          </w:tcPr>
          <w:p w:rsidR="00F1629D" w:rsidRPr="00300918" w:rsidRDefault="00F1629D" w:rsidP="00F1629D">
            <w:pPr>
              <w:keepNext/>
              <w:spacing w:before="40" w:after="40"/>
              <w:rPr>
                <w:rFonts w:ascii="Times" w:eastAsia="Times New Roman" w:hAnsi="Times" w:cs="Times New Roman"/>
                <w:sz w:val="20"/>
              </w:rPr>
            </w:pPr>
            <w:r w:rsidRPr="00300918">
              <w:rPr>
                <w:rFonts w:ascii="Arial Narrow" w:hAnsi="Arial Narrow"/>
                <w:sz w:val="20"/>
              </w:rPr>
              <w:t>VISUAL I</w:t>
            </w:r>
          </w:p>
        </w:tc>
        <w:tc>
          <w:tcPr>
            <w:tcW w:w="425"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223</w:t>
            </w:r>
          </w:p>
        </w:tc>
        <w:tc>
          <w:tcPr>
            <w:tcW w:w="1134"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Randomised, double blind</w:t>
            </w:r>
          </w:p>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80 weeks</w:t>
            </w:r>
          </w:p>
        </w:tc>
        <w:tc>
          <w:tcPr>
            <w:tcW w:w="992"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Low</w:t>
            </w:r>
          </w:p>
        </w:tc>
        <w:tc>
          <w:tcPr>
            <w:tcW w:w="1701"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Patients with active non-infectious intermediate, posterior or panuveitis</w:t>
            </w:r>
          </w:p>
        </w:tc>
        <w:tc>
          <w:tcPr>
            <w:tcW w:w="1985"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Time to treatment failure at or after week 6, change in BCVA, evidence of macular oedema</w:t>
            </w:r>
          </w:p>
        </w:tc>
        <w:tc>
          <w:tcPr>
            <w:tcW w:w="1966" w:type="dxa"/>
            <w:shd w:val="clear" w:color="auto" w:fill="auto"/>
            <w:vAlign w:val="center"/>
          </w:tcPr>
          <w:p w:rsidR="00F1629D" w:rsidRPr="00300918" w:rsidRDefault="00F1629D" w:rsidP="00F1629D">
            <w:pPr>
              <w:keepNext/>
              <w:spacing w:before="40" w:after="40"/>
              <w:jc w:val="center"/>
              <w:rPr>
                <w:rFonts w:ascii="Times" w:eastAsia="Times New Roman" w:hAnsi="Times" w:cs="Times New Roman"/>
                <w:sz w:val="20"/>
              </w:rPr>
            </w:pPr>
            <w:r w:rsidRPr="00300918">
              <w:rPr>
                <w:rFonts w:ascii="Arial Narrow" w:hAnsi="Arial Narrow"/>
                <w:sz w:val="20"/>
              </w:rPr>
              <w:t>Not used</w:t>
            </w:r>
          </w:p>
        </w:tc>
      </w:tr>
    </w:tbl>
    <w:p w:rsidR="00F1629D" w:rsidRPr="00300918" w:rsidRDefault="00F1629D" w:rsidP="00F1629D">
      <w:pPr>
        <w:widowControl w:val="0"/>
        <w:spacing w:before="0" w:after="12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Source: compiled during the evaluation from HURON clinical trial report and relevant publications (Shin et al, 2015; Jaffe et al., 2016)</w:t>
      </w:r>
    </w:p>
    <w:p w:rsidR="00F1629D" w:rsidRPr="00300918" w:rsidRDefault="00F1629D" w:rsidP="00F1629D">
      <w:pPr>
        <w:widowControl w:val="0"/>
        <w:spacing w:before="0" w:after="12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Abbreviations: BCVA, best corrected visual acuity</w:t>
      </w:r>
    </w:p>
    <w:p w:rsidR="0042038A" w:rsidRPr="00300918" w:rsidRDefault="0042038A" w:rsidP="00F1629D">
      <w:pPr>
        <w:widowControl w:val="0"/>
        <w:spacing w:before="0" w:after="120"/>
        <w:contextualSpacing/>
        <w:jc w:val="both"/>
        <w:rPr>
          <w:rFonts w:ascii="Arial Narrow" w:eastAsia="Times New Roman" w:hAnsi="Arial Narrow" w:cs="Arial"/>
          <w:snapToGrid w:val="0"/>
          <w:sz w:val="18"/>
          <w:szCs w:val="20"/>
        </w:rPr>
      </w:pPr>
    </w:p>
    <w:p w:rsidR="0082588F" w:rsidRPr="00300918" w:rsidRDefault="00720CF8" w:rsidP="00564892">
      <w:pPr>
        <w:numPr>
          <w:ilvl w:val="1"/>
          <w:numId w:val="1"/>
        </w:numPr>
        <w:ind w:left="709" w:hanging="709"/>
        <w:jc w:val="both"/>
      </w:pPr>
      <w:r w:rsidRPr="00300918">
        <w:t xml:space="preserve">The PBAC </w:t>
      </w:r>
      <w:r w:rsidRPr="00300918">
        <w:rPr>
          <w:rFonts w:cs="Arial"/>
          <w:bCs/>
          <w:snapToGrid w:val="0"/>
        </w:rPr>
        <w:t>considered</w:t>
      </w:r>
      <w:r w:rsidRPr="00300918">
        <w:t xml:space="preserve"> t</w:t>
      </w:r>
      <w:r w:rsidR="00F1629D" w:rsidRPr="00300918">
        <w:t xml:space="preserve">he HURON trial to have a low risk of bias. </w:t>
      </w:r>
    </w:p>
    <w:p w:rsidR="00F1629D" w:rsidRPr="00300918" w:rsidRDefault="00F1629D" w:rsidP="00944061">
      <w:pPr>
        <w:pStyle w:val="Heading2"/>
        <w:rPr>
          <w:i w:val="0"/>
        </w:rPr>
      </w:pPr>
      <w:bookmarkStart w:id="23" w:name="_Toc413139278"/>
      <w:bookmarkStart w:id="24" w:name="_Toc490486481"/>
      <w:bookmarkStart w:id="25" w:name="_Toc492995312"/>
      <w:r w:rsidRPr="00300918">
        <w:rPr>
          <w:i w:val="0"/>
        </w:rPr>
        <w:t>Comparative effectiveness</w:t>
      </w:r>
      <w:bookmarkEnd w:id="23"/>
      <w:bookmarkEnd w:id="24"/>
      <w:bookmarkEnd w:id="25"/>
      <w:r w:rsidRPr="00300918">
        <w:rPr>
          <w:i w:val="0"/>
        </w:rPr>
        <w:t xml:space="preserve"> </w:t>
      </w:r>
    </w:p>
    <w:p w:rsidR="00F1629D" w:rsidRPr="00300918" w:rsidRDefault="00F1629D" w:rsidP="00564892">
      <w:pPr>
        <w:numPr>
          <w:ilvl w:val="1"/>
          <w:numId w:val="1"/>
        </w:numPr>
        <w:ind w:left="709" w:hanging="709"/>
        <w:jc w:val="both"/>
      </w:pPr>
      <w:r w:rsidRPr="00300918">
        <w:t xml:space="preserve">The </w:t>
      </w:r>
      <w:r w:rsidRPr="00300918">
        <w:rPr>
          <w:rFonts w:cs="Arial"/>
          <w:bCs/>
          <w:snapToGrid w:val="0"/>
        </w:rPr>
        <w:t>proportion</w:t>
      </w:r>
      <w:r w:rsidRPr="00300918">
        <w:t xml:space="preserve"> of patients achieving a vitreous haze score of 0 at each visit is summarised in Table 4 below. The primary outcome for the HURON trial was the proportion of patients achieving a vitreous haze score of 0 at week 8. </w:t>
      </w:r>
    </w:p>
    <w:p w:rsidR="00F1629D" w:rsidRPr="00300918" w:rsidRDefault="00F1629D" w:rsidP="00F1629D">
      <w:pPr>
        <w:keepNext/>
        <w:spacing w:before="0" w:after="60"/>
        <w:rPr>
          <w:rFonts w:ascii="Arial Narrow" w:hAnsi="Arial Narrow"/>
          <w:b/>
          <w:sz w:val="20"/>
        </w:rPr>
      </w:pPr>
      <w:r w:rsidRPr="00300918">
        <w:rPr>
          <w:rFonts w:ascii="Arial Narrow" w:hAnsi="Arial Narrow"/>
          <w:b/>
          <w:sz w:val="20"/>
        </w:rPr>
        <w:t>Table 4: Proportion of patients achieving a vitreous haze score of 0 in the HURON trial (ITT)</w:t>
      </w:r>
    </w:p>
    <w:tbl>
      <w:tblPr>
        <w:tblStyle w:val="TableGridbeth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Proportion of patients achieving a vitreous haze score of 0 in the HURON trial (ITT)"/>
      </w:tblPr>
      <w:tblGrid>
        <w:gridCol w:w="1384"/>
        <w:gridCol w:w="1890"/>
        <w:gridCol w:w="1890"/>
        <w:gridCol w:w="1890"/>
        <w:gridCol w:w="2188"/>
      </w:tblGrid>
      <w:tr w:rsidR="00F1629D" w:rsidRPr="00300918" w:rsidTr="00A443F7">
        <w:trPr>
          <w:cnfStyle w:val="100000000000" w:firstRow="1" w:lastRow="0" w:firstColumn="0" w:lastColumn="0" w:oddVBand="0" w:evenVBand="0" w:oddHBand="0" w:evenHBand="0" w:firstRowFirstColumn="0" w:firstRowLastColumn="0" w:lastRowFirstColumn="0" w:lastRowLastColumn="0"/>
          <w:tblHeader/>
        </w:trPr>
        <w:tc>
          <w:tcPr>
            <w:tcW w:w="1384" w:type="dxa"/>
            <w:vMerge w:val="restart"/>
            <w:shd w:val="clear" w:color="auto" w:fill="FFFFFF" w:themeFill="background1"/>
            <w:vAlign w:val="center"/>
          </w:tcPr>
          <w:p w:rsidR="00F1629D" w:rsidRPr="00300918" w:rsidRDefault="00F1629D" w:rsidP="00F1629D">
            <w:pPr>
              <w:spacing w:before="40" w:after="40"/>
              <w:rPr>
                <w:rFonts w:ascii="Arial Narrow" w:hAnsi="Arial Narrow"/>
                <w:sz w:val="20"/>
                <w:szCs w:val="20"/>
                <w:lang w:val="en-AU"/>
              </w:rPr>
            </w:pPr>
            <w:r w:rsidRPr="00300918">
              <w:rPr>
                <w:rFonts w:ascii="Arial Narrow" w:hAnsi="Arial Narrow"/>
                <w:sz w:val="20"/>
                <w:szCs w:val="20"/>
                <w:lang w:val="en-AU"/>
              </w:rPr>
              <w:t>Study visit</w:t>
            </w:r>
          </w:p>
        </w:tc>
        <w:tc>
          <w:tcPr>
            <w:tcW w:w="5670" w:type="dxa"/>
            <w:gridSpan w:val="3"/>
            <w:shd w:val="clear" w:color="auto" w:fill="FFFFFF" w:themeFill="background1"/>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Patients with vitreous haze score of 0, n/N (%)</w:t>
            </w:r>
          </w:p>
        </w:tc>
        <w:tc>
          <w:tcPr>
            <w:tcW w:w="2188" w:type="dxa"/>
            <w:vMerge w:val="restart"/>
            <w:shd w:val="clear" w:color="auto" w:fill="FFFFFF" w:themeFill="background1"/>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 xml:space="preserve">Dexamethasone </w:t>
            </w:r>
            <w:r w:rsidRPr="00300918">
              <w:rPr>
                <w:rFonts w:ascii="Arial Narrow" w:hAnsi="Arial Narrow"/>
                <w:snapToGrid w:val="0"/>
                <w:sz w:val="20"/>
                <w:szCs w:val="20"/>
                <w:lang w:val="en-AU"/>
              </w:rPr>
              <w:t xml:space="preserve">700 µg </w:t>
            </w:r>
            <w:r w:rsidRPr="00300918">
              <w:rPr>
                <w:rFonts w:ascii="Arial Narrow" w:hAnsi="Arial Narrow"/>
                <w:sz w:val="20"/>
                <w:szCs w:val="20"/>
                <w:lang w:val="en-AU"/>
              </w:rPr>
              <w:t>implant vs. sham</w:t>
            </w:r>
          </w:p>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 difference (95% CI)</w:t>
            </w:r>
          </w:p>
        </w:tc>
      </w:tr>
      <w:tr w:rsidR="00F1629D" w:rsidRPr="00300918" w:rsidTr="00F93D10">
        <w:trPr>
          <w:cnfStyle w:val="100000000000" w:firstRow="1" w:lastRow="0" w:firstColumn="0" w:lastColumn="0" w:oddVBand="0" w:evenVBand="0" w:oddHBand="0" w:evenHBand="0" w:firstRowFirstColumn="0" w:firstRowLastColumn="0" w:lastRowFirstColumn="0" w:lastRowLastColumn="0"/>
          <w:tblHeader/>
        </w:trPr>
        <w:tc>
          <w:tcPr>
            <w:tcW w:w="1384" w:type="dxa"/>
            <w:vMerge/>
            <w:vAlign w:val="center"/>
          </w:tcPr>
          <w:p w:rsidR="00F1629D" w:rsidRPr="00300918" w:rsidRDefault="00F1629D" w:rsidP="00F1629D">
            <w:pPr>
              <w:spacing w:before="40" w:after="40"/>
              <w:rPr>
                <w:rFonts w:ascii="Arial Narrow" w:hAnsi="Arial Narrow"/>
                <w:snapToGrid w:val="0"/>
                <w:sz w:val="20"/>
                <w:szCs w:val="20"/>
                <w:lang w:val="en-AU"/>
              </w:rPr>
            </w:pPr>
          </w:p>
        </w:tc>
        <w:tc>
          <w:tcPr>
            <w:tcW w:w="1890" w:type="dxa"/>
            <w:shd w:val="clear" w:color="auto" w:fill="auto"/>
            <w:vAlign w:val="center"/>
          </w:tcPr>
          <w:p w:rsidR="00F1629D" w:rsidRPr="00300918" w:rsidRDefault="00F1629D" w:rsidP="00F1629D">
            <w:pPr>
              <w:spacing w:before="40" w:after="40"/>
              <w:jc w:val="center"/>
              <w:rPr>
                <w:rFonts w:ascii="Arial Narrow" w:hAnsi="Arial Narrow"/>
                <w:b w:val="0"/>
                <w:snapToGrid w:val="0"/>
                <w:sz w:val="20"/>
                <w:szCs w:val="20"/>
                <w:lang w:val="en-AU"/>
              </w:rPr>
            </w:pPr>
            <w:r w:rsidRPr="00300918">
              <w:rPr>
                <w:rFonts w:ascii="Arial Narrow" w:hAnsi="Arial Narrow"/>
                <w:b w:val="0"/>
                <w:snapToGrid w:val="0"/>
                <w:sz w:val="20"/>
                <w:szCs w:val="20"/>
                <w:lang w:val="en-AU"/>
              </w:rPr>
              <w:t>Dexamethasone 700 µg implant</w:t>
            </w:r>
          </w:p>
        </w:tc>
        <w:tc>
          <w:tcPr>
            <w:tcW w:w="1890" w:type="dxa"/>
            <w:shd w:val="clear" w:color="auto" w:fill="auto"/>
            <w:vAlign w:val="center"/>
          </w:tcPr>
          <w:p w:rsidR="00F1629D" w:rsidRPr="00300918" w:rsidRDefault="00F1629D" w:rsidP="00F1629D">
            <w:pPr>
              <w:spacing w:before="40" w:after="40"/>
              <w:jc w:val="center"/>
              <w:rPr>
                <w:rFonts w:ascii="Arial Narrow" w:hAnsi="Arial Narrow"/>
                <w:b w:val="0"/>
                <w:snapToGrid w:val="0"/>
                <w:sz w:val="20"/>
                <w:szCs w:val="20"/>
                <w:lang w:val="en-AU"/>
              </w:rPr>
            </w:pPr>
            <w:r w:rsidRPr="00300918">
              <w:rPr>
                <w:rFonts w:ascii="Arial Narrow" w:hAnsi="Arial Narrow"/>
                <w:b w:val="0"/>
                <w:snapToGrid w:val="0"/>
                <w:sz w:val="20"/>
                <w:szCs w:val="20"/>
                <w:lang w:val="en-AU"/>
              </w:rPr>
              <w:t>Dexamethasone 350 µg implant</w:t>
            </w:r>
          </w:p>
        </w:tc>
        <w:tc>
          <w:tcPr>
            <w:tcW w:w="1890" w:type="dxa"/>
            <w:shd w:val="clear" w:color="auto" w:fill="auto"/>
            <w:vAlign w:val="center"/>
          </w:tcPr>
          <w:p w:rsidR="00F1629D" w:rsidRPr="00300918" w:rsidRDefault="00F1629D" w:rsidP="00F1629D">
            <w:pPr>
              <w:spacing w:before="40" w:after="40"/>
              <w:jc w:val="center"/>
              <w:rPr>
                <w:rFonts w:ascii="Arial Narrow" w:hAnsi="Arial Narrow"/>
                <w:b w:val="0"/>
                <w:sz w:val="20"/>
                <w:szCs w:val="20"/>
                <w:lang w:val="en-AU"/>
              </w:rPr>
            </w:pPr>
            <w:r w:rsidRPr="00300918">
              <w:rPr>
                <w:rFonts w:ascii="Arial Narrow" w:hAnsi="Arial Narrow"/>
                <w:b w:val="0"/>
                <w:sz w:val="20"/>
                <w:szCs w:val="20"/>
                <w:lang w:val="en-AU"/>
              </w:rPr>
              <w:t>Sham</w:t>
            </w:r>
          </w:p>
        </w:tc>
        <w:tc>
          <w:tcPr>
            <w:tcW w:w="2188" w:type="dxa"/>
            <w:vMerge/>
          </w:tcPr>
          <w:p w:rsidR="00F1629D" w:rsidRPr="00300918" w:rsidRDefault="00F1629D" w:rsidP="00F1629D">
            <w:pPr>
              <w:spacing w:before="40" w:after="40"/>
              <w:jc w:val="center"/>
              <w:rPr>
                <w:rFonts w:ascii="Arial Narrow" w:hAnsi="Arial Narrow"/>
                <w:sz w:val="20"/>
                <w:szCs w:val="20"/>
                <w:lang w:val="en-AU"/>
              </w:rPr>
            </w:pPr>
          </w:p>
        </w:tc>
      </w:tr>
      <w:tr w:rsidR="00F1629D" w:rsidRPr="00300918" w:rsidTr="00F1629D">
        <w:tc>
          <w:tcPr>
            <w:tcW w:w="1384" w:type="dxa"/>
            <w:vAlign w:val="center"/>
          </w:tcPr>
          <w:p w:rsidR="00F1629D" w:rsidRPr="00300918" w:rsidRDefault="00F1629D" w:rsidP="00F1629D">
            <w:pPr>
              <w:spacing w:before="40" w:after="40"/>
              <w:rPr>
                <w:rFonts w:ascii="Arial Narrow" w:hAnsi="Arial Narrow"/>
                <w:sz w:val="20"/>
                <w:szCs w:val="20"/>
                <w:lang w:val="en-AU"/>
              </w:rPr>
            </w:pPr>
            <w:r w:rsidRPr="00300918">
              <w:rPr>
                <w:rFonts w:ascii="Arial Narrow" w:hAnsi="Arial Narrow"/>
                <w:sz w:val="20"/>
                <w:szCs w:val="20"/>
                <w:lang w:val="en-AU"/>
              </w:rPr>
              <w:t>Week 3</w:t>
            </w:r>
          </w:p>
        </w:tc>
        <w:tc>
          <w:tcPr>
            <w:tcW w:w="1890"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18/77 (23.4)</w:t>
            </w:r>
          </w:p>
        </w:tc>
        <w:tc>
          <w:tcPr>
            <w:tcW w:w="1890"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11/76 (14.5)</w:t>
            </w:r>
          </w:p>
        </w:tc>
        <w:tc>
          <w:tcPr>
            <w:tcW w:w="1890"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9/76 (11.8)</w:t>
            </w:r>
          </w:p>
        </w:tc>
        <w:tc>
          <w:tcPr>
            <w:tcW w:w="2188"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11.5 (-0.4, 23.5)</w:t>
            </w:r>
          </w:p>
        </w:tc>
      </w:tr>
      <w:tr w:rsidR="00F1629D" w:rsidRPr="00300918" w:rsidTr="00F1629D">
        <w:tc>
          <w:tcPr>
            <w:tcW w:w="1384" w:type="dxa"/>
            <w:vAlign w:val="center"/>
          </w:tcPr>
          <w:p w:rsidR="00F1629D" w:rsidRPr="00300918" w:rsidRDefault="00F1629D" w:rsidP="00F1629D">
            <w:pPr>
              <w:spacing w:before="40" w:after="40"/>
              <w:rPr>
                <w:rFonts w:ascii="Arial Narrow" w:hAnsi="Arial Narrow"/>
                <w:snapToGrid w:val="0"/>
                <w:sz w:val="20"/>
                <w:szCs w:val="20"/>
                <w:lang w:val="en-AU"/>
              </w:rPr>
            </w:pPr>
            <w:r w:rsidRPr="00300918">
              <w:rPr>
                <w:rFonts w:ascii="Arial Narrow" w:hAnsi="Arial Narrow"/>
                <w:snapToGrid w:val="0"/>
                <w:sz w:val="20"/>
                <w:szCs w:val="20"/>
                <w:lang w:val="en-AU"/>
              </w:rPr>
              <w:t>Week 6</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33/77 (42.9)</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23/76 (30.3)</w:t>
            </w:r>
          </w:p>
        </w:tc>
        <w:tc>
          <w:tcPr>
            <w:tcW w:w="1890"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7/76 (9.2)</w:t>
            </w:r>
          </w:p>
        </w:tc>
        <w:tc>
          <w:tcPr>
            <w:tcW w:w="2188"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33.6 (20.8, 46.5)</w:t>
            </w:r>
          </w:p>
        </w:tc>
      </w:tr>
      <w:tr w:rsidR="00F1629D" w:rsidRPr="00300918" w:rsidTr="00F1629D">
        <w:tc>
          <w:tcPr>
            <w:tcW w:w="1384" w:type="dxa"/>
            <w:vAlign w:val="center"/>
          </w:tcPr>
          <w:p w:rsidR="00F1629D" w:rsidRPr="00300918" w:rsidRDefault="00F1629D" w:rsidP="00F1629D">
            <w:pPr>
              <w:spacing w:before="40" w:after="40"/>
              <w:rPr>
                <w:rFonts w:ascii="Arial Narrow" w:hAnsi="Arial Narrow"/>
                <w:snapToGrid w:val="0"/>
                <w:sz w:val="20"/>
                <w:szCs w:val="20"/>
                <w:lang w:val="en-AU"/>
              </w:rPr>
            </w:pPr>
            <w:r w:rsidRPr="00300918">
              <w:rPr>
                <w:rFonts w:ascii="Arial Narrow" w:hAnsi="Arial Narrow"/>
                <w:snapToGrid w:val="0"/>
                <w:sz w:val="20"/>
                <w:szCs w:val="20"/>
                <w:lang w:val="en-AU"/>
              </w:rPr>
              <w:t>Week 8</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36/77 (46.8)</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27/76 (35.5)</w:t>
            </w:r>
          </w:p>
        </w:tc>
        <w:tc>
          <w:tcPr>
            <w:tcW w:w="1890"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9/76 (11.8)</w:t>
            </w:r>
          </w:p>
        </w:tc>
        <w:tc>
          <w:tcPr>
            <w:tcW w:w="2188"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34.9 (21.6, 48.2)</w:t>
            </w:r>
          </w:p>
        </w:tc>
      </w:tr>
      <w:tr w:rsidR="00F1629D" w:rsidRPr="00300918" w:rsidTr="00F1629D">
        <w:tc>
          <w:tcPr>
            <w:tcW w:w="1384" w:type="dxa"/>
            <w:vAlign w:val="center"/>
          </w:tcPr>
          <w:p w:rsidR="00F1629D" w:rsidRPr="00300918" w:rsidRDefault="00F1629D" w:rsidP="00F1629D">
            <w:pPr>
              <w:spacing w:before="40" w:after="40"/>
              <w:rPr>
                <w:rFonts w:ascii="Arial Narrow" w:hAnsi="Arial Narrow"/>
                <w:snapToGrid w:val="0"/>
                <w:sz w:val="20"/>
                <w:szCs w:val="20"/>
                <w:lang w:val="en-AU"/>
              </w:rPr>
            </w:pPr>
            <w:r w:rsidRPr="00300918">
              <w:rPr>
                <w:rFonts w:ascii="Arial Narrow" w:hAnsi="Arial Narrow"/>
                <w:snapToGrid w:val="0"/>
                <w:sz w:val="20"/>
                <w:szCs w:val="20"/>
                <w:lang w:val="en-AU"/>
              </w:rPr>
              <w:t>Week 12</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35/77 (45.5)</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32/76 (42.1)</w:t>
            </w:r>
          </w:p>
        </w:tc>
        <w:tc>
          <w:tcPr>
            <w:tcW w:w="1890"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10/76 (13.2)</w:t>
            </w:r>
          </w:p>
        </w:tc>
        <w:tc>
          <w:tcPr>
            <w:tcW w:w="2188"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32.3 (18.8, 45.8)</w:t>
            </w:r>
          </w:p>
        </w:tc>
      </w:tr>
      <w:tr w:rsidR="00F1629D" w:rsidRPr="00300918" w:rsidTr="00F1629D">
        <w:tc>
          <w:tcPr>
            <w:tcW w:w="1384" w:type="dxa"/>
            <w:vAlign w:val="center"/>
          </w:tcPr>
          <w:p w:rsidR="00F1629D" w:rsidRPr="00300918" w:rsidRDefault="00F1629D" w:rsidP="00F1629D">
            <w:pPr>
              <w:spacing w:before="40" w:after="40"/>
              <w:rPr>
                <w:rFonts w:ascii="Arial Narrow" w:hAnsi="Arial Narrow"/>
                <w:snapToGrid w:val="0"/>
                <w:sz w:val="20"/>
                <w:szCs w:val="20"/>
                <w:lang w:val="en-AU"/>
              </w:rPr>
            </w:pPr>
            <w:r w:rsidRPr="00300918">
              <w:rPr>
                <w:rFonts w:ascii="Arial Narrow" w:hAnsi="Arial Narrow"/>
                <w:snapToGrid w:val="0"/>
                <w:sz w:val="20"/>
                <w:szCs w:val="20"/>
                <w:lang w:val="en-AU"/>
              </w:rPr>
              <w:t>Week 16</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31/77 (40.3)</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25/76 (32.9)</w:t>
            </w:r>
          </w:p>
        </w:tc>
        <w:tc>
          <w:tcPr>
            <w:tcW w:w="1890"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16/76 (21.1)</w:t>
            </w:r>
          </w:p>
        </w:tc>
        <w:tc>
          <w:tcPr>
            <w:tcW w:w="2188"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19.2 (4.9, 33.5)</w:t>
            </w:r>
          </w:p>
        </w:tc>
      </w:tr>
      <w:tr w:rsidR="00F1629D" w:rsidRPr="00300918" w:rsidTr="00F1629D">
        <w:tc>
          <w:tcPr>
            <w:tcW w:w="1384" w:type="dxa"/>
            <w:vAlign w:val="center"/>
          </w:tcPr>
          <w:p w:rsidR="00F1629D" w:rsidRPr="00300918" w:rsidRDefault="00F1629D" w:rsidP="00F1629D">
            <w:pPr>
              <w:spacing w:before="40" w:after="40"/>
              <w:rPr>
                <w:rFonts w:ascii="Arial Narrow" w:hAnsi="Arial Narrow"/>
                <w:snapToGrid w:val="0"/>
                <w:sz w:val="20"/>
                <w:szCs w:val="20"/>
                <w:lang w:val="en-AU"/>
              </w:rPr>
            </w:pPr>
            <w:r w:rsidRPr="00300918">
              <w:rPr>
                <w:rFonts w:ascii="Arial Narrow" w:hAnsi="Arial Narrow"/>
                <w:snapToGrid w:val="0"/>
                <w:sz w:val="20"/>
                <w:szCs w:val="20"/>
                <w:lang w:val="en-AU"/>
              </w:rPr>
              <w:t>Week 20</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30/77 (39.0)</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32/76 (42.1)</w:t>
            </w:r>
          </w:p>
        </w:tc>
        <w:tc>
          <w:tcPr>
            <w:tcW w:w="1890"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15/76 (19.7)</w:t>
            </w:r>
          </w:p>
        </w:tc>
        <w:tc>
          <w:tcPr>
            <w:tcW w:w="2188"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19.2 (5.1, 33.3)</w:t>
            </w:r>
          </w:p>
        </w:tc>
      </w:tr>
      <w:tr w:rsidR="00F1629D" w:rsidRPr="00300918" w:rsidTr="00F1629D">
        <w:tc>
          <w:tcPr>
            <w:tcW w:w="1384" w:type="dxa"/>
            <w:vAlign w:val="center"/>
          </w:tcPr>
          <w:p w:rsidR="00F1629D" w:rsidRPr="00300918" w:rsidRDefault="00F1629D" w:rsidP="00F1629D">
            <w:pPr>
              <w:spacing w:before="40" w:after="40"/>
              <w:rPr>
                <w:rFonts w:ascii="Arial Narrow" w:hAnsi="Arial Narrow"/>
                <w:snapToGrid w:val="0"/>
                <w:sz w:val="20"/>
                <w:szCs w:val="20"/>
                <w:lang w:val="en-AU"/>
              </w:rPr>
            </w:pPr>
            <w:r w:rsidRPr="00300918">
              <w:rPr>
                <w:rFonts w:ascii="Arial Narrow" w:hAnsi="Arial Narrow"/>
                <w:snapToGrid w:val="0"/>
                <w:sz w:val="20"/>
                <w:szCs w:val="20"/>
                <w:lang w:val="en-AU"/>
              </w:rPr>
              <w:t>Week 26</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24/77 (31.2)</w:t>
            </w:r>
          </w:p>
        </w:tc>
        <w:tc>
          <w:tcPr>
            <w:tcW w:w="1890" w:type="dxa"/>
            <w:vAlign w:val="center"/>
          </w:tcPr>
          <w:p w:rsidR="00F1629D" w:rsidRPr="00300918" w:rsidRDefault="00F1629D" w:rsidP="00F1629D">
            <w:pPr>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22/76 (28.9)</w:t>
            </w:r>
          </w:p>
        </w:tc>
        <w:tc>
          <w:tcPr>
            <w:tcW w:w="1890"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11/76 (14.5)</w:t>
            </w:r>
          </w:p>
        </w:tc>
        <w:tc>
          <w:tcPr>
            <w:tcW w:w="2188" w:type="dxa"/>
            <w:vAlign w:val="center"/>
          </w:tcPr>
          <w:p w:rsidR="00F1629D" w:rsidRPr="00300918" w:rsidRDefault="00F1629D" w:rsidP="00F1629D">
            <w:pPr>
              <w:spacing w:before="40" w:after="40"/>
              <w:jc w:val="center"/>
              <w:rPr>
                <w:rFonts w:ascii="Arial Narrow" w:hAnsi="Arial Narrow"/>
                <w:sz w:val="20"/>
                <w:szCs w:val="20"/>
                <w:lang w:val="en-AU"/>
              </w:rPr>
            </w:pPr>
            <w:r w:rsidRPr="00300918">
              <w:rPr>
                <w:rFonts w:ascii="Arial Narrow" w:hAnsi="Arial Narrow"/>
                <w:sz w:val="20"/>
                <w:szCs w:val="20"/>
                <w:lang w:val="en-AU"/>
              </w:rPr>
              <w:t>16.7 (3.7, 29.7)</w:t>
            </w:r>
          </w:p>
        </w:tc>
      </w:tr>
    </w:tbl>
    <w:p w:rsidR="00F1629D" w:rsidRPr="00300918" w:rsidRDefault="00F1629D" w:rsidP="00F1629D">
      <w:pPr>
        <w:widowControl w:val="0"/>
        <w:spacing w:before="0" w:after="12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Source: Table 14.2-1, pp.199-200 of the HURON clinical study report</w:t>
      </w:r>
    </w:p>
    <w:p w:rsidR="00F8690E" w:rsidRPr="00300918" w:rsidRDefault="00F8690E" w:rsidP="00F1629D">
      <w:pPr>
        <w:widowControl w:val="0"/>
        <w:spacing w:before="0" w:after="120"/>
        <w:contextualSpacing/>
        <w:jc w:val="both"/>
        <w:rPr>
          <w:rFonts w:ascii="Arial Narrow" w:eastAsia="Times New Roman" w:hAnsi="Arial Narrow" w:cs="Arial"/>
          <w:snapToGrid w:val="0"/>
          <w:sz w:val="18"/>
          <w:szCs w:val="20"/>
        </w:rPr>
      </w:pPr>
    </w:p>
    <w:p w:rsidR="00F1629D" w:rsidRPr="00300918" w:rsidRDefault="00D3083D" w:rsidP="00564892">
      <w:pPr>
        <w:numPr>
          <w:ilvl w:val="1"/>
          <w:numId w:val="1"/>
        </w:numPr>
        <w:ind w:left="709" w:hanging="709"/>
        <w:jc w:val="both"/>
      </w:pPr>
      <w:r w:rsidRPr="00300918">
        <w:t xml:space="preserve">The </w:t>
      </w:r>
      <w:r w:rsidR="007C2F93" w:rsidRPr="00300918">
        <w:t>PBAC</w:t>
      </w:r>
      <w:r w:rsidRPr="00300918">
        <w:t xml:space="preserve"> noted t</w:t>
      </w:r>
      <w:r w:rsidR="00F1629D" w:rsidRPr="00300918">
        <w:t>he proportion of patients whose vitreous haze score decreased to 0 at week 8 (primary outcome nominated in submission) was statistically significantly higher in the dexamethasone implant arm compared with sham.</w:t>
      </w:r>
      <w:r w:rsidR="006A6BBE" w:rsidRPr="00300918">
        <w:t xml:space="preserve"> </w:t>
      </w:r>
      <w:r w:rsidR="00BD7F8F" w:rsidRPr="00300918">
        <w:t xml:space="preserve">The </w:t>
      </w:r>
      <w:r w:rsidR="007C2F93" w:rsidRPr="00300918">
        <w:t>PBAC</w:t>
      </w:r>
      <w:r w:rsidR="00BD7F8F" w:rsidRPr="00300918">
        <w:t xml:space="preserve"> noted the treatment eff</w:t>
      </w:r>
      <w:r w:rsidR="00DF5415" w:rsidRPr="00300918">
        <w:t>ect began to reduce from week 12</w:t>
      </w:r>
      <w:r w:rsidR="007C133D" w:rsidRPr="00300918">
        <w:t>–1</w:t>
      </w:r>
      <w:r w:rsidR="00DF5415" w:rsidRPr="00300918">
        <w:t>6</w:t>
      </w:r>
      <w:r w:rsidR="00BD7F8F" w:rsidRPr="00300918">
        <w:t xml:space="preserve">. </w:t>
      </w:r>
    </w:p>
    <w:p w:rsidR="00F1629D" w:rsidRPr="00300918" w:rsidRDefault="00F1629D" w:rsidP="00564892">
      <w:pPr>
        <w:numPr>
          <w:ilvl w:val="1"/>
          <w:numId w:val="1"/>
        </w:numPr>
        <w:ind w:left="709" w:hanging="709"/>
        <w:jc w:val="both"/>
      </w:pPr>
      <w:r w:rsidRPr="00300918">
        <w:t xml:space="preserve">The </w:t>
      </w:r>
      <w:r w:rsidRPr="00300918">
        <w:rPr>
          <w:rFonts w:cs="Arial"/>
          <w:bCs/>
          <w:snapToGrid w:val="0"/>
        </w:rPr>
        <w:t>mean</w:t>
      </w:r>
      <w:r w:rsidRPr="00300918">
        <w:t xml:space="preserve"> improvement in best corrected visual acuity from baseline to week 26 is summarised in Figure 1. </w:t>
      </w:r>
    </w:p>
    <w:p w:rsidR="00F8690E" w:rsidRPr="00300918" w:rsidRDefault="00710284" w:rsidP="00F1629D">
      <w:pPr>
        <w:keepNext/>
        <w:spacing w:before="0" w:after="60"/>
        <w:rPr>
          <w:rFonts w:ascii="Arial Narrow" w:hAnsi="Arial Narrow"/>
          <w:b/>
          <w:sz w:val="20"/>
        </w:rPr>
      </w:pPr>
      <w:r w:rsidRPr="00300918">
        <w:rPr>
          <w:rFonts w:ascii="Arial Narrow" w:hAnsi="Arial Narrow"/>
          <w:b/>
          <w:sz w:val="20"/>
        </w:rPr>
        <w:t>Figure 1: Mean improvement in best corrected visual acuity from baseline to week 26 of the HURON trial</w:t>
      </w:r>
    </w:p>
    <w:p w:rsidR="00F1629D" w:rsidRPr="00300918" w:rsidRDefault="00F1629D" w:rsidP="00F1629D">
      <w:pPr>
        <w:spacing w:before="0" w:after="0"/>
        <w:ind w:left="-142"/>
        <w:jc w:val="both"/>
        <w:rPr>
          <w:color w:val="4472C4" w:themeColor="accent5"/>
        </w:rPr>
      </w:pPr>
      <w:r w:rsidRPr="00300918">
        <w:rPr>
          <w:noProof/>
          <w:lang w:eastAsia="en-AU"/>
        </w:rPr>
        <w:drawing>
          <wp:inline distT="0" distB="0" distL="0" distR="0" wp14:anchorId="0591D9D8" wp14:editId="475EED8A">
            <wp:extent cx="5699418" cy="2819400"/>
            <wp:effectExtent l="0" t="0" r="0" b="0"/>
            <wp:docPr id="19" name="Picture 19" title="Figure 1: Mean improvement in best corrected visual acuity from baseline to week 26 of the HURON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4944" cy="2822133"/>
                    </a:xfrm>
                    <a:prstGeom prst="rect">
                      <a:avLst/>
                    </a:prstGeom>
                  </pic:spPr>
                </pic:pic>
              </a:graphicData>
            </a:graphic>
          </wp:inline>
        </w:drawing>
      </w:r>
    </w:p>
    <w:p w:rsidR="00F1629D" w:rsidRPr="00300918" w:rsidRDefault="00F1629D" w:rsidP="00F1629D">
      <w:pPr>
        <w:widowControl w:val="0"/>
        <w:spacing w:before="0" w:after="12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Source: Figure 2-5, p.58 of the submission</w:t>
      </w:r>
    </w:p>
    <w:p w:rsidR="00F8690E" w:rsidRPr="00300918" w:rsidRDefault="00F8690E" w:rsidP="00F1629D">
      <w:pPr>
        <w:widowControl w:val="0"/>
        <w:spacing w:before="0" w:after="120"/>
        <w:contextualSpacing/>
        <w:jc w:val="both"/>
        <w:rPr>
          <w:rFonts w:ascii="Arial Narrow" w:eastAsia="Times New Roman" w:hAnsi="Arial Narrow" w:cs="Arial"/>
          <w:snapToGrid w:val="0"/>
          <w:sz w:val="18"/>
          <w:szCs w:val="20"/>
        </w:rPr>
      </w:pPr>
    </w:p>
    <w:p w:rsidR="00F1629D" w:rsidRPr="00300918" w:rsidRDefault="00F1629D" w:rsidP="00564892">
      <w:pPr>
        <w:numPr>
          <w:ilvl w:val="1"/>
          <w:numId w:val="1"/>
        </w:numPr>
        <w:ind w:left="709" w:hanging="709"/>
        <w:jc w:val="both"/>
      </w:pPr>
      <w:r w:rsidRPr="00300918">
        <w:t xml:space="preserve">The </w:t>
      </w:r>
      <w:r w:rsidR="007C2F93" w:rsidRPr="00300918">
        <w:t xml:space="preserve">PBAC noted that the </w:t>
      </w:r>
      <w:r w:rsidRPr="00300918">
        <w:t>mean improvement in best corrected visual acuity from baseline was significantly greater in the dexamethasone implant groups than in the sham group.</w:t>
      </w:r>
    </w:p>
    <w:p w:rsidR="00F1629D" w:rsidRPr="00300918" w:rsidRDefault="00F1629D" w:rsidP="00564892">
      <w:pPr>
        <w:numPr>
          <w:ilvl w:val="1"/>
          <w:numId w:val="1"/>
        </w:numPr>
        <w:ind w:left="709" w:hanging="709"/>
        <w:jc w:val="both"/>
      </w:pPr>
      <w:r w:rsidRPr="00300918">
        <w:t>There were statistically significant differences in mean improvement in quality of life measures (measured by the Visual Function Questionnaire-25</w:t>
      </w:r>
      <w:r w:rsidR="00D94C46" w:rsidRPr="00300918">
        <w:t xml:space="preserve"> (VFQ-25)</w:t>
      </w:r>
      <w:r w:rsidRPr="00300918">
        <w:t xml:space="preserve">) from baseline between dexamethasone and sham. However there was no statistically significant difference between groups in the raw composite score. The </w:t>
      </w:r>
      <w:r w:rsidR="000F313C" w:rsidRPr="00300918">
        <w:t xml:space="preserve">ESC noted that the </w:t>
      </w:r>
      <w:r w:rsidRPr="00300918">
        <w:t>difference in improvement was driven by a statistically significant difference between the treatment groups at baseline.</w:t>
      </w:r>
    </w:p>
    <w:p w:rsidR="00F1629D" w:rsidRPr="00300918" w:rsidRDefault="00F1629D" w:rsidP="00564892">
      <w:pPr>
        <w:numPr>
          <w:ilvl w:val="1"/>
          <w:numId w:val="1"/>
        </w:numPr>
        <w:ind w:left="709" w:hanging="709"/>
        <w:jc w:val="both"/>
      </w:pPr>
      <w:r w:rsidRPr="00300918">
        <w:t>The indirect comparison between dexamethasone implant (HURON) and intravitreal triamcinolone acetonide (Shin et al., 2015) for reduction in central retinal thickness showed no statistically significant difference between treatments. However, these results should be interpreted with caution, as there was significant heterogeneity between trials (population, methodology) and wide confidence intervals.</w:t>
      </w:r>
    </w:p>
    <w:p w:rsidR="00F1629D" w:rsidRPr="00300918" w:rsidRDefault="00F1629D" w:rsidP="00564892">
      <w:pPr>
        <w:numPr>
          <w:ilvl w:val="1"/>
          <w:numId w:val="1"/>
        </w:numPr>
        <w:ind w:left="709" w:hanging="709"/>
        <w:jc w:val="both"/>
      </w:pPr>
      <w:r w:rsidRPr="00300918">
        <w:t>The indirect comparison between dexamethasone implant (HURON) and adalimumab (VISUAL I) showed no statistically significant difference between the two treatments in terms of efficacy. However these trials were conducted in different populations and the results should be interpreted with caution.</w:t>
      </w:r>
    </w:p>
    <w:p w:rsidR="00F1629D" w:rsidRPr="00300918" w:rsidRDefault="00F1629D" w:rsidP="00944061">
      <w:pPr>
        <w:pStyle w:val="Heading2"/>
        <w:rPr>
          <w:i w:val="0"/>
        </w:rPr>
      </w:pPr>
      <w:bookmarkStart w:id="26" w:name="_Toc413139279"/>
      <w:bookmarkStart w:id="27" w:name="_Toc490486482"/>
      <w:bookmarkStart w:id="28" w:name="_Toc492995313"/>
      <w:r w:rsidRPr="00300918">
        <w:rPr>
          <w:i w:val="0"/>
        </w:rPr>
        <w:t>Comparative harms</w:t>
      </w:r>
      <w:bookmarkEnd w:id="26"/>
      <w:bookmarkEnd w:id="27"/>
      <w:bookmarkEnd w:id="28"/>
    </w:p>
    <w:p w:rsidR="00F1629D" w:rsidRPr="00300918" w:rsidRDefault="00F1629D" w:rsidP="00564892">
      <w:pPr>
        <w:numPr>
          <w:ilvl w:val="1"/>
          <w:numId w:val="1"/>
        </w:numPr>
        <w:ind w:left="709" w:hanging="709"/>
        <w:jc w:val="both"/>
      </w:pPr>
      <w:r w:rsidRPr="00300918">
        <w:t xml:space="preserve">Treatment with dexamethasone implant (700 µg or 350 µg) was associated with a similar overall incidence of adverse events compared to sham. The most frequently reported events in the HURON trial were increased intraocular pressure, conjunctival haemorrhage, eye pain, iridocyclitis, uveitis, ocular discomfort, cataract, macular oedema and ocular </w:t>
      </w:r>
      <w:r w:rsidRPr="00300918">
        <w:rPr>
          <w:rFonts w:cs="Arial"/>
          <w:bCs/>
          <w:snapToGrid w:val="0"/>
        </w:rPr>
        <w:t>hypertension</w:t>
      </w:r>
      <w:r w:rsidRPr="00300918">
        <w:t xml:space="preserve">. </w:t>
      </w:r>
      <w:r w:rsidR="00425A72" w:rsidRPr="00300918">
        <w:t>The PBAC noted that t</w:t>
      </w:r>
      <w:r w:rsidRPr="00300918">
        <w:t xml:space="preserve">reatment with dexamethasone implant was generally associated with a higher rate of increased intraocular pressure, cataract, conjunctival haemorrhage, ocular discomfort and ocular hypertension than sham treatment. </w:t>
      </w:r>
    </w:p>
    <w:p w:rsidR="00F1629D" w:rsidRPr="00300918" w:rsidRDefault="00F1629D" w:rsidP="00564892">
      <w:pPr>
        <w:numPr>
          <w:ilvl w:val="1"/>
          <w:numId w:val="1"/>
        </w:numPr>
        <w:ind w:left="709" w:hanging="709"/>
        <w:jc w:val="both"/>
      </w:pPr>
      <w:r w:rsidRPr="00300918">
        <w:t xml:space="preserve">Based on an expanded assessment of harms, important identified risks associated with dexamethasone </w:t>
      </w:r>
      <w:r w:rsidRPr="00300918">
        <w:rPr>
          <w:rFonts w:cs="Arial"/>
          <w:bCs/>
          <w:snapToGrid w:val="0"/>
        </w:rPr>
        <w:t>implant</w:t>
      </w:r>
      <w:r w:rsidRPr="00300918">
        <w:t xml:space="preserve"> include glaucoma, ocular hypertension, increased intraocular pressure, cataract formation, vitreous haemorrhage/detachment, device dislocation and implant misplacement.</w:t>
      </w:r>
    </w:p>
    <w:p w:rsidR="00524D1A" w:rsidRPr="00300918" w:rsidRDefault="00524D1A" w:rsidP="00564892">
      <w:pPr>
        <w:numPr>
          <w:ilvl w:val="1"/>
          <w:numId w:val="1"/>
        </w:numPr>
        <w:ind w:left="709" w:hanging="709"/>
        <w:jc w:val="both"/>
      </w:pPr>
      <w:r w:rsidRPr="00300918">
        <w:t>There is limited safety data available for more than one administration of dexamethasone implant for posterior segment uveitis.</w:t>
      </w:r>
      <w:r w:rsidR="007E7C27" w:rsidRPr="00300918">
        <w:t xml:space="preserve"> </w:t>
      </w:r>
      <w:r w:rsidR="00AA3567" w:rsidRPr="00300918">
        <w:t>The ESC noted t</w:t>
      </w:r>
      <w:r w:rsidR="00455993" w:rsidRPr="00300918">
        <w:t xml:space="preserve">he </w:t>
      </w:r>
      <w:r w:rsidR="009821AC" w:rsidRPr="00300918">
        <w:t xml:space="preserve">PSCR (p5) stated there are </w:t>
      </w:r>
      <w:r w:rsidR="007E7C27" w:rsidRPr="00300918">
        <w:t>longer term data from 12 observational studies including nine studies with multiple (up to six) implants</w:t>
      </w:r>
      <w:r w:rsidR="00AA3567" w:rsidRPr="00300918">
        <w:t xml:space="preserve">. The PSCR </w:t>
      </w:r>
      <w:r w:rsidR="00B64DE8" w:rsidRPr="00300918">
        <w:t>(p5)</w:t>
      </w:r>
      <w:r w:rsidR="00F43E35" w:rsidRPr="00300918">
        <w:t xml:space="preserve"> </w:t>
      </w:r>
      <w:r w:rsidR="00AA3567" w:rsidRPr="00300918">
        <w:t xml:space="preserve">claimed the studies consistently demonstrate that </w:t>
      </w:r>
      <w:r w:rsidR="00AA3567" w:rsidRPr="00300918">
        <w:rPr>
          <w:rFonts w:cs="Arial"/>
          <w:bCs/>
          <w:snapToGrid w:val="0"/>
        </w:rPr>
        <w:t>repeat</w:t>
      </w:r>
      <w:r w:rsidR="00AA3567" w:rsidRPr="00300918">
        <w:t xml:space="preserve"> use of dexamethasone is both safe and effective and consistent with those observed after initial administration of dexamethasone implant in the HURON trial.</w:t>
      </w:r>
      <w:r w:rsidR="008C760A" w:rsidRPr="00300918">
        <w:t xml:space="preserve"> The PBAC considered that there were no significant safety concerns </w:t>
      </w:r>
      <w:r w:rsidR="00C27235" w:rsidRPr="00300918">
        <w:t xml:space="preserve">for dexamethasone implant evident for use in this condition. In addition, the PBAC considered </w:t>
      </w:r>
      <w:r w:rsidR="007C2F93" w:rsidRPr="00300918">
        <w:t xml:space="preserve">that </w:t>
      </w:r>
      <w:r w:rsidR="008C760A" w:rsidRPr="00300918">
        <w:t xml:space="preserve">the ocular </w:t>
      </w:r>
      <w:r w:rsidR="00C27235" w:rsidRPr="00300918">
        <w:t xml:space="preserve">adverse events reported for </w:t>
      </w:r>
      <w:r w:rsidR="008C760A" w:rsidRPr="00300918">
        <w:t xml:space="preserve">dexamethasone implant </w:t>
      </w:r>
      <w:r w:rsidR="00C27235" w:rsidRPr="00300918">
        <w:t xml:space="preserve">are likely to </w:t>
      </w:r>
      <w:r w:rsidR="008C760A" w:rsidRPr="00300918">
        <w:t xml:space="preserve">be similar to those </w:t>
      </w:r>
      <w:r w:rsidR="00C27235" w:rsidRPr="00300918">
        <w:t>reported for</w:t>
      </w:r>
      <w:r w:rsidR="008C760A" w:rsidRPr="00300918">
        <w:t xml:space="preserve"> intravitreal triamcinolone.</w:t>
      </w:r>
      <w:r w:rsidR="00962A53" w:rsidRPr="00300918">
        <w:t xml:space="preserve"> </w:t>
      </w:r>
    </w:p>
    <w:p w:rsidR="00F1629D" w:rsidRPr="00300918" w:rsidRDefault="00F1629D" w:rsidP="00944061">
      <w:pPr>
        <w:pStyle w:val="Heading2"/>
        <w:rPr>
          <w:i w:val="0"/>
        </w:rPr>
      </w:pPr>
      <w:bookmarkStart w:id="29" w:name="_Toc490486483"/>
      <w:bookmarkStart w:id="30" w:name="_Toc492995314"/>
      <w:bookmarkStart w:id="31" w:name="_Toc413139281"/>
      <w:r w:rsidRPr="00300918">
        <w:rPr>
          <w:i w:val="0"/>
        </w:rPr>
        <w:t>Benefits and harms</w:t>
      </w:r>
      <w:bookmarkEnd w:id="29"/>
      <w:bookmarkEnd w:id="30"/>
    </w:p>
    <w:p w:rsidR="00F1629D" w:rsidRPr="00300918" w:rsidRDefault="00F1629D" w:rsidP="00564892">
      <w:pPr>
        <w:numPr>
          <w:ilvl w:val="1"/>
          <w:numId w:val="1"/>
        </w:numPr>
        <w:ind w:left="709" w:hanging="709"/>
        <w:jc w:val="both"/>
      </w:pPr>
      <w:r w:rsidRPr="00300918">
        <w:t>A summary of the comparative benefits and harms for dexamethasone implant versus sham is presented in Table 5 below.</w:t>
      </w:r>
    </w:p>
    <w:p w:rsidR="00F1629D" w:rsidRPr="00300918" w:rsidRDefault="00F1629D" w:rsidP="00F1629D">
      <w:pPr>
        <w:keepNext/>
        <w:spacing w:before="0" w:after="60"/>
        <w:rPr>
          <w:rFonts w:ascii="Arial Narrow" w:hAnsi="Arial Narrow"/>
          <w:b/>
          <w:sz w:val="20"/>
        </w:rPr>
      </w:pPr>
      <w:r w:rsidRPr="00300918">
        <w:rPr>
          <w:rFonts w:ascii="Arial Narrow" w:hAnsi="Arial Narrow"/>
          <w:b/>
          <w:sz w:val="20"/>
        </w:rPr>
        <w:t>Table 5: Summary of comparative benefits and harms for dexamethasone implant 700 µg and sham</w:t>
      </w:r>
    </w:p>
    <w:tbl>
      <w:tblPr>
        <w:tblStyle w:val="TableGridbeth2"/>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CellMar>
          <w:left w:w="28" w:type="dxa"/>
          <w:right w:w="28" w:type="dxa"/>
        </w:tblCellMar>
        <w:tblLook w:val="04A0" w:firstRow="1" w:lastRow="0" w:firstColumn="1" w:lastColumn="0" w:noHBand="0" w:noVBand="1"/>
        <w:tblCaption w:val="Table 5: Summary of comparative benefits and harms for dexamethasone implant 700 µg and sham"/>
      </w:tblPr>
      <w:tblGrid>
        <w:gridCol w:w="2465"/>
        <w:gridCol w:w="1363"/>
        <w:gridCol w:w="838"/>
        <w:gridCol w:w="842"/>
        <w:gridCol w:w="1361"/>
        <w:gridCol w:w="348"/>
        <w:gridCol w:w="1856"/>
      </w:tblGrid>
      <w:tr w:rsidR="00F1629D" w:rsidRPr="00300918" w:rsidTr="00A443F7">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7"/>
            <w:shd w:val="clear" w:color="auto" w:fill="auto"/>
            <w:vAlign w:val="center"/>
          </w:tcPr>
          <w:p w:rsidR="00F1629D" w:rsidRPr="00300918" w:rsidRDefault="00F1629D" w:rsidP="00F1629D">
            <w:pPr>
              <w:keepNext/>
              <w:spacing w:before="40" w:after="40"/>
              <w:rPr>
                <w:rFonts w:ascii="Arial Narrow" w:hAnsi="Arial Narrow"/>
                <w:sz w:val="20"/>
                <w:u w:val="single"/>
                <w:lang w:val="en-AU"/>
              </w:rPr>
            </w:pPr>
            <w:r w:rsidRPr="00300918">
              <w:rPr>
                <w:rFonts w:ascii="Arial Narrow" w:hAnsi="Arial Narrow"/>
                <w:sz w:val="20"/>
                <w:u w:val="single"/>
                <w:lang w:val="en-AU"/>
              </w:rPr>
              <w:t>Benefits</w:t>
            </w:r>
          </w:p>
        </w:tc>
      </w:tr>
      <w:tr w:rsidR="001723D9" w:rsidRPr="00300918" w:rsidTr="004A7E4C">
        <w:tc>
          <w:tcPr>
            <w:tcW w:w="1358" w:type="pct"/>
            <w:tcBorders>
              <w:right w:val="single" w:sz="4" w:space="0" w:color="auto"/>
            </w:tcBorders>
            <w:shd w:val="clear" w:color="auto" w:fill="auto"/>
            <w:vAlign w:val="center"/>
          </w:tcPr>
          <w:p w:rsidR="001723D9" w:rsidRPr="00300918" w:rsidRDefault="001723D9" w:rsidP="00F1629D">
            <w:pPr>
              <w:keepNext/>
              <w:spacing w:before="40" w:after="40"/>
              <w:rPr>
                <w:rFonts w:ascii="Arial Narrow" w:hAnsi="Arial Narrow"/>
                <w:b/>
                <w:sz w:val="20"/>
                <w:lang w:val="en-AU"/>
              </w:rPr>
            </w:pPr>
            <w:r w:rsidRPr="00300918">
              <w:rPr>
                <w:rFonts w:ascii="Arial Narrow" w:hAnsi="Arial Narrow"/>
                <w:b/>
                <w:sz w:val="20"/>
                <w:lang w:val="en-AU"/>
              </w:rPr>
              <w:t>Event</w:t>
            </w:r>
          </w:p>
        </w:tc>
        <w:tc>
          <w:tcPr>
            <w:tcW w:w="1213" w:type="pct"/>
            <w:gridSpan w:val="2"/>
            <w:tcBorders>
              <w:left w:val="single" w:sz="4" w:space="0" w:color="auto"/>
              <w:right w:val="single" w:sz="4" w:space="0" w:color="auto"/>
            </w:tcBorders>
            <w:shd w:val="clear" w:color="auto" w:fill="auto"/>
            <w:vAlign w:val="center"/>
          </w:tcPr>
          <w:p w:rsidR="001723D9" w:rsidRPr="00300918" w:rsidRDefault="001723D9" w:rsidP="00F1629D">
            <w:pPr>
              <w:keepNext/>
              <w:spacing w:before="40" w:after="40"/>
              <w:jc w:val="center"/>
              <w:rPr>
                <w:rFonts w:ascii="Arial Narrow" w:hAnsi="Arial Narrow"/>
                <w:b/>
                <w:sz w:val="20"/>
                <w:lang w:val="en-AU"/>
              </w:rPr>
            </w:pPr>
            <w:r w:rsidRPr="00300918">
              <w:rPr>
                <w:rFonts w:ascii="Arial Narrow" w:hAnsi="Arial Narrow"/>
                <w:b/>
                <w:sz w:val="20"/>
                <w:lang w:val="en-AU"/>
              </w:rPr>
              <w:t>Dexamethasone</w:t>
            </w:r>
          </w:p>
        </w:tc>
        <w:tc>
          <w:tcPr>
            <w:tcW w:w="1214" w:type="pct"/>
            <w:gridSpan w:val="2"/>
            <w:tcBorders>
              <w:left w:val="single" w:sz="4" w:space="0" w:color="auto"/>
              <w:right w:val="single" w:sz="4" w:space="0" w:color="auto"/>
            </w:tcBorders>
            <w:shd w:val="clear" w:color="auto" w:fill="auto"/>
            <w:vAlign w:val="center"/>
          </w:tcPr>
          <w:p w:rsidR="001723D9" w:rsidRPr="00300918" w:rsidRDefault="001723D9" w:rsidP="00F1629D">
            <w:pPr>
              <w:keepNext/>
              <w:spacing w:before="40" w:after="40"/>
              <w:jc w:val="center"/>
              <w:rPr>
                <w:rFonts w:ascii="Arial Narrow" w:hAnsi="Arial Narrow"/>
                <w:b/>
                <w:sz w:val="20"/>
                <w:lang w:val="en-AU"/>
              </w:rPr>
            </w:pPr>
            <w:r w:rsidRPr="00300918">
              <w:rPr>
                <w:rFonts w:ascii="Arial Narrow" w:hAnsi="Arial Narrow"/>
                <w:b/>
                <w:sz w:val="20"/>
                <w:lang w:val="en-AU"/>
              </w:rPr>
              <w:t>Sham</w:t>
            </w:r>
          </w:p>
        </w:tc>
        <w:tc>
          <w:tcPr>
            <w:tcW w:w="1214" w:type="pct"/>
            <w:gridSpan w:val="2"/>
            <w:tcBorders>
              <w:left w:val="single" w:sz="4" w:space="0" w:color="auto"/>
            </w:tcBorders>
            <w:shd w:val="clear" w:color="auto" w:fill="auto"/>
            <w:vAlign w:val="center"/>
          </w:tcPr>
          <w:p w:rsidR="001723D9" w:rsidRPr="00300918" w:rsidRDefault="001723D9" w:rsidP="001723D9">
            <w:pPr>
              <w:keepNext/>
              <w:spacing w:before="40" w:after="40"/>
              <w:jc w:val="center"/>
              <w:rPr>
                <w:rFonts w:ascii="Arial Narrow" w:hAnsi="Arial Narrow"/>
                <w:b/>
                <w:sz w:val="20"/>
                <w:lang w:val="en-AU"/>
              </w:rPr>
            </w:pPr>
            <w:r w:rsidRPr="00300918">
              <w:rPr>
                <w:rFonts w:ascii="Arial Narrow" w:hAnsi="Arial Narrow"/>
                <w:b/>
                <w:sz w:val="20"/>
                <w:lang w:val="en-AU"/>
              </w:rPr>
              <w:t>Difference</w:t>
            </w:r>
          </w:p>
        </w:tc>
      </w:tr>
      <w:tr w:rsidR="001723D9" w:rsidRPr="00300918" w:rsidTr="004A7E4C">
        <w:tc>
          <w:tcPr>
            <w:tcW w:w="1358" w:type="pct"/>
            <w:tcBorders>
              <w:right w:val="single" w:sz="4" w:space="0" w:color="auto"/>
            </w:tcBorders>
            <w:shd w:val="clear" w:color="auto" w:fill="auto"/>
            <w:vAlign w:val="center"/>
          </w:tcPr>
          <w:p w:rsidR="001723D9" w:rsidRPr="00300918" w:rsidRDefault="001723D9" w:rsidP="00F1629D">
            <w:pPr>
              <w:keepNext/>
              <w:spacing w:before="40" w:after="40"/>
              <w:rPr>
                <w:rFonts w:ascii="Arial Narrow" w:hAnsi="Arial Narrow"/>
                <w:sz w:val="20"/>
                <w:lang w:val="en-AU"/>
              </w:rPr>
            </w:pPr>
            <w:r w:rsidRPr="00300918">
              <w:rPr>
                <w:rFonts w:ascii="Arial Narrow" w:hAnsi="Arial Narrow"/>
                <w:sz w:val="20"/>
                <w:lang w:val="en-AU"/>
              </w:rPr>
              <w:t>Patients who achieved a vitreous haze score of 0 at week 8, n/N (%)</w:t>
            </w:r>
          </w:p>
        </w:tc>
        <w:tc>
          <w:tcPr>
            <w:tcW w:w="1213" w:type="pct"/>
            <w:gridSpan w:val="2"/>
            <w:tcBorders>
              <w:left w:val="single" w:sz="4" w:space="0" w:color="auto"/>
              <w:right w:val="single" w:sz="4" w:space="0" w:color="auto"/>
            </w:tcBorders>
            <w:shd w:val="clear" w:color="auto" w:fill="auto"/>
            <w:vAlign w:val="center"/>
          </w:tcPr>
          <w:p w:rsidR="001723D9" w:rsidRPr="00300918" w:rsidRDefault="001723D9" w:rsidP="00F1629D">
            <w:pPr>
              <w:keepNext/>
              <w:spacing w:before="40" w:after="40"/>
              <w:jc w:val="center"/>
              <w:rPr>
                <w:rFonts w:ascii="Arial Narrow" w:hAnsi="Arial Narrow"/>
                <w:sz w:val="20"/>
                <w:lang w:val="en-AU"/>
              </w:rPr>
            </w:pPr>
            <w:r w:rsidRPr="00300918">
              <w:rPr>
                <w:rFonts w:ascii="Arial Narrow" w:hAnsi="Arial Narrow"/>
                <w:snapToGrid w:val="0"/>
                <w:sz w:val="20"/>
                <w:szCs w:val="20"/>
                <w:lang w:val="en-AU"/>
              </w:rPr>
              <w:t>36/77 (46.8)</w:t>
            </w:r>
          </w:p>
        </w:tc>
        <w:tc>
          <w:tcPr>
            <w:tcW w:w="1214" w:type="pct"/>
            <w:gridSpan w:val="2"/>
            <w:tcBorders>
              <w:left w:val="single" w:sz="4" w:space="0" w:color="auto"/>
              <w:right w:val="single" w:sz="4" w:space="0" w:color="auto"/>
            </w:tcBorders>
            <w:shd w:val="clear" w:color="auto" w:fill="auto"/>
            <w:vAlign w:val="center"/>
          </w:tcPr>
          <w:p w:rsidR="001723D9" w:rsidRPr="00300918" w:rsidRDefault="001723D9" w:rsidP="00F1629D">
            <w:pPr>
              <w:keepNext/>
              <w:spacing w:before="40" w:after="40"/>
              <w:jc w:val="center"/>
              <w:rPr>
                <w:rFonts w:ascii="Arial Narrow" w:hAnsi="Arial Narrow"/>
                <w:sz w:val="20"/>
                <w:lang w:val="en-AU"/>
              </w:rPr>
            </w:pPr>
            <w:r w:rsidRPr="00300918">
              <w:rPr>
                <w:rFonts w:ascii="Arial Narrow" w:hAnsi="Arial Narrow"/>
                <w:sz w:val="20"/>
                <w:szCs w:val="20"/>
                <w:lang w:val="en-AU"/>
              </w:rPr>
              <w:t>9/76 (11.8)</w:t>
            </w:r>
          </w:p>
        </w:tc>
        <w:tc>
          <w:tcPr>
            <w:tcW w:w="1214" w:type="pct"/>
            <w:gridSpan w:val="2"/>
            <w:tcBorders>
              <w:left w:val="single" w:sz="4" w:space="0" w:color="auto"/>
            </w:tcBorders>
            <w:shd w:val="clear" w:color="auto" w:fill="auto"/>
            <w:vAlign w:val="center"/>
          </w:tcPr>
          <w:p w:rsidR="001723D9" w:rsidRPr="00300918" w:rsidRDefault="001723D9" w:rsidP="00C8640A">
            <w:pPr>
              <w:keepNext/>
              <w:spacing w:before="40" w:after="40"/>
              <w:jc w:val="center"/>
              <w:rPr>
                <w:rFonts w:ascii="Arial Narrow" w:hAnsi="Arial Narrow"/>
                <w:sz w:val="20"/>
                <w:lang w:val="en-AU"/>
              </w:rPr>
            </w:pPr>
            <w:r w:rsidRPr="00300918">
              <w:rPr>
                <w:rFonts w:ascii="Arial Narrow" w:hAnsi="Arial Narrow"/>
                <w:sz w:val="20"/>
                <w:lang w:val="en-AU"/>
              </w:rPr>
              <w:t>27 (35%)</w:t>
            </w:r>
          </w:p>
        </w:tc>
      </w:tr>
      <w:tr w:rsidR="001723D9" w:rsidRPr="00300918" w:rsidTr="004A7E4C">
        <w:tc>
          <w:tcPr>
            <w:tcW w:w="1358" w:type="pct"/>
            <w:tcBorders>
              <w:right w:val="single" w:sz="4" w:space="0" w:color="auto"/>
            </w:tcBorders>
            <w:shd w:val="clear" w:color="auto" w:fill="auto"/>
            <w:vAlign w:val="center"/>
          </w:tcPr>
          <w:p w:rsidR="001723D9" w:rsidRPr="00300918" w:rsidRDefault="001723D9" w:rsidP="00F1629D">
            <w:pPr>
              <w:keepNext/>
              <w:spacing w:before="40" w:after="40"/>
              <w:rPr>
                <w:rFonts w:ascii="Arial Narrow" w:hAnsi="Arial Narrow"/>
                <w:sz w:val="20"/>
                <w:lang w:val="en-AU"/>
              </w:rPr>
            </w:pPr>
            <w:r w:rsidRPr="00300918">
              <w:rPr>
                <w:rFonts w:ascii="Arial Narrow" w:hAnsi="Arial Narrow"/>
                <w:sz w:val="20"/>
                <w:lang w:val="en-AU"/>
              </w:rPr>
              <w:t>Mean number of letters gained BCVA from baseline to week 26 (letters)</w:t>
            </w:r>
          </w:p>
        </w:tc>
        <w:tc>
          <w:tcPr>
            <w:tcW w:w="1213" w:type="pct"/>
            <w:gridSpan w:val="2"/>
            <w:tcBorders>
              <w:left w:val="single" w:sz="4" w:space="0" w:color="auto"/>
              <w:right w:val="single" w:sz="4" w:space="0" w:color="auto"/>
            </w:tcBorders>
            <w:shd w:val="clear" w:color="auto" w:fill="auto"/>
            <w:vAlign w:val="center"/>
          </w:tcPr>
          <w:p w:rsidR="001723D9" w:rsidRPr="00300918" w:rsidRDefault="001723D9" w:rsidP="00F1629D">
            <w:pPr>
              <w:keepNext/>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10.5</w:t>
            </w:r>
          </w:p>
        </w:tc>
        <w:tc>
          <w:tcPr>
            <w:tcW w:w="1214" w:type="pct"/>
            <w:gridSpan w:val="2"/>
            <w:tcBorders>
              <w:left w:val="single" w:sz="4" w:space="0" w:color="auto"/>
              <w:right w:val="single" w:sz="4" w:space="0" w:color="auto"/>
            </w:tcBorders>
            <w:shd w:val="clear" w:color="auto" w:fill="auto"/>
            <w:vAlign w:val="center"/>
          </w:tcPr>
          <w:p w:rsidR="001723D9" w:rsidRPr="00300918" w:rsidRDefault="001723D9" w:rsidP="00F1629D">
            <w:pPr>
              <w:keepNext/>
              <w:spacing w:before="40" w:after="40"/>
              <w:jc w:val="center"/>
              <w:rPr>
                <w:rFonts w:ascii="Arial Narrow" w:hAnsi="Arial Narrow"/>
                <w:sz w:val="20"/>
                <w:szCs w:val="20"/>
                <w:lang w:val="en-AU"/>
              </w:rPr>
            </w:pPr>
            <w:r w:rsidRPr="00300918">
              <w:rPr>
                <w:rFonts w:ascii="Arial Narrow" w:hAnsi="Arial Narrow"/>
                <w:sz w:val="20"/>
                <w:szCs w:val="20"/>
                <w:lang w:val="en-AU"/>
              </w:rPr>
              <w:t>3.0</w:t>
            </w:r>
          </w:p>
        </w:tc>
        <w:tc>
          <w:tcPr>
            <w:tcW w:w="1214" w:type="pct"/>
            <w:gridSpan w:val="2"/>
            <w:tcBorders>
              <w:left w:val="single" w:sz="4" w:space="0" w:color="auto"/>
            </w:tcBorders>
            <w:shd w:val="clear" w:color="auto" w:fill="auto"/>
            <w:vAlign w:val="center"/>
          </w:tcPr>
          <w:p w:rsidR="001723D9" w:rsidRPr="00300918" w:rsidRDefault="001723D9" w:rsidP="00C8640A">
            <w:pPr>
              <w:keepNext/>
              <w:spacing w:before="40" w:after="40"/>
              <w:jc w:val="center"/>
              <w:rPr>
                <w:rFonts w:ascii="Arial Narrow" w:hAnsi="Arial Narrow"/>
                <w:sz w:val="20"/>
                <w:lang w:val="en-AU"/>
              </w:rPr>
            </w:pPr>
            <w:r w:rsidRPr="00300918">
              <w:rPr>
                <w:rFonts w:ascii="Arial Narrow" w:hAnsi="Arial Narrow"/>
                <w:sz w:val="20"/>
                <w:lang w:val="en-AU"/>
              </w:rPr>
              <w:t>7.5 (95% CI: 2.7, 12.3)</w:t>
            </w:r>
          </w:p>
        </w:tc>
      </w:tr>
      <w:tr w:rsidR="00F1629D" w:rsidRPr="00300918" w:rsidTr="00F1629D">
        <w:tc>
          <w:tcPr>
            <w:tcW w:w="5000" w:type="pct"/>
            <w:gridSpan w:val="7"/>
            <w:shd w:val="clear" w:color="auto" w:fill="auto"/>
            <w:vAlign w:val="center"/>
          </w:tcPr>
          <w:p w:rsidR="00F1629D" w:rsidRPr="00300918" w:rsidRDefault="00F1629D" w:rsidP="00F1629D">
            <w:pPr>
              <w:keepNext/>
              <w:spacing w:before="40" w:after="40"/>
              <w:rPr>
                <w:rFonts w:ascii="Arial Narrow" w:hAnsi="Arial Narrow"/>
                <w:sz w:val="20"/>
                <w:lang w:val="en-AU"/>
              </w:rPr>
            </w:pPr>
            <w:r w:rsidRPr="00300918">
              <w:rPr>
                <w:rFonts w:ascii="Arial Narrow" w:hAnsi="Arial Narrow"/>
                <w:b/>
                <w:sz w:val="20"/>
                <w:u w:val="single"/>
                <w:lang w:val="en-AU"/>
              </w:rPr>
              <w:t>Harms</w:t>
            </w:r>
          </w:p>
        </w:tc>
      </w:tr>
      <w:tr w:rsidR="00F1629D" w:rsidRPr="00300918" w:rsidTr="00F1629D">
        <w:tc>
          <w:tcPr>
            <w:tcW w:w="1358" w:type="pct"/>
            <w:tcBorders>
              <w:right w:val="single" w:sz="4" w:space="0" w:color="auto"/>
            </w:tcBorders>
            <w:shd w:val="clear" w:color="auto" w:fill="auto"/>
            <w:vAlign w:val="center"/>
          </w:tcPr>
          <w:p w:rsidR="00F1629D" w:rsidRPr="00300918" w:rsidRDefault="00F1629D" w:rsidP="00F1629D">
            <w:pPr>
              <w:keepNext/>
              <w:spacing w:before="40" w:after="40"/>
              <w:rPr>
                <w:rFonts w:ascii="Arial Narrow" w:hAnsi="Arial Narrow"/>
                <w:b/>
                <w:sz w:val="20"/>
                <w:lang w:val="en-AU"/>
              </w:rPr>
            </w:pPr>
            <w:r w:rsidRPr="00300918">
              <w:rPr>
                <w:rFonts w:ascii="Arial Narrow" w:hAnsi="Arial Narrow"/>
                <w:b/>
                <w:sz w:val="20"/>
                <w:lang w:val="en-AU"/>
              </w:rPr>
              <w:t>Event</w:t>
            </w:r>
          </w:p>
        </w:tc>
        <w:tc>
          <w:tcPr>
            <w:tcW w:w="751" w:type="pct"/>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napToGrid w:val="0"/>
                <w:sz w:val="20"/>
                <w:szCs w:val="20"/>
                <w:lang w:val="en-AU"/>
              </w:rPr>
            </w:pPr>
            <w:r w:rsidRPr="00300918">
              <w:rPr>
                <w:rFonts w:ascii="Arial Narrow" w:hAnsi="Arial Narrow"/>
                <w:b/>
                <w:sz w:val="20"/>
                <w:lang w:val="en-AU"/>
              </w:rPr>
              <w:t>Dexamethasone</w:t>
            </w:r>
          </w:p>
        </w:tc>
        <w:tc>
          <w:tcPr>
            <w:tcW w:w="926"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szCs w:val="20"/>
                <w:lang w:val="en-AU"/>
              </w:rPr>
            </w:pPr>
            <w:r w:rsidRPr="00300918">
              <w:rPr>
                <w:rFonts w:ascii="Arial Narrow" w:hAnsi="Arial Narrow"/>
                <w:b/>
                <w:sz w:val="20"/>
                <w:lang w:val="en-AU"/>
              </w:rPr>
              <w:t>Sham</w:t>
            </w:r>
          </w:p>
        </w:tc>
        <w:tc>
          <w:tcPr>
            <w:tcW w:w="942"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b/>
                <w:sz w:val="20"/>
                <w:lang w:val="en-AU"/>
              </w:rPr>
              <w:t>RR (95% CI)</w:t>
            </w:r>
          </w:p>
        </w:tc>
        <w:tc>
          <w:tcPr>
            <w:tcW w:w="1023" w:type="pct"/>
            <w:tcBorders>
              <w:lef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b/>
                <w:sz w:val="20"/>
                <w:lang w:val="en-AU"/>
              </w:rPr>
              <w:t>RD (95% CI)</w:t>
            </w:r>
          </w:p>
        </w:tc>
      </w:tr>
      <w:tr w:rsidR="00F1629D" w:rsidRPr="00300918" w:rsidTr="00F1629D">
        <w:tc>
          <w:tcPr>
            <w:tcW w:w="1358" w:type="pct"/>
            <w:tcBorders>
              <w:right w:val="single" w:sz="4" w:space="0" w:color="auto"/>
            </w:tcBorders>
            <w:shd w:val="clear" w:color="auto" w:fill="auto"/>
            <w:vAlign w:val="center"/>
          </w:tcPr>
          <w:p w:rsidR="00F1629D" w:rsidRPr="00300918" w:rsidRDefault="00F1629D" w:rsidP="00F1629D">
            <w:pPr>
              <w:keepNext/>
              <w:spacing w:before="40" w:after="40"/>
              <w:rPr>
                <w:rFonts w:ascii="Arial Narrow" w:hAnsi="Arial Narrow"/>
                <w:sz w:val="20"/>
                <w:vertAlign w:val="superscript"/>
                <w:lang w:val="en-AU"/>
              </w:rPr>
            </w:pPr>
            <w:r w:rsidRPr="00300918">
              <w:rPr>
                <w:rFonts w:ascii="Arial Narrow" w:hAnsi="Arial Narrow"/>
                <w:sz w:val="20"/>
                <w:lang w:val="en-AU"/>
              </w:rPr>
              <w:t>Intraocular pressure increased</w:t>
            </w:r>
            <w:r w:rsidRPr="00300918">
              <w:rPr>
                <w:rFonts w:ascii="Arial Narrow" w:hAnsi="Arial Narrow"/>
                <w:sz w:val="20"/>
                <w:vertAlign w:val="superscript"/>
                <w:lang w:val="en-AU"/>
              </w:rPr>
              <w:t>a</w:t>
            </w:r>
          </w:p>
        </w:tc>
        <w:tc>
          <w:tcPr>
            <w:tcW w:w="751" w:type="pct"/>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17 (22.4%)</w:t>
            </w:r>
          </w:p>
        </w:tc>
        <w:tc>
          <w:tcPr>
            <w:tcW w:w="926"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szCs w:val="20"/>
                <w:lang w:val="en-AU"/>
              </w:rPr>
            </w:pPr>
            <w:r w:rsidRPr="00300918">
              <w:rPr>
                <w:rFonts w:ascii="Arial Narrow" w:hAnsi="Arial Narrow"/>
                <w:sz w:val="20"/>
                <w:szCs w:val="20"/>
                <w:lang w:val="en-AU"/>
              </w:rPr>
              <w:t>3 (4.0%)</w:t>
            </w:r>
          </w:p>
        </w:tc>
        <w:tc>
          <w:tcPr>
            <w:tcW w:w="942"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sz w:val="20"/>
                <w:szCs w:val="20"/>
                <w:lang w:val="en-AU"/>
              </w:rPr>
              <w:t>5.59 (1.71, 18.29)</w:t>
            </w:r>
          </w:p>
        </w:tc>
        <w:tc>
          <w:tcPr>
            <w:tcW w:w="1023" w:type="pct"/>
            <w:tcBorders>
              <w:left w:val="single" w:sz="4" w:space="0" w:color="auto"/>
            </w:tcBorders>
            <w:shd w:val="clear" w:color="auto" w:fill="auto"/>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sz w:val="20"/>
                <w:szCs w:val="20"/>
                <w:lang w:val="en-AU"/>
              </w:rPr>
              <w:t>0.18 (0.08, 0.29)</w:t>
            </w:r>
          </w:p>
        </w:tc>
      </w:tr>
      <w:tr w:rsidR="00F1629D" w:rsidRPr="00300918" w:rsidTr="00F1629D">
        <w:tc>
          <w:tcPr>
            <w:tcW w:w="1358" w:type="pct"/>
            <w:tcBorders>
              <w:right w:val="single" w:sz="4" w:space="0" w:color="auto"/>
            </w:tcBorders>
            <w:shd w:val="clear" w:color="auto" w:fill="auto"/>
            <w:vAlign w:val="center"/>
          </w:tcPr>
          <w:p w:rsidR="00F1629D" w:rsidRPr="00300918" w:rsidRDefault="0072653F" w:rsidP="00F1629D">
            <w:pPr>
              <w:keepNext/>
              <w:spacing w:before="40" w:after="40"/>
              <w:rPr>
                <w:rFonts w:ascii="Arial Narrow" w:hAnsi="Arial Narrow"/>
                <w:sz w:val="20"/>
                <w:vertAlign w:val="superscript"/>
                <w:lang w:val="en-AU"/>
              </w:rPr>
            </w:pPr>
            <w:r w:rsidRPr="00300918">
              <w:rPr>
                <w:rFonts w:ascii="Arial Narrow" w:hAnsi="Arial Narrow"/>
                <w:sz w:val="20"/>
                <w:lang w:val="en-AU"/>
              </w:rPr>
              <w:t>Conjunctival hae</w:t>
            </w:r>
            <w:r w:rsidR="00F1629D" w:rsidRPr="00300918">
              <w:rPr>
                <w:rFonts w:ascii="Arial Narrow" w:hAnsi="Arial Narrow"/>
                <w:sz w:val="20"/>
                <w:lang w:val="en-AU"/>
              </w:rPr>
              <w:t>morrhage</w:t>
            </w:r>
            <w:r w:rsidR="00F1629D" w:rsidRPr="00300918">
              <w:rPr>
                <w:rFonts w:ascii="Arial Narrow" w:hAnsi="Arial Narrow"/>
                <w:sz w:val="20"/>
                <w:vertAlign w:val="superscript"/>
                <w:lang w:val="en-AU"/>
              </w:rPr>
              <w:t>a</w:t>
            </w:r>
          </w:p>
        </w:tc>
        <w:tc>
          <w:tcPr>
            <w:tcW w:w="751" w:type="pct"/>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19 (25.0%)</w:t>
            </w:r>
          </w:p>
        </w:tc>
        <w:tc>
          <w:tcPr>
            <w:tcW w:w="926"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szCs w:val="20"/>
                <w:lang w:val="en-AU"/>
              </w:rPr>
            </w:pPr>
            <w:r w:rsidRPr="00300918">
              <w:rPr>
                <w:rFonts w:ascii="Arial Narrow" w:hAnsi="Arial Narrow"/>
                <w:sz w:val="20"/>
                <w:szCs w:val="20"/>
                <w:lang w:val="en-AU"/>
              </w:rPr>
              <w:t>10 (13.3%)</w:t>
            </w:r>
          </w:p>
        </w:tc>
        <w:tc>
          <w:tcPr>
            <w:tcW w:w="942"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sz w:val="20"/>
                <w:szCs w:val="20"/>
                <w:lang w:val="en-AU"/>
              </w:rPr>
              <w:t>1.88 (0.93, 3.76)</w:t>
            </w:r>
          </w:p>
        </w:tc>
        <w:tc>
          <w:tcPr>
            <w:tcW w:w="1023" w:type="pct"/>
            <w:tcBorders>
              <w:lef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sz w:val="20"/>
                <w:szCs w:val="20"/>
                <w:lang w:val="en-AU"/>
              </w:rPr>
              <w:t>0.12 (-0.01, 0.24)</w:t>
            </w:r>
          </w:p>
        </w:tc>
      </w:tr>
      <w:tr w:rsidR="00F1629D" w:rsidRPr="00300918" w:rsidTr="00F1629D">
        <w:tc>
          <w:tcPr>
            <w:tcW w:w="1358" w:type="pct"/>
            <w:tcBorders>
              <w:right w:val="single" w:sz="4" w:space="0" w:color="auto"/>
            </w:tcBorders>
            <w:shd w:val="clear" w:color="auto" w:fill="auto"/>
            <w:vAlign w:val="center"/>
          </w:tcPr>
          <w:p w:rsidR="00F1629D" w:rsidRPr="00300918" w:rsidRDefault="00F1629D" w:rsidP="00F1629D">
            <w:pPr>
              <w:keepNext/>
              <w:spacing w:before="40" w:after="40"/>
              <w:rPr>
                <w:rFonts w:ascii="Arial Narrow" w:hAnsi="Arial Narrow"/>
                <w:sz w:val="20"/>
                <w:vertAlign w:val="superscript"/>
                <w:lang w:val="en-AU"/>
              </w:rPr>
            </w:pPr>
            <w:r w:rsidRPr="00300918">
              <w:rPr>
                <w:rFonts w:ascii="Arial Narrow" w:hAnsi="Arial Narrow"/>
                <w:sz w:val="20"/>
                <w:lang w:val="en-AU"/>
              </w:rPr>
              <w:t>Cataract</w:t>
            </w:r>
            <w:r w:rsidRPr="00300918">
              <w:rPr>
                <w:rFonts w:ascii="Arial Narrow" w:hAnsi="Arial Narrow"/>
                <w:sz w:val="20"/>
                <w:vertAlign w:val="superscript"/>
                <w:lang w:val="en-AU"/>
              </w:rPr>
              <w:t>a</w:t>
            </w:r>
          </w:p>
        </w:tc>
        <w:tc>
          <w:tcPr>
            <w:tcW w:w="751" w:type="pct"/>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8 (10.5%)</w:t>
            </w:r>
          </w:p>
        </w:tc>
        <w:tc>
          <w:tcPr>
            <w:tcW w:w="926"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szCs w:val="20"/>
                <w:lang w:val="en-AU"/>
              </w:rPr>
            </w:pPr>
            <w:r w:rsidRPr="00300918">
              <w:rPr>
                <w:rFonts w:ascii="Arial Narrow" w:hAnsi="Arial Narrow"/>
                <w:sz w:val="20"/>
                <w:szCs w:val="20"/>
                <w:lang w:val="en-AU"/>
              </w:rPr>
              <w:t>2 (2.7%)</w:t>
            </w:r>
          </w:p>
        </w:tc>
        <w:tc>
          <w:tcPr>
            <w:tcW w:w="942"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sz w:val="20"/>
                <w:szCs w:val="20"/>
                <w:lang w:val="en-AU"/>
              </w:rPr>
              <w:t>3.95 (0.87, 17.98)</w:t>
            </w:r>
          </w:p>
        </w:tc>
        <w:tc>
          <w:tcPr>
            <w:tcW w:w="1023" w:type="pct"/>
            <w:tcBorders>
              <w:lef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sz w:val="20"/>
                <w:szCs w:val="20"/>
                <w:lang w:val="en-AU"/>
              </w:rPr>
              <w:t>0.08 (0.00, 0.16)</w:t>
            </w:r>
          </w:p>
        </w:tc>
      </w:tr>
      <w:tr w:rsidR="00F1629D" w:rsidRPr="00300918" w:rsidTr="00F1629D">
        <w:tc>
          <w:tcPr>
            <w:tcW w:w="1358" w:type="pct"/>
            <w:tcBorders>
              <w:right w:val="single" w:sz="4" w:space="0" w:color="auto"/>
            </w:tcBorders>
            <w:shd w:val="clear" w:color="auto" w:fill="auto"/>
            <w:vAlign w:val="center"/>
          </w:tcPr>
          <w:p w:rsidR="00F1629D" w:rsidRPr="00300918" w:rsidRDefault="00F1629D" w:rsidP="00F1629D">
            <w:pPr>
              <w:keepNext/>
              <w:spacing w:before="40" w:after="40"/>
              <w:rPr>
                <w:rFonts w:ascii="Arial Narrow" w:hAnsi="Arial Narrow"/>
                <w:sz w:val="20"/>
                <w:vertAlign w:val="superscript"/>
                <w:lang w:val="en-AU"/>
              </w:rPr>
            </w:pPr>
            <w:r w:rsidRPr="00300918">
              <w:rPr>
                <w:rFonts w:ascii="Arial Narrow" w:hAnsi="Arial Narrow"/>
                <w:sz w:val="20"/>
                <w:lang w:val="en-AU"/>
              </w:rPr>
              <w:t>Ocular hypertension</w:t>
            </w:r>
            <w:r w:rsidRPr="00300918">
              <w:rPr>
                <w:rFonts w:ascii="Arial Narrow" w:hAnsi="Arial Narrow"/>
                <w:sz w:val="20"/>
                <w:vertAlign w:val="superscript"/>
                <w:lang w:val="en-AU"/>
              </w:rPr>
              <w:t>a</w:t>
            </w:r>
          </w:p>
        </w:tc>
        <w:tc>
          <w:tcPr>
            <w:tcW w:w="751" w:type="pct"/>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napToGrid w:val="0"/>
                <w:sz w:val="20"/>
                <w:szCs w:val="20"/>
                <w:lang w:val="en-AU"/>
              </w:rPr>
            </w:pPr>
            <w:r w:rsidRPr="00300918">
              <w:rPr>
                <w:rFonts w:ascii="Arial Narrow" w:hAnsi="Arial Narrow"/>
                <w:snapToGrid w:val="0"/>
                <w:sz w:val="20"/>
                <w:szCs w:val="20"/>
                <w:lang w:val="en-AU"/>
              </w:rPr>
              <w:t>5 (6.6%)</w:t>
            </w:r>
          </w:p>
        </w:tc>
        <w:tc>
          <w:tcPr>
            <w:tcW w:w="926"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szCs w:val="20"/>
                <w:lang w:val="en-AU"/>
              </w:rPr>
            </w:pPr>
            <w:r w:rsidRPr="00300918">
              <w:rPr>
                <w:rFonts w:ascii="Arial Narrow" w:hAnsi="Arial Narrow"/>
                <w:sz w:val="20"/>
                <w:szCs w:val="20"/>
                <w:lang w:val="en-AU"/>
              </w:rPr>
              <w:t>0 (0.0%)</w:t>
            </w:r>
          </w:p>
        </w:tc>
        <w:tc>
          <w:tcPr>
            <w:tcW w:w="942" w:type="pct"/>
            <w:gridSpan w:val="2"/>
            <w:tcBorders>
              <w:left w:val="single" w:sz="4" w:space="0" w:color="auto"/>
              <w:righ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sz w:val="20"/>
                <w:szCs w:val="20"/>
                <w:lang w:val="en-AU"/>
              </w:rPr>
              <w:t>9.87 (0.55, 177.49)</w:t>
            </w:r>
          </w:p>
        </w:tc>
        <w:tc>
          <w:tcPr>
            <w:tcW w:w="1023" w:type="pct"/>
            <w:tcBorders>
              <w:left w:val="single" w:sz="4" w:space="0" w:color="auto"/>
            </w:tcBorders>
            <w:shd w:val="clear" w:color="auto" w:fill="auto"/>
            <w:vAlign w:val="center"/>
          </w:tcPr>
          <w:p w:rsidR="00F1629D" w:rsidRPr="00300918" w:rsidRDefault="00F1629D" w:rsidP="00F1629D">
            <w:pPr>
              <w:keepNext/>
              <w:spacing w:before="40" w:after="40"/>
              <w:jc w:val="center"/>
              <w:rPr>
                <w:rFonts w:ascii="Arial Narrow" w:hAnsi="Arial Narrow"/>
                <w:sz w:val="20"/>
                <w:lang w:val="en-AU"/>
              </w:rPr>
            </w:pPr>
            <w:r w:rsidRPr="00300918">
              <w:rPr>
                <w:rFonts w:ascii="Arial Narrow" w:hAnsi="Arial Narrow"/>
                <w:sz w:val="20"/>
                <w:szCs w:val="20"/>
                <w:lang w:val="en-AU"/>
              </w:rPr>
              <w:t>0.07 (0.01, 0.13)</w:t>
            </w:r>
          </w:p>
        </w:tc>
      </w:tr>
    </w:tbl>
    <w:p w:rsidR="00F1629D" w:rsidRPr="00300918" w:rsidRDefault="00F1629D" w:rsidP="00F1629D">
      <w:pPr>
        <w:widowControl w:val="0"/>
        <w:spacing w:before="0" w:after="12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 xml:space="preserve">Source: Table 14.2-1, pp.199-200 of the HURON clinical study report; Figure 2-5, p.58 of the submission; Table 2-18, p.74 of the submission. </w:t>
      </w:r>
    </w:p>
    <w:p w:rsidR="00F1629D" w:rsidRPr="00300918" w:rsidRDefault="00F1629D" w:rsidP="00F1629D">
      <w:pPr>
        <w:widowControl w:val="0"/>
        <w:spacing w:before="0" w:after="12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Abbreviations: HR, hazard ratio; BCVA, best corrected visual acuity</w:t>
      </w:r>
    </w:p>
    <w:p w:rsidR="00F1629D" w:rsidRPr="00300918" w:rsidRDefault="00F1629D" w:rsidP="00674C3C">
      <w:pPr>
        <w:widowControl w:val="0"/>
        <w:spacing w:before="0" w:after="240"/>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vertAlign w:val="superscript"/>
        </w:rPr>
        <w:t>a</w:t>
      </w:r>
      <w:r w:rsidRPr="00300918">
        <w:rPr>
          <w:rFonts w:ascii="Arial Narrow" w:eastAsia="Times New Roman" w:hAnsi="Arial Narrow" w:cs="Arial"/>
          <w:snapToGrid w:val="0"/>
          <w:sz w:val="18"/>
          <w:szCs w:val="20"/>
        </w:rPr>
        <w:t xml:space="preserve"> Based on 26 week trial period</w:t>
      </w:r>
    </w:p>
    <w:p w:rsidR="00F1629D" w:rsidRPr="00300918" w:rsidRDefault="00F1629D" w:rsidP="00564892">
      <w:pPr>
        <w:numPr>
          <w:ilvl w:val="1"/>
          <w:numId w:val="1"/>
        </w:numPr>
        <w:ind w:left="709" w:hanging="709"/>
        <w:jc w:val="both"/>
      </w:pPr>
      <w:r w:rsidRPr="00300918">
        <w:t xml:space="preserve">On the basis of the direct evidence presented in the submission, for every 100 patients treated </w:t>
      </w:r>
      <w:r w:rsidRPr="00300918">
        <w:rPr>
          <w:rFonts w:cs="Arial"/>
          <w:bCs/>
          <w:snapToGrid w:val="0"/>
        </w:rPr>
        <w:t>with</w:t>
      </w:r>
      <w:r w:rsidRPr="00300918">
        <w:t xml:space="preserve"> dexamethasone implant compared with </w:t>
      </w:r>
      <w:r w:rsidR="00187FD3" w:rsidRPr="00300918">
        <w:t>no treatment</w:t>
      </w:r>
      <w:r w:rsidRPr="00300918">
        <w:t xml:space="preserve"> there would be an additional 35 patients whose visual haze changes from cloudy to clear over 8 weeks. </w:t>
      </w:r>
    </w:p>
    <w:p w:rsidR="00F1629D" w:rsidRPr="00300918" w:rsidRDefault="002F668F" w:rsidP="00564892">
      <w:pPr>
        <w:numPr>
          <w:ilvl w:val="1"/>
          <w:numId w:val="1"/>
        </w:numPr>
        <w:ind w:left="709" w:hanging="709"/>
        <w:jc w:val="both"/>
      </w:pPr>
      <w:r w:rsidRPr="00300918">
        <w:t xml:space="preserve">Patients treated with dexamethasone implant </w:t>
      </w:r>
      <w:r w:rsidR="00187FD3" w:rsidRPr="00300918">
        <w:t xml:space="preserve">would have a </w:t>
      </w:r>
      <w:r w:rsidRPr="00300918">
        <w:t xml:space="preserve">greater improvement in visual acuity compared with </w:t>
      </w:r>
      <w:r w:rsidR="00187FD3" w:rsidRPr="00300918">
        <w:t>no treatment</w:t>
      </w:r>
      <w:r w:rsidRPr="00300918">
        <w:t xml:space="preserve">, with the average patient </w:t>
      </w:r>
      <w:r w:rsidR="00B413A9" w:rsidRPr="00300918">
        <w:t>gaining an</w:t>
      </w:r>
      <w:r w:rsidRPr="00300918">
        <w:t xml:space="preserve"> additional 7.5 </w:t>
      </w:r>
      <w:r w:rsidRPr="00300918">
        <w:rPr>
          <w:rFonts w:cs="Arial"/>
          <w:bCs/>
          <w:snapToGrid w:val="0"/>
        </w:rPr>
        <w:t>letters</w:t>
      </w:r>
      <w:r w:rsidRPr="00300918">
        <w:t xml:space="preserve"> on </w:t>
      </w:r>
      <w:r w:rsidR="00187FD3" w:rsidRPr="00300918">
        <w:t>a standard eye</w:t>
      </w:r>
      <w:r w:rsidRPr="00300918">
        <w:t xml:space="preserve"> chart</w:t>
      </w:r>
      <w:r w:rsidR="00187FD3" w:rsidRPr="00300918">
        <w:t>.</w:t>
      </w:r>
    </w:p>
    <w:p w:rsidR="00F1629D" w:rsidRPr="00300918" w:rsidRDefault="00F1629D" w:rsidP="00564892">
      <w:pPr>
        <w:numPr>
          <w:ilvl w:val="1"/>
          <w:numId w:val="1"/>
        </w:numPr>
        <w:ind w:left="709" w:hanging="709"/>
        <w:jc w:val="both"/>
      </w:pPr>
      <w:r w:rsidRPr="00300918">
        <w:t xml:space="preserve">On the basis of the direct evidence presented in the submission, for every 100 patients treated </w:t>
      </w:r>
      <w:r w:rsidRPr="00300918">
        <w:rPr>
          <w:rFonts w:cs="Arial"/>
          <w:bCs/>
          <w:snapToGrid w:val="0"/>
        </w:rPr>
        <w:t>with</w:t>
      </w:r>
      <w:r w:rsidRPr="00300918">
        <w:t xml:space="preserve"> dexamethasone implant compared to </w:t>
      </w:r>
      <w:r w:rsidR="00187FD3" w:rsidRPr="00300918">
        <w:t>no treatment</w:t>
      </w:r>
      <w:r w:rsidRPr="00300918">
        <w:t xml:space="preserve"> there would be over a period of 26 weeks:</w:t>
      </w:r>
    </w:p>
    <w:p w:rsidR="00F1629D" w:rsidRPr="00300918" w:rsidRDefault="00F1629D" w:rsidP="00312247">
      <w:pPr>
        <w:numPr>
          <w:ilvl w:val="0"/>
          <w:numId w:val="3"/>
        </w:numPr>
        <w:ind w:left="993" w:hanging="284"/>
        <w:jc w:val="both"/>
      </w:pPr>
      <w:r w:rsidRPr="00300918">
        <w:t>Approximately 18 additional patients with increased intraocular pressure;</w:t>
      </w:r>
    </w:p>
    <w:p w:rsidR="00F1629D" w:rsidRPr="00300918" w:rsidRDefault="00F1629D" w:rsidP="00312247">
      <w:pPr>
        <w:numPr>
          <w:ilvl w:val="0"/>
          <w:numId w:val="3"/>
        </w:numPr>
        <w:ind w:left="993" w:hanging="284"/>
        <w:jc w:val="both"/>
      </w:pPr>
      <w:r w:rsidRPr="00300918">
        <w:t>Approximately 12 additional patients with conjunctival haemorrhage;</w:t>
      </w:r>
    </w:p>
    <w:p w:rsidR="00F1629D" w:rsidRPr="00300918" w:rsidRDefault="00F1629D" w:rsidP="00312247">
      <w:pPr>
        <w:numPr>
          <w:ilvl w:val="0"/>
          <w:numId w:val="3"/>
        </w:numPr>
        <w:ind w:left="993" w:hanging="284"/>
        <w:jc w:val="both"/>
      </w:pPr>
      <w:r w:rsidRPr="00300918">
        <w:t>Approximately 8 additional patients with cataract;</w:t>
      </w:r>
    </w:p>
    <w:p w:rsidR="00F1629D" w:rsidRPr="00300918" w:rsidRDefault="00F1629D" w:rsidP="00312247">
      <w:pPr>
        <w:numPr>
          <w:ilvl w:val="0"/>
          <w:numId w:val="3"/>
        </w:numPr>
        <w:ind w:left="993" w:hanging="284"/>
        <w:jc w:val="both"/>
      </w:pPr>
      <w:r w:rsidRPr="00300918">
        <w:t>Approximately 7 additional patients with ocular hypertension.</w:t>
      </w:r>
    </w:p>
    <w:p w:rsidR="00F1629D" w:rsidRPr="00300918" w:rsidRDefault="00F1629D" w:rsidP="00944061">
      <w:pPr>
        <w:pStyle w:val="Heading2"/>
        <w:rPr>
          <w:i w:val="0"/>
        </w:rPr>
      </w:pPr>
      <w:bookmarkStart w:id="32" w:name="_Toc490486484"/>
      <w:bookmarkStart w:id="33" w:name="_Toc492995315"/>
      <w:bookmarkEnd w:id="31"/>
      <w:r w:rsidRPr="00300918">
        <w:rPr>
          <w:i w:val="0"/>
        </w:rPr>
        <w:t>Interpretation of clinical evidence</w:t>
      </w:r>
      <w:bookmarkEnd w:id="32"/>
      <w:bookmarkEnd w:id="33"/>
    </w:p>
    <w:p w:rsidR="00F1629D" w:rsidRPr="00300918" w:rsidRDefault="00F1629D" w:rsidP="00564892">
      <w:pPr>
        <w:numPr>
          <w:ilvl w:val="1"/>
          <w:numId w:val="1"/>
        </w:numPr>
        <w:ind w:left="709" w:hanging="709"/>
        <w:jc w:val="both"/>
      </w:pPr>
      <w:r w:rsidRPr="00300918">
        <w:t xml:space="preserve">The submission described dexamethasone implant as superior in terms of efficacy compared with sham, and inferior in terms of safety compared with sham but with a manageable </w:t>
      </w:r>
      <w:r w:rsidRPr="00300918">
        <w:rPr>
          <w:rFonts w:cs="Arial"/>
          <w:bCs/>
          <w:snapToGrid w:val="0"/>
        </w:rPr>
        <w:t>safety</w:t>
      </w:r>
      <w:r w:rsidRPr="00300918">
        <w:t xml:space="preserve"> profile. </w:t>
      </w:r>
    </w:p>
    <w:p w:rsidR="00F1629D" w:rsidRPr="00300918" w:rsidRDefault="00F1629D" w:rsidP="00564892">
      <w:pPr>
        <w:numPr>
          <w:ilvl w:val="1"/>
          <w:numId w:val="1"/>
        </w:numPr>
        <w:ind w:left="709" w:hanging="709"/>
        <w:jc w:val="both"/>
      </w:pPr>
      <w:r w:rsidRPr="00300918">
        <w:t>The effectiveness of dexamethasone implant over current standard of care (</w:t>
      </w:r>
      <w:r w:rsidR="008C262F" w:rsidRPr="00300918">
        <w:t xml:space="preserve">periocular, </w:t>
      </w:r>
      <w:r w:rsidRPr="00300918">
        <w:t xml:space="preserve">intravitreal or systemic corticosteroids) has not been established. In the HURON trial, efficacy was established over sham (placebo). </w:t>
      </w:r>
      <w:r w:rsidR="00E35DF0" w:rsidRPr="00300918">
        <w:t>Despite this, t</w:t>
      </w:r>
      <w:r w:rsidR="00165C8D" w:rsidRPr="00300918">
        <w:t xml:space="preserve">he </w:t>
      </w:r>
      <w:r w:rsidR="00EA73BF" w:rsidRPr="00300918">
        <w:t xml:space="preserve">PBAC </w:t>
      </w:r>
      <w:r w:rsidR="00165C8D" w:rsidRPr="00300918">
        <w:t>considered that sham was an appropriate proxy for standard of care</w:t>
      </w:r>
      <w:r w:rsidR="00E66DF0" w:rsidRPr="00300918">
        <w:t xml:space="preserve"> </w:t>
      </w:r>
      <w:r w:rsidR="00E66DF0" w:rsidRPr="00300918">
        <w:rPr>
          <w:szCs w:val="24"/>
        </w:rPr>
        <w:t>as there are currently no approved or reimbursed local therapies</w:t>
      </w:r>
      <w:r w:rsidR="00165C8D" w:rsidRPr="00300918">
        <w:t>.</w:t>
      </w:r>
    </w:p>
    <w:p w:rsidR="00F1629D" w:rsidRPr="00300918" w:rsidRDefault="00F1629D" w:rsidP="00564892">
      <w:pPr>
        <w:numPr>
          <w:ilvl w:val="1"/>
          <w:numId w:val="1"/>
        </w:numPr>
        <w:ind w:left="709" w:hanging="709"/>
        <w:jc w:val="both"/>
      </w:pPr>
      <w:r w:rsidRPr="00300918">
        <w:t>Patients who received rescue medications (including oral or intravitreal corticosteroids) during the study had all efficacy end points set as missing for visits after the rescue medication, and values imputed using</w:t>
      </w:r>
      <w:r w:rsidR="000417CC" w:rsidRPr="00300918">
        <w:t xml:space="preserve"> last observation carried forward</w:t>
      </w:r>
      <w:r w:rsidRPr="00300918">
        <w:t xml:space="preserve"> </w:t>
      </w:r>
      <w:r w:rsidR="000417CC" w:rsidRPr="00300918">
        <w:t>(</w:t>
      </w:r>
      <w:r w:rsidR="00C57DF9" w:rsidRPr="00300918">
        <w:rPr>
          <w:rFonts w:cs="Arial"/>
          <w:bCs/>
          <w:snapToGrid w:val="0"/>
        </w:rPr>
        <w:t>LOCF</w:t>
      </w:r>
      <w:r w:rsidR="000417CC" w:rsidRPr="00300918">
        <w:t>)</w:t>
      </w:r>
      <w:r w:rsidRPr="00300918">
        <w:t xml:space="preserve">. </w:t>
      </w:r>
      <w:r w:rsidR="00FB215C" w:rsidRPr="00300918">
        <w:t>By not allowing response to rescue medications in the trial there is no direct comparative data to inform the model of the relative efficacy and safety of dexamethasone implant to rescue medications.</w:t>
      </w:r>
      <w:r w:rsidR="00891F1F" w:rsidRPr="00300918">
        <w:t xml:space="preserve"> </w:t>
      </w:r>
      <w:r w:rsidRPr="00300918">
        <w:t xml:space="preserve">Due to higher use of rescue medications in the </w:t>
      </w:r>
      <w:r w:rsidR="00524D1A" w:rsidRPr="00300918">
        <w:t xml:space="preserve">sham </w:t>
      </w:r>
      <w:r w:rsidRPr="00300918">
        <w:t>arm</w:t>
      </w:r>
      <w:r w:rsidR="00524D1A" w:rsidRPr="00300918">
        <w:t xml:space="preserve"> throughout the trial</w:t>
      </w:r>
      <w:r w:rsidRPr="00300918">
        <w:t xml:space="preserve">, this biased the analysis against </w:t>
      </w:r>
      <w:r w:rsidR="00524D1A" w:rsidRPr="00300918">
        <w:t>sham</w:t>
      </w:r>
      <w:r w:rsidRPr="00300918">
        <w:t>.</w:t>
      </w:r>
      <w:r w:rsidR="00F106B1" w:rsidRPr="00300918">
        <w:t xml:space="preserve"> The PSCR (p4) agreed that efficacy estimates from the HURON trial did not capture the efficacy of rescue medication</w:t>
      </w:r>
      <w:r w:rsidR="00E80C17" w:rsidRPr="00300918">
        <w:t xml:space="preserve"> however, argued that the use of LOCF for all treatment visits after initiation of rescue medication was a reasonable statistical method to address this.</w:t>
      </w:r>
      <w:r w:rsidR="008918B7" w:rsidRPr="00300918">
        <w:t xml:space="preserve"> </w:t>
      </w:r>
      <w:r w:rsidR="001304DA" w:rsidRPr="00300918">
        <w:t>The ESC noted that LOCF may be used when data is missing at random, however in this case missing data is not random, since greater numbers of sham patients would be expected to receive rescue medicines. The ESC considered that imputation using LOCF in this case is likely to favour dexamethasone.</w:t>
      </w:r>
      <w:r w:rsidR="00C728F2" w:rsidRPr="00300918">
        <w:t xml:space="preserve"> The pre-PBAC response (p4) strongly </w:t>
      </w:r>
      <w:r w:rsidR="00F86DDB" w:rsidRPr="00300918">
        <w:t>disagreed with</w:t>
      </w:r>
      <w:r w:rsidR="00C728F2" w:rsidRPr="00300918">
        <w:t xml:space="preserve"> the ESC and argued that the application of a LOCF procedure </w:t>
      </w:r>
      <w:r w:rsidR="00F86DDB" w:rsidRPr="00300918">
        <w:t xml:space="preserve">was appropriate and </w:t>
      </w:r>
      <w:r w:rsidR="00C728F2" w:rsidRPr="00300918">
        <w:t xml:space="preserve">could be considered conservative given that spontaneous resolution of posterior segment uveitis </w:t>
      </w:r>
      <w:r w:rsidR="00F86DDB" w:rsidRPr="00300918">
        <w:t>wa</w:t>
      </w:r>
      <w:r w:rsidR="00C728F2" w:rsidRPr="00300918">
        <w:t xml:space="preserve">s highly unlikely in the absence of treatment </w:t>
      </w:r>
      <w:r w:rsidR="00F86DDB" w:rsidRPr="00300918">
        <w:t>with</w:t>
      </w:r>
      <w:r w:rsidR="00C728F2" w:rsidRPr="00300918">
        <w:t xml:space="preserve"> further deterioration in a patient’s outcomes </w:t>
      </w:r>
      <w:r w:rsidR="00F86DDB" w:rsidRPr="00300918">
        <w:t>likely</w:t>
      </w:r>
      <w:r w:rsidR="00C728F2" w:rsidRPr="00300918">
        <w:t xml:space="preserve">. </w:t>
      </w:r>
      <w:r w:rsidR="00C728F2" w:rsidRPr="00300918">
        <w:rPr>
          <w:rFonts w:cs="Arial"/>
          <w:bCs/>
          <w:snapToGrid w:val="0"/>
        </w:rPr>
        <w:t xml:space="preserve">The PBAC noted that the analysis did not incorporate </w:t>
      </w:r>
      <w:r w:rsidR="00C728F2" w:rsidRPr="00300918">
        <w:t>the efficacy of rescue medication</w:t>
      </w:r>
      <w:r w:rsidR="00F86DDB" w:rsidRPr="00300918">
        <w:t xml:space="preserve">s </w:t>
      </w:r>
      <w:r w:rsidR="0032707E" w:rsidRPr="00300918">
        <w:t xml:space="preserve">and </w:t>
      </w:r>
      <w:r w:rsidR="00F86DDB" w:rsidRPr="00300918">
        <w:t xml:space="preserve">considered </w:t>
      </w:r>
      <w:r w:rsidR="0032707E" w:rsidRPr="00300918">
        <w:t xml:space="preserve">that </w:t>
      </w:r>
      <w:r w:rsidR="00F86DDB" w:rsidRPr="00300918">
        <w:t xml:space="preserve">this approach </w:t>
      </w:r>
      <w:r w:rsidR="00C728F2" w:rsidRPr="00300918">
        <w:rPr>
          <w:rFonts w:cs="Arial"/>
          <w:bCs/>
          <w:snapToGrid w:val="0"/>
        </w:rPr>
        <w:t>may not be reflective of current clinical practice. However</w:t>
      </w:r>
      <w:r w:rsidR="00C728F2" w:rsidRPr="00300918">
        <w:rPr>
          <w:rFonts w:cs="Arial"/>
          <w:bCs/>
          <w:snapToGrid w:val="0"/>
          <w:color w:val="000000" w:themeColor="text1"/>
        </w:rPr>
        <w:t>, t</w:t>
      </w:r>
      <w:r w:rsidR="00C728F2" w:rsidRPr="00300918">
        <w:rPr>
          <w:rFonts w:cs="Arial"/>
          <w:bCs/>
          <w:snapToGrid w:val="0"/>
        </w:rPr>
        <w:t xml:space="preserve">he PBAC </w:t>
      </w:r>
      <w:r w:rsidR="00F86DDB" w:rsidRPr="00300918">
        <w:rPr>
          <w:rFonts w:cs="Arial"/>
          <w:bCs/>
          <w:snapToGrid w:val="0"/>
        </w:rPr>
        <w:t>considered</w:t>
      </w:r>
      <w:r w:rsidR="00C728F2" w:rsidRPr="00300918">
        <w:rPr>
          <w:rFonts w:cs="Arial"/>
          <w:bCs/>
          <w:snapToGrid w:val="0"/>
        </w:rPr>
        <w:t xml:space="preserve"> </w:t>
      </w:r>
      <w:r w:rsidR="00F86DDB" w:rsidRPr="00300918">
        <w:rPr>
          <w:rFonts w:cs="Arial"/>
          <w:bCs/>
          <w:snapToGrid w:val="0"/>
        </w:rPr>
        <w:t xml:space="preserve">that a clinically meaningful treatment effect </w:t>
      </w:r>
      <w:r w:rsidR="002D7D2D" w:rsidRPr="00300918">
        <w:rPr>
          <w:rFonts w:cs="Arial"/>
          <w:bCs/>
          <w:snapToGrid w:val="0"/>
        </w:rPr>
        <w:t xml:space="preserve">in favour of dexamethasone implant </w:t>
      </w:r>
      <w:r w:rsidR="00F86DDB" w:rsidRPr="00300918">
        <w:rPr>
          <w:rFonts w:cs="Arial"/>
          <w:bCs/>
          <w:snapToGrid w:val="0"/>
        </w:rPr>
        <w:t xml:space="preserve">was indicated by the </w:t>
      </w:r>
      <w:r w:rsidR="00C728F2" w:rsidRPr="00300918">
        <w:rPr>
          <w:rFonts w:cs="Arial"/>
          <w:bCs/>
          <w:snapToGrid w:val="0"/>
          <w:color w:val="000000" w:themeColor="text1"/>
        </w:rPr>
        <w:t xml:space="preserve">lower proportion of patients who required rescue medicines in the dexamethasone 700 </w:t>
      </w:r>
      <w:r w:rsidR="0000216E" w:rsidRPr="00300918">
        <w:t>µg</w:t>
      </w:r>
      <w:r w:rsidR="00C728F2" w:rsidRPr="00300918">
        <w:rPr>
          <w:rFonts w:cs="Arial"/>
          <w:bCs/>
          <w:snapToGrid w:val="0"/>
          <w:color w:val="000000" w:themeColor="text1"/>
        </w:rPr>
        <w:t xml:space="preserve"> arm compared to sham</w:t>
      </w:r>
      <w:r w:rsidR="00C84563" w:rsidRPr="00300918">
        <w:rPr>
          <w:rFonts w:cs="Arial"/>
          <w:bCs/>
          <w:snapToGrid w:val="0"/>
          <w:color w:val="000000" w:themeColor="text1"/>
        </w:rPr>
        <w:t xml:space="preserve"> (Table 6)</w:t>
      </w:r>
      <w:r w:rsidR="00C728F2" w:rsidRPr="00300918">
        <w:rPr>
          <w:rFonts w:cs="Arial"/>
          <w:bCs/>
          <w:snapToGrid w:val="0"/>
          <w:color w:val="000000" w:themeColor="text1"/>
        </w:rPr>
        <w:t xml:space="preserve">. </w:t>
      </w:r>
    </w:p>
    <w:p w:rsidR="00C728F2" w:rsidRPr="00300918" w:rsidRDefault="00C728F2" w:rsidP="007E482C">
      <w:pPr>
        <w:pStyle w:val="TableHeading0"/>
        <w:spacing w:before="120" w:after="160"/>
      </w:pPr>
      <w:r w:rsidRPr="00300918">
        <w:t xml:space="preserve">Table </w:t>
      </w:r>
      <w:r w:rsidR="002D7D2D" w:rsidRPr="00300918">
        <w:t>6</w:t>
      </w:r>
      <w:r w:rsidRPr="00300918">
        <w:t>: Proportion of patients requiring rescue medication in the HURON trial (ITT)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Proportion of patients requiring rescue medication in the HURON trial (ITT)"/>
      </w:tblPr>
      <w:tblGrid>
        <w:gridCol w:w="1848"/>
        <w:gridCol w:w="1848"/>
        <w:gridCol w:w="1848"/>
        <w:gridCol w:w="1849"/>
        <w:gridCol w:w="1849"/>
      </w:tblGrid>
      <w:tr w:rsidR="00C728F2" w:rsidRPr="00300918" w:rsidTr="00A443F7">
        <w:trPr>
          <w:cnfStyle w:val="100000000000" w:firstRow="1" w:lastRow="0" w:firstColumn="0" w:lastColumn="0" w:oddVBand="0" w:evenVBand="0" w:oddHBand="0" w:evenHBand="0" w:firstRowFirstColumn="0" w:firstRowLastColumn="0" w:lastRowFirstColumn="0" w:lastRowLastColumn="0"/>
          <w:tblHeader/>
        </w:trPr>
        <w:tc>
          <w:tcPr>
            <w:tcW w:w="1848" w:type="dxa"/>
            <w:vMerge w:val="restart"/>
            <w:shd w:val="clear" w:color="auto" w:fill="FFFFFF" w:themeFill="background1"/>
            <w:vAlign w:val="center"/>
          </w:tcPr>
          <w:p w:rsidR="00C728F2" w:rsidRPr="00300918" w:rsidRDefault="00C728F2" w:rsidP="0050319E">
            <w:pPr>
              <w:pStyle w:val="TableText"/>
              <w:rPr>
                <w:lang w:val="en-AU"/>
              </w:rPr>
            </w:pPr>
            <w:r w:rsidRPr="00300918">
              <w:rPr>
                <w:lang w:val="en-AU"/>
              </w:rPr>
              <w:t>From baseline to study visit</w:t>
            </w:r>
          </w:p>
        </w:tc>
        <w:tc>
          <w:tcPr>
            <w:tcW w:w="5545" w:type="dxa"/>
            <w:gridSpan w:val="3"/>
            <w:shd w:val="clear" w:color="auto" w:fill="FFFFFF" w:themeFill="background1"/>
            <w:vAlign w:val="center"/>
          </w:tcPr>
          <w:p w:rsidR="00C728F2" w:rsidRPr="00300918" w:rsidRDefault="00C728F2" w:rsidP="0050319E">
            <w:pPr>
              <w:pStyle w:val="TableText"/>
              <w:jc w:val="center"/>
              <w:rPr>
                <w:lang w:val="en-AU"/>
              </w:rPr>
            </w:pPr>
            <w:r w:rsidRPr="00300918">
              <w:rPr>
                <w:lang w:val="en-AU"/>
              </w:rPr>
              <w:t>Patient requiring rescue medication, n/N (%)</w:t>
            </w:r>
          </w:p>
        </w:tc>
        <w:tc>
          <w:tcPr>
            <w:tcW w:w="1849" w:type="dxa"/>
            <w:vMerge w:val="restart"/>
            <w:shd w:val="clear" w:color="auto" w:fill="FFFFFF" w:themeFill="background1"/>
            <w:vAlign w:val="center"/>
          </w:tcPr>
          <w:p w:rsidR="00C728F2" w:rsidRPr="00300918" w:rsidRDefault="00C728F2" w:rsidP="0050319E">
            <w:pPr>
              <w:pStyle w:val="TableText"/>
              <w:jc w:val="center"/>
              <w:rPr>
                <w:lang w:val="en-AU"/>
              </w:rPr>
            </w:pPr>
            <w:r w:rsidRPr="00300918">
              <w:rPr>
                <w:lang w:val="en-AU"/>
              </w:rPr>
              <w:t>Dexamethasone 700 µg implant vs. sham</w:t>
            </w:r>
          </w:p>
          <w:p w:rsidR="00C728F2" w:rsidRPr="00300918" w:rsidRDefault="00C728F2" w:rsidP="0050319E">
            <w:pPr>
              <w:pStyle w:val="TableText"/>
              <w:jc w:val="center"/>
              <w:rPr>
                <w:lang w:val="en-AU"/>
              </w:rPr>
            </w:pPr>
            <w:r w:rsidRPr="00300918">
              <w:rPr>
                <w:lang w:val="en-AU"/>
              </w:rPr>
              <w:t>p-value</w:t>
            </w:r>
          </w:p>
        </w:tc>
      </w:tr>
      <w:tr w:rsidR="00C728F2" w:rsidRPr="00300918" w:rsidTr="00F93D10">
        <w:trPr>
          <w:cnfStyle w:val="100000000000" w:firstRow="1" w:lastRow="0" w:firstColumn="0" w:lastColumn="0" w:oddVBand="0" w:evenVBand="0" w:oddHBand="0" w:evenHBand="0" w:firstRowFirstColumn="0" w:firstRowLastColumn="0" w:lastRowFirstColumn="0" w:lastRowLastColumn="0"/>
          <w:tblHeader/>
        </w:trPr>
        <w:tc>
          <w:tcPr>
            <w:tcW w:w="1848" w:type="dxa"/>
            <w:vMerge/>
            <w:vAlign w:val="center"/>
          </w:tcPr>
          <w:p w:rsidR="00C728F2" w:rsidRPr="00300918" w:rsidRDefault="00C728F2" w:rsidP="0050319E">
            <w:pPr>
              <w:pStyle w:val="TableText"/>
              <w:rPr>
                <w:lang w:val="en-AU"/>
              </w:rPr>
            </w:pPr>
          </w:p>
        </w:tc>
        <w:tc>
          <w:tcPr>
            <w:tcW w:w="1848" w:type="dxa"/>
            <w:shd w:val="clear" w:color="auto" w:fill="auto"/>
            <w:vAlign w:val="center"/>
          </w:tcPr>
          <w:p w:rsidR="00C728F2" w:rsidRPr="00300918" w:rsidRDefault="00C728F2" w:rsidP="0050319E">
            <w:pPr>
              <w:pStyle w:val="TableText"/>
              <w:jc w:val="center"/>
              <w:rPr>
                <w:b w:val="0"/>
                <w:lang w:val="en-AU"/>
              </w:rPr>
            </w:pPr>
            <w:r w:rsidRPr="00300918">
              <w:rPr>
                <w:b w:val="0"/>
                <w:lang w:val="en-AU"/>
              </w:rPr>
              <w:t>Dexamethasone implant 700 µg</w:t>
            </w:r>
          </w:p>
          <w:p w:rsidR="00C728F2" w:rsidRPr="00300918" w:rsidRDefault="00C728F2" w:rsidP="0050319E">
            <w:pPr>
              <w:pStyle w:val="TableText"/>
              <w:jc w:val="center"/>
              <w:rPr>
                <w:b w:val="0"/>
                <w:lang w:val="en-AU"/>
              </w:rPr>
            </w:pPr>
            <w:r w:rsidRPr="00300918">
              <w:rPr>
                <w:b w:val="0"/>
                <w:lang w:val="en-AU"/>
              </w:rPr>
              <w:t>(n=77)</w:t>
            </w:r>
          </w:p>
        </w:tc>
        <w:tc>
          <w:tcPr>
            <w:tcW w:w="1848" w:type="dxa"/>
            <w:shd w:val="clear" w:color="auto" w:fill="auto"/>
            <w:vAlign w:val="center"/>
          </w:tcPr>
          <w:p w:rsidR="00C728F2" w:rsidRPr="00300918" w:rsidRDefault="00C728F2" w:rsidP="0050319E">
            <w:pPr>
              <w:pStyle w:val="TableText"/>
              <w:jc w:val="center"/>
              <w:rPr>
                <w:b w:val="0"/>
                <w:lang w:val="en-AU"/>
              </w:rPr>
            </w:pPr>
            <w:r w:rsidRPr="00300918">
              <w:rPr>
                <w:b w:val="0"/>
                <w:lang w:val="en-AU"/>
              </w:rPr>
              <w:t>Dexamethasone implant 350 µg</w:t>
            </w:r>
          </w:p>
          <w:p w:rsidR="00C728F2" w:rsidRPr="00300918" w:rsidRDefault="00C728F2" w:rsidP="0050319E">
            <w:pPr>
              <w:pStyle w:val="TableText"/>
              <w:jc w:val="center"/>
              <w:rPr>
                <w:b w:val="0"/>
                <w:lang w:val="en-AU"/>
              </w:rPr>
            </w:pPr>
            <w:r w:rsidRPr="00300918">
              <w:rPr>
                <w:b w:val="0"/>
                <w:lang w:val="en-AU"/>
              </w:rPr>
              <w:t>(n=76)</w:t>
            </w:r>
          </w:p>
        </w:tc>
        <w:tc>
          <w:tcPr>
            <w:tcW w:w="1849" w:type="dxa"/>
            <w:shd w:val="clear" w:color="auto" w:fill="auto"/>
            <w:vAlign w:val="center"/>
          </w:tcPr>
          <w:p w:rsidR="00C728F2" w:rsidRPr="00300918" w:rsidRDefault="00C728F2" w:rsidP="0050319E">
            <w:pPr>
              <w:pStyle w:val="TableText"/>
              <w:jc w:val="center"/>
              <w:rPr>
                <w:b w:val="0"/>
                <w:lang w:val="en-AU"/>
              </w:rPr>
            </w:pPr>
            <w:r w:rsidRPr="00300918">
              <w:rPr>
                <w:b w:val="0"/>
                <w:lang w:val="en-AU"/>
              </w:rPr>
              <w:t>Sham</w:t>
            </w:r>
          </w:p>
          <w:p w:rsidR="00C728F2" w:rsidRPr="00300918" w:rsidRDefault="00C728F2" w:rsidP="0050319E">
            <w:pPr>
              <w:pStyle w:val="TableText"/>
              <w:jc w:val="center"/>
              <w:rPr>
                <w:b w:val="0"/>
                <w:lang w:val="en-AU"/>
              </w:rPr>
            </w:pPr>
            <w:r w:rsidRPr="00300918">
              <w:rPr>
                <w:b w:val="0"/>
                <w:lang w:val="en-AU"/>
              </w:rPr>
              <w:t>(n=76)</w:t>
            </w:r>
          </w:p>
        </w:tc>
        <w:tc>
          <w:tcPr>
            <w:tcW w:w="1849" w:type="dxa"/>
            <w:vMerge/>
            <w:vAlign w:val="center"/>
          </w:tcPr>
          <w:p w:rsidR="00C728F2" w:rsidRPr="00300918" w:rsidRDefault="00C728F2" w:rsidP="0050319E">
            <w:pPr>
              <w:pStyle w:val="TableText"/>
              <w:jc w:val="center"/>
              <w:rPr>
                <w:lang w:val="en-AU"/>
              </w:rPr>
            </w:pPr>
          </w:p>
        </w:tc>
      </w:tr>
      <w:tr w:rsidR="00C728F2" w:rsidRPr="00300918" w:rsidTr="0050319E">
        <w:tc>
          <w:tcPr>
            <w:tcW w:w="1848" w:type="dxa"/>
            <w:vAlign w:val="center"/>
          </w:tcPr>
          <w:p w:rsidR="00C728F2" w:rsidRPr="00300918" w:rsidRDefault="00C728F2" w:rsidP="0050319E">
            <w:pPr>
              <w:pStyle w:val="TableText"/>
              <w:rPr>
                <w:lang w:val="en-AU"/>
              </w:rPr>
            </w:pPr>
            <w:r w:rsidRPr="00300918">
              <w:rPr>
                <w:spacing w:val="-21"/>
                <w:lang w:val="en-AU"/>
              </w:rPr>
              <w:t>W</w:t>
            </w:r>
            <w:r w:rsidRPr="00300918">
              <w:rPr>
                <w:lang w:val="en-AU"/>
              </w:rPr>
              <w:t>e</w:t>
            </w:r>
            <w:r w:rsidRPr="00300918">
              <w:rPr>
                <w:spacing w:val="2"/>
                <w:lang w:val="en-AU"/>
              </w:rPr>
              <w:t>e</w:t>
            </w:r>
            <w:r w:rsidRPr="00300918">
              <w:rPr>
                <w:lang w:val="en-AU"/>
              </w:rPr>
              <w:t>k</w:t>
            </w:r>
            <w:r w:rsidRPr="00300918">
              <w:rPr>
                <w:spacing w:val="3"/>
                <w:lang w:val="en-AU"/>
              </w:rPr>
              <w:t xml:space="preserve"> </w:t>
            </w:r>
            <w:r w:rsidRPr="00300918">
              <w:rPr>
                <w:w w:val="101"/>
                <w:lang w:val="en-AU"/>
              </w:rPr>
              <w:t>3</w:t>
            </w:r>
          </w:p>
        </w:tc>
        <w:tc>
          <w:tcPr>
            <w:tcW w:w="1848" w:type="dxa"/>
            <w:vAlign w:val="center"/>
          </w:tcPr>
          <w:p w:rsidR="00C728F2" w:rsidRPr="00300918" w:rsidRDefault="00C728F2" w:rsidP="0050319E">
            <w:pPr>
              <w:pStyle w:val="TableText"/>
              <w:jc w:val="center"/>
              <w:rPr>
                <w:lang w:val="en-AU"/>
              </w:rPr>
            </w:pPr>
            <w:r w:rsidRPr="00300918">
              <w:rPr>
                <w:lang w:val="en-AU"/>
              </w:rPr>
              <w:t>1/77 (1.3)</w:t>
            </w:r>
          </w:p>
        </w:tc>
        <w:tc>
          <w:tcPr>
            <w:tcW w:w="1848" w:type="dxa"/>
            <w:vAlign w:val="center"/>
          </w:tcPr>
          <w:p w:rsidR="00C728F2" w:rsidRPr="00300918" w:rsidRDefault="00C728F2" w:rsidP="0050319E">
            <w:pPr>
              <w:pStyle w:val="TableText"/>
              <w:jc w:val="center"/>
              <w:rPr>
                <w:lang w:val="en-AU"/>
              </w:rPr>
            </w:pPr>
            <w:r w:rsidRPr="00300918">
              <w:rPr>
                <w:lang w:val="en-AU"/>
              </w:rPr>
              <w:t>2/76 (2.6)</w:t>
            </w:r>
          </w:p>
        </w:tc>
        <w:tc>
          <w:tcPr>
            <w:tcW w:w="1849" w:type="dxa"/>
            <w:vAlign w:val="center"/>
          </w:tcPr>
          <w:p w:rsidR="00C728F2" w:rsidRPr="00300918" w:rsidRDefault="00C728F2" w:rsidP="0050319E">
            <w:pPr>
              <w:pStyle w:val="TableText"/>
              <w:jc w:val="center"/>
              <w:rPr>
                <w:lang w:val="en-AU"/>
              </w:rPr>
            </w:pPr>
            <w:r w:rsidRPr="00300918">
              <w:rPr>
                <w:lang w:val="en-AU"/>
              </w:rPr>
              <w:t>11/76 (14.5)</w:t>
            </w:r>
          </w:p>
        </w:tc>
        <w:tc>
          <w:tcPr>
            <w:tcW w:w="1849" w:type="dxa"/>
            <w:vAlign w:val="center"/>
          </w:tcPr>
          <w:p w:rsidR="00C728F2" w:rsidRPr="00300918" w:rsidRDefault="00C728F2" w:rsidP="0050319E">
            <w:pPr>
              <w:pStyle w:val="TableText"/>
              <w:jc w:val="center"/>
              <w:rPr>
                <w:lang w:val="en-AU"/>
              </w:rPr>
            </w:pPr>
            <w:r w:rsidRPr="00300918">
              <w:rPr>
                <w:lang w:val="en-AU"/>
              </w:rPr>
              <w:t>0.002</w:t>
            </w:r>
          </w:p>
        </w:tc>
      </w:tr>
      <w:tr w:rsidR="00C728F2" w:rsidRPr="00300918" w:rsidTr="0050319E">
        <w:tc>
          <w:tcPr>
            <w:tcW w:w="1848" w:type="dxa"/>
            <w:vAlign w:val="center"/>
          </w:tcPr>
          <w:p w:rsidR="00C728F2" w:rsidRPr="00300918" w:rsidRDefault="00C728F2" w:rsidP="0050319E">
            <w:pPr>
              <w:pStyle w:val="TableText"/>
              <w:rPr>
                <w:lang w:val="en-AU"/>
              </w:rPr>
            </w:pPr>
            <w:r w:rsidRPr="00300918">
              <w:rPr>
                <w:spacing w:val="-21"/>
                <w:lang w:val="en-AU"/>
              </w:rPr>
              <w:t>W</w:t>
            </w:r>
            <w:r w:rsidRPr="00300918">
              <w:rPr>
                <w:lang w:val="en-AU"/>
              </w:rPr>
              <w:t>e</w:t>
            </w:r>
            <w:r w:rsidRPr="00300918">
              <w:rPr>
                <w:spacing w:val="2"/>
                <w:lang w:val="en-AU"/>
              </w:rPr>
              <w:t>e</w:t>
            </w:r>
            <w:r w:rsidRPr="00300918">
              <w:rPr>
                <w:lang w:val="en-AU"/>
              </w:rPr>
              <w:t>k</w:t>
            </w:r>
            <w:r w:rsidRPr="00300918">
              <w:rPr>
                <w:spacing w:val="3"/>
                <w:lang w:val="en-AU"/>
              </w:rPr>
              <w:t xml:space="preserve"> </w:t>
            </w:r>
            <w:r w:rsidRPr="00300918">
              <w:rPr>
                <w:w w:val="101"/>
                <w:lang w:val="en-AU"/>
              </w:rPr>
              <w:t>6</w:t>
            </w:r>
          </w:p>
        </w:tc>
        <w:tc>
          <w:tcPr>
            <w:tcW w:w="1848" w:type="dxa"/>
            <w:vAlign w:val="center"/>
          </w:tcPr>
          <w:p w:rsidR="00C728F2" w:rsidRPr="00300918" w:rsidRDefault="00C728F2" w:rsidP="0050319E">
            <w:pPr>
              <w:pStyle w:val="TableText"/>
              <w:jc w:val="center"/>
              <w:rPr>
                <w:lang w:val="en-AU"/>
              </w:rPr>
            </w:pPr>
            <w:r w:rsidRPr="00300918">
              <w:rPr>
                <w:lang w:val="en-AU"/>
              </w:rPr>
              <w:t>4/77 (5.2)</w:t>
            </w:r>
          </w:p>
        </w:tc>
        <w:tc>
          <w:tcPr>
            <w:tcW w:w="1848" w:type="dxa"/>
            <w:vAlign w:val="center"/>
          </w:tcPr>
          <w:p w:rsidR="00C728F2" w:rsidRPr="00300918" w:rsidRDefault="00C728F2" w:rsidP="0050319E">
            <w:pPr>
              <w:pStyle w:val="TableText"/>
              <w:jc w:val="center"/>
              <w:rPr>
                <w:lang w:val="en-AU"/>
              </w:rPr>
            </w:pPr>
            <w:r w:rsidRPr="00300918">
              <w:rPr>
                <w:lang w:val="en-AU"/>
              </w:rPr>
              <w:t>3/76 (3.9)</w:t>
            </w:r>
          </w:p>
        </w:tc>
        <w:tc>
          <w:tcPr>
            <w:tcW w:w="1849" w:type="dxa"/>
            <w:vAlign w:val="center"/>
          </w:tcPr>
          <w:p w:rsidR="00C728F2" w:rsidRPr="00300918" w:rsidRDefault="00C728F2" w:rsidP="0050319E">
            <w:pPr>
              <w:pStyle w:val="TableText"/>
              <w:jc w:val="center"/>
              <w:rPr>
                <w:lang w:val="en-AU"/>
              </w:rPr>
            </w:pPr>
            <w:r w:rsidRPr="00300918">
              <w:rPr>
                <w:lang w:val="en-AU"/>
              </w:rPr>
              <w:t>14/76 (18.4)</w:t>
            </w:r>
          </w:p>
        </w:tc>
        <w:tc>
          <w:tcPr>
            <w:tcW w:w="1849" w:type="dxa"/>
            <w:vAlign w:val="center"/>
          </w:tcPr>
          <w:p w:rsidR="00C728F2" w:rsidRPr="00300918" w:rsidRDefault="00C728F2" w:rsidP="0050319E">
            <w:pPr>
              <w:pStyle w:val="TableText"/>
              <w:jc w:val="center"/>
              <w:rPr>
                <w:lang w:val="en-AU"/>
              </w:rPr>
            </w:pPr>
            <w:r w:rsidRPr="00300918">
              <w:rPr>
                <w:lang w:val="en-AU"/>
              </w:rPr>
              <w:t>0.011</w:t>
            </w:r>
          </w:p>
        </w:tc>
      </w:tr>
      <w:tr w:rsidR="00C728F2" w:rsidRPr="00300918" w:rsidTr="0050319E">
        <w:tc>
          <w:tcPr>
            <w:tcW w:w="1848" w:type="dxa"/>
            <w:vAlign w:val="center"/>
          </w:tcPr>
          <w:p w:rsidR="00C728F2" w:rsidRPr="00300918" w:rsidRDefault="00C728F2" w:rsidP="0050319E">
            <w:pPr>
              <w:pStyle w:val="TableText"/>
              <w:rPr>
                <w:lang w:val="en-AU"/>
              </w:rPr>
            </w:pPr>
            <w:r w:rsidRPr="00300918">
              <w:rPr>
                <w:spacing w:val="-21"/>
                <w:lang w:val="en-AU"/>
              </w:rPr>
              <w:t>W</w:t>
            </w:r>
            <w:r w:rsidRPr="00300918">
              <w:rPr>
                <w:lang w:val="en-AU"/>
              </w:rPr>
              <w:t>e</w:t>
            </w:r>
            <w:r w:rsidRPr="00300918">
              <w:rPr>
                <w:spacing w:val="2"/>
                <w:lang w:val="en-AU"/>
              </w:rPr>
              <w:t>e</w:t>
            </w:r>
            <w:r w:rsidRPr="00300918">
              <w:rPr>
                <w:lang w:val="en-AU"/>
              </w:rPr>
              <w:t>k</w:t>
            </w:r>
            <w:r w:rsidRPr="00300918">
              <w:rPr>
                <w:spacing w:val="3"/>
                <w:lang w:val="en-AU"/>
              </w:rPr>
              <w:t xml:space="preserve"> </w:t>
            </w:r>
            <w:r w:rsidRPr="00300918">
              <w:rPr>
                <w:w w:val="101"/>
                <w:lang w:val="en-AU"/>
              </w:rPr>
              <w:t>8</w:t>
            </w:r>
          </w:p>
        </w:tc>
        <w:tc>
          <w:tcPr>
            <w:tcW w:w="1848" w:type="dxa"/>
            <w:vAlign w:val="center"/>
          </w:tcPr>
          <w:p w:rsidR="00C728F2" w:rsidRPr="00300918" w:rsidRDefault="00C728F2" w:rsidP="0050319E">
            <w:pPr>
              <w:pStyle w:val="TableText"/>
              <w:jc w:val="center"/>
              <w:rPr>
                <w:lang w:val="en-AU"/>
              </w:rPr>
            </w:pPr>
            <w:r w:rsidRPr="00300918">
              <w:rPr>
                <w:lang w:val="en-AU"/>
              </w:rPr>
              <w:t>6/77 (7.8)</w:t>
            </w:r>
          </w:p>
        </w:tc>
        <w:tc>
          <w:tcPr>
            <w:tcW w:w="1848" w:type="dxa"/>
            <w:vAlign w:val="center"/>
          </w:tcPr>
          <w:p w:rsidR="00C728F2" w:rsidRPr="00300918" w:rsidRDefault="00C728F2" w:rsidP="0050319E">
            <w:pPr>
              <w:pStyle w:val="TableText"/>
              <w:jc w:val="center"/>
              <w:rPr>
                <w:lang w:val="en-AU"/>
              </w:rPr>
            </w:pPr>
            <w:r w:rsidRPr="00300918">
              <w:rPr>
                <w:lang w:val="en-AU"/>
              </w:rPr>
              <w:t>4/76 (5.3)</w:t>
            </w:r>
          </w:p>
        </w:tc>
        <w:tc>
          <w:tcPr>
            <w:tcW w:w="1849" w:type="dxa"/>
            <w:vAlign w:val="center"/>
          </w:tcPr>
          <w:p w:rsidR="00C728F2" w:rsidRPr="00300918" w:rsidRDefault="00C728F2" w:rsidP="0050319E">
            <w:pPr>
              <w:pStyle w:val="TableText"/>
              <w:jc w:val="center"/>
              <w:rPr>
                <w:lang w:val="en-AU"/>
              </w:rPr>
            </w:pPr>
            <w:r w:rsidRPr="00300918">
              <w:rPr>
                <w:lang w:val="en-AU"/>
              </w:rPr>
              <w:t>17/76 (22.4)</w:t>
            </w:r>
          </w:p>
        </w:tc>
        <w:tc>
          <w:tcPr>
            <w:tcW w:w="1849" w:type="dxa"/>
            <w:vAlign w:val="center"/>
          </w:tcPr>
          <w:p w:rsidR="00C728F2" w:rsidRPr="00300918" w:rsidRDefault="00C728F2" w:rsidP="0050319E">
            <w:pPr>
              <w:pStyle w:val="TableText"/>
              <w:jc w:val="center"/>
              <w:rPr>
                <w:lang w:val="en-AU"/>
              </w:rPr>
            </w:pPr>
            <w:r w:rsidRPr="00300918">
              <w:rPr>
                <w:lang w:val="en-AU"/>
              </w:rPr>
              <w:t>0.012</w:t>
            </w:r>
          </w:p>
        </w:tc>
      </w:tr>
      <w:tr w:rsidR="00C728F2" w:rsidRPr="00300918" w:rsidTr="0050319E">
        <w:tc>
          <w:tcPr>
            <w:tcW w:w="1848" w:type="dxa"/>
            <w:vAlign w:val="center"/>
          </w:tcPr>
          <w:p w:rsidR="00C728F2" w:rsidRPr="00300918" w:rsidRDefault="00C728F2" w:rsidP="0050319E">
            <w:pPr>
              <w:pStyle w:val="TableText"/>
              <w:rPr>
                <w:lang w:val="en-AU"/>
              </w:rPr>
            </w:pPr>
            <w:r w:rsidRPr="00300918">
              <w:rPr>
                <w:spacing w:val="-21"/>
                <w:lang w:val="en-AU"/>
              </w:rPr>
              <w:t>W</w:t>
            </w:r>
            <w:r w:rsidRPr="00300918">
              <w:rPr>
                <w:lang w:val="en-AU"/>
              </w:rPr>
              <w:t>e</w:t>
            </w:r>
            <w:r w:rsidRPr="00300918">
              <w:rPr>
                <w:spacing w:val="2"/>
                <w:lang w:val="en-AU"/>
              </w:rPr>
              <w:t>e</w:t>
            </w:r>
            <w:r w:rsidRPr="00300918">
              <w:rPr>
                <w:lang w:val="en-AU"/>
              </w:rPr>
              <w:t>k</w:t>
            </w:r>
            <w:r w:rsidRPr="00300918">
              <w:rPr>
                <w:spacing w:val="3"/>
                <w:lang w:val="en-AU"/>
              </w:rPr>
              <w:t xml:space="preserve"> </w:t>
            </w:r>
            <w:r w:rsidRPr="00300918">
              <w:rPr>
                <w:spacing w:val="1"/>
                <w:w w:val="101"/>
                <w:lang w:val="en-AU"/>
              </w:rPr>
              <w:t>1</w:t>
            </w:r>
            <w:r w:rsidRPr="00300918">
              <w:rPr>
                <w:w w:val="101"/>
                <w:lang w:val="en-AU"/>
              </w:rPr>
              <w:t>2</w:t>
            </w:r>
          </w:p>
        </w:tc>
        <w:tc>
          <w:tcPr>
            <w:tcW w:w="1848" w:type="dxa"/>
            <w:vAlign w:val="center"/>
          </w:tcPr>
          <w:p w:rsidR="00C728F2" w:rsidRPr="00300918" w:rsidRDefault="00C728F2" w:rsidP="0050319E">
            <w:pPr>
              <w:pStyle w:val="TableText"/>
              <w:jc w:val="center"/>
              <w:rPr>
                <w:lang w:val="en-AU"/>
              </w:rPr>
            </w:pPr>
            <w:r w:rsidRPr="00300918">
              <w:rPr>
                <w:lang w:val="en-AU"/>
              </w:rPr>
              <w:t>11/77 (14.3)</w:t>
            </w:r>
          </w:p>
        </w:tc>
        <w:tc>
          <w:tcPr>
            <w:tcW w:w="1848" w:type="dxa"/>
            <w:vAlign w:val="center"/>
          </w:tcPr>
          <w:p w:rsidR="00C728F2" w:rsidRPr="00300918" w:rsidRDefault="00C728F2" w:rsidP="0050319E">
            <w:pPr>
              <w:pStyle w:val="TableText"/>
              <w:jc w:val="center"/>
              <w:rPr>
                <w:lang w:val="en-AU"/>
              </w:rPr>
            </w:pPr>
            <w:r w:rsidRPr="00300918">
              <w:rPr>
                <w:lang w:val="en-AU"/>
              </w:rPr>
              <w:t>6/76 (7.9)</w:t>
            </w:r>
          </w:p>
        </w:tc>
        <w:tc>
          <w:tcPr>
            <w:tcW w:w="1849" w:type="dxa"/>
            <w:vAlign w:val="center"/>
          </w:tcPr>
          <w:p w:rsidR="00C728F2" w:rsidRPr="00300918" w:rsidRDefault="00C728F2" w:rsidP="0050319E">
            <w:pPr>
              <w:pStyle w:val="TableText"/>
              <w:jc w:val="center"/>
              <w:rPr>
                <w:lang w:val="en-AU"/>
              </w:rPr>
            </w:pPr>
            <w:r w:rsidRPr="00300918">
              <w:rPr>
                <w:lang w:val="en-AU"/>
              </w:rPr>
              <w:t>22/76 (28.9)</w:t>
            </w:r>
          </w:p>
        </w:tc>
        <w:tc>
          <w:tcPr>
            <w:tcW w:w="1849" w:type="dxa"/>
            <w:vAlign w:val="center"/>
          </w:tcPr>
          <w:p w:rsidR="00C728F2" w:rsidRPr="00300918" w:rsidRDefault="00C728F2" w:rsidP="0050319E">
            <w:pPr>
              <w:pStyle w:val="TableText"/>
              <w:jc w:val="center"/>
              <w:rPr>
                <w:lang w:val="en-AU"/>
              </w:rPr>
            </w:pPr>
            <w:r w:rsidRPr="00300918">
              <w:rPr>
                <w:lang w:val="en-AU"/>
              </w:rPr>
              <w:t>0.027</w:t>
            </w:r>
          </w:p>
        </w:tc>
      </w:tr>
      <w:tr w:rsidR="00C728F2" w:rsidRPr="00300918" w:rsidTr="0050319E">
        <w:tc>
          <w:tcPr>
            <w:tcW w:w="1848" w:type="dxa"/>
            <w:vAlign w:val="center"/>
          </w:tcPr>
          <w:p w:rsidR="00C728F2" w:rsidRPr="00300918" w:rsidRDefault="00C728F2" w:rsidP="0050319E">
            <w:pPr>
              <w:pStyle w:val="TableText"/>
              <w:rPr>
                <w:lang w:val="en-AU"/>
              </w:rPr>
            </w:pPr>
            <w:r w:rsidRPr="00300918">
              <w:rPr>
                <w:spacing w:val="-21"/>
                <w:lang w:val="en-AU"/>
              </w:rPr>
              <w:t>W</w:t>
            </w:r>
            <w:r w:rsidRPr="00300918">
              <w:rPr>
                <w:lang w:val="en-AU"/>
              </w:rPr>
              <w:t>e</w:t>
            </w:r>
            <w:r w:rsidRPr="00300918">
              <w:rPr>
                <w:spacing w:val="2"/>
                <w:lang w:val="en-AU"/>
              </w:rPr>
              <w:t>e</w:t>
            </w:r>
            <w:r w:rsidRPr="00300918">
              <w:rPr>
                <w:lang w:val="en-AU"/>
              </w:rPr>
              <w:t>k</w:t>
            </w:r>
            <w:r w:rsidRPr="00300918">
              <w:rPr>
                <w:spacing w:val="3"/>
                <w:lang w:val="en-AU"/>
              </w:rPr>
              <w:t xml:space="preserve"> </w:t>
            </w:r>
            <w:r w:rsidRPr="00300918">
              <w:rPr>
                <w:spacing w:val="1"/>
                <w:w w:val="101"/>
                <w:lang w:val="en-AU"/>
              </w:rPr>
              <w:t>1</w:t>
            </w:r>
            <w:r w:rsidRPr="00300918">
              <w:rPr>
                <w:w w:val="101"/>
                <w:lang w:val="en-AU"/>
              </w:rPr>
              <w:t>6</w:t>
            </w:r>
          </w:p>
        </w:tc>
        <w:tc>
          <w:tcPr>
            <w:tcW w:w="1848" w:type="dxa"/>
            <w:vAlign w:val="center"/>
          </w:tcPr>
          <w:p w:rsidR="00C728F2" w:rsidRPr="00300918" w:rsidRDefault="00C728F2" w:rsidP="0050319E">
            <w:pPr>
              <w:pStyle w:val="TableText"/>
              <w:jc w:val="center"/>
              <w:rPr>
                <w:lang w:val="en-AU"/>
              </w:rPr>
            </w:pPr>
            <w:r w:rsidRPr="00300918">
              <w:rPr>
                <w:lang w:val="en-AU"/>
              </w:rPr>
              <w:t>15/77 (19.5)</w:t>
            </w:r>
          </w:p>
        </w:tc>
        <w:tc>
          <w:tcPr>
            <w:tcW w:w="1848" w:type="dxa"/>
            <w:vAlign w:val="center"/>
          </w:tcPr>
          <w:p w:rsidR="00C728F2" w:rsidRPr="00300918" w:rsidRDefault="00C728F2" w:rsidP="0050319E">
            <w:pPr>
              <w:pStyle w:val="TableText"/>
              <w:jc w:val="center"/>
              <w:rPr>
                <w:lang w:val="en-AU"/>
              </w:rPr>
            </w:pPr>
            <w:r w:rsidRPr="00300918">
              <w:rPr>
                <w:lang w:val="en-AU"/>
              </w:rPr>
              <w:t>10/76 (13.2)</w:t>
            </w:r>
          </w:p>
        </w:tc>
        <w:tc>
          <w:tcPr>
            <w:tcW w:w="1849" w:type="dxa"/>
            <w:vAlign w:val="center"/>
          </w:tcPr>
          <w:p w:rsidR="00C728F2" w:rsidRPr="00300918" w:rsidRDefault="00C728F2" w:rsidP="0050319E">
            <w:pPr>
              <w:pStyle w:val="TableText"/>
              <w:jc w:val="center"/>
              <w:rPr>
                <w:lang w:val="en-AU"/>
              </w:rPr>
            </w:pPr>
            <w:r w:rsidRPr="00300918">
              <w:rPr>
                <w:lang w:val="en-AU"/>
              </w:rPr>
              <w:t>25/76 (32.9)</w:t>
            </w:r>
          </w:p>
        </w:tc>
        <w:tc>
          <w:tcPr>
            <w:tcW w:w="1849" w:type="dxa"/>
            <w:vAlign w:val="center"/>
          </w:tcPr>
          <w:p w:rsidR="00C728F2" w:rsidRPr="00300918" w:rsidRDefault="00C728F2" w:rsidP="0050319E">
            <w:pPr>
              <w:pStyle w:val="TableText"/>
              <w:jc w:val="center"/>
              <w:rPr>
                <w:lang w:val="en-AU"/>
              </w:rPr>
            </w:pPr>
            <w:r w:rsidRPr="00300918">
              <w:rPr>
                <w:lang w:val="en-AU"/>
              </w:rPr>
              <w:t>0.059</w:t>
            </w:r>
          </w:p>
        </w:tc>
      </w:tr>
      <w:tr w:rsidR="00C728F2" w:rsidRPr="00300918" w:rsidTr="0050319E">
        <w:tc>
          <w:tcPr>
            <w:tcW w:w="1848" w:type="dxa"/>
            <w:vAlign w:val="center"/>
          </w:tcPr>
          <w:p w:rsidR="00C728F2" w:rsidRPr="00300918" w:rsidRDefault="00C728F2" w:rsidP="0050319E">
            <w:pPr>
              <w:pStyle w:val="TableText"/>
              <w:rPr>
                <w:lang w:val="en-AU"/>
              </w:rPr>
            </w:pPr>
            <w:r w:rsidRPr="00300918">
              <w:rPr>
                <w:spacing w:val="-21"/>
                <w:lang w:val="en-AU"/>
              </w:rPr>
              <w:t>W</w:t>
            </w:r>
            <w:r w:rsidRPr="00300918">
              <w:rPr>
                <w:lang w:val="en-AU"/>
              </w:rPr>
              <w:t>e</w:t>
            </w:r>
            <w:r w:rsidRPr="00300918">
              <w:rPr>
                <w:spacing w:val="2"/>
                <w:lang w:val="en-AU"/>
              </w:rPr>
              <w:t>e</w:t>
            </w:r>
            <w:r w:rsidRPr="00300918">
              <w:rPr>
                <w:lang w:val="en-AU"/>
              </w:rPr>
              <w:t>k</w:t>
            </w:r>
            <w:r w:rsidRPr="00300918">
              <w:rPr>
                <w:spacing w:val="3"/>
                <w:lang w:val="en-AU"/>
              </w:rPr>
              <w:t xml:space="preserve"> </w:t>
            </w:r>
            <w:r w:rsidRPr="00300918">
              <w:rPr>
                <w:spacing w:val="1"/>
                <w:w w:val="101"/>
                <w:lang w:val="en-AU"/>
              </w:rPr>
              <w:t>2</w:t>
            </w:r>
            <w:r w:rsidRPr="00300918">
              <w:rPr>
                <w:w w:val="101"/>
                <w:lang w:val="en-AU"/>
              </w:rPr>
              <w:t>0</w:t>
            </w:r>
          </w:p>
        </w:tc>
        <w:tc>
          <w:tcPr>
            <w:tcW w:w="1848" w:type="dxa"/>
            <w:vAlign w:val="center"/>
          </w:tcPr>
          <w:p w:rsidR="00C728F2" w:rsidRPr="00300918" w:rsidRDefault="00C728F2" w:rsidP="0050319E">
            <w:pPr>
              <w:pStyle w:val="TableText"/>
              <w:jc w:val="center"/>
              <w:rPr>
                <w:lang w:val="en-AU"/>
              </w:rPr>
            </w:pPr>
            <w:r w:rsidRPr="00300918">
              <w:rPr>
                <w:lang w:val="en-AU"/>
              </w:rPr>
              <w:t>15/77 (19.5)</w:t>
            </w:r>
          </w:p>
        </w:tc>
        <w:tc>
          <w:tcPr>
            <w:tcW w:w="1848" w:type="dxa"/>
            <w:vAlign w:val="center"/>
          </w:tcPr>
          <w:p w:rsidR="00C728F2" w:rsidRPr="00300918" w:rsidRDefault="00C728F2" w:rsidP="0050319E">
            <w:pPr>
              <w:pStyle w:val="TableText"/>
              <w:jc w:val="center"/>
              <w:rPr>
                <w:lang w:val="en-AU"/>
              </w:rPr>
            </w:pPr>
            <w:r w:rsidRPr="00300918">
              <w:rPr>
                <w:lang w:val="en-AU"/>
              </w:rPr>
              <w:t>14/76 (18.4)</w:t>
            </w:r>
          </w:p>
        </w:tc>
        <w:tc>
          <w:tcPr>
            <w:tcW w:w="1849" w:type="dxa"/>
            <w:vAlign w:val="center"/>
          </w:tcPr>
          <w:p w:rsidR="00C728F2" w:rsidRPr="00300918" w:rsidRDefault="00C728F2" w:rsidP="0050319E">
            <w:pPr>
              <w:pStyle w:val="TableText"/>
              <w:jc w:val="center"/>
              <w:rPr>
                <w:lang w:val="en-AU"/>
              </w:rPr>
            </w:pPr>
            <w:r w:rsidRPr="00300918">
              <w:rPr>
                <w:lang w:val="en-AU"/>
              </w:rPr>
              <w:t>27/76 (35.5)</w:t>
            </w:r>
          </w:p>
        </w:tc>
        <w:tc>
          <w:tcPr>
            <w:tcW w:w="1849" w:type="dxa"/>
            <w:vAlign w:val="center"/>
          </w:tcPr>
          <w:p w:rsidR="00C728F2" w:rsidRPr="00300918" w:rsidRDefault="00C728F2" w:rsidP="0050319E">
            <w:pPr>
              <w:pStyle w:val="TableText"/>
              <w:jc w:val="center"/>
              <w:rPr>
                <w:lang w:val="en-AU"/>
              </w:rPr>
            </w:pPr>
            <w:r w:rsidRPr="00300918">
              <w:rPr>
                <w:lang w:val="en-AU"/>
              </w:rPr>
              <w:t>0.026</w:t>
            </w:r>
          </w:p>
        </w:tc>
      </w:tr>
      <w:tr w:rsidR="00C728F2" w:rsidRPr="00300918" w:rsidTr="0050319E">
        <w:tc>
          <w:tcPr>
            <w:tcW w:w="1848" w:type="dxa"/>
            <w:vAlign w:val="center"/>
          </w:tcPr>
          <w:p w:rsidR="00C728F2" w:rsidRPr="00300918" w:rsidRDefault="00C728F2" w:rsidP="0050319E">
            <w:pPr>
              <w:pStyle w:val="TableText"/>
              <w:rPr>
                <w:lang w:val="en-AU"/>
              </w:rPr>
            </w:pPr>
            <w:r w:rsidRPr="00300918">
              <w:rPr>
                <w:spacing w:val="-21"/>
                <w:lang w:val="en-AU"/>
              </w:rPr>
              <w:t>W</w:t>
            </w:r>
            <w:r w:rsidRPr="00300918">
              <w:rPr>
                <w:lang w:val="en-AU"/>
              </w:rPr>
              <w:t>e</w:t>
            </w:r>
            <w:r w:rsidRPr="00300918">
              <w:rPr>
                <w:spacing w:val="2"/>
                <w:lang w:val="en-AU"/>
              </w:rPr>
              <w:t>e</w:t>
            </w:r>
            <w:r w:rsidRPr="00300918">
              <w:rPr>
                <w:lang w:val="en-AU"/>
              </w:rPr>
              <w:t>k</w:t>
            </w:r>
            <w:r w:rsidRPr="00300918">
              <w:rPr>
                <w:spacing w:val="3"/>
                <w:lang w:val="en-AU"/>
              </w:rPr>
              <w:t xml:space="preserve"> </w:t>
            </w:r>
            <w:r w:rsidRPr="00300918">
              <w:rPr>
                <w:spacing w:val="1"/>
                <w:w w:val="101"/>
                <w:lang w:val="en-AU"/>
              </w:rPr>
              <w:t>2</w:t>
            </w:r>
            <w:r w:rsidRPr="00300918">
              <w:rPr>
                <w:w w:val="101"/>
                <w:lang w:val="en-AU"/>
              </w:rPr>
              <w:t>6</w:t>
            </w:r>
          </w:p>
        </w:tc>
        <w:tc>
          <w:tcPr>
            <w:tcW w:w="1848" w:type="dxa"/>
            <w:vAlign w:val="center"/>
          </w:tcPr>
          <w:p w:rsidR="00C728F2" w:rsidRPr="00300918" w:rsidRDefault="00C728F2" w:rsidP="0050319E">
            <w:pPr>
              <w:pStyle w:val="TableText"/>
              <w:jc w:val="center"/>
              <w:rPr>
                <w:lang w:val="en-AU"/>
              </w:rPr>
            </w:pPr>
            <w:r w:rsidRPr="00300918">
              <w:rPr>
                <w:lang w:val="en-AU"/>
              </w:rPr>
              <w:t>17/77 (22.1)</w:t>
            </w:r>
          </w:p>
        </w:tc>
        <w:tc>
          <w:tcPr>
            <w:tcW w:w="1848" w:type="dxa"/>
            <w:vAlign w:val="center"/>
          </w:tcPr>
          <w:p w:rsidR="00C728F2" w:rsidRPr="00300918" w:rsidRDefault="00C728F2" w:rsidP="0050319E">
            <w:pPr>
              <w:pStyle w:val="TableText"/>
              <w:jc w:val="center"/>
              <w:rPr>
                <w:lang w:val="en-AU"/>
              </w:rPr>
            </w:pPr>
            <w:r w:rsidRPr="00300918">
              <w:rPr>
                <w:lang w:val="en-AU"/>
              </w:rPr>
              <w:t>19/76 (25.0)</w:t>
            </w:r>
          </w:p>
        </w:tc>
        <w:tc>
          <w:tcPr>
            <w:tcW w:w="1849" w:type="dxa"/>
            <w:vAlign w:val="center"/>
          </w:tcPr>
          <w:p w:rsidR="00C728F2" w:rsidRPr="00300918" w:rsidRDefault="00C728F2" w:rsidP="0050319E">
            <w:pPr>
              <w:pStyle w:val="TableText"/>
              <w:jc w:val="center"/>
              <w:rPr>
                <w:lang w:val="en-AU"/>
              </w:rPr>
            </w:pPr>
            <w:r w:rsidRPr="00300918">
              <w:rPr>
                <w:lang w:val="en-AU"/>
              </w:rPr>
              <w:t>29/76 (38.2)</w:t>
            </w:r>
          </w:p>
        </w:tc>
        <w:tc>
          <w:tcPr>
            <w:tcW w:w="1849" w:type="dxa"/>
            <w:vAlign w:val="center"/>
          </w:tcPr>
          <w:p w:rsidR="00C728F2" w:rsidRPr="00300918" w:rsidRDefault="00C728F2" w:rsidP="0050319E">
            <w:pPr>
              <w:pStyle w:val="TableText"/>
              <w:jc w:val="center"/>
              <w:rPr>
                <w:lang w:val="en-AU"/>
              </w:rPr>
            </w:pPr>
            <w:r w:rsidRPr="00300918">
              <w:rPr>
                <w:lang w:val="en-AU"/>
              </w:rPr>
              <w:t>0.030</w:t>
            </w:r>
          </w:p>
        </w:tc>
      </w:tr>
    </w:tbl>
    <w:p w:rsidR="00C728F2" w:rsidRPr="00300918" w:rsidRDefault="00C728F2" w:rsidP="00C728F2">
      <w:pPr>
        <w:pStyle w:val="TableFooter"/>
      </w:pPr>
      <w:r w:rsidRPr="00300918">
        <w:t>Source: Table 14.2-12, p.224 of HURON clinical study report</w:t>
      </w:r>
    </w:p>
    <w:p w:rsidR="00C728F2" w:rsidRPr="00300918" w:rsidRDefault="00C728F2" w:rsidP="00C728F2">
      <w:pPr>
        <w:pStyle w:val="TableFooter"/>
      </w:pPr>
      <w:r w:rsidRPr="00300918">
        <w:t>Abbreviations: ITT, intention-to-treat</w:t>
      </w:r>
    </w:p>
    <w:p w:rsidR="00F1629D" w:rsidRPr="00300918" w:rsidRDefault="0027276D" w:rsidP="00564892">
      <w:pPr>
        <w:numPr>
          <w:ilvl w:val="1"/>
          <w:numId w:val="1"/>
        </w:numPr>
        <w:ind w:left="709" w:hanging="709"/>
        <w:jc w:val="both"/>
      </w:pPr>
      <w:r w:rsidRPr="00300918">
        <w:t xml:space="preserve">The </w:t>
      </w:r>
      <w:r w:rsidR="0070492E" w:rsidRPr="00300918">
        <w:t xml:space="preserve">PBAC </w:t>
      </w:r>
      <w:r w:rsidRPr="00300918">
        <w:t>noted t</w:t>
      </w:r>
      <w:r w:rsidR="00F1629D" w:rsidRPr="00300918">
        <w:t>here are limited long-term data around efficacy, safety and timing of repeat dexamethasone implants.</w:t>
      </w:r>
      <w:r w:rsidRPr="00300918">
        <w:t xml:space="preserve"> </w:t>
      </w:r>
      <w:r w:rsidR="00236F35" w:rsidRPr="00300918">
        <w:t xml:space="preserve">However, while some attenuation of response may be seen with repeat </w:t>
      </w:r>
      <w:r w:rsidR="00236F35" w:rsidRPr="00300918">
        <w:rPr>
          <w:rFonts w:cs="Arial"/>
          <w:bCs/>
          <w:snapToGrid w:val="0"/>
        </w:rPr>
        <w:t>implants</w:t>
      </w:r>
      <w:r w:rsidR="00236F35" w:rsidRPr="00300918">
        <w:t xml:space="preserve">, the </w:t>
      </w:r>
      <w:r w:rsidR="007B24F6" w:rsidRPr="00300918">
        <w:t>PB</w:t>
      </w:r>
      <w:r w:rsidR="0070492E" w:rsidRPr="00300918">
        <w:t>A</w:t>
      </w:r>
      <w:r w:rsidR="007B24F6" w:rsidRPr="00300918">
        <w:t>C</w:t>
      </w:r>
      <w:r w:rsidR="00D8143E" w:rsidRPr="00300918">
        <w:t xml:space="preserve"> </w:t>
      </w:r>
      <w:r w:rsidR="00236F35" w:rsidRPr="00300918">
        <w:t xml:space="preserve">considered it </w:t>
      </w:r>
      <w:r w:rsidR="00ED10F4" w:rsidRPr="00300918">
        <w:t xml:space="preserve">was not unreasonable to </w:t>
      </w:r>
      <w:r w:rsidR="00236F35" w:rsidRPr="00300918">
        <w:t xml:space="preserve">expect that repeat implants in individuals with </w:t>
      </w:r>
      <w:r w:rsidR="00CE50F0" w:rsidRPr="00300918">
        <w:t xml:space="preserve">a </w:t>
      </w:r>
      <w:r w:rsidR="00236F35" w:rsidRPr="00300918">
        <w:t>prior satisfactory response would have efficacy.</w:t>
      </w:r>
    </w:p>
    <w:p w:rsidR="002D7D2D" w:rsidRPr="00300918" w:rsidRDefault="002D7D2D" w:rsidP="00564892">
      <w:pPr>
        <w:numPr>
          <w:ilvl w:val="1"/>
          <w:numId w:val="1"/>
        </w:numPr>
        <w:ind w:left="709" w:hanging="709"/>
        <w:jc w:val="both"/>
      </w:pPr>
      <w:r w:rsidRPr="00300918">
        <w:t xml:space="preserve">The PBAC considered that the claim of superior comparative effectiveness </w:t>
      </w:r>
      <w:r w:rsidR="00573C4A" w:rsidRPr="00300918">
        <w:t xml:space="preserve">to sham </w:t>
      </w:r>
      <w:r w:rsidRPr="00300918">
        <w:t xml:space="preserve">was </w:t>
      </w:r>
      <w:r w:rsidRPr="00300918">
        <w:rPr>
          <w:rFonts w:cs="Arial"/>
          <w:bCs/>
          <w:snapToGrid w:val="0"/>
        </w:rPr>
        <w:t>reasonable</w:t>
      </w:r>
      <w:r w:rsidRPr="00300918">
        <w:t xml:space="preserve">. </w:t>
      </w:r>
    </w:p>
    <w:p w:rsidR="002D7D2D" w:rsidRPr="00300918" w:rsidRDefault="002D7D2D" w:rsidP="00564892">
      <w:pPr>
        <w:numPr>
          <w:ilvl w:val="1"/>
          <w:numId w:val="1"/>
        </w:numPr>
        <w:ind w:left="709" w:hanging="709"/>
        <w:jc w:val="both"/>
      </w:pPr>
      <w:r w:rsidRPr="00300918">
        <w:t xml:space="preserve">The PBAC considered that the claim of inferior comparative safety </w:t>
      </w:r>
      <w:r w:rsidR="00573C4A" w:rsidRPr="00300918">
        <w:t xml:space="preserve">between </w:t>
      </w:r>
      <w:r w:rsidR="00573C4A" w:rsidRPr="00300918">
        <w:rPr>
          <w:rFonts w:cs="Arial"/>
          <w:bCs/>
          <w:snapToGrid w:val="0"/>
        </w:rPr>
        <w:t>dexamethasone</w:t>
      </w:r>
      <w:r w:rsidR="00573C4A" w:rsidRPr="00300918">
        <w:t xml:space="preserve"> and sham </w:t>
      </w:r>
      <w:r w:rsidRPr="00300918">
        <w:t xml:space="preserve">was reasonable. </w:t>
      </w:r>
    </w:p>
    <w:p w:rsidR="00EA0D93" w:rsidRPr="00300918" w:rsidRDefault="00EA0D93" w:rsidP="00564892">
      <w:pPr>
        <w:numPr>
          <w:ilvl w:val="1"/>
          <w:numId w:val="1"/>
        </w:numPr>
        <w:ind w:left="709" w:hanging="709"/>
        <w:jc w:val="both"/>
      </w:pPr>
      <w:r w:rsidRPr="00300918">
        <w:t>The submission described dexamethasone as not statistically significantly different from intravitreal triamcinolone acetonide for efficacy or safety. The PBAC considered that limited conclusions could be drawn from the indirect comparison due to significant heterogeneity between trials. The PBAC considered it likely that the ocular adverse events reported with dexamethasone implant would be similar to those reported for intravitreal triamcinolone acetonide.</w:t>
      </w:r>
    </w:p>
    <w:p w:rsidR="00EA0D93" w:rsidRPr="00300918" w:rsidRDefault="00EA0D93" w:rsidP="00564892">
      <w:pPr>
        <w:numPr>
          <w:ilvl w:val="1"/>
          <w:numId w:val="1"/>
        </w:numPr>
        <w:ind w:left="709" w:hanging="709"/>
        <w:jc w:val="both"/>
      </w:pPr>
      <w:r w:rsidRPr="00300918">
        <w:t xml:space="preserve">The submission described dexamethasone implant as non-inferior in terms of effectiveness </w:t>
      </w:r>
      <w:r w:rsidRPr="00300918">
        <w:rPr>
          <w:rFonts w:cs="Arial"/>
          <w:bCs/>
          <w:snapToGrid w:val="0"/>
        </w:rPr>
        <w:t>compared</w:t>
      </w:r>
      <w:r w:rsidRPr="00300918">
        <w:t xml:space="preserve"> with adalimumab, with a different safety profile. The PBAC considered these claims were inadequately supported by the available data. </w:t>
      </w:r>
    </w:p>
    <w:p w:rsidR="00F1629D" w:rsidRPr="00300918" w:rsidRDefault="00F1629D" w:rsidP="00944061">
      <w:pPr>
        <w:pStyle w:val="Heading2"/>
        <w:rPr>
          <w:i w:val="0"/>
        </w:rPr>
      </w:pPr>
      <w:bookmarkStart w:id="34" w:name="_Toc413139282"/>
      <w:bookmarkStart w:id="35" w:name="_Toc490486485"/>
      <w:bookmarkStart w:id="36" w:name="_Toc492995316"/>
      <w:r w:rsidRPr="00300918">
        <w:rPr>
          <w:i w:val="0"/>
        </w:rPr>
        <w:t>Economic analysis</w:t>
      </w:r>
      <w:bookmarkEnd w:id="34"/>
      <w:bookmarkEnd w:id="35"/>
      <w:bookmarkEnd w:id="36"/>
    </w:p>
    <w:p w:rsidR="00CE03C8" w:rsidRDefault="00F1629D" w:rsidP="00564892">
      <w:pPr>
        <w:numPr>
          <w:ilvl w:val="1"/>
          <w:numId w:val="1"/>
        </w:numPr>
        <w:ind w:left="709" w:hanging="709"/>
        <w:jc w:val="both"/>
      </w:pPr>
      <w:r w:rsidRPr="00300918">
        <w:t xml:space="preserve">The submission presented a modelled cost-utility analysis comparing dexamethasone implant </w:t>
      </w:r>
      <w:r w:rsidRPr="00300918">
        <w:rPr>
          <w:rFonts w:cs="Arial"/>
          <w:bCs/>
          <w:snapToGrid w:val="0"/>
        </w:rPr>
        <w:t>to</w:t>
      </w:r>
      <w:r w:rsidRPr="00300918">
        <w:t xml:space="preserve"> sham in patients with non-infectious posterior segment uveitis. </w:t>
      </w:r>
    </w:p>
    <w:p w:rsidR="00CE03C8" w:rsidRPr="00CE03C8" w:rsidRDefault="00CE03C8" w:rsidP="00CE03C8"/>
    <w:p w:rsidR="00F1629D" w:rsidRPr="00300918" w:rsidRDefault="00F1629D" w:rsidP="00F1629D">
      <w:pPr>
        <w:keepNext/>
        <w:spacing w:before="0" w:after="60"/>
        <w:rPr>
          <w:rFonts w:ascii="Arial Narrow" w:hAnsi="Arial Narrow"/>
          <w:b/>
          <w:sz w:val="20"/>
        </w:rPr>
      </w:pPr>
      <w:r w:rsidRPr="00300918">
        <w:rPr>
          <w:rFonts w:ascii="Arial Narrow" w:hAnsi="Arial Narrow"/>
          <w:b/>
          <w:sz w:val="20"/>
        </w:rPr>
        <w:t xml:space="preserve">Table </w:t>
      </w:r>
      <w:r w:rsidR="00CC7248" w:rsidRPr="00300918">
        <w:rPr>
          <w:rFonts w:ascii="Arial Narrow" w:hAnsi="Arial Narrow"/>
          <w:b/>
          <w:sz w:val="20"/>
        </w:rPr>
        <w:t>7</w:t>
      </w:r>
      <w:r w:rsidRPr="00300918">
        <w:rPr>
          <w:rFonts w:ascii="Arial Narrow" w:hAnsi="Arial Narrow"/>
          <w:b/>
          <w:sz w:val="20"/>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82"/>
      </w:tblGrid>
      <w:tr w:rsidR="00F1629D" w:rsidRPr="00300918" w:rsidTr="00F1629D">
        <w:tc>
          <w:tcPr>
            <w:tcW w:w="1439" w:type="pct"/>
            <w:shd w:val="clear" w:color="auto" w:fill="auto"/>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 xml:space="preserve">Component </w:t>
            </w:r>
          </w:p>
        </w:tc>
        <w:tc>
          <w:tcPr>
            <w:tcW w:w="3561" w:type="pct"/>
            <w:shd w:val="clear" w:color="auto" w:fill="auto"/>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Description</w:t>
            </w:r>
          </w:p>
        </w:tc>
      </w:tr>
      <w:tr w:rsidR="00F1629D" w:rsidRPr="00300918" w:rsidTr="00F1629D">
        <w:tc>
          <w:tcPr>
            <w:tcW w:w="1439" w:type="pct"/>
            <w:shd w:val="clear" w:color="auto" w:fill="auto"/>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 xml:space="preserve">Type of analysis </w:t>
            </w:r>
          </w:p>
        </w:tc>
        <w:tc>
          <w:tcPr>
            <w:tcW w:w="3561"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Cost-effectiveness analysis/cost-utility analysis</w:t>
            </w:r>
          </w:p>
        </w:tc>
      </w:tr>
      <w:tr w:rsidR="00F1629D" w:rsidRPr="00300918" w:rsidTr="00F1629D">
        <w:tc>
          <w:tcPr>
            <w:tcW w:w="1439"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Outcomes</w:t>
            </w:r>
          </w:p>
        </w:tc>
        <w:tc>
          <w:tcPr>
            <w:tcW w:w="3561" w:type="pct"/>
            <w:shd w:val="clear" w:color="auto" w:fill="auto"/>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Proportion of patients with improvement in best corrected visual acuity</w:t>
            </w:r>
          </w:p>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Quality-adjusted life years</w:t>
            </w:r>
          </w:p>
        </w:tc>
      </w:tr>
      <w:tr w:rsidR="00F1629D" w:rsidRPr="00300918" w:rsidTr="00F1629D">
        <w:tc>
          <w:tcPr>
            <w:tcW w:w="1439"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Time horizon</w:t>
            </w:r>
          </w:p>
        </w:tc>
        <w:tc>
          <w:tcPr>
            <w:tcW w:w="3561" w:type="pct"/>
            <w:shd w:val="clear" w:color="auto" w:fill="auto"/>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Four years in the model base case (1-8 years in sensitivity analysis)</w:t>
            </w:r>
          </w:p>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Six months in trial-based analysis, consistent with HURON trial length</w:t>
            </w:r>
          </w:p>
        </w:tc>
      </w:tr>
      <w:tr w:rsidR="00F1629D" w:rsidRPr="00300918" w:rsidTr="00F1629D">
        <w:tc>
          <w:tcPr>
            <w:tcW w:w="1439"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Methods used to generate results</w:t>
            </w:r>
          </w:p>
        </w:tc>
        <w:tc>
          <w:tcPr>
            <w:tcW w:w="3561"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Markov analysis</w:t>
            </w:r>
          </w:p>
        </w:tc>
      </w:tr>
      <w:tr w:rsidR="00F1629D" w:rsidRPr="00300918" w:rsidTr="00F1629D">
        <w:tc>
          <w:tcPr>
            <w:tcW w:w="1439"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Health states</w:t>
            </w:r>
          </w:p>
        </w:tc>
        <w:tc>
          <w:tcPr>
            <w:tcW w:w="3561" w:type="pct"/>
            <w:shd w:val="clear" w:color="auto" w:fill="auto"/>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Two treatment arms are modelled: treatment with dexamethasone implant, and current standard of care (placebo). The modelled health states are defined by whether a patient experiences an improvement in best corrected visual acuity compared to baseline:</w:t>
            </w:r>
          </w:p>
          <w:p w:rsidR="00F1629D" w:rsidRPr="00300918" w:rsidRDefault="00F1629D" w:rsidP="00312247">
            <w:pPr>
              <w:keepNext/>
              <w:numPr>
                <w:ilvl w:val="0"/>
                <w:numId w:val="9"/>
              </w:numPr>
              <w:spacing w:before="40" w:after="40"/>
              <w:rPr>
                <w:rFonts w:ascii="Arial Narrow" w:hAnsi="Arial Narrow"/>
                <w:sz w:val="20"/>
              </w:rPr>
            </w:pPr>
            <w:r w:rsidRPr="00300918">
              <w:rPr>
                <w:rFonts w:ascii="Arial Narrow" w:hAnsi="Arial Narrow"/>
                <w:sz w:val="20"/>
              </w:rPr>
              <w:t>Baseline health state</w:t>
            </w:r>
          </w:p>
          <w:p w:rsidR="00F1629D" w:rsidRPr="00300918" w:rsidRDefault="00F1629D" w:rsidP="00312247">
            <w:pPr>
              <w:keepNext/>
              <w:numPr>
                <w:ilvl w:val="0"/>
                <w:numId w:val="9"/>
              </w:numPr>
              <w:spacing w:before="40" w:after="40"/>
              <w:rPr>
                <w:rFonts w:ascii="Arial Narrow" w:hAnsi="Arial Narrow"/>
                <w:sz w:val="20"/>
              </w:rPr>
            </w:pPr>
            <w:r w:rsidRPr="00300918">
              <w:rPr>
                <w:rFonts w:ascii="Arial Narrow" w:hAnsi="Arial Narrow"/>
                <w:sz w:val="20"/>
              </w:rPr>
              <w:t>Improvement in best corrected visual acuity compared with baseline (defined as ≥</w:t>
            </w:r>
            <w:r w:rsidR="00A10569" w:rsidRPr="00300918">
              <w:rPr>
                <w:rFonts w:ascii="Arial Narrow" w:hAnsi="Arial Narrow"/>
                <w:sz w:val="20"/>
              </w:rPr>
              <w:t xml:space="preserve"> </w:t>
            </w:r>
            <w:r w:rsidRPr="00300918">
              <w:rPr>
                <w:rFonts w:ascii="Arial Narrow" w:hAnsi="Arial Narrow"/>
                <w:sz w:val="20"/>
              </w:rPr>
              <w:t>5 letter gain in BCVA in base case)</w:t>
            </w:r>
          </w:p>
          <w:p w:rsidR="00F1629D" w:rsidRPr="00300918" w:rsidRDefault="00F1629D" w:rsidP="00312247">
            <w:pPr>
              <w:keepNext/>
              <w:numPr>
                <w:ilvl w:val="0"/>
                <w:numId w:val="9"/>
              </w:numPr>
              <w:spacing w:before="40" w:after="40"/>
              <w:rPr>
                <w:rFonts w:ascii="Arial Narrow" w:hAnsi="Arial Narrow"/>
                <w:sz w:val="20"/>
              </w:rPr>
            </w:pPr>
            <w:r w:rsidRPr="00300918">
              <w:rPr>
                <w:rFonts w:ascii="Arial Narrow" w:hAnsi="Arial Narrow"/>
                <w:sz w:val="20"/>
              </w:rPr>
              <w:t>No improvement in best corrected visual acuity compared with baseline health state</w:t>
            </w:r>
          </w:p>
          <w:p w:rsidR="00F1629D" w:rsidRPr="00300918" w:rsidRDefault="00F1629D" w:rsidP="00312247">
            <w:pPr>
              <w:keepNext/>
              <w:numPr>
                <w:ilvl w:val="0"/>
                <w:numId w:val="9"/>
              </w:numPr>
              <w:spacing w:before="40" w:after="40"/>
              <w:rPr>
                <w:rFonts w:ascii="Arial Narrow" w:hAnsi="Arial Narrow"/>
                <w:sz w:val="20"/>
              </w:rPr>
            </w:pPr>
            <w:r w:rsidRPr="00300918">
              <w:rPr>
                <w:rFonts w:ascii="Arial Narrow" w:hAnsi="Arial Narrow"/>
                <w:sz w:val="20"/>
              </w:rPr>
              <w:t>Death</w:t>
            </w:r>
          </w:p>
        </w:tc>
      </w:tr>
      <w:tr w:rsidR="00F1629D" w:rsidRPr="00300918" w:rsidTr="00F1629D">
        <w:tc>
          <w:tcPr>
            <w:tcW w:w="1439"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Cycle length</w:t>
            </w:r>
          </w:p>
        </w:tc>
        <w:tc>
          <w:tcPr>
            <w:tcW w:w="3561"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12 weeks</w:t>
            </w:r>
          </w:p>
        </w:tc>
      </w:tr>
      <w:tr w:rsidR="00F1629D" w:rsidRPr="00300918" w:rsidTr="00F1629D">
        <w:tc>
          <w:tcPr>
            <w:tcW w:w="1439" w:type="pct"/>
            <w:shd w:val="clear" w:color="auto" w:fill="auto"/>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Transition probabilities</w:t>
            </w:r>
          </w:p>
        </w:tc>
        <w:tc>
          <w:tcPr>
            <w:tcW w:w="3561" w:type="pct"/>
            <w:shd w:val="clear" w:color="auto" w:fill="auto"/>
          </w:tcPr>
          <w:p w:rsidR="00F1629D" w:rsidRPr="00300918" w:rsidRDefault="00F1629D" w:rsidP="00F1629D">
            <w:pPr>
              <w:keepNext/>
              <w:spacing w:before="40" w:after="40"/>
              <w:rPr>
                <w:rFonts w:ascii="Arial Narrow" w:hAnsi="Arial Narrow"/>
                <w:sz w:val="20"/>
              </w:rPr>
            </w:pPr>
            <w:r w:rsidRPr="00300918">
              <w:rPr>
                <w:rFonts w:ascii="Arial Narrow" w:hAnsi="Arial Narrow"/>
                <w:sz w:val="20"/>
              </w:rPr>
              <w:t>Key transition probabilities were derived from HURON trial:</w:t>
            </w:r>
          </w:p>
          <w:p w:rsidR="00F1629D" w:rsidRPr="00300918" w:rsidRDefault="00F1629D" w:rsidP="00312247">
            <w:pPr>
              <w:keepNext/>
              <w:numPr>
                <w:ilvl w:val="0"/>
                <w:numId w:val="10"/>
              </w:numPr>
              <w:spacing w:before="40" w:after="40"/>
              <w:rPr>
                <w:rFonts w:ascii="Arial Narrow" w:hAnsi="Arial Narrow"/>
                <w:sz w:val="20"/>
              </w:rPr>
            </w:pPr>
            <w:r w:rsidRPr="00300918">
              <w:rPr>
                <w:rFonts w:ascii="Arial Narrow" w:hAnsi="Arial Narrow"/>
                <w:sz w:val="20"/>
              </w:rPr>
              <w:t>probability of improvement (achievement of ≥</w:t>
            </w:r>
            <w:r w:rsidR="00A10569" w:rsidRPr="00300918">
              <w:rPr>
                <w:rFonts w:ascii="Arial Narrow" w:hAnsi="Arial Narrow"/>
                <w:sz w:val="20"/>
              </w:rPr>
              <w:t xml:space="preserve"> </w:t>
            </w:r>
            <w:r w:rsidRPr="00300918">
              <w:rPr>
                <w:rFonts w:ascii="Arial Narrow" w:hAnsi="Arial Narrow"/>
                <w:sz w:val="20"/>
              </w:rPr>
              <w:t>5 letter gain in BCVA in base case)</w:t>
            </w:r>
          </w:p>
          <w:p w:rsidR="00F1629D" w:rsidRPr="00300918" w:rsidRDefault="00F1629D" w:rsidP="00312247">
            <w:pPr>
              <w:keepNext/>
              <w:numPr>
                <w:ilvl w:val="0"/>
                <w:numId w:val="10"/>
              </w:numPr>
              <w:spacing w:before="40" w:after="40"/>
              <w:rPr>
                <w:rFonts w:ascii="Arial Narrow" w:hAnsi="Arial Narrow"/>
                <w:sz w:val="20"/>
              </w:rPr>
            </w:pPr>
            <w:r w:rsidRPr="00300918">
              <w:rPr>
                <w:rFonts w:ascii="Arial Narrow" w:hAnsi="Arial Narrow"/>
                <w:sz w:val="20"/>
              </w:rPr>
              <w:t>probability of uveitis relapse</w:t>
            </w:r>
          </w:p>
          <w:p w:rsidR="00F1629D" w:rsidRPr="00300918" w:rsidRDefault="00F1629D" w:rsidP="00312247">
            <w:pPr>
              <w:keepNext/>
              <w:numPr>
                <w:ilvl w:val="0"/>
                <w:numId w:val="10"/>
              </w:numPr>
              <w:spacing w:before="40" w:after="40"/>
              <w:rPr>
                <w:rFonts w:ascii="Arial Narrow" w:hAnsi="Arial Narrow"/>
                <w:sz w:val="20"/>
              </w:rPr>
            </w:pPr>
            <w:r w:rsidRPr="00300918">
              <w:rPr>
                <w:rFonts w:ascii="Arial Narrow" w:hAnsi="Arial Narrow"/>
                <w:sz w:val="20"/>
              </w:rPr>
              <w:t>probability of retreatment with subsequent dexamethasone implant</w:t>
            </w:r>
          </w:p>
          <w:p w:rsidR="00F1629D" w:rsidRPr="00300918" w:rsidRDefault="00F1629D" w:rsidP="00312247">
            <w:pPr>
              <w:keepNext/>
              <w:numPr>
                <w:ilvl w:val="0"/>
                <w:numId w:val="10"/>
              </w:numPr>
              <w:spacing w:before="40" w:after="40"/>
              <w:rPr>
                <w:rFonts w:ascii="Arial Narrow" w:hAnsi="Arial Narrow"/>
                <w:sz w:val="20"/>
              </w:rPr>
            </w:pPr>
            <w:r w:rsidRPr="00300918">
              <w:rPr>
                <w:rFonts w:ascii="Arial Narrow" w:hAnsi="Arial Narrow"/>
                <w:sz w:val="20"/>
              </w:rPr>
              <w:t>probability of regaining improvement with subsequent implant</w:t>
            </w:r>
          </w:p>
          <w:p w:rsidR="00F1629D" w:rsidRPr="00300918" w:rsidRDefault="00F1629D" w:rsidP="00312247">
            <w:pPr>
              <w:keepNext/>
              <w:numPr>
                <w:ilvl w:val="0"/>
                <w:numId w:val="10"/>
              </w:numPr>
              <w:spacing w:before="40" w:after="40"/>
              <w:rPr>
                <w:rFonts w:ascii="Arial Narrow" w:hAnsi="Arial Narrow"/>
                <w:sz w:val="20"/>
              </w:rPr>
            </w:pPr>
            <w:r w:rsidRPr="00300918">
              <w:rPr>
                <w:rFonts w:ascii="Arial Narrow" w:hAnsi="Arial Narrow"/>
                <w:sz w:val="20"/>
              </w:rPr>
              <w:t>probability of death (ABS life tables)</w:t>
            </w:r>
          </w:p>
        </w:tc>
      </w:tr>
      <w:tr w:rsidR="00F1629D" w:rsidRPr="00300918" w:rsidTr="00F1629D">
        <w:tc>
          <w:tcPr>
            <w:tcW w:w="1439"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Software package</w:t>
            </w:r>
          </w:p>
        </w:tc>
        <w:tc>
          <w:tcPr>
            <w:tcW w:w="3561" w:type="pct"/>
            <w:shd w:val="clear" w:color="auto" w:fill="auto"/>
          </w:tcPr>
          <w:p w:rsidR="00F1629D" w:rsidRPr="00300918" w:rsidRDefault="00F1629D" w:rsidP="00F1629D">
            <w:pPr>
              <w:keepNext/>
              <w:spacing w:before="40" w:after="40"/>
              <w:rPr>
                <w:rFonts w:ascii="Times" w:eastAsia="Times New Roman" w:hAnsi="Times" w:cs="Times New Roman"/>
                <w:sz w:val="20"/>
                <w:szCs w:val="20"/>
              </w:rPr>
            </w:pPr>
            <w:r w:rsidRPr="00300918">
              <w:rPr>
                <w:rFonts w:ascii="Arial Narrow" w:hAnsi="Arial Narrow"/>
                <w:sz w:val="20"/>
              </w:rPr>
              <w:t>TreeAge Pro with bilinks to Excel</w:t>
            </w:r>
          </w:p>
        </w:tc>
      </w:tr>
    </w:tbl>
    <w:p w:rsidR="00F1629D" w:rsidRPr="00300918" w:rsidRDefault="00F1629D" w:rsidP="00C10C7E">
      <w:pPr>
        <w:widowControl w:val="0"/>
        <w:spacing w:before="0" w:after="240"/>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Source: Table 3-1, p.95 of the submission</w:t>
      </w:r>
    </w:p>
    <w:p w:rsidR="0062460E" w:rsidRPr="00300918" w:rsidRDefault="001C0047" w:rsidP="00564892">
      <w:pPr>
        <w:numPr>
          <w:ilvl w:val="1"/>
          <w:numId w:val="1"/>
        </w:numPr>
        <w:ind w:left="709" w:hanging="709"/>
        <w:jc w:val="both"/>
      </w:pPr>
      <w:r w:rsidRPr="00300918">
        <w:t>The model structure does not accurately reflect the relapsing inflammatory nature of the condition or account for the natural resolution of symptoms or the impact of rescue medications. Patients with no improvement in the initial cycle can only remain in this state or die</w:t>
      </w:r>
      <w:r w:rsidR="00665F66" w:rsidRPr="00300918">
        <w:t xml:space="preserve"> </w:t>
      </w:r>
      <w:r w:rsidR="00C82359" w:rsidRPr="00300918">
        <w:t>(Figure 2)</w:t>
      </w:r>
      <w:r w:rsidRPr="00300918">
        <w:t>.</w:t>
      </w:r>
      <w:r w:rsidR="002B54F4" w:rsidRPr="00300918">
        <w:t xml:space="preserve"> The PSCR (p5) argued that spontaneous resolution of posterior segment uveitis is highly unlikely in the absence of treatment. </w:t>
      </w:r>
      <w:r w:rsidR="000A1533" w:rsidRPr="00300918">
        <w:t xml:space="preserve">The ESC agreed with the PSCR but considered </w:t>
      </w:r>
      <w:r w:rsidR="007809AC" w:rsidRPr="00300918">
        <w:t xml:space="preserve">that it was problematic that patients who enter the ‘no improvement’ health state can only remain in this state or die each cycle. The ESC considered this may not be representative of current clinical practice, where patients would be treated with alternative therapies also likely to impact upon visual acuity and experience subsequent episodes of relapse. </w:t>
      </w:r>
      <w:r w:rsidR="006109CC" w:rsidRPr="00300918">
        <w:t>T</w:t>
      </w:r>
      <w:r w:rsidR="00085B84" w:rsidRPr="00300918">
        <w:t xml:space="preserve">he pre-PBAC response (p2) </w:t>
      </w:r>
      <w:r w:rsidR="006109CC" w:rsidRPr="00300918">
        <w:t xml:space="preserve">stated </w:t>
      </w:r>
      <w:r w:rsidR="0078067C" w:rsidRPr="00300918">
        <w:t xml:space="preserve">that a conservative model was presented </w:t>
      </w:r>
      <w:r w:rsidR="00D54A39" w:rsidRPr="00300918">
        <w:t xml:space="preserve">given </w:t>
      </w:r>
      <w:r w:rsidR="0062460E" w:rsidRPr="00300918">
        <w:t xml:space="preserve">it does not allow patients to experience deterioration of visual acuity beyond that observed at baseline and the costs and detrimental effects associated with blindness in the future are not included. The PBAC agreed with the ESC that the </w:t>
      </w:r>
      <w:r w:rsidR="00F13571" w:rsidRPr="00300918">
        <w:t xml:space="preserve">transitions in the model for </w:t>
      </w:r>
      <w:r w:rsidR="0062460E" w:rsidRPr="00300918">
        <w:t xml:space="preserve">patients with no improvement in the initial cycle was a source of uncertainty. </w:t>
      </w:r>
    </w:p>
    <w:p w:rsidR="00DA42AA" w:rsidRPr="00300918" w:rsidRDefault="00DA42AA" w:rsidP="00DA42AA">
      <w:pPr>
        <w:pStyle w:val="TableHeading0"/>
      </w:pPr>
      <w:r w:rsidRPr="00300918">
        <w:t>Figure 2: Markov trace of the proportion of patients in health states by treatment group (dexamethasone implant versus sham) for improvement defined by ≥ 5 letter increase in best corrected visual acuity</w:t>
      </w:r>
    </w:p>
    <w:p w:rsidR="00D97989" w:rsidRPr="00300918" w:rsidRDefault="00D97989" w:rsidP="00B4121E">
      <w:pPr>
        <w:pStyle w:val="BodyText"/>
      </w:pPr>
      <w:r w:rsidRPr="00300918">
        <w:rPr>
          <w:noProof/>
          <w:lang w:eastAsia="en-AU"/>
        </w:rPr>
        <w:drawing>
          <wp:inline distT="0" distB="0" distL="0" distR="0" wp14:anchorId="1FCB9835" wp14:editId="609AF142">
            <wp:extent cx="5537835" cy="3545840"/>
            <wp:effectExtent l="0" t="0" r="24765" b="16510"/>
            <wp:docPr id="7" name="Chart 7" title="Figure 2: Markov trace of the proportion of patients in health states by treatment group (dexamethasone implant versus sham) for improvement defined by ≥ 5 letter increase in best corrected visual acu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386A" w:rsidRPr="00300918" w:rsidRDefault="00D97989" w:rsidP="00B4121E">
      <w:pPr>
        <w:pStyle w:val="TableFooter"/>
      </w:pPr>
      <w:r w:rsidRPr="00300918">
        <w:t xml:space="preserve">Source: </w:t>
      </w:r>
      <w:r w:rsidR="009C608D" w:rsidRPr="00300918">
        <w:t>Figure 3.7.1 of Commentary, p64. C</w:t>
      </w:r>
      <w:r w:rsidRPr="00300918">
        <w:t>onstructed during the evaluation using TreeAge model ‘Model – dexamethasone implant vs sham</w:t>
      </w:r>
      <w:r w:rsidR="00F758DD" w:rsidRPr="00300918">
        <w:t xml:space="preserve">’ presented with the submission. </w:t>
      </w:r>
    </w:p>
    <w:p w:rsidR="001C0047" w:rsidRPr="00300918" w:rsidRDefault="007927F8" w:rsidP="00564892">
      <w:pPr>
        <w:numPr>
          <w:ilvl w:val="1"/>
          <w:numId w:val="1"/>
        </w:numPr>
        <w:ind w:left="709" w:hanging="709"/>
        <w:jc w:val="both"/>
      </w:pPr>
      <w:r w:rsidRPr="00300918">
        <w:rPr>
          <w:szCs w:val="24"/>
        </w:rPr>
        <w:t>The ESC noted that although the economic model incorporated the costs of rescue medication use from the HURON trial, the efficacy associated with these treatments was not captured given the censoring of data at the point of rescue therapy being required.</w:t>
      </w:r>
      <w:r w:rsidRPr="00300918">
        <w:t xml:space="preserve"> T</w:t>
      </w:r>
      <w:r w:rsidR="002B54F4" w:rsidRPr="00300918">
        <w:t>he PSCR (</w:t>
      </w:r>
      <w:r w:rsidR="002B54F4" w:rsidRPr="00300918">
        <w:rPr>
          <w:rFonts w:cs="Arial"/>
          <w:bCs/>
          <w:snapToGrid w:val="0"/>
        </w:rPr>
        <w:t>p5</w:t>
      </w:r>
      <w:r w:rsidR="002B54F4" w:rsidRPr="00300918">
        <w:t xml:space="preserve">) accepted that if costs for rescue medications </w:t>
      </w:r>
      <w:r w:rsidR="009354EE" w:rsidRPr="00300918">
        <w:t xml:space="preserve">are </w:t>
      </w:r>
      <w:r w:rsidR="002B54F4" w:rsidRPr="00300918">
        <w:t xml:space="preserve">included in the model then the impact of rescue treatments should be incorporated. </w:t>
      </w:r>
      <w:r w:rsidR="00045703" w:rsidRPr="00300918">
        <w:t>T</w:t>
      </w:r>
      <w:r w:rsidRPr="00300918">
        <w:t>he PSCR</w:t>
      </w:r>
      <w:r w:rsidR="00680093" w:rsidRPr="00300918">
        <w:t xml:space="preserve"> (p7)</w:t>
      </w:r>
      <w:r w:rsidRPr="00300918">
        <w:t xml:space="preserve"> provided a</w:t>
      </w:r>
      <w:r w:rsidR="009354EE" w:rsidRPr="00300918">
        <w:t xml:space="preserve"> revised analysis removing these costs</w:t>
      </w:r>
      <w:r w:rsidR="00680093" w:rsidRPr="00300918">
        <w:t>. The ESC noted this</w:t>
      </w:r>
      <w:r w:rsidR="009354EE" w:rsidRPr="00300918">
        <w:t xml:space="preserve"> increased the </w:t>
      </w:r>
      <w:r w:rsidR="00045703" w:rsidRPr="00300918">
        <w:t xml:space="preserve">base case </w:t>
      </w:r>
      <w:r w:rsidR="009354EE" w:rsidRPr="00300918">
        <w:t xml:space="preserve">ICER from </w:t>
      </w:r>
      <w:r w:rsidR="00CE03C8">
        <w:t>QALY$15,000/QALY - $45,000/QALY</w:t>
      </w:r>
      <w:r w:rsidR="009354EE" w:rsidRPr="00300918">
        <w:t xml:space="preserve"> gained to </w:t>
      </w:r>
      <w:r w:rsidR="00CE03C8">
        <w:t>QALY$45,000/QALY - $75,000/QALY</w:t>
      </w:r>
      <w:r w:rsidR="009354EE" w:rsidRPr="00300918">
        <w:t xml:space="preserve"> gained.</w:t>
      </w:r>
      <w:r w:rsidR="00B46538" w:rsidRPr="00300918">
        <w:t xml:space="preserve"> </w:t>
      </w:r>
      <w:r w:rsidR="00B46538" w:rsidRPr="00300918">
        <w:rPr>
          <w:szCs w:val="24"/>
        </w:rPr>
        <w:t xml:space="preserve">The ESC considered the removal of costs was appropriate given the benefits of alternative treatments were not captured. However, the ESC </w:t>
      </w:r>
      <w:r w:rsidR="00103C74" w:rsidRPr="00300918">
        <w:rPr>
          <w:szCs w:val="24"/>
        </w:rPr>
        <w:t xml:space="preserve">also noted that </w:t>
      </w:r>
      <w:r w:rsidR="00B46538" w:rsidRPr="00300918">
        <w:rPr>
          <w:szCs w:val="24"/>
        </w:rPr>
        <w:t>the model may not adequately capture standard care due to the absence of outcome data post rescue medicines.</w:t>
      </w:r>
      <w:r w:rsidR="005E6EB9" w:rsidRPr="00300918">
        <w:rPr>
          <w:szCs w:val="24"/>
        </w:rPr>
        <w:t xml:space="preserve"> </w:t>
      </w:r>
      <w:r w:rsidR="00E2770E" w:rsidRPr="00300918">
        <w:rPr>
          <w:szCs w:val="24"/>
        </w:rPr>
        <w:t>The pre-PBAC response (p1) stated that evidence comparing a full management algorithm with and without dexamethasone is not available and is unlikely to ever become available given that posterior segment uveitis is a rare condition. To address remaining uncertainties in the model t</w:t>
      </w:r>
      <w:r w:rsidR="005E6EB9" w:rsidRPr="00300918">
        <w:rPr>
          <w:szCs w:val="24"/>
        </w:rPr>
        <w:t>he pre-PBAC response (p3) pro</w:t>
      </w:r>
      <w:r w:rsidR="00FE1C77" w:rsidRPr="00300918">
        <w:rPr>
          <w:szCs w:val="24"/>
        </w:rPr>
        <w:t>vided</w:t>
      </w:r>
      <w:r w:rsidR="005E6EB9" w:rsidRPr="00300918">
        <w:rPr>
          <w:szCs w:val="24"/>
        </w:rPr>
        <w:t xml:space="preserve"> a revised </w:t>
      </w:r>
      <w:r w:rsidR="00E2770E" w:rsidRPr="00300918">
        <w:rPr>
          <w:szCs w:val="24"/>
        </w:rPr>
        <w:t xml:space="preserve">analysis </w:t>
      </w:r>
      <w:r w:rsidR="002E3561" w:rsidRPr="00300918">
        <w:rPr>
          <w:szCs w:val="24"/>
        </w:rPr>
        <w:t xml:space="preserve">which included a </w:t>
      </w:r>
      <w:r w:rsidR="0090474F">
        <w:rPr>
          <w:noProof/>
          <w:color w:val="000000"/>
          <w:szCs w:val="24"/>
          <w:highlight w:val="black"/>
        </w:rPr>
        <w:t>'''''''''</w:t>
      </w:r>
      <w:r w:rsidR="002E3561" w:rsidRPr="00300918">
        <w:rPr>
          <w:szCs w:val="24"/>
        </w:rPr>
        <w:t xml:space="preserve">% rebate of government expenditure on dexamethasone implant when used to treat posterior segment uveitis. The </w:t>
      </w:r>
      <w:r w:rsidR="00E2770E" w:rsidRPr="00300918">
        <w:rPr>
          <w:szCs w:val="24"/>
        </w:rPr>
        <w:t xml:space="preserve">PBAC noted </w:t>
      </w:r>
      <w:r w:rsidR="00FE1C77" w:rsidRPr="00300918">
        <w:rPr>
          <w:szCs w:val="24"/>
        </w:rPr>
        <w:t>this</w:t>
      </w:r>
      <w:r w:rsidR="00E2770E" w:rsidRPr="00300918">
        <w:rPr>
          <w:szCs w:val="24"/>
        </w:rPr>
        <w:t xml:space="preserve"> </w:t>
      </w:r>
      <w:r w:rsidR="002E3561" w:rsidRPr="00300918">
        <w:rPr>
          <w:szCs w:val="24"/>
        </w:rPr>
        <w:t xml:space="preserve">reduced the </w:t>
      </w:r>
      <w:r w:rsidR="00E2770E" w:rsidRPr="00300918">
        <w:rPr>
          <w:szCs w:val="24"/>
        </w:rPr>
        <w:t xml:space="preserve">base case </w:t>
      </w:r>
      <w:r w:rsidR="005E6EB9" w:rsidRPr="00300918">
        <w:rPr>
          <w:szCs w:val="24"/>
        </w:rPr>
        <w:t xml:space="preserve">ICER to </w:t>
      </w:r>
      <w:r w:rsidR="00CE03C8">
        <w:rPr>
          <w:szCs w:val="24"/>
        </w:rPr>
        <w:t>$15,000/QALY - $45,000/QALY</w:t>
      </w:r>
      <w:r w:rsidR="005E6EB9" w:rsidRPr="00300918">
        <w:rPr>
          <w:szCs w:val="24"/>
        </w:rPr>
        <w:t xml:space="preserve"> gained. </w:t>
      </w:r>
    </w:p>
    <w:p w:rsidR="00A27910" w:rsidRPr="00300918" w:rsidRDefault="00B413A9" w:rsidP="00564892">
      <w:pPr>
        <w:numPr>
          <w:ilvl w:val="1"/>
          <w:numId w:val="1"/>
        </w:numPr>
        <w:ind w:left="709" w:hanging="709"/>
        <w:jc w:val="both"/>
      </w:pPr>
      <w:r w:rsidRPr="00300918">
        <w:t>C</w:t>
      </w:r>
      <w:r w:rsidR="001C0047" w:rsidRPr="00300918">
        <w:t xml:space="preserve">hange in visual acuity </w:t>
      </w:r>
      <w:r w:rsidRPr="00300918">
        <w:t xml:space="preserve">was </w:t>
      </w:r>
      <w:r w:rsidR="001C0047" w:rsidRPr="00300918">
        <w:t xml:space="preserve">the sole outcome </w:t>
      </w:r>
      <w:r w:rsidRPr="00300918">
        <w:t>used to</w:t>
      </w:r>
      <w:r w:rsidR="001C0047" w:rsidRPr="00300918">
        <w:t xml:space="preserve"> model the disease course </w:t>
      </w:r>
      <w:r w:rsidRPr="00300918">
        <w:t xml:space="preserve">which </w:t>
      </w:r>
      <w:r w:rsidR="001C0047" w:rsidRPr="00300918">
        <w:t>may not best represent the relapsing inflammatory nature of the condition</w:t>
      </w:r>
      <w:r w:rsidR="002B44DB" w:rsidRPr="00300918">
        <w:rPr>
          <w:szCs w:val="24"/>
        </w:rPr>
        <w:t xml:space="preserve">, although </w:t>
      </w:r>
      <w:r w:rsidR="000D79A1" w:rsidRPr="00300918">
        <w:rPr>
          <w:szCs w:val="24"/>
        </w:rPr>
        <w:t xml:space="preserve">it </w:t>
      </w:r>
      <w:r w:rsidR="002B44DB" w:rsidRPr="00300918">
        <w:rPr>
          <w:szCs w:val="24"/>
        </w:rPr>
        <w:t>may be the most patient relevant measure</w:t>
      </w:r>
      <w:r w:rsidR="001C0047" w:rsidRPr="00300918">
        <w:t xml:space="preserve">. </w:t>
      </w:r>
      <w:r w:rsidR="001B29E9" w:rsidRPr="00300918">
        <w:t>The PBAC noted that increases in BCVA of ≥ 5 to ≥ 15 letters have been considered clinically important and the submission presented ICER</w:t>
      </w:r>
      <w:r w:rsidR="008E29F0">
        <w:t>s</w:t>
      </w:r>
      <w:r w:rsidR="001B29E9" w:rsidRPr="00300918">
        <w:t xml:space="preserve"> based on an improvement in ≥ 5, ≥ 10 and ≥ 15 letters. </w:t>
      </w:r>
      <w:r w:rsidR="00AA18C1" w:rsidRPr="00300918">
        <w:t xml:space="preserve">The ESC noted the differences in ICER for the base case (improvement </w:t>
      </w:r>
      <w:r w:rsidR="00AF7173" w:rsidRPr="00300918">
        <w:t>of ≥</w:t>
      </w:r>
      <w:r w:rsidR="00AA18C1" w:rsidRPr="00300918">
        <w:t xml:space="preserve"> 5 letters), improvement of</w:t>
      </w:r>
      <w:r w:rsidR="0086799D">
        <w:t xml:space="preserve"> </w:t>
      </w:r>
      <w:r w:rsidR="00AF7173" w:rsidRPr="00300918">
        <w:t xml:space="preserve">≥ </w:t>
      </w:r>
      <w:r w:rsidR="00AA18C1" w:rsidRPr="00300918">
        <w:t xml:space="preserve">10 letters and improvement of </w:t>
      </w:r>
      <w:r w:rsidR="00AF7173" w:rsidRPr="00300918">
        <w:t xml:space="preserve">≥ </w:t>
      </w:r>
      <w:r w:rsidR="00AA18C1" w:rsidRPr="00300918">
        <w:t xml:space="preserve">15 were </w:t>
      </w:r>
      <w:r w:rsidR="008A5AFC">
        <w:t>between $15,000/QALY - $45,000/QALY</w:t>
      </w:r>
      <w:r w:rsidR="005B7413" w:rsidRPr="00300918">
        <w:t xml:space="preserve"> </w:t>
      </w:r>
      <w:r w:rsidR="00CC6B74">
        <w:t>and $45,000/QALY - $75,000/QALY</w:t>
      </w:r>
      <w:r w:rsidR="008A5AFC">
        <w:t xml:space="preserve"> </w:t>
      </w:r>
      <w:r w:rsidR="00DE58C6" w:rsidRPr="00300918">
        <w:t>(Table 8)</w:t>
      </w:r>
      <w:r w:rsidR="00AA18C1" w:rsidRPr="00300918">
        <w:t>.</w:t>
      </w:r>
      <w:r w:rsidR="008F1D1A" w:rsidRPr="00300918">
        <w:t xml:space="preserve"> The revised base case </w:t>
      </w:r>
      <w:r w:rsidR="00AF7173" w:rsidRPr="00300918">
        <w:t xml:space="preserve">analysis </w:t>
      </w:r>
      <w:r w:rsidR="009F0BA5" w:rsidRPr="00300918">
        <w:t>presented in the pre-PBAC response</w:t>
      </w:r>
      <w:r w:rsidR="00720098" w:rsidRPr="00300918">
        <w:t xml:space="preserve"> </w:t>
      </w:r>
      <w:r w:rsidR="005B7D20" w:rsidRPr="00300918">
        <w:t xml:space="preserve">updated these </w:t>
      </w:r>
      <w:r w:rsidR="008F1D1A" w:rsidRPr="00300918">
        <w:t xml:space="preserve">ICERs to </w:t>
      </w:r>
      <w:r w:rsidR="008A5AFC">
        <w:t>$15,000/QALY - $45,000/QALY</w:t>
      </w:r>
      <w:r w:rsidR="008A5AFC" w:rsidRPr="00300918">
        <w:t xml:space="preserve"> </w:t>
      </w:r>
      <w:r w:rsidR="008F1D1A" w:rsidRPr="00300918">
        <w:t xml:space="preserve">gained (improvement </w:t>
      </w:r>
      <w:r w:rsidR="005B7D20" w:rsidRPr="00300918">
        <w:t>of ≥</w:t>
      </w:r>
      <w:r w:rsidR="008F1D1A" w:rsidRPr="00300918">
        <w:t xml:space="preserve"> 5 letters), </w:t>
      </w:r>
      <w:r w:rsidR="008A5AFC">
        <w:t>$15,000/QALY - $45,000/QALY</w:t>
      </w:r>
      <w:r w:rsidR="008A5AFC" w:rsidRPr="00300918">
        <w:t xml:space="preserve"> </w:t>
      </w:r>
      <w:r w:rsidR="008F1D1A" w:rsidRPr="00300918">
        <w:t xml:space="preserve">gained (improvement </w:t>
      </w:r>
      <w:r w:rsidR="005B7D20" w:rsidRPr="00300918">
        <w:t>of ≥</w:t>
      </w:r>
      <w:r w:rsidR="008F1D1A" w:rsidRPr="00300918">
        <w:t xml:space="preserve"> 10 letters) and </w:t>
      </w:r>
      <w:r w:rsidR="008A5AFC">
        <w:t>$15,000/QALY - $45,000/QALY</w:t>
      </w:r>
      <w:r w:rsidR="008F1D1A" w:rsidRPr="00300918">
        <w:t xml:space="preserve"> gained (improvement </w:t>
      </w:r>
      <w:r w:rsidR="005B7D20" w:rsidRPr="00300918">
        <w:t>of ≥</w:t>
      </w:r>
      <w:r w:rsidR="008F1D1A" w:rsidRPr="00300918">
        <w:t xml:space="preserve"> 15 letters). </w:t>
      </w:r>
      <w:r w:rsidR="00063446" w:rsidRPr="00300918">
        <w:t>The PBAC considered th</w:t>
      </w:r>
      <w:r w:rsidR="006F151C" w:rsidRPr="00300918">
        <w:t>e</w:t>
      </w:r>
      <w:r w:rsidR="005B7D20" w:rsidRPr="00300918">
        <w:t xml:space="preserve"> revised</w:t>
      </w:r>
      <w:r w:rsidR="006F151C" w:rsidRPr="00300918">
        <w:t xml:space="preserve"> ICERs were</w:t>
      </w:r>
      <w:r w:rsidR="00063446" w:rsidRPr="00300918">
        <w:t xml:space="preserve"> </w:t>
      </w:r>
      <w:r w:rsidR="001F7787" w:rsidRPr="00300918">
        <w:t>acceptable</w:t>
      </w:r>
      <w:r w:rsidR="006F151C" w:rsidRPr="00300918">
        <w:t xml:space="preserve"> across the three outcomes and noted that the comparison of the three </w:t>
      </w:r>
      <w:r w:rsidR="00614152" w:rsidRPr="00300918">
        <w:t xml:space="preserve">outcomes was </w:t>
      </w:r>
      <w:r w:rsidR="006F151C" w:rsidRPr="00300918">
        <w:t>informative</w:t>
      </w:r>
      <w:r w:rsidR="00063446" w:rsidRPr="00300918">
        <w:t>.</w:t>
      </w:r>
    </w:p>
    <w:p w:rsidR="001C0047" w:rsidRPr="00300918" w:rsidRDefault="00A27910" w:rsidP="00564892">
      <w:pPr>
        <w:numPr>
          <w:ilvl w:val="1"/>
          <w:numId w:val="1"/>
        </w:numPr>
        <w:ind w:left="709" w:hanging="709"/>
        <w:jc w:val="both"/>
      </w:pPr>
      <w:r w:rsidRPr="00300918">
        <w:t>The model has separate arms according to whether the patient receives bilateral or unilateral treatment and whether the patient’s better seeing eye or worse seeing eye is treated. This is important in estimating outcomes, given the visual acuity in the better seeing eye is more representative of quality of life than the visual acuity in the worse seeing eye.</w:t>
      </w:r>
      <w:r w:rsidR="00751AF6" w:rsidRPr="00300918">
        <w:t xml:space="preserve"> As a result, treatment of the better seeing eye is generally associated with greater utility gains than treatment of the worse seeing eye.</w:t>
      </w:r>
      <w:r w:rsidR="006923AD" w:rsidRPr="00300918">
        <w:t xml:space="preserve"> The </w:t>
      </w:r>
      <w:r w:rsidR="002A4B77" w:rsidRPr="00300918">
        <w:t>PBAC</w:t>
      </w:r>
      <w:r w:rsidR="00F26152" w:rsidRPr="00300918">
        <w:t xml:space="preserve"> </w:t>
      </w:r>
      <w:r w:rsidR="006923AD" w:rsidRPr="00300918">
        <w:t>considered that this was appropriate.</w:t>
      </w:r>
    </w:p>
    <w:p w:rsidR="00F1629D" w:rsidRPr="00300918" w:rsidRDefault="00F1629D" w:rsidP="00564892">
      <w:pPr>
        <w:numPr>
          <w:ilvl w:val="1"/>
          <w:numId w:val="1"/>
        </w:numPr>
        <w:ind w:left="709" w:hanging="709"/>
        <w:jc w:val="both"/>
      </w:pPr>
      <w:r w:rsidRPr="00300918">
        <w:t xml:space="preserve">Key issues </w:t>
      </w:r>
      <w:r w:rsidRPr="00300918">
        <w:rPr>
          <w:rFonts w:cs="Arial"/>
          <w:bCs/>
          <w:snapToGrid w:val="0"/>
        </w:rPr>
        <w:t>with</w:t>
      </w:r>
      <w:r w:rsidRPr="00300918">
        <w:t xml:space="preserve"> the economic model are summarised in Table </w:t>
      </w:r>
      <w:r w:rsidR="00280A4F" w:rsidRPr="00300918">
        <w:t>8</w:t>
      </w:r>
      <w:r w:rsidRPr="00300918">
        <w:t>.</w:t>
      </w:r>
    </w:p>
    <w:p w:rsidR="00F1629D" w:rsidRPr="00300918" w:rsidRDefault="00F1629D" w:rsidP="00F1629D">
      <w:pPr>
        <w:keepNext/>
        <w:spacing w:before="0" w:after="60"/>
        <w:rPr>
          <w:rFonts w:ascii="Arial Narrow" w:hAnsi="Arial Narrow"/>
          <w:b/>
          <w:sz w:val="20"/>
        </w:rPr>
      </w:pPr>
      <w:r w:rsidRPr="00300918">
        <w:rPr>
          <w:rFonts w:ascii="Arial Narrow" w:hAnsi="Arial Narrow"/>
          <w:b/>
          <w:sz w:val="20"/>
        </w:rPr>
        <w:t xml:space="preserve">Table </w:t>
      </w:r>
      <w:r w:rsidR="00280A4F" w:rsidRPr="00300918">
        <w:rPr>
          <w:rFonts w:ascii="Arial Narrow" w:hAnsi="Arial Narrow"/>
          <w:b/>
          <w:sz w:val="20"/>
        </w:rPr>
        <w:t>8</w:t>
      </w:r>
      <w:r w:rsidRPr="00300918">
        <w:rPr>
          <w:rFonts w:ascii="Arial Narrow" w:hAnsi="Arial Narrow"/>
          <w:b/>
          <w:sz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4"/>
        <w:gridCol w:w="4639"/>
        <w:gridCol w:w="2449"/>
      </w:tblGrid>
      <w:tr w:rsidR="00F1629D" w:rsidRPr="00300918" w:rsidTr="00070806">
        <w:trPr>
          <w:tblHeader/>
        </w:trPr>
        <w:tc>
          <w:tcPr>
            <w:tcW w:w="1098" w:type="pct"/>
            <w:shd w:val="clear" w:color="auto" w:fill="auto"/>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Description</w:t>
            </w:r>
          </w:p>
        </w:tc>
        <w:tc>
          <w:tcPr>
            <w:tcW w:w="2554" w:type="pct"/>
            <w:shd w:val="clear" w:color="auto" w:fill="auto"/>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Method/Value</w:t>
            </w:r>
          </w:p>
        </w:tc>
        <w:tc>
          <w:tcPr>
            <w:tcW w:w="1348" w:type="pct"/>
            <w:shd w:val="clear" w:color="auto" w:fill="auto"/>
            <w:vAlign w:val="center"/>
          </w:tcPr>
          <w:p w:rsidR="00F1629D" w:rsidRPr="00300918" w:rsidRDefault="00F1629D" w:rsidP="00F1629D">
            <w:pPr>
              <w:keepNext/>
              <w:spacing w:before="40" w:after="40"/>
              <w:rPr>
                <w:rFonts w:ascii="Arial Narrow" w:hAnsi="Arial Narrow"/>
                <w:b/>
                <w:sz w:val="20"/>
              </w:rPr>
            </w:pPr>
            <w:r w:rsidRPr="00300918">
              <w:rPr>
                <w:rFonts w:ascii="Arial Narrow" w:hAnsi="Arial Narrow"/>
                <w:b/>
                <w:sz w:val="20"/>
              </w:rPr>
              <w:t>Impact</w:t>
            </w:r>
          </w:p>
        </w:tc>
      </w:tr>
      <w:tr w:rsidR="00F1629D" w:rsidRPr="00300918" w:rsidTr="00070806">
        <w:tc>
          <w:tcPr>
            <w:tcW w:w="1098" w:type="pct"/>
            <w:shd w:val="clear" w:color="auto" w:fill="auto"/>
            <w:vAlign w:val="center"/>
          </w:tcPr>
          <w:p w:rsidR="00F1629D" w:rsidRPr="00300918" w:rsidRDefault="002F668F" w:rsidP="002F668F">
            <w:pPr>
              <w:keepNext/>
              <w:spacing w:before="40" w:after="40"/>
              <w:rPr>
                <w:rFonts w:ascii="Arial Narrow" w:hAnsi="Arial Narrow"/>
                <w:sz w:val="20"/>
              </w:rPr>
            </w:pPr>
            <w:r w:rsidRPr="00300918">
              <w:rPr>
                <w:rFonts w:ascii="Arial Narrow" w:hAnsi="Arial Narrow"/>
                <w:sz w:val="20"/>
              </w:rPr>
              <w:t>Transitions in the model</w:t>
            </w:r>
          </w:p>
        </w:tc>
        <w:tc>
          <w:tcPr>
            <w:tcW w:w="2554" w:type="pct"/>
            <w:shd w:val="clear" w:color="auto" w:fill="auto"/>
            <w:vAlign w:val="center"/>
          </w:tcPr>
          <w:p w:rsidR="00F1629D" w:rsidRPr="00300918" w:rsidRDefault="002F668F" w:rsidP="00B413A9">
            <w:pPr>
              <w:keepNext/>
              <w:spacing w:before="40" w:after="40"/>
              <w:rPr>
                <w:rFonts w:ascii="Arial Narrow" w:hAnsi="Arial Narrow"/>
                <w:sz w:val="20"/>
              </w:rPr>
            </w:pPr>
            <w:r w:rsidRPr="00300918">
              <w:rPr>
                <w:rFonts w:ascii="Arial Narrow" w:hAnsi="Arial Narrow"/>
                <w:sz w:val="20"/>
              </w:rPr>
              <w:t xml:space="preserve">Patients were only able to transition to the improvement state in the initial cycle of the model (patients in the improvement state can relapse and be retreated and re-enter the improvement state). Patients who have no improvement in the initial cycle of the model remain in that state </w:t>
            </w:r>
            <w:r w:rsidR="00B413A9" w:rsidRPr="00300918">
              <w:rPr>
                <w:rFonts w:ascii="Arial Narrow" w:hAnsi="Arial Narrow"/>
                <w:sz w:val="20"/>
              </w:rPr>
              <w:t>for the duration of the model, or until death.</w:t>
            </w:r>
          </w:p>
        </w:tc>
        <w:tc>
          <w:tcPr>
            <w:tcW w:w="1348" w:type="pct"/>
            <w:shd w:val="clear" w:color="auto" w:fill="auto"/>
            <w:vAlign w:val="center"/>
          </w:tcPr>
          <w:p w:rsidR="00F1629D" w:rsidRPr="00300918" w:rsidRDefault="00B413A9" w:rsidP="00B413A9">
            <w:pPr>
              <w:keepNext/>
              <w:spacing w:before="40" w:after="40"/>
              <w:rPr>
                <w:rFonts w:ascii="Arial Narrow" w:hAnsi="Arial Narrow"/>
                <w:sz w:val="20"/>
              </w:rPr>
            </w:pPr>
            <w:r w:rsidRPr="00300918">
              <w:rPr>
                <w:rFonts w:ascii="Arial Narrow" w:hAnsi="Arial Narrow"/>
                <w:sz w:val="20"/>
              </w:rPr>
              <w:t>High, favours dexamethasone</w:t>
            </w:r>
          </w:p>
        </w:tc>
      </w:tr>
      <w:tr w:rsidR="00751AF6" w:rsidRPr="00300918" w:rsidTr="00070806">
        <w:tc>
          <w:tcPr>
            <w:tcW w:w="1098" w:type="pct"/>
            <w:shd w:val="clear" w:color="auto" w:fill="auto"/>
            <w:vAlign w:val="center"/>
          </w:tcPr>
          <w:p w:rsidR="00751AF6" w:rsidRPr="00300918" w:rsidRDefault="00751AF6" w:rsidP="002F668F">
            <w:pPr>
              <w:keepNext/>
              <w:spacing w:before="40" w:after="40"/>
              <w:rPr>
                <w:rFonts w:ascii="Arial Narrow" w:hAnsi="Arial Narrow"/>
                <w:sz w:val="20"/>
              </w:rPr>
            </w:pPr>
            <w:r w:rsidRPr="00300918">
              <w:rPr>
                <w:rFonts w:ascii="Arial Narrow" w:hAnsi="Arial Narrow"/>
                <w:sz w:val="20"/>
              </w:rPr>
              <w:t>Model structure</w:t>
            </w:r>
          </w:p>
        </w:tc>
        <w:tc>
          <w:tcPr>
            <w:tcW w:w="2554" w:type="pct"/>
            <w:shd w:val="clear" w:color="auto" w:fill="auto"/>
            <w:vAlign w:val="center"/>
          </w:tcPr>
          <w:p w:rsidR="00751AF6" w:rsidRPr="00300918" w:rsidRDefault="00751AF6" w:rsidP="00B413A9">
            <w:pPr>
              <w:keepNext/>
              <w:spacing w:before="40" w:after="40"/>
              <w:rPr>
                <w:rFonts w:ascii="Arial Narrow" w:hAnsi="Arial Narrow"/>
                <w:iCs/>
                <w:sz w:val="20"/>
              </w:rPr>
            </w:pPr>
            <w:r w:rsidRPr="00300918">
              <w:rPr>
                <w:rFonts w:ascii="Arial Narrow" w:hAnsi="Arial Narrow"/>
                <w:iCs/>
                <w:sz w:val="20"/>
              </w:rPr>
              <w:t>The model uses changes in visual acuity to define health states. The use of change in visual acuity as the sole outcome to model the disease course may not best represent the relapsing inflammatory nature of the condition. Further, the base case uses a gain of ≥</w:t>
            </w:r>
            <w:r w:rsidR="00A10569" w:rsidRPr="00300918">
              <w:rPr>
                <w:rFonts w:ascii="Arial Narrow" w:hAnsi="Arial Narrow"/>
                <w:iCs/>
                <w:sz w:val="20"/>
              </w:rPr>
              <w:t xml:space="preserve"> </w:t>
            </w:r>
            <w:r w:rsidRPr="00300918">
              <w:rPr>
                <w:rFonts w:ascii="Arial Narrow" w:hAnsi="Arial Narrow"/>
                <w:iCs/>
                <w:sz w:val="20"/>
              </w:rPr>
              <w:t>5 letters in visual acuity to define improvement however the PBAC has indicated a preference for more stringent criteria based on ≥</w:t>
            </w:r>
            <w:r w:rsidR="00A10569" w:rsidRPr="00300918">
              <w:rPr>
                <w:rFonts w:ascii="Arial Narrow" w:hAnsi="Arial Narrow"/>
                <w:iCs/>
                <w:sz w:val="20"/>
              </w:rPr>
              <w:t xml:space="preserve"> </w:t>
            </w:r>
            <w:r w:rsidRPr="00300918">
              <w:rPr>
                <w:rFonts w:ascii="Arial Narrow" w:hAnsi="Arial Narrow"/>
                <w:iCs/>
                <w:sz w:val="20"/>
              </w:rPr>
              <w:t>10-15 letter improvement.</w:t>
            </w:r>
          </w:p>
          <w:p w:rsidR="00751AF6" w:rsidRPr="00300918" w:rsidRDefault="00751AF6" w:rsidP="00B413A9">
            <w:pPr>
              <w:keepNext/>
              <w:spacing w:before="40" w:after="40"/>
              <w:rPr>
                <w:rFonts w:ascii="Arial Narrow" w:hAnsi="Arial Narrow"/>
                <w:iCs/>
                <w:sz w:val="20"/>
              </w:rPr>
            </w:pPr>
            <w:r w:rsidRPr="00300918">
              <w:rPr>
                <w:rFonts w:ascii="Arial Narrow" w:hAnsi="Arial Narrow"/>
                <w:iCs/>
                <w:sz w:val="20"/>
              </w:rPr>
              <w:t>Patients in the standard care arm could not receive treatment for uveitis relapse, which is not representative of clinical practice.</w:t>
            </w:r>
          </w:p>
        </w:tc>
        <w:tc>
          <w:tcPr>
            <w:tcW w:w="1348" w:type="pct"/>
            <w:shd w:val="clear" w:color="auto" w:fill="auto"/>
            <w:vAlign w:val="center"/>
          </w:tcPr>
          <w:p w:rsidR="00751AF6" w:rsidRPr="00300918" w:rsidRDefault="00751AF6" w:rsidP="00B413A9">
            <w:pPr>
              <w:keepNext/>
              <w:spacing w:before="40" w:after="40"/>
              <w:rPr>
                <w:rFonts w:ascii="Arial Narrow" w:hAnsi="Arial Narrow"/>
                <w:sz w:val="20"/>
              </w:rPr>
            </w:pPr>
            <w:r w:rsidRPr="00300918">
              <w:rPr>
                <w:rFonts w:ascii="Arial Narrow" w:hAnsi="Arial Narrow"/>
                <w:sz w:val="20"/>
              </w:rPr>
              <w:t>Unclear</w:t>
            </w:r>
          </w:p>
        </w:tc>
      </w:tr>
      <w:tr w:rsidR="002F668F" w:rsidRPr="00300918" w:rsidTr="00070806">
        <w:tc>
          <w:tcPr>
            <w:tcW w:w="1098" w:type="pct"/>
            <w:shd w:val="clear" w:color="auto" w:fill="auto"/>
            <w:vAlign w:val="center"/>
          </w:tcPr>
          <w:p w:rsidR="002F668F" w:rsidRPr="00300918" w:rsidRDefault="002F668F" w:rsidP="00F1629D">
            <w:pPr>
              <w:keepNext/>
              <w:spacing w:before="40" w:after="40"/>
              <w:rPr>
                <w:rFonts w:ascii="Arial Narrow" w:hAnsi="Arial Narrow"/>
                <w:sz w:val="20"/>
              </w:rPr>
            </w:pPr>
            <w:r w:rsidRPr="00300918">
              <w:rPr>
                <w:rFonts w:ascii="Arial Narrow" w:hAnsi="Arial Narrow"/>
                <w:sz w:val="20"/>
              </w:rPr>
              <w:t>Cost of rescue medicines</w:t>
            </w:r>
          </w:p>
        </w:tc>
        <w:tc>
          <w:tcPr>
            <w:tcW w:w="2554" w:type="pct"/>
            <w:shd w:val="clear" w:color="auto" w:fill="auto"/>
            <w:vAlign w:val="center"/>
          </w:tcPr>
          <w:p w:rsidR="002F668F" w:rsidRPr="00300918" w:rsidRDefault="002F668F" w:rsidP="00751AF6">
            <w:pPr>
              <w:keepNext/>
              <w:spacing w:before="40" w:after="40"/>
              <w:rPr>
                <w:rFonts w:ascii="Arial Narrow" w:hAnsi="Arial Narrow"/>
                <w:sz w:val="20"/>
              </w:rPr>
            </w:pPr>
            <w:r w:rsidRPr="00300918">
              <w:rPr>
                <w:rFonts w:ascii="Arial Narrow" w:hAnsi="Arial Narrow"/>
                <w:sz w:val="20"/>
              </w:rPr>
              <w:t xml:space="preserve">A higher proportion of patients in the sham arm </w:t>
            </w:r>
            <w:r w:rsidR="00751AF6" w:rsidRPr="00300918">
              <w:rPr>
                <w:rFonts w:ascii="Arial Narrow" w:hAnsi="Arial Narrow"/>
                <w:sz w:val="20"/>
              </w:rPr>
              <w:t xml:space="preserve">of the HURON trial, which directly informs the model, </w:t>
            </w:r>
            <w:r w:rsidRPr="00300918">
              <w:rPr>
                <w:rFonts w:ascii="Arial Narrow" w:hAnsi="Arial Narrow"/>
                <w:sz w:val="20"/>
              </w:rPr>
              <w:t>received rescue medication compared to the dexamethasone implant arm. The model includes the costs of rescue medicines used in the HURON trial, but the outcomes for patients who received rescue medication were not included (</w:t>
            </w:r>
            <w:r w:rsidR="00751AF6" w:rsidRPr="00300918">
              <w:rPr>
                <w:rFonts w:ascii="Arial Narrow" w:hAnsi="Arial Narrow"/>
                <w:sz w:val="20"/>
              </w:rPr>
              <w:t xml:space="preserve">efficacy outcomes </w:t>
            </w:r>
            <w:r w:rsidRPr="00300918">
              <w:rPr>
                <w:rFonts w:ascii="Arial Narrow" w:hAnsi="Arial Narrow"/>
                <w:sz w:val="20"/>
              </w:rPr>
              <w:t xml:space="preserve">were </w:t>
            </w:r>
            <w:r w:rsidR="00751AF6" w:rsidRPr="00300918">
              <w:rPr>
                <w:rFonts w:ascii="Arial Narrow" w:hAnsi="Arial Narrow"/>
                <w:sz w:val="20"/>
              </w:rPr>
              <w:t>treated as</w:t>
            </w:r>
            <w:r w:rsidRPr="00300918">
              <w:rPr>
                <w:rFonts w:ascii="Arial Narrow" w:hAnsi="Arial Narrow"/>
                <w:sz w:val="20"/>
              </w:rPr>
              <w:t xml:space="preserve"> missing data</w:t>
            </w:r>
            <w:r w:rsidR="00751AF6" w:rsidRPr="00300918">
              <w:rPr>
                <w:rFonts w:ascii="Arial Narrow" w:hAnsi="Arial Narrow"/>
                <w:sz w:val="20"/>
              </w:rPr>
              <w:t xml:space="preserve"> subsequent to administration of rescue medication</w:t>
            </w:r>
            <w:r w:rsidRPr="00300918">
              <w:rPr>
                <w:rFonts w:ascii="Arial Narrow" w:hAnsi="Arial Narrow"/>
                <w:sz w:val="20"/>
              </w:rPr>
              <w:t>).</w:t>
            </w:r>
          </w:p>
        </w:tc>
        <w:tc>
          <w:tcPr>
            <w:tcW w:w="1348" w:type="pct"/>
            <w:shd w:val="clear" w:color="auto" w:fill="auto"/>
            <w:vAlign w:val="center"/>
          </w:tcPr>
          <w:p w:rsidR="002F668F" w:rsidRPr="00300918" w:rsidRDefault="002F668F" w:rsidP="00F1629D">
            <w:pPr>
              <w:keepNext/>
              <w:spacing w:before="40" w:after="40"/>
              <w:rPr>
                <w:rFonts w:ascii="Arial Narrow" w:hAnsi="Arial Narrow"/>
                <w:sz w:val="20"/>
              </w:rPr>
            </w:pPr>
            <w:r w:rsidRPr="00300918">
              <w:rPr>
                <w:rFonts w:ascii="Arial Narrow" w:hAnsi="Arial Narrow"/>
                <w:sz w:val="20"/>
              </w:rPr>
              <w:t>Moderate, favours dexamethasone</w:t>
            </w:r>
          </w:p>
        </w:tc>
      </w:tr>
      <w:tr w:rsidR="002F668F" w:rsidRPr="00300918" w:rsidTr="00070806">
        <w:tc>
          <w:tcPr>
            <w:tcW w:w="1098" w:type="pct"/>
            <w:shd w:val="clear" w:color="auto" w:fill="auto"/>
            <w:vAlign w:val="center"/>
          </w:tcPr>
          <w:p w:rsidR="002F668F" w:rsidRPr="00300918" w:rsidRDefault="002F668F" w:rsidP="002F668F">
            <w:pPr>
              <w:keepNext/>
              <w:spacing w:before="40" w:after="40"/>
              <w:rPr>
                <w:rFonts w:ascii="Arial Narrow" w:hAnsi="Arial Narrow"/>
                <w:sz w:val="20"/>
              </w:rPr>
            </w:pPr>
            <w:r w:rsidRPr="00300918">
              <w:rPr>
                <w:rFonts w:ascii="Arial Narrow" w:hAnsi="Arial Narrow"/>
                <w:sz w:val="20"/>
              </w:rPr>
              <w:t>Extrapolation</w:t>
            </w:r>
          </w:p>
        </w:tc>
        <w:tc>
          <w:tcPr>
            <w:tcW w:w="2554" w:type="pct"/>
            <w:shd w:val="clear" w:color="auto" w:fill="auto"/>
            <w:vAlign w:val="center"/>
          </w:tcPr>
          <w:p w:rsidR="002F668F" w:rsidRPr="00300918" w:rsidRDefault="001C0047" w:rsidP="00751AF6">
            <w:pPr>
              <w:keepNext/>
              <w:spacing w:before="40" w:after="40"/>
              <w:rPr>
                <w:rFonts w:ascii="Arial Narrow" w:hAnsi="Arial Narrow"/>
                <w:sz w:val="20"/>
              </w:rPr>
            </w:pPr>
            <w:r w:rsidRPr="00300918">
              <w:rPr>
                <w:rFonts w:ascii="Arial Narrow" w:hAnsi="Arial Narrow"/>
                <w:sz w:val="20"/>
              </w:rPr>
              <w:t>The model extrapolates the results of a single dexamethasone implant from the HURON trial (over 26 weeks) to a four year time horizon</w:t>
            </w:r>
            <w:r w:rsidR="00751AF6" w:rsidRPr="00300918">
              <w:rPr>
                <w:rFonts w:ascii="Arial Narrow" w:hAnsi="Arial Narrow"/>
                <w:sz w:val="20"/>
              </w:rPr>
              <w:t>. P</w:t>
            </w:r>
            <w:r w:rsidRPr="00300918">
              <w:rPr>
                <w:rFonts w:ascii="Arial Narrow" w:hAnsi="Arial Narrow"/>
                <w:sz w:val="20"/>
              </w:rPr>
              <w:t xml:space="preserve">atients in the improvement state </w:t>
            </w:r>
            <w:r w:rsidR="00751AF6" w:rsidRPr="00300918">
              <w:rPr>
                <w:rFonts w:ascii="Arial Narrow" w:hAnsi="Arial Narrow"/>
                <w:sz w:val="20"/>
              </w:rPr>
              <w:t xml:space="preserve">in the dexamethasone treatment arm </w:t>
            </w:r>
            <w:r w:rsidRPr="00300918">
              <w:rPr>
                <w:rFonts w:ascii="Arial Narrow" w:hAnsi="Arial Narrow"/>
                <w:sz w:val="20"/>
              </w:rPr>
              <w:t>may relapse and be retreated with a dexamethasone implant each 12-week cycle.</w:t>
            </w:r>
            <w:r w:rsidR="00751AF6" w:rsidRPr="00300918">
              <w:rPr>
                <w:rFonts w:ascii="Arial Narrow" w:hAnsi="Arial Narrow"/>
                <w:sz w:val="20"/>
              </w:rPr>
              <w:t xml:space="preserve"> The extrapolation of these results was highly uncertain, primarily due to limited data supporting the duration of treatment effects</w:t>
            </w:r>
            <w:r w:rsidR="001D3CEF" w:rsidRPr="00300918">
              <w:rPr>
                <w:rFonts w:ascii="Arial Narrow" w:hAnsi="Arial Narrow"/>
                <w:sz w:val="20"/>
              </w:rPr>
              <w:t xml:space="preserve"> as well as </w:t>
            </w:r>
            <w:r w:rsidR="00332E43" w:rsidRPr="00300918">
              <w:rPr>
                <w:rFonts w:ascii="Arial Narrow" w:hAnsi="Arial Narrow"/>
                <w:sz w:val="20"/>
              </w:rPr>
              <w:t>limited data on the use of repeat implants</w:t>
            </w:r>
            <w:r w:rsidR="00751AF6" w:rsidRPr="00300918">
              <w:rPr>
                <w:rFonts w:ascii="Arial Narrow" w:hAnsi="Arial Narrow"/>
                <w:sz w:val="20"/>
              </w:rPr>
              <w:t>.</w:t>
            </w:r>
          </w:p>
        </w:tc>
        <w:tc>
          <w:tcPr>
            <w:tcW w:w="1348" w:type="pct"/>
            <w:shd w:val="clear" w:color="auto" w:fill="auto"/>
            <w:vAlign w:val="center"/>
          </w:tcPr>
          <w:p w:rsidR="002F668F" w:rsidRPr="00300918" w:rsidRDefault="002F668F" w:rsidP="00AE0559">
            <w:pPr>
              <w:keepNext/>
              <w:spacing w:before="40" w:after="40"/>
              <w:rPr>
                <w:rFonts w:ascii="Arial Narrow" w:hAnsi="Arial Narrow"/>
                <w:sz w:val="20"/>
              </w:rPr>
            </w:pPr>
            <w:r w:rsidRPr="00300918">
              <w:rPr>
                <w:rFonts w:ascii="Arial Narrow" w:hAnsi="Arial Narrow"/>
                <w:sz w:val="20"/>
              </w:rPr>
              <w:t>Unclear</w:t>
            </w:r>
            <w:r w:rsidR="00845121" w:rsidRPr="00300918">
              <w:rPr>
                <w:rFonts w:ascii="Arial Narrow" w:hAnsi="Arial Narrow"/>
                <w:sz w:val="20"/>
              </w:rPr>
              <w:t xml:space="preserve">. </w:t>
            </w:r>
          </w:p>
        </w:tc>
      </w:tr>
      <w:tr w:rsidR="002F668F" w:rsidRPr="00300918" w:rsidTr="00070806">
        <w:tc>
          <w:tcPr>
            <w:tcW w:w="1098" w:type="pct"/>
            <w:shd w:val="clear" w:color="auto" w:fill="auto"/>
            <w:vAlign w:val="center"/>
          </w:tcPr>
          <w:p w:rsidR="002F668F" w:rsidRPr="00300918" w:rsidRDefault="002F668F" w:rsidP="002F668F">
            <w:pPr>
              <w:keepNext/>
              <w:spacing w:before="40" w:after="40"/>
              <w:rPr>
                <w:rFonts w:ascii="Arial Narrow" w:hAnsi="Arial Narrow"/>
                <w:sz w:val="20"/>
              </w:rPr>
            </w:pPr>
            <w:r w:rsidRPr="00300918">
              <w:rPr>
                <w:rFonts w:ascii="Arial Narrow" w:hAnsi="Arial Narrow"/>
                <w:sz w:val="20"/>
              </w:rPr>
              <w:t>Utilities</w:t>
            </w:r>
          </w:p>
        </w:tc>
        <w:tc>
          <w:tcPr>
            <w:tcW w:w="2554" w:type="pct"/>
            <w:shd w:val="clear" w:color="auto" w:fill="auto"/>
            <w:vAlign w:val="center"/>
          </w:tcPr>
          <w:p w:rsidR="00751AF6" w:rsidRPr="00300918" w:rsidRDefault="00B413A9" w:rsidP="00070806">
            <w:pPr>
              <w:keepNext/>
              <w:spacing w:before="40" w:after="40"/>
              <w:rPr>
                <w:rFonts w:ascii="Arial Narrow" w:hAnsi="Arial Narrow"/>
                <w:sz w:val="20"/>
              </w:rPr>
            </w:pPr>
            <w:r w:rsidRPr="00300918">
              <w:rPr>
                <w:rFonts w:ascii="Arial Narrow" w:hAnsi="Arial Narrow"/>
                <w:sz w:val="20"/>
              </w:rPr>
              <w:t>U</w:t>
            </w:r>
            <w:r w:rsidR="001C0047" w:rsidRPr="00300918">
              <w:rPr>
                <w:rFonts w:ascii="Arial Narrow" w:hAnsi="Arial Narrow"/>
                <w:sz w:val="20"/>
              </w:rPr>
              <w:t xml:space="preserve">tility estimates which were based on mapping quality of life estimates captured in the trial to </w:t>
            </w:r>
            <w:r w:rsidRPr="00300918">
              <w:rPr>
                <w:rFonts w:ascii="Arial Narrow" w:hAnsi="Arial Narrow"/>
                <w:sz w:val="20"/>
              </w:rPr>
              <w:t xml:space="preserve">utilities based on a time trade-off. There were differences in quality of life estimates at baseline, </w:t>
            </w:r>
            <w:r w:rsidR="00751AF6" w:rsidRPr="00300918">
              <w:rPr>
                <w:rFonts w:ascii="Arial Narrow" w:hAnsi="Arial Narrow"/>
                <w:sz w:val="20"/>
              </w:rPr>
              <w:t xml:space="preserve">anomalous results between improvement categories, </w:t>
            </w:r>
            <w:r w:rsidRPr="00300918">
              <w:rPr>
                <w:rFonts w:ascii="Arial Narrow" w:hAnsi="Arial Narrow"/>
                <w:sz w:val="20"/>
              </w:rPr>
              <w:t>some estimates were based on small patient numbers</w:t>
            </w:r>
            <w:r w:rsidR="00751AF6" w:rsidRPr="00300918">
              <w:rPr>
                <w:rFonts w:ascii="Arial Narrow" w:hAnsi="Arial Narrow"/>
                <w:sz w:val="20"/>
              </w:rPr>
              <w:t xml:space="preserve"> with high variability,</w:t>
            </w:r>
            <w:r w:rsidRPr="00300918">
              <w:rPr>
                <w:rFonts w:ascii="Arial Narrow" w:hAnsi="Arial Narrow"/>
                <w:sz w:val="20"/>
              </w:rPr>
              <w:t xml:space="preserve"> and no external validation was attempted. </w:t>
            </w:r>
          </w:p>
        </w:tc>
        <w:tc>
          <w:tcPr>
            <w:tcW w:w="1348" w:type="pct"/>
            <w:shd w:val="clear" w:color="auto" w:fill="auto"/>
            <w:vAlign w:val="center"/>
          </w:tcPr>
          <w:p w:rsidR="00751AF6" w:rsidRPr="00300918" w:rsidRDefault="001C0047" w:rsidP="00AE0559">
            <w:pPr>
              <w:keepNext/>
              <w:spacing w:before="40" w:after="40"/>
              <w:rPr>
                <w:rFonts w:ascii="Arial Narrow" w:hAnsi="Arial Narrow"/>
                <w:sz w:val="20"/>
              </w:rPr>
            </w:pPr>
            <w:r w:rsidRPr="00300918">
              <w:rPr>
                <w:rFonts w:ascii="Arial Narrow" w:hAnsi="Arial Narrow"/>
                <w:sz w:val="20"/>
              </w:rPr>
              <w:t>Unclear</w:t>
            </w:r>
            <w:r w:rsidR="00C02BBE" w:rsidRPr="00300918">
              <w:rPr>
                <w:rFonts w:ascii="Arial Narrow" w:hAnsi="Arial Narrow"/>
                <w:sz w:val="20"/>
              </w:rPr>
              <w:t xml:space="preserve">. </w:t>
            </w:r>
          </w:p>
        </w:tc>
      </w:tr>
      <w:tr w:rsidR="00070806" w:rsidRPr="00300918" w:rsidTr="00070806">
        <w:tc>
          <w:tcPr>
            <w:tcW w:w="1098" w:type="pct"/>
            <w:shd w:val="clear" w:color="auto" w:fill="auto"/>
            <w:vAlign w:val="center"/>
          </w:tcPr>
          <w:p w:rsidR="00070806" w:rsidRPr="00300918" w:rsidRDefault="00070806" w:rsidP="002F668F">
            <w:pPr>
              <w:keepNext/>
              <w:spacing w:before="40" w:after="40"/>
              <w:rPr>
                <w:rFonts w:ascii="Arial Narrow" w:hAnsi="Arial Narrow"/>
                <w:sz w:val="20"/>
              </w:rPr>
            </w:pPr>
            <w:r w:rsidRPr="00300918">
              <w:rPr>
                <w:rFonts w:ascii="Arial Narrow" w:hAnsi="Arial Narrow"/>
                <w:sz w:val="20"/>
              </w:rPr>
              <w:t>Utilities</w:t>
            </w:r>
          </w:p>
        </w:tc>
        <w:tc>
          <w:tcPr>
            <w:tcW w:w="2554" w:type="pct"/>
            <w:shd w:val="clear" w:color="auto" w:fill="auto"/>
            <w:vAlign w:val="center"/>
          </w:tcPr>
          <w:p w:rsidR="00070806" w:rsidRPr="00300918" w:rsidRDefault="00070806" w:rsidP="00070806">
            <w:pPr>
              <w:keepNext/>
              <w:spacing w:before="40" w:after="40"/>
              <w:rPr>
                <w:rFonts w:ascii="Arial Narrow" w:hAnsi="Arial Narrow"/>
                <w:sz w:val="20"/>
              </w:rPr>
            </w:pPr>
            <w:r w:rsidRPr="00300918">
              <w:rPr>
                <w:rFonts w:ascii="Arial Narrow" w:hAnsi="Arial Narrow"/>
                <w:sz w:val="20"/>
              </w:rPr>
              <w:t>The model included an assumption that the utility gain for patients in the standard care arm who improved was less than for patients in the dexamethasone implant arm who experienced an equivalent minimum improvement. It is likely that patients experiencing a similar minimum level of improvement would have equivalent utility gains.</w:t>
            </w:r>
          </w:p>
        </w:tc>
        <w:tc>
          <w:tcPr>
            <w:tcW w:w="1348" w:type="pct"/>
            <w:shd w:val="clear" w:color="auto" w:fill="auto"/>
            <w:vAlign w:val="center"/>
          </w:tcPr>
          <w:p w:rsidR="00070806" w:rsidRPr="00300918" w:rsidRDefault="00070806" w:rsidP="00AE0559">
            <w:pPr>
              <w:keepNext/>
              <w:spacing w:before="40" w:after="40"/>
              <w:rPr>
                <w:rFonts w:ascii="Arial Narrow" w:hAnsi="Arial Narrow"/>
                <w:sz w:val="20"/>
              </w:rPr>
            </w:pPr>
            <w:r w:rsidRPr="00300918">
              <w:rPr>
                <w:rFonts w:ascii="Arial Narrow" w:hAnsi="Arial Narrow"/>
                <w:sz w:val="20"/>
              </w:rPr>
              <w:t>Moderate; favours dexamethasone</w:t>
            </w:r>
            <w:r w:rsidR="005F7986" w:rsidRPr="00300918">
              <w:rPr>
                <w:rFonts w:ascii="Arial Narrow" w:hAnsi="Arial Narrow"/>
                <w:sz w:val="20"/>
              </w:rPr>
              <w:t xml:space="preserve"> </w:t>
            </w:r>
          </w:p>
        </w:tc>
      </w:tr>
    </w:tbl>
    <w:p w:rsidR="00AE0559" w:rsidRPr="00300918" w:rsidRDefault="00F1629D" w:rsidP="007F67B1">
      <w:pPr>
        <w:widowControl w:val="0"/>
        <w:spacing w:before="0" w:after="240"/>
        <w:jc w:val="both"/>
      </w:pPr>
      <w:r w:rsidRPr="00300918">
        <w:rPr>
          <w:rFonts w:ascii="Arial Narrow" w:eastAsia="Times New Roman" w:hAnsi="Arial Narrow" w:cs="Arial"/>
          <w:snapToGrid w:val="0"/>
          <w:sz w:val="18"/>
          <w:szCs w:val="20"/>
        </w:rPr>
        <w:t xml:space="preserve">Source: </w:t>
      </w:r>
      <w:r w:rsidR="00D3678A" w:rsidRPr="00300918">
        <w:rPr>
          <w:rFonts w:ascii="Arial Narrow" w:eastAsia="Times New Roman" w:hAnsi="Arial Narrow" w:cs="Arial"/>
          <w:snapToGrid w:val="0"/>
          <w:sz w:val="18"/>
          <w:szCs w:val="20"/>
        </w:rPr>
        <w:t>Compiled during the evaluation (see Section 3 of the submission and TreeAge model ‘Model – dexamethasone implant vs sham’ presented with the submission)</w:t>
      </w:r>
    </w:p>
    <w:p w:rsidR="00AE0559" w:rsidRPr="00300918" w:rsidRDefault="00AE0559" w:rsidP="00564892">
      <w:pPr>
        <w:numPr>
          <w:ilvl w:val="1"/>
          <w:numId w:val="1"/>
        </w:numPr>
        <w:ind w:left="709" w:hanging="709"/>
        <w:jc w:val="both"/>
      </w:pPr>
      <w:r w:rsidRPr="00300918">
        <w:rPr>
          <w:szCs w:val="24"/>
        </w:rPr>
        <w:t xml:space="preserve">The extrapolation of results from the clinical trial was highly uncertain due to limited data supporting the duration of dexamethasone implant effects as well as limited data on the use of </w:t>
      </w:r>
      <w:r w:rsidRPr="00300918">
        <w:rPr>
          <w:rFonts w:cs="Arial"/>
          <w:bCs/>
          <w:snapToGrid w:val="0"/>
        </w:rPr>
        <w:t>repeat</w:t>
      </w:r>
      <w:r w:rsidRPr="00300918">
        <w:rPr>
          <w:szCs w:val="24"/>
        </w:rPr>
        <w:t xml:space="preserve"> implants. The PSCR (p5) argued that long term durability of dexamethasone was already accepted by PBAC in its consideration of dexamethasone implant for diabetic macular oedema. The ESC was unclear whether durability data from macular oedema would be directly relevant to uveitis which may have a different clinical course. </w:t>
      </w:r>
      <w:r w:rsidR="00B07342" w:rsidRPr="00300918">
        <w:rPr>
          <w:szCs w:val="24"/>
        </w:rPr>
        <w:t xml:space="preserve">The pre-PBAC response (p2) stated that </w:t>
      </w:r>
      <w:r w:rsidR="00280A4F" w:rsidRPr="00300918">
        <w:rPr>
          <w:szCs w:val="24"/>
        </w:rPr>
        <w:t xml:space="preserve">observational studies indicate the </w:t>
      </w:r>
      <w:r w:rsidR="00B07342" w:rsidRPr="00300918">
        <w:t>repeat use of dexamethasone implant is both safe and effective and that the treatment effect after repeat administration is consistent with those observed after initial administration of dexamethasone implant in the HURON trial</w:t>
      </w:r>
      <w:r w:rsidR="00286BCD" w:rsidRPr="00300918">
        <w:t xml:space="preserve">. The PBAC considered this </w:t>
      </w:r>
      <w:r w:rsidR="00280A4F" w:rsidRPr="00300918">
        <w:t xml:space="preserve">was </w:t>
      </w:r>
      <w:r w:rsidR="00286BCD" w:rsidRPr="00300918">
        <w:t xml:space="preserve">acceptable </w:t>
      </w:r>
      <w:r w:rsidR="00280A4F" w:rsidRPr="00300918">
        <w:t>as the submission was not seeking listing f</w:t>
      </w:r>
      <w:r w:rsidR="00210AAD" w:rsidRPr="00300918">
        <w:t xml:space="preserve">or maintenance treatment and </w:t>
      </w:r>
      <w:r w:rsidR="00286BCD" w:rsidRPr="00300918">
        <w:t>given</w:t>
      </w:r>
      <w:r w:rsidR="00B574C1" w:rsidRPr="00300918">
        <w:t xml:space="preserve"> the</w:t>
      </w:r>
      <w:r w:rsidR="00286BCD" w:rsidRPr="00300918">
        <w:t xml:space="preserve"> manageable </w:t>
      </w:r>
      <w:r w:rsidR="00A568C8" w:rsidRPr="00300918">
        <w:t>adverse event profile</w:t>
      </w:r>
      <w:r w:rsidR="00DA36A0" w:rsidRPr="00300918">
        <w:t xml:space="preserve"> </w:t>
      </w:r>
      <w:r w:rsidR="002158E4" w:rsidRPr="00300918">
        <w:t>of dexamethasone implant</w:t>
      </w:r>
      <w:r w:rsidR="00B574C1" w:rsidRPr="00300918">
        <w:t>.</w:t>
      </w:r>
      <w:r w:rsidR="00286BCD" w:rsidRPr="00300918">
        <w:t xml:space="preserve"> </w:t>
      </w:r>
    </w:p>
    <w:p w:rsidR="00AE0559" w:rsidRPr="00300918" w:rsidRDefault="00AE0559" w:rsidP="00564892">
      <w:pPr>
        <w:numPr>
          <w:ilvl w:val="1"/>
          <w:numId w:val="1"/>
        </w:numPr>
        <w:ind w:left="709" w:hanging="709"/>
        <w:jc w:val="both"/>
      </w:pPr>
      <w:r w:rsidRPr="00300918">
        <w:rPr>
          <w:szCs w:val="24"/>
        </w:rPr>
        <w:t xml:space="preserve">The </w:t>
      </w:r>
      <w:r w:rsidR="00924B55" w:rsidRPr="00300918">
        <w:rPr>
          <w:szCs w:val="24"/>
        </w:rPr>
        <w:t xml:space="preserve">ESC considered the </w:t>
      </w:r>
      <w:r w:rsidRPr="00300918">
        <w:rPr>
          <w:szCs w:val="24"/>
        </w:rPr>
        <w:t xml:space="preserve">validity of using utility estimates (based on mapping quality of life estimates captured in the trial) to time trade-off utility values given the limitations of the data (differences between treatments at baseline, small patient numbers, anomalous results between improvement categories, no external validation). The PSCR (p5) stated that the most rigorous utilities that could have been adopted were used in the approach presented. The ESC considered this may have been the case, but the application of utilities could have been more conservative. The ESC noted that the base case used the </w:t>
      </w:r>
      <w:r w:rsidR="00D05EEB" w:rsidRPr="00300918">
        <w:rPr>
          <w:szCs w:val="24"/>
        </w:rPr>
        <w:t xml:space="preserve">more </w:t>
      </w:r>
      <w:r w:rsidRPr="00300918">
        <w:rPr>
          <w:szCs w:val="24"/>
        </w:rPr>
        <w:t xml:space="preserve">favourable algorithm and the utility gain for patients in the standard care arm who improved was less than for patients with dexamethasone implant who experienced the same minimum improvement. The ESC also noted that the utility derivation from the quality of life data collected in the trial </w:t>
      </w:r>
      <w:r w:rsidR="00C91102" w:rsidRPr="00300918">
        <w:rPr>
          <w:szCs w:val="24"/>
        </w:rPr>
        <w:t>wa</w:t>
      </w:r>
      <w:r w:rsidRPr="00300918">
        <w:rPr>
          <w:szCs w:val="24"/>
        </w:rPr>
        <w:t xml:space="preserve">s not clear. The ESC was concerned that the data appeared to generate some inconsistent results </w:t>
      </w:r>
      <w:r w:rsidR="00C91102" w:rsidRPr="00300918">
        <w:rPr>
          <w:szCs w:val="24"/>
        </w:rPr>
        <w:t xml:space="preserve">e.g. </w:t>
      </w:r>
      <w:r w:rsidRPr="00300918">
        <w:rPr>
          <w:szCs w:val="24"/>
        </w:rPr>
        <w:t>the utility gain (measured using VFQ-UI) for improvement ≥ 10 letters when the better seeing eye is treated being lower than the value for an improvement of ≥ 5 letters.</w:t>
      </w:r>
    </w:p>
    <w:p w:rsidR="00AE0559" w:rsidRPr="00300918" w:rsidRDefault="00AE0559" w:rsidP="00564892">
      <w:pPr>
        <w:numPr>
          <w:ilvl w:val="1"/>
          <w:numId w:val="1"/>
        </w:numPr>
        <w:ind w:left="709" w:hanging="709"/>
        <w:jc w:val="both"/>
      </w:pPr>
      <w:r w:rsidRPr="00300918">
        <w:rPr>
          <w:szCs w:val="24"/>
        </w:rPr>
        <w:t xml:space="preserve">The model base case included an assumption that the utility gain for patients in the standard care arm who improved was less than for patients with dexamethasone implant who experienced the same minimum improvement. The submission stated that this was because the mean letters gained were greater for those in the dexamethasone treatment arm. It is likely that patients experiencing a similar minimum level of improvement would have equivalent QALY gains attached. The PSCR (p6) maintained that it was reasonable to model differential utility gains for </w:t>
      </w:r>
      <w:r w:rsidR="00C91102" w:rsidRPr="00300918">
        <w:rPr>
          <w:szCs w:val="24"/>
        </w:rPr>
        <w:t xml:space="preserve">standard care </w:t>
      </w:r>
      <w:r w:rsidRPr="00300918">
        <w:rPr>
          <w:szCs w:val="24"/>
        </w:rPr>
        <w:t>and treatment arms in the model. The PSCR (p6) argued that minimum level of improvement does not reflect the mean level of improvement and quality of life is more likely to be related to mean improvement. The PSCR (p6) noted the mean number of letters in dexamethasone improvers was higher than for improvers in the sham arm. The ESC</w:t>
      </w:r>
      <w:r w:rsidR="00D05EEB" w:rsidRPr="00300918">
        <w:rPr>
          <w:szCs w:val="24"/>
        </w:rPr>
        <w:t xml:space="preserve"> were concerned that the utility gains for the treatment arm were potentially </w:t>
      </w:r>
      <w:r w:rsidR="00C6625E" w:rsidRPr="00300918">
        <w:rPr>
          <w:szCs w:val="24"/>
        </w:rPr>
        <w:t>over counted</w:t>
      </w:r>
      <w:r w:rsidR="00D05EEB" w:rsidRPr="00300918">
        <w:rPr>
          <w:szCs w:val="24"/>
        </w:rPr>
        <w:t xml:space="preserve"> and</w:t>
      </w:r>
      <w:r w:rsidRPr="00300918">
        <w:rPr>
          <w:szCs w:val="24"/>
        </w:rPr>
        <w:t xml:space="preserve"> </w:t>
      </w:r>
      <w:r w:rsidR="00C91102" w:rsidRPr="00300918">
        <w:rPr>
          <w:szCs w:val="24"/>
        </w:rPr>
        <w:t>considered</w:t>
      </w:r>
      <w:r w:rsidRPr="00300918">
        <w:rPr>
          <w:szCs w:val="24"/>
        </w:rPr>
        <w:t xml:space="preserve"> that </w:t>
      </w:r>
      <w:r w:rsidR="008B5047" w:rsidRPr="00300918">
        <w:rPr>
          <w:szCs w:val="24"/>
        </w:rPr>
        <w:t xml:space="preserve">it may have been more appropriate to define the improvement health state in a way that enabled the same utility value to be assigned regardless of treatment. </w:t>
      </w:r>
    </w:p>
    <w:p w:rsidR="008A1B21" w:rsidRPr="00300918" w:rsidRDefault="008A1B21" w:rsidP="00564892">
      <w:pPr>
        <w:numPr>
          <w:ilvl w:val="1"/>
          <w:numId w:val="1"/>
        </w:numPr>
        <w:ind w:left="709" w:hanging="709"/>
        <w:jc w:val="both"/>
      </w:pPr>
      <w:r w:rsidRPr="00300918">
        <w:t xml:space="preserve">Treatment </w:t>
      </w:r>
      <w:r w:rsidRPr="00300918">
        <w:rPr>
          <w:rFonts w:cs="Arial"/>
          <w:bCs/>
          <w:snapToGrid w:val="0"/>
        </w:rPr>
        <w:t>with</w:t>
      </w:r>
      <w:r w:rsidRPr="00300918">
        <w:t xml:space="preserve"> dexamethasone implant was associated with the following incremental cost per QALY gained compared with sham (standard care):</w:t>
      </w:r>
    </w:p>
    <w:p w:rsidR="008A1B21" w:rsidRPr="00300918" w:rsidRDefault="008A1B21" w:rsidP="008A1B21">
      <w:pPr>
        <w:numPr>
          <w:ilvl w:val="0"/>
          <w:numId w:val="13"/>
        </w:numPr>
        <w:spacing w:before="0" w:after="120"/>
        <w:ind w:left="1134" w:hanging="425"/>
        <w:jc w:val="both"/>
      </w:pPr>
      <w:r w:rsidRPr="00300918">
        <w:t xml:space="preserve">Based on the corrected economic model: </w:t>
      </w:r>
      <w:r w:rsidR="008A5AFC">
        <w:t>$15,000/QALY - $45,000/QALY</w:t>
      </w:r>
      <w:r w:rsidR="008A5AFC" w:rsidRPr="00300918">
        <w:t xml:space="preserve"> </w:t>
      </w:r>
      <w:r w:rsidRPr="00300918">
        <w:t xml:space="preserve">for an improvement of ≥ 5 letters in visual acuity; </w:t>
      </w:r>
      <w:r w:rsidR="008A5AFC">
        <w:t>$15,000/QALY - $45,000/QALY</w:t>
      </w:r>
      <w:r w:rsidR="008A5AFC" w:rsidRPr="00300918">
        <w:t xml:space="preserve"> </w:t>
      </w:r>
      <w:r w:rsidRPr="00300918">
        <w:t xml:space="preserve">for an improvement of ≥ 10 letters in visual acuity; and </w:t>
      </w:r>
      <w:r w:rsidR="008A5AFC">
        <w:t>$45,000/QALY - $75,000/QALY</w:t>
      </w:r>
      <w:r w:rsidRPr="00300918">
        <w:t xml:space="preserve"> when a definition of improvement of ≥ 15 letters gain in visual acuity. The results of the modelled economic evaluation base case w</w:t>
      </w:r>
      <w:r w:rsidR="00AB2D64" w:rsidRPr="00300918">
        <w:t>ere</w:t>
      </w:r>
      <w:r w:rsidRPr="00300918">
        <w:t xml:space="preserve"> corrected for an error identified during the evaluation (error in the application of probability of retreatment with dexamethasone implant).</w:t>
      </w:r>
    </w:p>
    <w:p w:rsidR="008A1B21" w:rsidRPr="00300918" w:rsidRDefault="008A1B21" w:rsidP="008A1B21">
      <w:pPr>
        <w:numPr>
          <w:ilvl w:val="0"/>
          <w:numId w:val="13"/>
        </w:numPr>
        <w:spacing w:before="0" w:after="120"/>
        <w:ind w:left="1134" w:hanging="425"/>
        <w:jc w:val="both"/>
      </w:pPr>
      <w:r w:rsidRPr="00300918">
        <w:t xml:space="preserve">Based on the PSCR (p7) which presented further revised analyses that removed costs of rescue treatment from the economic model: </w:t>
      </w:r>
      <w:r w:rsidR="008A5AFC">
        <w:t>$45,000/QALY - $75,000/QALY</w:t>
      </w:r>
      <w:r w:rsidRPr="00300918">
        <w:t xml:space="preserve"> for an improvement of ≥ 5 letters in visual acuity; </w:t>
      </w:r>
      <w:r w:rsidR="008A5AFC">
        <w:t>$45,000/QALY - $75,000/QALY</w:t>
      </w:r>
      <w:r w:rsidR="008A5AFC" w:rsidRPr="00300918">
        <w:t xml:space="preserve"> </w:t>
      </w:r>
      <w:r w:rsidRPr="00300918">
        <w:t xml:space="preserve">for an improvement of ≥ 10 letters in visual acuity; and </w:t>
      </w:r>
      <w:r w:rsidR="008A5AFC">
        <w:t>$15,000/QALY - $45,000/QALY</w:t>
      </w:r>
      <w:r w:rsidRPr="00300918">
        <w:t xml:space="preserve"> for an improvement of ≥ 15 letters in visual acuity. </w:t>
      </w:r>
    </w:p>
    <w:p w:rsidR="008A1B21" w:rsidRPr="00300918" w:rsidRDefault="008A1B21" w:rsidP="008A1B21">
      <w:pPr>
        <w:numPr>
          <w:ilvl w:val="0"/>
          <w:numId w:val="13"/>
        </w:numPr>
        <w:spacing w:before="0" w:after="120"/>
        <w:ind w:left="1134" w:hanging="425"/>
        <w:jc w:val="both"/>
      </w:pPr>
      <w:r w:rsidRPr="00300918">
        <w:t>Based on the pre-PBAC response (p3) where the costs of rescue medication are removed</w:t>
      </w:r>
      <w:r w:rsidR="00B04821" w:rsidRPr="00300918">
        <w:t xml:space="preserve"> and a</w:t>
      </w:r>
      <w:r w:rsidRPr="00300918">
        <w:t xml:space="preserve"> rebate of </w:t>
      </w:r>
      <w:r w:rsidR="0090474F">
        <w:rPr>
          <w:noProof/>
          <w:color w:val="000000"/>
          <w:highlight w:val="black"/>
        </w:rPr>
        <w:t>''''''''</w:t>
      </w:r>
      <w:r w:rsidRPr="00300918">
        <w:t xml:space="preserve">% was applied: </w:t>
      </w:r>
      <w:r w:rsidR="008A5AFC">
        <w:t>$15,000/QALY - $45,000/QALY</w:t>
      </w:r>
      <w:r w:rsidR="008A5AFC" w:rsidRPr="00300918">
        <w:t xml:space="preserve"> </w:t>
      </w:r>
      <w:r w:rsidR="00F93D10">
        <w:t xml:space="preserve">for an improvement </w:t>
      </w:r>
      <w:r w:rsidRPr="00300918">
        <w:t xml:space="preserve">of </w:t>
      </w:r>
      <w:r w:rsidRPr="00300918">
        <w:br/>
        <w:t xml:space="preserve">≥ 5 letters gain in visual acuity; </w:t>
      </w:r>
      <w:r w:rsidR="00DF44E0">
        <w:t>$15,000/QALY - $45,000/QALY</w:t>
      </w:r>
      <w:r w:rsidR="00DF44E0" w:rsidRPr="00300918">
        <w:t xml:space="preserve"> </w:t>
      </w:r>
      <w:r w:rsidRPr="00300918">
        <w:t xml:space="preserve">for an improvement of ≥ 10 letters gain in visual acuity; and </w:t>
      </w:r>
      <w:r w:rsidR="00DF44E0">
        <w:t>$15,000/QALY - $45,000/QALY</w:t>
      </w:r>
      <w:r w:rsidR="00DF44E0" w:rsidRPr="00300918">
        <w:t xml:space="preserve"> </w:t>
      </w:r>
      <w:r w:rsidRPr="00300918">
        <w:t xml:space="preserve">for an improvement of ≥ 15 letters gain in visual acuity. </w:t>
      </w:r>
    </w:p>
    <w:p w:rsidR="00F1629D" w:rsidRPr="00300918" w:rsidRDefault="00F1629D" w:rsidP="00564892">
      <w:pPr>
        <w:numPr>
          <w:ilvl w:val="1"/>
          <w:numId w:val="1"/>
        </w:numPr>
        <w:ind w:left="709" w:hanging="709"/>
        <w:jc w:val="both"/>
      </w:pPr>
      <w:r w:rsidRPr="00300918">
        <w:t>The results of the modelled economic evaluation base case</w:t>
      </w:r>
      <w:r w:rsidR="00DE7FCC" w:rsidRPr="00300918">
        <w:t xml:space="preserve"> from the pre-PBAC response (p3) which </w:t>
      </w:r>
      <w:r w:rsidR="00DE7FCC" w:rsidRPr="00300918">
        <w:rPr>
          <w:rFonts w:cs="Arial"/>
          <w:bCs/>
          <w:snapToGrid w:val="0"/>
        </w:rPr>
        <w:t>included</w:t>
      </w:r>
      <w:r w:rsidR="00DE7FCC" w:rsidRPr="00300918">
        <w:t xml:space="preserve"> a special pricing arrangement proposal</w:t>
      </w:r>
      <w:r w:rsidR="009915CB" w:rsidRPr="00300918">
        <w:t xml:space="preserve"> are</w:t>
      </w:r>
      <w:r w:rsidR="00DE7FCC" w:rsidRPr="00300918">
        <w:t xml:space="preserve"> presented in Table 9.</w:t>
      </w:r>
      <w:r w:rsidR="00DE7FCC" w:rsidRPr="00300918" w:rsidDel="00DE7FCC">
        <w:t xml:space="preserve"> </w:t>
      </w:r>
      <w:r w:rsidR="00B04821" w:rsidRPr="00300918">
        <w:t>The PBAC considered the revised ICERs in the pre-PBAC response (p3) were more acceptable and reduced the uncertainties around the cost-effectiveness of dexamethasone implant.</w:t>
      </w:r>
    </w:p>
    <w:p w:rsidR="00F1629D" w:rsidRPr="00300918" w:rsidRDefault="00F1629D" w:rsidP="00A41373">
      <w:pPr>
        <w:jc w:val="both"/>
        <w:rPr>
          <w:rFonts w:ascii="Arial Narrow" w:hAnsi="Arial Narrow"/>
          <w:b/>
          <w:sz w:val="20"/>
        </w:rPr>
      </w:pPr>
      <w:r w:rsidRPr="00300918">
        <w:rPr>
          <w:rFonts w:ascii="Arial Narrow" w:hAnsi="Arial Narrow"/>
          <w:b/>
          <w:sz w:val="20"/>
        </w:rPr>
        <w:t xml:space="preserve">Table </w:t>
      </w:r>
      <w:r w:rsidR="00C52040" w:rsidRPr="00300918">
        <w:rPr>
          <w:rFonts w:ascii="Arial Narrow" w:hAnsi="Arial Narrow"/>
          <w:b/>
          <w:sz w:val="20"/>
        </w:rPr>
        <w:t>9</w:t>
      </w:r>
      <w:r w:rsidRPr="00300918">
        <w:rPr>
          <w:rFonts w:ascii="Arial Narrow" w:hAnsi="Arial Narrow"/>
          <w:b/>
          <w:sz w:val="20"/>
        </w:rPr>
        <w:t>: Results of the modelled economic evaluation</w:t>
      </w:r>
      <w:r w:rsidR="002834D0" w:rsidRPr="00300918">
        <w:rPr>
          <w:rFonts w:ascii="Arial Narrow" w:hAnsi="Arial Narrow"/>
          <w:b/>
          <w:sz w:val="20"/>
        </w:rPr>
        <w:t xml:space="preserve"> from pre-PBAC response (p3) using the special pricing arrangement proposal</w:t>
      </w:r>
    </w:p>
    <w:tbl>
      <w:tblPr>
        <w:tblStyle w:val="TableGridbeth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the modelled economic evaluation from pre-PBAC response (p3) using the special pricing arrangement proposal"/>
      </w:tblPr>
      <w:tblGrid>
        <w:gridCol w:w="2830"/>
        <w:gridCol w:w="2062"/>
        <w:gridCol w:w="2062"/>
        <w:gridCol w:w="2062"/>
      </w:tblGrid>
      <w:tr w:rsidR="00F1629D" w:rsidRPr="00300918" w:rsidTr="00A443F7">
        <w:trPr>
          <w:cnfStyle w:val="100000000000" w:firstRow="1" w:lastRow="0" w:firstColumn="0" w:lastColumn="0" w:oddVBand="0" w:evenVBand="0" w:oddHBand="0" w:evenHBand="0" w:firstRowFirstColumn="0" w:firstRowLastColumn="0" w:lastRowFirstColumn="0" w:lastRowLastColumn="0"/>
          <w:tblHeader/>
        </w:trPr>
        <w:tc>
          <w:tcPr>
            <w:tcW w:w="2830" w:type="dxa"/>
            <w:shd w:val="clear" w:color="auto" w:fill="auto"/>
          </w:tcPr>
          <w:p w:rsidR="00F1629D" w:rsidRPr="00300918" w:rsidRDefault="00F1629D" w:rsidP="00F1629D">
            <w:pPr>
              <w:keepNext/>
              <w:keepLines/>
              <w:spacing w:before="40" w:after="40"/>
              <w:rPr>
                <w:rFonts w:ascii="Arial Narrow" w:hAnsi="Arial Narrow"/>
                <w:sz w:val="20"/>
                <w:lang w:val="en-AU"/>
              </w:rPr>
            </w:pPr>
          </w:p>
        </w:tc>
        <w:tc>
          <w:tcPr>
            <w:tcW w:w="2062" w:type="dxa"/>
            <w:shd w:val="clear" w:color="auto" w:fill="auto"/>
          </w:tcPr>
          <w:p w:rsidR="00F1629D" w:rsidRPr="00300918" w:rsidRDefault="00F1629D" w:rsidP="00F1629D">
            <w:pPr>
              <w:keepNext/>
              <w:keepLines/>
              <w:spacing w:before="40" w:after="40"/>
              <w:jc w:val="center"/>
              <w:rPr>
                <w:rFonts w:ascii="Arial Narrow" w:hAnsi="Arial Narrow"/>
                <w:sz w:val="20"/>
                <w:lang w:val="en-AU"/>
              </w:rPr>
            </w:pPr>
            <w:r w:rsidRPr="00300918">
              <w:rPr>
                <w:rFonts w:ascii="Arial Narrow" w:hAnsi="Arial Narrow"/>
                <w:sz w:val="20"/>
                <w:lang w:val="en-AU"/>
              </w:rPr>
              <w:t>Dexamethasone</w:t>
            </w:r>
          </w:p>
        </w:tc>
        <w:tc>
          <w:tcPr>
            <w:tcW w:w="2062" w:type="dxa"/>
            <w:shd w:val="clear" w:color="auto" w:fill="auto"/>
          </w:tcPr>
          <w:p w:rsidR="00F1629D" w:rsidRPr="00300918" w:rsidRDefault="00F1629D" w:rsidP="00F1629D">
            <w:pPr>
              <w:keepNext/>
              <w:keepLines/>
              <w:spacing w:before="40" w:after="40"/>
              <w:jc w:val="center"/>
              <w:rPr>
                <w:rFonts w:ascii="Arial Narrow" w:hAnsi="Arial Narrow"/>
                <w:sz w:val="20"/>
                <w:lang w:val="en-AU"/>
              </w:rPr>
            </w:pPr>
            <w:r w:rsidRPr="00300918">
              <w:rPr>
                <w:rFonts w:ascii="Arial Narrow" w:hAnsi="Arial Narrow"/>
                <w:sz w:val="20"/>
                <w:lang w:val="en-AU"/>
              </w:rPr>
              <w:t>Standard care</w:t>
            </w:r>
          </w:p>
        </w:tc>
        <w:tc>
          <w:tcPr>
            <w:tcW w:w="2062" w:type="dxa"/>
            <w:shd w:val="clear" w:color="auto" w:fill="auto"/>
          </w:tcPr>
          <w:p w:rsidR="00F1629D" w:rsidRPr="00300918" w:rsidRDefault="00F1629D" w:rsidP="00F1629D">
            <w:pPr>
              <w:keepNext/>
              <w:keepLines/>
              <w:spacing w:before="40" w:after="40"/>
              <w:jc w:val="center"/>
              <w:rPr>
                <w:rFonts w:ascii="Arial Narrow" w:hAnsi="Arial Narrow"/>
                <w:sz w:val="20"/>
                <w:lang w:val="en-AU"/>
              </w:rPr>
            </w:pPr>
            <w:r w:rsidRPr="00300918">
              <w:rPr>
                <w:rFonts w:ascii="Arial Narrow" w:hAnsi="Arial Narrow"/>
                <w:sz w:val="20"/>
                <w:lang w:val="en-AU"/>
              </w:rPr>
              <w:t>Increment</w:t>
            </w:r>
          </w:p>
        </w:tc>
      </w:tr>
      <w:tr w:rsidR="002969AB" w:rsidRPr="00300918" w:rsidTr="0050319E">
        <w:tc>
          <w:tcPr>
            <w:tcW w:w="9016" w:type="dxa"/>
            <w:gridSpan w:val="4"/>
            <w:shd w:val="clear" w:color="auto" w:fill="auto"/>
          </w:tcPr>
          <w:p w:rsidR="002969AB" w:rsidRPr="00300918" w:rsidRDefault="002969AB" w:rsidP="0050319E">
            <w:pPr>
              <w:keepNext/>
              <w:keepLines/>
              <w:spacing w:before="40" w:after="40"/>
              <w:rPr>
                <w:rFonts w:ascii="Arial Narrow" w:hAnsi="Arial Narrow"/>
                <w:b/>
                <w:sz w:val="20"/>
                <w:lang w:val="en-AU"/>
              </w:rPr>
            </w:pPr>
            <w:r w:rsidRPr="00300918">
              <w:rPr>
                <w:rFonts w:ascii="Arial Narrow" w:hAnsi="Arial Narrow"/>
                <w:b/>
                <w:sz w:val="20"/>
                <w:lang w:val="en-AU"/>
              </w:rPr>
              <w:t>Base case (improvement defined as a gain of ≥ 5 letters)</w:t>
            </w:r>
          </w:p>
        </w:tc>
      </w:tr>
      <w:tr w:rsidR="009C2DA5" w:rsidRPr="00300918" w:rsidTr="009C2DA5">
        <w:tc>
          <w:tcPr>
            <w:tcW w:w="2830" w:type="dxa"/>
            <w:shd w:val="clear" w:color="auto" w:fill="auto"/>
          </w:tcPr>
          <w:p w:rsidR="009C2DA5" w:rsidRPr="00300918" w:rsidRDefault="009C2DA5" w:rsidP="0050319E">
            <w:pPr>
              <w:spacing w:before="40" w:after="40"/>
              <w:rPr>
                <w:rFonts w:ascii="Arial Narrow" w:eastAsia="Calibri" w:hAnsi="Arial Narrow" w:cs="Times New Roman"/>
                <w:sz w:val="20"/>
                <w:szCs w:val="20"/>
                <w:lang w:val="en-AU"/>
              </w:rPr>
            </w:pPr>
            <w:r w:rsidRPr="00300918">
              <w:rPr>
                <w:rFonts w:ascii="Arial Narrow" w:eastAsia="Calibri" w:hAnsi="Arial Narrow" w:cs="Times New Roman"/>
                <w:sz w:val="20"/>
                <w:szCs w:val="20"/>
                <w:lang w:val="en-AU"/>
              </w:rPr>
              <w:t>Costs</w:t>
            </w:r>
          </w:p>
        </w:tc>
        <w:tc>
          <w:tcPr>
            <w:tcW w:w="2062" w:type="dxa"/>
            <w:shd w:val="clear" w:color="auto" w:fill="auto"/>
          </w:tcPr>
          <w:p w:rsidR="009C2DA5" w:rsidRPr="00300918" w:rsidRDefault="009C2DA5" w:rsidP="0050319E">
            <w:pPr>
              <w:spacing w:before="40" w:after="40"/>
              <w:jc w:val="center"/>
              <w:rPr>
                <w:rFonts w:ascii="Arial Narrow" w:hAnsi="Arial Narrow" w:cs="Arial"/>
                <w:sz w:val="20"/>
                <w:szCs w:val="20"/>
                <w:lang w:val="en-AU" w:eastAsia="en-AU"/>
              </w:rPr>
            </w:pPr>
            <w:r w:rsidRPr="00300918">
              <w:rPr>
                <w:rFonts w:ascii="Arial Narrow" w:hAnsi="Arial Narrow" w:cs="Arial"/>
                <w:sz w:val="20"/>
                <w:szCs w:val="20"/>
                <w:lang w:val="en-AU" w:eastAsia="en-AU"/>
              </w:rPr>
              <w:t>$</w:t>
            </w:r>
            <w:r w:rsidR="0090474F">
              <w:rPr>
                <w:rFonts w:ascii="Arial Narrow" w:hAnsi="Arial Narrow" w:cs="Arial"/>
                <w:noProof/>
                <w:color w:val="000000"/>
                <w:sz w:val="20"/>
                <w:szCs w:val="20"/>
                <w:highlight w:val="black"/>
                <w:lang w:val="en-AU" w:eastAsia="en-AU"/>
              </w:rPr>
              <w:t>''''''''''''''</w:t>
            </w:r>
          </w:p>
        </w:tc>
        <w:tc>
          <w:tcPr>
            <w:tcW w:w="2062" w:type="dxa"/>
            <w:shd w:val="clear" w:color="auto" w:fill="auto"/>
          </w:tcPr>
          <w:p w:rsidR="009C2DA5" w:rsidRPr="00300918" w:rsidRDefault="009C2DA5" w:rsidP="0050319E">
            <w:pPr>
              <w:spacing w:before="40" w:after="40"/>
              <w:jc w:val="center"/>
              <w:rPr>
                <w:rFonts w:ascii="Arial Narrow" w:hAnsi="Arial Narrow" w:cs="Arial"/>
                <w:sz w:val="20"/>
                <w:szCs w:val="20"/>
                <w:lang w:val="en-AU" w:eastAsia="en-AU"/>
              </w:rPr>
            </w:pPr>
            <w:r w:rsidRPr="00300918">
              <w:rPr>
                <w:rFonts w:ascii="Arial Narrow" w:hAnsi="Arial Narrow" w:cs="Arial"/>
                <w:sz w:val="20"/>
                <w:szCs w:val="20"/>
                <w:lang w:val="en-AU" w:eastAsia="en-AU"/>
              </w:rPr>
              <w:t>$</w:t>
            </w:r>
            <w:r w:rsidR="0090474F">
              <w:rPr>
                <w:rFonts w:ascii="Arial Narrow" w:hAnsi="Arial Narrow" w:cs="Arial"/>
                <w:noProof/>
                <w:color w:val="000000"/>
                <w:sz w:val="20"/>
                <w:szCs w:val="20"/>
                <w:highlight w:val="black"/>
                <w:lang w:val="en-AU" w:eastAsia="en-AU"/>
              </w:rPr>
              <w:t>''''''''''''''</w:t>
            </w:r>
          </w:p>
        </w:tc>
        <w:tc>
          <w:tcPr>
            <w:tcW w:w="2062" w:type="dxa"/>
            <w:shd w:val="clear" w:color="auto" w:fill="auto"/>
          </w:tcPr>
          <w:p w:rsidR="009C2DA5" w:rsidRPr="00300918" w:rsidRDefault="009C2DA5" w:rsidP="0050319E">
            <w:pPr>
              <w:spacing w:before="40" w:after="40"/>
              <w:jc w:val="center"/>
              <w:rPr>
                <w:rFonts w:ascii="Arial Narrow" w:hAnsi="Arial Narrow" w:cs="Arial"/>
                <w:sz w:val="20"/>
                <w:szCs w:val="20"/>
                <w:lang w:val="en-AU" w:eastAsia="en-AU"/>
              </w:rPr>
            </w:pPr>
            <w:r w:rsidRPr="00300918">
              <w:rPr>
                <w:rFonts w:ascii="Arial Narrow" w:hAnsi="Arial Narrow" w:cs="Arial"/>
                <w:sz w:val="20"/>
                <w:szCs w:val="20"/>
                <w:lang w:val="en-AU" w:eastAsia="en-AU"/>
              </w:rPr>
              <w:t>$</w:t>
            </w:r>
            <w:r w:rsidR="0090474F">
              <w:rPr>
                <w:rFonts w:ascii="Arial Narrow" w:hAnsi="Arial Narrow" w:cs="Arial"/>
                <w:noProof/>
                <w:color w:val="000000"/>
                <w:sz w:val="20"/>
                <w:szCs w:val="20"/>
                <w:highlight w:val="black"/>
                <w:lang w:val="en-AU" w:eastAsia="en-AU"/>
              </w:rPr>
              <w:t>'''''''''''''</w:t>
            </w:r>
          </w:p>
        </w:tc>
      </w:tr>
      <w:tr w:rsidR="002969AB" w:rsidRPr="00300918" w:rsidTr="0050319E">
        <w:tc>
          <w:tcPr>
            <w:tcW w:w="2830" w:type="dxa"/>
            <w:shd w:val="clear" w:color="auto" w:fill="auto"/>
          </w:tcPr>
          <w:p w:rsidR="002969AB" w:rsidRPr="00300918" w:rsidRDefault="002969AB" w:rsidP="0050319E">
            <w:pPr>
              <w:spacing w:before="40" w:after="40"/>
              <w:rPr>
                <w:rFonts w:ascii="Arial Narrow" w:eastAsia="Calibri" w:hAnsi="Arial Narrow" w:cs="Times New Roman"/>
                <w:sz w:val="20"/>
                <w:szCs w:val="20"/>
                <w:lang w:val="en-AU"/>
              </w:rPr>
            </w:pPr>
            <w:r w:rsidRPr="00300918">
              <w:rPr>
                <w:rFonts w:ascii="Arial Narrow" w:eastAsia="Calibri" w:hAnsi="Arial Narrow" w:cs="Times New Roman"/>
                <w:sz w:val="20"/>
                <w:szCs w:val="20"/>
                <w:lang w:val="en-AU"/>
              </w:rPr>
              <w:t>QALYs</w:t>
            </w:r>
          </w:p>
        </w:tc>
        <w:tc>
          <w:tcPr>
            <w:tcW w:w="2062" w:type="dxa"/>
            <w:shd w:val="clear" w:color="auto" w:fill="auto"/>
            <w:vAlign w:val="bottom"/>
          </w:tcPr>
          <w:p w:rsidR="002969AB" w:rsidRPr="00300918" w:rsidRDefault="002969AB" w:rsidP="0050319E">
            <w:pPr>
              <w:spacing w:before="40" w:after="40"/>
              <w:jc w:val="center"/>
              <w:rPr>
                <w:rFonts w:ascii="Arial Narrow" w:eastAsia="Times New Roman" w:hAnsi="Arial Narrow" w:cs="Arial"/>
                <w:sz w:val="20"/>
                <w:szCs w:val="20"/>
                <w:lang w:val="en-AU" w:eastAsia="en-AU"/>
              </w:rPr>
            </w:pPr>
            <w:r w:rsidRPr="00300918">
              <w:rPr>
                <w:rFonts w:ascii="Arial Narrow" w:hAnsi="Arial Narrow" w:cs="Arial"/>
                <w:sz w:val="20"/>
                <w:szCs w:val="20"/>
                <w:lang w:val="en-AU" w:eastAsia="en-AU"/>
              </w:rPr>
              <w:t>2.935</w:t>
            </w:r>
          </w:p>
        </w:tc>
        <w:tc>
          <w:tcPr>
            <w:tcW w:w="2062" w:type="dxa"/>
            <w:shd w:val="clear" w:color="auto" w:fill="auto"/>
            <w:vAlign w:val="bottom"/>
          </w:tcPr>
          <w:p w:rsidR="002969AB" w:rsidRPr="00300918" w:rsidRDefault="002969AB" w:rsidP="0050319E">
            <w:pPr>
              <w:spacing w:before="40" w:after="40"/>
              <w:jc w:val="center"/>
              <w:rPr>
                <w:rFonts w:ascii="Arial Narrow" w:eastAsia="Times New Roman" w:hAnsi="Arial Narrow" w:cs="Arial"/>
                <w:sz w:val="20"/>
                <w:szCs w:val="20"/>
                <w:lang w:val="en-AU" w:eastAsia="en-AU"/>
              </w:rPr>
            </w:pPr>
            <w:r w:rsidRPr="00300918">
              <w:rPr>
                <w:rFonts w:ascii="Arial Narrow" w:hAnsi="Arial Narrow" w:cs="Arial"/>
                <w:sz w:val="20"/>
                <w:szCs w:val="20"/>
                <w:lang w:val="en-AU" w:eastAsia="en-AU"/>
              </w:rPr>
              <w:t>2.820</w:t>
            </w:r>
          </w:p>
        </w:tc>
        <w:tc>
          <w:tcPr>
            <w:tcW w:w="2062" w:type="dxa"/>
            <w:shd w:val="clear" w:color="auto" w:fill="auto"/>
            <w:vAlign w:val="bottom"/>
          </w:tcPr>
          <w:p w:rsidR="002969AB" w:rsidRPr="00300918" w:rsidRDefault="002969AB" w:rsidP="0050319E">
            <w:pPr>
              <w:spacing w:before="40" w:after="40"/>
              <w:jc w:val="center"/>
              <w:rPr>
                <w:rFonts w:ascii="Arial Narrow" w:eastAsia="Times New Roman" w:hAnsi="Arial Narrow" w:cs="Arial"/>
                <w:sz w:val="20"/>
                <w:szCs w:val="20"/>
                <w:lang w:val="en-AU" w:eastAsia="en-AU"/>
              </w:rPr>
            </w:pPr>
            <w:r w:rsidRPr="00300918">
              <w:rPr>
                <w:rFonts w:ascii="Arial Narrow" w:hAnsi="Arial Narrow" w:cs="Arial"/>
                <w:sz w:val="20"/>
                <w:szCs w:val="20"/>
                <w:lang w:val="en-AU" w:eastAsia="en-AU"/>
              </w:rPr>
              <w:t>0.115</w:t>
            </w:r>
          </w:p>
        </w:tc>
      </w:tr>
      <w:tr w:rsidR="002969AB" w:rsidRPr="00300918" w:rsidTr="0050319E">
        <w:tc>
          <w:tcPr>
            <w:tcW w:w="2830" w:type="dxa"/>
            <w:shd w:val="clear" w:color="auto" w:fill="auto"/>
          </w:tcPr>
          <w:p w:rsidR="002969AB" w:rsidRPr="00300918" w:rsidRDefault="002969AB" w:rsidP="0050319E">
            <w:pPr>
              <w:spacing w:before="40" w:after="40"/>
              <w:rPr>
                <w:rFonts w:ascii="Arial Narrow" w:hAnsi="Arial Narrow"/>
                <w:sz w:val="20"/>
                <w:lang w:val="en-AU"/>
              </w:rPr>
            </w:pPr>
            <w:r w:rsidRPr="00300918">
              <w:rPr>
                <w:rFonts w:ascii="Arial Narrow" w:eastAsia="Calibri" w:hAnsi="Arial Narrow" w:cs="Times New Roman"/>
                <w:sz w:val="20"/>
                <w:szCs w:val="20"/>
                <w:lang w:val="en-AU"/>
              </w:rPr>
              <w:t>Incremental cost per QALY gained</w:t>
            </w:r>
          </w:p>
        </w:tc>
        <w:tc>
          <w:tcPr>
            <w:tcW w:w="2062" w:type="dxa"/>
            <w:shd w:val="clear" w:color="auto" w:fill="auto"/>
          </w:tcPr>
          <w:p w:rsidR="002969AB" w:rsidRPr="00300918" w:rsidRDefault="002969AB" w:rsidP="0050319E">
            <w:pPr>
              <w:spacing w:before="40" w:after="40"/>
              <w:rPr>
                <w:rFonts w:ascii="Arial Narrow" w:hAnsi="Arial Narrow"/>
                <w:sz w:val="20"/>
                <w:lang w:val="en-AU"/>
              </w:rPr>
            </w:pPr>
          </w:p>
        </w:tc>
        <w:tc>
          <w:tcPr>
            <w:tcW w:w="2062" w:type="dxa"/>
            <w:shd w:val="clear" w:color="auto" w:fill="auto"/>
          </w:tcPr>
          <w:p w:rsidR="002969AB" w:rsidRPr="00300918" w:rsidRDefault="002969AB" w:rsidP="0050319E">
            <w:pPr>
              <w:spacing w:before="40" w:after="40"/>
              <w:rPr>
                <w:rFonts w:ascii="Arial Narrow" w:hAnsi="Arial Narrow"/>
                <w:sz w:val="20"/>
                <w:lang w:val="en-AU"/>
              </w:rPr>
            </w:pPr>
          </w:p>
        </w:tc>
        <w:tc>
          <w:tcPr>
            <w:tcW w:w="2062" w:type="dxa"/>
            <w:shd w:val="clear" w:color="auto" w:fill="auto"/>
          </w:tcPr>
          <w:p w:rsidR="002969AB" w:rsidRPr="00300918" w:rsidRDefault="009C2DA5" w:rsidP="0050319E">
            <w:pPr>
              <w:spacing w:before="40" w:after="40"/>
              <w:jc w:val="center"/>
              <w:rPr>
                <w:rFonts w:ascii="Arial Narrow" w:hAnsi="Arial Narrow"/>
                <w:sz w:val="20"/>
                <w:lang w:val="en-AU"/>
              </w:rPr>
            </w:pPr>
            <w:r w:rsidRPr="00300918">
              <w:rPr>
                <w:rFonts w:ascii="Arial Narrow" w:hAnsi="Arial Narrow"/>
                <w:sz w:val="20"/>
                <w:lang w:val="en-AU"/>
              </w:rPr>
              <w:t>$</w:t>
            </w:r>
            <w:r w:rsidR="0090474F">
              <w:rPr>
                <w:rFonts w:ascii="Arial Narrow" w:hAnsi="Arial Narrow"/>
                <w:noProof/>
                <w:color w:val="000000"/>
                <w:sz w:val="20"/>
                <w:highlight w:val="black"/>
                <w:lang w:val="en-AU"/>
              </w:rPr>
              <w:t>'''''''''''''''</w:t>
            </w:r>
          </w:p>
        </w:tc>
      </w:tr>
      <w:tr w:rsidR="002969AB" w:rsidRPr="00300918" w:rsidTr="0050319E">
        <w:tc>
          <w:tcPr>
            <w:tcW w:w="9016" w:type="dxa"/>
            <w:gridSpan w:val="4"/>
            <w:shd w:val="clear" w:color="auto" w:fill="auto"/>
          </w:tcPr>
          <w:p w:rsidR="002969AB" w:rsidRPr="00300918" w:rsidRDefault="002969AB" w:rsidP="0050319E">
            <w:pPr>
              <w:spacing w:before="40" w:after="40"/>
              <w:rPr>
                <w:rFonts w:ascii="Arial Narrow" w:hAnsi="Arial Narrow"/>
                <w:b/>
                <w:sz w:val="20"/>
                <w:lang w:val="en-AU"/>
              </w:rPr>
            </w:pPr>
            <w:r w:rsidRPr="00300918">
              <w:rPr>
                <w:rFonts w:ascii="Arial Narrow" w:hAnsi="Arial Narrow"/>
                <w:b/>
                <w:sz w:val="20"/>
                <w:lang w:val="en-AU"/>
              </w:rPr>
              <w:t>Improvement defined as a gain of ≥ 10 letters</w:t>
            </w:r>
          </w:p>
        </w:tc>
      </w:tr>
      <w:tr w:rsidR="009C2DA5" w:rsidRPr="00300918" w:rsidTr="0050319E">
        <w:tc>
          <w:tcPr>
            <w:tcW w:w="2830" w:type="dxa"/>
            <w:shd w:val="clear" w:color="auto" w:fill="auto"/>
          </w:tcPr>
          <w:p w:rsidR="009C2DA5" w:rsidRPr="00300918" w:rsidRDefault="009C2DA5" w:rsidP="0050319E">
            <w:pPr>
              <w:spacing w:before="40" w:after="40"/>
              <w:rPr>
                <w:rFonts w:ascii="Arial Narrow" w:eastAsia="Calibri" w:hAnsi="Arial Narrow" w:cs="Times New Roman"/>
                <w:sz w:val="20"/>
                <w:szCs w:val="20"/>
                <w:lang w:val="en-AU"/>
              </w:rPr>
            </w:pPr>
            <w:r w:rsidRPr="00300918">
              <w:rPr>
                <w:rFonts w:ascii="Arial Narrow" w:eastAsia="Calibri" w:hAnsi="Arial Narrow" w:cs="Times New Roman"/>
                <w:sz w:val="20"/>
                <w:szCs w:val="20"/>
                <w:lang w:val="en-AU"/>
              </w:rPr>
              <w:t>Costs</w:t>
            </w:r>
          </w:p>
        </w:tc>
        <w:tc>
          <w:tcPr>
            <w:tcW w:w="2062" w:type="dxa"/>
            <w:shd w:val="clear" w:color="auto" w:fill="auto"/>
            <w:vAlign w:val="bottom"/>
          </w:tcPr>
          <w:p w:rsidR="009C2DA5" w:rsidRPr="00300918" w:rsidRDefault="009C2DA5" w:rsidP="0050319E">
            <w:pPr>
              <w:spacing w:before="40" w:after="40"/>
              <w:jc w:val="center"/>
              <w:rPr>
                <w:rFonts w:ascii="Arial Narrow" w:hAnsi="Arial Narrow"/>
                <w:sz w:val="20"/>
                <w:lang w:val="en-AU"/>
              </w:rPr>
            </w:pPr>
            <w:r w:rsidRPr="00300918">
              <w:rPr>
                <w:rFonts w:ascii="Arial Narrow" w:hAnsi="Arial Narrow"/>
                <w:sz w:val="20"/>
                <w:lang w:val="en-AU"/>
              </w:rPr>
              <w:t>$</w:t>
            </w:r>
            <w:r w:rsidR="0090474F">
              <w:rPr>
                <w:rFonts w:ascii="Arial Narrow" w:hAnsi="Arial Narrow"/>
                <w:noProof/>
                <w:color w:val="000000"/>
                <w:sz w:val="20"/>
                <w:highlight w:val="black"/>
                <w:lang w:val="en-AU"/>
              </w:rPr>
              <w:t>'''''''''''''</w:t>
            </w:r>
          </w:p>
        </w:tc>
        <w:tc>
          <w:tcPr>
            <w:tcW w:w="2062" w:type="dxa"/>
            <w:shd w:val="clear" w:color="auto" w:fill="auto"/>
            <w:vAlign w:val="bottom"/>
          </w:tcPr>
          <w:p w:rsidR="009C2DA5" w:rsidRPr="00300918" w:rsidRDefault="009C2DA5" w:rsidP="0050319E">
            <w:pPr>
              <w:spacing w:before="40" w:after="40"/>
              <w:jc w:val="center"/>
              <w:rPr>
                <w:rFonts w:ascii="Arial Narrow" w:hAnsi="Arial Narrow"/>
                <w:sz w:val="20"/>
                <w:lang w:val="en-AU"/>
              </w:rPr>
            </w:pPr>
            <w:r w:rsidRPr="00300918">
              <w:rPr>
                <w:rFonts w:ascii="Arial Narrow" w:hAnsi="Arial Narrow"/>
                <w:sz w:val="20"/>
                <w:lang w:val="en-AU"/>
              </w:rPr>
              <w:t>$</w:t>
            </w:r>
            <w:r w:rsidR="0090474F">
              <w:rPr>
                <w:rFonts w:ascii="Arial Narrow" w:hAnsi="Arial Narrow"/>
                <w:noProof/>
                <w:color w:val="000000"/>
                <w:sz w:val="20"/>
                <w:highlight w:val="black"/>
                <w:lang w:val="en-AU"/>
              </w:rPr>
              <w:t>'''''''''''''''</w:t>
            </w:r>
          </w:p>
        </w:tc>
        <w:tc>
          <w:tcPr>
            <w:tcW w:w="2062" w:type="dxa"/>
            <w:shd w:val="clear" w:color="auto" w:fill="auto"/>
            <w:vAlign w:val="bottom"/>
          </w:tcPr>
          <w:p w:rsidR="009C2DA5" w:rsidRPr="00300918" w:rsidRDefault="009C2DA5" w:rsidP="0050319E">
            <w:pPr>
              <w:spacing w:before="40" w:after="40"/>
              <w:jc w:val="center"/>
              <w:rPr>
                <w:rFonts w:ascii="Arial Narrow" w:hAnsi="Arial Narrow"/>
                <w:sz w:val="20"/>
                <w:lang w:val="en-AU"/>
              </w:rPr>
            </w:pPr>
            <w:r w:rsidRPr="00300918">
              <w:rPr>
                <w:rFonts w:ascii="Arial Narrow" w:hAnsi="Arial Narrow"/>
                <w:sz w:val="20"/>
                <w:lang w:val="en-AU"/>
              </w:rPr>
              <w:t>$</w:t>
            </w:r>
            <w:r w:rsidR="0090474F">
              <w:rPr>
                <w:rFonts w:ascii="Arial Narrow" w:hAnsi="Arial Narrow"/>
                <w:noProof/>
                <w:color w:val="000000"/>
                <w:sz w:val="20"/>
                <w:highlight w:val="black"/>
                <w:lang w:val="en-AU"/>
              </w:rPr>
              <w:t>''''''''''''''</w:t>
            </w:r>
          </w:p>
        </w:tc>
      </w:tr>
      <w:tr w:rsidR="002969AB" w:rsidRPr="00300918" w:rsidTr="0050319E">
        <w:tc>
          <w:tcPr>
            <w:tcW w:w="2830" w:type="dxa"/>
            <w:shd w:val="clear" w:color="auto" w:fill="auto"/>
          </w:tcPr>
          <w:p w:rsidR="002969AB" w:rsidRPr="00300918" w:rsidRDefault="002969AB" w:rsidP="0050319E">
            <w:pPr>
              <w:spacing w:before="40" w:after="40"/>
              <w:rPr>
                <w:rFonts w:ascii="Arial Narrow" w:eastAsia="Calibri" w:hAnsi="Arial Narrow" w:cs="Times New Roman"/>
                <w:sz w:val="20"/>
                <w:szCs w:val="20"/>
                <w:lang w:val="en-AU"/>
              </w:rPr>
            </w:pPr>
            <w:r w:rsidRPr="00300918">
              <w:rPr>
                <w:rFonts w:ascii="Arial Narrow" w:eastAsia="Calibri" w:hAnsi="Arial Narrow" w:cs="Times New Roman"/>
                <w:sz w:val="20"/>
                <w:szCs w:val="20"/>
                <w:lang w:val="en-AU"/>
              </w:rPr>
              <w:t>QALYs</w:t>
            </w:r>
          </w:p>
        </w:tc>
        <w:tc>
          <w:tcPr>
            <w:tcW w:w="2062" w:type="dxa"/>
            <w:shd w:val="clear" w:color="auto" w:fill="auto"/>
            <w:vAlign w:val="bottom"/>
          </w:tcPr>
          <w:p w:rsidR="002969AB" w:rsidRPr="00300918" w:rsidRDefault="002969AB" w:rsidP="0050319E">
            <w:pPr>
              <w:spacing w:before="40" w:after="40"/>
              <w:jc w:val="center"/>
              <w:rPr>
                <w:rFonts w:ascii="Arial Narrow" w:eastAsia="Times New Roman" w:hAnsi="Arial Narrow" w:cs="Arial"/>
                <w:sz w:val="20"/>
                <w:szCs w:val="20"/>
                <w:lang w:val="en-AU" w:eastAsia="en-AU"/>
              </w:rPr>
            </w:pPr>
            <w:r w:rsidRPr="00300918">
              <w:rPr>
                <w:rFonts w:ascii="Arial Narrow" w:hAnsi="Arial Narrow" w:cs="Arial"/>
                <w:sz w:val="20"/>
                <w:szCs w:val="20"/>
                <w:lang w:val="en-AU" w:eastAsia="en-AU"/>
              </w:rPr>
              <w:t>2.927</w:t>
            </w:r>
          </w:p>
        </w:tc>
        <w:tc>
          <w:tcPr>
            <w:tcW w:w="2062" w:type="dxa"/>
            <w:shd w:val="clear" w:color="auto" w:fill="auto"/>
            <w:vAlign w:val="bottom"/>
          </w:tcPr>
          <w:p w:rsidR="002969AB" w:rsidRPr="00300918" w:rsidRDefault="002969AB" w:rsidP="0050319E">
            <w:pPr>
              <w:spacing w:before="40" w:after="40"/>
              <w:jc w:val="center"/>
              <w:rPr>
                <w:rFonts w:ascii="Arial Narrow" w:eastAsia="Times New Roman" w:hAnsi="Arial Narrow" w:cs="Arial"/>
                <w:sz w:val="20"/>
                <w:szCs w:val="20"/>
                <w:lang w:val="en-AU" w:eastAsia="en-AU"/>
              </w:rPr>
            </w:pPr>
            <w:r w:rsidRPr="00300918">
              <w:rPr>
                <w:rFonts w:ascii="Arial Narrow" w:hAnsi="Arial Narrow" w:cs="Arial"/>
                <w:sz w:val="20"/>
                <w:szCs w:val="20"/>
                <w:lang w:val="en-AU" w:eastAsia="en-AU"/>
              </w:rPr>
              <w:t>2.833</w:t>
            </w:r>
          </w:p>
        </w:tc>
        <w:tc>
          <w:tcPr>
            <w:tcW w:w="2062" w:type="dxa"/>
            <w:shd w:val="clear" w:color="auto" w:fill="auto"/>
            <w:vAlign w:val="bottom"/>
          </w:tcPr>
          <w:p w:rsidR="002969AB" w:rsidRPr="00300918" w:rsidRDefault="002969AB" w:rsidP="0050319E">
            <w:pPr>
              <w:spacing w:before="40" w:after="40"/>
              <w:jc w:val="center"/>
              <w:rPr>
                <w:rFonts w:ascii="Arial Narrow" w:eastAsia="Times New Roman" w:hAnsi="Arial Narrow" w:cs="Arial"/>
                <w:sz w:val="20"/>
                <w:szCs w:val="20"/>
                <w:lang w:val="en-AU" w:eastAsia="en-AU"/>
              </w:rPr>
            </w:pPr>
            <w:r w:rsidRPr="00300918">
              <w:rPr>
                <w:rFonts w:ascii="Arial Narrow" w:hAnsi="Arial Narrow" w:cs="Arial"/>
                <w:sz w:val="20"/>
                <w:szCs w:val="20"/>
                <w:lang w:val="en-AU" w:eastAsia="en-AU"/>
              </w:rPr>
              <w:t>0.095</w:t>
            </w:r>
          </w:p>
        </w:tc>
      </w:tr>
      <w:tr w:rsidR="002969AB" w:rsidRPr="00300918" w:rsidTr="0050319E">
        <w:tc>
          <w:tcPr>
            <w:tcW w:w="2830" w:type="dxa"/>
            <w:shd w:val="clear" w:color="auto" w:fill="auto"/>
          </w:tcPr>
          <w:p w:rsidR="002969AB" w:rsidRPr="00300918" w:rsidRDefault="002969AB" w:rsidP="0050319E">
            <w:pPr>
              <w:spacing w:before="40" w:after="40"/>
              <w:rPr>
                <w:rFonts w:ascii="Arial Narrow" w:hAnsi="Arial Narrow"/>
                <w:sz w:val="20"/>
                <w:lang w:val="en-AU"/>
              </w:rPr>
            </w:pPr>
            <w:r w:rsidRPr="00300918">
              <w:rPr>
                <w:rFonts w:ascii="Arial Narrow" w:eastAsia="Calibri" w:hAnsi="Arial Narrow" w:cs="Times New Roman"/>
                <w:sz w:val="20"/>
                <w:szCs w:val="20"/>
                <w:lang w:val="en-AU"/>
              </w:rPr>
              <w:t>Incremental cost per QALY gained</w:t>
            </w:r>
          </w:p>
        </w:tc>
        <w:tc>
          <w:tcPr>
            <w:tcW w:w="2062" w:type="dxa"/>
            <w:shd w:val="clear" w:color="auto" w:fill="auto"/>
          </w:tcPr>
          <w:p w:rsidR="002969AB" w:rsidRPr="00300918" w:rsidRDefault="002969AB" w:rsidP="0050319E">
            <w:pPr>
              <w:spacing w:before="40" w:after="40"/>
              <w:rPr>
                <w:rFonts w:ascii="Arial Narrow" w:hAnsi="Arial Narrow"/>
                <w:sz w:val="20"/>
                <w:lang w:val="en-AU"/>
              </w:rPr>
            </w:pPr>
          </w:p>
        </w:tc>
        <w:tc>
          <w:tcPr>
            <w:tcW w:w="2062" w:type="dxa"/>
            <w:shd w:val="clear" w:color="auto" w:fill="auto"/>
          </w:tcPr>
          <w:p w:rsidR="002969AB" w:rsidRPr="00300918" w:rsidRDefault="002969AB" w:rsidP="0050319E">
            <w:pPr>
              <w:spacing w:before="40" w:after="40"/>
              <w:rPr>
                <w:rFonts w:ascii="Arial Narrow" w:hAnsi="Arial Narrow"/>
                <w:sz w:val="20"/>
                <w:lang w:val="en-AU"/>
              </w:rPr>
            </w:pPr>
          </w:p>
        </w:tc>
        <w:tc>
          <w:tcPr>
            <w:tcW w:w="2062" w:type="dxa"/>
            <w:shd w:val="clear" w:color="auto" w:fill="auto"/>
          </w:tcPr>
          <w:p w:rsidR="002969AB" w:rsidRPr="00300918" w:rsidRDefault="009C2DA5" w:rsidP="0050319E">
            <w:pPr>
              <w:spacing w:before="40" w:after="40"/>
              <w:jc w:val="center"/>
              <w:rPr>
                <w:rFonts w:ascii="Arial Narrow" w:hAnsi="Arial Narrow"/>
                <w:sz w:val="20"/>
                <w:lang w:val="en-AU"/>
              </w:rPr>
            </w:pPr>
            <w:r w:rsidRPr="00300918">
              <w:rPr>
                <w:rFonts w:ascii="Arial Narrow" w:hAnsi="Arial Narrow" w:cs="Arial"/>
                <w:sz w:val="20"/>
                <w:szCs w:val="20"/>
                <w:lang w:val="en-AU" w:eastAsia="en-AU"/>
              </w:rPr>
              <w:t>$</w:t>
            </w:r>
            <w:r w:rsidR="0090474F">
              <w:rPr>
                <w:rFonts w:ascii="Arial Narrow" w:hAnsi="Arial Narrow" w:cs="Arial"/>
                <w:noProof/>
                <w:color w:val="000000"/>
                <w:sz w:val="20"/>
                <w:szCs w:val="20"/>
                <w:highlight w:val="black"/>
                <w:lang w:val="en-AU" w:eastAsia="en-AU"/>
              </w:rPr>
              <w:t>''''''''''''''''</w:t>
            </w:r>
          </w:p>
        </w:tc>
      </w:tr>
      <w:tr w:rsidR="002969AB" w:rsidRPr="00300918" w:rsidTr="0050319E">
        <w:tc>
          <w:tcPr>
            <w:tcW w:w="9016" w:type="dxa"/>
            <w:gridSpan w:val="4"/>
            <w:shd w:val="clear" w:color="auto" w:fill="auto"/>
          </w:tcPr>
          <w:p w:rsidR="002969AB" w:rsidRPr="00300918" w:rsidRDefault="002969AB" w:rsidP="0050319E">
            <w:pPr>
              <w:spacing w:before="40" w:after="40"/>
              <w:rPr>
                <w:rFonts w:ascii="Arial Narrow" w:hAnsi="Arial Narrow"/>
                <w:sz w:val="20"/>
                <w:lang w:val="en-AU"/>
              </w:rPr>
            </w:pPr>
            <w:r w:rsidRPr="00300918">
              <w:rPr>
                <w:rFonts w:ascii="Arial Narrow" w:hAnsi="Arial Narrow"/>
                <w:b/>
                <w:sz w:val="20"/>
                <w:lang w:val="en-AU"/>
              </w:rPr>
              <w:t>Improvement defined as a gain of ≥ 15 letters</w:t>
            </w:r>
          </w:p>
        </w:tc>
      </w:tr>
      <w:tr w:rsidR="009C2DA5" w:rsidRPr="00300918" w:rsidTr="009C2DA5">
        <w:tc>
          <w:tcPr>
            <w:tcW w:w="2830" w:type="dxa"/>
            <w:shd w:val="clear" w:color="auto" w:fill="auto"/>
          </w:tcPr>
          <w:p w:rsidR="009C2DA5" w:rsidRPr="00300918" w:rsidRDefault="009C2DA5" w:rsidP="0050319E">
            <w:pPr>
              <w:spacing w:before="40" w:after="40"/>
              <w:rPr>
                <w:rFonts w:ascii="Arial Narrow" w:eastAsia="Calibri" w:hAnsi="Arial Narrow" w:cs="Times New Roman"/>
                <w:sz w:val="20"/>
                <w:szCs w:val="20"/>
                <w:lang w:val="en-AU"/>
              </w:rPr>
            </w:pPr>
            <w:r w:rsidRPr="00300918">
              <w:rPr>
                <w:rFonts w:ascii="Arial Narrow" w:eastAsia="Calibri" w:hAnsi="Arial Narrow" w:cs="Times New Roman"/>
                <w:sz w:val="20"/>
                <w:szCs w:val="20"/>
                <w:lang w:val="en-AU"/>
              </w:rPr>
              <w:t>Costs</w:t>
            </w:r>
          </w:p>
        </w:tc>
        <w:tc>
          <w:tcPr>
            <w:tcW w:w="2062" w:type="dxa"/>
            <w:shd w:val="clear" w:color="auto" w:fill="auto"/>
          </w:tcPr>
          <w:p w:rsidR="009C2DA5" w:rsidRPr="00300918" w:rsidRDefault="009C2DA5" w:rsidP="0050319E">
            <w:pPr>
              <w:spacing w:before="40" w:after="40"/>
              <w:jc w:val="center"/>
              <w:rPr>
                <w:rFonts w:ascii="Arial Narrow" w:hAnsi="Arial Narrow"/>
                <w:sz w:val="20"/>
                <w:lang w:val="en-AU"/>
              </w:rPr>
            </w:pPr>
            <w:r w:rsidRPr="00300918">
              <w:rPr>
                <w:rFonts w:ascii="Arial Narrow" w:hAnsi="Arial Narrow"/>
                <w:sz w:val="20"/>
                <w:lang w:val="en-AU"/>
              </w:rPr>
              <w:t>$</w:t>
            </w:r>
            <w:r w:rsidR="0090474F">
              <w:rPr>
                <w:rFonts w:ascii="Arial Narrow" w:hAnsi="Arial Narrow"/>
                <w:noProof/>
                <w:color w:val="000000"/>
                <w:sz w:val="20"/>
                <w:highlight w:val="black"/>
                <w:lang w:val="en-AU"/>
              </w:rPr>
              <w:t>''''''''''''</w:t>
            </w:r>
          </w:p>
        </w:tc>
        <w:tc>
          <w:tcPr>
            <w:tcW w:w="2062" w:type="dxa"/>
            <w:shd w:val="clear" w:color="auto" w:fill="auto"/>
          </w:tcPr>
          <w:p w:rsidR="009C2DA5" w:rsidRPr="00300918" w:rsidRDefault="009C2DA5" w:rsidP="0050319E">
            <w:pPr>
              <w:spacing w:before="40" w:after="40"/>
              <w:jc w:val="center"/>
              <w:rPr>
                <w:rFonts w:ascii="Arial Narrow" w:hAnsi="Arial Narrow"/>
                <w:sz w:val="20"/>
                <w:lang w:val="en-AU"/>
              </w:rPr>
            </w:pPr>
            <w:r w:rsidRPr="00300918">
              <w:rPr>
                <w:rFonts w:ascii="Arial Narrow" w:hAnsi="Arial Narrow"/>
                <w:sz w:val="20"/>
                <w:lang w:val="en-AU"/>
              </w:rPr>
              <w:t>$</w:t>
            </w:r>
            <w:r w:rsidR="0090474F">
              <w:rPr>
                <w:rFonts w:ascii="Arial Narrow" w:hAnsi="Arial Narrow"/>
                <w:noProof/>
                <w:color w:val="000000"/>
                <w:sz w:val="20"/>
                <w:highlight w:val="black"/>
                <w:lang w:val="en-AU"/>
              </w:rPr>
              <w:t>''''''''''''''</w:t>
            </w:r>
          </w:p>
        </w:tc>
        <w:tc>
          <w:tcPr>
            <w:tcW w:w="2062" w:type="dxa"/>
            <w:shd w:val="clear" w:color="auto" w:fill="auto"/>
          </w:tcPr>
          <w:p w:rsidR="009C2DA5" w:rsidRPr="00300918" w:rsidRDefault="009C2DA5" w:rsidP="0050319E">
            <w:pPr>
              <w:spacing w:before="40" w:after="40"/>
              <w:jc w:val="center"/>
              <w:rPr>
                <w:rFonts w:ascii="Arial Narrow" w:hAnsi="Arial Narrow"/>
                <w:sz w:val="20"/>
                <w:lang w:val="en-AU"/>
              </w:rPr>
            </w:pPr>
            <w:r w:rsidRPr="00300918">
              <w:rPr>
                <w:rFonts w:ascii="Arial Narrow" w:hAnsi="Arial Narrow"/>
                <w:sz w:val="20"/>
                <w:lang w:val="en-AU"/>
              </w:rPr>
              <w:t>$</w:t>
            </w:r>
            <w:r w:rsidR="0090474F">
              <w:rPr>
                <w:rFonts w:ascii="Arial Narrow" w:hAnsi="Arial Narrow"/>
                <w:noProof/>
                <w:color w:val="000000"/>
                <w:sz w:val="20"/>
                <w:highlight w:val="black"/>
                <w:lang w:val="en-AU"/>
              </w:rPr>
              <w:t>'''''''''''''''</w:t>
            </w:r>
          </w:p>
        </w:tc>
      </w:tr>
      <w:tr w:rsidR="002969AB" w:rsidRPr="00300918" w:rsidTr="0050319E">
        <w:tc>
          <w:tcPr>
            <w:tcW w:w="2830" w:type="dxa"/>
            <w:tcBorders>
              <w:bottom w:val="single" w:sz="4" w:space="0" w:color="auto"/>
            </w:tcBorders>
            <w:shd w:val="clear" w:color="auto" w:fill="auto"/>
          </w:tcPr>
          <w:p w:rsidR="002969AB" w:rsidRPr="00300918" w:rsidRDefault="002969AB" w:rsidP="0050319E">
            <w:pPr>
              <w:spacing w:before="40" w:after="40"/>
              <w:rPr>
                <w:rFonts w:ascii="Arial Narrow" w:eastAsia="Calibri" w:hAnsi="Arial Narrow" w:cs="Times New Roman"/>
                <w:sz w:val="20"/>
                <w:szCs w:val="20"/>
                <w:lang w:val="en-AU"/>
              </w:rPr>
            </w:pPr>
            <w:r w:rsidRPr="00300918">
              <w:rPr>
                <w:rFonts w:ascii="Arial Narrow" w:eastAsia="Calibri" w:hAnsi="Arial Narrow" w:cs="Times New Roman"/>
                <w:sz w:val="20"/>
                <w:szCs w:val="20"/>
                <w:lang w:val="en-AU"/>
              </w:rPr>
              <w:t>QALYs</w:t>
            </w:r>
          </w:p>
        </w:tc>
        <w:tc>
          <w:tcPr>
            <w:tcW w:w="2062" w:type="dxa"/>
            <w:tcBorders>
              <w:bottom w:val="single" w:sz="4" w:space="0" w:color="auto"/>
            </w:tcBorders>
            <w:shd w:val="clear" w:color="auto" w:fill="auto"/>
            <w:vAlign w:val="bottom"/>
          </w:tcPr>
          <w:p w:rsidR="002969AB" w:rsidRPr="00300918" w:rsidRDefault="002969AB" w:rsidP="0050319E">
            <w:pPr>
              <w:spacing w:before="40" w:after="40"/>
              <w:jc w:val="center"/>
              <w:rPr>
                <w:rFonts w:ascii="Arial Narrow" w:eastAsia="Times New Roman" w:hAnsi="Arial Narrow" w:cs="Arial"/>
                <w:sz w:val="20"/>
                <w:szCs w:val="20"/>
                <w:lang w:val="en-AU" w:eastAsia="en-AU"/>
              </w:rPr>
            </w:pPr>
            <w:r w:rsidRPr="00300918">
              <w:rPr>
                <w:rFonts w:ascii="Arial Narrow" w:hAnsi="Arial Narrow" w:cs="Arial"/>
                <w:sz w:val="20"/>
                <w:szCs w:val="20"/>
                <w:lang w:val="en-AU" w:eastAsia="en-AU"/>
              </w:rPr>
              <w:t>2.897</w:t>
            </w:r>
          </w:p>
        </w:tc>
        <w:tc>
          <w:tcPr>
            <w:tcW w:w="2062" w:type="dxa"/>
            <w:tcBorders>
              <w:bottom w:val="single" w:sz="4" w:space="0" w:color="auto"/>
            </w:tcBorders>
            <w:shd w:val="clear" w:color="auto" w:fill="auto"/>
            <w:vAlign w:val="bottom"/>
          </w:tcPr>
          <w:p w:rsidR="002969AB" w:rsidRPr="00300918" w:rsidRDefault="002969AB" w:rsidP="0050319E">
            <w:pPr>
              <w:spacing w:before="40" w:after="40"/>
              <w:jc w:val="center"/>
              <w:rPr>
                <w:rFonts w:ascii="Arial Narrow" w:eastAsia="Times New Roman" w:hAnsi="Arial Narrow" w:cs="Arial"/>
                <w:sz w:val="20"/>
                <w:szCs w:val="20"/>
                <w:lang w:val="en-AU" w:eastAsia="en-AU"/>
              </w:rPr>
            </w:pPr>
            <w:r w:rsidRPr="00300918">
              <w:rPr>
                <w:rFonts w:ascii="Arial Narrow" w:hAnsi="Arial Narrow" w:cs="Arial"/>
                <w:sz w:val="20"/>
                <w:szCs w:val="20"/>
                <w:lang w:val="en-AU" w:eastAsia="en-AU"/>
              </w:rPr>
              <w:t>2.816</w:t>
            </w:r>
          </w:p>
        </w:tc>
        <w:tc>
          <w:tcPr>
            <w:tcW w:w="2062" w:type="dxa"/>
            <w:tcBorders>
              <w:bottom w:val="single" w:sz="4" w:space="0" w:color="auto"/>
            </w:tcBorders>
            <w:shd w:val="clear" w:color="auto" w:fill="auto"/>
            <w:vAlign w:val="bottom"/>
          </w:tcPr>
          <w:p w:rsidR="002969AB" w:rsidRPr="00300918" w:rsidRDefault="002969AB" w:rsidP="0050319E">
            <w:pPr>
              <w:spacing w:before="40" w:after="40"/>
              <w:jc w:val="center"/>
              <w:rPr>
                <w:rFonts w:ascii="Arial Narrow" w:eastAsia="Times New Roman" w:hAnsi="Arial Narrow" w:cs="Arial"/>
                <w:sz w:val="20"/>
                <w:szCs w:val="20"/>
                <w:lang w:val="en-AU" w:eastAsia="en-AU"/>
              </w:rPr>
            </w:pPr>
            <w:r w:rsidRPr="00300918">
              <w:rPr>
                <w:rFonts w:ascii="Arial Narrow" w:hAnsi="Arial Narrow" w:cs="Arial"/>
                <w:sz w:val="20"/>
                <w:szCs w:val="20"/>
                <w:lang w:val="en-AU" w:eastAsia="en-AU"/>
              </w:rPr>
              <w:t>0.081</w:t>
            </w:r>
          </w:p>
        </w:tc>
      </w:tr>
      <w:tr w:rsidR="002969AB" w:rsidRPr="00300918" w:rsidTr="0050319E">
        <w:tc>
          <w:tcPr>
            <w:tcW w:w="2830" w:type="dxa"/>
            <w:tcBorders>
              <w:right w:val="single" w:sz="4" w:space="0" w:color="auto"/>
            </w:tcBorders>
            <w:shd w:val="clear" w:color="auto" w:fill="auto"/>
          </w:tcPr>
          <w:p w:rsidR="002969AB" w:rsidRPr="00300918" w:rsidRDefault="002969AB" w:rsidP="0050319E">
            <w:pPr>
              <w:spacing w:before="40" w:after="40"/>
              <w:rPr>
                <w:rFonts w:ascii="Arial Narrow" w:hAnsi="Arial Narrow"/>
                <w:sz w:val="20"/>
                <w:lang w:val="en-AU"/>
              </w:rPr>
            </w:pPr>
            <w:r w:rsidRPr="00300918">
              <w:rPr>
                <w:rFonts w:ascii="Arial Narrow" w:eastAsia="Calibri" w:hAnsi="Arial Narrow" w:cs="Times New Roman"/>
                <w:sz w:val="20"/>
                <w:szCs w:val="20"/>
                <w:lang w:val="en-AU"/>
              </w:rPr>
              <w:t>Incremental cost per QALY gained</w:t>
            </w:r>
          </w:p>
        </w:tc>
        <w:tc>
          <w:tcPr>
            <w:tcW w:w="2062" w:type="dxa"/>
            <w:tcBorders>
              <w:left w:val="single" w:sz="4" w:space="0" w:color="auto"/>
              <w:right w:val="single" w:sz="4" w:space="0" w:color="auto"/>
            </w:tcBorders>
            <w:shd w:val="clear" w:color="auto" w:fill="auto"/>
          </w:tcPr>
          <w:p w:rsidR="002969AB" w:rsidRPr="00300918" w:rsidRDefault="002969AB" w:rsidP="0050319E">
            <w:pPr>
              <w:spacing w:before="40" w:after="40"/>
              <w:rPr>
                <w:rFonts w:ascii="Arial Narrow" w:hAnsi="Arial Narrow"/>
                <w:sz w:val="20"/>
                <w:lang w:val="en-AU"/>
              </w:rPr>
            </w:pPr>
          </w:p>
        </w:tc>
        <w:tc>
          <w:tcPr>
            <w:tcW w:w="2062" w:type="dxa"/>
            <w:tcBorders>
              <w:left w:val="single" w:sz="4" w:space="0" w:color="auto"/>
              <w:right w:val="single" w:sz="4" w:space="0" w:color="auto"/>
            </w:tcBorders>
            <w:shd w:val="clear" w:color="auto" w:fill="auto"/>
          </w:tcPr>
          <w:p w:rsidR="002969AB" w:rsidRPr="00300918" w:rsidRDefault="002969AB" w:rsidP="0050319E">
            <w:pPr>
              <w:spacing w:before="40" w:after="40"/>
              <w:rPr>
                <w:rFonts w:ascii="Arial Narrow" w:hAnsi="Arial Narrow"/>
                <w:sz w:val="20"/>
                <w:lang w:val="en-AU"/>
              </w:rPr>
            </w:pPr>
          </w:p>
        </w:tc>
        <w:tc>
          <w:tcPr>
            <w:tcW w:w="2062" w:type="dxa"/>
            <w:tcBorders>
              <w:left w:val="single" w:sz="4" w:space="0" w:color="auto"/>
            </w:tcBorders>
            <w:shd w:val="clear" w:color="auto" w:fill="auto"/>
          </w:tcPr>
          <w:p w:rsidR="002969AB" w:rsidRPr="00300918" w:rsidRDefault="009C2DA5" w:rsidP="0050319E">
            <w:pPr>
              <w:spacing w:before="40" w:after="40"/>
              <w:jc w:val="center"/>
              <w:rPr>
                <w:rFonts w:ascii="Arial Narrow" w:hAnsi="Arial Narrow"/>
                <w:sz w:val="20"/>
                <w:lang w:val="en-AU"/>
              </w:rPr>
            </w:pPr>
            <w:r w:rsidRPr="00300918">
              <w:rPr>
                <w:rFonts w:ascii="Arial Narrow" w:hAnsi="Arial Narrow" w:cs="Arial"/>
                <w:sz w:val="20"/>
                <w:szCs w:val="20"/>
                <w:lang w:val="en-AU" w:eastAsia="en-AU"/>
              </w:rPr>
              <w:t>$</w:t>
            </w:r>
            <w:r w:rsidR="0090474F">
              <w:rPr>
                <w:rFonts w:ascii="Arial Narrow" w:hAnsi="Arial Narrow" w:cs="Arial"/>
                <w:noProof/>
                <w:color w:val="000000"/>
                <w:sz w:val="20"/>
                <w:szCs w:val="20"/>
                <w:highlight w:val="black"/>
                <w:lang w:val="en-AU" w:eastAsia="en-AU"/>
              </w:rPr>
              <w:t>'''''''''''''''''</w:t>
            </w:r>
          </w:p>
        </w:tc>
      </w:tr>
    </w:tbl>
    <w:p w:rsidR="003C7DA9" w:rsidRPr="00300918" w:rsidRDefault="00F1629D" w:rsidP="00017324">
      <w:pPr>
        <w:pStyle w:val="TableHeading0"/>
        <w:rPr>
          <w:rFonts w:eastAsia="Calibri" w:cs="Times New Roman"/>
          <w:b w:val="0"/>
          <w:sz w:val="18"/>
        </w:rPr>
      </w:pPr>
      <w:r w:rsidRPr="00300918">
        <w:rPr>
          <w:rFonts w:eastAsia="Calibri" w:cs="Times New Roman"/>
          <w:b w:val="0"/>
          <w:sz w:val="18"/>
        </w:rPr>
        <w:t>Source: constructed during the evaluation using TreeAge model ‘Model – dexamethasone implant vs sham’ presented with the submission</w:t>
      </w:r>
      <w:r w:rsidR="003C7DA9" w:rsidRPr="00300918">
        <w:rPr>
          <w:rFonts w:eastAsia="Calibri" w:cs="Times New Roman"/>
          <w:b w:val="0"/>
          <w:sz w:val="18"/>
        </w:rPr>
        <w:t>.</w:t>
      </w:r>
    </w:p>
    <w:p w:rsidR="00F1629D" w:rsidRPr="00300918" w:rsidRDefault="00F1629D" w:rsidP="00564892">
      <w:pPr>
        <w:numPr>
          <w:ilvl w:val="1"/>
          <w:numId w:val="1"/>
        </w:numPr>
        <w:ind w:left="709" w:hanging="709"/>
        <w:jc w:val="both"/>
      </w:pPr>
      <w:r w:rsidRPr="00300918">
        <w:t>The results of key sensitivity analyses</w:t>
      </w:r>
      <w:r w:rsidR="009E7937" w:rsidRPr="00300918">
        <w:t>, corrected for the error identified in the model,</w:t>
      </w:r>
      <w:r w:rsidRPr="00300918">
        <w:t xml:space="preserve"> are summarised in </w:t>
      </w:r>
      <w:r w:rsidRPr="00300918">
        <w:rPr>
          <w:rFonts w:cs="Arial"/>
          <w:bCs/>
          <w:snapToGrid w:val="0"/>
        </w:rPr>
        <w:t>Table</w:t>
      </w:r>
      <w:r w:rsidRPr="00300918">
        <w:t xml:space="preserve"> </w:t>
      </w:r>
      <w:r w:rsidR="00C52040" w:rsidRPr="00300918">
        <w:t>10</w:t>
      </w:r>
      <w:r w:rsidRPr="00300918">
        <w:t xml:space="preserve"> below.</w:t>
      </w:r>
    </w:p>
    <w:p w:rsidR="0054113C" w:rsidRDefault="0054113C">
      <w:pPr>
        <w:spacing w:before="0" w:line="259" w:lineRule="auto"/>
        <w:rPr>
          <w:rFonts w:ascii="Arial Narrow" w:hAnsi="Arial Narrow"/>
          <w:b/>
          <w:sz w:val="20"/>
        </w:rPr>
      </w:pPr>
      <w:r>
        <w:rPr>
          <w:rFonts w:ascii="Arial Narrow" w:hAnsi="Arial Narrow"/>
          <w:b/>
          <w:sz w:val="20"/>
        </w:rPr>
        <w:br w:type="page"/>
      </w:r>
    </w:p>
    <w:p w:rsidR="00F1629D" w:rsidRPr="00300918" w:rsidRDefault="00F1629D" w:rsidP="00F1629D">
      <w:pPr>
        <w:keepNext/>
        <w:spacing w:before="0" w:after="60"/>
        <w:rPr>
          <w:rFonts w:ascii="Arial Narrow" w:hAnsi="Arial Narrow"/>
          <w:b/>
          <w:sz w:val="20"/>
        </w:rPr>
      </w:pPr>
      <w:r w:rsidRPr="00300918">
        <w:rPr>
          <w:rFonts w:ascii="Arial Narrow" w:hAnsi="Arial Narrow"/>
          <w:b/>
          <w:sz w:val="20"/>
        </w:rPr>
        <w:t xml:space="preserve">Table </w:t>
      </w:r>
      <w:r w:rsidR="00C52040" w:rsidRPr="00300918">
        <w:rPr>
          <w:rFonts w:ascii="Arial Narrow" w:hAnsi="Arial Narrow"/>
          <w:b/>
          <w:sz w:val="20"/>
        </w:rPr>
        <w:t>10</w:t>
      </w:r>
      <w:r w:rsidRPr="00300918">
        <w:rPr>
          <w:rFonts w:ascii="Arial Narrow" w:hAnsi="Arial Narrow"/>
          <w:b/>
          <w:sz w:val="20"/>
        </w:rPr>
        <w:t>: Results of univariate sensitivity analyses</w:t>
      </w:r>
    </w:p>
    <w:tbl>
      <w:tblPr>
        <w:tblStyle w:val="Summarybox11"/>
        <w:tblW w:w="0" w:type="auto"/>
        <w:tblLook w:val="04A0" w:firstRow="1" w:lastRow="0" w:firstColumn="1" w:lastColumn="0" w:noHBand="0" w:noVBand="1"/>
        <w:tblCaption w:val="Table 10: Results of univariate sensitivity analyses"/>
      </w:tblPr>
      <w:tblGrid>
        <w:gridCol w:w="3397"/>
        <w:gridCol w:w="1873"/>
        <w:gridCol w:w="1873"/>
        <w:gridCol w:w="1873"/>
      </w:tblGrid>
      <w:tr w:rsidR="00F1629D" w:rsidRPr="00300918" w:rsidTr="00A443F7">
        <w:trPr>
          <w:tblHeader/>
        </w:trPr>
        <w:tc>
          <w:tcPr>
            <w:tcW w:w="3397" w:type="dxa"/>
          </w:tcPr>
          <w:p w:rsidR="00F1629D" w:rsidRPr="00300918" w:rsidRDefault="00F1629D" w:rsidP="00F1629D">
            <w:pPr>
              <w:spacing w:before="40" w:after="40"/>
              <w:rPr>
                <w:rFonts w:ascii="Arial Narrow" w:eastAsia="Calibri" w:hAnsi="Arial Narrow" w:cs="Times New Roman"/>
                <w:sz w:val="20"/>
                <w:szCs w:val="20"/>
              </w:rPr>
            </w:pPr>
          </w:p>
        </w:tc>
        <w:tc>
          <w:tcPr>
            <w:tcW w:w="1873" w:type="dxa"/>
          </w:tcPr>
          <w:p w:rsidR="00F1629D" w:rsidRPr="00300918" w:rsidRDefault="00F1629D" w:rsidP="00F1629D">
            <w:pPr>
              <w:spacing w:before="40" w:after="40"/>
              <w:jc w:val="center"/>
              <w:rPr>
                <w:rFonts w:ascii="Arial Narrow" w:eastAsia="Calibri" w:hAnsi="Arial Narrow" w:cs="Times New Roman"/>
                <w:b/>
                <w:sz w:val="20"/>
                <w:szCs w:val="20"/>
              </w:rPr>
            </w:pPr>
            <w:r w:rsidRPr="00300918">
              <w:rPr>
                <w:rFonts w:ascii="Arial Narrow" w:eastAsia="Calibri" w:hAnsi="Arial Narrow" w:cs="Times New Roman"/>
                <w:b/>
                <w:sz w:val="20"/>
                <w:szCs w:val="20"/>
              </w:rPr>
              <w:t>Incremental cost</w:t>
            </w:r>
          </w:p>
        </w:tc>
        <w:tc>
          <w:tcPr>
            <w:tcW w:w="1873" w:type="dxa"/>
          </w:tcPr>
          <w:p w:rsidR="00F1629D" w:rsidRPr="00300918" w:rsidRDefault="00F1629D" w:rsidP="00F1629D">
            <w:pPr>
              <w:spacing w:before="40" w:after="40"/>
              <w:jc w:val="center"/>
              <w:rPr>
                <w:rFonts w:ascii="Arial Narrow" w:eastAsia="Calibri" w:hAnsi="Arial Narrow" w:cs="Times New Roman"/>
                <w:b/>
                <w:sz w:val="20"/>
                <w:szCs w:val="20"/>
              </w:rPr>
            </w:pPr>
            <w:r w:rsidRPr="00300918">
              <w:rPr>
                <w:rFonts w:ascii="Arial Narrow" w:eastAsia="Calibri" w:hAnsi="Arial Narrow" w:cs="Times New Roman"/>
                <w:b/>
                <w:sz w:val="20"/>
                <w:szCs w:val="20"/>
              </w:rPr>
              <w:t>Incremental QALYs</w:t>
            </w:r>
          </w:p>
        </w:tc>
        <w:tc>
          <w:tcPr>
            <w:tcW w:w="1873" w:type="dxa"/>
          </w:tcPr>
          <w:p w:rsidR="00F1629D" w:rsidRPr="00300918" w:rsidRDefault="00F1629D" w:rsidP="00F1629D">
            <w:pPr>
              <w:spacing w:before="40" w:after="40"/>
              <w:jc w:val="center"/>
              <w:rPr>
                <w:rFonts w:ascii="Arial Narrow" w:eastAsia="Calibri" w:hAnsi="Arial Narrow" w:cs="Times New Roman"/>
                <w:b/>
                <w:sz w:val="20"/>
                <w:szCs w:val="20"/>
              </w:rPr>
            </w:pPr>
            <w:r w:rsidRPr="00300918">
              <w:rPr>
                <w:rFonts w:ascii="Arial Narrow" w:eastAsia="Calibri" w:hAnsi="Arial Narrow" w:cs="Times New Roman"/>
                <w:b/>
                <w:sz w:val="20"/>
                <w:szCs w:val="20"/>
              </w:rPr>
              <w:t>ICER</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Base case</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0.115</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9016" w:type="dxa"/>
            <w:gridSpan w:val="4"/>
          </w:tcPr>
          <w:p w:rsidR="00F1629D" w:rsidRPr="00300918" w:rsidRDefault="00F1629D" w:rsidP="00F1629D">
            <w:pPr>
              <w:spacing w:before="40" w:after="40"/>
              <w:rPr>
                <w:rFonts w:ascii="Arial Narrow" w:eastAsia="Calibri" w:hAnsi="Arial Narrow" w:cs="Times New Roman"/>
                <w:b/>
                <w:sz w:val="20"/>
                <w:szCs w:val="20"/>
              </w:rPr>
            </w:pPr>
            <w:r w:rsidRPr="00300918">
              <w:rPr>
                <w:rFonts w:ascii="Arial Narrow" w:eastAsia="Calibri" w:hAnsi="Arial Narrow" w:cs="Times New Roman"/>
                <w:b/>
                <w:sz w:val="20"/>
                <w:szCs w:val="20"/>
              </w:rPr>
              <w:t>Rescue medication (base case: costs, but not outcomes included)</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cost of rescue medication removed</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0.115</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9016" w:type="dxa"/>
            <w:gridSpan w:val="4"/>
          </w:tcPr>
          <w:p w:rsidR="00F1629D" w:rsidRPr="00300918" w:rsidRDefault="00F1629D" w:rsidP="00F1629D">
            <w:pPr>
              <w:spacing w:before="40" w:after="40"/>
              <w:rPr>
                <w:rFonts w:ascii="Arial Narrow" w:eastAsia="Calibri" w:hAnsi="Arial Narrow" w:cs="Times New Roman"/>
                <w:b/>
                <w:sz w:val="20"/>
                <w:szCs w:val="20"/>
              </w:rPr>
            </w:pPr>
            <w:r w:rsidRPr="00300918">
              <w:rPr>
                <w:rFonts w:ascii="Arial Narrow" w:eastAsia="Calibri" w:hAnsi="Arial Narrow" w:cs="Times New Roman"/>
                <w:b/>
                <w:sz w:val="20"/>
                <w:szCs w:val="20"/>
              </w:rPr>
              <w:t>Time horizon (base case 4 years)</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- 1 year</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0.048</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- 8 years</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0.132</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9016" w:type="dxa"/>
            <w:gridSpan w:val="4"/>
          </w:tcPr>
          <w:p w:rsidR="00F1629D" w:rsidRPr="00300918" w:rsidRDefault="00F1629D" w:rsidP="00F1629D">
            <w:pPr>
              <w:spacing w:before="40" w:after="40"/>
              <w:rPr>
                <w:rFonts w:ascii="Arial Narrow" w:eastAsia="Calibri" w:hAnsi="Arial Narrow" w:cs="Times New Roman"/>
                <w:b/>
                <w:sz w:val="20"/>
                <w:szCs w:val="20"/>
              </w:rPr>
            </w:pPr>
            <w:r w:rsidRPr="00300918">
              <w:rPr>
                <w:rFonts w:ascii="Arial Narrow" w:eastAsia="Calibri" w:hAnsi="Arial Narrow" w:cs="Times New Roman"/>
                <w:b/>
                <w:sz w:val="20"/>
                <w:szCs w:val="20"/>
              </w:rPr>
              <w:t>Source of utilities (base case VFQ-UI)</w:t>
            </w:r>
          </w:p>
        </w:tc>
      </w:tr>
      <w:tr w:rsidR="00F1629D" w:rsidRPr="00300918" w:rsidTr="00F1629D">
        <w:trPr>
          <w:trHeight w:val="110"/>
        </w:trPr>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ScHarr algorithm</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0.094</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9016" w:type="dxa"/>
            <w:gridSpan w:val="4"/>
          </w:tcPr>
          <w:p w:rsidR="00F1629D" w:rsidRPr="00300918" w:rsidRDefault="00F1629D" w:rsidP="00F1629D">
            <w:pPr>
              <w:spacing w:before="40" w:after="40"/>
              <w:rPr>
                <w:rFonts w:ascii="Arial Narrow" w:eastAsia="Calibri" w:hAnsi="Arial Narrow" w:cs="Times New Roman"/>
                <w:b/>
                <w:sz w:val="20"/>
                <w:szCs w:val="20"/>
              </w:rPr>
            </w:pPr>
            <w:r w:rsidRPr="00300918">
              <w:rPr>
                <w:rFonts w:ascii="Arial Narrow" w:eastAsia="Calibri" w:hAnsi="Arial Narrow" w:cs="Times New Roman"/>
                <w:b/>
                <w:sz w:val="20"/>
                <w:szCs w:val="20"/>
              </w:rPr>
              <w:t>WSE utility gain for improvers (base case differs by treatment)</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WSE utility gain for improvers same for dexamethasone and placebo (VFQ-UI)</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0.069</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WSE utility gain for improvers same for dexamethasone and placebo (ScHARR algorithm)</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0.054</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9016" w:type="dxa"/>
            <w:gridSpan w:val="4"/>
          </w:tcPr>
          <w:p w:rsidR="00F1629D" w:rsidRPr="00300918" w:rsidRDefault="00F1629D" w:rsidP="00F1629D">
            <w:pPr>
              <w:spacing w:before="40" w:after="40"/>
              <w:rPr>
                <w:rFonts w:ascii="Arial Narrow" w:eastAsia="Calibri" w:hAnsi="Arial Narrow" w:cs="Times New Roman"/>
                <w:b/>
                <w:sz w:val="20"/>
                <w:szCs w:val="20"/>
              </w:rPr>
            </w:pPr>
            <w:r w:rsidRPr="00300918">
              <w:rPr>
                <w:rFonts w:ascii="Arial Narrow" w:eastAsia="Calibri" w:hAnsi="Arial Narrow" w:cs="Times New Roman"/>
                <w:b/>
                <w:sz w:val="20"/>
                <w:szCs w:val="20"/>
              </w:rPr>
              <w:t>Threshold for relapse (base case loss of ≥</w:t>
            </w:r>
            <w:r w:rsidR="00A10569" w:rsidRPr="00300918">
              <w:rPr>
                <w:rFonts w:ascii="Arial Narrow" w:eastAsia="Calibri" w:hAnsi="Arial Narrow" w:cs="Times New Roman"/>
                <w:b/>
                <w:sz w:val="20"/>
                <w:szCs w:val="20"/>
              </w:rPr>
              <w:t xml:space="preserve"> </w:t>
            </w:r>
            <w:r w:rsidRPr="00300918">
              <w:rPr>
                <w:rFonts w:ascii="Arial Narrow" w:eastAsia="Calibri" w:hAnsi="Arial Narrow" w:cs="Times New Roman"/>
                <w:b/>
                <w:sz w:val="20"/>
                <w:szCs w:val="20"/>
              </w:rPr>
              <w:t>5 letters)</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loss of ≥</w:t>
            </w:r>
            <w:r w:rsidR="00A10569" w:rsidRPr="00300918">
              <w:rPr>
                <w:rFonts w:ascii="Arial Narrow" w:eastAsia="Calibri" w:hAnsi="Arial Narrow" w:cs="Times New Roman"/>
                <w:sz w:val="20"/>
                <w:szCs w:val="20"/>
              </w:rPr>
              <w:t xml:space="preserve"> </w:t>
            </w:r>
            <w:r w:rsidRPr="00300918">
              <w:rPr>
                <w:rFonts w:ascii="Arial Narrow" w:eastAsia="Calibri" w:hAnsi="Arial Narrow" w:cs="Times New Roman"/>
                <w:sz w:val="20"/>
                <w:szCs w:val="20"/>
              </w:rPr>
              <w:t>10 letters</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0.124</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loss of ≥</w:t>
            </w:r>
            <w:r w:rsidR="00A10569" w:rsidRPr="00300918">
              <w:rPr>
                <w:rFonts w:ascii="Arial Narrow" w:eastAsia="Calibri" w:hAnsi="Arial Narrow" w:cs="Times New Roman"/>
                <w:sz w:val="20"/>
                <w:szCs w:val="20"/>
              </w:rPr>
              <w:t xml:space="preserve"> </w:t>
            </w:r>
            <w:r w:rsidRPr="00300918">
              <w:rPr>
                <w:rFonts w:ascii="Arial Narrow" w:eastAsia="Calibri" w:hAnsi="Arial Narrow" w:cs="Times New Roman"/>
                <w:sz w:val="20"/>
                <w:szCs w:val="20"/>
              </w:rPr>
              <w:t>15 letters</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0.155</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9016" w:type="dxa"/>
            <w:gridSpan w:val="4"/>
          </w:tcPr>
          <w:p w:rsidR="00F1629D" w:rsidRPr="00300918" w:rsidRDefault="00F1629D" w:rsidP="00F1629D">
            <w:pPr>
              <w:spacing w:before="40" w:after="40"/>
              <w:rPr>
                <w:rFonts w:ascii="Arial Narrow" w:eastAsia="Calibri" w:hAnsi="Arial Narrow" w:cs="Times New Roman"/>
                <w:b/>
                <w:sz w:val="20"/>
                <w:szCs w:val="20"/>
              </w:rPr>
            </w:pPr>
            <w:r w:rsidRPr="00300918">
              <w:rPr>
                <w:rFonts w:ascii="Arial Narrow" w:eastAsia="Calibri" w:hAnsi="Arial Narrow" w:cs="Times New Roman"/>
                <w:b/>
                <w:sz w:val="20"/>
                <w:szCs w:val="20"/>
              </w:rPr>
              <w:t>Retreatment if relapse (base case 95%)</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- 90%</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0.103</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- 100%</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0.130</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9016" w:type="dxa"/>
            <w:gridSpan w:val="4"/>
          </w:tcPr>
          <w:p w:rsidR="00F1629D" w:rsidRPr="00300918" w:rsidRDefault="00F1629D" w:rsidP="00F1629D">
            <w:pPr>
              <w:spacing w:before="40" w:after="40"/>
              <w:rPr>
                <w:rFonts w:ascii="Arial Narrow" w:eastAsia="Calibri" w:hAnsi="Arial Narrow" w:cs="Times New Roman"/>
                <w:b/>
                <w:sz w:val="20"/>
                <w:szCs w:val="20"/>
              </w:rPr>
            </w:pPr>
            <w:r w:rsidRPr="00300918">
              <w:rPr>
                <w:rFonts w:ascii="Arial Narrow" w:eastAsia="Calibri" w:hAnsi="Arial Narrow" w:cs="Times New Roman"/>
                <w:b/>
                <w:sz w:val="20"/>
                <w:szCs w:val="20"/>
              </w:rPr>
              <w:t>Improvement if relapse and retreatment (base case 81.8%)</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- 70%</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0.085</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- 100%</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0.197</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9016" w:type="dxa"/>
            <w:gridSpan w:val="4"/>
          </w:tcPr>
          <w:p w:rsidR="00F1629D" w:rsidRPr="00300918" w:rsidRDefault="00F1629D" w:rsidP="00F1629D">
            <w:pPr>
              <w:spacing w:before="40" w:after="40"/>
              <w:rPr>
                <w:rFonts w:ascii="Arial Narrow" w:eastAsia="Calibri" w:hAnsi="Arial Narrow" w:cs="Times New Roman"/>
                <w:b/>
                <w:sz w:val="20"/>
                <w:szCs w:val="20"/>
              </w:rPr>
            </w:pPr>
            <w:r w:rsidRPr="00300918">
              <w:rPr>
                <w:rFonts w:ascii="Arial Narrow" w:eastAsia="Calibri" w:hAnsi="Arial Narrow" w:cs="Times New Roman"/>
                <w:b/>
                <w:sz w:val="20"/>
                <w:szCs w:val="20"/>
              </w:rPr>
              <w:t>Baseline utilities equal for patients with better or worse seeing eye treated (base case differs by treated eye)</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Utilities derived from VFQ-UI</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0.115</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Utilities derived from ScHARR algorithm</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0.094</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9016" w:type="dxa"/>
            <w:gridSpan w:val="4"/>
          </w:tcPr>
          <w:p w:rsidR="00F1629D" w:rsidRPr="00300918" w:rsidRDefault="00F1629D" w:rsidP="00F1629D">
            <w:pPr>
              <w:spacing w:before="40" w:after="40"/>
              <w:rPr>
                <w:rFonts w:ascii="Arial Narrow" w:eastAsia="Calibri" w:hAnsi="Arial Narrow" w:cs="Times New Roman"/>
                <w:b/>
                <w:sz w:val="20"/>
                <w:szCs w:val="20"/>
              </w:rPr>
            </w:pPr>
            <w:r w:rsidRPr="00300918">
              <w:rPr>
                <w:rFonts w:ascii="Arial Narrow" w:eastAsia="Calibri" w:hAnsi="Arial Narrow" w:cs="Times New Roman"/>
                <w:b/>
                <w:sz w:val="20"/>
                <w:szCs w:val="20"/>
              </w:rPr>
              <w:t>Proportion of unilateral patients (base case assumed 95.2% unilateral)</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xml:space="preserve">- 100% unilateral </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0.115</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3397" w:type="dxa"/>
          </w:tcPr>
          <w:p w:rsidR="00F1629D" w:rsidRPr="00300918" w:rsidRDefault="00F1629D" w:rsidP="00F1629D">
            <w:pPr>
              <w:spacing w:before="40" w:after="40"/>
              <w:rPr>
                <w:rFonts w:ascii="Arial Narrow" w:eastAsia="Calibri" w:hAnsi="Arial Narrow" w:cs="Times New Roman"/>
                <w:sz w:val="20"/>
                <w:szCs w:val="20"/>
              </w:rPr>
            </w:pPr>
            <w:r w:rsidRPr="00300918">
              <w:rPr>
                <w:rFonts w:ascii="Arial Narrow" w:eastAsia="Calibri" w:hAnsi="Arial Narrow" w:cs="Times New Roman"/>
                <w:sz w:val="20"/>
                <w:szCs w:val="20"/>
              </w:rPr>
              <w:t>- 0% unilateral (100% bilateral)</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1873" w:type="dxa"/>
          </w:tcPr>
          <w:p w:rsidR="00F1629D" w:rsidRPr="00300918" w:rsidRDefault="00F1629D" w:rsidP="00F1629D">
            <w:pPr>
              <w:spacing w:before="40" w:after="40"/>
              <w:jc w:val="center"/>
              <w:rPr>
                <w:rFonts w:ascii="Arial Narrow" w:eastAsia="Calibri" w:hAnsi="Arial Narrow" w:cs="Times New Roman"/>
                <w:sz w:val="20"/>
                <w:szCs w:val="20"/>
              </w:rPr>
            </w:pPr>
            <w:r w:rsidRPr="00300918">
              <w:rPr>
                <w:rFonts w:ascii="Arial Narrow" w:eastAsia="Calibri" w:hAnsi="Arial Narrow" w:cs="Times New Roman"/>
                <w:sz w:val="20"/>
                <w:szCs w:val="20"/>
              </w:rPr>
              <w:t>0.115</w:t>
            </w:r>
          </w:p>
        </w:tc>
        <w:tc>
          <w:tcPr>
            <w:tcW w:w="1873" w:type="dxa"/>
          </w:tcPr>
          <w:p w:rsidR="00F1629D" w:rsidRPr="0090474F" w:rsidRDefault="0090474F" w:rsidP="00F1629D">
            <w:pPr>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bl>
    <w:p w:rsidR="00F1629D" w:rsidRDefault="00F1629D" w:rsidP="00F1629D">
      <w:pPr>
        <w:spacing w:before="0"/>
        <w:jc w:val="both"/>
        <w:rPr>
          <w:rFonts w:ascii="Arial Narrow" w:eastAsia="Calibri" w:hAnsi="Arial Narrow" w:cs="Times New Roman"/>
          <w:sz w:val="18"/>
        </w:rPr>
      </w:pPr>
      <w:r w:rsidRPr="00300918">
        <w:rPr>
          <w:rFonts w:ascii="Arial Narrow" w:eastAsia="Calibri" w:hAnsi="Arial Narrow" w:cs="Times New Roman"/>
          <w:sz w:val="18"/>
        </w:rPr>
        <w:t>Source: constructed during the evaluation using TreeAge model ‘Model – dexamethasone implant vs sham’ presented with the submission</w:t>
      </w:r>
      <w:r w:rsidR="001D1476" w:rsidRPr="00300918">
        <w:rPr>
          <w:rFonts w:ascii="Arial Narrow" w:eastAsia="Calibri" w:hAnsi="Arial Narrow" w:cs="Times New Roman"/>
          <w:sz w:val="18"/>
        </w:rPr>
        <w:t>. WSE: worse seeing eye</w:t>
      </w:r>
      <w:r w:rsidRPr="00300918">
        <w:rPr>
          <w:rFonts w:ascii="Arial Narrow" w:eastAsia="Calibri" w:hAnsi="Arial Narrow" w:cs="Times New Roman"/>
          <w:sz w:val="18"/>
        </w:rPr>
        <w:t xml:space="preserve"> </w:t>
      </w:r>
    </w:p>
    <w:p w:rsidR="00F1629D" w:rsidRPr="00300918" w:rsidRDefault="00DF44E0" w:rsidP="00564892">
      <w:pPr>
        <w:numPr>
          <w:ilvl w:val="1"/>
          <w:numId w:val="1"/>
        </w:numPr>
        <w:ind w:left="709" w:hanging="709"/>
        <w:jc w:val="both"/>
      </w:pPr>
      <w:r w:rsidRPr="00345C44">
        <w:rPr>
          <w:color w:val="000000" w:themeColor="text1"/>
        </w:rPr>
        <w:t>The redacted table shows ICERs in the range of less than $15,000</w:t>
      </w:r>
      <w:r w:rsidR="00B8255E">
        <w:rPr>
          <w:color w:val="000000" w:themeColor="text1"/>
        </w:rPr>
        <w:t>/</w:t>
      </w:r>
      <w:r w:rsidRPr="00345C44">
        <w:rPr>
          <w:color w:val="000000" w:themeColor="text1"/>
        </w:rPr>
        <w:t>QALY</w:t>
      </w:r>
      <w:r w:rsidR="00B8255E">
        <w:rPr>
          <w:color w:val="000000" w:themeColor="text1"/>
        </w:rPr>
        <w:t xml:space="preserve"> to</w:t>
      </w:r>
      <w:r w:rsidR="00B32B31">
        <w:rPr>
          <w:color w:val="000000" w:themeColor="text1"/>
        </w:rPr>
        <w:t xml:space="preserve"> </w:t>
      </w:r>
      <w:r w:rsidR="00345C44" w:rsidRPr="00345C44">
        <w:rPr>
          <w:color w:val="000000" w:themeColor="text1"/>
        </w:rPr>
        <w:t>$</w:t>
      </w:r>
      <w:r w:rsidR="00B8255E">
        <w:rPr>
          <w:color w:val="000000" w:themeColor="text1"/>
        </w:rPr>
        <w:t>105</w:t>
      </w:r>
      <w:r w:rsidR="00345C44" w:rsidRPr="00345C44">
        <w:rPr>
          <w:color w:val="000000" w:themeColor="text1"/>
        </w:rPr>
        <w:t>,000/QALY.</w:t>
      </w:r>
      <w:r w:rsidR="00F1629D" w:rsidRPr="00300918">
        <w:t xml:space="preserve">The economic model is sensitive to </w:t>
      </w:r>
      <w:r w:rsidR="00CA172E" w:rsidRPr="00300918">
        <w:t xml:space="preserve">the </w:t>
      </w:r>
      <w:r w:rsidR="00F1629D" w:rsidRPr="00300918">
        <w:t xml:space="preserve">costs of rescue medication, the time horizon, the assumption that the utility gain in patients who have their worse seeing eye treated differs by treatment type, threshold for relapse and the proportion of unilateral </w:t>
      </w:r>
      <w:r w:rsidR="00F1629D" w:rsidRPr="00300918">
        <w:rPr>
          <w:rFonts w:cs="Arial"/>
          <w:bCs/>
          <w:snapToGrid w:val="0"/>
        </w:rPr>
        <w:t>patients</w:t>
      </w:r>
      <w:r w:rsidR="00F1629D" w:rsidRPr="00300918">
        <w:t xml:space="preserve">. </w:t>
      </w:r>
      <w:r w:rsidR="003616E8" w:rsidRPr="00300918">
        <w:t>The PBAC considered the ICER</w:t>
      </w:r>
      <w:r w:rsidR="00FC0A86" w:rsidRPr="00300918">
        <w:t>s</w:t>
      </w:r>
      <w:r w:rsidR="003616E8" w:rsidRPr="00300918">
        <w:t xml:space="preserve"> derived from the sensitivity analyses </w:t>
      </w:r>
      <w:r w:rsidR="00E84A68" w:rsidRPr="00300918">
        <w:t xml:space="preserve">fell </w:t>
      </w:r>
      <w:r w:rsidR="003616E8" w:rsidRPr="00300918">
        <w:t>within a</w:t>
      </w:r>
      <w:r w:rsidR="00710462" w:rsidRPr="00300918">
        <w:t xml:space="preserve">n acceptable </w:t>
      </w:r>
      <w:r w:rsidR="003616E8" w:rsidRPr="00300918">
        <w:t>range</w:t>
      </w:r>
      <w:r w:rsidR="00E53C6F" w:rsidRPr="00300918">
        <w:t xml:space="preserve"> to be considered cost-effective</w:t>
      </w:r>
      <w:r w:rsidR="003616E8" w:rsidRPr="00300918">
        <w:t xml:space="preserve">. </w:t>
      </w:r>
      <w:r w:rsidR="008510B5" w:rsidRPr="00300918">
        <w:t>The PBAC considered the uncertainty around the cost-effectiveness of dexamethasone implant compared to standard care was adequately addressed by</w:t>
      </w:r>
      <w:r w:rsidR="00E84A68" w:rsidRPr="00300918">
        <w:t xml:space="preserve"> the</w:t>
      </w:r>
      <w:r w:rsidR="008510B5" w:rsidRPr="00300918">
        <w:t xml:space="preserve"> proposed rebate.</w:t>
      </w:r>
    </w:p>
    <w:p w:rsidR="00F1629D" w:rsidRPr="00300918" w:rsidRDefault="00F1629D" w:rsidP="00944061">
      <w:pPr>
        <w:pStyle w:val="Heading2"/>
        <w:rPr>
          <w:i w:val="0"/>
        </w:rPr>
      </w:pPr>
      <w:bookmarkStart w:id="37" w:name="_Toc413139283"/>
      <w:bookmarkStart w:id="38" w:name="_Toc490486486"/>
      <w:bookmarkStart w:id="39" w:name="_Toc492995317"/>
      <w:r w:rsidRPr="00300918">
        <w:rPr>
          <w:i w:val="0"/>
        </w:rPr>
        <w:t>Drug cost/patient/year</w:t>
      </w:r>
      <w:bookmarkEnd w:id="37"/>
      <w:r w:rsidRPr="00300918">
        <w:rPr>
          <w:i w:val="0"/>
        </w:rPr>
        <w:t>: $</w:t>
      </w:r>
      <w:bookmarkEnd w:id="38"/>
      <w:bookmarkEnd w:id="39"/>
      <w:r w:rsidR="0090474F">
        <w:rPr>
          <w:i w:val="0"/>
          <w:noProof/>
          <w:color w:val="000000"/>
          <w:highlight w:val="black"/>
        </w:rPr>
        <w:t>'''''''''''</w:t>
      </w:r>
    </w:p>
    <w:p w:rsidR="0052557C" w:rsidRPr="00300918" w:rsidRDefault="00F1629D" w:rsidP="00564892">
      <w:pPr>
        <w:numPr>
          <w:ilvl w:val="1"/>
          <w:numId w:val="1"/>
        </w:numPr>
        <w:ind w:left="709" w:hanging="709"/>
        <w:jc w:val="both"/>
        <w:rPr>
          <w:szCs w:val="24"/>
        </w:rPr>
      </w:pPr>
      <w:r w:rsidRPr="00300918">
        <w:rPr>
          <w:szCs w:val="24"/>
        </w:rPr>
        <w:t>The estimated annual cost for dexamethasone implant was $</w:t>
      </w:r>
      <w:r w:rsidR="0090474F">
        <w:rPr>
          <w:noProof/>
          <w:color w:val="000000"/>
          <w:szCs w:val="24"/>
          <w:highlight w:val="black"/>
        </w:rPr>
        <w:t>''''''''''''</w:t>
      </w:r>
      <w:r w:rsidR="00C95C9F" w:rsidRPr="00300918">
        <w:rPr>
          <w:szCs w:val="24"/>
        </w:rPr>
        <w:t>. This was</w:t>
      </w:r>
      <w:r w:rsidR="00FD0232" w:rsidRPr="00300918">
        <w:rPr>
          <w:szCs w:val="24"/>
        </w:rPr>
        <w:t xml:space="preserve"> </w:t>
      </w:r>
      <w:r w:rsidR="00FD0232" w:rsidRPr="00300918">
        <w:rPr>
          <w:rFonts w:cs="Arial"/>
          <w:bCs/>
          <w:snapToGrid w:val="0"/>
        </w:rPr>
        <w:t>also</w:t>
      </w:r>
      <w:r w:rsidRPr="00300918">
        <w:rPr>
          <w:szCs w:val="24"/>
        </w:rPr>
        <w:t xml:space="preserve"> based on 2.22 implants per year (generated by running the corrected economic model with a time horizon of 1 year) at a proposed dispensed price of $</w:t>
      </w:r>
      <w:r w:rsidR="0090474F">
        <w:rPr>
          <w:noProof/>
          <w:color w:val="000000"/>
          <w:szCs w:val="24"/>
          <w:highlight w:val="black"/>
        </w:rPr>
        <w:t>''''''''''''''''</w:t>
      </w:r>
      <w:r w:rsidR="00DE7FCC" w:rsidRPr="00300918">
        <w:rPr>
          <w:szCs w:val="24"/>
        </w:rPr>
        <w:t xml:space="preserve">, which does not include the rebate of </w:t>
      </w:r>
      <w:r w:rsidR="0090474F">
        <w:rPr>
          <w:noProof/>
          <w:color w:val="000000"/>
          <w:szCs w:val="24"/>
          <w:highlight w:val="black"/>
        </w:rPr>
        <w:t>''''''''</w:t>
      </w:r>
      <w:r w:rsidR="00DE7FCC" w:rsidRPr="00300918">
        <w:rPr>
          <w:szCs w:val="24"/>
        </w:rPr>
        <w:t>% proposed in the pre-PBAC response (p3)</w:t>
      </w:r>
      <w:r w:rsidRPr="00300918">
        <w:rPr>
          <w:szCs w:val="24"/>
        </w:rPr>
        <w:t xml:space="preserve">. The cost for delivery of the intravitreal implant of the device is $300.75 (MBS item 42740). </w:t>
      </w:r>
    </w:p>
    <w:p w:rsidR="00F1629D" w:rsidRPr="00300918" w:rsidRDefault="00F1629D" w:rsidP="00944061">
      <w:pPr>
        <w:pStyle w:val="Heading2"/>
        <w:rPr>
          <w:i w:val="0"/>
        </w:rPr>
      </w:pPr>
      <w:bookmarkStart w:id="40" w:name="_Toc413139284"/>
      <w:bookmarkStart w:id="41" w:name="_Toc490486487"/>
      <w:bookmarkStart w:id="42" w:name="_Toc492995318"/>
      <w:r w:rsidRPr="00300918">
        <w:rPr>
          <w:i w:val="0"/>
        </w:rPr>
        <w:t>Estimated PBS usage &amp; financial implications</w:t>
      </w:r>
      <w:bookmarkEnd w:id="40"/>
      <w:bookmarkEnd w:id="41"/>
      <w:bookmarkEnd w:id="42"/>
    </w:p>
    <w:p w:rsidR="00F1629D" w:rsidRPr="00300918" w:rsidRDefault="00F1629D" w:rsidP="00564892">
      <w:pPr>
        <w:numPr>
          <w:ilvl w:val="1"/>
          <w:numId w:val="1"/>
        </w:numPr>
        <w:ind w:left="709" w:hanging="709"/>
        <w:jc w:val="both"/>
      </w:pPr>
      <w:r w:rsidRPr="00300918">
        <w:t xml:space="preserve">This </w:t>
      </w:r>
      <w:r w:rsidRPr="00300918">
        <w:rPr>
          <w:rFonts w:cs="Arial"/>
          <w:bCs/>
          <w:snapToGrid w:val="0"/>
        </w:rPr>
        <w:t>submission</w:t>
      </w:r>
      <w:r w:rsidRPr="00300918">
        <w:t xml:space="preserve"> w</w:t>
      </w:r>
      <w:r w:rsidR="00F336F4" w:rsidRPr="00300918">
        <w:t>as</w:t>
      </w:r>
      <w:r w:rsidRPr="00300918">
        <w:t xml:space="preserve"> not considered by DUSC. The submission used an epidemiological approach to estimate the utilisation and financial implications associated with PBS listing of dexamethasone implant for the treatment of non-infectious posterior segment uveitis over the first six years of listing. </w:t>
      </w:r>
      <w:r w:rsidR="004341A0" w:rsidRPr="00300918">
        <w:rPr>
          <w:szCs w:val="24"/>
        </w:rPr>
        <w:t xml:space="preserve">The ESC </w:t>
      </w:r>
      <w:r w:rsidR="006E18BB" w:rsidRPr="00300918">
        <w:rPr>
          <w:szCs w:val="24"/>
        </w:rPr>
        <w:t xml:space="preserve">noted the PSCR (p7) provided revised financial estimates which used </w:t>
      </w:r>
      <w:r w:rsidR="00B13B22" w:rsidRPr="00300918">
        <w:rPr>
          <w:szCs w:val="24"/>
        </w:rPr>
        <w:t xml:space="preserve">incidence and </w:t>
      </w:r>
      <w:r w:rsidR="004341A0" w:rsidRPr="00300918">
        <w:rPr>
          <w:szCs w:val="24"/>
        </w:rPr>
        <w:t xml:space="preserve">prevalence data </w:t>
      </w:r>
      <w:r w:rsidR="006E18BB" w:rsidRPr="00300918">
        <w:rPr>
          <w:szCs w:val="24"/>
        </w:rPr>
        <w:t xml:space="preserve">from </w:t>
      </w:r>
      <w:r w:rsidR="00B13B22" w:rsidRPr="00300918">
        <w:rPr>
          <w:szCs w:val="24"/>
        </w:rPr>
        <w:t>Colby et al., 2017</w:t>
      </w:r>
      <w:r w:rsidR="00272F1F" w:rsidRPr="00300918">
        <w:rPr>
          <w:szCs w:val="24"/>
        </w:rPr>
        <w:t xml:space="preserve"> and reduced estimated uptake rates. </w:t>
      </w:r>
      <w:r w:rsidR="00444915" w:rsidRPr="00300918">
        <w:t xml:space="preserve">The original submission included an </w:t>
      </w:r>
      <w:r w:rsidR="00444915" w:rsidRPr="00300918">
        <w:rPr>
          <w:szCs w:val="24"/>
        </w:rPr>
        <w:t>incidence of 3.25:100,000, prevalence of 11.55:100,000 and uptake in Years 1-6 to be 10-34%.</w:t>
      </w:r>
      <w:r w:rsidR="00C05B2C" w:rsidRPr="00300918">
        <w:rPr>
          <w:szCs w:val="24"/>
        </w:rPr>
        <w:t xml:space="preserve"> The revised</w:t>
      </w:r>
      <w:r w:rsidR="001E2951" w:rsidRPr="00300918">
        <w:rPr>
          <w:szCs w:val="24"/>
        </w:rPr>
        <w:t xml:space="preserve"> values from the PSCR </w:t>
      </w:r>
      <w:r w:rsidR="00431573" w:rsidRPr="00300918">
        <w:rPr>
          <w:szCs w:val="24"/>
        </w:rPr>
        <w:t>include</w:t>
      </w:r>
      <w:r w:rsidR="00C05B2C" w:rsidRPr="00300918">
        <w:rPr>
          <w:szCs w:val="24"/>
        </w:rPr>
        <w:t xml:space="preserve"> </w:t>
      </w:r>
      <w:r w:rsidR="001E2951" w:rsidRPr="00300918">
        <w:rPr>
          <w:szCs w:val="24"/>
        </w:rPr>
        <w:t xml:space="preserve">incidence </w:t>
      </w:r>
      <w:r w:rsidR="00431573" w:rsidRPr="00300918">
        <w:rPr>
          <w:szCs w:val="24"/>
        </w:rPr>
        <w:t xml:space="preserve">of </w:t>
      </w:r>
      <w:r w:rsidR="001E2951" w:rsidRPr="00300918">
        <w:rPr>
          <w:szCs w:val="24"/>
        </w:rPr>
        <w:t>13:100,000</w:t>
      </w:r>
      <w:r w:rsidR="00431573" w:rsidRPr="00300918">
        <w:rPr>
          <w:szCs w:val="24"/>
        </w:rPr>
        <w:t>, p</w:t>
      </w:r>
      <w:r w:rsidR="001E2951" w:rsidRPr="00300918">
        <w:rPr>
          <w:szCs w:val="24"/>
        </w:rPr>
        <w:t>revalence</w:t>
      </w:r>
      <w:r w:rsidR="00431573" w:rsidRPr="00300918">
        <w:rPr>
          <w:szCs w:val="24"/>
        </w:rPr>
        <w:t xml:space="preserve"> of</w:t>
      </w:r>
      <w:r w:rsidR="001E2951" w:rsidRPr="00300918">
        <w:rPr>
          <w:szCs w:val="24"/>
        </w:rPr>
        <w:t xml:space="preserve"> 22:100,000</w:t>
      </w:r>
      <w:r w:rsidR="00431573" w:rsidRPr="00300918">
        <w:rPr>
          <w:szCs w:val="24"/>
        </w:rPr>
        <w:t xml:space="preserve"> and u</w:t>
      </w:r>
      <w:r w:rsidR="001E2951" w:rsidRPr="00300918">
        <w:rPr>
          <w:szCs w:val="24"/>
        </w:rPr>
        <w:t>ptake in Years 1-6</w:t>
      </w:r>
      <w:r w:rsidR="00431573" w:rsidRPr="00300918">
        <w:rPr>
          <w:szCs w:val="24"/>
        </w:rPr>
        <w:t xml:space="preserve"> </w:t>
      </w:r>
      <w:r w:rsidR="00E1159A" w:rsidRPr="00300918">
        <w:rPr>
          <w:szCs w:val="24"/>
        </w:rPr>
        <w:t>of</w:t>
      </w:r>
      <w:r w:rsidR="001E2951" w:rsidRPr="00300918">
        <w:rPr>
          <w:szCs w:val="24"/>
        </w:rPr>
        <w:t xml:space="preserve"> 5-7%</w:t>
      </w:r>
      <w:r w:rsidR="00263DAD" w:rsidRPr="00300918">
        <w:rPr>
          <w:szCs w:val="24"/>
        </w:rPr>
        <w:t>.</w:t>
      </w:r>
      <w:r w:rsidR="004B57C6" w:rsidRPr="00300918">
        <w:rPr>
          <w:szCs w:val="24"/>
        </w:rPr>
        <w:t xml:space="preserve"> </w:t>
      </w:r>
      <w:r w:rsidR="000D6046" w:rsidRPr="00300918">
        <w:rPr>
          <w:szCs w:val="24"/>
        </w:rPr>
        <w:t xml:space="preserve">The </w:t>
      </w:r>
      <w:r w:rsidR="007F438B" w:rsidRPr="00300918">
        <w:rPr>
          <w:szCs w:val="24"/>
        </w:rPr>
        <w:t xml:space="preserve">PBAC </w:t>
      </w:r>
      <w:r w:rsidR="00064F64" w:rsidRPr="00300918">
        <w:rPr>
          <w:szCs w:val="24"/>
        </w:rPr>
        <w:t>considered the use of the revised incidence and prevalence data appropriate</w:t>
      </w:r>
      <w:r w:rsidR="00F4496A" w:rsidRPr="00300918">
        <w:t>.</w:t>
      </w:r>
      <w:r w:rsidR="005A71CE" w:rsidRPr="00300918">
        <w:t xml:space="preserve"> </w:t>
      </w:r>
      <w:r w:rsidR="005A71CE" w:rsidRPr="00300918">
        <w:rPr>
          <w:szCs w:val="24"/>
        </w:rPr>
        <w:t xml:space="preserve">The pre-PBAC response (p3) provided revised financial estimates to incorporate the special pricing arrangement to rebate </w:t>
      </w:r>
      <w:r w:rsidR="0090474F">
        <w:rPr>
          <w:noProof/>
          <w:color w:val="000000"/>
          <w:szCs w:val="24"/>
          <w:highlight w:val="black"/>
        </w:rPr>
        <w:t>''''''''</w:t>
      </w:r>
      <w:r w:rsidR="005A71CE" w:rsidRPr="00300918">
        <w:rPr>
          <w:szCs w:val="24"/>
        </w:rPr>
        <w:t>% of government expenditure which is included Table 11</w:t>
      </w:r>
      <w:r w:rsidR="008E29F0">
        <w:rPr>
          <w:szCs w:val="24"/>
        </w:rPr>
        <w:t xml:space="preserve">. </w:t>
      </w:r>
      <w:r w:rsidR="00F4496A" w:rsidRPr="00300918">
        <w:t xml:space="preserve"> </w:t>
      </w:r>
    </w:p>
    <w:p w:rsidR="0054113C" w:rsidRDefault="0054113C">
      <w:pPr>
        <w:spacing w:before="0" w:line="259" w:lineRule="auto"/>
        <w:rPr>
          <w:rFonts w:ascii="Arial Narrow" w:eastAsia="Calibri" w:hAnsi="Arial Narrow" w:cs="Times New Roman"/>
          <w:b/>
          <w:sz w:val="20"/>
        </w:rPr>
      </w:pPr>
      <w:r>
        <w:rPr>
          <w:rFonts w:ascii="Arial Narrow" w:eastAsia="Calibri" w:hAnsi="Arial Narrow" w:cs="Times New Roman"/>
          <w:b/>
          <w:sz w:val="20"/>
        </w:rPr>
        <w:br w:type="page"/>
      </w:r>
    </w:p>
    <w:p w:rsidR="00F1629D" w:rsidRPr="00300918" w:rsidRDefault="00F1629D" w:rsidP="00F1629D">
      <w:pPr>
        <w:widowControl w:val="0"/>
        <w:spacing w:before="240" w:after="60"/>
        <w:rPr>
          <w:rFonts w:ascii="Arial Narrow" w:eastAsia="Calibri" w:hAnsi="Arial Narrow" w:cs="Times New Roman"/>
          <w:b/>
          <w:sz w:val="20"/>
        </w:rPr>
      </w:pPr>
      <w:r w:rsidRPr="00300918">
        <w:rPr>
          <w:rFonts w:ascii="Arial Narrow" w:eastAsia="Calibri" w:hAnsi="Arial Narrow" w:cs="Times New Roman"/>
          <w:b/>
          <w:sz w:val="20"/>
        </w:rPr>
        <w:t>Table 1</w:t>
      </w:r>
      <w:r w:rsidR="00C52040" w:rsidRPr="00300918">
        <w:rPr>
          <w:rFonts w:ascii="Arial Narrow" w:eastAsia="Calibri" w:hAnsi="Arial Narrow" w:cs="Times New Roman"/>
          <w:b/>
          <w:sz w:val="20"/>
        </w:rPr>
        <w:t>1</w:t>
      </w:r>
      <w:r w:rsidRPr="00300918">
        <w:rPr>
          <w:rFonts w:ascii="Arial Narrow" w:eastAsia="Calibri" w:hAnsi="Arial Narrow" w:cs="Times New Roman"/>
          <w:b/>
          <w:sz w:val="20"/>
        </w:rPr>
        <w:t xml:space="preserve">: Estimated utilisation and cost to the PBS in the first six years of listing </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4"/>
        <w:gridCol w:w="1033"/>
        <w:gridCol w:w="1033"/>
        <w:gridCol w:w="1032"/>
        <w:gridCol w:w="1032"/>
        <w:gridCol w:w="1030"/>
        <w:gridCol w:w="1024"/>
      </w:tblGrid>
      <w:tr w:rsidR="00F1629D" w:rsidRPr="00300918" w:rsidTr="00F1629D">
        <w:trPr>
          <w:tblHeader/>
        </w:trPr>
        <w:tc>
          <w:tcPr>
            <w:tcW w:w="1631" w:type="pct"/>
            <w:tcBorders>
              <w:left w:val="single" w:sz="4" w:space="0" w:color="auto"/>
              <w:bottom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p>
        </w:tc>
        <w:tc>
          <w:tcPr>
            <w:tcW w:w="563" w:type="pct"/>
            <w:tcBorders>
              <w:bottom w:val="single" w:sz="4" w:space="0" w:color="auto"/>
            </w:tcBorders>
            <w:shd w:val="clear" w:color="auto" w:fill="auto"/>
            <w:vAlign w:val="center"/>
          </w:tcPr>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Year 1</w:t>
            </w:r>
          </w:p>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(2018)</w:t>
            </w:r>
          </w:p>
        </w:tc>
        <w:tc>
          <w:tcPr>
            <w:tcW w:w="563" w:type="pct"/>
            <w:tcBorders>
              <w:bottom w:val="single" w:sz="4" w:space="0" w:color="auto"/>
            </w:tcBorders>
            <w:shd w:val="clear" w:color="auto" w:fill="auto"/>
            <w:vAlign w:val="center"/>
          </w:tcPr>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Year 2</w:t>
            </w:r>
          </w:p>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(2019)</w:t>
            </w:r>
          </w:p>
        </w:tc>
        <w:tc>
          <w:tcPr>
            <w:tcW w:w="562" w:type="pct"/>
            <w:tcBorders>
              <w:bottom w:val="single" w:sz="4" w:space="0" w:color="auto"/>
            </w:tcBorders>
            <w:shd w:val="clear" w:color="auto" w:fill="auto"/>
            <w:vAlign w:val="center"/>
          </w:tcPr>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Year 3</w:t>
            </w:r>
          </w:p>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(2020)</w:t>
            </w:r>
          </w:p>
        </w:tc>
        <w:tc>
          <w:tcPr>
            <w:tcW w:w="562" w:type="pct"/>
            <w:tcBorders>
              <w:bottom w:val="single" w:sz="4" w:space="0" w:color="auto"/>
            </w:tcBorders>
            <w:shd w:val="clear" w:color="auto" w:fill="auto"/>
            <w:vAlign w:val="center"/>
          </w:tcPr>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Year 4</w:t>
            </w:r>
          </w:p>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(2021)</w:t>
            </w:r>
          </w:p>
        </w:tc>
        <w:tc>
          <w:tcPr>
            <w:tcW w:w="561" w:type="pct"/>
            <w:tcBorders>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Year 5 (2022)</w:t>
            </w:r>
          </w:p>
        </w:tc>
        <w:tc>
          <w:tcPr>
            <w:tcW w:w="558" w:type="pct"/>
            <w:tcBorders>
              <w:bottom w:val="single" w:sz="4" w:space="0" w:color="auto"/>
              <w:right w:val="single" w:sz="4" w:space="0" w:color="auto"/>
            </w:tcBorders>
            <w:vAlign w:val="center"/>
          </w:tcPr>
          <w:p w:rsidR="00F1629D" w:rsidRPr="00300918" w:rsidRDefault="00F1629D" w:rsidP="00F1629D">
            <w:pPr>
              <w:widowControl w:val="0"/>
              <w:spacing w:before="40" w:after="40"/>
              <w:jc w:val="center"/>
              <w:rPr>
                <w:rFonts w:ascii="Arial Narrow" w:eastAsia="Calibri" w:hAnsi="Arial Narrow" w:cs="Times New Roman"/>
                <w:b/>
                <w:bCs/>
                <w:sz w:val="20"/>
                <w:szCs w:val="20"/>
                <w:lang w:eastAsia="en-AU"/>
              </w:rPr>
            </w:pPr>
            <w:r w:rsidRPr="00300918">
              <w:rPr>
                <w:rFonts w:ascii="Arial Narrow" w:eastAsia="Calibri" w:hAnsi="Arial Narrow" w:cs="Times New Roman"/>
                <w:b/>
                <w:bCs/>
                <w:sz w:val="20"/>
                <w:szCs w:val="20"/>
                <w:lang w:eastAsia="en-AU"/>
              </w:rPr>
              <w:t>Year 6 (2023)</w:t>
            </w:r>
          </w:p>
        </w:tc>
      </w:tr>
      <w:tr w:rsidR="00F1629D" w:rsidRPr="00300918" w:rsidTr="00F1629D">
        <w:tc>
          <w:tcPr>
            <w:tcW w:w="1631" w:type="pct"/>
            <w:tcBorders>
              <w:left w:val="single" w:sz="4" w:space="0" w:color="auto"/>
              <w:bottom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Australian adult population</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61" w:type="pct"/>
            <w:tcBorders>
              <w:right w:val="single" w:sz="4" w:space="0" w:color="auto"/>
            </w:tcBorders>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58" w:type="pct"/>
            <w:tcBorders>
              <w:right w:val="single" w:sz="4" w:space="0" w:color="auto"/>
            </w:tcBorders>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1631" w:type="pct"/>
            <w:tcBorders>
              <w:left w:val="single" w:sz="4" w:space="0" w:color="auto"/>
              <w:bottom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Prevalence of uveitis affected posterior segment (11.55 per 100,000 persons)</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61" w:type="pct"/>
            <w:tcBorders>
              <w:right w:val="single" w:sz="4" w:space="0" w:color="auto"/>
            </w:tcBorders>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c>
          <w:tcPr>
            <w:tcW w:w="558" w:type="pct"/>
            <w:tcBorders>
              <w:right w:val="single" w:sz="4" w:space="0" w:color="auto"/>
            </w:tcBorders>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Times New Roman"/>
                <w:noProof/>
                <w:color w:val="000000"/>
                <w:sz w:val="20"/>
                <w:szCs w:val="20"/>
                <w:highlight w:val="black"/>
              </w:rPr>
              <w:t>''''''''''''</w:t>
            </w:r>
          </w:p>
        </w:tc>
      </w:tr>
      <w:tr w:rsidR="00F1629D" w:rsidRPr="00300918" w:rsidTr="00F1629D">
        <w:tc>
          <w:tcPr>
            <w:tcW w:w="1631" w:type="pct"/>
            <w:tcBorders>
              <w:left w:val="single" w:sz="4" w:space="0" w:color="auto"/>
              <w:bottom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Incidence of uveitis affected posterior segment (3.25 per 100,000 persons)</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Arial"/>
                <w:noProof/>
                <w:color w:val="000000"/>
                <w:sz w:val="20"/>
                <w:szCs w:val="20"/>
                <w:highlight w:val="black"/>
              </w:rPr>
              <w:t>''''''''''</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Arial"/>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Arial"/>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Arial"/>
                <w:noProof/>
                <w:color w:val="000000"/>
                <w:sz w:val="20"/>
                <w:szCs w:val="20"/>
                <w:highlight w:val="black"/>
              </w:rPr>
              <w:t>''''''''</w:t>
            </w:r>
          </w:p>
        </w:tc>
        <w:tc>
          <w:tcPr>
            <w:tcW w:w="561" w:type="pct"/>
            <w:tcBorders>
              <w:right w:val="single" w:sz="4" w:space="0" w:color="auto"/>
            </w:tcBorders>
            <w:shd w:val="clear" w:color="auto" w:fill="auto"/>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Arial"/>
                <w:noProof/>
                <w:color w:val="000000"/>
                <w:sz w:val="20"/>
                <w:szCs w:val="20"/>
                <w:highlight w:val="black"/>
              </w:rPr>
              <w:t>'''''''''</w:t>
            </w:r>
          </w:p>
        </w:tc>
        <w:tc>
          <w:tcPr>
            <w:tcW w:w="558" w:type="pct"/>
            <w:tcBorders>
              <w:right w:val="single" w:sz="4" w:space="0" w:color="auto"/>
            </w:tcBorders>
            <w:vAlign w:val="center"/>
          </w:tcPr>
          <w:p w:rsidR="00F1629D" w:rsidRPr="0090474F" w:rsidRDefault="0090474F" w:rsidP="00F1629D">
            <w:pPr>
              <w:widowControl w:val="0"/>
              <w:spacing w:before="40" w:after="40"/>
              <w:jc w:val="center"/>
              <w:rPr>
                <w:rFonts w:ascii="Arial Narrow" w:eastAsia="Calibri" w:hAnsi="Arial Narrow" w:cs="Times New Roman"/>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left w:val="single" w:sz="4" w:space="0" w:color="auto"/>
              <w:bottom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Total population (prevalent + incident)</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1" w:type="pct"/>
            <w:tcBorders>
              <w:right w:val="single" w:sz="4" w:space="0" w:color="auto"/>
            </w:tcBorders>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58" w:type="pct"/>
            <w:tcBorders>
              <w:right w:val="single" w:sz="4" w:space="0" w:color="auto"/>
            </w:tcBorders>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left w:val="single" w:sz="4" w:space="0" w:color="auto"/>
              <w:bottom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Proportion with non-infectious origin (83.1%)</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1" w:type="pct"/>
            <w:tcBorders>
              <w:right w:val="single" w:sz="4" w:space="0" w:color="auto"/>
            </w:tcBorders>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58" w:type="pct"/>
            <w:tcBorders>
              <w:right w:val="single" w:sz="4" w:space="0" w:color="auto"/>
            </w:tcBorders>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left w:val="single" w:sz="4" w:space="0" w:color="auto"/>
              <w:bottom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Proportion with vision loss (90%)</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3"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1" w:type="pct"/>
            <w:tcBorders>
              <w:right w:val="single" w:sz="4" w:space="0" w:color="auto"/>
            </w:tcBorders>
            <w:shd w:val="clear" w:color="auto" w:fill="auto"/>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58" w:type="pct"/>
            <w:tcBorders>
              <w:right w:val="single" w:sz="4" w:space="0" w:color="auto"/>
            </w:tcBorders>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Expected uptake rate</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F1629D" w:rsidP="00F1629D">
            <w:pPr>
              <w:widowControl w:val="0"/>
              <w:spacing w:before="40" w:after="40"/>
              <w:jc w:val="center"/>
              <w:rPr>
                <w:rFonts w:ascii="Arial Narrow" w:eastAsia="Calibri" w:hAnsi="Arial Narrow" w:cs="Arial"/>
                <w:color w:val="000000"/>
                <w:sz w:val="20"/>
                <w:szCs w:val="20"/>
              </w:rPr>
            </w:pPr>
            <w:r w:rsidRPr="00345C44">
              <w:rPr>
                <w:rFonts w:ascii="Arial Narrow" w:eastAsia="Calibri" w:hAnsi="Arial Narrow" w:cs="Arial"/>
                <w:color w:val="000000"/>
                <w:sz w:val="20"/>
                <w:szCs w:val="20"/>
              </w:rPr>
              <w:t>10%</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F1629D" w:rsidP="00F1629D">
            <w:pPr>
              <w:widowControl w:val="0"/>
              <w:spacing w:before="40" w:after="40"/>
              <w:jc w:val="center"/>
              <w:rPr>
                <w:rFonts w:ascii="Arial Narrow" w:eastAsia="Calibri" w:hAnsi="Arial Narrow" w:cs="Arial"/>
                <w:color w:val="000000"/>
                <w:sz w:val="20"/>
                <w:szCs w:val="20"/>
              </w:rPr>
            </w:pPr>
            <w:r w:rsidRPr="00345C44">
              <w:rPr>
                <w:rFonts w:ascii="Arial Narrow" w:eastAsia="Calibri" w:hAnsi="Arial Narrow" w:cs="Arial"/>
                <w:color w:val="000000"/>
                <w:sz w:val="20"/>
                <w:szCs w:val="20"/>
              </w:rPr>
              <w:t>14%</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F1629D" w:rsidP="00F1629D">
            <w:pPr>
              <w:widowControl w:val="0"/>
              <w:spacing w:before="40" w:after="40"/>
              <w:jc w:val="center"/>
              <w:rPr>
                <w:rFonts w:ascii="Arial Narrow" w:eastAsia="Calibri" w:hAnsi="Arial Narrow" w:cs="Arial"/>
                <w:color w:val="000000"/>
                <w:sz w:val="20"/>
                <w:szCs w:val="20"/>
              </w:rPr>
            </w:pPr>
            <w:r w:rsidRPr="00345C44">
              <w:rPr>
                <w:rFonts w:ascii="Arial Narrow" w:eastAsia="Calibri" w:hAnsi="Arial Narrow" w:cs="Arial"/>
                <w:color w:val="000000"/>
                <w:sz w:val="20"/>
                <w:szCs w:val="20"/>
              </w:rPr>
              <w:t>20%</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F1629D" w:rsidP="00F1629D">
            <w:pPr>
              <w:widowControl w:val="0"/>
              <w:spacing w:before="40" w:after="40"/>
              <w:jc w:val="center"/>
              <w:rPr>
                <w:rFonts w:ascii="Arial Narrow" w:eastAsia="Calibri" w:hAnsi="Arial Narrow" w:cs="Arial"/>
                <w:color w:val="000000"/>
                <w:sz w:val="20"/>
                <w:szCs w:val="20"/>
              </w:rPr>
            </w:pPr>
            <w:r w:rsidRPr="00345C44">
              <w:rPr>
                <w:rFonts w:ascii="Arial Narrow" w:eastAsia="Calibri" w:hAnsi="Arial Narrow" w:cs="Arial"/>
                <w:color w:val="000000"/>
                <w:sz w:val="20"/>
                <w:szCs w:val="20"/>
              </w:rPr>
              <w:t>25%</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F1629D" w:rsidP="00F1629D">
            <w:pPr>
              <w:widowControl w:val="0"/>
              <w:spacing w:before="40" w:after="40"/>
              <w:jc w:val="center"/>
              <w:rPr>
                <w:rFonts w:ascii="Arial Narrow" w:eastAsia="Calibri" w:hAnsi="Arial Narrow" w:cs="Arial"/>
                <w:color w:val="000000"/>
                <w:sz w:val="20"/>
                <w:szCs w:val="20"/>
              </w:rPr>
            </w:pPr>
            <w:r w:rsidRPr="00345C44">
              <w:rPr>
                <w:rFonts w:ascii="Arial Narrow" w:eastAsia="Calibri" w:hAnsi="Arial Narrow" w:cs="Arial"/>
                <w:color w:val="000000"/>
                <w:sz w:val="20"/>
                <w:szCs w:val="20"/>
              </w:rPr>
              <w:t>31%</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F1629D" w:rsidP="00F1629D">
            <w:pPr>
              <w:widowControl w:val="0"/>
              <w:spacing w:before="40" w:after="40"/>
              <w:jc w:val="center"/>
              <w:rPr>
                <w:rFonts w:ascii="Arial Narrow" w:eastAsia="Calibri" w:hAnsi="Arial Narrow" w:cs="Arial"/>
                <w:color w:val="000000"/>
                <w:sz w:val="20"/>
                <w:szCs w:val="20"/>
              </w:rPr>
            </w:pPr>
            <w:r w:rsidRPr="00345C44">
              <w:rPr>
                <w:rFonts w:ascii="Arial Narrow" w:eastAsia="Calibri" w:hAnsi="Arial Narrow" w:cs="Arial"/>
                <w:color w:val="000000"/>
                <w:sz w:val="20"/>
                <w:szCs w:val="20"/>
              </w:rPr>
              <w:t>34%</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b/>
                <w:sz w:val="20"/>
                <w:szCs w:val="20"/>
                <w:lang w:eastAsia="en-AU"/>
              </w:rPr>
            </w:pPr>
            <w:r w:rsidRPr="00300918">
              <w:rPr>
                <w:rFonts w:ascii="Arial Narrow" w:eastAsia="Calibri" w:hAnsi="Arial Narrow" w:cs="Times New Roman"/>
                <w:b/>
                <w:sz w:val="20"/>
                <w:szCs w:val="20"/>
                <w:lang w:eastAsia="en-AU"/>
              </w:rPr>
              <w:t>Treated patient population</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Estimated implants (2.03 per patient)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 xml:space="preserve">Total cost </w:t>
            </w:r>
            <w:r w:rsidRPr="00300918">
              <w:rPr>
                <w:rFonts w:ascii="Arial Narrow" w:eastAsia="Calibri" w:hAnsi="Arial Narrow" w:cs="Times New Roman"/>
                <w:sz w:val="20"/>
                <w:szCs w:val="20"/>
                <w:lang w:eastAsia="en-AU"/>
              </w:rPr>
              <w:br/>
              <w:t>($</w:t>
            </w:r>
            <w:r w:rsidR="0090474F">
              <w:rPr>
                <w:rFonts w:ascii="Arial Narrow" w:eastAsia="Calibri" w:hAnsi="Arial Narrow" w:cs="Times New Roman"/>
                <w:noProof/>
                <w:color w:val="000000"/>
                <w:sz w:val="20"/>
                <w:szCs w:val="20"/>
                <w:highlight w:val="black"/>
                <w:lang w:eastAsia="en-AU"/>
              </w:rPr>
              <w:t>'''''''''''''''''''''</w:t>
            </w:r>
            <w:r w:rsidRPr="00300918">
              <w:rPr>
                <w:rFonts w:ascii="Arial Narrow" w:eastAsia="Calibri" w:hAnsi="Arial Narrow" w:cs="Times New Roman"/>
                <w:sz w:val="20"/>
                <w:szCs w:val="20"/>
                <w:lang w:eastAsia="en-AU"/>
              </w:rPr>
              <w:t xml:space="preserve"> DPMQ per implant)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 xml:space="preserve">Patient co-payments </w:t>
            </w:r>
            <w:r w:rsidRPr="00300918">
              <w:rPr>
                <w:rFonts w:ascii="Arial Narrow" w:eastAsia="Calibri" w:hAnsi="Arial Narrow" w:cs="Times New Roman"/>
                <w:sz w:val="20"/>
                <w:szCs w:val="20"/>
                <w:lang w:eastAsia="en-AU"/>
              </w:rPr>
              <w:br/>
              <w:t>($16.26 per implant)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Cost of anti-glaucoma medications (28.6% of patients, 12 scripts per patient, $19.01 per script)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b/>
                <w:sz w:val="20"/>
                <w:szCs w:val="20"/>
                <w:lang w:eastAsia="en-AU"/>
              </w:rPr>
            </w:pPr>
            <w:r w:rsidRPr="00300918">
              <w:rPr>
                <w:rFonts w:ascii="Arial Narrow" w:eastAsia="Calibri" w:hAnsi="Arial Narrow" w:cs="Times New Roman"/>
                <w:b/>
                <w:sz w:val="20"/>
                <w:szCs w:val="20"/>
                <w:lang w:eastAsia="en-AU"/>
              </w:rPr>
              <w:t>Net cost to the PBS/RPBS</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 xml:space="preserve">Administration cost </w:t>
            </w:r>
            <w:r w:rsidRPr="00300918">
              <w:rPr>
                <w:rFonts w:ascii="Arial Narrow" w:eastAsia="Calibri" w:hAnsi="Arial Narrow" w:cs="Times New Roman"/>
                <w:sz w:val="20"/>
                <w:szCs w:val="20"/>
                <w:lang w:eastAsia="en-AU"/>
              </w:rPr>
              <w:br/>
              <w:t xml:space="preserve">($255.65 per implant) </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sz w:val="20"/>
                <w:szCs w:val="20"/>
                <w:lang w:eastAsia="en-AU"/>
              </w:rPr>
            </w:pPr>
            <w:r w:rsidRPr="00300918">
              <w:rPr>
                <w:rFonts w:ascii="Arial Narrow" w:eastAsia="Calibri" w:hAnsi="Arial Narrow" w:cs="Times New Roman"/>
                <w:sz w:val="20"/>
                <w:szCs w:val="20"/>
                <w:lang w:eastAsia="en-AU"/>
              </w:rPr>
              <w:t xml:space="preserve">Additional monitoring costs  </w:t>
            </w:r>
            <w:r w:rsidRPr="00300918">
              <w:rPr>
                <w:rFonts w:ascii="Arial Narrow" w:eastAsia="Calibri" w:hAnsi="Arial Narrow" w:cs="Times New Roman"/>
                <w:sz w:val="20"/>
                <w:szCs w:val="20"/>
                <w:lang w:eastAsia="en-AU"/>
              </w:rPr>
              <w:br/>
              <w:t>(4 visits per implant, $36.55 per visit)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rPr>
              <w:t>'''''''''''''''''''''''</w:t>
            </w:r>
          </w:p>
        </w:tc>
      </w:tr>
      <w:tr w:rsidR="00F1629D"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F1629D" w:rsidRPr="00300918" w:rsidRDefault="00F1629D" w:rsidP="00F1629D">
            <w:pPr>
              <w:widowControl w:val="0"/>
              <w:spacing w:before="40" w:after="40"/>
              <w:rPr>
                <w:rFonts w:ascii="Arial Narrow" w:eastAsia="Calibri" w:hAnsi="Arial Narrow" w:cs="Times New Roman"/>
                <w:b/>
                <w:sz w:val="20"/>
                <w:szCs w:val="20"/>
                <w:vertAlign w:val="superscript"/>
                <w:lang w:eastAsia="en-AU"/>
              </w:rPr>
            </w:pPr>
            <w:r w:rsidRPr="00300918">
              <w:rPr>
                <w:rFonts w:ascii="Arial Narrow" w:eastAsia="Calibri" w:hAnsi="Arial Narrow" w:cs="Times New Roman"/>
                <w:b/>
                <w:sz w:val="20"/>
                <w:szCs w:val="20"/>
                <w:lang w:eastAsia="en-AU"/>
              </w:rPr>
              <w:t>Total cost to Australian government</w:t>
            </w:r>
            <w:r w:rsidRPr="00300918">
              <w:rPr>
                <w:rFonts w:ascii="Arial Narrow" w:eastAsia="Calibri" w:hAnsi="Arial Narrow" w:cs="Times New Roman"/>
                <w:b/>
                <w:sz w:val="20"/>
                <w:szCs w:val="20"/>
                <w:vertAlign w:val="superscript"/>
                <w:lang w:eastAsia="en-AU"/>
              </w:rPr>
              <w:t>a</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F1629D"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r>
      <w:tr w:rsidR="007647A8" w:rsidRPr="00300918" w:rsidTr="00F1629D">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7647A8" w:rsidRPr="00300918" w:rsidRDefault="007647A8" w:rsidP="00C7795B">
            <w:pPr>
              <w:widowControl w:val="0"/>
              <w:spacing w:before="40" w:after="40"/>
              <w:rPr>
                <w:rFonts w:ascii="Arial Narrow" w:eastAsia="Calibri" w:hAnsi="Arial Narrow" w:cs="Times New Roman"/>
                <w:b/>
                <w:sz w:val="20"/>
                <w:szCs w:val="20"/>
                <w:lang w:eastAsia="en-AU"/>
              </w:rPr>
            </w:pPr>
            <w:r w:rsidRPr="00300918">
              <w:rPr>
                <w:rFonts w:ascii="Arial Narrow" w:eastAsia="Calibri" w:hAnsi="Arial Narrow" w:cs="Times New Roman"/>
                <w:b/>
                <w:sz w:val="20"/>
                <w:szCs w:val="20"/>
                <w:lang w:eastAsia="en-AU"/>
              </w:rPr>
              <w:t xml:space="preserve">Net cost to the PBS/RPBS </w:t>
            </w:r>
          </w:p>
          <w:p w:rsidR="007647A8" w:rsidRPr="00300918" w:rsidRDefault="007647A8" w:rsidP="00F1629D">
            <w:pPr>
              <w:widowControl w:val="0"/>
              <w:spacing w:before="40" w:after="40"/>
              <w:rPr>
                <w:rFonts w:ascii="Arial Narrow" w:eastAsia="Calibri" w:hAnsi="Arial Narrow" w:cs="Times New Roman"/>
                <w:b/>
                <w:sz w:val="20"/>
                <w:szCs w:val="20"/>
                <w:lang w:eastAsia="en-AU"/>
              </w:rPr>
            </w:pPr>
            <w:r w:rsidRPr="00300918">
              <w:rPr>
                <w:rFonts w:ascii="Arial Narrow" w:eastAsia="Calibri" w:hAnsi="Arial Narrow" w:cs="Times New Roman"/>
                <w:b/>
                <w:sz w:val="20"/>
                <w:szCs w:val="20"/>
                <w:lang w:eastAsia="en-AU"/>
              </w:rPr>
              <w:t>(revised in PSCR)</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r>
      <w:tr w:rsidR="00854367" w:rsidRPr="00300918" w:rsidTr="00500551">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854367" w:rsidRPr="00300918" w:rsidRDefault="00854367" w:rsidP="00335967">
            <w:pPr>
              <w:widowControl w:val="0"/>
              <w:spacing w:before="40" w:after="40"/>
              <w:rPr>
                <w:rFonts w:ascii="Arial Narrow" w:eastAsia="Calibri" w:hAnsi="Arial Narrow" w:cs="Times New Roman"/>
                <w:b/>
                <w:sz w:val="20"/>
                <w:szCs w:val="20"/>
                <w:lang w:eastAsia="en-AU"/>
              </w:rPr>
            </w:pPr>
            <w:r w:rsidRPr="00300918">
              <w:rPr>
                <w:rFonts w:ascii="Arial Narrow" w:eastAsia="Calibri" w:hAnsi="Arial Narrow" w:cs="Times New Roman"/>
                <w:b/>
                <w:sz w:val="20"/>
                <w:szCs w:val="20"/>
                <w:lang w:eastAsia="en-AU"/>
              </w:rPr>
              <w:t xml:space="preserve">Net cost to the PBS/RPBS </w:t>
            </w:r>
          </w:p>
          <w:p w:rsidR="00854367" w:rsidRPr="00300918" w:rsidRDefault="00854367" w:rsidP="00291AE3">
            <w:pPr>
              <w:widowControl w:val="0"/>
              <w:spacing w:before="40" w:after="40"/>
              <w:rPr>
                <w:rFonts w:ascii="Arial Narrow" w:eastAsia="Calibri" w:hAnsi="Arial Narrow" w:cs="Times New Roman"/>
                <w:b/>
                <w:sz w:val="20"/>
                <w:szCs w:val="20"/>
                <w:vertAlign w:val="superscript"/>
                <w:lang w:eastAsia="en-AU"/>
              </w:rPr>
            </w:pPr>
            <w:r w:rsidRPr="00300918">
              <w:rPr>
                <w:rFonts w:ascii="Arial Narrow" w:eastAsia="Calibri" w:hAnsi="Arial Narrow" w:cs="Times New Roman"/>
                <w:b/>
                <w:sz w:val="20"/>
                <w:szCs w:val="20"/>
                <w:lang w:eastAsia="en-AU"/>
              </w:rPr>
              <w:t xml:space="preserve">(revised </w:t>
            </w:r>
            <w:r w:rsidR="00291AE3" w:rsidRPr="00300918">
              <w:rPr>
                <w:rFonts w:ascii="Arial Narrow" w:eastAsia="Calibri" w:hAnsi="Arial Narrow" w:cs="Times New Roman"/>
                <w:b/>
                <w:sz w:val="20"/>
                <w:szCs w:val="20"/>
                <w:lang w:eastAsia="en-AU"/>
              </w:rPr>
              <w:t>in pre-PBAC response</w:t>
            </w:r>
            <w:r w:rsidRPr="00300918">
              <w:rPr>
                <w:rFonts w:ascii="Arial Narrow" w:eastAsia="Calibri" w:hAnsi="Arial Narrow" w:cs="Times New Roman"/>
                <w:b/>
                <w:sz w:val="20"/>
                <w:szCs w:val="20"/>
                <w:lang w:eastAsia="en-AU"/>
              </w:rPr>
              <w:t>)</w:t>
            </w:r>
            <w:r w:rsidR="00C60D37" w:rsidRPr="00300918">
              <w:rPr>
                <w:rFonts w:ascii="Arial Narrow" w:eastAsia="Calibri" w:hAnsi="Arial Narrow" w:cs="Times New Roman"/>
                <w:b/>
                <w:sz w:val="20"/>
                <w:szCs w:val="20"/>
                <w:vertAlign w:val="superscript"/>
                <w:lang w:eastAsia="en-AU"/>
              </w:rPr>
              <w:t>b</w:t>
            </w:r>
          </w:p>
        </w:tc>
        <w:tc>
          <w:tcPr>
            <w:tcW w:w="563" w:type="pct"/>
            <w:tcBorders>
              <w:top w:val="single" w:sz="4" w:space="0" w:color="auto"/>
              <w:left w:val="single" w:sz="4" w:space="0" w:color="auto"/>
              <w:bottom w:val="single" w:sz="4" w:space="0" w:color="auto"/>
              <w:right w:val="single" w:sz="4" w:space="0" w:color="auto"/>
            </w:tcBorders>
            <w:shd w:val="clear" w:color="000000" w:fill="FFFFFF"/>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r>
      <w:tr w:rsidR="007647A8" w:rsidRPr="00300918" w:rsidTr="007647A8">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7647A8" w:rsidRPr="00300918" w:rsidRDefault="007647A8" w:rsidP="00F1629D">
            <w:pPr>
              <w:widowControl w:val="0"/>
              <w:spacing w:before="40" w:after="40"/>
              <w:rPr>
                <w:rFonts w:ascii="Arial Narrow" w:eastAsia="Calibri" w:hAnsi="Arial Narrow" w:cs="Times New Roman"/>
                <w:b/>
                <w:sz w:val="20"/>
                <w:szCs w:val="20"/>
                <w:vertAlign w:val="superscript"/>
                <w:lang w:eastAsia="en-AU"/>
              </w:rPr>
            </w:pPr>
            <w:r w:rsidRPr="00300918">
              <w:rPr>
                <w:rFonts w:ascii="Arial Narrow" w:eastAsia="Calibri" w:hAnsi="Arial Narrow" w:cs="Times New Roman"/>
                <w:b/>
                <w:sz w:val="20"/>
                <w:szCs w:val="20"/>
                <w:lang w:eastAsia="en-AU"/>
              </w:rPr>
              <w:t>Total cost to Australian government</w:t>
            </w:r>
          </w:p>
          <w:p w:rsidR="007647A8" w:rsidRPr="00300918" w:rsidRDefault="007647A8" w:rsidP="00F1629D">
            <w:pPr>
              <w:widowControl w:val="0"/>
              <w:spacing w:before="40" w:after="40"/>
              <w:rPr>
                <w:rFonts w:ascii="Arial Narrow" w:eastAsia="Calibri" w:hAnsi="Arial Narrow" w:cs="Times New Roman"/>
                <w:b/>
                <w:sz w:val="20"/>
                <w:szCs w:val="20"/>
                <w:lang w:eastAsia="en-AU"/>
              </w:rPr>
            </w:pPr>
            <w:r w:rsidRPr="00300918">
              <w:rPr>
                <w:rFonts w:ascii="Arial Narrow" w:eastAsia="Calibri" w:hAnsi="Arial Narrow" w:cs="Times New Roman"/>
                <w:b/>
                <w:sz w:val="20"/>
                <w:szCs w:val="20"/>
                <w:lang w:eastAsia="en-AU"/>
              </w:rPr>
              <w:t>(using revised PSCR net cost to PBS/RPBS)</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bottom"/>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bottom"/>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bottom"/>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bottom"/>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bottom"/>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bottom"/>
          </w:tcPr>
          <w:p w:rsidR="007647A8"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r>
      <w:tr w:rsidR="00854367" w:rsidRPr="00300918" w:rsidTr="00500551">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854367" w:rsidRPr="00300918" w:rsidRDefault="00854367" w:rsidP="00335967">
            <w:pPr>
              <w:widowControl w:val="0"/>
              <w:spacing w:before="40" w:after="40"/>
              <w:rPr>
                <w:rFonts w:ascii="Arial Narrow" w:eastAsia="Calibri" w:hAnsi="Arial Narrow" w:cs="Times New Roman"/>
                <w:b/>
                <w:sz w:val="20"/>
                <w:szCs w:val="20"/>
                <w:vertAlign w:val="superscript"/>
                <w:lang w:eastAsia="en-AU"/>
              </w:rPr>
            </w:pPr>
            <w:r w:rsidRPr="00300918">
              <w:rPr>
                <w:rFonts w:ascii="Arial Narrow" w:eastAsia="Calibri" w:hAnsi="Arial Narrow" w:cs="Times New Roman"/>
                <w:b/>
                <w:sz w:val="20"/>
                <w:szCs w:val="20"/>
                <w:lang w:eastAsia="en-AU"/>
              </w:rPr>
              <w:t>Total cost to Australian government</w:t>
            </w:r>
          </w:p>
          <w:p w:rsidR="00854367" w:rsidRPr="00300918" w:rsidRDefault="00854367" w:rsidP="00335967">
            <w:pPr>
              <w:widowControl w:val="0"/>
              <w:spacing w:before="40" w:after="40"/>
              <w:rPr>
                <w:rFonts w:ascii="Arial Narrow" w:eastAsia="Calibri" w:hAnsi="Arial Narrow" w:cs="Times New Roman"/>
                <w:b/>
                <w:sz w:val="20"/>
                <w:szCs w:val="20"/>
                <w:vertAlign w:val="superscript"/>
                <w:lang w:eastAsia="en-AU"/>
              </w:rPr>
            </w:pPr>
            <w:r w:rsidRPr="00300918">
              <w:rPr>
                <w:rFonts w:ascii="Arial Narrow" w:eastAsia="Calibri" w:hAnsi="Arial Narrow" w:cs="Times New Roman"/>
                <w:b/>
                <w:sz w:val="20"/>
                <w:szCs w:val="20"/>
                <w:lang w:eastAsia="en-AU"/>
              </w:rPr>
              <w:t>(</w:t>
            </w:r>
            <w:r w:rsidR="00291AE3" w:rsidRPr="00300918">
              <w:rPr>
                <w:rFonts w:ascii="Arial Narrow" w:eastAsia="Calibri" w:hAnsi="Arial Narrow" w:cs="Times New Roman"/>
                <w:b/>
                <w:sz w:val="20"/>
                <w:szCs w:val="20"/>
                <w:lang w:eastAsia="en-AU"/>
              </w:rPr>
              <w:t>revised in pre-PBAC response</w:t>
            </w:r>
            <w:r w:rsidRPr="00300918">
              <w:rPr>
                <w:rFonts w:ascii="Arial Narrow" w:eastAsia="Calibri" w:hAnsi="Arial Narrow" w:cs="Times New Roman"/>
                <w:b/>
                <w:sz w:val="20"/>
                <w:szCs w:val="20"/>
                <w:lang w:eastAsia="en-AU"/>
              </w:rPr>
              <w:t>)</w:t>
            </w:r>
            <w:r w:rsidR="00C60D37" w:rsidRPr="00300918">
              <w:rPr>
                <w:rFonts w:ascii="Arial Narrow" w:eastAsia="Calibri" w:hAnsi="Arial Narrow" w:cs="Times New Roman"/>
                <w:b/>
                <w:sz w:val="20"/>
                <w:szCs w:val="20"/>
                <w:vertAlign w:val="superscript"/>
                <w:lang w:eastAsia="en-AU"/>
              </w:rPr>
              <w:t>b</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854367" w:rsidRPr="0090474F" w:rsidRDefault="0090474F" w:rsidP="00F1629D">
            <w:pPr>
              <w:widowControl w:val="0"/>
              <w:spacing w:before="40" w:after="40"/>
              <w:jc w:val="center"/>
              <w:rPr>
                <w:rFonts w:ascii="Arial Narrow" w:eastAsia="Calibri" w:hAnsi="Arial Narrow" w:cs="Arial"/>
                <w:b/>
                <w:color w:val="000000"/>
                <w:sz w:val="20"/>
                <w:szCs w:val="20"/>
                <w:highlight w:val="black"/>
              </w:rPr>
            </w:pPr>
            <w:r>
              <w:rPr>
                <w:rFonts w:ascii="Arial Narrow" w:eastAsia="Calibri" w:hAnsi="Arial Narrow" w:cs="Arial"/>
                <w:b/>
                <w:noProof/>
                <w:color w:val="000000"/>
                <w:sz w:val="20"/>
                <w:szCs w:val="20"/>
                <w:highlight w:val="black"/>
              </w:rPr>
              <w:t>''''''''''''''''''''</w:t>
            </w:r>
          </w:p>
        </w:tc>
      </w:tr>
    </w:tbl>
    <w:p w:rsidR="00F1629D" w:rsidRPr="00300918" w:rsidRDefault="00F1629D" w:rsidP="00F1629D">
      <w:pPr>
        <w:widowControl w:val="0"/>
        <w:spacing w:before="0" w:after="24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Abbreviations: DPMQ, dispensed price per maximum quantity; PBS, Pharmaceutical Benefits Scheme;</w:t>
      </w:r>
      <w:r w:rsidR="003122F6" w:rsidRPr="00300918">
        <w:rPr>
          <w:rFonts w:ascii="Arial Narrow" w:eastAsia="Times New Roman" w:hAnsi="Arial Narrow" w:cs="Arial"/>
          <w:snapToGrid w:val="0"/>
          <w:sz w:val="18"/>
          <w:szCs w:val="20"/>
        </w:rPr>
        <w:t xml:space="preserve"> PSCR, Pre-Sub-Committee Response;</w:t>
      </w:r>
      <w:r w:rsidRPr="00300918">
        <w:rPr>
          <w:rFonts w:ascii="Arial Narrow" w:eastAsia="Times New Roman" w:hAnsi="Arial Narrow" w:cs="Arial"/>
          <w:snapToGrid w:val="0"/>
          <w:sz w:val="18"/>
          <w:szCs w:val="20"/>
        </w:rPr>
        <w:t xml:space="preserve"> RPBS, Repatriation Pharmaceutical Benefits Scheme </w:t>
      </w:r>
    </w:p>
    <w:p w:rsidR="00F1629D" w:rsidRPr="00300918" w:rsidRDefault="00F1629D" w:rsidP="00F1629D">
      <w:pPr>
        <w:widowControl w:val="0"/>
        <w:spacing w:before="0" w:after="240"/>
        <w:contextualSpacing/>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rPr>
        <w:t>Source: Table 4-6 (p 143), Table 4-7 (p 144), Table 4-8 (p 144), Table 4-9 (p 145), Table 4-13 (p 146), Table 4-17 (p 148), Table 4-18 (p 149), Table 4-24 (p 152), Table 4-25 (p 153), Table 4-26 (p 153), Table 4-27 (p 153) of the submission</w:t>
      </w:r>
    </w:p>
    <w:p w:rsidR="006D2A66" w:rsidRPr="00300918" w:rsidRDefault="00F1629D" w:rsidP="00C60D37">
      <w:pPr>
        <w:widowControl w:val="0"/>
        <w:spacing w:before="0" w:after="0"/>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vertAlign w:val="superscript"/>
        </w:rPr>
        <w:t>a</w:t>
      </w:r>
      <w:r w:rsidRPr="00300918">
        <w:rPr>
          <w:rFonts w:ascii="Arial Narrow" w:eastAsia="Times New Roman" w:hAnsi="Arial Narrow" w:cs="Arial"/>
          <w:snapToGrid w:val="0"/>
          <w:sz w:val="18"/>
          <w:szCs w:val="20"/>
        </w:rPr>
        <w:t xml:space="preserve"> The estimated total cost to the Australian government incorrectly used the 100% MBS schedule fee rather than the 85% benefit value for monitoring and administration costs in the submission. These values were corrected during the evaluation.</w:t>
      </w:r>
    </w:p>
    <w:p w:rsidR="00C60D37" w:rsidRPr="00300918" w:rsidRDefault="00C60D37" w:rsidP="00C60D37">
      <w:pPr>
        <w:widowControl w:val="0"/>
        <w:spacing w:before="0" w:after="0"/>
        <w:jc w:val="both"/>
        <w:rPr>
          <w:rFonts w:ascii="Arial Narrow" w:eastAsia="Times New Roman" w:hAnsi="Arial Narrow" w:cs="Arial"/>
          <w:snapToGrid w:val="0"/>
          <w:sz w:val="18"/>
          <w:szCs w:val="20"/>
        </w:rPr>
      </w:pPr>
      <w:r w:rsidRPr="00300918">
        <w:rPr>
          <w:rFonts w:ascii="Arial Narrow" w:eastAsia="Times New Roman" w:hAnsi="Arial Narrow" w:cs="Arial"/>
          <w:snapToGrid w:val="0"/>
          <w:sz w:val="18"/>
          <w:szCs w:val="20"/>
          <w:vertAlign w:val="superscript"/>
        </w:rPr>
        <w:t>b</w:t>
      </w:r>
      <w:r w:rsidRPr="00300918">
        <w:rPr>
          <w:rFonts w:ascii="Arial Narrow" w:eastAsia="Times New Roman" w:hAnsi="Arial Narrow" w:cs="Arial"/>
          <w:snapToGrid w:val="0"/>
          <w:sz w:val="18"/>
          <w:szCs w:val="20"/>
        </w:rPr>
        <w:t xml:space="preserve"> Costs includes special pricing arrangement proposal, revised prevalence and uptake rates from PSCR and 85% MBS schedule fees from ESC Advice.</w:t>
      </w:r>
    </w:p>
    <w:p w:rsidR="00C52040" w:rsidRPr="00300918" w:rsidRDefault="006565C7" w:rsidP="00564892">
      <w:pPr>
        <w:numPr>
          <w:ilvl w:val="1"/>
          <w:numId w:val="1"/>
        </w:numPr>
        <w:ind w:left="709" w:hanging="709"/>
        <w:jc w:val="both"/>
      </w:pPr>
      <w:r w:rsidRPr="00300918">
        <w:t>Based on the revised financial estimate</w:t>
      </w:r>
      <w:r w:rsidR="005D1EBD" w:rsidRPr="00300918">
        <w:t>s</w:t>
      </w:r>
      <w:r w:rsidRPr="00300918">
        <w:t xml:space="preserve"> from the </w:t>
      </w:r>
      <w:r w:rsidR="00CB1D62" w:rsidRPr="00300918">
        <w:t xml:space="preserve">pre-PBAC response </w:t>
      </w:r>
      <w:r w:rsidRPr="00300918">
        <w:t>(p</w:t>
      </w:r>
      <w:r w:rsidR="00CB1D62" w:rsidRPr="00300918">
        <w:t>3</w:t>
      </w:r>
      <w:r w:rsidRPr="00300918">
        <w:t xml:space="preserve">), </w:t>
      </w:r>
      <w:r w:rsidR="00A25D36" w:rsidRPr="00300918">
        <w:t xml:space="preserve">in year 6 the </w:t>
      </w:r>
      <w:r w:rsidR="00A25D36" w:rsidRPr="00300918">
        <w:rPr>
          <w:rFonts w:cs="Arial"/>
          <w:bCs/>
          <w:snapToGrid w:val="0"/>
        </w:rPr>
        <w:t>estimated</w:t>
      </w:r>
      <w:r w:rsidR="00A25D36" w:rsidRPr="00300918">
        <w:t xml:space="preserve"> number of patients was </w:t>
      </w:r>
      <w:r w:rsidR="00277EEA" w:rsidRPr="00345C44">
        <w:t>less than 10,000 per year</w:t>
      </w:r>
      <w:r w:rsidR="00A25D36" w:rsidRPr="00300918">
        <w:t xml:space="preserve"> and the </w:t>
      </w:r>
      <w:r w:rsidRPr="00300918">
        <w:t xml:space="preserve">net cost to the PBS/RPBS would be </w:t>
      </w:r>
      <w:r w:rsidR="00277EEA" w:rsidRPr="00345C44">
        <w:t>less than $10 million per year</w:t>
      </w:r>
      <w:r w:rsidRPr="00300918">
        <w:t xml:space="preserve">. </w:t>
      </w:r>
    </w:p>
    <w:p w:rsidR="00F1629D" w:rsidRPr="00300918" w:rsidRDefault="00C02356" w:rsidP="00564892">
      <w:pPr>
        <w:numPr>
          <w:ilvl w:val="1"/>
          <w:numId w:val="1"/>
        </w:numPr>
        <w:ind w:left="709" w:hanging="709"/>
        <w:jc w:val="both"/>
      </w:pPr>
      <w:r w:rsidRPr="00300918">
        <w:t xml:space="preserve">The PBAC </w:t>
      </w:r>
      <w:r w:rsidRPr="00300918">
        <w:rPr>
          <w:rFonts w:cs="Arial"/>
          <w:bCs/>
          <w:snapToGrid w:val="0"/>
        </w:rPr>
        <w:t>noted</w:t>
      </w:r>
      <w:r w:rsidRPr="00300918">
        <w:t xml:space="preserve"> that t</w:t>
      </w:r>
      <w:r w:rsidR="00F1629D" w:rsidRPr="00300918">
        <w:t>he estimated utilisation and financial implications were uncertain due to the following issues:</w:t>
      </w:r>
    </w:p>
    <w:p w:rsidR="00F1629D" w:rsidRPr="00300918" w:rsidRDefault="00F1629D" w:rsidP="008B53B3">
      <w:pPr>
        <w:numPr>
          <w:ilvl w:val="0"/>
          <w:numId w:val="13"/>
        </w:numPr>
        <w:ind w:left="1134" w:hanging="425"/>
        <w:jc w:val="both"/>
      </w:pPr>
      <w:r w:rsidRPr="00300918">
        <w:t>The identification and selection of epidemiology estimates was poorly documented in the submission. Most estimates were derived from older data sources in various international settings that may not be relevant to current Australian clinical practice. The most recent Australian data identified in the submission suggested a much higher incidence and prevalence of disease compared to the estimates used in the submission. Overall, it appeared likely that the submission has underestimated the size of population affected by posterior non-infectious uveitis.</w:t>
      </w:r>
      <w:r w:rsidR="004B1C07" w:rsidRPr="00300918">
        <w:t xml:space="preserve"> Th</w:t>
      </w:r>
      <w:r w:rsidR="00D563CC" w:rsidRPr="00300918">
        <w:t xml:space="preserve">e </w:t>
      </w:r>
      <w:r w:rsidR="00A25D36" w:rsidRPr="00300918">
        <w:t>PBAC</w:t>
      </w:r>
      <w:r w:rsidR="00D563CC" w:rsidRPr="00300918">
        <w:t xml:space="preserve"> noted this had been</w:t>
      </w:r>
      <w:r w:rsidR="004B1C07" w:rsidRPr="00300918">
        <w:t xml:space="preserve"> recognised and addressed by the sponsor in the PSCR </w:t>
      </w:r>
      <w:r w:rsidR="00901236" w:rsidRPr="00300918">
        <w:t>(p6</w:t>
      </w:r>
      <w:r w:rsidR="00D563CC" w:rsidRPr="00300918">
        <w:t xml:space="preserve">) </w:t>
      </w:r>
      <w:r w:rsidR="004B1C07" w:rsidRPr="00300918">
        <w:t>and the financial estimates updated</w:t>
      </w:r>
      <w:r w:rsidR="008E29F0">
        <w:t xml:space="preserve">. </w:t>
      </w:r>
    </w:p>
    <w:p w:rsidR="00F1629D" w:rsidRPr="00300918" w:rsidRDefault="00F1629D" w:rsidP="008B53B3">
      <w:pPr>
        <w:numPr>
          <w:ilvl w:val="0"/>
          <w:numId w:val="13"/>
        </w:numPr>
        <w:ind w:left="1100" w:hanging="380"/>
        <w:jc w:val="both"/>
      </w:pPr>
      <w:r w:rsidRPr="00300918">
        <w:t xml:space="preserve">The submission may have overestimated the proportion of posterior segment non-infectious uveitis patients suitable for dexamethasone implant. Expert advice for the sponsor’s advisory panel indicated that only 10-20% of patients with posterior non-infectious uveitis would be suitable for treatment with dexamethasone implant in clinical practice (although it was unclear what clinical characteristics were included in this consideration). </w:t>
      </w:r>
      <w:r w:rsidR="00AC3CE4" w:rsidRPr="00300918">
        <w:t>This would reduce the financial estimates.</w:t>
      </w:r>
    </w:p>
    <w:p w:rsidR="00F1629D" w:rsidRPr="00300918" w:rsidRDefault="00F1629D" w:rsidP="008B53B3">
      <w:pPr>
        <w:numPr>
          <w:ilvl w:val="0"/>
          <w:numId w:val="13"/>
        </w:numPr>
        <w:ind w:left="1100" w:hanging="380"/>
        <w:jc w:val="both"/>
      </w:pPr>
      <w:r w:rsidRPr="00300918">
        <w:t xml:space="preserve">The submission claimed that the estimated uptake rates were consistent with expert advice. These estimates could not be validated during the evaluation as the expert report did not appear to consider numerical uptake rates. </w:t>
      </w:r>
      <w:r w:rsidR="00524D1A" w:rsidRPr="00300918">
        <w:t xml:space="preserve">If approved for listing, dexamethasone implant would be the first PBS listed therapy available for non-infectious posterior segment uveitis. </w:t>
      </w:r>
      <w:r w:rsidRPr="00300918">
        <w:t>The estimate</w:t>
      </w:r>
      <w:r w:rsidR="00524D1A" w:rsidRPr="00300918">
        <w:t>d uptake rates</w:t>
      </w:r>
      <w:r w:rsidRPr="00300918">
        <w:t xml:space="preserve"> may be reasonable in a patient population with other existing treatment options available but </w:t>
      </w:r>
      <w:r w:rsidR="00AC3CE4" w:rsidRPr="00300918">
        <w:t xml:space="preserve">are likely to be underestimates </w:t>
      </w:r>
      <w:r w:rsidRPr="00300918">
        <w:t>in a patient population with high clinical need for a new treatment.</w:t>
      </w:r>
    </w:p>
    <w:p w:rsidR="00F1629D" w:rsidRPr="00300918" w:rsidRDefault="00F1629D" w:rsidP="008B53B3">
      <w:pPr>
        <w:numPr>
          <w:ilvl w:val="0"/>
          <w:numId w:val="13"/>
        </w:numPr>
        <w:ind w:left="1100" w:hanging="380"/>
        <w:jc w:val="both"/>
      </w:pPr>
      <w:r w:rsidRPr="00300918">
        <w:t xml:space="preserve">The submission estimated that patients would use </w:t>
      </w:r>
      <w:r w:rsidRPr="00B32B31">
        <w:t>2.03</w:t>
      </w:r>
      <w:r w:rsidRPr="00300918">
        <w:t xml:space="preserve"> implants per year based on values derived from the economic model using a one-year time horizon. When the error in the model was corrected (error in application of probability of retreatment with dexamethasone implant), the economic model with a one-year time horizon provides an estimate of </w:t>
      </w:r>
      <w:r w:rsidRPr="00B32B31">
        <w:t>2.22</w:t>
      </w:r>
      <w:r w:rsidRPr="00300918">
        <w:t xml:space="preserve"> implants per year. </w:t>
      </w:r>
      <w:r w:rsidR="00E560B9" w:rsidRPr="00300918">
        <w:t xml:space="preserve">The </w:t>
      </w:r>
      <w:r w:rsidR="00A25D36" w:rsidRPr="00300918">
        <w:t>PBAC</w:t>
      </w:r>
      <w:r w:rsidR="00E560B9" w:rsidRPr="00300918">
        <w:t xml:space="preserve"> considered the number of implants used </w:t>
      </w:r>
      <w:r w:rsidR="0063671B" w:rsidRPr="00300918">
        <w:t>in the estimates to be reasonable.</w:t>
      </w:r>
    </w:p>
    <w:p w:rsidR="00F1629D" w:rsidRPr="00300918" w:rsidRDefault="00F1629D" w:rsidP="008B53B3">
      <w:pPr>
        <w:pStyle w:val="Heading2"/>
        <w:spacing w:before="120" w:after="160"/>
        <w:rPr>
          <w:i w:val="0"/>
        </w:rPr>
      </w:pPr>
      <w:bookmarkStart w:id="43" w:name="_Toc490486488"/>
      <w:bookmarkStart w:id="44" w:name="_Toc492995319"/>
      <w:r w:rsidRPr="00300918">
        <w:rPr>
          <w:i w:val="0"/>
        </w:rPr>
        <w:t>Quality use of medicines</w:t>
      </w:r>
      <w:bookmarkEnd w:id="43"/>
      <w:bookmarkEnd w:id="44"/>
    </w:p>
    <w:p w:rsidR="00F1629D" w:rsidRPr="00300918" w:rsidRDefault="00F1629D" w:rsidP="00564892">
      <w:pPr>
        <w:numPr>
          <w:ilvl w:val="1"/>
          <w:numId w:val="1"/>
        </w:numPr>
        <w:ind w:left="709" w:hanging="709"/>
        <w:jc w:val="both"/>
      </w:pPr>
      <w:r w:rsidRPr="00300918">
        <w:t>The submission indicated that the sponsor will continue to undertake pharmacovigilance and risk management activities to support the appropriate use of dexamethasone implant in clinical practice. The submission noted that existing activities are focused around diabetic macular oedema and no new activities are proposed for uveitis.</w:t>
      </w:r>
    </w:p>
    <w:p w:rsidR="00DF1BB0" w:rsidRPr="00300918" w:rsidRDefault="00BA438A" w:rsidP="00BA438A">
      <w:pPr>
        <w:ind w:firstLine="720"/>
        <w:rPr>
          <w:i/>
        </w:rPr>
      </w:pPr>
      <w:r w:rsidRPr="00300918">
        <w:rPr>
          <w:i/>
        </w:rPr>
        <w:t>For more detail on PBAC’s view, see section 7 PBAC outcome.</w:t>
      </w:r>
    </w:p>
    <w:p w:rsidR="00444CE0" w:rsidRPr="00300918" w:rsidRDefault="00444CE0" w:rsidP="00444CE0">
      <w:pPr>
        <w:pStyle w:val="Heading1"/>
        <w:numPr>
          <w:ilvl w:val="0"/>
          <w:numId w:val="1"/>
        </w:numPr>
        <w:ind w:left="709" w:hanging="709"/>
        <w:rPr>
          <w:rFonts w:cs="Arial"/>
          <w:b w:val="0"/>
          <w:bCs/>
          <w:snapToGrid w:val="0"/>
        </w:rPr>
      </w:pPr>
      <w:r w:rsidRPr="00300918">
        <w:t>PBAC</w:t>
      </w:r>
      <w:r w:rsidRPr="00300918">
        <w:rPr>
          <w:rFonts w:cs="Arial"/>
          <w:bCs/>
          <w:snapToGrid w:val="0"/>
        </w:rPr>
        <w:t xml:space="preserve"> Outcome</w:t>
      </w:r>
    </w:p>
    <w:p w:rsidR="00444CE0" w:rsidRPr="00300918" w:rsidRDefault="00444CE0" w:rsidP="00564892">
      <w:pPr>
        <w:numPr>
          <w:ilvl w:val="1"/>
          <w:numId w:val="1"/>
        </w:numPr>
        <w:ind w:left="709" w:hanging="709"/>
        <w:jc w:val="both"/>
        <w:rPr>
          <w:rFonts w:cs="Arial"/>
          <w:bCs/>
          <w:snapToGrid w:val="0"/>
        </w:rPr>
      </w:pPr>
      <w:r w:rsidRPr="00300918">
        <w:rPr>
          <w:rFonts w:cs="Arial"/>
          <w:bCs/>
          <w:snapToGrid w:val="0"/>
        </w:rPr>
        <w:t>The PBAC recommended the Authority Required listing of dexamethasone implant for the treatment of non-infectious uveitis affecting the posterior segment of the eye</w:t>
      </w:r>
      <w:r w:rsidR="006963AF" w:rsidRPr="00300918">
        <w:rPr>
          <w:rFonts w:cs="Arial"/>
          <w:bCs/>
          <w:snapToGrid w:val="0"/>
        </w:rPr>
        <w:t xml:space="preserve"> where systemic therapy or further intensification of systemic therapy is not required or contraindicated</w:t>
      </w:r>
      <w:r w:rsidRPr="00300918">
        <w:rPr>
          <w:rFonts w:cs="Arial"/>
          <w:bCs/>
          <w:snapToGrid w:val="0"/>
        </w:rPr>
        <w:t xml:space="preserve">. </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 xml:space="preserve">The PBAC is satisfied that dexamethasone implant provides, for some patients, a significant improvement in efficacy compared with </w:t>
      </w:r>
      <w:r w:rsidR="006963AF" w:rsidRPr="00300918">
        <w:rPr>
          <w:rFonts w:cs="Arial"/>
          <w:bCs/>
          <w:snapToGrid w:val="0"/>
        </w:rPr>
        <w:t>standard of care</w:t>
      </w:r>
      <w:r w:rsidRPr="00300918">
        <w:rPr>
          <w:rFonts w:cs="Arial"/>
          <w:bCs/>
          <w:snapToGrid w:val="0"/>
        </w:rPr>
        <w:t xml:space="preserve">. </w:t>
      </w:r>
      <w:r w:rsidR="006963AF" w:rsidRPr="00300918">
        <w:rPr>
          <w:rFonts w:cs="Arial"/>
          <w:bCs/>
          <w:snapToGrid w:val="0"/>
        </w:rPr>
        <w:t>The PBAC’s recommendation for listing was based on, among other matters, its assessment, as described above, that the cost-effectiveness of dexamethasone implant would be acceptable at the price proposed in the submission.</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 xml:space="preserve">The PBAC advised the restriction should be an Authority Required </w:t>
      </w:r>
      <w:r w:rsidR="00CF07F0">
        <w:rPr>
          <w:rFonts w:cs="Arial"/>
          <w:bCs/>
          <w:snapToGrid w:val="0"/>
        </w:rPr>
        <w:t xml:space="preserve">(Telephone) </w:t>
      </w:r>
      <w:r w:rsidRPr="00300918">
        <w:rPr>
          <w:rFonts w:cs="Arial"/>
          <w:bCs/>
          <w:snapToGrid w:val="0"/>
        </w:rPr>
        <w:t xml:space="preserve">listing. </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 xml:space="preserve">The PBAC accepted that there is a clinical need for dexamethasone implant as there are currently no approved or reimbursed local therapies for the treatment of non-infectious posterior segment uveitis. </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 xml:space="preserve">The PBAC noted that the use of sham (placebo with the use of rescue medicines) as a proxy for standard care was the main comparator nominated in the submission based on the HURON trial. The PBAC also noted that censoring of data occurred at the point of rescue therapy being required in both arms in the trial. The PBAC considered that in clinical practice, patients will have access to a range of local corticosteroids (periocular injections or intravitreal injections) or systemic therapies to manage uveitis. As a result, the PBAC considered that the sham treatment arm in the HURON trial may not represent current true standard care for posterior segment uveitis. </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 xml:space="preserve">The PBAC noted that intravitreal triamcinolone acetonide was nominated as a secondary comparator as dexamethasone may replace unregistered or off-label use of this medicine. The PBAC considered this comparator was appropriate but the indirect comparison </w:t>
      </w:r>
      <w:r w:rsidR="004D471C" w:rsidRPr="00300918">
        <w:rPr>
          <w:rFonts w:cs="Arial"/>
          <w:bCs/>
          <w:snapToGrid w:val="0"/>
        </w:rPr>
        <w:t xml:space="preserve">based on the available </w:t>
      </w:r>
      <w:r w:rsidRPr="00300918">
        <w:rPr>
          <w:rFonts w:cs="Arial"/>
          <w:bCs/>
          <w:snapToGrid w:val="0"/>
        </w:rPr>
        <w:t xml:space="preserve">data provided limited information due to the significant heterogeneity </w:t>
      </w:r>
      <w:r w:rsidR="004D471C" w:rsidRPr="00300918">
        <w:rPr>
          <w:rFonts w:cs="Arial"/>
          <w:bCs/>
          <w:snapToGrid w:val="0"/>
        </w:rPr>
        <w:t xml:space="preserve">across the </w:t>
      </w:r>
      <w:r w:rsidRPr="00300918">
        <w:rPr>
          <w:rFonts w:cs="Arial"/>
          <w:bCs/>
          <w:snapToGrid w:val="0"/>
        </w:rPr>
        <w:t>trials. The PBAC noted that adalimumab was nominated as a secondary near</w:t>
      </w:r>
      <w:r w:rsidR="004D471C" w:rsidRPr="00300918">
        <w:rPr>
          <w:rFonts w:cs="Arial"/>
          <w:bCs/>
          <w:snapToGrid w:val="0"/>
        </w:rPr>
        <w:t xml:space="preserve"> market</w:t>
      </w:r>
      <w:r w:rsidR="004D471C" w:rsidRPr="00300918">
        <w:rPr>
          <w:rFonts w:cs="Arial"/>
          <w:bCs/>
          <w:i/>
          <w:snapToGrid w:val="0"/>
        </w:rPr>
        <w:t xml:space="preserve"> </w:t>
      </w:r>
      <w:r w:rsidRPr="00300918">
        <w:rPr>
          <w:rFonts w:cs="Arial"/>
          <w:bCs/>
          <w:snapToGrid w:val="0"/>
        </w:rPr>
        <w:t xml:space="preserve">comparator but considered that this comparison was not informative as dexamethasone implant and adalimumab are likely to be used in different populations with non-infectious posterior segment uveitis. </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The PBAC considered that the claim of superior effectiveness compared with sham was reasonable</w:t>
      </w:r>
      <w:r w:rsidRPr="00300918">
        <w:t xml:space="preserve"> as the clinical efficacy of dexamethasone implant up to 6 months was adequately demonstrated</w:t>
      </w:r>
      <w:r w:rsidRPr="00300918">
        <w:rPr>
          <w:rFonts w:cs="Arial"/>
          <w:bCs/>
          <w:snapToGrid w:val="0"/>
        </w:rPr>
        <w:t xml:space="preserve">. The PBAC noted the significant improvement in vitreous haze score in patients treated with the 700 </w:t>
      </w:r>
      <w:r w:rsidRPr="00300918">
        <w:t>µg</w:t>
      </w:r>
      <w:r w:rsidRPr="00300918">
        <w:rPr>
          <w:rFonts w:cs="Arial"/>
          <w:bCs/>
          <w:snapToGrid w:val="0"/>
        </w:rPr>
        <w:t xml:space="preserve"> dexamethasone implant compared to sham, with the treatment effect starting to reduce from week 12–16. The PBAC also noted the significant mean improvement in best corrected visual acuity from baseline in the dexamethasone arm compared to the sham group and its preserved effect over the 26 weeks of the trial</w:t>
      </w:r>
      <w:r w:rsidR="008E29F0">
        <w:rPr>
          <w:rFonts w:cs="Arial"/>
          <w:bCs/>
          <w:snapToGrid w:val="0"/>
        </w:rPr>
        <w:t xml:space="preserve">. </w:t>
      </w:r>
    </w:p>
    <w:p w:rsidR="00444CE0" w:rsidRPr="00300918" w:rsidRDefault="00444CE0" w:rsidP="00817365">
      <w:pPr>
        <w:pStyle w:val="ListParagraph"/>
        <w:numPr>
          <w:ilvl w:val="1"/>
          <w:numId w:val="1"/>
        </w:numPr>
        <w:ind w:left="709" w:hanging="709"/>
        <w:jc w:val="both"/>
        <w:rPr>
          <w:rFonts w:cs="Arial"/>
          <w:bCs/>
          <w:snapToGrid w:val="0"/>
          <w:color w:val="4472C4" w:themeColor="accent5"/>
        </w:rPr>
      </w:pPr>
      <w:r w:rsidRPr="00300918">
        <w:rPr>
          <w:rFonts w:cs="Arial"/>
          <w:bCs/>
          <w:snapToGrid w:val="0"/>
        </w:rPr>
        <w:t>The PBAC was concerned that the treatment efficacy estimates did not incorporate rescue medicine use which may not be reflective of current clinical practice. However</w:t>
      </w:r>
      <w:r w:rsidRPr="00300918">
        <w:rPr>
          <w:rFonts w:cs="Arial"/>
          <w:bCs/>
          <w:snapToGrid w:val="0"/>
          <w:color w:val="000000" w:themeColor="text1"/>
        </w:rPr>
        <w:t>, t</w:t>
      </w:r>
      <w:r w:rsidRPr="00300918">
        <w:rPr>
          <w:rFonts w:cs="Arial"/>
          <w:bCs/>
          <w:snapToGrid w:val="0"/>
        </w:rPr>
        <w:t xml:space="preserve">he PBAC considered that the HURON trial had a low risk of bias and that </w:t>
      </w:r>
      <w:r w:rsidRPr="00300918">
        <w:rPr>
          <w:rFonts w:cs="Arial"/>
          <w:bCs/>
          <w:snapToGrid w:val="0"/>
          <w:color w:val="000000" w:themeColor="text1"/>
        </w:rPr>
        <w:t xml:space="preserve">the lower proportion of patients who required rescue medicines in the dexamethasone 700 </w:t>
      </w:r>
      <w:r w:rsidRPr="00300918">
        <w:t>µg</w:t>
      </w:r>
      <w:r w:rsidRPr="00300918">
        <w:rPr>
          <w:rFonts w:cs="Arial"/>
          <w:bCs/>
          <w:snapToGrid w:val="0"/>
          <w:color w:val="000000" w:themeColor="text1"/>
        </w:rPr>
        <w:t xml:space="preserve"> implant arm indicated that patients receiving the implant achieved a clinically meaningful treatment effect. </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 xml:space="preserve">The PBAC considered that the claim of inferior safety between dexamethasone implant and sham was reasonable. </w:t>
      </w:r>
      <w:r w:rsidRPr="00300918">
        <w:t xml:space="preserve">The PBAC considered that there were no significant safety concerns and the </w:t>
      </w:r>
      <w:r w:rsidR="00CF07D6" w:rsidRPr="00300918">
        <w:t xml:space="preserve">likely </w:t>
      </w:r>
      <w:r w:rsidRPr="00300918">
        <w:t xml:space="preserve">ocular side effects that could occur while using dexamethasone implant </w:t>
      </w:r>
      <w:r w:rsidR="00CF07D6" w:rsidRPr="00300918">
        <w:t xml:space="preserve">are manageable and </w:t>
      </w:r>
      <w:r w:rsidRPr="00300918">
        <w:t>would be similar to those when using intravitreal triamcinolone.</w:t>
      </w:r>
      <w:r w:rsidRPr="00300918">
        <w:rPr>
          <w:rFonts w:cs="Arial"/>
          <w:bCs/>
          <w:snapToGrid w:val="0"/>
        </w:rPr>
        <w:t xml:space="preserve"> </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 xml:space="preserve">The PBAC noted the data from observational studies indicating repeat use of dexamethasone implant is safe and effective. The PBAC considered these data were acceptable for this rare condition as the submission was not seeking a listing for maintenance treatment and given the manageable adverse event profile of dexamethasone implant. </w:t>
      </w:r>
    </w:p>
    <w:p w:rsidR="00444CE0" w:rsidRPr="00300918" w:rsidRDefault="00444CE0" w:rsidP="00817365">
      <w:pPr>
        <w:pStyle w:val="ListParagraph"/>
        <w:numPr>
          <w:ilvl w:val="1"/>
          <w:numId w:val="1"/>
        </w:numPr>
        <w:spacing w:line="259" w:lineRule="auto"/>
        <w:ind w:left="709" w:hanging="709"/>
        <w:jc w:val="both"/>
        <w:rPr>
          <w:rFonts w:cs="Arial"/>
          <w:bCs/>
          <w:snapToGrid w:val="0"/>
        </w:rPr>
      </w:pPr>
      <w:r w:rsidRPr="00300918">
        <w:rPr>
          <w:rFonts w:cs="Arial"/>
          <w:bCs/>
          <w:snapToGrid w:val="0"/>
        </w:rPr>
        <w:t>The PBAC noted that in the cost-utility analysis comparing dexamethasone implant to sham</w:t>
      </w:r>
      <w:r w:rsidR="0087357B">
        <w:rPr>
          <w:rFonts w:cs="Arial"/>
          <w:bCs/>
          <w:snapToGrid w:val="0"/>
        </w:rPr>
        <w:t>,</w:t>
      </w:r>
      <w:r w:rsidRPr="00300918">
        <w:rPr>
          <w:rFonts w:cs="Arial"/>
          <w:bCs/>
          <w:snapToGrid w:val="0"/>
        </w:rPr>
        <w:t xml:space="preserve"> the model structure did not allow patients to transition to the improvement states after the initial 12 week cycle. The PBAC noted that in clinical practice such patients would likely be treated with alternative treatments that may impact on visual acuity. The PBAC considered this was a source of uncertainty in the model</w:t>
      </w:r>
      <w:r w:rsidR="00DD2F36">
        <w:rPr>
          <w:rFonts w:cs="Arial"/>
          <w:bCs/>
          <w:snapToGrid w:val="0"/>
        </w:rPr>
        <w:t xml:space="preserve"> which was likely biased in favour of dexamethasone</w:t>
      </w:r>
      <w:r w:rsidRPr="00300918">
        <w:rPr>
          <w:rFonts w:cs="Arial"/>
          <w:bCs/>
          <w:snapToGrid w:val="0"/>
        </w:rPr>
        <w:t xml:space="preserve">. </w:t>
      </w:r>
    </w:p>
    <w:p w:rsidR="00444CE0" w:rsidRPr="00300918" w:rsidRDefault="00444CE0" w:rsidP="00817365">
      <w:pPr>
        <w:pStyle w:val="ListParagraph"/>
        <w:numPr>
          <w:ilvl w:val="1"/>
          <w:numId w:val="1"/>
        </w:numPr>
        <w:spacing w:line="259" w:lineRule="auto"/>
        <w:ind w:left="709" w:hanging="709"/>
        <w:jc w:val="both"/>
        <w:rPr>
          <w:rFonts w:cs="Arial"/>
          <w:bCs/>
          <w:snapToGrid w:val="0"/>
        </w:rPr>
      </w:pPr>
      <w:r w:rsidRPr="00300918">
        <w:rPr>
          <w:rFonts w:cs="Arial"/>
          <w:bCs/>
          <w:snapToGrid w:val="0"/>
        </w:rPr>
        <w:t>The PBAC noted that as the benefits of rescue medicines were not included in the model</w:t>
      </w:r>
      <w:r w:rsidR="00C72C27" w:rsidRPr="00300918">
        <w:rPr>
          <w:rFonts w:cs="Arial"/>
          <w:bCs/>
          <w:snapToGrid w:val="0"/>
        </w:rPr>
        <w:t>,</w:t>
      </w:r>
      <w:r w:rsidRPr="00300918">
        <w:rPr>
          <w:rFonts w:cs="Arial"/>
          <w:bCs/>
          <w:snapToGrid w:val="0"/>
        </w:rPr>
        <w:t xml:space="preserve"> the costs of these medicines </w:t>
      </w:r>
      <w:r w:rsidR="00616A95" w:rsidRPr="00300918">
        <w:rPr>
          <w:rFonts w:cs="Arial"/>
          <w:bCs/>
          <w:snapToGrid w:val="0"/>
        </w:rPr>
        <w:t>should also be</w:t>
      </w:r>
      <w:r w:rsidRPr="00300918">
        <w:rPr>
          <w:rFonts w:cs="Arial"/>
          <w:bCs/>
          <w:snapToGrid w:val="0"/>
        </w:rPr>
        <w:t xml:space="preserve"> removed </w:t>
      </w:r>
      <w:r w:rsidR="00C72C27" w:rsidRPr="00300918">
        <w:rPr>
          <w:rFonts w:cs="Arial"/>
          <w:bCs/>
          <w:snapToGrid w:val="0"/>
        </w:rPr>
        <w:t xml:space="preserve">as per </w:t>
      </w:r>
      <w:r w:rsidRPr="00300918">
        <w:rPr>
          <w:rFonts w:cs="Arial"/>
          <w:bCs/>
          <w:snapToGrid w:val="0"/>
        </w:rPr>
        <w:t xml:space="preserve">the revised analysis provided in the PSCR (p7). </w:t>
      </w:r>
      <w:r w:rsidR="00C72C27" w:rsidRPr="00300918">
        <w:rPr>
          <w:rFonts w:cs="Arial"/>
          <w:bCs/>
          <w:snapToGrid w:val="0"/>
        </w:rPr>
        <w:t>However, t</w:t>
      </w:r>
      <w:r w:rsidRPr="00300918">
        <w:rPr>
          <w:rFonts w:cs="Arial"/>
          <w:bCs/>
          <w:snapToGrid w:val="0"/>
        </w:rPr>
        <w:t>he PBAC considered</w:t>
      </w:r>
      <w:r w:rsidR="00C72C27" w:rsidRPr="00300918">
        <w:rPr>
          <w:rFonts w:cs="Arial"/>
          <w:bCs/>
          <w:snapToGrid w:val="0"/>
        </w:rPr>
        <w:t xml:space="preserve"> that as a result</w:t>
      </w:r>
      <w:r w:rsidRPr="00300918">
        <w:rPr>
          <w:rFonts w:cs="Arial"/>
          <w:bCs/>
          <w:snapToGrid w:val="0"/>
        </w:rPr>
        <w:t xml:space="preserve"> the model may not adequately capture standard care due to the absence of outcome data post rescue medicines.</w:t>
      </w:r>
      <w:r w:rsidR="004846AC" w:rsidRPr="00300918">
        <w:rPr>
          <w:rFonts w:cs="Arial"/>
          <w:bCs/>
          <w:snapToGrid w:val="0"/>
        </w:rPr>
        <w:t xml:space="preserve"> </w:t>
      </w:r>
    </w:p>
    <w:p w:rsidR="00444CE0" w:rsidRPr="00300918" w:rsidRDefault="00444CE0" w:rsidP="00817365">
      <w:pPr>
        <w:pStyle w:val="ListParagraph"/>
        <w:numPr>
          <w:ilvl w:val="1"/>
          <w:numId w:val="1"/>
        </w:numPr>
        <w:spacing w:line="259" w:lineRule="auto"/>
        <w:ind w:left="709" w:hanging="709"/>
        <w:jc w:val="both"/>
        <w:rPr>
          <w:rFonts w:cs="Arial"/>
          <w:bCs/>
          <w:snapToGrid w:val="0"/>
        </w:rPr>
      </w:pPr>
      <w:r w:rsidRPr="00300918">
        <w:rPr>
          <w:rFonts w:cs="Arial"/>
          <w:bCs/>
          <w:snapToGrid w:val="0"/>
        </w:rPr>
        <w:t xml:space="preserve">The PBAC noted that the pre-PBAC response (p3) provided a revised analysis which included a </w:t>
      </w:r>
      <w:r w:rsidR="0090474F">
        <w:rPr>
          <w:rFonts w:cs="Arial"/>
          <w:bCs/>
          <w:noProof/>
          <w:snapToGrid w:val="0"/>
          <w:color w:val="000000"/>
          <w:highlight w:val="black"/>
        </w:rPr>
        <w:t>''''''''</w:t>
      </w:r>
      <w:r w:rsidRPr="00300918">
        <w:rPr>
          <w:rFonts w:cs="Arial"/>
          <w:bCs/>
          <w:snapToGrid w:val="0"/>
        </w:rPr>
        <w:t>% rebate of government expenditure on dexamethasone implant when used to treat non-infectious posterior segment uveitis</w:t>
      </w:r>
    </w:p>
    <w:p w:rsidR="00444CE0" w:rsidRPr="00300918" w:rsidRDefault="00444CE0" w:rsidP="00817365">
      <w:pPr>
        <w:pStyle w:val="ListParagraph"/>
        <w:numPr>
          <w:ilvl w:val="1"/>
          <w:numId w:val="1"/>
        </w:numPr>
        <w:spacing w:line="259" w:lineRule="auto"/>
        <w:ind w:left="709" w:hanging="709"/>
        <w:jc w:val="both"/>
        <w:rPr>
          <w:rFonts w:cs="Arial"/>
          <w:bCs/>
          <w:snapToGrid w:val="0"/>
        </w:rPr>
      </w:pPr>
      <w:r w:rsidRPr="00300918">
        <w:rPr>
          <w:rFonts w:cs="Arial"/>
          <w:bCs/>
          <w:snapToGrid w:val="0"/>
        </w:rPr>
        <w:t xml:space="preserve">The PBAC considered the uncertainty </w:t>
      </w:r>
      <w:r w:rsidR="00C72C27" w:rsidRPr="00300918">
        <w:rPr>
          <w:rFonts w:cs="Arial"/>
          <w:bCs/>
          <w:snapToGrid w:val="0"/>
        </w:rPr>
        <w:t xml:space="preserve">regarding </w:t>
      </w:r>
      <w:r w:rsidRPr="00300918">
        <w:rPr>
          <w:rFonts w:cs="Arial"/>
          <w:bCs/>
          <w:snapToGrid w:val="0"/>
        </w:rPr>
        <w:t xml:space="preserve">the cost-effectiveness of dexamethasone implant compared to standard care was adequately addressed by </w:t>
      </w:r>
      <w:r w:rsidR="00811DDF" w:rsidRPr="00300918">
        <w:rPr>
          <w:rFonts w:cs="Arial"/>
          <w:bCs/>
          <w:snapToGrid w:val="0"/>
        </w:rPr>
        <w:t xml:space="preserve">the </w:t>
      </w:r>
      <w:r w:rsidRPr="00300918">
        <w:rPr>
          <w:rFonts w:cs="Arial"/>
          <w:bCs/>
          <w:snapToGrid w:val="0"/>
        </w:rPr>
        <w:t xml:space="preserve">proposed rebate. </w:t>
      </w:r>
    </w:p>
    <w:p w:rsidR="00444CE0" w:rsidRPr="00300918" w:rsidRDefault="00444CE0" w:rsidP="00817365">
      <w:pPr>
        <w:pStyle w:val="ListParagraph"/>
        <w:numPr>
          <w:ilvl w:val="1"/>
          <w:numId w:val="1"/>
        </w:numPr>
        <w:spacing w:line="259" w:lineRule="auto"/>
        <w:ind w:left="709" w:hanging="709"/>
        <w:jc w:val="both"/>
        <w:rPr>
          <w:rFonts w:cs="Arial"/>
          <w:bCs/>
          <w:snapToGrid w:val="0"/>
        </w:rPr>
      </w:pPr>
      <w:r w:rsidRPr="00300918">
        <w:rPr>
          <w:rFonts w:cs="Arial"/>
          <w:bCs/>
          <w:snapToGrid w:val="0"/>
        </w:rPr>
        <w:t>The PBAC considered the financial estimates to be reasonable with little risk of use beyond the proposed population.</w:t>
      </w:r>
      <w:r w:rsidR="00220BB8" w:rsidRPr="00300918">
        <w:rPr>
          <w:rFonts w:cs="Arial"/>
          <w:bCs/>
          <w:snapToGrid w:val="0"/>
        </w:rPr>
        <w:t xml:space="preserve"> </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 xml:space="preserve">Under section 101(3BA) of the </w:t>
      </w:r>
      <w:r w:rsidRPr="00300918">
        <w:rPr>
          <w:rFonts w:cs="Arial"/>
          <w:bCs/>
          <w:i/>
          <w:snapToGrid w:val="0"/>
        </w:rPr>
        <w:t>National Health Act 1953</w:t>
      </w:r>
      <w:r w:rsidRPr="00300918">
        <w:rPr>
          <w:rFonts w:cs="Arial"/>
          <w:bCs/>
          <w:snapToGrid w:val="0"/>
        </w:rPr>
        <w:t>, the PBAC recommended that dexamethasone implant should not be treated as interchangeable on an individual patient basis with any other medicine listed in the PBS.</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The PBAC advised that dexamethasone implant is not suitable for prescribing by nurse practitioners, as it must be prescribed by an ophthalmologist.</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 xml:space="preserve">The PBAC recommended that the Early Supply Rule should apply. </w:t>
      </w:r>
    </w:p>
    <w:p w:rsidR="00444CE0" w:rsidRPr="00300918" w:rsidRDefault="00444CE0" w:rsidP="00817365">
      <w:pPr>
        <w:pStyle w:val="ListParagraph"/>
        <w:numPr>
          <w:ilvl w:val="1"/>
          <w:numId w:val="1"/>
        </w:numPr>
        <w:ind w:left="709" w:hanging="709"/>
        <w:jc w:val="both"/>
        <w:rPr>
          <w:rFonts w:cs="Arial"/>
          <w:bCs/>
          <w:snapToGrid w:val="0"/>
        </w:rPr>
      </w:pPr>
      <w:r w:rsidRPr="00300918">
        <w:rPr>
          <w:rFonts w:cs="Arial"/>
          <w:bCs/>
          <w:snapToGrid w:val="0"/>
        </w:rPr>
        <w:t>The PBAC noted that this submission is not eligible for an Independent Review because the PBAC has made a positive recommendation.</w:t>
      </w:r>
    </w:p>
    <w:p w:rsidR="00444CE0" w:rsidRPr="00300918" w:rsidRDefault="00444CE0" w:rsidP="00817365">
      <w:pPr>
        <w:jc w:val="both"/>
        <w:rPr>
          <w:rFonts w:cs="Arial"/>
          <w:b/>
          <w:bCs/>
          <w:snapToGrid w:val="0"/>
        </w:rPr>
      </w:pPr>
      <w:r w:rsidRPr="00300918">
        <w:rPr>
          <w:rFonts w:cs="Arial"/>
          <w:b/>
          <w:bCs/>
          <w:snapToGrid w:val="0"/>
        </w:rPr>
        <w:t>Outcome:</w:t>
      </w:r>
    </w:p>
    <w:p w:rsidR="00444CE0" w:rsidRPr="0054113C" w:rsidRDefault="00444CE0" w:rsidP="0054113C">
      <w:pPr>
        <w:jc w:val="both"/>
        <w:rPr>
          <w:rFonts w:cs="Arial"/>
          <w:bCs/>
          <w:snapToGrid w:val="0"/>
        </w:rPr>
      </w:pPr>
      <w:r w:rsidRPr="00300918">
        <w:rPr>
          <w:rFonts w:cs="Arial"/>
          <w:bCs/>
          <w:snapToGrid w:val="0"/>
        </w:rPr>
        <w:t>Recommended</w:t>
      </w:r>
    </w:p>
    <w:p w:rsidR="00444CE0" w:rsidRPr="00300918" w:rsidRDefault="00444CE0" w:rsidP="00444CE0">
      <w:pPr>
        <w:pStyle w:val="Heading1"/>
        <w:numPr>
          <w:ilvl w:val="0"/>
          <w:numId w:val="1"/>
        </w:numPr>
        <w:ind w:left="709" w:hanging="709"/>
        <w:rPr>
          <w:rFonts w:cs="Arial"/>
          <w:b w:val="0"/>
          <w:bCs/>
          <w:i/>
          <w:snapToGrid w:val="0"/>
        </w:rPr>
      </w:pPr>
      <w:r w:rsidRPr="00300918">
        <w:rPr>
          <w:rFonts w:cs="Arial"/>
          <w:bCs/>
          <w:snapToGrid w:val="0"/>
        </w:rPr>
        <w:t>Recommended listing</w:t>
      </w:r>
    </w:p>
    <w:p w:rsidR="00444CE0" w:rsidRPr="00300918" w:rsidRDefault="00791091" w:rsidP="00444CE0">
      <w:pPr>
        <w:pStyle w:val="ListParagraph"/>
        <w:numPr>
          <w:ilvl w:val="1"/>
          <w:numId w:val="1"/>
        </w:numPr>
        <w:spacing w:before="0" w:after="120"/>
        <w:jc w:val="both"/>
        <w:rPr>
          <w:rFonts w:cs="Arial"/>
          <w:bCs/>
          <w:snapToGrid w:val="0"/>
        </w:rPr>
      </w:pPr>
      <w:r w:rsidRPr="00300918">
        <w:rPr>
          <w:rFonts w:cs="Arial"/>
          <w:bCs/>
          <w:snapToGrid w:val="0"/>
        </w:rPr>
        <w:t>Amend existing/recommended listing as follows</w:t>
      </w:r>
      <w:r w:rsidR="00444CE0" w:rsidRPr="00300918">
        <w:rPr>
          <w:rFonts w:cs="Arial"/>
          <w:bCs/>
          <w:snapToGrid w:val="0"/>
        </w:rPr>
        <w:t xml:space="preserve">: </w:t>
      </w:r>
    </w:p>
    <w:tbl>
      <w:tblPr>
        <w:tblW w:w="9214" w:type="dxa"/>
        <w:tblInd w:w="108" w:type="dxa"/>
        <w:tblLayout w:type="fixed"/>
        <w:tblLook w:val="0000" w:firstRow="0" w:lastRow="0" w:firstColumn="0" w:lastColumn="0" w:noHBand="0" w:noVBand="0"/>
      </w:tblPr>
      <w:tblGrid>
        <w:gridCol w:w="2835"/>
        <w:gridCol w:w="1276"/>
        <w:gridCol w:w="1276"/>
        <w:gridCol w:w="992"/>
        <w:gridCol w:w="1559"/>
        <w:gridCol w:w="1276"/>
      </w:tblGrid>
      <w:tr w:rsidR="00444CE0" w:rsidRPr="00300918" w:rsidTr="003466E4">
        <w:trPr>
          <w:cantSplit/>
          <w:trHeight w:val="471"/>
        </w:trPr>
        <w:tc>
          <w:tcPr>
            <w:tcW w:w="4111" w:type="dxa"/>
            <w:gridSpan w:val="2"/>
            <w:tcBorders>
              <w:bottom w:val="single" w:sz="4" w:space="0" w:color="auto"/>
            </w:tcBorders>
          </w:tcPr>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z w:val="20"/>
                <w:szCs w:val="20"/>
              </w:rPr>
              <w:t>Name, Restriction,</w:t>
            </w:r>
          </w:p>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z w:val="20"/>
                <w:szCs w:val="20"/>
              </w:rPr>
              <w:t>Manner of administration and form</w:t>
            </w:r>
          </w:p>
        </w:tc>
        <w:tc>
          <w:tcPr>
            <w:tcW w:w="1276" w:type="dxa"/>
            <w:tcBorders>
              <w:bottom w:val="single" w:sz="4" w:space="0" w:color="auto"/>
            </w:tcBorders>
          </w:tcPr>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z w:val="20"/>
                <w:szCs w:val="20"/>
              </w:rPr>
              <w:t>Max.</w:t>
            </w:r>
          </w:p>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z w:val="20"/>
                <w:szCs w:val="20"/>
              </w:rPr>
              <w:t>Qty</w:t>
            </w:r>
          </w:p>
        </w:tc>
        <w:tc>
          <w:tcPr>
            <w:tcW w:w="992" w:type="dxa"/>
            <w:tcBorders>
              <w:bottom w:val="single" w:sz="4" w:space="0" w:color="auto"/>
            </w:tcBorders>
          </w:tcPr>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z w:val="20"/>
                <w:szCs w:val="20"/>
              </w:rPr>
              <w:t>№.of</w:t>
            </w:r>
          </w:p>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z w:val="20"/>
                <w:szCs w:val="20"/>
              </w:rPr>
              <w:t>Rpts</w:t>
            </w:r>
          </w:p>
        </w:tc>
        <w:tc>
          <w:tcPr>
            <w:tcW w:w="2835" w:type="dxa"/>
            <w:gridSpan w:val="2"/>
            <w:tcBorders>
              <w:bottom w:val="single" w:sz="4" w:space="0" w:color="auto"/>
            </w:tcBorders>
          </w:tcPr>
          <w:p w:rsidR="00444CE0" w:rsidRPr="00300918" w:rsidRDefault="00444CE0" w:rsidP="0050319E">
            <w:pPr>
              <w:keepNext/>
              <w:spacing w:before="0" w:after="0"/>
              <w:jc w:val="both"/>
              <w:rPr>
                <w:rFonts w:ascii="Arial Narrow" w:hAnsi="Arial Narrow" w:cs="Arial"/>
                <w:sz w:val="20"/>
                <w:szCs w:val="20"/>
              </w:rPr>
            </w:pPr>
            <w:r w:rsidRPr="00300918">
              <w:rPr>
                <w:rFonts w:ascii="Arial Narrow" w:hAnsi="Arial Narrow" w:cs="Arial"/>
                <w:sz w:val="20"/>
                <w:szCs w:val="20"/>
              </w:rPr>
              <w:t>Proprietary Name and Manufacturer</w:t>
            </w:r>
          </w:p>
        </w:tc>
      </w:tr>
      <w:tr w:rsidR="00444CE0" w:rsidRPr="00300918" w:rsidTr="003466E4">
        <w:trPr>
          <w:cantSplit/>
          <w:trHeight w:val="606"/>
        </w:trPr>
        <w:tc>
          <w:tcPr>
            <w:tcW w:w="4111" w:type="dxa"/>
            <w:gridSpan w:val="2"/>
          </w:tcPr>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mallCaps/>
                <w:sz w:val="20"/>
                <w:szCs w:val="20"/>
              </w:rPr>
              <w:t>DEXAMETHASONE</w:t>
            </w:r>
          </w:p>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z w:val="20"/>
                <w:szCs w:val="20"/>
              </w:rPr>
              <w:t>Intravitreal injection 700 micrograms</w:t>
            </w:r>
          </w:p>
        </w:tc>
        <w:tc>
          <w:tcPr>
            <w:tcW w:w="1276" w:type="dxa"/>
          </w:tcPr>
          <w:p w:rsidR="00444CE0" w:rsidRPr="00300918" w:rsidRDefault="00444CE0" w:rsidP="0050319E">
            <w:pPr>
              <w:keepNext/>
              <w:spacing w:before="0" w:after="0"/>
              <w:ind w:left="-108"/>
              <w:jc w:val="both"/>
              <w:rPr>
                <w:rFonts w:ascii="Arial Narrow" w:hAnsi="Arial Narrow" w:cs="Arial"/>
                <w:sz w:val="20"/>
                <w:szCs w:val="20"/>
              </w:rPr>
            </w:pPr>
          </w:p>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z w:val="20"/>
                <w:szCs w:val="20"/>
              </w:rPr>
              <w:t>1</w:t>
            </w:r>
          </w:p>
        </w:tc>
        <w:tc>
          <w:tcPr>
            <w:tcW w:w="992" w:type="dxa"/>
          </w:tcPr>
          <w:p w:rsidR="00444CE0" w:rsidRPr="00300918" w:rsidRDefault="00444CE0" w:rsidP="0050319E">
            <w:pPr>
              <w:keepNext/>
              <w:spacing w:before="0" w:after="0"/>
              <w:ind w:left="-108"/>
              <w:jc w:val="both"/>
              <w:rPr>
                <w:rFonts w:ascii="Arial Narrow" w:hAnsi="Arial Narrow" w:cs="Arial"/>
                <w:sz w:val="20"/>
                <w:szCs w:val="20"/>
              </w:rPr>
            </w:pPr>
          </w:p>
          <w:p w:rsidR="00444CE0" w:rsidRPr="00300918" w:rsidRDefault="00444CE0" w:rsidP="0050319E">
            <w:pPr>
              <w:keepNext/>
              <w:spacing w:before="0" w:after="0"/>
              <w:ind w:left="-108"/>
              <w:jc w:val="both"/>
              <w:rPr>
                <w:rFonts w:ascii="Arial Narrow" w:hAnsi="Arial Narrow" w:cs="Arial"/>
                <w:sz w:val="20"/>
                <w:szCs w:val="20"/>
              </w:rPr>
            </w:pPr>
            <w:r w:rsidRPr="00300918">
              <w:rPr>
                <w:rFonts w:ascii="Arial Narrow" w:hAnsi="Arial Narrow" w:cs="Arial"/>
                <w:sz w:val="20"/>
                <w:szCs w:val="20"/>
              </w:rPr>
              <w:t>0</w:t>
            </w:r>
          </w:p>
        </w:tc>
        <w:tc>
          <w:tcPr>
            <w:tcW w:w="1559" w:type="dxa"/>
          </w:tcPr>
          <w:p w:rsidR="00444CE0" w:rsidRPr="00300918" w:rsidRDefault="00444CE0" w:rsidP="0050319E">
            <w:pPr>
              <w:keepNext/>
              <w:spacing w:before="0" w:after="0"/>
              <w:jc w:val="both"/>
              <w:rPr>
                <w:rFonts w:ascii="Arial Narrow" w:hAnsi="Arial Narrow" w:cs="Arial"/>
                <w:sz w:val="20"/>
                <w:szCs w:val="20"/>
              </w:rPr>
            </w:pPr>
            <w:r w:rsidRPr="00300918">
              <w:rPr>
                <w:rFonts w:ascii="Arial Narrow" w:hAnsi="Arial Narrow" w:cs="Arial"/>
                <w:sz w:val="20"/>
                <w:szCs w:val="20"/>
              </w:rPr>
              <w:t>Ozurdex</w:t>
            </w:r>
            <w:r w:rsidRPr="00300918">
              <w:rPr>
                <w:rFonts w:ascii="Arial Narrow" w:hAnsi="Arial Narrow" w:cs="Arial"/>
                <w:b/>
                <w:sz w:val="20"/>
                <w:szCs w:val="20"/>
                <w:vertAlign w:val="superscript"/>
              </w:rPr>
              <w:sym w:font="Symbol" w:char="F0D2"/>
            </w:r>
          </w:p>
        </w:tc>
        <w:tc>
          <w:tcPr>
            <w:tcW w:w="1276" w:type="dxa"/>
          </w:tcPr>
          <w:p w:rsidR="00444CE0" w:rsidRPr="00300918" w:rsidRDefault="00444CE0" w:rsidP="0050319E">
            <w:pPr>
              <w:keepNext/>
              <w:spacing w:before="0" w:after="0"/>
              <w:jc w:val="both"/>
              <w:rPr>
                <w:rFonts w:ascii="Arial Narrow" w:hAnsi="Arial Narrow" w:cs="Arial"/>
                <w:sz w:val="20"/>
                <w:szCs w:val="20"/>
              </w:rPr>
            </w:pPr>
            <w:r w:rsidRPr="00300918">
              <w:rPr>
                <w:rFonts w:ascii="Arial Narrow" w:hAnsi="Arial Narrow" w:cs="Arial"/>
                <w:sz w:val="20"/>
                <w:szCs w:val="20"/>
              </w:rPr>
              <w:t xml:space="preserve">Allergan </w:t>
            </w:r>
          </w:p>
        </w:tc>
      </w:tr>
      <w:tr w:rsidR="00444CE0" w:rsidRPr="00300918" w:rsidTr="0050319E">
        <w:trPr>
          <w:cantSplit/>
          <w:trHeight w:val="360"/>
        </w:trPr>
        <w:tc>
          <w:tcPr>
            <w:tcW w:w="9214" w:type="dxa"/>
            <w:gridSpan w:val="6"/>
            <w:tcBorders>
              <w:bottom w:val="single" w:sz="4" w:space="0" w:color="auto"/>
            </w:tcBorders>
          </w:tcPr>
          <w:p w:rsidR="00444CE0" w:rsidRPr="00300918" w:rsidRDefault="00444CE0" w:rsidP="0050319E">
            <w:pPr>
              <w:spacing w:before="0" w:after="0"/>
              <w:jc w:val="both"/>
              <w:rPr>
                <w:rFonts w:ascii="Arial Narrow" w:hAnsi="Arial Narrow" w:cs="Arial"/>
                <w:sz w:val="20"/>
                <w:szCs w:val="20"/>
              </w:rPr>
            </w:pP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b/>
                <w:sz w:val="20"/>
                <w:szCs w:val="20"/>
              </w:rPr>
            </w:pPr>
            <w:r w:rsidRPr="00300918">
              <w:rPr>
                <w:rFonts w:ascii="Arial Narrow" w:hAnsi="Arial Narrow" w:cs="Arial"/>
                <w:b/>
                <w:sz w:val="20"/>
                <w:szCs w:val="20"/>
              </w:rPr>
              <w:t xml:space="preserve">Category / </w:t>
            </w:r>
          </w:p>
          <w:p w:rsidR="00444CE0" w:rsidRPr="00300918" w:rsidRDefault="00444CE0" w:rsidP="0050319E">
            <w:pPr>
              <w:spacing w:before="0" w:after="0"/>
              <w:jc w:val="both"/>
              <w:rPr>
                <w:rFonts w:ascii="Arial Narrow" w:hAnsi="Arial Narrow" w:cs="Arial"/>
                <w:b/>
                <w:sz w:val="20"/>
                <w:szCs w:val="20"/>
              </w:rPr>
            </w:pPr>
            <w:r w:rsidRPr="00300918">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rPr>
                <w:rFonts w:ascii="Arial Narrow" w:hAnsi="Arial Narrow" w:cs="Arial"/>
                <w:sz w:val="20"/>
                <w:szCs w:val="20"/>
              </w:rPr>
            </w:pPr>
            <w:r w:rsidRPr="00300918">
              <w:rPr>
                <w:rFonts w:ascii="Arial Narrow" w:hAnsi="Arial Narrow" w:cs="Arial"/>
                <w:sz w:val="20"/>
                <w:szCs w:val="20"/>
              </w:rPr>
              <w:t>GENERAL – General Schedule (Code GE)</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b/>
                <w:sz w:val="20"/>
                <w:szCs w:val="20"/>
              </w:rPr>
            </w:pPr>
            <w:r w:rsidRPr="00300918">
              <w:rPr>
                <w:rFonts w:ascii="Arial Narrow" w:hAnsi="Arial Narrow" w:cs="Arial"/>
                <w:b/>
                <w:sz w:val="20"/>
                <w:szCs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rPr>
                <w:rFonts w:ascii="Arial Narrow" w:hAnsi="Arial Narrow" w:cs="Arial"/>
                <w:sz w:val="20"/>
                <w:szCs w:val="20"/>
              </w:rPr>
            </w:pPr>
            <w:r w:rsidRPr="00300918">
              <w:rPr>
                <w:rFonts w:ascii="Arial Narrow" w:hAnsi="Arial Narrow" w:cs="Arial"/>
                <w:sz w:val="20"/>
                <w:szCs w:val="20"/>
              </w:rPr>
              <w:fldChar w:fldCharType="begin">
                <w:ffData>
                  <w:name w:val="Check1"/>
                  <w:enabled/>
                  <w:calcOnExit w:val="0"/>
                  <w:checkBox>
                    <w:sizeAuto/>
                    <w:default w:val="0"/>
                  </w:checkBox>
                </w:ffData>
              </w:fldChar>
            </w:r>
            <w:r w:rsidRPr="00300918">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300918">
              <w:rPr>
                <w:rFonts w:ascii="Arial Narrow" w:hAnsi="Arial Narrow" w:cs="Arial"/>
                <w:sz w:val="20"/>
                <w:szCs w:val="20"/>
              </w:rPr>
              <w:fldChar w:fldCharType="end"/>
            </w:r>
            <w:r w:rsidRPr="00300918">
              <w:rPr>
                <w:rFonts w:ascii="Arial Narrow" w:hAnsi="Arial Narrow" w:cs="Arial"/>
                <w:sz w:val="20"/>
                <w:szCs w:val="20"/>
              </w:rPr>
              <w:t xml:space="preserve">Dental  </w:t>
            </w:r>
            <w:r w:rsidRPr="00300918">
              <w:rPr>
                <w:rFonts w:ascii="Arial Narrow" w:hAnsi="Arial Narrow" w:cs="Arial"/>
                <w:sz w:val="20"/>
                <w:szCs w:val="20"/>
              </w:rPr>
              <w:fldChar w:fldCharType="begin">
                <w:ffData>
                  <w:name w:val=""/>
                  <w:enabled/>
                  <w:calcOnExit w:val="0"/>
                  <w:checkBox>
                    <w:sizeAuto/>
                    <w:default w:val="1"/>
                  </w:checkBox>
                </w:ffData>
              </w:fldChar>
            </w:r>
            <w:r w:rsidRPr="00300918">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300918">
              <w:rPr>
                <w:rFonts w:ascii="Arial Narrow" w:hAnsi="Arial Narrow" w:cs="Arial"/>
                <w:sz w:val="20"/>
                <w:szCs w:val="20"/>
              </w:rPr>
              <w:fldChar w:fldCharType="end"/>
            </w:r>
            <w:r w:rsidRPr="00300918">
              <w:rPr>
                <w:rFonts w:ascii="Arial Narrow" w:hAnsi="Arial Narrow" w:cs="Arial"/>
                <w:sz w:val="20"/>
                <w:szCs w:val="20"/>
              </w:rPr>
              <w:t xml:space="preserve">Medical Practitioners  </w:t>
            </w:r>
            <w:r w:rsidRPr="00300918">
              <w:rPr>
                <w:rFonts w:ascii="Arial Narrow" w:hAnsi="Arial Narrow" w:cs="Arial"/>
                <w:sz w:val="20"/>
                <w:szCs w:val="20"/>
              </w:rPr>
              <w:fldChar w:fldCharType="begin">
                <w:ffData>
                  <w:name w:val="Check3"/>
                  <w:enabled/>
                  <w:calcOnExit w:val="0"/>
                  <w:checkBox>
                    <w:sizeAuto/>
                    <w:default w:val="0"/>
                  </w:checkBox>
                </w:ffData>
              </w:fldChar>
            </w:r>
            <w:r w:rsidRPr="00300918">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300918">
              <w:rPr>
                <w:rFonts w:ascii="Arial Narrow" w:hAnsi="Arial Narrow" w:cs="Arial"/>
                <w:sz w:val="20"/>
                <w:szCs w:val="20"/>
              </w:rPr>
              <w:fldChar w:fldCharType="end"/>
            </w:r>
            <w:r w:rsidRPr="00300918">
              <w:rPr>
                <w:rFonts w:ascii="Arial Narrow" w:hAnsi="Arial Narrow" w:cs="Arial"/>
                <w:sz w:val="20"/>
                <w:szCs w:val="20"/>
              </w:rPr>
              <w:t xml:space="preserve">Nurse practitioners  </w:t>
            </w:r>
            <w:r w:rsidRPr="00300918">
              <w:rPr>
                <w:rFonts w:ascii="Arial Narrow" w:hAnsi="Arial Narrow" w:cs="Arial"/>
                <w:sz w:val="20"/>
                <w:szCs w:val="20"/>
              </w:rPr>
              <w:fldChar w:fldCharType="begin">
                <w:ffData>
                  <w:name w:val=""/>
                  <w:enabled/>
                  <w:calcOnExit w:val="0"/>
                  <w:checkBox>
                    <w:sizeAuto/>
                    <w:default w:val="0"/>
                  </w:checkBox>
                </w:ffData>
              </w:fldChar>
            </w:r>
            <w:r w:rsidRPr="00300918">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300918">
              <w:rPr>
                <w:rFonts w:ascii="Arial Narrow" w:hAnsi="Arial Narrow" w:cs="Arial"/>
                <w:sz w:val="20"/>
                <w:szCs w:val="20"/>
              </w:rPr>
              <w:fldChar w:fldCharType="end"/>
            </w:r>
            <w:r w:rsidRPr="00300918">
              <w:rPr>
                <w:rFonts w:ascii="Arial Narrow" w:hAnsi="Arial Narrow" w:cs="Arial"/>
                <w:sz w:val="20"/>
                <w:szCs w:val="20"/>
              </w:rPr>
              <w:t>Optometrists</w:t>
            </w:r>
          </w:p>
          <w:p w:rsidR="00444CE0" w:rsidRPr="00300918" w:rsidRDefault="00444CE0" w:rsidP="0050319E">
            <w:pPr>
              <w:spacing w:before="0" w:after="0"/>
              <w:rPr>
                <w:rFonts w:ascii="Arial Narrow" w:hAnsi="Arial Narrow" w:cs="Arial"/>
                <w:sz w:val="20"/>
                <w:szCs w:val="20"/>
              </w:rPr>
            </w:pPr>
            <w:r w:rsidRPr="00300918">
              <w:rPr>
                <w:rFonts w:ascii="Arial Narrow" w:hAnsi="Arial Narrow" w:cs="Arial"/>
                <w:sz w:val="20"/>
                <w:szCs w:val="20"/>
              </w:rPr>
              <w:fldChar w:fldCharType="begin">
                <w:ffData>
                  <w:name w:val="Check5"/>
                  <w:enabled/>
                  <w:calcOnExit w:val="0"/>
                  <w:checkBox>
                    <w:sizeAuto/>
                    <w:default w:val="0"/>
                  </w:checkBox>
                </w:ffData>
              </w:fldChar>
            </w:r>
            <w:r w:rsidRPr="00300918">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300918">
              <w:rPr>
                <w:rFonts w:ascii="Arial Narrow" w:hAnsi="Arial Narrow" w:cs="Arial"/>
                <w:sz w:val="20"/>
                <w:szCs w:val="20"/>
              </w:rPr>
              <w:fldChar w:fldCharType="end"/>
            </w:r>
            <w:r w:rsidRPr="00300918">
              <w:rPr>
                <w:rFonts w:ascii="Arial Narrow" w:hAnsi="Arial Narrow" w:cs="Arial"/>
                <w:sz w:val="20"/>
                <w:szCs w:val="20"/>
              </w:rPr>
              <w:t>Midwives</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b/>
                <w:sz w:val="20"/>
                <w:szCs w:val="20"/>
              </w:rPr>
            </w:pPr>
            <w:r w:rsidRPr="00300918">
              <w:rPr>
                <w:rFonts w:ascii="Arial Narrow" w:hAnsi="Arial Narrow" w:cs="Arial"/>
                <w:b/>
                <w:sz w:val="20"/>
                <w:szCs w:val="20"/>
              </w:rPr>
              <w:t>Episodicity:</w:t>
            </w: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rPr>
                <w:rFonts w:ascii="Arial Narrow" w:hAnsi="Arial Narrow" w:cs="Arial"/>
                <w:sz w:val="20"/>
                <w:szCs w:val="20"/>
              </w:rPr>
            </w:pPr>
            <w:r w:rsidRPr="00300918">
              <w:rPr>
                <w:rFonts w:ascii="Arial Narrow" w:hAnsi="Arial Narrow" w:cs="Arial"/>
                <w:sz w:val="20"/>
                <w:szCs w:val="20"/>
              </w:rPr>
              <w:t>-</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b/>
                <w:sz w:val="20"/>
                <w:szCs w:val="20"/>
              </w:rPr>
            </w:pPr>
            <w:r w:rsidRPr="00300918">
              <w:rPr>
                <w:rFonts w:ascii="Arial Narrow" w:hAnsi="Arial Narrow" w:cs="Arial"/>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rPr>
                <w:rFonts w:ascii="Arial Narrow" w:hAnsi="Arial Narrow" w:cs="Arial"/>
                <w:sz w:val="20"/>
                <w:szCs w:val="20"/>
              </w:rPr>
            </w:pPr>
            <w:r w:rsidRPr="00300918">
              <w:rPr>
                <w:rFonts w:ascii="Arial Narrow" w:hAnsi="Arial Narrow" w:cs="Arial"/>
                <w:sz w:val="20"/>
                <w:szCs w:val="20"/>
              </w:rPr>
              <w:t>-</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b/>
                <w:sz w:val="20"/>
                <w:szCs w:val="20"/>
              </w:rPr>
            </w:pPr>
            <w:r w:rsidRPr="00300918">
              <w:rPr>
                <w:rFonts w:ascii="Arial Narrow" w:hAnsi="Arial Narrow" w:cs="Arial"/>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rPr>
                <w:rFonts w:ascii="Arial Narrow" w:hAnsi="Arial Narrow" w:cs="Arial"/>
                <w:sz w:val="20"/>
                <w:szCs w:val="20"/>
              </w:rPr>
            </w:pPr>
            <w:r w:rsidRPr="00300918">
              <w:rPr>
                <w:rFonts w:ascii="Arial Narrow" w:hAnsi="Arial Narrow" w:cs="Arial"/>
                <w:sz w:val="20"/>
                <w:szCs w:val="20"/>
              </w:rPr>
              <w:t>Non-infectious uveitis</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i/>
                <w:sz w:val="20"/>
                <w:szCs w:val="20"/>
              </w:rPr>
            </w:pPr>
            <w:r w:rsidRPr="00300918">
              <w:rPr>
                <w:rFonts w:ascii="Arial Narrow" w:hAnsi="Arial Narrow" w:cs="Arial"/>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44CE0" w:rsidP="001375AA">
            <w:pPr>
              <w:spacing w:before="0" w:after="0"/>
              <w:rPr>
                <w:rFonts w:ascii="Arial Narrow" w:hAnsi="Arial Narrow" w:cs="Arial"/>
                <w:sz w:val="20"/>
                <w:szCs w:val="20"/>
              </w:rPr>
            </w:pPr>
            <w:r w:rsidRPr="00300918">
              <w:rPr>
                <w:rFonts w:ascii="Arial Narrow" w:hAnsi="Arial Narrow" w:cs="Arial"/>
                <w:sz w:val="20"/>
                <w:szCs w:val="20"/>
              </w:rPr>
              <w:t xml:space="preserve">Non-infectious </w:t>
            </w:r>
            <w:r w:rsidR="001375AA">
              <w:rPr>
                <w:rFonts w:ascii="Arial Narrow" w:hAnsi="Arial Narrow" w:cs="Arial"/>
                <w:sz w:val="20"/>
                <w:szCs w:val="20"/>
              </w:rPr>
              <w:t xml:space="preserve">posterior </w:t>
            </w:r>
            <w:r w:rsidR="00CC6B74">
              <w:rPr>
                <w:rFonts w:ascii="Arial Narrow" w:hAnsi="Arial Narrow" w:cs="Arial"/>
                <w:sz w:val="20"/>
                <w:szCs w:val="20"/>
              </w:rPr>
              <w:t xml:space="preserve">segment </w:t>
            </w:r>
            <w:r w:rsidRPr="00300918">
              <w:rPr>
                <w:rFonts w:ascii="Arial Narrow" w:hAnsi="Arial Narrow" w:cs="Arial"/>
                <w:sz w:val="20"/>
                <w:szCs w:val="20"/>
              </w:rPr>
              <w:t xml:space="preserve">uveitis </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i/>
                <w:sz w:val="20"/>
                <w:szCs w:val="20"/>
              </w:rPr>
            </w:pPr>
            <w:r w:rsidRPr="00300918">
              <w:rPr>
                <w:rFonts w:ascii="Arial Narrow" w:hAnsi="Arial Narrow" w:cs="Arial"/>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rPr>
                <w:rFonts w:ascii="Arial Narrow" w:hAnsi="Arial Narrow" w:cs="Arial"/>
                <w:sz w:val="20"/>
                <w:szCs w:val="20"/>
              </w:rPr>
            </w:pPr>
            <w:r w:rsidRPr="00300918">
              <w:rPr>
                <w:rFonts w:ascii="Arial Narrow" w:hAnsi="Arial Narrow" w:cs="Arial"/>
                <w:sz w:val="20"/>
                <w:szCs w:val="20"/>
              </w:rPr>
              <w:t>-</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4338B6" w:rsidRDefault="00444CE0" w:rsidP="0050319E">
            <w:pPr>
              <w:spacing w:before="0" w:after="0"/>
              <w:jc w:val="both"/>
              <w:rPr>
                <w:rFonts w:ascii="Arial Narrow" w:hAnsi="Arial Narrow" w:cs="Arial"/>
                <w:i/>
                <w:sz w:val="20"/>
                <w:szCs w:val="20"/>
              </w:rPr>
            </w:pPr>
            <w:r w:rsidRPr="004338B6">
              <w:rPr>
                <w:rFonts w:ascii="Arial Narrow" w:hAnsi="Arial Narrow" w:cs="Arial"/>
                <w:b/>
                <w:sz w:val="20"/>
                <w:szCs w:val="20"/>
              </w:rPr>
              <w:t>Restriction Level / Method:</w:t>
            </w:r>
          </w:p>
          <w:p w:rsidR="00444CE0" w:rsidRPr="004338B6" w:rsidRDefault="00444CE0" w:rsidP="0050319E">
            <w:pPr>
              <w:spacing w:before="0" w:after="0"/>
              <w:rPr>
                <w:rFonts w:ascii="Arial Narrow" w:hAnsi="Arial Narrow" w:cs="Arial"/>
                <w:i/>
                <w:sz w:val="20"/>
                <w:szCs w:val="20"/>
              </w:rPr>
            </w:pPr>
          </w:p>
          <w:p w:rsidR="00444CE0" w:rsidRPr="004338B6" w:rsidRDefault="00444CE0" w:rsidP="0050319E">
            <w:pPr>
              <w:spacing w:before="0" w:after="0"/>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44CE0" w:rsidRPr="004338B6" w:rsidRDefault="00444CE0" w:rsidP="0050319E">
            <w:pPr>
              <w:spacing w:before="0" w:after="0"/>
              <w:rPr>
                <w:rFonts w:ascii="Arial Narrow" w:hAnsi="Arial Narrow" w:cs="Arial"/>
                <w:sz w:val="20"/>
                <w:szCs w:val="20"/>
              </w:rPr>
            </w:pPr>
            <w:r w:rsidRPr="004338B6">
              <w:rPr>
                <w:rFonts w:ascii="Arial Narrow" w:hAnsi="Arial Narrow" w:cs="Arial"/>
                <w:sz w:val="20"/>
                <w:szCs w:val="20"/>
              </w:rPr>
              <w:fldChar w:fldCharType="begin">
                <w:ffData>
                  <w:name w:val="Check1"/>
                  <w:enabled/>
                  <w:calcOnExit w:val="0"/>
                  <w:checkBox>
                    <w:sizeAuto/>
                    <w:default w:val="0"/>
                  </w:checkBox>
                </w:ffData>
              </w:fldChar>
            </w:r>
            <w:r w:rsidRPr="004338B6">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4338B6">
              <w:rPr>
                <w:rFonts w:ascii="Arial Narrow" w:hAnsi="Arial Narrow" w:cs="Arial"/>
                <w:sz w:val="20"/>
                <w:szCs w:val="20"/>
              </w:rPr>
              <w:fldChar w:fldCharType="end"/>
            </w:r>
            <w:r w:rsidRPr="004338B6">
              <w:rPr>
                <w:rFonts w:ascii="Arial Narrow" w:hAnsi="Arial Narrow" w:cs="Arial"/>
                <w:sz w:val="20"/>
                <w:szCs w:val="20"/>
              </w:rPr>
              <w:t>Restricted benefit</w:t>
            </w:r>
          </w:p>
          <w:p w:rsidR="00444CE0" w:rsidRPr="004338B6" w:rsidRDefault="002D07F7" w:rsidP="0050319E">
            <w:pPr>
              <w:spacing w:before="0" w:after="0"/>
              <w:rPr>
                <w:rFonts w:ascii="Arial Narrow" w:hAnsi="Arial Narrow" w:cs="Arial"/>
                <w:sz w:val="20"/>
                <w:szCs w:val="20"/>
              </w:rPr>
            </w:pPr>
            <w:r w:rsidRPr="004338B6">
              <w:rPr>
                <w:rFonts w:ascii="Arial Narrow" w:hAnsi="Arial Narrow" w:cs="Arial"/>
                <w:sz w:val="20"/>
                <w:szCs w:val="20"/>
              </w:rPr>
              <w:fldChar w:fldCharType="begin">
                <w:ffData>
                  <w:name w:val=""/>
                  <w:enabled/>
                  <w:calcOnExit w:val="0"/>
                  <w:checkBox>
                    <w:sizeAuto/>
                    <w:default w:val="0"/>
                  </w:checkBox>
                </w:ffData>
              </w:fldChar>
            </w:r>
            <w:r w:rsidRPr="004338B6">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4338B6">
              <w:rPr>
                <w:rFonts w:ascii="Arial Narrow" w:hAnsi="Arial Narrow" w:cs="Arial"/>
                <w:sz w:val="20"/>
                <w:szCs w:val="20"/>
              </w:rPr>
              <w:fldChar w:fldCharType="end"/>
            </w:r>
            <w:r w:rsidR="00444CE0" w:rsidRPr="004338B6">
              <w:rPr>
                <w:rFonts w:ascii="Arial Narrow" w:hAnsi="Arial Narrow" w:cs="Arial"/>
                <w:sz w:val="20"/>
                <w:szCs w:val="20"/>
              </w:rPr>
              <w:t>Authority Required - In Writing</w:t>
            </w:r>
          </w:p>
          <w:p w:rsidR="00444CE0" w:rsidRPr="004338B6" w:rsidRDefault="00444CE0" w:rsidP="0050319E">
            <w:pPr>
              <w:spacing w:before="0" w:after="0"/>
              <w:rPr>
                <w:rFonts w:ascii="Arial Narrow" w:hAnsi="Arial Narrow" w:cs="Arial"/>
                <w:sz w:val="20"/>
                <w:szCs w:val="20"/>
              </w:rPr>
            </w:pPr>
            <w:r w:rsidRPr="004338B6">
              <w:rPr>
                <w:rFonts w:ascii="Arial Narrow" w:hAnsi="Arial Narrow" w:cs="Arial"/>
                <w:sz w:val="20"/>
                <w:szCs w:val="20"/>
              </w:rPr>
              <w:fldChar w:fldCharType="begin">
                <w:ffData>
                  <w:name w:val="Check3"/>
                  <w:enabled/>
                  <w:calcOnExit w:val="0"/>
                  <w:checkBox>
                    <w:sizeAuto/>
                    <w:default w:val="1"/>
                  </w:checkBox>
                </w:ffData>
              </w:fldChar>
            </w:r>
            <w:r w:rsidRPr="004338B6">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4338B6">
              <w:rPr>
                <w:rFonts w:ascii="Arial Narrow" w:hAnsi="Arial Narrow" w:cs="Arial"/>
                <w:sz w:val="20"/>
                <w:szCs w:val="20"/>
              </w:rPr>
              <w:fldChar w:fldCharType="end"/>
            </w:r>
            <w:r w:rsidRPr="004338B6">
              <w:rPr>
                <w:rFonts w:ascii="Arial Narrow" w:hAnsi="Arial Narrow" w:cs="Arial"/>
                <w:sz w:val="20"/>
                <w:szCs w:val="20"/>
              </w:rPr>
              <w:t>Authority Required - Telephone</w:t>
            </w:r>
          </w:p>
          <w:p w:rsidR="00444CE0" w:rsidRPr="004338B6" w:rsidRDefault="00444CE0" w:rsidP="0050319E">
            <w:pPr>
              <w:spacing w:before="0" w:after="0"/>
              <w:rPr>
                <w:rFonts w:ascii="Arial Narrow" w:hAnsi="Arial Narrow" w:cs="Arial"/>
                <w:sz w:val="20"/>
                <w:szCs w:val="20"/>
              </w:rPr>
            </w:pPr>
            <w:r w:rsidRPr="004338B6">
              <w:rPr>
                <w:rFonts w:ascii="Arial Narrow" w:hAnsi="Arial Narrow" w:cs="Arial"/>
                <w:sz w:val="20"/>
                <w:szCs w:val="20"/>
              </w:rPr>
              <w:fldChar w:fldCharType="begin">
                <w:ffData>
                  <w:name w:val=""/>
                  <w:enabled/>
                  <w:calcOnExit w:val="0"/>
                  <w:checkBox>
                    <w:sizeAuto/>
                    <w:default w:val="0"/>
                  </w:checkBox>
                </w:ffData>
              </w:fldChar>
            </w:r>
            <w:r w:rsidRPr="004338B6">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4338B6">
              <w:rPr>
                <w:rFonts w:ascii="Arial Narrow" w:hAnsi="Arial Narrow" w:cs="Arial"/>
                <w:sz w:val="20"/>
                <w:szCs w:val="20"/>
              </w:rPr>
              <w:fldChar w:fldCharType="end"/>
            </w:r>
            <w:r w:rsidRPr="004338B6">
              <w:rPr>
                <w:rFonts w:ascii="Arial Narrow" w:hAnsi="Arial Narrow" w:cs="Arial"/>
                <w:sz w:val="20"/>
                <w:szCs w:val="20"/>
              </w:rPr>
              <w:t>Authority Required - Emergency</w:t>
            </w:r>
          </w:p>
          <w:p w:rsidR="00444CE0" w:rsidRPr="004338B6" w:rsidRDefault="00992040" w:rsidP="0050319E">
            <w:pPr>
              <w:spacing w:before="0" w:after="0"/>
              <w:rPr>
                <w:rFonts w:ascii="Arial Narrow" w:hAnsi="Arial Narrow" w:cs="Arial"/>
                <w:sz w:val="20"/>
                <w:szCs w:val="20"/>
              </w:rPr>
            </w:pPr>
            <w:r w:rsidRPr="004338B6">
              <w:rPr>
                <w:rFonts w:ascii="Arial Narrow" w:hAnsi="Arial Narrow" w:cs="Arial"/>
                <w:sz w:val="20"/>
                <w:szCs w:val="20"/>
              </w:rPr>
              <w:fldChar w:fldCharType="begin">
                <w:ffData>
                  <w:name w:val="Check5"/>
                  <w:enabled/>
                  <w:calcOnExit w:val="0"/>
                  <w:checkBox>
                    <w:sizeAuto/>
                    <w:default w:val="0"/>
                  </w:checkBox>
                </w:ffData>
              </w:fldChar>
            </w:r>
            <w:r w:rsidRPr="004338B6">
              <w:rPr>
                <w:rFonts w:ascii="Arial Narrow" w:hAnsi="Arial Narrow" w:cs="Arial"/>
                <w:sz w:val="20"/>
                <w:szCs w:val="20"/>
              </w:rPr>
              <w:instrText xml:space="preserve"> </w:instrText>
            </w:r>
            <w:bookmarkStart w:id="45" w:name="Check5"/>
            <w:r w:rsidRPr="004338B6">
              <w:rPr>
                <w:rFonts w:ascii="Arial Narrow" w:hAnsi="Arial Narrow" w:cs="Arial"/>
                <w:sz w:val="20"/>
                <w:szCs w:val="20"/>
              </w:rPr>
              <w:instrText xml:space="preserve">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4338B6">
              <w:rPr>
                <w:rFonts w:ascii="Arial Narrow" w:hAnsi="Arial Narrow" w:cs="Arial"/>
                <w:sz w:val="20"/>
                <w:szCs w:val="20"/>
              </w:rPr>
              <w:fldChar w:fldCharType="end"/>
            </w:r>
            <w:bookmarkEnd w:id="45"/>
            <w:r w:rsidR="00444CE0" w:rsidRPr="004338B6">
              <w:rPr>
                <w:rFonts w:ascii="Arial Narrow" w:hAnsi="Arial Narrow" w:cs="Arial"/>
                <w:sz w:val="20"/>
                <w:szCs w:val="20"/>
              </w:rPr>
              <w:t>Authority Required - Electronic</w:t>
            </w:r>
          </w:p>
          <w:p w:rsidR="00444CE0" w:rsidRPr="004338B6" w:rsidRDefault="00444CE0" w:rsidP="0050319E">
            <w:pPr>
              <w:spacing w:before="0" w:after="0"/>
              <w:rPr>
                <w:rFonts w:ascii="Arial Narrow" w:hAnsi="Arial Narrow" w:cs="Arial"/>
                <w:sz w:val="20"/>
                <w:szCs w:val="20"/>
              </w:rPr>
            </w:pPr>
            <w:r w:rsidRPr="004338B6">
              <w:rPr>
                <w:rFonts w:ascii="Arial Narrow" w:hAnsi="Arial Narrow" w:cs="Arial"/>
                <w:sz w:val="20"/>
                <w:szCs w:val="20"/>
              </w:rPr>
              <w:fldChar w:fldCharType="begin">
                <w:ffData>
                  <w:name w:val="Check5"/>
                  <w:enabled/>
                  <w:calcOnExit w:val="0"/>
                  <w:checkBox>
                    <w:sizeAuto/>
                    <w:default w:val="0"/>
                  </w:checkBox>
                </w:ffData>
              </w:fldChar>
            </w:r>
            <w:r w:rsidRPr="004338B6">
              <w:rPr>
                <w:rFonts w:ascii="Arial Narrow" w:hAnsi="Arial Narrow" w:cs="Arial"/>
                <w:sz w:val="20"/>
                <w:szCs w:val="20"/>
              </w:rPr>
              <w:instrText xml:space="preserve"> FORMCHECKBOX </w:instrText>
            </w:r>
            <w:r w:rsidR="0090474F">
              <w:rPr>
                <w:rFonts w:ascii="Arial Narrow" w:hAnsi="Arial Narrow" w:cs="Arial"/>
                <w:sz w:val="20"/>
                <w:szCs w:val="20"/>
              </w:rPr>
            </w:r>
            <w:r w:rsidR="0090474F">
              <w:rPr>
                <w:rFonts w:ascii="Arial Narrow" w:hAnsi="Arial Narrow" w:cs="Arial"/>
                <w:sz w:val="20"/>
                <w:szCs w:val="20"/>
              </w:rPr>
              <w:fldChar w:fldCharType="separate"/>
            </w:r>
            <w:r w:rsidRPr="004338B6">
              <w:rPr>
                <w:rFonts w:ascii="Arial Narrow" w:hAnsi="Arial Narrow" w:cs="Arial"/>
                <w:sz w:val="20"/>
                <w:szCs w:val="20"/>
              </w:rPr>
              <w:fldChar w:fldCharType="end"/>
            </w:r>
            <w:r w:rsidRPr="004338B6">
              <w:rPr>
                <w:rFonts w:ascii="Arial Narrow" w:hAnsi="Arial Narrow" w:cs="Arial"/>
                <w:sz w:val="20"/>
                <w:szCs w:val="20"/>
              </w:rPr>
              <w:t>Streamlined</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rPr>
                <w:rFonts w:ascii="Arial Narrow" w:hAnsi="Arial Narrow" w:cs="Arial"/>
                <w:sz w:val="20"/>
                <w:szCs w:val="20"/>
              </w:rPr>
            </w:pPr>
            <w:r w:rsidRPr="00300918">
              <w:rPr>
                <w:rFonts w:ascii="Arial Narrow" w:hAnsi="Arial Narrow" w:cs="Arial"/>
                <w:b/>
                <w:sz w:val="20"/>
                <w:szCs w:val="20"/>
              </w:rPr>
              <w:t>Treatment criteria:</w:t>
            </w:r>
          </w:p>
        </w:tc>
        <w:tc>
          <w:tcPr>
            <w:tcW w:w="6379" w:type="dxa"/>
            <w:gridSpan w:val="5"/>
            <w:tcBorders>
              <w:top w:val="single" w:sz="4" w:space="0" w:color="auto"/>
              <w:left w:val="single" w:sz="4" w:space="0" w:color="auto"/>
              <w:bottom w:val="single" w:sz="4" w:space="0" w:color="auto"/>
              <w:right w:val="single" w:sz="4" w:space="0" w:color="auto"/>
            </w:tcBorders>
          </w:tcPr>
          <w:p w:rsidR="00DB4527" w:rsidRDefault="00444CE0" w:rsidP="0050319E">
            <w:pPr>
              <w:spacing w:before="0" w:after="0"/>
              <w:rPr>
                <w:rFonts w:ascii="Arial Narrow" w:hAnsi="Arial Narrow" w:cs="Arial"/>
                <w:sz w:val="20"/>
                <w:szCs w:val="20"/>
              </w:rPr>
            </w:pPr>
            <w:r w:rsidRPr="00300918">
              <w:rPr>
                <w:rFonts w:ascii="Arial Narrow" w:hAnsi="Arial Narrow" w:cs="Arial"/>
                <w:sz w:val="20"/>
                <w:szCs w:val="20"/>
              </w:rPr>
              <w:t>Must be treated by an ophthalmologist</w:t>
            </w:r>
            <w:r w:rsidR="00DB4527">
              <w:rPr>
                <w:rFonts w:ascii="Arial Narrow" w:hAnsi="Arial Narrow" w:cs="Arial"/>
                <w:sz w:val="20"/>
                <w:szCs w:val="20"/>
              </w:rPr>
              <w:t>;</w:t>
            </w:r>
            <w:r w:rsidRPr="00300918">
              <w:rPr>
                <w:rFonts w:ascii="Arial Narrow" w:hAnsi="Arial Narrow" w:cs="Arial"/>
                <w:sz w:val="20"/>
                <w:szCs w:val="20"/>
              </w:rPr>
              <w:t xml:space="preserve"> </w:t>
            </w:r>
          </w:p>
          <w:p w:rsidR="00DB4527" w:rsidRDefault="00DB4527" w:rsidP="0050319E">
            <w:pPr>
              <w:spacing w:before="0" w:after="0"/>
              <w:rPr>
                <w:rFonts w:ascii="Arial Narrow" w:hAnsi="Arial Narrow" w:cs="Arial"/>
                <w:sz w:val="20"/>
                <w:szCs w:val="20"/>
              </w:rPr>
            </w:pPr>
          </w:p>
          <w:p w:rsidR="00DB4527" w:rsidRDefault="00444CE0" w:rsidP="0050319E">
            <w:pPr>
              <w:spacing w:before="0" w:after="0"/>
              <w:rPr>
                <w:rFonts w:ascii="Arial Narrow" w:hAnsi="Arial Narrow" w:cs="Arial"/>
                <w:sz w:val="20"/>
                <w:szCs w:val="20"/>
              </w:rPr>
            </w:pPr>
            <w:r w:rsidRPr="00300918">
              <w:rPr>
                <w:rFonts w:ascii="Arial Narrow" w:hAnsi="Arial Narrow" w:cs="Arial"/>
                <w:sz w:val="20"/>
                <w:szCs w:val="20"/>
              </w:rPr>
              <w:t xml:space="preserve">or </w:t>
            </w:r>
          </w:p>
          <w:p w:rsidR="00DB4527" w:rsidRDefault="00DB4527" w:rsidP="0050319E">
            <w:pPr>
              <w:spacing w:before="0" w:after="0"/>
              <w:rPr>
                <w:rFonts w:ascii="Arial Narrow" w:hAnsi="Arial Narrow" w:cs="Arial"/>
                <w:sz w:val="20"/>
                <w:szCs w:val="20"/>
              </w:rPr>
            </w:pPr>
          </w:p>
          <w:p w:rsidR="00444CE0" w:rsidRPr="00300918" w:rsidRDefault="00DB4527" w:rsidP="0050319E">
            <w:pPr>
              <w:spacing w:before="0" w:after="0"/>
              <w:rPr>
                <w:rFonts w:ascii="Arial Narrow" w:hAnsi="Arial Narrow" w:cs="Arial"/>
                <w:sz w:val="20"/>
                <w:szCs w:val="20"/>
              </w:rPr>
            </w:pPr>
            <w:r>
              <w:rPr>
                <w:rFonts w:ascii="Arial Narrow" w:hAnsi="Arial Narrow" w:cs="Arial"/>
                <w:sz w:val="20"/>
                <w:szCs w:val="20"/>
              </w:rPr>
              <w:t>Must be treated i</w:t>
            </w:r>
            <w:r w:rsidRPr="00300918">
              <w:rPr>
                <w:rFonts w:ascii="Arial Narrow" w:hAnsi="Arial Narrow" w:cs="Arial"/>
                <w:sz w:val="20"/>
                <w:szCs w:val="20"/>
              </w:rPr>
              <w:t xml:space="preserve">n </w:t>
            </w:r>
            <w:r w:rsidR="00444CE0" w:rsidRPr="00300918">
              <w:rPr>
                <w:rFonts w:ascii="Arial Narrow" w:hAnsi="Arial Narrow" w:cs="Arial"/>
                <w:sz w:val="20"/>
                <w:szCs w:val="20"/>
              </w:rPr>
              <w:t>consultation with an ophthalmologist.</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b/>
                <w:sz w:val="20"/>
                <w:szCs w:val="20"/>
              </w:rPr>
            </w:pPr>
            <w:r w:rsidRPr="00300918">
              <w:rPr>
                <w:rFonts w:ascii="Arial Narrow" w:hAnsi="Arial Narrow" w:cs="Arial"/>
                <w:b/>
                <w:sz w:val="20"/>
                <w:szCs w:val="20"/>
              </w:rPr>
              <w:t>Clinical criteria:</w:t>
            </w:r>
          </w:p>
          <w:p w:rsidR="00444CE0" w:rsidRPr="00300918" w:rsidRDefault="00444CE0" w:rsidP="0050319E">
            <w:pPr>
              <w:spacing w:before="0" w:after="0"/>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44CE0" w:rsidRPr="008E29F0" w:rsidRDefault="00444CE0" w:rsidP="0050319E">
            <w:pPr>
              <w:spacing w:before="0" w:after="0"/>
              <w:rPr>
                <w:rFonts w:ascii="Arial Narrow" w:hAnsi="Arial Narrow" w:cs="Arial"/>
                <w:sz w:val="20"/>
                <w:szCs w:val="20"/>
              </w:rPr>
            </w:pPr>
            <w:r w:rsidRPr="008E29F0">
              <w:rPr>
                <w:rFonts w:ascii="Arial Narrow" w:hAnsi="Arial Narrow" w:cs="Arial"/>
                <w:sz w:val="20"/>
                <w:szCs w:val="20"/>
              </w:rPr>
              <w:t xml:space="preserve">Patient must have </w:t>
            </w:r>
            <w:r w:rsidR="007C22DD">
              <w:rPr>
                <w:rFonts w:ascii="Arial Narrow" w:hAnsi="Arial Narrow" w:cs="Arial"/>
                <w:sz w:val="20"/>
                <w:szCs w:val="20"/>
              </w:rPr>
              <w:t xml:space="preserve">a </w:t>
            </w:r>
            <w:r w:rsidRPr="008E29F0">
              <w:rPr>
                <w:rFonts w:ascii="Arial Narrow" w:hAnsi="Arial Narrow" w:cs="Arial"/>
                <w:sz w:val="20"/>
                <w:szCs w:val="20"/>
              </w:rPr>
              <w:t xml:space="preserve">documented </w:t>
            </w:r>
            <w:r w:rsidR="007C22DD">
              <w:rPr>
                <w:rFonts w:ascii="Arial Narrow" w:hAnsi="Arial Narrow" w:cs="Arial"/>
                <w:sz w:val="20"/>
                <w:szCs w:val="20"/>
              </w:rPr>
              <w:t xml:space="preserve">best-corrected visual acuity </w:t>
            </w:r>
            <w:r w:rsidRPr="008E29F0">
              <w:rPr>
                <w:rFonts w:ascii="Arial Narrow" w:hAnsi="Arial Narrow" w:cs="Arial"/>
                <w:sz w:val="20"/>
                <w:szCs w:val="20"/>
              </w:rPr>
              <w:t>(BCVA</w:t>
            </w:r>
            <w:r w:rsidR="007C22DD">
              <w:rPr>
                <w:rFonts w:ascii="Arial Narrow" w:hAnsi="Arial Narrow" w:cs="Arial"/>
                <w:sz w:val="20"/>
                <w:szCs w:val="20"/>
              </w:rPr>
              <w:t>) of 6</w:t>
            </w:r>
            <w:r w:rsidR="00CC6B74">
              <w:rPr>
                <w:rFonts w:ascii="Arial Narrow" w:hAnsi="Arial Narrow" w:cs="Arial"/>
                <w:sz w:val="20"/>
                <w:szCs w:val="20"/>
              </w:rPr>
              <w:t>/12</w:t>
            </w:r>
            <w:r w:rsidR="007C22DD">
              <w:rPr>
                <w:rFonts w:ascii="Arial Narrow" w:hAnsi="Arial Narrow" w:cs="Arial"/>
                <w:sz w:val="20"/>
                <w:szCs w:val="20"/>
              </w:rPr>
              <w:t xml:space="preserve"> or less</w:t>
            </w:r>
            <w:r w:rsidRPr="008E29F0">
              <w:rPr>
                <w:rFonts w:ascii="Arial Narrow" w:hAnsi="Arial Narrow" w:cs="Arial"/>
                <w:sz w:val="20"/>
                <w:szCs w:val="20"/>
              </w:rPr>
              <w:t xml:space="preserve"> secondary to vitreous haze or macular oedema.</w:t>
            </w:r>
          </w:p>
          <w:p w:rsidR="00BC0FD6" w:rsidRDefault="00BC0FD6" w:rsidP="0050319E">
            <w:pPr>
              <w:spacing w:before="0" w:after="0"/>
              <w:rPr>
                <w:rFonts w:ascii="Arial Narrow" w:hAnsi="Arial Narrow" w:cs="Arial"/>
                <w:i/>
                <w:sz w:val="20"/>
                <w:szCs w:val="20"/>
              </w:rPr>
            </w:pPr>
          </w:p>
          <w:p w:rsidR="00444CE0" w:rsidRPr="008E29F0" w:rsidRDefault="00444CE0" w:rsidP="0050319E">
            <w:pPr>
              <w:spacing w:before="0" w:after="0"/>
              <w:rPr>
                <w:rFonts w:ascii="Arial Narrow" w:hAnsi="Arial Narrow" w:cs="Arial"/>
                <w:i/>
                <w:sz w:val="20"/>
                <w:szCs w:val="20"/>
              </w:rPr>
            </w:pPr>
            <w:r w:rsidRPr="008E29F0">
              <w:rPr>
                <w:rFonts w:ascii="Arial Narrow" w:hAnsi="Arial Narrow" w:cs="Arial"/>
                <w:i/>
                <w:sz w:val="20"/>
                <w:szCs w:val="20"/>
              </w:rPr>
              <w:t>AND</w:t>
            </w:r>
          </w:p>
          <w:p w:rsidR="00444CE0" w:rsidRPr="00E33424" w:rsidRDefault="00444CE0" w:rsidP="00692354">
            <w:pPr>
              <w:spacing w:before="0" w:after="0"/>
              <w:rPr>
                <w:rFonts w:ascii="Arial Narrow" w:hAnsi="Arial Narrow" w:cs="Arial"/>
                <w:i/>
                <w:sz w:val="20"/>
                <w:szCs w:val="20"/>
              </w:rPr>
            </w:pPr>
          </w:p>
          <w:p w:rsidR="00444CE0" w:rsidRPr="0032025E" w:rsidRDefault="00444CE0" w:rsidP="0032025E">
            <w:pPr>
              <w:spacing w:before="0" w:after="0"/>
              <w:rPr>
                <w:rFonts w:ascii="Arial Narrow" w:hAnsi="Arial Narrow" w:cs="Arial"/>
                <w:i/>
                <w:sz w:val="20"/>
                <w:szCs w:val="20"/>
              </w:rPr>
            </w:pPr>
            <w:r w:rsidRPr="00300918">
              <w:rPr>
                <w:rFonts w:ascii="Arial Narrow" w:hAnsi="Arial Narrow" w:cs="Arial"/>
                <w:i/>
                <w:sz w:val="20"/>
                <w:szCs w:val="20"/>
              </w:rPr>
              <w:t>Patient must have unilateral</w:t>
            </w:r>
            <w:r w:rsidR="00D364C4">
              <w:rPr>
                <w:rFonts w:ascii="Arial Narrow" w:hAnsi="Arial Narrow" w:cs="Arial"/>
                <w:i/>
                <w:sz w:val="20"/>
                <w:szCs w:val="20"/>
              </w:rPr>
              <w:t xml:space="preserve">, </w:t>
            </w:r>
            <w:r w:rsidRPr="00300918">
              <w:rPr>
                <w:rFonts w:ascii="Arial Narrow" w:hAnsi="Arial Narrow" w:cs="Arial"/>
                <w:i/>
                <w:sz w:val="20"/>
                <w:szCs w:val="20"/>
              </w:rPr>
              <w:t>asymmetric</w:t>
            </w:r>
            <w:r w:rsidR="00D364C4">
              <w:rPr>
                <w:rFonts w:ascii="Arial Narrow" w:hAnsi="Arial Narrow" w:cs="Arial"/>
                <w:i/>
                <w:sz w:val="20"/>
                <w:szCs w:val="20"/>
              </w:rPr>
              <w:t xml:space="preserve"> or </w:t>
            </w:r>
            <w:r w:rsidRPr="00300918">
              <w:rPr>
                <w:rFonts w:ascii="Arial Narrow" w:hAnsi="Arial Narrow" w:cs="Arial"/>
                <w:i/>
                <w:sz w:val="20"/>
                <w:szCs w:val="20"/>
              </w:rPr>
              <w:t xml:space="preserve">bilateral flare-up </w:t>
            </w:r>
            <w:r w:rsidR="009021F0">
              <w:rPr>
                <w:rFonts w:ascii="Arial Narrow" w:hAnsi="Arial Narrow" w:cs="Arial"/>
                <w:i/>
                <w:sz w:val="20"/>
                <w:szCs w:val="20"/>
              </w:rPr>
              <w:t xml:space="preserve">where systemic treatment or further intensification </w:t>
            </w:r>
            <w:r w:rsidR="00147AFB">
              <w:rPr>
                <w:rFonts w:ascii="Arial Narrow" w:hAnsi="Arial Narrow" w:cs="Arial"/>
                <w:i/>
                <w:sz w:val="20"/>
                <w:szCs w:val="20"/>
              </w:rPr>
              <w:t xml:space="preserve">of systemic treatment </w:t>
            </w:r>
            <w:r w:rsidR="009021F0">
              <w:rPr>
                <w:rFonts w:ascii="Arial Narrow" w:hAnsi="Arial Narrow" w:cs="Arial"/>
                <w:i/>
                <w:sz w:val="20"/>
                <w:szCs w:val="20"/>
              </w:rPr>
              <w:t xml:space="preserve">is </w:t>
            </w:r>
            <w:r w:rsidR="0032025E">
              <w:rPr>
                <w:rFonts w:ascii="Arial Narrow" w:hAnsi="Arial Narrow" w:cs="Arial"/>
                <w:i/>
                <w:sz w:val="20"/>
                <w:szCs w:val="20"/>
              </w:rPr>
              <w:t xml:space="preserve">not clinically </w:t>
            </w:r>
            <w:r w:rsidR="009021F0">
              <w:rPr>
                <w:rFonts w:ascii="Arial Narrow" w:hAnsi="Arial Narrow" w:cs="Arial"/>
                <w:i/>
                <w:sz w:val="20"/>
                <w:szCs w:val="20"/>
              </w:rPr>
              <w:t>indicated</w:t>
            </w:r>
            <w:r w:rsidR="00ED383E">
              <w:rPr>
                <w:rFonts w:ascii="Arial Narrow" w:hAnsi="Arial Narrow" w:cs="Arial"/>
                <w:i/>
                <w:sz w:val="20"/>
                <w:szCs w:val="20"/>
              </w:rPr>
              <w:t>;</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sz w:val="20"/>
                <w:szCs w:val="20"/>
              </w:rPr>
            </w:pPr>
            <w:r w:rsidRPr="00300918">
              <w:rPr>
                <w:rFonts w:ascii="Arial Narrow" w:hAnsi="Arial Narrow" w:cs="Arial"/>
                <w:b/>
                <w:sz w:val="20"/>
                <w:szCs w:val="20"/>
              </w:rPr>
              <w:t>Population criteria:</w:t>
            </w: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rPr>
                <w:rFonts w:ascii="Arial Narrow" w:hAnsi="Arial Narrow" w:cs="Arial"/>
                <w:sz w:val="20"/>
                <w:szCs w:val="20"/>
              </w:rPr>
            </w:pPr>
            <w:r w:rsidRPr="00300918">
              <w:rPr>
                <w:rFonts w:ascii="Arial Narrow" w:hAnsi="Arial Narrow" w:cs="Arial"/>
                <w:sz w:val="20"/>
                <w:szCs w:val="20"/>
              </w:rPr>
              <w:t>-</w:t>
            </w:r>
          </w:p>
          <w:p w:rsidR="00444CE0" w:rsidRPr="00300918" w:rsidRDefault="00444CE0" w:rsidP="0050319E">
            <w:pPr>
              <w:spacing w:before="0" w:after="0"/>
              <w:jc w:val="both"/>
              <w:rPr>
                <w:rFonts w:ascii="Arial Narrow" w:hAnsi="Arial Narrow" w:cs="Arial"/>
                <w:sz w:val="20"/>
                <w:szCs w:val="20"/>
              </w:rPr>
            </w:pP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b/>
                <w:sz w:val="20"/>
                <w:szCs w:val="20"/>
              </w:rPr>
            </w:pPr>
            <w:r w:rsidRPr="00300918">
              <w:rPr>
                <w:rFonts w:ascii="Arial Narrow" w:hAnsi="Arial Narrow" w:cs="Arial"/>
                <w:b/>
                <w:sz w:val="20"/>
                <w:szCs w:val="20"/>
              </w:rPr>
              <w:t>Prescriber Instructions</w:t>
            </w:r>
          </w:p>
          <w:p w:rsidR="00444CE0" w:rsidRPr="00300918" w:rsidRDefault="00444CE0" w:rsidP="0050319E">
            <w:pPr>
              <w:spacing w:before="0" w:after="0"/>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8055E" w:rsidP="00E93B10">
            <w:pPr>
              <w:spacing w:before="0" w:after="0"/>
              <w:rPr>
                <w:rFonts w:ascii="Arial Narrow" w:hAnsi="Arial Narrow" w:cs="Arial"/>
                <w:sz w:val="20"/>
                <w:szCs w:val="20"/>
              </w:rPr>
            </w:pPr>
            <w:r>
              <w:rPr>
                <w:rFonts w:ascii="Arial Narrow" w:hAnsi="Arial Narrow" w:cs="Arial"/>
                <w:sz w:val="20"/>
                <w:szCs w:val="20"/>
              </w:rPr>
              <w:t>-</w:t>
            </w:r>
          </w:p>
        </w:tc>
      </w:tr>
      <w:tr w:rsidR="00444CE0" w:rsidRPr="00300918" w:rsidTr="0050319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44CE0" w:rsidRPr="00300918" w:rsidRDefault="00444CE0" w:rsidP="0050319E">
            <w:pPr>
              <w:spacing w:before="0" w:after="0"/>
              <w:jc w:val="both"/>
              <w:rPr>
                <w:rFonts w:ascii="Arial Narrow" w:hAnsi="Arial Narrow" w:cs="Arial"/>
                <w:b/>
                <w:sz w:val="20"/>
                <w:szCs w:val="20"/>
              </w:rPr>
            </w:pPr>
            <w:r w:rsidRPr="00300918">
              <w:rPr>
                <w:rFonts w:ascii="Arial Narrow" w:hAnsi="Arial Narrow" w:cs="Arial"/>
                <w:b/>
                <w:sz w:val="20"/>
                <w:szCs w:val="20"/>
              </w:rPr>
              <w:t>Administrative Advice</w:t>
            </w:r>
          </w:p>
          <w:p w:rsidR="00444CE0" w:rsidRPr="00300918" w:rsidRDefault="00444CE0" w:rsidP="0050319E">
            <w:pPr>
              <w:spacing w:before="0" w:after="0"/>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44CE0" w:rsidRPr="00300918" w:rsidRDefault="0048055E" w:rsidP="0050319E">
            <w:pPr>
              <w:spacing w:before="0" w:after="0"/>
              <w:rPr>
                <w:rFonts w:ascii="Arial Narrow" w:hAnsi="Arial Narrow" w:cs="Arial"/>
                <w:sz w:val="20"/>
                <w:szCs w:val="20"/>
              </w:rPr>
            </w:pPr>
            <w:r>
              <w:rPr>
                <w:rFonts w:ascii="Arial Narrow" w:hAnsi="Arial Narrow" w:cs="Arial"/>
                <w:sz w:val="20"/>
                <w:szCs w:val="20"/>
              </w:rPr>
              <w:t>-</w:t>
            </w:r>
          </w:p>
        </w:tc>
      </w:tr>
    </w:tbl>
    <w:p w:rsidR="00444CE0" w:rsidRPr="00300918" w:rsidRDefault="00444CE0"/>
    <w:p w:rsidR="00583889" w:rsidRPr="00583889" w:rsidRDefault="00583889" w:rsidP="00583889">
      <w:pPr>
        <w:pStyle w:val="Heading1"/>
        <w:numPr>
          <w:ilvl w:val="0"/>
          <w:numId w:val="1"/>
        </w:numPr>
        <w:ind w:left="709" w:hanging="709"/>
        <w:rPr>
          <w:rFonts w:cs="Arial"/>
          <w:bCs/>
          <w:snapToGrid w:val="0"/>
        </w:rPr>
      </w:pPr>
      <w:r w:rsidRPr="00583889">
        <w:rPr>
          <w:rFonts w:cs="Arial"/>
          <w:bCs/>
          <w:snapToGrid w:val="0"/>
        </w:rPr>
        <w:t>Context for Decision</w:t>
      </w:r>
    </w:p>
    <w:p w:rsidR="00583889" w:rsidRPr="00583889" w:rsidRDefault="00583889" w:rsidP="00583889">
      <w:pPr>
        <w:spacing w:after="120"/>
        <w:jc w:val="both"/>
        <w:rPr>
          <w:rFonts w:ascii="Calibri" w:eastAsia="Calibri" w:hAnsi="Calibri" w:cs="Arial"/>
        </w:rPr>
      </w:pPr>
      <w:r w:rsidRPr="00583889">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83889" w:rsidRDefault="00583889" w:rsidP="00583889">
      <w:pPr>
        <w:pStyle w:val="Heading1"/>
        <w:numPr>
          <w:ilvl w:val="0"/>
          <w:numId w:val="1"/>
        </w:numPr>
        <w:ind w:left="709" w:hanging="709"/>
        <w:rPr>
          <w:rFonts w:cs="Arial"/>
          <w:bCs/>
          <w:snapToGrid w:val="0"/>
        </w:rPr>
      </w:pPr>
      <w:r w:rsidRPr="00583889">
        <w:rPr>
          <w:rFonts w:cs="Arial"/>
          <w:bCs/>
          <w:snapToGrid w:val="0"/>
        </w:rPr>
        <w:t>Sponsor’s Comment</w:t>
      </w:r>
    </w:p>
    <w:p w:rsidR="00264BA2" w:rsidRPr="00264BA2" w:rsidRDefault="00264BA2" w:rsidP="00264BA2">
      <w:pPr>
        <w:rPr>
          <w:rFonts w:ascii="Calibri" w:eastAsia="Calibri" w:hAnsi="Calibri" w:cs="Arial"/>
        </w:rPr>
      </w:pPr>
      <w:r w:rsidRPr="00264BA2">
        <w:rPr>
          <w:rFonts w:ascii="Calibri" w:eastAsia="Calibri" w:hAnsi="Calibri" w:cs="Arial"/>
        </w:rPr>
        <w:t>Allergan welcomes the PBAC’s decision to recommend dexamethasone implant for treatment of non-infectious uveitis affecting the posterior segment of the eye.</w:t>
      </w:r>
    </w:p>
    <w:p w:rsidR="00264BA2" w:rsidRPr="00264BA2" w:rsidRDefault="00264BA2" w:rsidP="00264BA2"/>
    <w:sectPr w:rsidR="00264BA2" w:rsidRPr="00264BA2" w:rsidSect="00D051B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2C93F" w15:done="0"/>
  <w15:commentEx w15:paraId="4002CAF2" w15:done="0"/>
  <w15:commentEx w15:paraId="571FADD5" w15:done="0"/>
  <w15:commentEx w15:paraId="3AC02E4D" w15:paraIdParent="571FADD5" w15:done="0"/>
  <w15:commentEx w15:paraId="68463950" w15:done="0"/>
  <w15:commentEx w15:paraId="555939C6" w15:done="0"/>
  <w15:commentEx w15:paraId="3AE72F2B" w15:done="0"/>
  <w15:commentEx w15:paraId="0E115F4C" w15:done="0"/>
  <w15:commentEx w15:paraId="42482E40" w15:done="0"/>
  <w15:commentEx w15:paraId="25B6DB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4F" w:rsidRDefault="0090474F" w:rsidP="00BA3306">
      <w:pPr>
        <w:spacing w:before="0" w:after="0"/>
      </w:pPr>
      <w:r>
        <w:separator/>
      </w:r>
    </w:p>
  </w:endnote>
  <w:endnote w:type="continuationSeparator" w:id="0">
    <w:p w:rsidR="0090474F" w:rsidRDefault="0090474F"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4F" w:rsidRDefault="00904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10" w:rsidRPr="009A4067" w:rsidRDefault="00F93D10" w:rsidP="009A4067">
    <w:pPr>
      <w:pStyle w:val="Footer"/>
      <w:jc w:val="cente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90474F">
      <w:rPr>
        <w:rFonts w:ascii="Calibri" w:hAnsi="Calibri" w:cs="Arial"/>
        <w:b/>
        <w:noProof/>
        <w:sz w:val="20"/>
      </w:rPr>
      <w:t>1</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4F" w:rsidRDefault="00904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4F" w:rsidRDefault="0090474F" w:rsidP="00BA3306">
      <w:pPr>
        <w:spacing w:before="0" w:after="0"/>
      </w:pPr>
      <w:r>
        <w:separator/>
      </w:r>
    </w:p>
  </w:footnote>
  <w:footnote w:type="continuationSeparator" w:id="0">
    <w:p w:rsidR="0090474F" w:rsidRDefault="0090474F"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4F" w:rsidRDefault="00904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10" w:rsidRPr="00F90A91" w:rsidRDefault="00F93D10" w:rsidP="00856D3A">
    <w:pPr>
      <w:pStyle w:val="Header"/>
      <w:ind w:left="360"/>
      <w:jc w:val="center"/>
      <w:rPr>
        <w:rFonts w:cs="Arial"/>
        <w:i/>
        <w:color w:val="808080"/>
        <w:sz w:val="22"/>
      </w:rPr>
    </w:pPr>
    <w:r>
      <w:rPr>
        <w:rFonts w:cs="Arial"/>
        <w:i/>
        <w:color w:val="808080"/>
        <w:sz w:val="22"/>
      </w:rPr>
      <w:t>Public Summary Document</w:t>
    </w:r>
    <w:r w:rsidRPr="00F90A91">
      <w:rPr>
        <w:rFonts w:cs="Arial"/>
        <w:i/>
        <w:color w:val="808080"/>
        <w:sz w:val="22"/>
      </w:rPr>
      <w:t xml:space="preserve"> – </w:t>
    </w:r>
    <w:r>
      <w:rPr>
        <w:rFonts w:cs="Arial"/>
        <w:i/>
        <w:color w:val="808080"/>
        <w:sz w:val="22"/>
      </w:rPr>
      <w:t xml:space="preserve">November 2017 </w:t>
    </w:r>
    <w:r w:rsidRPr="00F90A91">
      <w:rPr>
        <w:rFonts w:cs="Arial"/>
        <w:i/>
        <w:color w:val="808080"/>
        <w:sz w:val="22"/>
      </w:rPr>
      <w:t>PBAC Meeting</w:t>
    </w:r>
  </w:p>
  <w:p w:rsidR="00F93D10" w:rsidRPr="00856D3A" w:rsidRDefault="00F93D10" w:rsidP="00856D3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4F" w:rsidRDefault="00904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F61E4D"/>
    <w:multiLevelType w:val="hybridMultilevel"/>
    <w:tmpl w:val="72E63B76"/>
    <w:lvl w:ilvl="0" w:tplc="78A49F26">
      <w:start w:val="1"/>
      <w:numFmt w:val="bullet"/>
      <w:lvlText w:val="•"/>
      <w:lvlJc w:val="left"/>
      <w:pPr>
        <w:tabs>
          <w:tab w:val="num" w:pos="720"/>
        </w:tabs>
        <w:ind w:left="720" w:hanging="360"/>
      </w:pPr>
      <w:rPr>
        <w:rFonts w:ascii="Times New Roman" w:hAnsi="Times New Roman" w:hint="default"/>
      </w:rPr>
    </w:lvl>
    <w:lvl w:ilvl="1" w:tplc="0D56E6DC" w:tentative="1">
      <w:start w:val="1"/>
      <w:numFmt w:val="bullet"/>
      <w:lvlText w:val="•"/>
      <w:lvlJc w:val="left"/>
      <w:pPr>
        <w:tabs>
          <w:tab w:val="num" w:pos="1440"/>
        </w:tabs>
        <w:ind w:left="1440" w:hanging="360"/>
      </w:pPr>
      <w:rPr>
        <w:rFonts w:ascii="Times New Roman" w:hAnsi="Times New Roman" w:hint="default"/>
      </w:rPr>
    </w:lvl>
    <w:lvl w:ilvl="2" w:tplc="05C6C572" w:tentative="1">
      <w:start w:val="1"/>
      <w:numFmt w:val="bullet"/>
      <w:lvlText w:val="•"/>
      <w:lvlJc w:val="left"/>
      <w:pPr>
        <w:tabs>
          <w:tab w:val="num" w:pos="2160"/>
        </w:tabs>
        <w:ind w:left="2160" w:hanging="360"/>
      </w:pPr>
      <w:rPr>
        <w:rFonts w:ascii="Times New Roman" w:hAnsi="Times New Roman" w:hint="default"/>
      </w:rPr>
    </w:lvl>
    <w:lvl w:ilvl="3" w:tplc="36DE5E82" w:tentative="1">
      <w:start w:val="1"/>
      <w:numFmt w:val="bullet"/>
      <w:lvlText w:val="•"/>
      <w:lvlJc w:val="left"/>
      <w:pPr>
        <w:tabs>
          <w:tab w:val="num" w:pos="2880"/>
        </w:tabs>
        <w:ind w:left="2880" w:hanging="360"/>
      </w:pPr>
      <w:rPr>
        <w:rFonts w:ascii="Times New Roman" w:hAnsi="Times New Roman" w:hint="default"/>
      </w:rPr>
    </w:lvl>
    <w:lvl w:ilvl="4" w:tplc="2D72FBD8" w:tentative="1">
      <w:start w:val="1"/>
      <w:numFmt w:val="bullet"/>
      <w:lvlText w:val="•"/>
      <w:lvlJc w:val="left"/>
      <w:pPr>
        <w:tabs>
          <w:tab w:val="num" w:pos="3600"/>
        </w:tabs>
        <w:ind w:left="3600" w:hanging="360"/>
      </w:pPr>
      <w:rPr>
        <w:rFonts w:ascii="Times New Roman" w:hAnsi="Times New Roman" w:hint="default"/>
      </w:rPr>
    </w:lvl>
    <w:lvl w:ilvl="5" w:tplc="1070E854" w:tentative="1">
      <w:start w:val="1"/>
      <w:numFmt w:val="bullet"/>
      <w:lvlText w:val="•"/>
      <w:lvlJc w:val="left"/>
      <w:pPr>
        <w:tabs>
          <w:tab w:val="num" w:pos="4320"/>
        </w:tabs>
        <w:ind w:left="4320" w:hanging="360"/>
      </w:pPr>
      <w:rPr>
        <w:rFonts w:ascii="Times New Roman" w:hAnsi="Times New Roman" w:hint="default"/>
      </w:rPr>
    </w:lvl>
    <w:lvl w:ilvl="6" w:tplc="989E4AA8" w:tentative="1">
      <w:start w:val="1"/>
      <w:numFmt w:val="bullet"/>
      <w:lvlText w:val="•"/>
      <w:lvlJc w:val="left"/>
      <w:pPr>
        <w:tabs>
          <w:tab w:val="num" w:pos="5040"/>
        </w:tabs>
        <w:ind w:left="5040" w:hanging="360"/>
      </w:pPr>
      <w:rPr>
        <w:rFonts w:ascii="Times New Roman" w:hAnsi="Times New Roman" w:hint="default"/>
      </w:rPr>
    </w:lvl>
    <w:lvl w:ilvl="7" w:tplc="92A074AC" w:tentative="1">
      <w:start w:val="1"/>
      <w:numFmt w:val="bullet"/>
      <w:lvlText w:val="•"/>
      <w:lvlJc w:val="left"/>
      <w:pPr>
        <w:tabs>
          <w:tab w:val="num" w:pos="5760"/>
        </w:tabs>
        <w:ind w:left="5760" w:hanging="360"/>
      </w:pPr>
      <w:rPr>
        <w:rFonts w:ascii="Times New Roman" w:hAnsi="Times New Roman" w:hint="default"/>
      </w:rPr>
    </w:lvl>
    <w:lvl w:ilvl="8" w:tplc="5C14E2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69506E4"/>
    <w:multiLevelType w:val="hybridMultilevel"/>
    <w:tmpl w:val="32509B42"/>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6">
    <w:nsid w:val="18327C30"/>
    <w:multiLevelType w:val="hybridMultilevel"/>
    <w:tmpl w:val="3FC2634E"/>
    <w:lvl w:ilvl="0" w:tplc="12AA6B06">
      <w:start w:val="1"/>
      <w:numFmt w:val="bullet"/>
      <w:lvlText w:val="•"/>
      <w:lvlJc w:val="left"/>
      <w:pPr>
        <w:tabs>
          <w:tab w:val="num" w:pos="720"/>
        </w:tabs>
        <w:ind w:left="720" w:hanging="360"/>
      </w:pPr>
      <w:rPr>
        <w:rFonts w:ascii="Times New Roman" w:hAnsi="Times New Roman" w:hint="default"/>
      </w:rPr>
    </w:lvl>
    <w:lvl w:ilvl="1" w:tplc="2F202886" w:tentative="1">
      <w:start w:val="1"/>
      <w:numFmt w:val="bullet"/>
      <w:lvlText w:val="•"/>
      <w:lvlJc w:val="left"/>
      <w:pPr>
        <w:tabs>
          <w:tab w:val="num" w:pos="1440"/>
        </w:tabs>
        <w:ind w:left="1440" w:hanging="360"/>
      </w:pPr>
      <w:rPr>
        <w:rFonts w:ascii="Times New Roman" w:hAnsi="Times New Roman" w:hint="default"/>
      </w:rPr>
    </w:lvl>
    <w:lvl w:ilvl="2" w:tplc="FFDADE92" w:tentative="1">
      <w:start w:val="1"/>
      <w:numFmt w:val="bullet"/>
      <w:lvlText w:val="•"/>
      <w:lvlJc w:val="left"/>
      <w:pPr>
        <w:tabs>
          <w:tab w:val="num" w:pos="2160"/>
        </w:tabs>
        <w:ind w:left="2160" w:hanging="360"/>
      </w:pPr>
      <w:rPr>
        <w:rFonts w:ascii="Times New Roman" w:hAnsi="Times New Roman" w:hint="default"/>
      </w:rPr>
    </w:lvl>
    <w:lvl w:ilvl="3" w:tplc="1870EB38" w:tentative="1">
      <w:start w:val="1"/>
      <w:numFmt w:val="bullet"/>
      <w:lvlText w:val="•"/>
      <w:lvlJc w:val="left"/>
      <w:pPr>
        <w:tabs>
          <w:tab w:val="num" w:pos="2880"/>
        </w:tabs>
        <w:ind w:left="2880" w:hanging="360"/>
      </w:pPr>
      <w:rPr>
        <w:rFonts w:ascii="Times New Roman" w:hAnsi="Times New Roman" w:hint="default"/>
      </w:rPr>
    </w:lvl>
    <w:lvl w:ilvl="4" w:tplc="4282E9D2" w:tentative="1">
      <w:start w:val="1"/>
      <w:numFmt w:val="bullet"/>
      <w:lvlText w:val="•"/>
      <w:lvlJc w:val="left"/>
      <w:pPr>
        <w:tabs>
          <w:tab w:val="num" w:pos="3600"/>
        </w:tabs>
        <w:ind w:left="3600" w:hanging="360"/>
      </w:pPr>
      <w:rPr>
        <w:rFonts w:ascii="Times New Roman" w:hAnsi="Times New Roman" w:hint="default"/>
      </w:rPr>
    </w:lvl>
    <w:lvl w:ilvl="5" w:tplc="B8F29296" w:tentative="1">
      <w:start w:val="1"/>
      <w:numFmt w:val="bullet"/>
      <w:lvlText w:val="•"/>
      <w:lvlJc w:val="left"/>
      <w:pPr>
        <w:tabs>
          <w:tab w:val="num" w:pos="4320"/>
        </w:tabs>
        <w:ind w:left="4320" w:hanging="360"/>
      </w:pPr>
      <w:rPr>
        <w:rFonts w:ascii="Times New Roman" w:hAnsi="Times New Roman" w:hint="default"/>
      </w:rPr>
    </w:lvl>
    <w:lvl w:ilvl="6" w:tplc="2006E116" w:tentative="1">
      <w:start w:val="1"/>
      <w:numFmt w:val="bullet"/>
      <w:lvlText w:val="•"/>
      <w:lvlJc w:val="left"/>
      <w:pPr>
        <w:tabs>
          <w:tab w:val="num" w:pos="5040"/>
        </w:tabs>
        <w:ind w:left="5040" w:hanging="360"/>
      </w:pPr>
      <w:rPr>
        <w:rFonts w:ascii="Times New Roman" w:hAnsi="Times New Roman" w:hint="default"/>
      </w:rPr>
    </w:lvl>
    <w:lvl w:ilvl="7" w:tplc="A3CA2078" w:tentative="1">
      <w:start w:val="1"/>
      <w:numFmt w:val="bullet"/>
      <w:lvlText w:val="•"/>
      <w:lvlJc w:val="left"/>
      <w:pPr>
        <w:tabs>
          <w:tab w:val="num" w:pos="5760"/>
        </w:tabs>
        <w:ind w:left="5760" w:hanging="360"/>
      </w:pPr>
      <w:rPr>
        <w:rFonts w:ascii="Times New Roman" w:hAnsi="Times New Roman" w:hint="default"/>
      </w:rPr>
    </w:lvl>
    <w:lvl w:ilvl="8" w:tplc="0454868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383609"/>
    <w:multiLevelType w:val="hybridMultilevel"/>
    <w:tmpl w:val="A5BA8238"/>
    <w:lvl w:ilvl="0" w:tplc="A6D6EF4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BF6641"/>
    <w:multiLevelType w:val="hybridMultilevel"/>
    <w:tmpl w:val="1BD2BA3E"/>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25C4CA7"/>
    <w:multiLevelType w:val="multilevel"/>
    <w:tmpl w:val="D242AACA"/>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87721D4"/>
    <w:multiLevelType w:val="hybridMultilevel"/>
    <w:tmpl w:val="DEC832E6"/>
    <w:lvl w:ilvl="0" w:tplc="2C201820">
      <w:start w:val="1"/>
      <w:numFmt w:val="bullet"/>
      <w:lvlText w:val="•"/>
      <w:lvlJc w:val="left"/>
      <w:pPr>
        <w:tabs>
          <w:tab w:val="num" w:pos="720"/>
        </w:tabs>
        <w:ind w:left="720" w:hanging="360"/>
      </w:pPr>
      <w:rPr>
        <w:rFonts w:ascii="Arial" w:hAnsi="Arial" w:hint="default"/>
      </w:rPr>
    </w:lvl>
    <w:lvl w:ilvl="1" w:tplc="E4808FDC">
      <w:start w:val="5980"/>
      <w:numFmt w:val="bullet"/>
      <w:lvlText w:val="•"/>
      <w:lvlJc w:val="left"/>
      <w:pPr>
        <w:tabs>
          <w:tab w:val="num" w:pos="1440"/>
        </w:tabs>
        <w:ind w:left="1440" w:hanging="360"/>
      </w:pPr>
      <w:rPr>
        <w:rFonts w:ascii="Arial" w:hAnsi="Arial" w:hint="default"/>
      </w:rPr>
    </w:lvl>
    <w:lvl w:ilvl="2" w:tplc="4D2E2EE0" w:tentative="1">
      <w:start w:val="1"/>
      <w:numFmt w:val="bullet"/>
      <w:lvlText w:val="•"/>
      <w:lvlJc w:val="left"/>
      <w:pPr>
        <w:tabs>
          <w:tab w:val="num" w:pos="2160"/>
        </w:tabs>
        <w:ind w:left="2160" w:hanging="360"/>
      </w:pPr>
      <w:rPr>
        <w:rFonts w:ascii="Arial" w:hAnsi="Arial" w:hint="default"/>
      </w:rPr>
    </w:lvl>
    <w:lvl w:ilvl="3" w:tplc="D7E270E4" w:tentative="1">
      <w:start w:val="1"/>
      <w:numFmt w:val="bullet"/>
      <w:lvlText w:val="•"/>
      <w:lvlJc w:val="left"/>
      <w:pPr>
        <w:tabs>
          <w:tab w:val="num" w:pos="2880"/>
        </w:tabs>
        <w:ind w:left="2880" w:hanging="360"/>
      </w:pPr>
      <w:rPr>
        <w:rFonts w:ascii="Arial" w:hAnsi="Arial" w:hint="default"/>
      </w:rPr>
    </w:lvl>
    <w:lvl w:ilvl="4" w:tplc="6A7A6484" w:tentative="1">
      <w:start w:val="1"/>
      <w:numFmt w:val="bullet"/>
      <w:lvlText w:val="•"/>
      <w:lvlJc w:val="left"/>
      <w:pPr>
        <w:tabs>
          <w:tab w:val="num" w:pos="3600"/>
        </w:tabs>
        <w:ind w:left="3600" w:hanging="360"/>
      </w:pPr>
      <w:rPr>
        <w:rFonts w:ascii="Arial" w:hAnsi="Arial" w:hint="default"/>
      </w:rPr>
    </w:lvl>
    <w:lvl w:ilvl="5" w:tplc="9EFCB098" w:tentative="1">
      <w:start w:val="1"/>
      <w:numFmt w:val="bullet"/>
      <w:lvlText w:val="•"/>
      <w:lvlJc w:val="left"/>
      <w:pPr>
        <w:tabs>
          <w:tab w:val="num" w:pos="4320"/>
        </w:tabs>
        <w:ind w:left="4320" w:hanging="360"/>
      </w:pPr>
      <w:rPr>
        <w:rFonts w:ascii="Arial" w:hAnsi="Arial" w:hint="default"/>
      </w:rPr>
    </w:lvl>
    <w:lvl w:ilvl="6" w:tplc="6D20ED36" w:tentative="1">
      <w:start w:val="1"/>
      <w:numFmt w:val="bullet"/>
      <w:lvlText w:val="•"/>
      <w:lvlJc w:val="left"/>
      <w:pPr>
        <w:tabs>
          <w:tab w:val="num" w:pos="5040"/>
        </w:tabs>
        <w:ind w:left="5040" w:hanging="360"/>
      </w:pPr>
      <w:rPr>
        <w:rFonts w:ascii="Arial" w:hAnsi="Arial" w:hint="default"/>
      </w:rPr>
    </w:lvl>
    <w:lvl w:ilvl="7" w:tplc="E91EDFEE" w:tentative="1">
      <w:start w:val="1"/>
      <w:numFmt w:val="bullet"/>
      <w:lvlText w:val="•"/>
      <w:lvlJc w:val="left"/>
      <w:pPr>
        <w:tabs>
          <w:tab w:val="num" w:pos="5760"/>
        </w:tabs>
        <w:ind w:left="5760" w:hanging="360"/>
      </w:pPr>
      <w:rPr>
        <w:rFonts w:ascii="Arial" w:hAnsi="Arial" w:hint="default"/>
      </w:rPr>
    </w:lvl>
    <w:lvl w:ilvl="8" w:tplc="446AEEDE" w:tentative="1">
      <w:start w:val="1"/>
      <w:numFmt w:val="bullet"/>
      <w:lvlText w:val="•"/>
      <w:lvlJc w:val="left"/>
      <w:pPr>
        <w:tabs>
          <w:tab w:val="num" w:pos="6480"/>
        </w:tabs>
        <w:ind w:left="6480" w:hanging="360"/>
      </w:pPr>
      <w:rPr>
        <w:rFonts w:ascii="Arial" w:hAnsi="Arial" w:hint="default"/>
      </w:rPr>
    </w:lvl>
  </w:abstractNum>
  <w:abstractNum w:abstractNumId="1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F9B7199"/>
    <w:multiLevelType w:val="hybridMultilevel"/>
    <w:tmpl w:val="3D463012"/>
    <w:lvl w:ilvl="0" w:tplc="7D66326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23A7AE6"/>
    <w:multiLevelType w:val="hybridMultilevel"/>
    <w:tmpl w:val="467A3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7A078AA"/>
    <w:multiLevelType w:val="hybridMultilevel"/>
    <w:tmpl w:val="D65C2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347F5E"/>
    <w:multiLevelType w:val="hybridMultilevel"/>
    <w:tmpl w:val="19BCC9F4"/>
    <w:lvl w:ilvl="0" w:tplc="0E3A389A">
      <w:start w:val="1"/>
      <w:numFmt w:val="bullet"/>
      <w:lvlText w:val="•"/>
      <w:lvlJc w:val="left"/>
      <w:pPr>
        <w:tabs>
          <w:tab w:val="num" w:pos="720"/>
        </w:tabs>
        <w:ind w:left="720" w:hanging="360"/>
      </w:pPr>
      <w:rPr>
        <w:rFonts w:ascii="Arial" w:hAnsi="Arial" w:hint="default"/>
      </w:rPr>
    </w:lvl>
    <w:lvl w:ilvl="1" w:tplc="E97258DE" w:tentative="1">
      <w:start w:val="1"/>
      <w:numFmt w:val="bullet"/>
      <w:lvlText w:val="•"/>
      <w:lvlJc w:val="left"/>
      <w:pPr>
        <w:tabs>
          <w:tab w:val="num" w:pos="1440"/>
        </w:tabs>
        <w:ind w:left="1440" w:hanging="360"/>
      </w:pPr>
      <w:rPr>
        <w:rFonts w:ascii="Arial" w:hAnsi="Arial" w:hint="default"/>
      </w:rPr>
    </w:lvl>
    <w:lvl w:ilvl="2" w:tplc="C0EE127C" w:tentative="1">
      <w:start w:val="1"/>
      <w:numFmt w:val="bullet"/>
      <w:lvlText w:val="•"/>
      <w:lvlJc w:val="left"/>
      <w:pPr>
        <w:tabs>
          <w:tab w:val="num" w:pos="2160"/>
        </w:tabs>
        <w:ind w:left="2160" w:hanging="360"/>
      </w:pPr>
      <w:rPr>
        <w:rFonts w:ascii="Arial" w:hAnsi="Arial" w:hint="default"/>
      </w:rPr>
    </w:lvl>
    <w:lvl w:ilvl="3" w:tplc="697ACEE6" w:tentative="1">
      <w:start w:val="1"/>
      <w:numFmt w:val="bullet"/>
      <w:lvlText w:val="•"/>
      <w:lvlJc w:val="left"/>
      <w:pPr>
        <w:tabs>
          <w:tab w:val="num" w:pos="2880"/>
        </w:tabs>
        <w:ind w:left="2880" w:hanging="360"/>
      </w:pPr>
      <w:rPr>
        <w:rFonts w:ascii="Arial" w:hAnsi="Arial" w:hint="default"/>
      </w:rPr>
    </w:lvl>
    <w:lvl w:ilvl="4" w:tplc="FE022E36" w:tentative="1">
      <w:start w:val="1"/>
      <w:numFmt w:val="bullet"/>
      <w:lvlText w:val="•"/>
      <w:lvlJc w:val="left"/>
      <w:pPr>
        <w:tabs>
          <w:tab w:val="num" w:pos="3600"/>
        </w:tabs>
        <w:ind w:left="3600" w:hanging="360"/>
      </w:pPr>
      <w:rPr>
        <w:rFonts w:ascii="Arial" w:hAnsi="Arial" w:hint="default"/>
      </w:rPr>
    </w:lvl>
    <w:lvl w:ilvl="5" w:tplc="18664CBE" w:tentative="1">
      <w:start w:val="1"/>
      <w:numFmt w:val="bullet"/>
      <w:lvlText w:val="•"/>
      <w:lvlJc w:val="left"/>
      <w:pPr>
        <w:tabs>
          <w:tab w:val="num" w:pos="4320"/>
        </w:tabs>
        <w:ind w:left="4320" w:hanging="360"/>
      </w:pPr>
      <w:rPr>
        <w:rFonts w:ascii="Arial" w:hAnsi="Arial" w:hint="default"/>
      </w:rPr>
    </w:lvl>
    <w:lvl w:ilvl="6" w:tplc="9184095C" w:tentative="1">
      <w:start w:val="1"/>
      <w:numFmt w:val="bullet"/>
      <w:lvlText w:val="•"/>
      <w:lvlJc w:val="left"/>
      <w:pPr>
        <w:tabs>
          <w:tab w:val="num" w:pos="5040"/>
        </w:tabs>
        <w:ind w:left="5040" w:hanging="360"/>
      </w:pPr>
      <w:rPr>
        <w:rFonts w:ascii="Arial" w:hAnsi="Arial" w:hint="default"/>
      </w:rPr>
    </w:lvl>
    <w:lvl w:ilvl="7" w:tplc="6CB02608" w:tentative="1">
      <w:start w:val="1"/>
      <w:numFmt w:val="bullet"/>
      <w:lvlText w:val="•"/>
      <w:lvlJc w:val="left"/>
      <w:pPr>
        <w:tabs>
          <w:tab w:val="num" w:pos="5760"/>
        </w:tabs>
        <w:ind w:left="5760" w:hanging="360"/>
      </w:pPr>
      <w:rPr>
        <w:rFonts w:ascii="Arial" w:hAnsi="Arial" w:hint="default"/>
      </w:rPr>
    </w:lvl>
    <w:lvl w:ilvl="8" w:tplc="54465682" w:tentative="1">
      <w:start w:val="1"/>
      <w:numFmt w:val="bullet"/>
      <w:lvlText w:val="•"/>
      <w:lvlJc w:val="left"/>
      <w:pPr>
        <w:tabs>
          <w:tab w:val="num" w:pos="6480"/>
        </w:tabs>
        <w:ind w:left="6480" w:hanging="360"/>
      </w:pPr>
      <w:rPr>
        <w:rFonts w:ascii="Arial" w:hAnsi="Arial" w:hint="default"/>
      </w:rPr>
    </w:lvl>
  </w:abstractNum>
  <w:abstractNum w:abstractNumId="19">
    <w:nsid w:val="5029733F"/>
    <w:multiLevelType w:val="hybridMultilevel"/>
    <w:tmpl w:val="154A03FE"/>
    <w:lvl w:ilvl="0" w:tplc="7632C618">
      <w:start w:val="1"/>
      <w:numFmt w:val="bullet"/>
      <w:lvlText w:val="•"/>
      <w:lvlJc w:val="left"/>
      <w:pPr>
        <w:tabs>
          <w:tab w:val="num" w:pos="720"/>
        </w:tabs>
        <w:ind w:left="720" w:hanging="360"/>
      </w:pPr>
      <w:rPr>
        <w:rFonts w:ascii="Times New Roman" w:hAnsi="Times New Roman" w:hint="default"/>
      </w:rPr>
    </w:lvl>
    <w:lvl w:ilvl="1" w:tplc="23388306" w:tentative="1">
      <w:start w:val="1"/>
      <w:numFmt w:val="bullet"/>
      <w:lvlText w:val="•"/>
      <w:lvlJc w:val="left"/>
      <w:pPr>
        <w:tabs>
          <w:tab w:val="num" w:pos="1440"/>
        </w:tabs>
        <w:ind w:left="1440" w:hanging="360"/>
      </w:pPr>
      <w:rPr>
        <w:rFonts w:ascii="Times New Roman" w:hAnsi="Times New Roman" w:hint="default"/>
      </w:rPr>
    </w:lvl>
    <w:lvl w:ilvl="2" w:tplc="E35E48B8" w:tentative="1">
      <w:start w:val="1"/>
      <w:numFmt w:val="bullet"/>
      <w:lvlText w:val="•"/>
      <w:lvlJc w:val="left"/>
      <w:pPr>
        <w:tabs>
          <w:tab w:val="num" w:pos="2160"/>
        </w:tabs>
        <w:ind w:left="2160" w:hanging="360"/>
      </w:pPr>
      <w:rPr>
        <w:rFonts w:ascii="Times New Roman" w:hAnsi="Times New Roman" w:hint="default"/>
      </w:rPr>
    </w:lvl>
    <w:lvl w:ilvl="3" w:tplc="1FAEC856" w:tentative="1">
      <w:start w:val="1"/>
      <w:numFmt w:val="bullet"/>
      <w:lvlText w:val="•"/>
      <w:lvlJc w:val="left"/>
      <w:pPr>
        <w:tabs>
          <w:tab w:val="num" w:pos="2880"/>
        </w:tabs>
        <w:ind w:left="2880" w:hanging="360"/>
      </w:pPr>
      <w:rPr>
        <w:rFonts w:ascii="Times New Roman" w:hAnsi="Times New Roman" w:hint="default"/>
      </w:rPr>
    </w:lvl>
    <w:lvl w:ilvl="4" w:tplc="3CBEBF64" w:tentative="1">
      <w:start w:val="1"/>
      <w:numFmt w:val="bullet"/>
      <w:lvlText w:val="•"/>
      <w:lvlJc w:val="left"/>
      <w:pPr>
        <w:tabs>
          <w:tab w:val="num" w:pos="3600"/>
        </w:tabs>
        <w:ind w:left="3600" w:hanging="360"/>
      </w:pPr>
      <w:rPr>
        <w:rFonts w:ascii="Times New Roman" w:hAnsi="Times New Roman" w:hint="default"/>
      </w:rPr>
    </w:lvl>
    <w:lvl w:ilvl="5" w:tplc="E0B07FF4" w:tentative="1">
      <w:start w:val="1"/>
      <w:numFmt w:val="bullet"/>
      <w:lvlText w:val="•"/>
      <w:lvlJc w:val="left"/>
      <w:pPr>
        <w:tabs>
          <w:tab w:val="num" w:pos="4320"/>
        </w:tabs>
        <w:ind w:left="4320" w:hanging="360"/>
      </w:pPr>
      <w:rPr>
        <w:rFonts w:ascii="Times New Roman" w:hAnsi="Times New Roman" w:hint="default"/>
      </w:rPr>
    </w:lvl>
    <w:lvl w:ilvl="6" w:tplc="23166EFC" w:tentative="1">
      <w:start w:val="1"/>
      <w:numFmt w:val="bullet"/>
      <w:lvlText w:val="•"/>
      <w:lvlJc w:val="left"/>
      <w:pPr>
        <w:tabs>
          <w:tab w:val="num" w:pos="5040"/>
        </w:tabs>
        <w:ind w:left="5040" w:hanging="360"/>
      </w:pPr>
      <w:rPr>
        <w:rFonts w:ascii="Times New Roman" w:hAnsi="Times New Roman" w:hint="default"/>
      </w:rPr>
    </w:lvl>
    <w:lvl w:ilvl="7" w:tplc="43A4683A" w:tentative="1">
      <w:start w:val="1"/>
      <w:numFmt w:val="bullet"/>
      <w:lvlText w:val="•"/>
      <w:lvlJc w:val="left"/>
      <w:pPr>
        <w:tabs>
          <w:tab w:val="num" w:pos="5760"/>
        </w:tabs>
        <w:ind w:left="5760" w:hanging="360"/>
      </w:pPr>
      <w:rPr>
        <w:rFonts w:ascii="Times New Roman" w:hAnsi="Times New Roman" w:hint="default"/>
      </w:rPr>
    </w:lvl>
    <w:lvl w:ilvl="8" w:tplc="01D83B7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4871588"/>
    <w:multiLevelType w:val="hybridMultilevel"/>
    <w:tmpl w:val="7DD85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52C7327"/>
    <w:multiLevelType w:val="multilevel"/>
    <w:tmpl w:val="DC309858"/>
    <w:lvl w:ilvl="0">
      <w:start w:val="1"/>
      <w:numFmt w:val="decimal"/>
      <w:lvlText w:val="%1"/>
      <w:lvlJc w:val="left"/>
      <w:pPr>
        <w:ind w:left="720" w:hanging="720"/>
      </w:pPr>
      <w:rPr>
        <w:rFonts w:hint="default"/>
        <w:b/>
      </w:rPr>
    </w:lvl>
    <w:lvl w:ilvl="1">
      <w:start w:val="1"/>
      <w:numFmt w:val="bullet"/>
      <w:lvlText w:val=""/>
      <w:lvlJc w:val="left"/>
      <w:pPr>
        <w:ind w:left="1146"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F55777"/>
    <w:multiLevelType w:val="hybridMultilevel"/>
    <w:tmpl w:val="6354E51A"/>
    <w:lvl w:ilvl="0" w:tplc="D13A2B6A">
      <w:start w:val="1"/>
      <w:numFmt w:val="bullet"/>
      <w:lvlText w:val="•"/>
      <w:lvlJc w:val="left"/>
      <w:pPr>
        <w:tabs>
          <w:tab w:val="num" w:pos="720"/>
        </w:tabs>
        <w:ind w:left="720" w:hanging="360"/>
      </w:pPr>
      <w:rPr>
        <w:rFonts w:ascii="Times New Roman" w:hAnsi="Times New Roman" w:hint="default"/>
      </w:rPr>
    </w:lvl>
    <w:lvl w:ilvl="1" w:tplc="D0503F3E" w:tentative="1">
      <w:start w:val="1"/>
      <w:numFmt w:val="bullet"/>
      <w:lvlText w:val="•"/>
      <w:lvlJc w:val="left"/>
      <w:pPr>
        <w:tabs>
          <w:tab w:val="num" w:pos="1440"/>
        </w:tabs>
        <w:ind w:left="1440" w:hanging="360"/>
      </w:pPr>
      <w:rPr>
        <w:rFonts w:ascii="Times New Roman" w:hAnsi="Times New Roman" w:hint="default"/>
      </w:rPr>
    </w:lvl>
    <w:lvl w:ilvl="2" w:tplc="919C82BC" w:tentative="1">
      <w:start w:val="1"/>
      <w:numFmt w:val="bullet"/>
      <w:lvlText w:val="•"/>
      <w:lvlJc w:val="left"/>
      <w:pPr>
        <w:tabs>
          <w:tab w:val="num" w:pos="2160"/>
        </w:tabs>
        <w:ind w:left="2160" w:hanging="360"/>
      </w:pPr>
      <w:rPr>
        <w:rFonts w:ascii="Times New Roman" w:hAnsi="Times New Roman" w:hint="default"/>
      </w:rPr>
    </w:lvl>
    <w:lvl w:ilvl="3" w:tplc="F1C813AA" w:tentative="1">
      <w:start w:val="1"/>
      <w:numFmt w:val="bullet"/>
      <w:lvlText w:val="•"/>
      <w:lvlJc w:val="left"/>
      <w:pPr>
        <w:tabs>
          <w:tab w:val="num" w:pos="2880"/>
        </w:tabs>
        <w:ind w:left="2880" w:hanging="360"/>
      </w:pPr>
      <w:rPr>
        <w:rFonts w:ascii="Times New Roman" w:hAnsi="Times New Roman" w:hint="default"/>
      </w:rPr>
    </w:lvl>
    <w:lvl w:ilvl="4" w:tplc="9F1A53CC" w:tentative="1">
      <w:start w:val="1"/>
      <w:numFmt w:val="bullet"/>
      <w:lvlText w:val="•"/>
      <w:lvlJc w:val="left"/>
      <w:pPr>
        <w:tabs>
          <w:tab w:val="num" w:pos="3600"/>
        </w:tabs>
        <w:ind w:left="3600" w:hanging="360"/>
      </w:pPr>
      <w:rPr>
        <w:rFonts w:ascii="Times New Roman" w:hAnsi="Times New Roman" w:hint="default"/>
      </w:rPr>
    </w:lvl>
    <w:lvl w:ilvl="5" w:tplc="196A7E36" w:tentative="1">
      <w:start w:val="1"/>
      <w:numFmt w:val="bullet"/>
      <w:lvlText w:val="•"/>
      <w:lvlJc w:val="left"/>
      <w:pPr>
        <w:tabs>
          <w:tab w:val="num" w:pos="4320"/>
        </w:tabs>
        <w:ind w:left="4320" w:hanging="360"/>
      </w:pPr>
      <w:rPr>
        <w:rFonts w:ascii="Times New Roman" w:hAnsi="Times New Roman" w:hint="default"/>
      </w:rPr>
    </w:lvl>
    <w:lvl w:ilvl="6" w:tplc="718806FE" w:tentative="1">
      <w:start w:val="1"/>
      <w:numFmt w:val="bullet"/>
      <w:lvlText w:val="•"/>
      <w:lvlJc w:val="left"/>
      <w:pPr>
        <w:tabs>
          <w:tab w:val="num" w:pos="5040"/>
        </w:tabs>
        <w:ind w:left="5040" w:hanging="360"/>
      </w:pPr>
      <w:rPr>
        <w:rFonts w:ascii="Times New Roman" w:hAnsi="Times New Roman" w:hint="default"/>
      </w:rPr>
    </w:lvl>
    <w:lvl w:ilvl="7" w:tplc="A5E6FCC4" w:tentative="1">
      <w:start w:val="1"/>
      <w:numFmt w:val="bullet"/>
      <w:lvlText w:val="•"/>
      <w:lvlJc w:val="left"/>
      <w:pPr>
        <w:tabs>
          <w:tab w:val="num" w:pos="5760"/>
        </w:tabs>
        <w:ind w:left="5760" w:hanging="360"/>
      </w:pPr>
      <w:rPr>
        <w:rFonts w:ascii="Times New Roman" w:hAnsi="Times New Roman" w:hint="default"/>
      </w:rPr>
    </w:lvl>
    <w:lvl w:ilvl="8" w:tplc="7A684F46"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7"/>
  </w:num>
  <w:num w:numId="3">
    <w:abstractNumId w:val="1"/>
  </w:num>
  <w:num w:numId="4">
    <w:abstractNumId w:val="24"/>
  </w:num>
  <w:num w:numId="5">
    <w:abstractNumId w:val="13"/>
  </w:num>
  <w:num w:numId="6">
    <w:abstractNumId w:val="22"/>
  </w:num>
  <w:num w:numId="7">
    <w:abstractNumId w:val="7"/>
  </w:num>
  <w:num w:numId="8">
    <w:abstractNumId w:val="4"/>
  </w:num>
  <w:num w:numId="9">
    <w:abstractNumId w:val="20"/>
  </w:num>
  <w:num w:numId="10">
    <w:abstractNumId w:val="15"/>
  </w:num>
  <w:num w:numId="11">
    <w:abstractNumId w:val="14"/>
  </w:num>
  <w:num w:numId="12">
    <w:abstractNumId w:val="23"/>
  </w:num>
  <w:num w:numId="13">
    <w:abstractNumId w:val="9"/>
  </w:num>
  <w:num w:numId="14">
    <w:abstractNumId w:val="8"/>
  </w:num>
  <w:num w:numId="15">
    <w:abstractNumId w:val="21"/>
  </w:num>
  <w:num w:numId="16">
    <w:abstractNumId w:val="2"/>
  </w:num>
  <w:num w:numId="17">
    <w:abstractNumId w:val="0"/>
  </w:num>
  <w:num w:numId="18">
    <w:abstractNumId w:val="10"/>
  </w:num>
  <w:num w:numId="19">
    <w:abstractNumId w:val="12"/>
  </w:num>
  <w:num w:numId="20">
    <w:abstractNumId w:val="6"/>
  </w:num>
  <w:num w:numId="21">
    <w:abstractNumId w:val="19"/>
  </w:num>
  <w:num w:numId="22">
    <w:abstractNumId w:val="3"/>
  </w:num>
  <w:num w:numId="23">
    <w:abstractNumId w:val="25"/>
  </w:num>
  <w:num w:numId="24">
    <w:abstractNumId w:val="18"/>
  </w:num>
  <w:num w:numId="25">
    <w:abstractNumId w:val="16"/>
  </w:num>
  <w:num w:numId="26">
    <w:abstractNumId w:val="5"/>
  </w:num>
  <w:numIdMacAtCleanup w:val="1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US"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8E9"/>
    <w:rsid w:val="000013D6"/>
    <w:rsid w:val="00001AB4"/>
    <w:rsid w:val="0000216E"/>
    <w:rsid w:val="00002980"/>
    <w:rsid w:val="00002A1D"/>
    <w:rsid w:val="000039A8"/>
    <w:rsid w:val="00003E20"/>
    <w:rsid w:val="000048DE"/>
    <w:rsid w:val="00004EF5"/>
    <w:rsid w:val="00007315"/>
    <w:rsid w:val="000103F1"/>
    <w:rsid w:val="0001066F"/>
    <w:rsid w:val="00010DA0"/>
    <w:rsid w:val="0001158A"/>
    <w:rsid w:val="0001164B"/>
    <w:rsid w:val="0001264C"/>
    <w:rsid w:val="00012F19"/>
    <w:rsid w:val="00013222"/>
    <w:rsid w:val="00015383"/>
    <w:rsid w:val="000155E6"/>
    <w:rsid w:val="00016134"/>
    <w:rsid w:val="00017324"/>
    <w:rsid w:val="000201C1"/>
    <w:rsid w:val="0002095B"/>
    <w:rsid w:val="00020F20"/>
    <w:rsid w:val="00021CCB"/>
    <w:rsid w:val="00022415"/>
    <w:rsid w:val="0002269E"/>
    <w:rsid w:val="00022AB8"/>
    <w:rsid w:val="00023515"/>
    <w:rsid w:val="000263A9"/>
    <w:rsid w:val="00030D69"/>
    <w:rsid w:val="0003169E"/>
    <w:rsid w:val="00034404"/>
    <w:rsid w:val="00034665"/>
    <w:rsid w:val="000349CF"/>
    <w:rsid w:val="00034AAE"/>
    <w:rsid w:val="0003505F"/>
    <w:rsid w:val="00035199"/>
    <w:rsid w:val="0003584B"/>
    <w:rsid w:val="00036334"/>
    <w:rsid w:val="00036454"/>
    <w:rsid w:val="00036751"/>
    <w:rsid w:val="000402E1"/>
    <w:rsid w:val="00041414"/>
    <w:rsid w:val="000415AF"/>
    <w:rsid w:val="000417CC"/>
    <w:rsid w:val="000420D8"/>
    <w:rsid w:val="00042D28"/>
    <w:rsid w:val="00042F23"/>
    <w:rsid w:val="00043C3A"/>
    <w:rsid w:val="00045703"/>
    <w:rsid w:val="000461CF"/>
    <w:rsid w:val="0004624C"/>
    <w:rsid w:val="00047308"/>
    <w:rsid w:val="000504F2"/>
    <w:rsid w:val="00050557"/>
    <w:rsid w:val="00050D71"/>
    <w:rsid w:val="00052638"/>
    <w:rsid w:val="000536D7"/>
    <w:rsid w:val="000539B3"/>
    <w:rsid w:val="0005614C"/>
    <w:rsid w:val="00056794"/>
    <w:rsid w:val="000569FC"/>
    <w:rsid w:val="00056D06"/>
    <w:rsid w:val="00057F71"/>
    <w:rsid w:val="00061825"/>
    <w:rsid w:val="00062067"/>
    <w:rsid w:val="000622D1"/>
    <w:rsid w:val="00062866"/>
    <w:rsid w:val="0006338A"/>
    <w:rsid w:val="00063446"/>
    <w:rsid w:val="00064F64"/>
    <w:rsid w:val="00065316"/>
    <w:rsid w:val="0006536E"/>
    <w:rsid w:val="00065756"/>
    <w:rsid w:val="00065BED"/>
    <w:rsid w:val="00065C62"/>
    <w:rsid w:val="00065CDE"/>
    <w:rsid w:val="00065F4A"/>
    <w:rsid w:val="000674D3"/>
    <w:rsid w:val="00067585"/>
    <w:rsid w:val="00067FB4"/>
    <w:rsid w:val="0007042A"/>
    <w:rsid w:val="00070806"/>
    <w:rsid w:val="00070FDB"/>
    <w:rsid w:val="000726E1"/>
    <w:rsid w:val="00073EF7"/>
    <w:rsid w:val="00077EAD"/>
    <w:rsid w:val="00080395"/>
    <w:rsid w:val="0008040E"/>
    <w:rsid w:val="000805A6"/>
    <w:rsid w:val="00080FF3"/>
    <w:rsid w:val="00083586"/>
    <w:rsid w:val="000847FE"/>
    <w:rsid w:val="00085A6B"/>
    <w:rsid w:val="00085B84"/>
    <w:rsid w:val="00086133"/>
    <w:rsid w:val="00090E78"/>
    <w:rsid w:val="0009125D"/>
    <w:rsid w:val="000927C0"/>
    <w:rsid w:val="00092E1B"/>
    <w:rsid w:val="00093074"/>
    <w:rsid w:val="00093183"/>
    <w:rsid w:val="00096CDA"/>
    <w:rsid w:val="000A1533"/>
    <w:rsid w:val="000A18B2"/>
    <w:rsid w:val="000A1B30"/>
    <w:rsid w:val="000A2694"/>
    <w:rsid w:val="000A2EF1"/>
    <w:rsid w:val="000A387E"/>
    <w:rsid w:val="000A47B6"/>
    <w:rsid w:val="000A4D8A"/>
    <w:rsid w:val="000A52E8"/>
    <w:rsid w:val="000A54FF"/>
    <w:rsid w:val="000A5918"/>
    <w:rsid w:val="000A5AB1"/>
    <w:rsid w:val="000A5ADA"/>
    <w:rsid w:val="000A631A"/>
    <w:rsid w:val="000A6FBD"/>
    <w:rsid w:val="000A7B46"/>
    <w:rsid w:val="000B13B7"/>
    <w:rsid w:val="000B2EB3"/>
    <w:rsid w:val="000B35F5"/>
    <w:rsid w:val="000B3903"/>
    <w:rsid w:val="000B3CFB"/>
    <w:rsid w:val="000B3EB0"/>
    <w:rsid w:val="000B56CD"/>
    <w:rsid w:val="000B6401"/>
    <w:rsid w:val="000B6680"/>
    <w:rsid w:val="000B6B44"/>
    <w:rsid w:val="000B6B69"/>
    <w:rsid w:val="000B6CF1"/>
    <w:rsid w:val="000B6DF6"/>
    <w:rsid w:val="000C0142"/>
    <w:rsid w:val="000C0E39"/>
    <w:rsid w:val="000C3EF2"/>
    <w:rsid w:val="000C6761"/>
    <w:rsid w:val="000C6A40"/>
    <w:rsid w:val="000C6A75"/>
    <w:rsid w:val="000C6B2C"/>
    <w:rsid w:val="000C74B4"/>
    <w:rsid w:val="000D0023"/>
    <w:rsid w:val="000D0523"/>
    <w:rsid w:val="000D0EFA"/>
    <w:rsid w:val="000D0FED"/>
    <w:rsid w:val="000D1852"/>
    <w:rsid w:val="000D2E14"/>
    <w:rsid w:val="000D2E92"/>
    <w:rsid w:val="000D2F04"/>
    <w:rsid w:val="000D339C"/>
    <w:rsid w:val="000D3C24"/>
    <w:rsid w:val="000D461D"/>
    <w:rsid w:val="000D4F62"/>
    <w:rsid w:val="000D6046"/>
    <w:rsid w:val="000D63B2"/>
    <w:rsid w:val="000D79A1"/>
    <w:rsid w:val="000E27AA"/>
    <w:rsid w:val="000E4965"/>
    <w:rsid w:val="000E6D37"/>
    <w:rsid w:val="000F037C"/>
    <w:rsid w:val="000F0F10"/>
    <w:rsid w:val="000F2534"/>
    <w:rsid w:val="000F313C"/>
    <w:rsid w:val="000F3652"/>
    <w:rsid w:val="000F74D9"/>
    <w:rsid w:val="00101449"/>
    <w:rsid w:val="0010187B"/>
    <w:rsid w:val="00101D05"/>
    <w:rsid w:val="00102132"/>
    <w:rsid w:val="00103B7A"/>
    <w:rsid w:val="00103C2A"/>
    <w:rsid w:val="00103C74"/>
    <w:rsid w:val="00104856"/>
    <w:rsid w:val="00104902"/>
    <w:rsid w:val="00104B32"/>
    <w:rsid w:val="00104F8B"/>
    <w:rsid w:val="00106499"/>
    <w:rsid w:val="00110697"/>
    <w:rsid w:val="00110A18"/>
    <w:rsid w:val="00110C5C"/>
    <w:rsid w:val="00111611"/>
    <w:rsid w:val="00115D1B"/>
    <w:rsid w:val="00116D41"/>
    <w:rsid w:val="00122727"/>
    <w:rsid w:val="00122B08"/>
    <w:rsid w:val="0012351D"/>
    <w:rsid w:val="00123A3E"/>
    <w:rsid w:val="001249BF"/>
    <w:rsid w:val="00124B81"/>
    <w:rsid w:val="00124C7E"/>
    <w:rsid w:val="00126660"/>
    <w:rsid w:val="0012701F"/>
    <w:rsid w:val="00127057"/>
    <w:rsid w:val="001276ED"/>
    <w:rsid w:val="001279AE"/>
    <w:rsid w:val="00127DF8"/>
    <w:rsid w:val="00127FE9"/>
    <w:rsid w:val="001304DA"/>
    <w:rsid w:val="0013092C"/>
    <w:rsid w:val="00131650"/>
    <w:rsid w:val="00133061"/>
    <w:rsid w:val="001336BD"/>
    <w:rsid w:val="00133D31"/>
    <w:rsid w:val="00133E28"/>
    <w:rsid w:val="00134CCE"/>
    <w:rsid w:val="00136E76"/>
    <w:rsid w:val="00137538"/>
    <w:rsid w:val="001375AA"/>
    <w:rsid w:val="00137655"/>
    <w:rsid w:val="00141DE0"/>
    <w:rsid w:val="00145689"/>
    <w:rsid w:val="00146459"/>
    <w:rsid w:val="00146761"/>
    <w:rsid w:val="001468C6"/>
    <w:rsid w:val="00146C47"/>
    <w:rsid w:val="00147A9F"/>
    <w:rsid w:val="00147AFB"/>
    <w:rsid w:val="0015165C"/>
    <w:rsid w:val="001518F6"/>
    <w:rsid w:val="00151A9C"/>
    <w:rsid w:val="00153B5F"/>
    <w:rsid w:val="0015681F"/>
    <w:rsid w:val="0015717E"/>
    <w:rsid w:val="0015784D"/>
    <w:rsid w:val="001606B8"/>
    <w:rsid w:val="00161467"/>
    <w:rsid w:val="00161B52"/>
    <w:rsid w:val="00162120"/>
    <w:rsid w:val="00162E83"/>
    <w:rsid w:val="00164843"/>
    <w:rsid w:val="00165A49"/>
    <w:rsid w:val="00165C8D"/>
    <w:rsid w:val="00167B24"/>
    <w:rsid w:val="00167C61"/>
    <w:rsid w:val="00170616"/>
    <w:rsid w:val="00170BF2"/>
    <w:rsid w:val="00170D7E"/>
    <w:rsid w:val="001722AD"/>
    <w:rsid w:val="001723D9"/>
    <w:rsid w:val="001730EA"/>
    <w:rsid w:val="00173577"/>
    <w:rsid w:val="00173E72"/>
    <w:rsid w:val="0017638E"/>
    <w:rsid w:val="00176AA5"/>
    <w:rsid w:val="00176CC2"/>
    <w:rsid w:val="0017720E"/>
    <w:rsid w:val="00177631"/>
    <w:rsid w:val="00177893"/>
    <w:rsid w:val="00181C18"/>
    <w:rsid w:val="0018217D"/>
    <w:rsid w:val="00184221"/>
    <w:rsid w:val="00184B9E"/>
    <w:rsid w:val="00186307"/>
    <w:rsid w:val="00186EBC"/>
    <w:rsid w:val="001870DD"/>
    <w:rsid w:val="00187FD3"/>
    <w:rsid w:val="001920B4"/>
    <w:rsid w:val="00193790"/>
    <w:rsid w:val="00193F02"/>
    <w:rsid w:val="00194DEE"/>
    <w:rsid w:val="0019525C"/>
    <w:rsid w:val="00195DA4"/>
    <w:rsid w:val="00196715"/>
    <w:rsid w:val="001974FA"/>
    <w:rsid w:val="00197770"/>
    <w:rsid w:val="00197AC7"/>
    <w:rsid w:val="001A0142"/>
    <w:rsid w:val="001A02B2"/>
    <w:rsid w:val="001A14D5"/>
    <w:rsid w:val="001A2B6A"/>
    <w:rsid w:val="001A2BF9"/>
    <w:rsid w:val="001A79BB"/>
    <w:rsid w:val="001B00CE"/>
    <w:rsid w:val="001B0B4C"/>
    <w:rsid w:val="001B1C21"/>
    <w:rsid w:val="001B1FCA"/>
    <w:rsid w:val="001B29E9"/>
    <w:rsid w:val="001B3006"/>
    <w:rsid w:val="001B3070"/>
    <w:rsid w:val="001B4E85"/>
    <w:rsid w:val="001B6389"/>
    <w:rsid w:val="001B6BB2"/>
    <w:rsid w:val="001B7513"/>
    <w:rsid w:val="001C0047"/>
    <w:rsid w:val="001C04CC"/>
    <w:rsid w:val="001C051E"/>
    <w:rsid w:val="001C0AF0"/>
    <w:rsid w:val="001C2436"/>
    <w:rsid w:val="001C2439"/>
    <w:rsid w:val="001C57FE"/>
    <w:rsid w:val="001C5F0C"/>
    <w:rsid w:val="001C6C0C"/>
    <w:rsid w:val="001D1476"/>
    <w:rsid w:val="001D34F0"/>
    <w:rsid w:val="001D3CEF"/>
    <w:rsid w:val="001D453F"/>
    <w:rsid w:val="001D4571"/>
    <w:rsid w:val="001D5DE3"/>
    <w:rsid w:val="001D63AD"/>
    <w:rsid w:val="001D6A22"/>
    <w:rsid w:val="001D6E42"/>
    <w:rsid w:val="001D7105"/>
    <w:rsid w:val="001D7A3D"/>
    <w:rsid w:val="001E09D1"/>
    <w:rsid w:val="001E2951"/>
    <w:rsid w:val="001E2EE7"/>
    <w:rsid w:val="001E3946"/>
    <w:rsid w:val="001E396D"/>
    <w:rsid w:val="001E4361"/>
    <w:rsid w:val="001E4441"/>
    <w:rsid w:val="001E5918"/>
    <w:rsid w:val="001E7F8F"/>
    <w:rsid w:val="001F0262"/>
    <w:rsid w:val="001F073C"/>
    <w:rsid w:val="001F0DC8"/>
    <w:rsid w:val="001F21F0"/>
    <w:rsid w:val="001F2912"/>
    <w:rsid w:val="001F29F4"/>
    <w:rsid w:val="001F356D"/>
    <w:rsid w:val="001F4080"/>
    <w:rsid w:val="001F410B"/>
    <w:rsid w:val="001F4430"/>
    <w:rsid w:val="001F53F0"/>
    <w:rsid w:val="001F6623"/>
    <w:rsid w:val="001F69BF"/>
    <w:rsid w:val="001F76E1"/>
    <w:rsid w:val="001F7787"/>
    <w:rsid w:val="002001C6"/>
    <w:rsid w:val="00200296"/>
    <w:rsid w:val="00201ADB"/>
    <w:rsid w:val="00203D5E"/>
    <w:rsid w:val="00203F4E"/>
    <w:rsid w:val="002058E5"/>
    <w:rsid w:val="002059F1"/>
    <w:rsid w:val="00207577"/>
    <w:rsid w:val="00210AAD"/>
    <w:rsid w:val="00210C0C"/>
    <w:rsid w:val="00210E82"/>
    <w:rsid w:val="00210FAA"/>
    <w:rsid w:val="00212CF3"/>
    <w:rsid w:val="00213343"/>
    <w:rsid w:val="002134BA"/>
    <w:rsid w:val="00213E6B"/>
    <w:rsid w:val="002141ED"/>
    <w:rsid w:val="00214311"/>
    <w:rsid w:val="00214EB0"/>
    <w:rsid w:val="002158E4"/>
    <w:rsid w:val="00215C0C"/>
    <w:rsid w:val="00216274"/>
    <w:rsid w:val="00220BB8"/>
    <w:rsid w:val="00221B1B"/>
    <w:rsid w:val="0022312E"/>
    <w:rsid w:val="002234A6"/>
    <w:rsid w:val="00223EC7"/>
    <w:rsid w:val="00224BD2"/>
    <w:rsid w:val="00225060"/>
    <w:rsid w:val="002255AF"/>
    <w:rsid w:val="00226670"/>
    <w:rsid w:val="00226AC9"/>
    <w:rsid w:val="002278BF"/>
    <w:rsid w:val="00227F86"/>
    <w:rsid w:val="00227FA6"/>
    <w:rsid w:val="00231A34"/>
    <w:rsid w:val="00232FA7"/>
    <w:rsid w:val="00234182"/>
    <w:rsid w:val="0023430D"/>
    <w:rsid w:val="00234AAE"/>
    <w:rsid w:val="00236F35"/>
    <w:rsid w:val="00237659"/>
    <w:rsid w:val="00240521"/>
    <w:rsid w:val="0024057D"/>
    <w:rsid w:val="002425EA"/>
    <w:rsid w:val="002426EA"/>
    <w:rsid w:val="00242EA0"/>
    <w:rsid w:val="00243685"/>
    <w:rsid w:val="00244A4C"/>
    <w:rsid w:val="002450A9"/>
    <w:rsid w:val="002451B5"/>
    <w:rsid w:val="002451CA"/>
    <w:rsid w:val="0024735D"/>
    <w:rsid w:val="00251367"/>
    <w:rsid w:val="002558A9"/>
    <w:rsid w:val="0025613F"/>
    <w:rsid w:val="00257756"/>
    <w:rsid w:val="0025779C"/>
    <w:rsid w:val="002614D0"/>
    <w:rsid w:val="00261CCA"/>
    <w:rsid w:val="00261DC6"/>
    <w:rsid w:val="00263DAD"/>
    <w:rsid w:val="00263F3B"/>
    <w:rsid w:val="00264623"/>
    <w:rsid w:val="00264BA2"/>
    <w:rsid w:val="002656DA"/>
    <w:rsid w:val="00267507"/>
    <w:rsid w:val="002679E0"/>
    <w:rsid w:val="002707B7"/>
    <w:rsid w:val="0027116F"/>
    <w:rsid w:val="0027276D"/>
    <w:rsid w:val="00272F1F"/>
    <w:rsid w:val="002739CF"/>
    <w:rsid w:val="00273C92"/>
    <w:rsid w:val="002743B5"/>
    <w:rsid w:val="00274F70"/>
    <w:rsid w:val="0027690A"/>
    <w:rsid w:val="002771F6"/>
    <w:rsid w:val="00277213"/>
    <w:rsid w:val="00277EEA"/>
    <w:rsid w:val="002806DB"/>
    <w:rsid w:val="00280A4F"/>
    <w:rsid w:val="00280B5B"/>
    <w:rsid w:val="00281BD0"/>
    <w:rsid w:val="00282D1F"/>
    <w:rsid w:val="002834D0"/>
    <w:rsid w:val="002836DF"/>
    <w:rsid w:val="002837DF"/>
    <w:rsid w:val="002844E2"/>
    <w:rsid w:val="00285407"/>
    <w:rsid w:val="00286085"/>
    <w:rsid w:val="00286376"/>
    <w:rsid w:val="00286BCD"/>
    <w:rsid w:val="0029013C"/>
    <w:rsid w:val="002908A8"/>
    <w:rsid w:val="002918AE"/>
    <w:rsid w:val="00291AE3"/>
    <w:rsid w:val="00291B70"/>
    <w:rsid w:val="00291BA6"/>
    <w:rsid w:val="002928F4"/>
    <w:rsid w:val="00293488"/>
    <w:rsid w:val="002935B1"/>
    <w:rsid w:val="002943F3"/>
    <w:rsid w:val="00295B75"/>
    <w:rsid w:val="002969AB"/>
    <w:rsid w:val="00296BA0"/>
    <w:rsid w:val="00297E05"/>
    <w:rsid w:val="002A0069"/>
    <w:rsid w:val="002A03CC"/>
    <w:rsid w:val="002A03F4"/>
    <w:rsid w:val="002A208F"/>
    <w:rsid w:val="002A26F4"/>
    <w:rsid w:val="002A28A9"/>
    <w:rsid w:val="002A2EF9"/>
    <w:rsid w:val="002A4503"/>
    <w:rsid w:val="002A4B77"/>
    <w:rsid w:val="002A4D65"/>
    <w:rsid w:val="002A5E1A"/>
    <w:rsid w:val="002A62E0"/>
    <w:rsid w:val="002A649F"/>
    <w:rsid w:val="002B0543"/>
    <w:rsid w:val="002B087A"/>
    <w:rsid w:val="002B210F"/>
    <w:rsid w:val="002B29E0"/>
    <w:rsid w:val="002B39E3"/>
    <w:rsid w:val="002B40DF"/>
    <w:rsid w:val="002B44DB"/>
    <w:rsid w:val="002B4941"/>
    <w:rsid w:val="002B4B6D"/>
    <w:rsid w:val="002B4C7F"/>
    <w:rsid w:val="002B54F4"/>
    <w:rsid w:val="002B5D74"/>
    <w:rsid w:val="002B7ADB"/>
    <w:rsid w:val="002C0C5B"/>
    <w:rsid w:val="002C159F"/>
    <w:rsid w:val="002C1D2F"/>
    <w:rsid w:val="002C2846"/>
    <w:rsid w:val="002C2B39"/>
    <w:rsid w:val="002C50AF"/>
    <w:rsid w:val="002C5A84"/>
    <w:rsid w:val="002C6E15"/>
    <w:rsid w:val="002D07F7"/>
    <w:rsid w:val="002D2BD9"/>
    <w:rsid w:val="002D2FCA"/>
    <w:rsid w:val="002D34C2"/>
    <w:rsid w:val="002D3C2A"/>
    <w:rsid w:val="002D67AC"/>
    <w:rsid w:val="002D6B98"/>
    <w:rsid w:val="002D7823"/>
    <w:rsid w:val="002D7D2D"/>
    <w:rsid w:val="002E0AED"/>
    <w:rsid w:val="002E1F69"/>
    <w:rsid w:val="002E3561"/>
    <w:rsid w:val="002E42FD"/>
    <w:rsid w:val="002E4C15"/>
    <w:rsid w:val="002E4C2D"/>
    <w:rsid w:val="002E4E12"/>
    <w:rsid w:val="002E5DEA"/>
    <w:rsid w:val="002E6CDD"/>
    <w:rsid w:val="002E724A"/>
    <w:rsid w:val="002F02B3"/>
    <w:rsid w:val="002F0CC4"/>
    <w:rsid w:val="002F2135"/>
    <w:rsid w:val="002F274B"/>
    <w:rsid w:val="002F311E"/>
    <w:rsid w:val="002F3355"/>
    <w:rsid w:val="002F3485"/>
    <w:rsid w:val="002F4290"/>
    <w:rsid w:val="002F4B83"/>
    <w:rsid w:val="002F4FA8"/>
    <w:rsid w:val="002F58C7"/>
    <w:rsid w:val="002F668F"/>
    <w:rsid w:val="002F71B8"/>
    <w:rsid w:val="002F7CB9"/>
    <w:rsid w:val="0030057F"/>
    <w:rsid w:val="00300918"/>
    <w:rsid w:val="00301EA1"/>
    <w:rsid w:val="00301F4B"/>
    <w:rsid w:val="00302FCC"/>
    <w:rsid w:val="00304B6D"/>
    <w:rsid w:val="003062AE"/>
    <w:rsid w:val="00306A42"/>
    <w:rsid w:val="0030738B"/>
    <w:rsid w:val="00312247"/>
    <w:rsid w:val="003122F6"/>
    <w:rsid w:val="00312426"/>
    <w:rsid w:val="003127DD"/>
    <w:rsid w:val="00313EA2"/>
    <w:rsid w:val="00314BEE"/>
    <w:rsid w:val="00315514"/>
    <w:rsid w:val="00315806"/>
    <w:rsid w:val="00316012"/>
    <w:rsid w:val="003162BC"/>
    <w:rsid w:val="00316FF8"/>
    <w:rsid w:val="003173CC"/>
    <w:rsid w:val="0032025E"/>
    <w:rsid w:val="00322449"/>
    <w:rsid w:val="003224F1"/>
    <w:rsid w:val="00323722"/>
    <w:rsid w:val="00323B0E"/>
    <w:rsid w:val="0032441D"/>
    <w:rsid w:val="0032707E"/>
    <w:rsid w:val="003278BD"/>
    <w:rsid w:val="0033057F"/>
    <w:rsid w:val="00332E43"/>
    <w:rsid w:val="00334ACF"/>
    <w:rsid w:val="00334CCD"/>
    <w:rsid w:val="00335967"/>
    <w:rsid w:val="003378E0"/>
    <w:rsid w:val="00340961"/>
    <w:rsid w:val="00341A14"/>
    <w:rsid w:val="00343FAD"/>
    <w:rsid w:val="00344358"/>
    <w:rsid w:val="003446C6"/>
    <w:rsid w:val="003447B7"/>
    <w:rsid w:val="00345901"/>
    <w:rsid w:val="00345AD9"/>
    <w:rsid w:val="00345C44"/>
    <w:rsid w:val="003466E4"/>
    <w:rsid w:val="00346769"/>
    <w:rsid w:val="00346FEE"/>
    <w:rsid w:val="00347431"/>
    <w:rsid w:val="00347901"/>
    <w:rsid w:val="00347E11"/>
    <w:rsid w:val="0035069B"/>
    <w:rsid w:val="00350F2A"/>
    <w:rsid w:val="00351381"/>
    <w:rsid w:val="003515A0"/>
    <w:rsid w:val="00351752"/>
    <w:rsid w:val="00351A5C"/>
    <w:rsid w:val="00352F7E"/>
    <w:rsid w:val="003530A6"/>
    <w:rsid w:val="00353627"/>
    <w:rsid w:val="00354134"/>
    <w:rsid w:val="003547E4"/>
    <w:rsid w:val="00355079"/>
    <w:rsid w:val="00355F72"/>
    <w:rsid w:val="00356313"/>
    <w:rsid w:val="00357657"/>
    <w:rsid w:val="00360D43"/>
    <w:rsid w:val="003611C5"/>
    <w:rsid w:val="003616BD"/>
    <w:rsid w:val="003616E8"/>
    <w:rsid w:val="003623B1"/>
    <w:rsid w:val="003623F7"/>
    <w:rsid w:val="0036255F"/>
    <w:rsid w:val="00362BAB"/>
    <w:rsid w:val="00363706"/>
    <w:rsid w:val="003639A6"/>
    <w:rsid w:val="0036500C"/>
    <w:rsid w:val="0036587E"/>
    <w:rsid w:val="0036621D"/>
    <w:rsid w:val="00366BC5"/>
    <w:rsid w:val="0036746D"/>
    <w:rsid w:val="003674F1"/>
    <w:rsid w:val="00367934"/>
    <w:rsid w:val="003679AE"/>
    <w:rsid w:val="00367CF6"/>
    <w:rsid w:val="003703FA"/>
    <w:rsid w:val="00370443"/>
    <w:rsid w:val="00370F60"/>
    <w:rsid w:val="00371D59"/>
    <w:rsid w:val="00372C05"/>
    <w:rsid w:val="00373A98"/>
    <w:rsid w:val="00374C4F"/>
    <w:rsid w:val="00376368"/>
    <w:rsid w:val="00381C92"/>
    <w:rsid w:val="0038281C"/>
    <w:rsid w:val="00383508"/>
    <w:rsid w:val="00383D01"/>
    <w:rsid w:val="00383DBE"/>
    <w:rsid w:val="00384669"/>
    <w:rsid w:val="0038502B"/>
    <w:rsid w:val="003851FE"/>
    <w:rsid w:val="00385A64"/>
    <w:rsid w:val="00386D1A"/>
    <w:rsid w:val="003877F2"/>
    <w:rsid w:val="003904F7"/>
    <w:rsid w:val="00391805"/>
    <w:rsid w:val="00391948"/>
    <w:rsid w:val="00391A3A"/>
    <w:rsid w:val="00392298"/>
    <w:rsid w:val="003926C3"/>
    <w:rsid w:val="00394D35"/>
    <w:rsid w:val="00396208"/>
    <w:rsid w:val="00396B61"/>
    <w:rsid w:val="00397170"/>
    <w:rsid w:val="003A0363"/>
    <w:rsid w:val="003A0598"/>
    <w:rsid w:val="003A1A13"/>
    <w:rsid w:val="003A2235"/>
    <w:rsid w:val="003A2F2A"/>
    <w:rsid w:val="003A310D"/>
    <w:rsid w:val="003A3433"/>
    <w:rsid w:val="003A3DD4"/>
    <w:rsid w:val="003A537E"/>
    <w:rsid w:val="003A5E9A"/>
    <w:rsid w:val="003A660F"/>
    <w:rsid w:val="003A6967"/>
    <w:rsid w:val="003A6C19"/>
    <w:rsid w:val="003B095E"/>
    <w:rsid w:val="003B1042"/>
    <w:rsid w:val="003B4385"/>
    <w:rsid w:val="003B5587"/>
    <w:rsid w:val="003C04D0"/>
    <w:rsid w:val="003C0BF9"/>
    <w:rsid w:val="003C0EAF"/>
    <w:rsid w:val="003C12F2"/>
    <w:rsid w:val="003C1A9F"/>
    <w:rsid w:val="003C2FF8"/>
    <w:rsid w:val="003C3D1D"/>
    <w:rsid w:val="003C3D99"/>
    <w:rsid w:val="003C3EF4"/>
    <w:rsid w:val="003C43D5"/>
    <w:rsid w:val="003C55E0"/>
    <w:rsid w:val="003C5AE3"/>
    <w:rsid w:val="003C5F28"/>
    <w:rsid w:val="003C663B"/>
    <w:rsid w:val="003C7CEF"/>
    <w:rsid w:val="003C7DA9"/>
    <w:rsid w:val="003D11A9"/>
    <w:rsid w:val="003D11DC"/>
    <w:rsid w:val="003D2A37"/>
    <w:rsid w:val="003D2DF6"/>
    <w:rsid w:val="003D4D2A"/>
    <w:rsid w:val="003D6154"/>
    <w:rsid w:val="003D69EF"/>
    <w:rsid w:val="003D6A11"/>
    <w:rsid w:val="003D7F8C"/>
    <w:rsid w:val="003E0A54"/>
    <w:rsid w:val="003E0EDB"/>
    <w:rsid w:val="003E166D"/>
    <w:rsid w:val="003E1BE3"/>
    <w:rsid w:val="003E2396"/>
    <w:rsid w:val="003E39C7"/>
    <w:rsid w:val="003E423D"/>
    <w:rsid w:val="003E6475"/>
    <w:rsid w:val="003E69D8"/>
    <w:rsid w:val="003E7959"/>
    <w:rsid w:val="003F01FB"/>
    <w:rsid w:val="003F056B"/>
    <w:rsid w:val="003F0A42"/>
    <w:rsid w:val="003F105A"/>
    <w:rsid w:val="003F12F8"/>
    <w:rsid w:val="003F1BFA"/>
    <w:rsid w:val="003F1D94"/>
    <w:rsid w:val="003F278A"/>
    <w:rsid w:val="003F283D"/>
    <w:rsid w:val="003F2BDB"/>
    <w:rsid w:val="003F2F77"/>
    <w:rsid w:val="003F4383"/>
    <w:rsid w:val="003F6199"/>
    <w:rsid w:val="003F6E64"/>
    <w:rsid w:val="003F7654"/>
    <w:rsid w:val="003F7C29"/>
    <w:rsid w:val="00400BC0"/>
    <w:rsid w:val="00400FA2"/>
    <w:rsid w:val="004033BF"/>
    <w:rsid w:val="004051B7"/>
    <w:rsid w:val="00407CA6"/>
    <w:rsid w:val="0041005E"/>
    <w:rsid w:val="00410FAD"/>
    <w:rsid w:val="00412226"/>
    <w:rsid w:val="00413945"/>
    <w:rsid w:val="00413D16"/>
    <w:rsid w:val="004146E6"/>
    <w:rsid w:val="00417187"/>
    <w:rsid w:val="00417B97"/>
    <w:rsid w:val="00417B9D"/>
    <w:rsid w:val="00420264"/>
    <w:rsid w:val="0042038A"/>
    <w:rsid w:val="00421450"/>
    <w:rsid w:val="00421890"/>
    <w:rsid w:val="00421E72"/>
    <w:rsid w:val="004244AE"/>
    <w:rsid w:val="00425A72"/>
    <w:rsid w:val="0042628E"/>
    <w:rsid w:val="00427E55"/>
    <w:rsid w:val="00431573"/>
    <w:rsid w:val="00433671"/>
    <w:rsid w:val="004338B6"/>
    <w:rsid w:val="004339F4"/>
    <w:rsid w:val="004340EA"/>
    <w:rsid w:val="004341A0"/>
    <w:rsid w:val="00434B8B"/>
    <w:rsid w:val="0043569A"/>
    <w:rsid w:val="00435D40"/>
    <w:rsid w:val="00436731"/>
    <w:rsid w:val="00436C8F"/>
    <w:rsid w:val="004372D2"/>
    <w:rsid w:val="00437BB5"/>
    <w:rsid w:val="00437D44"/>
    <w:rsid w:val="00437E7B"/>
    <w:rsid w:val="00440BA9"/>
    <w:rsid w:val="004410F8"/>
    <w:rsid w:val="0044136A"/>
    <w:rsid w:val="004423D8"/>
    <w:rsid w:val="004428E2"/>
    <w:rsid w:val="004429C0"/>
    <w:rsid w:val="00443340"/>
    <w:rsid w:val="00444915"/>
    <w:rsid w:val="00444CE0"/>
    <w:rsid w:val="00446EF4"/>
    <w:rsid w:val="00446F63"/>
    <w:rsid w:val="00450176"/>
    <w:rsid w:val="0045091C"/>
    <w:rsid w:val="00451201"/>
    <w:rsid w:val="00453255"/>
    <w:rsid w:val="00453874"/>
    <w:rsid w:val="00453BAE"/>
    <w:rsid w:val="00453C40"/>
    <w:rsid w:val="00453CC6"/>
    <w:rsid w:val="00453D59"/>
    <w:rsid w:val="00454493"/>
    <w:rsid w:val="00455993"/>
    <w:rsid w:val="0045719A"/>
    <w:rsid w:val="00457BDB"/>
    <w:rsid w:val="00460611"/>
    <w:rsid w:val="00460931"/>
    <w:rsid w:val="004619BB"/>
    <w:rsid w:val="00461BCC"/>
    <w:rsid w:val="00462CEC"/>
    <w:rsid w:val="004636CA"/>
    <w:rsid w:val="0046387F"/>
    <w:rsid w:val="00463AA0"/>
    <w:rsid w:val="00464105"/>
    <w:rsid w:val="00465037"/>
    <w:rsid w:val="00465D3F"/>
    <w:rsid w:val="004661A6"/>
    <w:rsid w:val="0046621E"/>
    <w:rsid w:val="004666ED"/>
    <w:rsid w:val="00467940"/>
    <w:rsid w:val="004729F3"/>
    <w:rsid w:val="00472D4D"/>
    <w:rsid w:val="00473A44"/>
    <w:rsid w:val="00475D37"/>
    <w:rsid w:val="004772D5"/>
    <w:rsid w:val="00477D47"/>
    <w:rsid w:val="00477E65"/>
    <w:rsid w:val="0048055E"/>
    <w:rsid w:val="004808C7"/>
    <w:rsid w:val="0048140E"/>
    <w:rsid w:val="00481F0E"/>
    <w:rsid w:val="004834C5"/>
    <w:rsid w:val="0048361C"/>
    <w:rsid w:val="004846AC"/>
    <w:rsid w:val="00485DE0"/>
    <w:rsid w:val="0048711A"/>
    <w:rsid w:val="0049074D"/>
    <w:rsid w:val="004911D0"/>
    <w:rsid w:val="004919DD"/>
    <w:rsid w:val="00491E8C"/>
    <w:rsid w:val="00492FDD"/>
    <w:rsid w:val="00494F7C"/>
    <w:rsid w:val="004963A3"/>
    <w:rsid w:val="00496C1E"/>
    <w:rsid w:val="004973E7"/>
    <w:rsid w:val="00497B79"/>
    <w:rsid w:val="00497F5F"/>
    <w:rsid w:val="004A0A4A"/>
    <w:rsid w:val="004A1AFD"/>
    <w:rsid w:val="004A2DF5"/>
    <w:rsid w:val="004A35FB"/>
    <w:rsid w:val="004A3737"/>
    <w:rsid w:val="004A46B0"/>
    <w:rsid w:val="004A4EF3"/>
    <w:rsid w:val="004A6242"/>
    <w:rsid w:val="004A62F9"/>
    <w:rsid w:val="004A68CE"/>
    <w:rsid w:val="004A7BBF"/>
    <w:rsid w:val="004A7E4C"/>
    <w:rsid w:val="004B0092"/>
    <w:rsid w:val="004B1C07"/>
    <w:rsid w:val="004B1DB5"/>
    <w:rsid w:val="004B1E48"/>
    <w:rsid w:val="004B201E"/>
    <w:rsid w:val="004B25EF"/>
    <w:rsid w:val="004B2B26"/>
    <w:rsid w:val="004B2E1C"/>
    <w:rsid w:val="004B3802"/>
    <w:rsid w:val="004B3C00"/>
    <w:rsid w:val="004B3EE6"/>
    <w:rsid w:val="004B4333"/>
    <w:rsid w:val="004B4A8B"/>
    <w:rsid w:val="004B57C6"/>
    <w:rsid w:val="004B5AFA"/>
    <w:rsid w:val="004B5C78"/>
    <w:rsid w:val="004B6AF4"/>
    <w:rsid w:val="004C4E4E"/>
    <w:rsid w:val="004C53D5"/>
    <w:rsid w:val="004C5F2E"/>
    <w:rsid w:val="004D1006"/>
    <w:rsid w:val="004D20F6"/>
    <w:rsid w:val="004D276B"/>
    <w:rsid w:val="004D3794"/>
    <w:rsid w:val="004D45DF"/>
    <w:rsid w:val="004D468B"/>
    <w:rsid w:val="004D471C"/>
    <w:rsid w:val="004D5896"/>
    <w:rsid w:val="004D5F32"/>
    <w:rsid w:val="004D76CF"/>
    <w:rsid w:val="004D7B40"/>
    <w:rsid w:val="004E0C0B"/>
    <w:rsid w:val="004E0F14"/>
    <w:rsid w:val="004E2125"/>
    <w:rsid w:val="004E21EB"/>
    <w:rsid w:val="004E3253"/>
    <w:rsid w:val="004E69C2"/>
    <w:rsid w:val="004E6FD5"/>
    <w:rsid w:val="004E7B91"/>
    <w:rsid w:val="004F2D2A"/>
    <w:rsid w:val="004F335E"/>
    <w:rsid w:val="004F33B8"/>
    <w:rsid w:val="004F3688"/>
    <w:rsid w:val="004F39EF"/>
    <w:rsid w:val="004F3AAE"/>
    <w:rsid w:val="004F3B07"/>
    <w:rsid w:val="004F4415"/>
    <w:rsid w:val="004F4BDE"/>
    <w:rsid w:val="004F542A"/>
    <w:rsid w:val="004F566E"/>
    <w:rsid w:val="004F6163"/>
    <w:rsid w:val="004F77E0"/>
    <w:rsid w:val="004F7898"/>
    <w:rsid w:val="004F7CAC"/>
    <w:rsid w:val="00500551"/>
    <w:rsid w:val="00500D6D"/>
    <w:rsid w:val="0050319E"/>
    <w:rsid w:val="005033F1"/>
    <w:rsid w:val="00503424"/>
    <w:rsid w:val="005055BA"/>
    <w:rsid w:val="00505964"/>
    <w:rsid w:val="00505E50"/>
    <w:rsid w:val="00506E98"/>
    <w:rsid w:val="00507713"/>
    <w:rsid w:val="00507829"/>
    <w:rsid w:val="00511320"/>
    <w:rsid w:val="00512A69"/>
    <w:rsid w:val="00513054"/>
    <w:rsid w:val="00513317"/>
    <w:rsid w:val="005143F9"/>
    <w:rsid w:val="00514450"/>
    <w:rsid w:val="00516566"/>
    <w:rsid w:val="00517249"/>
    <w:rsid w:val="005177EE"/>
    <w:rsid w:val="0052001E"/>
    <w:rsid w:val="005207ED"/>
    <w:rsid w:val="0052120C"/>
    <w:rsid w:val="005213E9"/>
    <w:rsid w:val="005218C3"/>
    <w:rsid w:val="005220A8"/>
    <w:rsid w:val="00522F03"/>
    <w:rsid w:val="005231E1"/>
    <w:rsid w:val="00524D1A"/>
    <w:rsid w:val="0052557C"/>
    <w:rsid w:val="0052636B"/>
    <w:rsid w:val="0052787E"/>
    <w:rsid w:val="005312B0"/>
    <w:rsid w:val="00531C11"/>
    <w:rsid w:val="005325ED"/>
    <w:rsid w:val="00532D22"/>
    <w:rsid w:val="00534A9E"/>
    <w:rsid w:val="005351DC"/>
    <w:rsid w:val="0053570C"/>
    <w:rsid w:val="0053585F"/>
    <w:rsid w:val="00535A4A"/>
    <w:rsid w:val="00535C74"/>
    <w:rsid w:val="00535DBD"/>
    <w:rsid w:val="005361AB"/>
    <w:rsid w:val="005362D0"/>
    <w:rsid w:val="0053702C"/>
    <w:rsid w:val="00540670"/>
    <w:rsid w:val="0054113C"/>
    <w:rsid w:val="00541D43"/>
    <w:rsid w:val="00541ED5"/>
    <w:rsid w:val="00542068"/>
    <w:rsid w:val="00543927"/>
    <w:rsid w:val="00543AF9"/>
    <w:rsid w:val="005447FA"/>
    <w:rsid w:val="00545329"/>
    <w:rsid w:val="0055275C"/>
    <w:rsid w:val="0055377C"/>
    <w:rsid w:val="005546E8"/>
    <w:rsid w:val="0055532F"/>
    <w:rsid w:val="005558A9"/>
    <w:rsid w:val="005578A6"/>
    <w:rsid w:val="0056141C"/>
    <w:rsid w:val="00561D24"/>
    <w:rsid w:val="00563648"/>
    <w:rsid w:val="00564892"/>
    <w:rsid w:val="00564DBB"/>
    <w:rsid w:val="00572A28"/>
    <w:rsid w:val="00572EC3"/>
    <w:rsid w:val="00573C4A"/>
    <w:rsid w:val="005744C2"/>
    <w:rsid w:val="00575192"/>
    <w:rsid w:val="005765BB"/>
    <w:rsid w:val="00576ADE"/>
    <w:rsid w:val="00577CFD"/>
    <w:rsid w:val="00577DEF"/>
    <w:rsid w:val="005826D6"/>
    <w:rsid w:val="00583889"/>
    <w:rsid w:val="00584195"/>
    <w:rsid w:val="00584A9C"/>
    <w:rsid w:val="00584F9C"/>
    <w:rsid w:val="005868FF"/>
    <w:rsid w:val="00586EFE"/>
    <w:rsid w:val="00587023"/>
    <w:rsid w:val="00587D6F"/>
    <w:rsid w:val="00587DB2"/>
    <w:rsid w:val="00590B2D"/>
    <w:rsid w:val="005920ED"/>
    <w:rsid w:val="005924A7"/>
    <w:rsid w:val="005948F6"/>
    <w:rsid w:val="0059545E"/>
    <w:rsid w:val="00595F70"/>
    <w:rsid w:val="00596C9F"/>
    <w:rsid w:val="00597972"/>
    <w:rsid w:val="005A1AC6"/>
    <w:rsid w:val="005A208D"/>
    <w:rsid w:val="005A2BBE"/>
    <w:rsid w:val="005A2BFE"/>
    <w:rsid w:val="005A2D1D"/>
    <w:rsid w:val="005A2D6F"/>
    <w:rsid w:val="005A395C"/>
    <w:rsid w:val="005A5BAD"/>
    <w:rsid w:val="005A71CE"/>
    <w:rsid w:val="005A7413"/>
    <w:rsid w:val="005B0EA2"/>
    <w:rsid w:val="005B421B"/>
    <w:rsid w:val="005B5853"/>
    <w:rsid w:val="005B718E"/>
    <w:rsid w:val="005B7413"/>
    <w:rsid w:val="005B7D20"/>
    <w:rsid w:val="005C0351"/>
    <w:rsid w:val="005C30C9"/>
    <w:rsid w:val="005C3BD2"/>
    <w:rsid w:val="005C42F6"/>
    <w:rsid w:val="005C6285"/>
    <w:rsid w:val="005C6F0D"/>
    <w:rsid w:val="005D1EBD"/>
    <w:rsid w:val="005D22A4"/>
    <w:rsid w:val="005D2EC2"/>
    <w:rsid w:val="005D301B"/>
    <w:rsid w:val="005D3198"/>
    <w:rsid w:val="005D5147"/>
    <w:rsid w:val="005D5695"/>
    <w:rsid w:val="005D5BA1"/>
    <w:rsid w:val="005D5F13"/>
    <w:rsid w:val="005D622E"/>
    <w:rsid w:val="005D6A4B"/>
    <w:rsid w:val="005D767C"/>
    <w:rsid w:val="005D7684"/>
    <w:rsid w:val="005D7740"/>
    <w:rsid w:val="005D7CCE"/>
    <w:rsid w:val="005E0C8A"/>
    <w:rsid w:val="005E1D7D"/>
    <w:rsid w:val="005E401D"/>
    <w:rsid w:val="005E4453"/>
    <w:rsid w:val="005E49B2"/>
    <w:rsid w:val="005E54F1"/>
    <w:rsid w:val="005E6EB9"/>
    <w:rsid w:val="005E782D"/>
    <w:rsid w:val="005E7B35"/>
    <w:rsid w:val="005F0AE8"/>
    <w:rsid w:val="005F0E91"/>
    <w:rsid w:val="005F16C2"/>
    <w:rsid w:val="005F1BB8"/>
    <w:rsid w:val="005F2A6B"/>
    <w:rsid w:val="005F2E24"/>
    <w:rsid w:val="005F40C1"/>
    <w:rsid w:val="005F4176"/>
    <w:rsid w:val="005F49F0"/>
    <w:rsid w:val="005F7986"/>
    <w:rsid w:val="006024D3"/>
    <w:rsid w:val="00602E07"/>
    <w:rsid w:val="006031CA"/>
    <w:rsid w:val="0060384D"/>
    <w:rsid w:val="00604104"/>
    <w:rsid w:val="00604C5D"/>
    <w:rsid w:val="00605F15"/>
    <w:rsid w:val="00606EF9"/>
    <w:rsid w:val="0060706A"/>
    <w:rsid w:val="006070C4"/>
    <w:rsid w:val="00607712"/>
    <w:rsid w:val="00607758"/>
    <w:rsid w:val="006109CC"/>
    <w:rsid w:val="00610C97"/>
    <w:rsid w:val="00610D5E"/>
    <w:rsid w:val="006110E8"/>
    <w:rsid w:val="00612061"/>
    <w:rsid w:val="0061275E"/>
    <w:rsid w:val="00613467"/>
    <w:rsid w:val="00614152"/>
    <w:rsid w:val="00615222"/>
    <w:rsid w:val="00615B23"/>
    <w:rsid w:val="00616997"/>
    <w:rsid w:val="00616A95"/>
    <w:rsid w:val="00616E2A"/>
    <w:rsid w:val="00622F7F"/>
    <w:rsid w:val="00624315"/>
    <w:rsid w:val="0062460E"/>
    <w:rsid w:val="0062545B"/>
    <w:rsid w:val="0062552A"/>
    <w:rsid w:val="006265E6"/>
    <w:rsid w:val="00626B1E"/>
    <w:rsid w:val="00627035"/>
    <w:rsid w:val="006322BF"/>
    <w:rsid w:val="006324B2"/>
    <w:rsid w:val="006326E1"/>
    <w:rsid w:val="006332BE"/>
    <w:rsid w:val="006358B7"/>
    <w:rsid w:val="0063671B"/>
    <w:rsid w:val="00636F8B"/>
    <w:rsid w:val="006408C3"/>
    <w:rsid w:val="00640BD1"/>
    <w:rsid w:val="00641E71"/>
    <w:rsid w:val="00642086"/>
    <w:rsid w:val="0064284A"/>
    <w:rsid w:val="00643493"/>
    <w:rsid w:val="0064373D"/>
    <w:rsid w:val="00644E7D"/>
    <w:rsid w:val="0064597A"/>
    <w:rsid w:val="0064620D"/>
    <w:rsid w:val="00646897"/>
    <w:rsid w:val="00646C43"/>
    <w:rsid w:val="00646D4F"/>
    <w:rsid w:val="00647B21"/>
    <w:rsid w:val="00647DE5"/>
    <w:rsid w:val="00652E15"/>
    <w:rsid w:val="006535D6"/>
    <w:rsid w:val="00653AE9"/>
    <w:rsid w:val="00653E07"/>
    <w:rsid w:val="006541EF"/>
    <w:rsid w:val="006548EC"/>
    <w:rsid w:val="0065591D"/>
    <w:rsid w:val="006565C7"/>
    <w:rsid w:val="00657754"/>
    <w:rsid w:val="00661286"/>
    <w:rsid w:val="00662DFF"/>
    <w:rsid w:val="006634E5"/>
    <w:rsid w:val="00663867"/>
    <w:rsid w:val="00663A2E"/>
    <w:rsid w:val="00664356"/>
    <w:rsid w:val="00665E56"/>
    <w:rsid w:val="00665F66"/>
    <w:rsid w:val="00666FD0"/>
    <w:rsid w:val="006700BA"/>
    <w:rsid w:val="00671D6C"/>
    <w:rsid w:val="0067202B"/>
    <w:rsid w:val="00672120"/>
    <w:rsid w:val="006739EA"/>
    <w:rsid w:val="00673DDB"/>
    <w:rsid w:val="00674C3C"/>
    <w:rsid w:val="00674C7D"/>
    <w:rsid w:val="006753B9"/>
    <w:rsid w:val="006757B9"/>
    <w:rsid w:val="0067708A"/>
    <w:rsid w:val="00677469"/>
    <w:rsid w:val="00680093"/>
    <w:rsid w:val="006802C3"/>
    <w:rsid w:val="00680A03"/>
    <w:rsid w:val="006833C9"/>
    <w:rsid w:val="00684EBA"/>
    <w:rsid w:val="00690F52"/>
    <w:rsid w:val="00691913"/>
    <w:rsid w:val="006919B7"/>
    <w:rsid w:val="00692354"/>
    <w:rsid w:val="006923AD"/>
    <w:rsid w:val="006928E0"/>
    <w:rsid w:val="00692FB3"/>
    <w:rsid w:val="00693323"/>
    <w:rsid w:val="00694E3B"/>
    <w:rsid w:val="006958FA"/>
    <w:rsid w:val="006959EF"/>
    <w:rsid w:val="006963AF"/>
    <w:rsid w:val="0069703D"/>
    <w:rsid w:val="00697515"/>
    <w:rsid w:val="0069759F"/>
    <w:rsid w:val="006976F1"/>
    <w:rsid w:val="006A02C0"/>
    <w:rsid w:val="006A0A96"/>
    <w:rsid w:val="006A138B"/>
    <w:rsid w:val="006A19E8"/>
    <w:rsid w:val="006A30C1"/>
    <w:rsid w:val="006A34EF"/>
    <w:rsid w:val="006A37AE"/>
    <w:rsid w:val="006A4084"/>
    <w:rsid w:val="006A411C"/>
    <w:rsid w:val="006A520C"/>
    <w:rsid w:val="006A570B"/>
    <w:rsid w:val="006A64C0"/>
    <w:rsid w:val="006A6BBE"/>
    <w:rsid w:val="006B140A"/>
    <w:rsid w:val="006B32D4"/>
    <w:rsid w:val="006B489A"/>
    <w:rsid w:val="006B53A5"/>
    <w:rsid w:val="006B624A"/>
    <w:rsid w:val="006B6DBC"/>
    <w:rsid w:val="006C0B83"/>
    <w:rsid w:val="006C47E1"/>
    <w:rsid w:val="006C4906"/>
    <w:rsid w:val="006C501A"/>
    <w:rsid w:val="006C754F"/>
    <w:rsid w:val="006D2482"/>
    <w:rsid w:val="006D2773"/>
    <w:rsid w:val="006D2A66"/>
    <w:rsid w:val="006D3271"/>
    <w:rsid w:val="006D37BF"/>
    <w:rsid w:val="006D48BF"/>
    <w:rsid w:val="006D6A30"/>
    <w:rsid w:val="006D6E0F"/>
    <w:rsid w:val="006E006C"/>
    <w:rsid w:val="006E0CC0"/>
    <w:rsid w:val="006E10BC"/>
    <w:rsid w:val="006E17C1"/>
    <w:rsid w:val="006E18BB"/>
    <w:rsid w:val="006E3536"/>
    <w:rsid w:val="006E3956"/>
    <w:rsid w:val="006E3F43"/>
    <w:rsid w:val="006E48B9"/>
    <w:rsid w:val="006E5F69"/>
    <w:rsid w:val="006E636F"/>
    <w:rsid w:val="006E7302"/>
    <w:rsid w:val="006F09C0"/>
    <w:rsid w:val="006F151C"/>
    <w:rsid w:val="006F161E"/>
    <w:rsid w:val="006F21CC"/>
    <w:rsid w:val="006F2E82"/>
    <w:rsid w:val="006F465F"/>
    <w:rsid w:val="007003C6"/>
    <w:rsid w:val="007014BD"/>
    <w:rsid w:val="0070492E"/>
    <w:rsid w:val="00707082"/>
    <w:rsid w:val="00707A86"/>
    <w:rsid w:val="00710284"/>
    <w:rsid w:val="00710462"/>
    <w:rsid w:val="007111BB"/>
    <w:rsid w:val="007118F6"/>
    <w:rsid w:val="00711A87"/>
    <w:rsid w:val="00712C73"/>
    <w:rsid w:val="007133C8"/>
    <w:rsid w:val="00713DF9"/>
    <w:rsid w:val="00716599"/>
    <w:rsid w:val="00716B52"/>
    <w:rsid w:val="007175B8"/>
    <w:rsid w:val="00717C0B"/>
    <w:rsid w:val="00720098"/>
    <w:rsid w:val="00720CF8"/>
    <w:rsid w:val="00721747"/>
    <w:rsid w:val="00723AB1"/>
    <w:rsid w:val="00723E1E"/>
    <w:rsid w:val="00724C80"/>
    <w:rsid w:val="0072538B"/>
    <w:rsid w:val="00725925"/>
    <w:rsid w:val="00725BC8"/>
    <w:rsid w:val="00725EB4"/>
    <w:rsid w:val="00725EFE"/>
    <w:rsid w:val="00725F5B"/>
    <w:rsid w:val="0072653F"/>
    <w:rsid w:val="007266C3"/>
    <w:rsid w:val="00726836"/>
    <w:rsid w:val="00727FD4"/>
    <w:rsid w:val="00730578"/>
    <w:rsid w:val="007309DE"/>
    <w:rsid w:val="00731A26"/>
    <w:rsid w:val="00731CE5"/>
    <w:rsid w:val="00732474"/>
    <w:rsid w:val="00733708"/>
    <w:rsid w:val="0073517A"/>
    <w:rsid w:val="007351B3"/>
    <w:rsid w:val="007355AD"/>
    <w:rsid w:val="00736A48"/>
    <w:rsid w:val="0073742E"/>
    <w:rsid w:val="00747333"/>
    <w:rsid w:val="00747902"/>
    <w:rsid w:val="007509A6"/>
    <w:rsid w:val="00750B5A"/>
    <w:rsid w:val="00751055"/>
    <w:rsid w:val="00751984"/>
    <w:rsid w:val="00751AF6"/>
    <w:rsid w:val="00752103"/>
    <w:rsid w:val="00754973"/>
    <w:rsid w:val="00755389"/>
    <w:rsid w:val="007559FF"/>
    <w:rsid w:val="007568E1"/>
    <w:rsid w:val="00756CD7"/>
    <w:rsid w:val="00757D63"/>
    <w:rsid w:val="0076050A"/>
    <w:rsid w:val="00760AE3"/>
    <w:rsid w:val="007614F5"/>
    <w:rsid w:val="0076194F"/>
    <w:rsid w:val="00761BAD"/>
    <w:rsid w:val="007622B4"/>
    <w:rsid w:val="0076260B"/>
    <w:rsid w:val="00763265"/>
    <w:rsid w:val="007633B0"/>
    <w:rsid w:val="0076459F"/>
    <w:rsid w:val="007647A8"/>
    <w:rsid w:val="0076571B"/>
    <w:rsid w:val="00765BB5"/>
    <w:rsid w:val="00765D74"/>
    <w:rsid w:val="00766E52"/>
    <w:rsid w:val="007715D2"/>
    <w:rsid w:val="00772501"/>
    <w:rsid w:val="0077297F"/>
    <w:rsid w:val="00772AC6"/>
    <w:rsid w:val="00772C70"/>
    <w:rsid w:val="00772CF1"/>
    <w:rsid w:val="00772E91"/>
    <w:rsid w:val="00773FD6"/>
    <w:rsid w:val="00775A98"/>
    <w:rsid w:val="00776CDE"/>
    <w:rsid w:val="00776DB6"/>
    <w:rsid w:val="00780541"/>
    <w:rsid w:val="0078067C"/>
    <w:rsid w:val="007809AC"/>
    <w:rsid w:val="00780A7E"/>
    <w:rsid w:val="00780E31"/>
    <w:rsid w:val="00782877"/>
    <w:rsid w:val="00782FF4"/>
    <w:rsid w:val="0078367D"/>
    <w:rsid w:val="007847FA"/>
    <w:rsid w:val="0078710E"/>
    <w:rsid w:val="00787F73"/>
    <w:rsid w:val="00790910"/>
    <w:rsid w:val="00791091"/>
    <w:rsid w:val="007913E6"/>
    <w:rsid w:val="00791DAD"/>
    <w:rsid w:val="00791DE1"/>
    <w:rsid w:val="007927F8"/>
    <w:rsid w:val="0079306A"/>
    <w:rsid w:val="007934E3"/>
    <w:rsid w:val="0079372A"/>
    <w:rsid w:val="00794D02"/>
    <w:rsid w:val="00795CF0"/>
    <w:rsid w:val="00795E37"/>
    <w:rsid w:val="00796398"/>
    <w:rsid w:val="00796807"/>
    <w:rsid w:val="00797922"/>
    <w:rsid w:val="007A0D6F"/>
    <w:rsid w:val="007A2EC8"/>
    <w:rsid w:val="007A3A8C"/>
    <w:rsid w:val="007A5056"/>
    <w:rsid w:val="007A7013"/>
    <w:rsid w:val="007A797B"/>
    <w:rsid w:val="007B0E0C"/>
    <w:rsid w:val="007B140A"/>
    <w:rsid w:val="007B1C59"/>
    <w:rsid w:val="007B24F6"/>
    <w:rsid w:val="007B2D14"/>
    <w:rsid w:val="007B58E0"/>
    <w:rsid w:val="007B76E2"/>
    <w:rsid w:val="007B78C1"/>
    <w:rsid w:val="007C10A6"/>
    <w:rsid w:val="007C133D"/>
    <w:rsid w:val="007C22DD"/>
    <w:rsid w:val="007C26E5"/>
    <w:rsid w:val="007C29C7"/>
    <w:rsid w:val="007C2F93"/>
    <w:rsid w:val="007C452C"/>
    <w:rsid w:val="007C4FFE"/>
    <w:rsid w:val="007C6788"/>
    <w:rsid w:val="007C720A"/>
    <w:rsid w:val="007D0A1E"/>
    <w:rsid w:val="007D1092"/>
    <w:rsid w:val="007D109E"/>
    <w:rsid w:val="007D2621"/>
    <w:rsid w:val="007D39A8"/>
    <w:rsid w:val="007D3A85"/>
    <w:rsid w:val="007D3FC9"/>
    <w:rsid w:val="007D4AD9"/>
    <w:rsid w:val="007D4C33"/>
    <w:rsid w:val="007D4EAA"/>
    <w:rsid w:val="007E06E0"/>
    <w:rsid w:val="007E2379"/>
    <w:rsid w:val="007E3341"/>
    <w:rsid w:val="007E3562"/>
    <w:rsid w:val="007E41F7"/>
    <w:rsid w:val="007E482C"/>
    <w:rsid w:val="007E539A"/>
    <w:rsid w:val="007E5428"/>
    <w:rsid w:val="007E6842"/>
    <w:rsid w:val="007E713A"/>
    <w:rsid w:val="007E7C27"/>
    <w:rsid w:val="007E7F96"/>
    <w:rsid w:val="007F019A"/>
    <w:rsid w:val="007F08CA"/>
    <w:rsid w:val="007F162A"/>
    <w:rsid w:val="007F1932"/>
    <w:rsid w:val="007F288F"/>
    <w:rsid w:val="007F3B6E"/>
    <w:rsid w:val="007F438B"/>
    <w:rsid w:val="007F62BD"/>
    <w:rsid w:val="007F6590"/>
    <w:rsid w:val="007F67B1"/>
    <w:rsid w:val="007F6E24"/>
    <w:rsid w:val="007F7D87"/>
    <w:rsid w:val="008002F9"/>
    <w:rsid w:val="00800817"/>
    <w:rsid w:val="00800A02"/>
    <w:rsid w:val="008012F7"/>
    <w:rsid w:val="00801946"/>
    <w:rsid w:val="00801AD2"/>
    <w:rsid w:val="00801FDC"/>
    <w:rsid w:val="00802A1B"/>
    <w:rsid w:val="00803538"/>
    <w:rsid w:val="00803B3E"/>
    <w:rsid w:val="00803DE6"/>
    <w:rsid w:val="00804173"/>
    <w:rsid w:val="00804D65"/>
    <w:rsid w:val="00804DFA"/>
    <w:rsid w:val="008058E8"/>
    <w:rsid w:val="00806434"/>
    <w:rsid w:val="00811DDF"/>
    <w:rsid w:val="00812532"/>
    <w:rsid w:val="00813288"/>
    <w:rsid w:val="00813536"/>
    <w:rsid w:val="00813F8C"/>
    <w:rsid w:val="00813FAD"/>
    <w:rsid w:val="00816037"/>
    <w:rsid w:val="00816609"/>
    <w:rsid w:val="00816F70"/>
    <w:rsid w:val="00817365"/>
    <w:rsid w:val="00817853"/>
    <w:rsid w:val="00820D35"/>
    <w:rsid w:val="00821385"/>
    <w:rsid w:val="00821400"/>
    <w:rsid w:val="00821A29"/>
    <w:rsid w:val="00821F15"/>
    <w:rsid w:val="00823233"/>
    <w:rsid w:val="00823FF2"/>
    <w:rsid w:val="00824426"/>
    <w:rsid w:val="0082588F"/>
    <w:rsid w:val="00825E65"/>
    <w:rsid w:val="008304F7"/>
    <w:rsid w:val="00830E52"/>
    <w:rsid w:val="008324E3"/>
    <w:rsid w:val="008331B6"/>
    <w:rsid w:val="00834DD9"/>
    <w:rsid w:val="00836E8D"/>
    <w:rsid w:val="00840169"/>
    <w:rsid w:val="00840288"/>
    <w:rsid w:val="00842C00"/>
    <w:rsid w:val="00843B30"/>
    <w:rsid w:val="00844C54"/>
    <w:rsid w:val="00845121"/>
    <w:rsid w:val="00845946"/>
    <w:rsid w:val="00846662"/>
    <w:rsid w:val="00846756"/>
    <w:rsid w:val="00846D6C"/>
    <w:rsid w:val="00847349"/>
    <w:rsid w:val="008476A0"/>
    <w:rsid w:val="008476A4"/>
    <w:rsid w:val="00850F93"/>
    <w:rsid w:val="008510B5"/>
    <w:rsid w:val="00852F38"/>
    <w:rsid w:val="00854367"/>
    <w:rsid w:val="00854A63"/>
    <w:rsid w:val="00854B25"/>
    <w:rsid w:val="00854C36"/>
    <w:rsid w:val="008552FE"/>
    <w:rsid w:val="0085693B"/>
    <w:rsid w:val="00856C34"/>
    <w:rsid w:val="00856D3A"/>
    <w:rsid w:val="008571BF"/>
    <w:rsid w:val="00861581"/>
    <w:rsid w:val="0086228B"/>
    <w:rsid w:val="008624AA"/>
    <w:rsid w:val="00862A6E"/>
    <w:rsid w:val="00862F1E"/>
    <w:rsid w:val="0086340A"/>
    <w:rsid w:val="00864BCC"/>
    <w:rsid w:val="00865CB0"/>
    <w:rsid w:val="00865DC1"/>
    <w:rsid w:val="0086799D"/>
    <w:rsid w:val="00870089"/>
    <w:rsid w:val="00870499"/>
    <w:rsid w:val="00872A92"/>
    <w:rsid w:val="0087357B"/>
    <w:rsid w:val="008750F9"/>
    <w:rsid w:val="00875341"/>
    <w:rsid w:val="0087536F"/>
    <w:rsid w:val="00877C7B"/>
    <w:rsid w:val="00880A40"/>
    <w:rsid w:val="00880C3A"/>
    <w:rsid w:val="0088319D"/>
    <w:rsid w:val="0088336A"/>
    <w:rsid w:val="00883A5E"/>
    <w:rsid w:val="00884450"/>
    <w:rsid w:val="008868C6"/>
    <w:rsid w:val="008869F4"/>
    <w:rsid w:val="008877B8"/>
    <w:rsid w:val="00891844"/>
    <w:rsid w:val="008918B7"/>
    <w:rsid w:val="00891F1F"/>
    <w:rsid w:val="008922A9"/>
    <w:rsid w:val="00892C6D"/>
    <w:rsid w:val="00893EEF"/>
    <w:rsid w:val="0089586B"/>
    <w:rsid w:val="008A003D"/>
    <w:rsid w:val="008A1B21"/>
    <w:rsid w:val="008A3C58"/>
    <w:rsid w:val="008A3D78"/>
    <w:rsid w:val="008A4880"/>
    <w:rsid w:val="008A52B1"/>
    <w:rsid w:val="008A5AFC"/>
    <w:rsid w:val="008A6168"/>
    <w:rsid w:val="008A6231"/>
    <w:rsid w:val="008A720F"/>
    <w:rsid w:val="008A795E"/>
    <w:rsid w:val="008A7B12"/>
    <w:rsid w:val="008B0367"/>
    <w:rsid w:val="008B12A1"/>
    <w:rsid w:val="008B188A"/>
    <w:rsid w:val="008B2271"/>
    <w:rsid w:val="008B2A32"/>
    <w:rsid w:val="008B2DC2"/>
    <w:rsid w:val="008B5047"/>
    <w:rsid w:val="008B521F"/>
    <w:rsid w:val="008B5226"/>
    <w:rsid w:val="008B53B3"/>
    <w:rsid w:val="008B5B32"/>
    <w:rsid w:val="008B6F05"/>
    <w:rsid w:val="008C1DA7"/>
    <w:rsid w:val="008C262F"/>
    <w:rsid w:val="008C2DC0"/>
    <w:rsid w:val="008C3580"/>
    <w:rsid w:val="008C4199"/>
    <w:rsid w:val="008C5A45"/>
    <w:rsid w:val="008C6010"/>
    <w:rsid w:val="008C6FE8"/>
    <w:rsid w:val="008C760A"/>
    <w:rsid w:val="008D0E9F"/>
    <w:rsid w:val="008D1A6B"/>
    <w:rsid w:val="008D32DE"/>
    <w:rsid w:val="008D3888"/>
    <w:rsid w:val="008D78E7"/>
    <w:rsid w:val="008D78FF"/>
    <w:rsid w:val="008E0FBE"/>
    <w:rsid w:val="008E29F0"/>
    <w:rsid w:val="008E387F"/>
    <w:rsid w:val="008E54F7"/>
    <w:rsid w:val="008E5A42"/>
    <w:rsid w:val="008E616C"/>
    <w:rsid w:val="008E7AF4"/>
    <w:rsid w:val="008F1B9A"/>
    <w:rsid w:val="008F1D1A"/>
    <w:rsid w:val="008F3056"/>
    <w:rsid w:val="008F3BFA"/>
    <w:rsid w:val="008F467F"/>
    <w:rsid w:val="008F51C2"/>
    <w:rsid w:val="008F5270"/>
    <w:rsid w:val="008F70A5"/>
    <w:rsid w:val="008F7199"/>
    <w:rsid w:val="00901236"/>
    <w:rsid w:val="009021F0"/>
    <w:rsid w:val="00902638"/>
    <w:rsid w:val="00902A63"/>
    <w:rsid w:val="00902D6B"/>
    <w:rsid w:val="009043E2"/>
    <w:rsid w:val="0090474F"/>
    <w:rsid w:val="009048F7"/>
    <w:rsid w:val="00906A1E"/>
    <w:rsid w:val="00907533"/>
    <w:rsid w:val="00907DB0"/>
    <w:rsid w:val="00907E74"/>
    <w:rsid w:val="009100E0"/>
    <w:rsid w:val="00911165"/>
    <w:rsid w:val="00912910"/>
    <w:rsid w:val="00912EE5"/>
    <w:rsid w:val="00913A4E"/>
    <w:rsid w:val="00914DA7"/>
    <w:rsid w:val="00915941"/>
    <w:rsid w:val="00915F63"/>
    <w:rsid w:val="0091660E"/>
    <w:rsid w:val="0091697B"/>
    <w:rsid w:val="009176B8"/>
    <w:rsid w:val="009177E9"/>
    <w:rsid w:val="009179CD"/>
    <w:rsid w:val="0092146C"/>
    <w:rsid w:val="00923C3D"/>
    <w:rsid w:val="00924086"/>
    <w:rsid w:val="00924B55"/>
    <w:rsid w:val="0092606A"/>
    <w:rsid w:val="00926C03"/>
    <w:rsid w:val="00930DE8"/>
    <w:rsid w:val="009312CA"/>
    <w:rsid w:val="00931864"/>
    <w:rsid w:val="0093289D"/>
    <w:rsid w:val="00933012"/>
    <w:rsid w:val="009331CF"/>
    <w:rsid w:val="009334AC"/>
    <w:rsid w:val="00933805"/>
    <w:rsid w:val="00933B0D"/>
    <w:rsid w:val="009351FA"/>
    <w:rsid w:val="009354EE"/>
    <w:rsid w:val="00937DE1"/>
    <w:rsid w:val="00940422"/>
    <w:rsid w:val="00941B76"/>
    <w:rsid w:val="00942010"/>
    <w:rsid w:val="00942888"/>
    <w:rsid w:val="009429C7"/>
    <w:rsid w:val="0094320A"/>
    <w:rsid w:val="0094330F"/>
    <w:rsid w:val="00943846"/>
    <w:rsid w:val="00944052"/>
    <w:rsid w:val="00944061"/>
    <w:rsid w:val="00945972"/>
    <w:rsid w:val="00945DE0"/>
    <w:rsid w:val="00946AC3"/>
    <w:rsid w:val="0094730E"/>
    <w:rsid w:val="0095170D"/>
    <w:rsid w:val="0095217A"/>
    <w:rsid w:val="0095307F"/>
    <w:rsid w:val="00953373"/>
    <w:rsid w:val="009534D4"/>
    <w:rsid w:val="00954142"/>
    <w:rsid w:val="00955526"/>
    <w:rsid w:val="0095643C"/>
    <w:rsid w:val="00956D42"/>
    <w:rsid w:val="00957BCB"/>
    <w:rsid w:val="00957EEF"/>
    <w:rsid w:val="00962A53"/>
    <w:rsid w:val="009630D6"/>
    <w:rsid w:val="0096361E"/>
    <w:rsid w:val="00963E17"/>
    <w:rsid w:val="009645AD"/>
    <w:rsid w:val="009653CD"/>
    <w:rsid w:val="00966350"/>
    <w:rsid w:val="00966C09"/>
    <w:rsid w:val="00966E22"/>
    <w:rsid w:val="00972E6A"/>
    <w:rsid w:val="009733C9"/>
    <w:rsid w:val="00974681"/>
    <w:rsid w:val="00974C26"/>
    <w:rsid w:val="00975108"/>
    <w:rsid w:val="009757A0"/>
    <w:rsid w:val="00976D2D"/>
    <w:rsid w:val="00977F4B"/>
    <w:rsid w:val="009813A5"/>
    <w:rsid w:val="00981EB9"/>
    <w:rsid w:val="009821AC"/>
    <w:rsid w:val="0098260C"/>
    <w:rsid w:val="00983291"/>
    <w:rsid w:val="00983682"/>
    <w:rsid w:val="00983A13"/>
    <w:rsid w:val="00984441"/>
    <w:rsid w:val="009844CF"/>
    <w:rsid w:val="00984DD8"/>
    <w:rsid w:val="00985720"/>
    <w:rsid w:val="00986553"/>
    <w:rsid w:val="00987C98"/>
    <w:rsid w:val="00987D73"/>
    <w:rsid w:val="0099085F"/>
    <w:rsid w:val="009915CB"/>
    <w:rsid w:val="00992040"/>
    <w:rsid w:val="009925DB"/>
    <w:rsid w:val="00992B5A"/>
    <w:rsid w:val="00993A8F"/>
    <w:rsid w:val="00993CC9"/>
    <w:rsid w:val="00993E67"/>
    <w:rsid w:val="00994BA4"/>
    <w:rsid w:val="0099565C"/>
    <w:rsid w:val="00995E9B"/>
    <w:rsid w:val="009A2AB0"/>
    <w:rsid w:val="009A4067"/>
    <w:rsid w:val="009A619E"/>
    <w:rsid w:val="009A61FD"/>
    <w:rsid w:val="009A6E03"/>
    <w:rsid w:val="009A6E82"/>
    <w:rsid w:val="009A6F74"/>
    <w:rsid w:val="009B007D"/>
    <w:rsid w:val="009B0D3C"/>
    <w:rsid w:val="009B16EC"/>
    <w:rsid w:val="009B18AA"/>
    <w:rsid w:val="009B1F92"/>
    <w:rsid w:val="009B20B5"/>
    <w:rsid w:val="009B28DF"/>
    <w:rsid w:val="009B376D"/>
    <w:rsid w:val="009B4B4B"/>
    <w:rsid w:val="009B4C02"/>
    <w:rsid w:val="009B7EC5"/>
    <w:rsid w:val="009C0C11"/>
    <w:rsid w:val="009C0E9E"/>
    <w:rsid w:val="009C29ED"/>
    <w:rsid w:val="009C2DA5"/>
    <w:rsid w:val="009C515B"/>
    <w:rsid w:val="009C5820"/>
    <w:rsid w:val="009C5BBB"/>
    <w:rsid w:val="009C608D"/>
    <w:rsid w:val="009C611F"/>
    <w:rsid w:val="009D05A8"/>
    <w:rsid w:val="009D144B"/>
    <w:rsid w:val="009D1669"/>
    <w:rsid w:val="009D2E44"/>
    <w:rsid w:val="009D3628"/>
    <w:rsid w:val="009D4C2A"/>
    <w:rsid w:val="009D5BC9"/>
    <w:rsid w:val="009D6531"/>
    <w:rsid w:val="009D6914"/>
    <w:rsid w:val="009D7DBE"/>
    <w:rsid w:val="009E149F"/>
    <w:rsid w:val="009E1B01"/>
    <w:rsid w:val="009E1C22"/>
    <w:rsid w:val="009E2481"/>
    <w:rsid w:val="009E2B4A"/>
    <w:rsid w:val="009E3849"/>
    <w:rsid w:val="009E7937"/>
    <w:rsid w:val="009E7BB6"/>
    <w:rsid w:val="009F04CD"/>
    <w:rsid w:val="009F0BA5"/>
    <w:rsid w:val="009F0DAB"/>
    <w:rsid w:val="009F184C"/>
    <w:rsid w:val="009F1A23"/>
    <w:rsid w:val="009F2DB9"/>
    <w:rsid w:val="009F3631"/>
    <w:rsid w:val="009F3790"/>
    <w:rsid w:val="009F7612"/>
    <w:rsid w:val="009F7CC4"/>
    <w:rsid w:val="009F7CEB"/>
    <w:rsid w:val="00A0043F"/>
    <w:rsid w:val="00A00B1D"/>
    <w:rsid w:val="00A02774"/>
    <w:rsid w:val="00A02EF4"/>
    <w:rsid w:val="00A03D6E"/>
    <w:rsid w:val="00A040FD"/>
    <w:rsid w:val="00A0426A"/>
    <w:rsid w:val="00A04AA2"/>
    <w:rsid w:val="00A04C0D"/>
    <w:rsid w:val="00A055DE"/>
    <w:rsid w:val="00A0598B"/>
    <w:rsid w:val="00A0754A"/>
    <w:rsid w:val="00A07A7F"/>
    <w:rsid w:val="00A07AAA"/>
    <w:rsid w:val="00A07AB7"/>
    <w:rsid w:val="00A10569"/>
    <w:rsid w:val="00A122A8"/>
    <w:rsid w:val="00A12983"/>
    <w:rsid w:val="00A1386A"/>
    <w:rsid w:val="00A13B75"/>
    <w:rsid w:val="00A148A6"/>
    <w:rsid w:val="00A154F0"/>
    <w:rsid w:val="00A17377"/>
    <w:rsid w:val="00A173EC"/>
    <w:rsid w:val="00A17635"/>
    <w:rsid w:val="00A20238"/>
    <w:rsid w:val="00A20B1A"/>
    <w:rsid w:val="00A22A39"/>
    <w:rsid w:val="00A2303E"/>
    <w:rsid w:val="00A25D36"/>
    <w:rsid w:val="00A26030"/>
    <w:rsid w:val="00A272C4"/>
    <w:rsid w:val="00A27910"/>
    <w:rsid w:val="00A27A90"/>
    <w:rsid w:val="00A27E7B"/>
    <w:rsid w:val="00A31320"/>
    <w:rsid w:val="00A33324"/>
    <w:rsid w:val="00A342FE"/>
    <w:rsid w:val="00A347C2"/>
    <w:rsid w:val="00A35E8F"/>
    <w:rsid w:val="00A35F2C"/>
    <w:rsid w:val="00A36604"/>
    <w:rsid w:val="00A36A98"/>
    <w:rsid w:val="00A36E1F"/>
    <w:rsid w:val="00A37A6D"/>
    <w:rsid w:val="00A37CF9"/>
    <w:rsid w:val="00A41373"/>
    <w:rsid w:val="00A41E5D"/>
    <w:rsid w:val="00A4212D"/>
    <w:rsid w:val="00A422DD"/>
    <w:rsid w:val="00A4322A"/>
    <w:rsid w:val="00A4382A"/>
    <w:rsid w:val="00A43EB3"/>
    <w:rsid w:val="00A443F7"/>
    <w:rsid w:val="00A45257"/>
    <w:rsid w:val="00A452AA"/>
    <w:rsid w:val="00A458BE"/>
    <w:rsid w:val="00A47213"/>
    <w:rsid w:val="00A4770C"/>
    <w:rsid w:val="00A51978"/>
    <w:rsid w:val="00A525B1"/>
    <w:rsid w:val="00A52EEB"/>
    <w:rsid w:val="00A535EB"/>
    <w:rsid w:val="00A535FB"/>
    <w:rsid w:val="00A53F82"/>
    <w:rsid w:val="00A55603"/>
    <w:rsid w:val="00A5628F"/>
    <w:rsid w:val="00A568C8"/>
    <w:rsid w:val="00A62392"/>
    <w:rsid w:val="00A6374D"/>
    <w:rsid w:val="00A650C3"/>
    <w:rsid w:val="00A6649B"/>
    <w:rsid w:val="00A66A4C"/>
    <w:rsid w:val="00A7258E"/>
    <w:rsid w:val="00A72EB8"/>
    <w:rsid w:val="00A73DF1"/>
    <w:rsid w:val="00A74174"/>
    <w:rsid w:val="00A77105"/>
    <w:rsid w:val="00A77348"/>
    <w:rsid w:val="00A77B2E"/>
    <w:rsid w:val="00A801AF"/>
    <w:rsid w:val="00A8038F"/>
    <w:rsid w:val="00A81051"/>
    <w:rsid w:val="00A81F82"/>
    <w:rsid w:val="00A8267F"/>
    <w:rsid w:val="00A82C92"/>
    <w:rsid w:val="00A841B0"/>
    <w:rsid w:val="00A84922"/>
    <w:rsid w:val="00A85352"/>
    <w:rsid w:val="00A85A2B"/>
    <w:rsid w:val="00A87B93"/>
    <w:rsid w:val="00A92265"/>
    <w:rsid w:val="00A92292"/>
    <w:rsid w:val="00A9252A"/>
    <w:rsid w:val="00A92A2F"/>
    <w:rsid w:val="00A92C2B"/>
    <w:rsid w:val="00A93543"/>
    <w:rsid w:val="00A94BF1"/>
    <w:rsid w:val="00A94EFC"/>
    <w:rsid w:val="00A965D0"/>
    <w:rsid w:val="00A96615"/>
    <w:rsid w:val="00A96A23"/>
    <w:rsid w:val="00AA0F06"/>
    <w:rsid w:val="00AA1681"/>
    <w:rsid w:val="00AA18C1"/>
    <w:rsid w:val="00AA2FA1"/>
    <w:rsid w:val="00AA3567"/>
    <w:rsid w:val="00AA3D30"/>
    <w:rsid w:val="00AA4E3B"/>
    <w:rsid w:val="00AA51C1"/>
    <w:rsid w:val="00AA6156"/>
    <w:rsid w:val="00AA73AC"/>
    <w:rsid w:val="00AA7B77"/>
    <w:rsid w:val="00AB0DD7"/>
    <w:rsid w:val="00AB187A"/>
    <w:rsid w:val="00AB289C"/>
    <w:rsid w:val="00AB2D64"/>
    <w:rsid w:val="00AB33DC"/>
    <w:rsid w:val="00AB448E"/>
    <w:rsid w:val="00AB514A"/>
    <w:rsid w:val="00AB54D9"/>
    <w:rsid w:val="00AB54F1"/>
    <w:rsid w:val="00AC0691"/>
    <w:rsid w:val="00AC07EF"/>
    <w:rsid w:val="00AC31C9"/>
    <w:rsid w:val="00AC3404"/>
    <w:rsid w:val="00AC3A09"/>
    <w:rsid w:val="00AC3A92"/>
    <w:rsid w:val="00AC3CE4"/>
    <w:rsid w:val="00AC50E3"/>
    <w:rsid w:val="00AC54CE"/>
    <w:rsid w:val="00AC6031"/>
    <w:rsid w:val="00AC6529"/>
    <w:rsid w:val="00AD0BA8"/>
    <w:rsid w:val="00AD0C67"/>
    <w:rsid w:val="00AD1553"/>
    <w:rsid w:val="00AD1B8D"/>
    <w:rsid w:val="00AD51C9"/>
    <w:rsid w:val="00AD6679"/>
    <w:rsid w:val="00AD6B8A"/>
    <w:rsid w:val="00AE0559"/>
    <w:rsid w:val="00AE2A68"/>
    <w:rsid w:val="00AE42C7"/>
    <w:rsid w:val="00AE513E"/>
    <w:rsid w:val="00AE6667"/>
    <w:rsid w:val="00AE6B4A"/>
    <w:rsid w:val="00AE6B68"/>
    <w:rsid w:val="00AE735E"/>
    <w:rsid w:val="00AE7AA8"/>
    <w:rsid w:val="00AF005F"/>
    <w:rsid w:val="00AF01C5"/>
    <w:rsid w:val="00AF0DF9"/>
    <w:rsid w:val="00AF1138"/>
    <w:rsid w:val="00AF234F"/>
    <w:rsid w:val="00AF2699"/>
    <w:rsid w:val="00AF3810"/>
    <w:rsid w:val="00AF392D"/>
    <w:rsid w:val="00AF4BAF"/>
    <w:rsid w:val="00AF4BE4"/>
    <w:rsid w:val="00AF613E"/>
    <w:rsid w:val="00AF70CD"/>
    <w:rsid w:val="00AF7173"/>
    <w:rsid w:val="00AF71B1"/>
    <w:rsid w:val="00B000E7"/>
    <w:rsid w:val="00B01B9A"/>
    <w:rsid w:val="00B02489"/>
    <w:rsid w:val="00B04821"/>
    <w:rsid w:val="00B05A6C"/>
    <w:rsid w:val="00B05CD8"/>
    <w:rsid w:val="00B061AD"/>
    <w:rsid w:val="00B0727C"/>
    <w:rsid w:val="00B07342"/>
    <w:rsid w:val="00B0774E"/>
    <w:rsid w:val="00B11E97"/>
    <w:rsid w:val="00B11E9D"/>
    <w:rsid w:val="00B11EA0"/>
    <w:rsid w:val="00B1397C"/>
    <w:rsid w:val="00B13B22"/>
    <w:rsid w:val="00B143AA"/>
    <w:rsid w:val="00B165DC"/>
    <w:rsid w:val="00B17FDB"/>
    <w:rsid w:val="00B20A68"/>
    <w:rsid w:val="00B21BB1"/>
    <w:rsid w:val="00B2277D"/>
    <w:rsid w:val="00B22A31"/>
    <w:rsid w:val="00B232B1"/>
    <w:rsid w:val="00B234F3"/>
    <w:rsid w:val="00B23F20"/>
    <w:rsid w:val="00B25C4B"/>
    <w:rsid w:val="00B25D68"/>
    <w:rsid w:val="00B269F4"/>
    <w:rsid w:val="00B2777B"/>
    <w:rsid w:val="00B30B3B"/>
    <w:rsid w:val="00B30B99"/>
    <w:rsid w:val="00B318C1"/>
    <w:rsid w:val="00B31CDE"/>
    <w:rsid w:val="00B32B31"/>
    <w:rsid w:val="00B33FD8"/>
    <w:rsid w:val="00B34AFE"/>
    <w:rsid w:val="00B3538D"/>
    <w:rsid w:val="00B37029"/>
    <w:rsid w:val="00B37515"/>
    <w:rsid w:val="00B4121E"/>
    <w:rsid w:val="00B413A9"/>
    <w:rsid w:val="00B44457"/>
    <w:rsid w:val="00B4485E"/>
    <w:rsid w:val="00B44E0D"/>
    <w:rsid w:val="00B451D5"/>
    <w:rsid w:val="00B46538"/>
    <w:rsid w:val="00B4702E"/>
    <w:rsid w:val="00B47C39"/>
    <w:rsid w:val="00B47DEE"/>
    <w:rsid w:val="00B5083C"/>
    <w:rsid w:val="00B52618"/>
    <w:rsid w:val="00B52642"/>
    <w:rsid w:val="00B52ADF"/>
    <w:rsid w:val="00B539FB"/>
    <w:rsid w:val="00B55160"/>
    <w:rsid w:val="00B554AE"/>
    <w:rsid w:val="00B561DB"/>
    <w:rsid w:val="00B56AA1"/>
    <w:rsid w:val="00B56EAE"/>
    <w:rsid w:val="00B574C1"/>
    <w:rsid w:val="00B57780"/>
    <w:rsid w:val="00B62203"/>
    <w:rsid w:val="00B6367E"/>
    <w:rsid w:val="00B63B06"/>
    <w:rsid w:val="00B646B3"/>
    <w:rsid w:val="00B648B9"/>
    <w:rsid w:val="00B64DE8"/>
    <w:rsid w:val="00B651AE"/>
    <w:rsid w:val="00B65DBD"/>
    <w:rsid w:val="00B664C4"/>
    <w:rsid w:val="00B66C37"/>
    <w:rsid w:val="00B67119"/>
    <w:rsid w:val="00B7114E"/>
    <w:rsid w:val="00B714F8"/>
    <w:rsid w:val="00B71675"/>
    <w:rsid w:val="00B718EB"/>
    <w:rsid w:val="00B71B62"/>
    <w:rsid w:val="00B723D1"/>
    <w:rsid w:val="00B7417C"/>
    <w:rsid w:val="00B755D1"/>
    <w:rsid w:val="00B75BC0"/>
    <w:rsid w:val="00B765EF"/>
    <w:rsid w:val="00B7796D"/>
    <w:rsid w:val="00B77CBD"/>
    <w:rsid w:val="00B77EC7"/>
    <w:rsid w:val="00B80B83"/>
    <w:rsid w:val="00B81A5A"/>
    <w:rsid w:val="00B8255E"/>
    <w:rsid w:val="00B826E4"/>
    <w:rsid w:val="00B83B6E"/>
    <w:rsid w:val="00B841AD"/>
    <w:rsid w:val="00B8484F"/>
    <w:rsid w:val="00B848A2"/>
    <w:rsid w:val="00B84D13"/>
    <w:rsid w:val="00B85358"/>
    <w:rsid w:val="00B85F99"/>
    <w:rsid w:val="00B863A0"/>
    <w:rsid w:val="00B86D53"/>
    <w:rsid w:val="00B90E53"/>
    <w:rsid w:val="00B90ECF"/>
    <w:rsid w:val="00B915D3"/>
    <w:rsid w:val="00B929A9"/>
    <w:rsid w:val="00B930A0"/>
    <w:rsid w:val="00B93202"/>
    <w:rsid w:val="00B938DB"/>
    <w:rsid w:val="00B94303"/>
    <w:rsid w:val="00B948DC"/>
    <w:rsid w:val="00B94A4F"/>
    <w:rsid w:val="00B94A88"/>
    <w:rsid w:val="00B950AE"/>
    <w:rsid w:val="00B95924"/>
    <w:rsid w:val="00B95FB7"/>
    <w:rsid w:val="00B9621F"/>
    <w:rsid w:val="00B97530"/>
    <w:rsid w:val="00B97AD8"/>
    <w:rsid w:val="00BA01AB"/>
    <w:rsid w:val="00BA2BC3"/>
    <w:rsid w:val="00BA3306"/>
    <w:rsid w:val="00BA438A"/>
    <w:rsid w:val="00BA6129"/>
    <w:rsid w:val="00BA73EE"/>
    <w:rsid w:val="00BA7732"/>
    <w:rsid w:val="00BA7C17"/>
    <w:rsid w:val="00BA7D90"/>
    <w:rsid w:val="00BB00AB"/>
    <w:rsid w:val="00BB0206"/>
    <w:rsid w:val="00BB0BEA"/>
    <w:rsid w:val="00BB0F93"/>
    <w:rsid w:val="00BB1EC0"/>
    <w:rsid w:val="00BB2D83"/>
    <w:rsid w:val="00BB3EF2"/>
    <w:rsid w:val="00BB43DD"/>
    <w:rsid w:val="00BB43E8"/>
    <w:rsid w:val="00BB4760"/>
    <w:rsid w:val="00BB5B22"/>
    <w:rsid w:val="00BB6C32"/>
    <w:rsid w:val="00BB6DF9"/>
    <w:rsid w:val="00BB7E70"/>
    <w:rsid w:val="00BC0B07"/>
    <w:rsid w:val="00BC0B6D"/>
    <w:rsid w:val="00BC0FD6"/>
    <w:rsid w:val="00BC144D"/>
    <w:rsid w:val="00BC2668"/>
    <w:rsid w:val="00BC2B09"/>
    <w:rsid w:val="00BC2B11"/>
    <w:rsid w:val="00BC32B1"/>
    <w:rsid w:val="00BC3735"/>
    <w:rsid w:val="00BC457F"/>
    <w:rsid w:val="00BC57C1"/>
    <w:rsid w:val="00BC7FCB"/>
    <w:rsid w:val="00BD03EC"/>
    <w:rsid w:val="00BD063D"/>
    <w:rsid w:val="00BD1038"/>
    <w:rsid w:val="00BD20CB"/>
    <w:rsid w:val="00BD3464"/>
    <w:rsid w:val="00BD3506"/>
    <w:rsid w:val="00BD5D78"/>
    <w:rsid w:val="00BD65BC"/>
    <w:rsid w:val="00BD699A"/>
    <w:rsid w:val="00BD7F8F"/>
    <w:rsid w:val="00BE086C"/>
    <w:rsid w:val="00BE0F6E"/>
    <w:rsid w:val="00BE1151"/>
    <w:rsid w:val="00BE1570"/>
    <w:rsid w:val="00BE1B34"/>
    <w:rsid w:val="00BE2047"/>
    <w:rsid w:val="00BE2FBC"/>
    <w:rsid w:val="00BE350B"/>
    <w:rsid w:val="00BE35BD"/>
    <w:rsid w:val="00BE3CAA"/>
    <w:rsid w:val="00BE3E5F"/>
    <w:rsid w:val="00BE583A"/>
    <w:rsid w:val="00BF2C69"/>
    <w:rsid w:val="00BF30D9"/>
    <w:rsid w:val="00BF6523"/>
    <w:rsid w:val="00BF67A2"/>
    <w:rsid w:val="00C0038E"/>
    <w:rsid w:val="00C00505"/>
    <w:rsid w:val="00C00CA8"/>
    <w:rsid w:val="00C02356"/>
    <w:rsid w:val="00C02A39"/>
    <w:rsid w:val="00C02BBE"/>
    <w:rsid w:val="00C03A2E"/>
    <w:rsid w:val="00C03A88"/>
    <w:rsid w:val="00C05501"/>
    <w:rsid w:val="00C05700"/>
    <w:rsid w:val="00C05B2C"/>
    <w:rsid w:val="00C06418"/>
    <w:rsid w:val="00C0697B"/>
    <w:rsid w:val="00C069DC"/>
    <w:rsid w:val="00C069FB"/>
    <w:rsid w:val="00C07417"/>
    <w:rsid w:val="00C07BBA"/>
    <w:rsid w:val="00C104C2"/>
    <w:rsid w:val="00C10C7E"/>
    <w:rsid w:val="00C11033"/>
    <w:rsid w:val="00C12A51"/>
    <w:rsid w:val="00C12BD4"/>
    <w:rsid w:val="00C12D5A"/>
    <w:rsid w:val="00C15D4E"/>
    <w:rsid w:val="00C20F7C"/>
    <w:rsid w:val="00C21180"/>
    <w:rsid w:val="00C213B6"/>
    <w:rsid w:val="00C22489"/>
    <w:rsid w:val="00C23FEA"/>
    <w:rsid w:val="00C25AC3"/>
    <w:rsid w:val="00C27235"/>
    <w:rsid w:val="00C317F3"/>
    <w:rsid w:val="00C31EED"/>
    <w:rsid w:val="00C33187"/>
    <w:rsid w:val="00C34D81"/>
    <w:rsid w:val="00C3682A"/>
    <w:rsid w:val="00C371C1"/>
    <w:rsid w:val="00C43E36"/>
    <w:rsid w:val="00C44C37"/>
    <w:rsid w:val="00C46AE5"/>
    <w:rsid w:val="00C47654"/>
    <w:rsid w:val="00C47AEB"/>
    <w:rsid w:val="00C507DE"/>
    <w:rsid w:val="00C51082"/>
    <w:rsid w:val="00C518A7"/>
    <w:rsid w:val="00C52040"/>
    <w:rsid w:val="00C52ACF"/>
    <w:rsid w:val="00C5331B"/>
    <w:rsid w:val="00C535E3"/>
    <w:rsid w:val="00C539B7"/>
    <w:rsid w:val="00C54185"/>
    <w:rsid w:val="00C549CA"/>
    <w:rsid w:val="00C54A93"/>
    <w:rsid w:val="00C55C33"/>
    <w:rsid w:val="00C56584"/>
    <w:rsid w:val="00C57DF9"/>
    <w:rsid w:val="00C57E4D"/>
    <w:rsid w:val="00C57F0E"/>
    <w:rsid w:val="00C60D37"/>
    <w:rsid w:val="00C626E2"/>
    <w:rsid w:val="00C628C8"/>
    <w:rsid w:val="00C630AF"/>
    <w:rsid w:val="00C632F2"/>
    <w:rsid w:val="00C63C62"/>
    <w:rsid w:val="00C651C2"/>
    <w:rsid w:val="00C6625E"/>
    <w:rsid w:val="00C662A8"/>
    <w:rsid w:val="00C67585"/>
    <w:rsid w:val="00C7091D"/>
    <w:rsid w:val="00C72127"/>
    <w:rsid w:val="00C728F2"/>
    <w:rsid w:val="00C72C27"/>
    <w:rsid w:val="00C73B76"/>
    <w:rsid w:val="00C73CA0"/>
    <w:rsid w:val="00C744EE"/>
    <w:rsid w:val="00C74FC5"/>
    <w:rsid w:val="00C7519E"/>
    <w:rsid w:val="00C752AE"/>
    <w:rsid w:val="00C75B2F"/>
    <w:rsid w:val="00C760D3"/>
    <w:rsid w:val="00C76A1D"/>
    <w:rsid w:val="00C7795B"/>
    <w:rsid w:val="00C81A12"/>
    <w:rsid w:val="00C822A4"/>
    <w:rsid w:val="00C82359"/>
    <w:rsid w:val="00C82952"/>
    <w:rsid w:val="00C84563"/>
    <w:rsid w:val="00C846BE"/>
    <w:rsid w:val="00C8500D"/>
    <w:rsid w:val="00C85329"/>
    <w:rsid w:val="00C85542"/>
    <w:rsid w:val="00C8640A"/>
    <w:rsid w:val="00C864A6"/>
    <w:rsid w:val="00C869DC"/>
    <w:rsid w:val="00C86C16"/>
    <w:rsid w:val="00C8732E"/>
    <w:rsid w:val="00C90CC3"/>
    <w:rsid w:val="00C91102"/>
    <w:rsid w:val="00C919FE"/>
    <w:rsid w:val="00C93572"/>
    <w:rsid w:val="00C9376F"/>
    <w:rsid w:val="00C93D31"/>
    <w:rsid w:val="00C94085"/>
    <w:rsid w:val="00C949AA"/>
    <w:rsid w:val="00C95C9F"/>
    <w:rsid w:val="00C963DE"/>
    <w:rsid w:val="00C97F01"/>
    <w:rsid w:val="00CA08D8"/>
    <w:rsid w:val="00CA0C26"/>
    <w:rsid w:val="00CA172E"/>
    <w:rsid w:val="00CA601F"/>
    <w:rsid w:val="00CA69EA"/>
    <w:rsid w:val="00CA7977"/>
    <w:rsid w:val="00CA7DAC"/>
    <w:rsid w:val="00CB07A8"/>
    <w:rsid w:val="00CB14A1"/>
    <w:rsid w:val="00CB1D62"/>
    <w:rsid w:val="00CB1F02"/>
    <w:rsid w:val="00CB2FF0"/>
    <w:rsid w:val="00CB3487"/>
    <w:rsid w:val="00CB38AF"/>
    <w:rsid w:val="00CB46BF"/>
    <w:rsid w:val="00CB5389"/>
    <w:rsid w:val="00CB591C"/>
    <w:rsid w:val="00CC085B"/>
    <w:rsid w:val="00CC10E1"/>
    <w:rsid w:val="00CC5E69"/>
    <w:rsid w:val="00CC6445"/>
    <w:rsid w:val="00CC6B74"/>
    <w:rsid w:val="00CC70D9"/>
    <w:rsid w:val="00CC7248"/>
    <w:rsid w:val="00CC7E6C"/>
    <w:rsid w:val="00CD098A"/>
    <w:rsid w:val="00CD0B97"/>
    <w:rsid w:val="00CD12E3"/>
    <w:rsid w:val="00CD519E"/>
    <w:rsid w:val="00CD6327"/>
    <w:rsid w:val="00CD7255"/>
    <w:rsid w:val="00CE03C8"/>
    <w:rsid w:val="00CE0AA9"/>
    <w:rsid w:val="00CE29D7"/>
    <w:rsid w:val="00CE2B78"/>
    <w:rsid w:val="00CE30AB"/>
    <w:rsid w:val="00CE34FC"/>
    <w:rsid w:val="00CE50F0"/>
    <w:rsid w:val="00CE65BB"/>
    <w:rsid w:val="00CE74A3"/>
    <w:rsid w:val="00CE7ACD"/>
    <w:rsid w:val="00CF0141"/>
    <w:rsid w:val="00CF033A"/>
    <w:rsid w:val="00CF053A"/>
    <w:rsid w:val="00CF07D6"/>
    <w:rsid w:val="00CF07F0"/>
    <w:rsid w:val="00CF0AE9"/>
    <w:rsid w:val="00CF222B"/>
    <w:rsid w:val="00CF4E28"/>
    <w:rsid w:val="00CF546A"/>
    <w:rsid w:val="00CF73AA"/>
    <w:rsid w:val="00CF75EB"/>
    <w:rsid w:val="00D01A2E"/>
    <w:rsid w:val="00D01DE0"/>
    <w:rsid w:val="00D027E7"/>
    <w:rsid w:val="00D03211"/>
    <w:rsid w:val="00D034DD"/>
    <w:rsid w:val="00D03D0C"/>
    <w:rsid w:val="00D03FEA"/>
    <w:rsid w:val="00D04952"/>
    <w:rsid w:val="00D051B3"/>
    <w:rsid w:val="00D05CBD"/>
    <w:rsid w:val="00D05EEB"/>
    <w:rsid w:val="00D05F7D"/>
    <w:rsid w:val="00D06545"/>
    <w:rsid w:val="00D06A16"/>
    <w:rsid w:val="00D0713B"/>
    <w:rsid w:val="00D1078F"/>
    <w:rsid w:val="00D10A3A"/>
    <w:rsid w:val="00D10E60"/>
    <w:rsid w:val="00D125DF"/>
    <w:rsid w:val="00D12CD2"/>
    <w:rsid w:val="00D13EEB"/>
    <w:rsid w:val="00D14D23"/>
    <w:rsid w:val="00D14ED5"/>
    <w:rsid w:val="00D15D8B"/>
    <w:rsid w:val="00D1777E"/>
    <w:rsid w:val="00D17984"/>
    <w:rsid w:val="00D237A5"/>
    <w:rsid w:val="00D237C1"/>
    <w:rsid w:val="00D2460C"/>
    <w:rsid w:val="00D24DAD"/>
    <w:rsid w:val="00D25916"/>
    <w:rsid w:val="00D26276"/>
    <w:rsid w:val="00D266EA"/>
    <w:rsid w:val="00D30542"/>
    <w:rsid w:val="00D3081C"/>
    <w:rsid w:val="00D3083D"/>
    <w:rsid w:val="00D329E6"/>
    <w:rsid w:val="00D32B83"/>
    <w:rsid w:val="00D33B5C"/>
    <w:rsid w:val="00D34432"/>
    <w:rsid w:val="00D35164"/>
    <w:rsid w:val="00D364C4"/>
    <w:rsid w:val="00D3678A"/>
    <w:rsid w:val="00D37972"/>
    <w:rsid w:val="00D40896"/>
    <w:rsid w:val="00D41534"/>
    <w:rsid w:val="00D4200C"/>
    <w:rsid w:val="00D434A7"/>
    <w:rsid w:val="00D435A2"/>
    <w:rsid w:val="00D444F6"/>
    <w:rsid w:val="00D451FC"/>
    <w:rsid w:val="00D4587E"/>
    <w:rsid w:val="00D45D40"/>
    <w:rsid w:val="00D46437"/>
    <w:rsid w:val="00D46C8E"/>
    <w:rsid w:val="00D46E49"/>
    <w:rsid w:val="00D470B0"/>
    <w:rsid w:val="00D470FB"/>
    <w:rsid w:val="00D50775"/>
    <w:rsid w:val="00D50BC0"/>
    <w:rsid w:val="00D50D56"/>
    <w:rsid w:val="00D52382"/>
    <w:rsid w:val="00D5279F"/>
    <w:rsid w:val="00D52922"/>
    <w:rsid w:val="00D52BA9"/>
    <w:rsid w:val="00D54A39"/>
    <w:rsid w:val="00D54CAD"/>
    <w:rsid w:val="00D5549A"/>
    <w:rsid w:val="00D5560C"/>
    <w:rsid w:val="00D55D26"/>
    <w:rsid w:val="00D561D5"/>
    <w:rsid w:val="00D563CC"/>
    <w:rsid w:val="00D56E03"/>
    <w:rsid w:val="00D63C48"/>
    <w:rsid w:val="00D64289"/>
    <w:rsid w:val="00D6667B"/>
    <w:rsid w:val="00D667B8"/>
    <w:rsid w:val="00D6770C"/>
    <w:rsid w:val="00D67983"/>
    <w:rsid w:val="00D71400"/>
    <w:rsid w:val="00D717E2"/>
    <w:rsid w:val="00D72C23"/>
    <w:rsid w:val="00D739C1"/>
    <w:rsid w:val="00D73D37"/>
    <w:rsid w:val="00D7510E"/>
    <w:rsid w:val="00D76BF8"/>
    <w:rsid w:val="00D80AEE"/>
    <w:rsid w:val="00D8143E"/>
    <w:rsid w:val="00D826B5"/>
    <w:rsid w:val="00D8435D"/>
    <w:rsid w:val="00D86BDF"/>
    <w:rsid w:val="00D90574"/>
    <w:rsid w:val="00D92126"/>
    <w:rsid w:val="00D92E1F"/>
    <w:rsid w:val="00D93435"/>
    <w:rsid w:val="00D941A8"/>
    <w:rsid w:val="00D94C46"/>
    <w:rsid w:val="00D95394"/>
    <w:rsid w:val="00D95412"/>
    <w:rsid w:val="00D956F9"/>
    <w:rsid w:val="00D95DBB"/>
    <w:rsid w:val="00D970E7"/>
    <w:rsid w:val="00D97989"/>
    <w:rsid w:val="00D97D34"/>
    <w:rsid w:val="00D97F5D"/>
    <w:rsid w:val="00DA032B"/>
    <w:rsid w:val="00DA0456"/>
    <w:rsid w:val="00DA32C6"/>
    <w:rsid w:val="00DA36A0"/>
    <w:rsid w:val="00DA42AA"/>
    <w:rsid w:val="00DA4FBC"/>
    <w:rsid w:val="00DA55BB"/>
    <w:rsid w:val="00DA6637"/>
    <w:rsid w:val="00DA73EE"/>
    <w:rsid w:val="00DB088D"/>
    <w:rsid w:val="00DB3833"/>
    <w:rsid w:val="00DB3D2D"/>
    <w:rsid w:val="00DB40CD"/>
    <w:rsid w:val="00DB4527"/>
    <w:rsid w:val="00DC05B5"/>
    <w:rsid w:val="00DC1743"/>
    <w:rsid w:val="00DC1F73"/>
    <w:rsid w:val="00DC2548"/>
    <w:rsid w:val="00DC29C6"/>
    <w:rsid w:val="00DC34D0"/>
    <w:rsid w:val="00DC4A4D"/>
    <w:rsid w:val="00DC4CC9"/>
    <w:rsid w:val="00DC4D41"/>
    <w:rsid w:val="00DC66E8"/>
    <w:rsid w:val="00DC736E"/>
    <w:rsid w:val="00DC7746"/>
    <w:rsid w:val="00DD2F36"/>
    <w:rsid w:val="00DD3049"/>
    <w:rsid w:val="00DD53E9"/>
    <w:rsid w:val="00DD7943"/>
    <w:rsid w:val="00DE1BD2"/>
    <w:rsid w:val="00DE2231"/>
    <w:rsid w:val="00DE2956"/>
    <w:rsid w:val="00DE30E2"/>
    <w:rsid w:val="00DE3A9A"/>
    <w:rsid w:val="00DE3DBF"/>
    <w:rsid w:val="00DE412A"/>
    <w:rsid w:val="00DE4C6E"/>
    <w:rsid w:val="00DE58C6"/>
    <w:rsid w:val="00DE6421"/>
    <w:rsid w:val="00DE66B4"/>
    <w:rsid w:val="00DE6778"/>
    <w:rsid w:val="00DE67D4"/>
    <w:rsid w:val="00DE7565"/>
    <w:rsid w:val="00DE7FCC"/>
    <w:rsid w:val="00DF16C0"/>
    <w:rsid w:val="00DF1733"/>
    <w:rsid w:val="00DF1BB0"/>
    <w:rsid w:val="00DF2038"/>
    <w:rsid w:val="00DF20DB"/>
    <w:rsid w:val="00DF427F"/>
    <w:rsid w:val="00DF44E0"/>
    <w:rsid w:val="00DF5415"/>
    <w:rsid w:val="00DF548B"/>
    <w:rsid w:val="00E0015C"/>
    <w:rsid w:val="00E00A76"/>
    <w:rsid w:val="00E018E9"/>
    <w:rsid w:val="00E02D0E"/>
    <w:rsid w:val="00E058B5"/>
    <w:rsid w:val="00E05FBC"/>
    <w:rsid w:val="00E060DE"/>
    <w:rsid w:val="00E06BC4"/>
    <w:rsid w:val="00E0791F"/>
    <w:rsid w:val="00E10B7D"/>
    <w:rsid w:val="00E1159A"/>
    <w:rsid w:val="00E1163A"/>
    <w:rsid w:val="00E12EF4"/>
    <w:rsid w:val="00E13E3C"/>
    <w:rsid w:val="00E159BF"/>
    <w:rsid w:val="00E15AFB"/>
    <w:rsid w:val="00E17375"/>
    <w:rsid w:val="00E17A6A"/>
    <w:rsid w:val="00E2011E"/>
    <w:rsid w:val="00E20886"/>
    <w:rsid w:val="00E21483"/>
    <w:rsid w:val="00E2188C"/>
    <w:rsid w:val="00E21DDC"/>
    <w:rsid w:val="00E227EA"/>
    <w:rsid w:val="00E23660"/>
    <w:rsid w:val="00E236A1"/>
    <w:rsid w:val="00E23AA0"/>
    <w:rsid w:val="00E23F9D"/>
    <w:rsid w:val="00E24128"/>
    <w:rsid w:val="00E24301"/>
    <w:rsid w:val="00E2436B"/>
    <w:rsid w:val="00E2761D"/>
    <w:rsid w:val="00E2770E"/>
    <w:rsid w:val="00E30985"/>
    <w:rsid w:val="00E30D83"/>
    <w:rsid w:val="00E31A1E"/>
    <w:rsid w:val="00E33424"/>
    <w:rsid w:val="00E33888"/>
    <w:rsid w:val="00E34484"/>
    <w:rsid w:val="00E35071"/>
    <w:rsid w:val="00E35914"/>
    <w:rsid w:val="00E35DF0"/>
    <w:rsid w:val="00E3612E"/>
    <w:rsid w:val="00E36F3E"/>
    <w:rsid w:val="00E37424"/>
    <w:rsid w:val="00E4041E"/>
    <w:rsid w:val="00E4239A"/>
    <w:rsid w:val="00E432AE"/>
    <w:rsid w:val="00E43644"/>
    <w:rsid w:val="00E439AE"/>
    <w:rsid w:val="00E43EEE"/>
    <w:rsid w:val="00E45180"/>
    <w:rsid w:val="00E45305"/>
    <w:rsid w:val="00E46184"/>
    <w:rsid w:val="00E4634C"/>
    <w:rsid w:val="00E46AC9"/>
    <w:rsid w:val="00E507F0"/>
    <w:rsid w:val="00E50BA7"/>
    <w:rsid w:val="00E520A9"/>
    <w:rsid w:val="00E529B0"/>
    <w:rsid w:val="00E52C5F"/>
    <w:rsid w:val="00E52E47"/>
    <w:rsid w:val="00E53C6F"/>
    <w:rsid w:val="00E53DB6"/>
    <w:rsid w:val="00E54332"/>
    <w:rsid w:val="00E54FB3"/>
    <w:rsid w:val="00E55460"/>
    <w:rsid w:val="00E55904"/>
    <w:rsid w:val="00E55E72"/>
    <w:rsid w:val="00E55EB0"/>
    <w:rsid w:val="00E560B9"/>
    <w:rsid w:val="00E605B3"/>
    <w:rsid w:val="00E606F9"/>
    <w:rsid w:val="00E60F3B"/>
    <w:rsid w:val="00E630FF"/>
    <w:rsid w:val="00E66022"/>
    <w:rsid w:val="00E66614"/>
    <w:rsid w:val="00E66DF0"/>
    <w:rsid w:val="00E7062C"/>
    <w:rsid w:val="00E70A7A"/>
    <w:rsid w:val="00E70AB0"/>
    <w:rsid w:val="00E73117"/>
    <w:rsid w:val="00E7734F"/>
    <w:rsid w:val="00E773DF"/>
    <w:rsid w:val="00E77BE3"/>
    <w:rsid w:val="00E80413"/>
    <w:rsid w:val="00E80C17"/>
    <w:rsid w:val="00E810D5"/>
    <w:rsid w:val="00E81CE2"/>
    <w:rsid w:val="00E8212B"/>
    <w:rsid w:val="00E8269B"/>
    <w:rsid w:val="00E82922"/>
    <w:rsid w:val="00E84607"/>
    <w:rsid w:val="00E84A68"/>
    <w:rsid w:val="00E85F48"/>
    <w:rsid w:val="00E9001B"/>
    <w:rsid w:val="00E9046F"/>
    <w:rsid w:val="00E9126A"/>
    <w:rsid w:val="00E915E9"/>
    <w:rsid w:val="00E922B8"/>
    <w:rsid w:val="00E9273C"/>
    <w:rsid w:val="00E930FA"/>
    <w:rsid w:val="00E936EE"/>
    <w:rsid w:val="00E93B10"/>
    <w:rsid w:val="00E93E0D"/>
    <w:rsid w:val="00E94497"/>
    <w:rsid w:val="00E94B13"/>
    <w:rsid w:val="00E95111"/>
    <w:rsid w:val="00E953A4"/>
    <w:rsid w:val="00EA03E1"/>
    <w:rsid w:val="00EA0D93"/>
    <w:rsid w:val="00EA1B29"/>
    <w:rsid w:val="00EA51F2"/>
    <w:rsid w:val="00EA57EB"/>
    <w:rsid w:val="00EA5B10"/>
    <w:rsid w:val="00EA66E6"/>
    <w:rsid w:val="00EA73BF"/>
    <w:rsid w:val="00EB0DC8"/>
    <w:rsid w:val="00EB0EBA"/>
    <w:rsid w:val="00EB1FE1"/>
    <w:rsid w:val="00EB3F3E"/>
    <w:rsid w:val="00EB426B"/>
    <w:rsid w:val="00EB441C"/>
    <w:rsid w:val="00EB529A"/>
    <w:rsid w:val="00EB590F"/>
    <w:rsid w:val="00EB5E6D"/>
    <w:rsid w:val="00EB5EAA"/>
    <w:rsid w:val="00EB5EFF"/>
    <w:rsid w:val="00EB5FD6"/>
    <w:rsid w:val="00EB607F"/>
    <w:rsid w:val="00EB62DD"/>
    <w:rsid w:val="00EB6625"/>
    <w:rsid w:val="00EC21BC"/>
    <w:rsid w:val="00EC422E"/>
    <w:rsid w:val="00EC4D86"/>
    <w:rsid w:val="00EC645B"/>
    <w:rsid w:val="00ED10F4"/>
    <w:rsid w:val="00ED11BA"/>
    <w:rsid w:val="00ED2327"/>
    <w:rsid w:val="00ED383E"/>
    <w:rsid w:val="00ED46BC"/>
    <w:rsid w:val="00ED487A"/>
    <w:rsid w:val="00ED4C0B"/>
    <w:rsid w:val="00EE09B9"/>
    <w:rsid w:val="00EE0C28"/>
    <w:rsid w:val="00EE2B6E"/>
    <w:rsid w:val="00EE3D96"/>
    <w:rsid w:val="00EE6DBE"/>
    <w:rsid w:val="00EE6DCC"/>
    <w:rsid w:val="00EF11D4"/>
    <w:rsid w:val="00EF30BA"/>
    <w:rsid w:val="00EF3278"/>
    <w:rsid w:val="00EF4836"/>
    <w:rsid w:val="00EF4963"/>
    <w:rsid w:val="00EF4BDF"/>
    <w:rsid w:val="00EF6505"/>
    <w:rsid w:val="00EF7AE3"/>
    <w:rsid w:val="00F006C6"/>
    <w:rsid w:val="00F00A51"/>
    <w:rsid w:val="00F00D85"/>
    <w:rsid w:val="00F03863"/>
    <w:rsid w:val="00F038E0"/>
    <w:rsid w:val="00F049EC"/>
    <w:rsid w:val="00F04DA7"/>
    <w:rsid w:val="00F062CB"/>
    <w:rsid w:val="00F0747B"/>
    <w:rsid w:val="00F106B1"/>
    <w:rsid w:val="00F10850"/>
    <w:rsid w:val="00F10E9D"/>
    <w:rsid w:val="00F119FC"/>
    <w:rsid w:val="00F12BB3"/>
    <w:rsid w:val="00F13571"/>
    <w:rsid w:val="00F13B57"/>
    <w:rsid w:val="00F155ED"/>
    <w:rsid w:val="00F15E07"/>
    <w:rsid w:val="00F1629D"/>
    <w:rsid w:val="00F17FC4"/>
    <w:rsid w:val="00F20C70"/>
    <w:rsid w:val="00F221A4"/>
    <w:rsid w:val="00F251EA"/>
    <w:rsid w:val="00F25DEE"/>
    <w:rsid w:val="00F26152"/>
    <w:rsid w:val="00F26B4B"/>
    <w:rsid w:val="00F2706C"/>
    <w:rsid w:val="00F27E5A"/>
    <w:rsid w:val="00F30279"/>
    <w:rsid w:val="00F3094A"/>
    <w:rsid w:val="00F30E9F"/>
    <w:rsid w:val="00F31229"/>
    <w:rsid w:val="00F3201D"/>
    <w:rsid w:val="00F3225D"/>
    <w:rsid w:val="00F32D23"/>
    <w:rsid w:val="00F336F4"/>
    <w:rsid w:val="00F33994"/>
    <w:rsid w:val="00F34D54"/>
    <w:rsid w:val="00F36A2F"/>
    <w:rsid w:val="00F4034C"/>
    <w:rsid w:val="00F419C5"/>
    <w:rsid w:val="00F41DD8"/>
    <w:rsid w:val="00F43E35"/>
    <w:rsid w:val="00F4496A"/>
    <w:rsid w:val="00F44EFB"/>
    <w:rsid w:val="00F44F04"/>
    <w:rsid w:val="00F45436"/>
    <w:rsid w:val="00F50649"/>
    <w:rsid w:val="00F5093F"/>
    <w:rsid w:val="00F50C2E"/>
    <w:rsid w:val="00F53F64"/>
    <w:rsid w:val="00F542D0"/>
    <w:rsid w:val="00F55CB3"/>
    <w:rsid w:val="00F56314"/>
    <w:rsid w:val="00F56503"/>
    <w:rsid w:val="00F57753"/>
    <w:rsid w:val="00F57AF1"/>
    <w:rsid w:val="00F60539"/>
    <w:rsid w:val="00F63A32"/>
    <w:rsid w:val="00F643D3"/>
    <w:rsid w:val="00F65C99"/>
    <w:rsid w:val="00F66201"/>
    <w:rsid w:val="00F72B42"/>
    <w:rsid w:val="00F733F3"/>
    <w:rsid w:val="00F73A39"/>
    <w:rsid w:val="00F7429E"/>
    <w:rsid w:val="00F758DD"/>
    <w:rsid w:val="00F75A52"/>
    <w:rsid w:val="00F75A92"/>
    <w:rsid w:val="00F75B74"/>
    <w:rsid w:val="00F75D38"/>
    <w:rsid w:val="00F75D3A"/>
    <w:rsid w:val="00F77DE5"/>
    <w:rsid w:val="00F80139"/>
    <w:rsid w:val="00F80609"/>
    <w:rsid w:val="00F81A99"/>
    <w:rsid w:val="00F825C8"/>
    <w:rsid w:val="00F83481"/>
    <w:rsid w:val="00F85D46"/>
    <w:rsid w:val="00F8690E"/>
    <w:rsid w:val="00F86A5C"/>
    <w:rsid w:val="00F86DDB"/>
    <w:rsid w:val="00F87C31"/>
    <w:rsid w:val="00F87C5C"/>
    <w:rsid w:val="00F9001F"/>
    <w:rsid w:val="00F9093A"/>
    <w:rsid w:val="00F91249"/>
    <w:rsid w:val="00F9137D"/>
    <w:rsid w:val="00F9212E"/>
    <w:rsid w:val="00F93C54"/>
    <w:rsid w:val="00F93D10"/>
    <w:rsid w:val="00F961EC"/>
    <w:rsid w:val="00F9783F"/>
    <w:rsid w:val="00F97B33"/>
    <w:rsid w:val="00FA0329"/>
    <w:rsid w:val="00FA0AC7"/>
    <w:rsid w:val="00FA134B"/>
    <w:rsid w:val="00FA1F20"/>
    <w:rsid w:val="00FA2699"/>
    <w:rsid w:val="00FA3F1C"/>
    <w:rsid w:val="00FA464A"/>
    <w:rsid w:val="00FA5EC4"/>
    <w:rsid w:val="00FA7542"/>
    <w:rsid w:val="00FB0309"/>
    <w:rsid w:val="00FB17D7"/>
    <w:rsid w:val="00FB1F51"/>
    <w:rsid w:val="00FB215C"/>
    <w:rsid w:val="00FB2A15"/>
    <w:rsid w:val="00FB366A"/>
    <w:rsid w:val="00FB36DC"/>
    <w:rsid w:val="00FB497B"/>
    <w:rsid w:val="00FB57DB"/>
    <w:rsid w:val="00FB595A"/>
    <w:rsid w:val="00FB6238"/>
    <w:rsid w:val="00FB72E4"/>
    <w:rsid w:val="00FB73D6"/>
    <w:rsid w:val="00FB7F39"/>
    <w:rsid w:val="00FC06E3"/>
    <w:rsid w:val="00FC0A86"/>
    <w:rsid w:val="00FC12A2"/>
    <w:rsid w:val="00FC22AB"/>
    <w:rsid w:val="00FC3C2E"/>
    <w:rsid w:val="00FC594B"/>
    <w:rsid w:val="00FC5976"/>
    <w:rsid w:val="00FC6536"/>
    <w:rsid w:val="00FC7814"/>
    <w:rsid w:val="00FD0232"/>
    <w:rsid w:val="00FD0DA5"/>
    <w:rsid w:val="00FD0ED6"/>
    <w:rsid w:val="00FD1699"/>
    <w:rsid w:val="00FD252F"/>
    <w:rsid w:val="00FD4174"/>
    <w:rsid w:val="00FD55C7"/>
    <w:rsid w:val="00FD5D86"/>
    <w:rsid w:val="00FD60B3"/>
    <w:rsid w:val="00FD638E"/>
    <w:rsid w:val="00FD7841"/>
    <w:rsid w:val="00FD7C2C"/>
    <w:rsid w:val="00FE019C"/>
    <w:rsid w:val="00FE122D"/>
    <w:rsid w:val="00FE152C"/>
    <w:rsid w:val="00FE1C77"/>
    <w:rsid w:val="00FE2431"/>
    <w:rsid w:val="00FE2F6B"/>
    <w:rsid w:val="00FE3492"/>
    <w:rsid w:val="00FE3D05"/>
    <w:rsid w:val="00FE4546"/>
    <w:rsid w:val="00FE4814"/>
    <w:rsid w:val="00FE4C58"/>
    <w:rsid w:val="00FE63DE"/>
    <w:rsid w:val="00FE6658"/>
    <w:rsid w:val="00FE6746"/>
    <w:rsid w:val="00FE6831"/>
    <w:rsid w:val="00FF0678"/>
    <w:rsid w:val="00FF0D49"/>
    <w:rsid w:val="00FF1E53"/>
    <w:rsid w:val="00FF2550"/>
    <w:rsid w:val="00FF2F46"/>
    <w:rsid w:val="00FF42EA"/>
    <w:rsid w:val="00FF4F60"/>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Normal Table" w:semiHidden="0" w:unhideWhenUsed="0"/>
    <w:lsdException w:name="annotation subject" w:uiPriority="9"/>
    <w:lsdException w:name="Table Web 2" w:semiHidden="0" w:unhideWhenUsed="0"/>
    <w:lsdException w:name="Balloon Text" w:uiPriority="9"/>
    <w:lsdException w:name="Table Grid" w:semiHidden="0" w:uiPriority="59" w:unhideWhenUsed="0"/>
    <w:lsdException w:name="Table Theme" w:semiHidden="0"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6F"/>
    <w:pPr>
      <w:spacing w:before="120" w:line="240" w:lineRule="auto"/>
    </w:pPr>
    <w:rPr>
      <w:sz w:val="24"/>
    </w:rPr>
  </w:style>
  <w:style w:type="paragraph" w:styleId="Heading1">
    <w:name w:val="heading 1"/>
    <w:basedOn w:val="Normal"/>
    <w:next w:val="Normal"/>
    <w:link w:val="Heading1Char"/>
    <w:uiPriority w:val="1"/>
    <w:qFormat/>
    <w:rsid w:val="00E4041E"/>
    <w:pPr>
      <w:keepNext/>
      <w:keepLines/>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944061"/>
    <w:pPr>
      <w:ind w:left="431" w:hanging="431"/>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944061"/>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COMBodyChar">
    <w:name w:val="COMBody Char"/>
    <w:basedOn w:val="DefaultParagraphFont"/>
    <w:link w:val="COMBody"/>
    <w:locked/>
    <w:rsid w:val="00274F70"/>
    <w:rPr>
      <w:rFonts w:ascii="Calibri" w:eastAsia="Times New Roman" w:hAnsi="Calibri" w:cs="Arial"/>
      <w:sz w:val="24"/>
      <w:szCs w:val="20"/>
    </w:rPr>
  </w:style>
  <w:style w:type="paragraph" w:customStyle="1" w:styleId="COMBody">
    <w:name w:val="COMBody"/>
    <w:basedOn w:val="Normal"/>
    <w:link w:val="COMBodyChar"/>
    <w:qFormat/>
    <w:rsid w:val="00274F70"/>
    <w:pPr>
      <w:widowControl w:val="0"/>
      <w:snapToGrid w:val="0"/>
      <w:spacing w:before="0" w:after="0"/>
      <w:jc w:val="both"/>
    </w:pPr>
    <w:rPr>
      <w:rFonts w:ascii="Calibri" w:eastAsia="Times New Roman" w:hAnsi="Calibri" w:cs="Arial"/>
      <w:szCs w:val="20"/>
    </w:rPr>
  </w:style>
  <w:style w:type="paragraph" w:customStyle="1" w:styleId="TableBullet">
    <w:name w:val="Table Bullet"/>
    <w:basedOn w:val="TableText"/>
    <w:qFormat/>
    <w:rsid w:val="002255AF"/>
    <w:pPr>
      <w:keepNext w:val="0"/>
      <w:numPr>
        <w:numId w:val="7"/>
      </w:numPr>
    </w:pPr>
  </w:style>
  <w:style w:type="paragraph" w:customStyle="1" w:styleId="TableNumbered">
    <w:name w:val="Table Numbered"/>
    <w:basedOn w:val="TableBullet"/>
    <w:qFormat/>
    <w:rsid w:val="000504F2"/>
    <w:pPr>
      <w:numPr>
        <w:numId w:val="8"/>
      </w:numPr>
      <w:ind w:left="357" w:hanging="357"/>
    </w:pPr>
  </w:style>
  <w:style w:type="paragraph" w:customStyle="1" w:styleId="TableBody">
    <w:name w:val="Table Body"/>
    <w:basedOn w:val="BodyText"/>
    <w:uiPriority w:val="61"/>
    <w:qFormat/>
    <w:rsid w:val="005B0EA2"/>
    <w:pPr>
      <w:widowControl/>
      <w:spacing w:before="60"/>
      <w:jc w:val="both"/>
    </w:pPr>
    <w:rPr>
      <w:rFonts w:asciiTheme="minorHAnsi" w:hAnsiTheme="minorHAnsi" w:cs="Times New Roman"/>
      <w:snapToGrid/>
      <w:sz w:val="20"/>
      <w:szCs w:val="22"/>
      <w:lang w:val="en-GB"/>
    </w:rPr>
  </w:style>
  <w:style w:type="table" w:customStyle="1" w:styleId="TableGridbeth1">
    <w:name w:val="Table Gridbeth1"/>
    <w:basedOn w:val="TableNormal"/>
    <w:next w:val="TableGrid"/>
    <w:uiPriority w:val="39"/>
    <w:rsid w:val="003F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A">
    <w:name w:val="Table Text CA"/>
    <w:basedOn w:val="TableText"/>
    <w:qFormat/>
    <w:rsid w:val="00A96615"/>
    <w:pPr>
      <w:keepNext w:val="0"/>
      <w:jc w:val="center"/>
    </w:pPr>
  </w:style>
  <w:style w:type="table" w:customStyle="1" w:styleId="TableGrid1">
    <w:name w:val="Table Grid1"/>
    <w:basedOn w:val="TableNormal"/>
    <w:next w:val="TableGrid"/>
    <w:uiPriority w:val="39"/>
    <w:rsid w:val="004F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F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F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EE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E9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4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1629D"/>
  </w:style>
  <w:style w:type="table" w:customStyle="1" w:styleId="TableGridbeth2">
    <w:name w:val="Table Gridbeth2"/>
    <w:basedOn w:val="TableNormal"/>
    <w:next w:val="TableGrid"/>
    <w:uiPriority w:val="39"/>
    <w:rsid w:val="00F1629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F162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F162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beth11">
    <w:name w:val="Table Gridbeth11"/>
    <w:basedOn w:val="TableNormal"/>
    <w:next w:val="TableGrid"/>
    <w:uiPriority w:val="5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1">
    <w:name w:val="Summary box21"/>
    <w:basedOn w:val="TableNormal"/>
    <w:next w:val="TableGrid"/>
    <w:uiPriority w:val="5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37A6D"/>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A37A6D"/>
    <w:rPr>
      <w:rFonts w:ascii="Times New Roman" w:hAnsi="Times New Roman" w:cs="Times New Roman"/>
      <w:sz w:val="24"/>
      <w:szCs w:val="24"/>
    </w:rPr>
  </w:style>
  <w:style w:type="paragraph" w:customStyle="1" w:styleId="p1">
    <w:name w:val="p1"/>
    <w:basedOn w:val="Normal"/>
    <w:rsid w:val="00A154F0"/>
    <w:pPr>
      <w:spacing w:before="0" w:after="0"/>
    </w:pPr>
    <w:rPr>
      <w:rFonts w:ascii="Helvetica Neue" w:hAnsi="Helvetica Neue" w:cs="Times New Roman"/>
      <w:color w:val="454545"/>
      <w:sz w:val="18"/>
      <w:szCs w:val="18"/>
      <w:lang w:val="en-GB" w:eastAsia="en-GB"/>
    </w:rPr>
  </w:style>
  <w:style w:type="character" w:customStyle="1" w:styleId="apple-converted-space">
    <w:name w:val="apple-converted-space"/>
    <w:basedOn w:val="DefaultParagraphFont"/>
    <w:rsid w:val="00A15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Normal Table" w:semiHidden="0" w:unhideWhenUsed="0"/>
    <w:lsdException w:name="annotation subject" w:uiPriority="9"/>
    <w:lsdException w:name="Table Web 2" w:semiHidden="0" w:unhideWhenUsed="0"/>
    <w:lsdException w:name="Balloon Text" w:uiPriority="9"/>
    <w:lsdException w:name="Table Grid" w:semiHidden="0" w:uiPriority="59" w:unhideWhenUsed="0"/>
    <w:lsdException w:name="Table Theme" w:semiHidden="0"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6F"/>
    <w:pPr>
      <w:spacing w:before="120" w:line="240" w:lineRule="auto"/>
    </w:pPr>
    <w:rPr>
      <w:sz w:val="24"/>
    </w:rPr>
  </w:style>
  <w:style w:type="paragraph" w:styleId="Heading1">
    <w:name w:val="heading 1"/>
    <w:basedOn w:val="Normal"/>
    <w:next w:val="Normal"/>
    <w:link w:val="Heading1Char"/>
    <w:uiPriority w:val="1"/>
    <w:qFormat/>
    <w:rsid w:val="00E4041E"/>
    <w:pPr>
      <w:keepNext/>
      <w:keepLines/>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944061"/>
    <w:pPr>
      <w:ind w:left="431" w:hanging="431"/>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944061"/>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COMBodyChar">
    <w:name w:val="COMBody Char"/>
    <w:basedOn w:val="DefaultParagraphFont"/>
    <w:link w:val="COMBody"/>
    <w:locked/>
    <w:rsid w:val="00274F70"/>
    <w:rPr>
      <w:rFonts w:ascii="Calibri" w:eastAsia="Times New Roman" w:hAnsi="Calibri" w:cs="Arial"/>
      <w:sz w:val="24"/>
      <w:szCs w:val="20"/>
    </w:rPr>
  </w:style>
  <w:style w:type="paragraph" w:customStyle="1" w:styleId="COMBody">
    <w:name w:val="COMBody"/>
    <w:basedOn w:val="Normal"/>
    <w:link w:val="COMBodyChar"/>
    <w:qFormat/>
    <w:rsid w:val="00274F70"/>
    <w:pPr>
      <w:widowControl w:val="0"/>
      <w:snapToGrid w:val="0"/>
      <w:spacing w:before="0" w:after="0"/>
      <w:jc w:val="both"/>
    </w:pPr>
    <w:rPr>
      <w:rFonts w:ascii="Calibri" w:eastAsia="Times New Roman" w:hAnsi="Calibri" w:cs="Arial"/>
      <w:szCs w:val="20"/>
    </w:rPr>
  </w:style>
  <w:style w:type="paragraph" w:customStyle="1" w:styleId="TableBullet">
    <w:name w:val="Table Bullet"/>
    <w:basedOn w:val="TableText"/>
    <w:qFormat/>
    <w:rsid w:val="002255AF"/>
    <w:pPr>
      <w:keepNext w:val="0"/>
      <w:numPr>
        <w:numId w:val="7"/>
      </w:numPr>
    </w:pPr>
  </w:style>
  <w:style w:type="paragraph" w:customStyle="1" w:styleId="TableNumbered">
    <w:name w:val="Table Numbered"/>
    <w:basedOn w:val="TableBullet"/>
    <w:qFormat/>
    <w:rsid w:val="000504F2"/>
    <w:pPr>
      <w:numPr>
        <w:numId w:val="8"/>
      </w:numPr>
      <w:ind w:left="357" w:hanging="357"/>
    </w:pPr>
  </w:style>
  <w:style w:type="paragraph" w:customStyle="1" w:styleId="TableBody">
    <w:name w:val="Table Body"/>
    <w:basedOn w:val="BodyText"/>
    <w:uiPriority w:val="61"/>
    <w:qFormat/>
    <w:rsid w:val="005B0EA2"/>
    <w:pPr>
      <w:widowControl/>
      <w:spacing w:before="60"/>
      <w:jc w:val="both"/>
    </w:pPr>
    <w:rPr>
      <w:rFonts w:asciiTheme="minorHAnsi" w:hAnsiTheme="minorHAnsi" w:cs="Times New Roman"/>
      <w:snapToGrid/>
      <w:sz w:val="20"/>
      <w:szCs w:val="22"/>
      <w:lang w:val="en-GB"/>
    </w:rPr>
  </w:style>
  <w:style w:type="table" w:customStyle="1" w:styleId="TableGridbeth1">
    <w:name w:val="Table Gridbeth1"/>
    <w:basedOn w:val="TableNormal"/>
    <w:next w:val="TableGrid"/>
    <w:uiPriority w:val="39"/>
    <w:rsid w:val="003F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A">
    <w:name w:val="Table Text CA"/>
    <w:basedOn w:val="TableText"/>
    <w:qFormat/>
    <w:rsid w:val="00A96615"/>
    <w:pPr>
      <w:keepNext w:val="0"/>
      <w:jc w:val="center"/>
    </w:pPr>
  </w:style>
  <w:style w:type="table" w:customStyle="1" w:styleId="TableGrid1">
    <w:name w:val="Table Grid1"/>
    <w:basedOn w:val="TableNormal"/>
    <w:next w:val="TableGrid"/>
    <w:uiPriority w:val="39"/>
    <w:rsid w:val="004F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F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F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EE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E9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4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1629D"/>
  </w:style>
  <w:style w:type="table" w:customStyle="1" w:styleId="TableGridbeth2">
    <w:name w:val="Table Gridbeth2"/>
    <w:basedOn w:val="TableNormal"/>
    <w:next w:val="TableGrid"/>
    <w:uiPriority w:val="39"/>
    <w:rsid w:val="00F1629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F162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F162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beth11">
    <w:name w:val="Table Gridbeth11"/>
    <w:basedOn w:val="TableNormal"/>
    <w:next w:val="TableGrid"/>
    <w:uiPriority w:val="5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1">
    <w:name w:val="Summary box21"/>
    <w:basedOn w:val="TableNormal"/>
    <w:next w:val="TableGrid"/>
    <w:uiPriority w:val="59"/>
    <w:rsid w:val="00F1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37A6D"/>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A37A6D"/>
    <w:rPr>
      <w:rFonts w:ascii="Times New Roman" w:hAnsi="Times New Roman" w:cs="Times New Roman"/>
      <w:sz w:val="24"/>
      <w:szCs w:val="24"/>
    </w:rPr>
  </w:style>
  <w:style w:type="paragraph" w:customStyle="1" w:styleId="p1">
    <w:name w:val="p1"/>
    <w:basedOn w:val="Normal"/>
    <w:rsid w:val="00A154F0"/>
    <w:pPr>
      <w:spacing w:before="0" w:after="0"/>
    </w:pPr>
    <w:rPr>
      <w:rFonts w:ascii="Helvetica Neue" w:hAnsi="Helvetica Neue" w:cs="Times New Roman"/>
      <w:color w:val="454545"/>
      <w:sz w:val="18"/>
      <w:szCs w:val="18"/>
      <w:lang w:val="en-GB" w:eastAsia="en-GB"/>
    </w:rPr>
  </w:style>
  <w:style w:type="character" w:customStyle="1" w:styleId="apple-converted-space">
    <w:name w:val="apple-converted-space"/>
    <w:basedOn w:val="DefaultParagraphFont"/>
    <w:rsid w:val="00A1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471">
      <w:bodyDiv w:val="1"/>
      <w:marLeft w:val="0"/>
      <w:marRight w:val="0"/>
      <w:marTop w:val="0"/>
      <w:marBottom w:val="0"/>
      <w:divBdr>
        <w:top w:val="none" w:sz="0" w:space="0" w:color="auto"/>
        <w:left w:val="none" w:sz="0" w:space="0" w:color="auto"/>
        <w:bottom w:val="none" w:sz="0" w:space="0" w:color="auto"/>
        <w:right w:val="none" w:sz="0" w:space="0" w:color="auto"/>
      </w:divBdr>
    </w:div>
    <w:div w:id="75442895">
      <w:bodyDiv w:val="1"/>
      <w:marLeft w:val="0"/>
      <w:marRight w:val="0"/>
      <w:marTop w:val="0"/>
      <w:marBottom w:val="0"/>
      <w:divBdr>
        <w:top w:val="none" w:sz="0" w:space="0" w:color="auto"/>
        <w:left w:val="none" w:sz="0" w:space="0" w:color="auto"/>
        <w:bottom w:val="none" w:sz="0" w:space="0" w:color="auto"/>
        <w:right w:val="none" w:sz="0" w:space="0" w:color="auto"/>
      </w:divBdr>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17665307">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587613956">
      <w:bodyDiv w:val="1"/>
      <w:marLeft w:val="0"/>
      <w:marRight w:val="0"/>
      <w:marTop w:val="0"/>
      <w:marBottom w:val="0"/>
      <w:divBdr>
        <w:top w:val="none" w:sz="0" w:space="0" w:color="auto"/>
        <w:left w:val="none" w:sz="0" w:space="0" w:color="auto"/>
        <w:bottom w:val="none" w:sz="0" w:space="0" w:color="auto"/>
        <w:right w:val="none" w:sz="0" w:space="0" w:color="auto"/>
      </w:divBdr>
      <w:divsChild>
        <w:div w:id="2080013885">
          <w:marLeft w:val="547"/>
          <w:marRight w:val="0"/>
          <w:marTop w:val="96"/>
          <w:marBottom w:val="0"/>
          <w:divBdr>
            <w:top w:val="none" w:sz="0" w:space="0" w:color="auto"/>
            <w:left w:val="none" w:sz="0" w:space="0" w:color="auto"/>
            <w:bottom w:val="none" w:sz="0" w:space="0" w:color="auto"/>
            <w:right w:val="none" w:sz="0" w:space="0" w:color="auto"/>
          </w:divBdr>
        </w:div>
      </w:divsChild>
    </w:div>
    <w:div w:id="703212114">
      <w:bodyDiv w:val="1"/>
      <w:marLeft w:val="0"/>
      <w:marRight w:val="0"/>
      <w:marTop w:val="0"/>
      <w:marBottom w:val="0"/>
      <w:divBdr>
        <w:top w:val="none" w:sz="0" w:space="0" w:color="auto"/>
        <w:left w:val="none" w:sz="0" w:space="0" w:color="auto"/>
        <w:bottom w:val="none" w:sz="0" w:space="0" w:color="auto"/>
        <w:right w:val="none" w:sz="0" w:space="0" w:color="auto"/>
      </w:divBdr>
    </w:div>
    <w:div w:id="773015042">
      <w:bodyDiv w:val="1"/>
      <w:marLeft w:val="0"/>
      <w:marRight w:val="0"/>
      <w:marTop w:val="0"/>
      <w:marBottom w:val="0"/>
      <w:divBdr>
        <w:top w:val="none" w:sz="0" w:space="0" w:color="auto"/>
        <w:left w:val="none" w:sz="0" w:space="0" w:color="auto"/>
        <w:bottom w:val="none" w:sz="0" w:space="0" w:color="auto"/>
        <w:right w:val="none" w:sz="0" w:space="0" w:color="auto"/>
      </w:divBdr>
    </w:div>
    <w:div w:id="987827938">
      <w:bodyDiv w:val="1"/>
      <w:marLeft w:val="0"/>
      <w:marRight w:val="0"/>
      <w:marTop w:val="0"/>
      <w:marBottom w:val="0"/>
      <w:divBdr>
        <w:top w:val="none" w:sz="0" w:space="0" w:color="auto"/>
        <w:left w:val="none" w:sz="0" w:space="0" w:color="auto"/>
        <w:bottom w:val="none" w:sz="0" w:space="0" w:color="auto"/>
        <w:right w:val="none" w:sz="0" w:space="0" w:color="auto"/>
      </w:divBdr>
      <w:divsChild>
        <w:div w:id="1152525498">
          <w:marLeft w:val="360"/>
          <w:marRight w:val="0"/>
          <w:marTop w:val="200"/>
          <w:marBottom w:val="0"/>
          <w:divBdr>
            <w:top w:val="none" w:sz="0" w:space="0" w:color="auto"/>
            <w:left w:val="none" w:sz="0" w:space="0" w:color="auto"/>
            <w:bottom w:val="none" w:sz="0" w:space="0" w:color="auto"/>
            <w:right w:val="none" w:sz="0" w:space="0" w:color="auto"/>
          </w:divBdr>
        </w:div>
        <w:div w:id="1805655150">
          <w:marLeft w:val="1080"/>
          <w:marRight w:val="0"/>
          <w:marTop w:val="100"/>
          <w:marBottom w:val="0"/>
          <w:divBdr>
            <w:top w:val="none" w:sz="0" w:space="0" w:color="auto"/>
            <w:left w:val="none" w:sz="0" w:space="0" w:color="auto"/>
            <w:bottom w:val="none" w:sz="0" w:space="0" w:color="auto"/>
            <w:right w:val="none" w:sz="0" w:space="0" w:color="auto"/>
          </w:divBdr>
        </w:div>
      </w:divsChild>
    </w:div>
    <w:div w:id="1062291199">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40465825">
      <w:bodyDiv w:val="1"/>
      <w:marLeft w:val="0"/>
      <w:marRight w:val="0"/>
      <w:marTop w:val="0"/>
      <w:marBottom w:val="0"/>
      <w:divBdr>
        <w:top w:val="none" w:sz="0" w:space="0" w:color="auto"/>
        <w:left w:val="none" w:sz="0" w:space="0" w:color="auto"/>
        <w:bottom w:val="none" w:sz="0" w:space="0" w:color="auto"/>
        <w:right w:val="none" w:sz="0" w:space="0" w:color="auto"/>
      </w:divBdr>
      <w:divsChild>
        <w:div w:id="180708631">
          <w:marLeft w:val="547"/>
          <w:marRight w:val="0"/>
          <w:marTop w:val="96"/>
          <w:marBottom w:val="0"/>
          <w:divBdr>
            <w:top w:val="none" w:sz="0" w:space="0" w:color="auto"/>
            <w:left w:val="none" w:sz="0" w:space="0" w:color="auto"/>
            <w:bottom w:val="none" w:sz="0" w:space="0" w:color="auto"/>
            <w:right w:val="none" w:sz="0" w:space="0" w:color="auto"/>
          </w:divBdr>
        </w:div>
      </w:divsChild>
    </w:div>
    <w:div w:id="1176386561">
      <w:bodyDiv w:val="1"/>
      <w:marLeft w:val="0"/>
      <w:marRight w:val="0"/>
      <w:marTop w:val="0"/>
      <w:marBottom w:val="0"/>
      <w:divBdr>
        <w:top w:val="none" w:sz="0" w:space="0" w:color="auto"/>
        <w:left w:val="none" w:sz="0" w:space="0" w:color="auto"/>
        <w:bottom w:val="none" w:sz="0" w:space="0" w:color="auto"/>
        <w:right w:val="none" w:sz="0" w:space="0" w:color="auto"/>
      </w:divBdr>
      <w:divsChild>
        <w:div w:id="658534263">
          <w:marLeft w:val="547"/>
          <w:marRight w:val="0"/>
          <w:marTop w:val="96"/>
          <w:marBottom w:val="0"/>
          <w:divBdr>
            <w:top w:val="none" w:sz="0" w:space="0" w:color="auto"/>
            <w:left w:val="none" w:sz="0" w:space="0" w:color="auto"/>
            <w:bottom w:val="none" w:sz="0" w:space="0" w:color="auto"/>
            <w:right w:val="none" w:sz="0" w:space="0" w:color="auto"/>
          </w:divBdr>
        </w:div>
      </w:divsChild>
    </w:div>
    <w:div w:id="1273049025">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80738309">
      <w:bodyDiv w:val="1"/>
      <w:marLeft w:val="0"/>
      <w:marRight w:val="0"/>
      <w:marTop w:val="0"/>
      <w:marBottom w:val="0"/>
      <w:divBdr>
        <w:top w:val="none" w:sz="0" w:space="0" w:color="auto"/>
        <w:left w:val="none" w:sz="0" w:space="0" w:color="auto"/>
        <w:bottom w:val="none" w:sz="0" w:space="0" w:color="auto"/>
        <w:right w:val="none" w:sz="0" w:space="0" w:color="auto"/>
      </w:divBdr>
      <w:divsChild>
        <w:div w:id="331566001">
          <w:marLeft w:val="360"/>
          <w:marRight w:val="0"/>
          <w:marTop w:val="200"/>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47962527">
      <w:bodyDiv w:val="1"/>
      <w:marLeft w:val="0"/>
      <w:marRight w:val="0"/>
      <w:marTop w:val="0"/>
      <w:marBottom w:val="0"/>
      <w:divBdr>
        <w:top w:val="none" w:sz="0" w:space="0" w:color="auto"/>
        <w:left w:val="none" w:sz="0" w:space="0" w:color="auto"/>
        <w:bottom w:val="none" w:sz="0" w:space="0" w:color="auto"/>
        <w:right w:val="none" w:sz="0" w:space="0" w:color="auto"/>
      </w:divBdr>
      <w:divsChild>
        <w:div w:id="632640266">
          <w:marLeft w:val="547"/>
          <w:marRight w:val="0"/>
          <w:marTop w:val="96"/>
          <w:marBottom w:val="0"/>
          <w:divBdr>
            <w:top w:val="none" w:sz="0" w:space="0" w:color="auto"/>
            <w:left w:val="none" w:sz="0" w:space="0" w:color="auto"/>
            <w:bottom w:val="none" w:sz="0" w:space="0" w:color="auto"/>
            <w:right w:val="none" w:sz="0" w:space="0" w:color="auto"/>
          </w:divBdr>
        </w:div>
      </w:divsChild>
    </w:div>
    <w:div w:id="1566261792">
      <w:bodyDiv w:val="1"/>
      <w:marLeft w:val="0"/>
      <w:marRight w:val="0"/>
      <w:marTop w:val="0"/>
      <w:marBottom w:val="0"/>
      <w:divBdr>
        <w:top w:val="none" w:sz="0" w:space="0" w:color="auto"/>
        <w:left w:val="none" w:sz="0" w:space="0" w:color="auto"/>
        <w:bottom w:val="none" w:sz="0" w:space="0" w:color="auto"/>
        <w:right w:val="none" w:sz="0" w:space="0" w:color="auto"/>
      </w:divBdr>
    </w:div>
    <w:div w:id="1674257270">
      <w:bodyDiv w:val="1"/>
      <w:marLeft w:val="0"/>
      <w:marRight w:val="0"/>
      <w:marTop w:val="0"/>
      <w:marBottom w:val="0"/>
      <w:divBdr>
        <w:top w:val="none" w:sz="0" w:space="0" w:color="auto"/>
        <w:left w:val="none" w:sz="0" w:space="0" w:color="auto"/>
        <w:bottom w:val="none" w:sz="0" w:space="0" w:color="auto"/>
        <w:right w:val="none" w:sz="0" w:space="0" w:color="auto"/>
      </w:divBdr>
    </w:div>
    <w:div w:id="1818914623">
      <w:bodyDiv w:val="1"/>
      <w:marLeft w:val="0"/>
      <w:marRight w:val="0"/>
      <w:marTop w:val="0"/>
      <w:marBottom w:val="0"/>
      <w:divBdr>
        <w:top w:val="none" w:sz="0" w:space="0" w:color="auto"/>
        <w:left w:val="none" w:sz="0" w:space="0" w:color="auto"/>
        <w:bottom w:val="none" w:sz="0" w:space="0" w:color="auto"/>
        <w:right w:val="none" w:sz="0" w:space="0" w:color="auto"/>
      </w:divBdr>
      <w:divsChild>
        <w:div w:id="1344018063">
          <w:marLeft w:val="547"/>
          <w:marRight w:val="0"/>
          <w:marTop w:val="96"/>
          <w:marBottom w:val="0"/>
          <w:divBdr>
            <w:top w:val="none" w:sz="0" w:space="0" w:color="auto"/>
            <w:left w:val="none" w:sz="0" w:space="0" w:color="auto"/>
            <w:bottom w:val="none" w:sz="0" w:space="0" w:color="auto"/>
            <w:right w:val="none" w:sz="0" w:space="0" w:color="auto"/>
          </w:divBdr>
        </w:div>
      </w:divsChild>
    </w:div>
    <w:div w:id="2006863038">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'Markov Cohort Summary'!$B$3</c:f>
              <c:strCache>
                <c:ptCount val="1"/>
                <c:pt idx="0">
                  <c:v>DEXA Improvement</c:v>
                </c:pt>
              </c:strCache>
            </c:strRef>
          </c:tx>
          <c:spPr>
            <a:ln w="28575" cap="rnd">
              <a:solidFill>
                <a:schemeClr val="accent2"/>
              </a:solidFill>
              <a:round/>
            </a:ln>
            <a:effectLst/>
          </c:spPr>
          <c:marker>
            <c:symbol val="none"/>
          </c:marker>
          <c:cat>
            <c:numRef>
              <c:f>'Markov Cohort Summary'!$A$4:$A$22</c:f>
              <c:numCache>
                <c:formatCode>General</c:formatCode>
                <c:ptCount val="19"/>
                <c:pt idx="0">
                  <c:v>0</c:v>
                </c:pt>
                <c:pt idx="1">
                  <c:v>12</c:v>
                </c:pt>
                <c:pt idx="2">
                  <c:v>24</c:v>
                </c:pt>
                <c:pt idx="3">
                  <c:v>36</c:v>
                </c:pt>
                <c:pt idx="4">
                  <c:v>48</c:v>
                </c:pt>
                <c:pt idx="5">
                  <c:v>60</c:v>
                </c:pt>
                <c:pt idx="6">
                  <c:v>72</c:v>
                </c:pt>
                <c:pt idx="7">
                  <c:v>84</c:v>
                </c:pt>
                <c:pt idx="8">
                  <c:v>96</c:v>
                </c:pt>
                <c:pt idx="9">
                  <c:v>108</c:v>
                </c:pt>
                <c:pt idx="10">
                  <c:v>120</c:v>
                </c:pt>
                <c:pt idx="11">
                  <c:v>132</c:v>
                </c:pt>
                <c:pt idx="12">
                  <c:v>144</c:v>
                </c:pt>
                <c:pt idx="13">
                  <c:v>156</c:v>
                </c:pt>
                <c:pt idx="14">
                  <c:v>168</c:v>
                </c:pt>
                <c:pt idx="15">
                  <c:v>180</c:v>
                </c:pt>
                <c:pt idx="16">
                  <c:v>192</c:v>
                </c:pt>
                <c:pt idx="17">
                  <c:v>204</c:v>
                </c:pt>
                <c:pt idx="18">
                  <c:v>216</c:v>
                </c:pt>
              </c:numCache>
            </c:numRef>
          </c:cat>
          <c:val>
            <c:numRef>
              <c:f>'Markov Cohort Summary'!$B$4:$B$22</c:f>
              <c:numCache>
                <c:formatCode>General</c:formatCode>
                <c:ptCount val="19"/>
                <c:pt idx="0">
                  <c:v>1</c:v>
                </c:pt>
                <c:pt idx="1">
                  <c:v>0.81818181818181801</c:v>
                </c:pt>
                <c:pt idx="2">
                  <c:v>0.742700361728314</c:v>
                </c:pt>
                <c:pt idx="3">
                  <c:v>0.674182455602785</c:v>
                </c:pt>
                <c:pt idx="4">
                  <c:v>0.61198567667975401</c:v>
                </c:pt>
                <c:pt idx="5">
                  <c:v>0.55552686865206702</c:v>
                </c:pt>
                <c:pt idx="6">
                  <c:v>0.50425897822642496</c:v>
                </c:pt>
                <c:pt idx="7">
                  <c:v>0.45772244597086198</c:v>
                </c:pt>
                <c:pt idx="8">
                  <c:v>0.41548062918469902</c:v>
                </c:pt>
                <c:pt idx="9">
                  <c:v>0.37713718159826198</c:v>
                </c:pt>
                <c:pt idx="10">
                  <c:v>0.34231858261477199</c:v>
                </c:pt>
                <c:pt idx="11">
                  <c:v>0.310714556190888</c:v>
                </c:pt>
                <c:pt idx="12">
                  <c:v>0.28202832195512401</c:v>
                </c:pt>
                <c:pt idx="13">
                  <c:v>0.25599049931847201</c:v>
                </c:pt>
                <c:pt idx="14">
                  <c:v>0.23235657783244901</c:v>
                </c:pt>
                <c:pt idx="15">
                  <c:v>0.21089589696515801</c:v>
                </c:pt>
                <c:pt idx="16">
                  <c:v>0.19141734557999401</c:v>
                </c:pt>
                <c:pt idx="17">
                  <c:v>0.17373785225866301</c:v>
                </c:pt>
                <c:pt idx="18">
                  <c:v>0.157691254238183</c:v>
                </c:pt>
              </c:numCache>
            </c:numRef>
          </c:val>
          <c:smooth val="0"/>
        </c:ser>
        <c:ser>
          <c:idx val="2"/>
          <c:order val="1"/>
          <c:tx>
            <c:strRef>
              <c:f>'Markov Cohort Summary'!$C$3</c:f>
              <c:strCache>
                <c:ptCount val="1"/>
                <c:pt idx="0">
                  <c:v>DEXA No improvement</c:v>
                </c:pt>
              </c:strCache>
            </c:strRef>
          </c:tx>
          <c:spPr>
            <a:ln w="28575" cap="rnd">
              <a:solidFill>
                <a:schemeClr val="accent3"/>
              </a:solidFill>
              <a:round/>
            </a:ln>
            <a:effectLst/>
          </c:spPr>
          <c:marker>
            <c:symbol val="none"/>
          </c:marker>
          <c:cat>
            <c:numRef>
              <c:f>'Markov Cohort Summary'!$A$4:$A$22</c:f>
              <c:numCache>
                <c:formatCode>General</c:formatCode>
                <c:ptCount val="19"/>
                <c:pt idx="0">
                  <c:v>0</c:v>
                </c:pt>
                <c:pt idx="1">
                  <c:v>12</c:v>
                </c:pt>
                <c:pt idx="2">
                  <c:v>24</c:v>
                </c:pt>
                <c:pt idx="3">
                  <c:v>36</c:v>
                </c:pt>
                <c:pt idx="4">
                  <c:v>48</c:v>
                </c:pt>
                <c:pt idx="5">
                  <c:v>60</c:v>
                </c:pt>
                <c:pt idx="6">
                  <c:v>72</c:v>
                </c:pt>
                <c:pt idx="7">
                  <c:v>84</c:v>
                </c:pt>
                <c:pt idx="8">
                  <c:v>96</c:v>
                </c:pt>
                <c:pt idx="9">
                  <c:v>108</c:v>
                </c:pt>
                <c:pt idx="10">
                  <c:v>120</c:v>
                </c:pt>
                <c:pt idx="11">
                  <c:v>132</c:v>
                </c:pt>
                <c:pt idx="12">
                  <c:v>144</c:v>
                </c:pt>
                <c:pt idx="13">
                  <c:v>156</c:v>
                </c:pt>
                <c:pt idx="14">
                  <c:v>168</c:v>
                </c:pt>
                <c:pt idx="15">
                  <c:v>180</c:v>
                </c:pt>
                <c:pt idx="16">
                  <c:v>192</c:v>
                </c:pt>
                <c:pt idx="17">
                  <c:v>204</c:v>
                </c:pt>
                <c:pt idx="18">
                  <c:v>216</c:v>
                </c:pt>
              </c:numCache>
            </c:numRef>
          </c:cat>
          <c:val>
            <c:numRef>
              <c:f>'Markov Cohort Summary'!$C$4:$C$22</c:f>
              <c:numCache>
                <c:formatCode>General</c:formatCode>
                <c:ptCount val="19"/>
                <c:pt idx="0">
                  <c:v>0</c:v>
                </c:pt>
                <c:pt idx="1">
                  <c:v>0.181482260294202</c:v>
                </c:pt>
                <c:pt idx="2">
                  <c:v>0.25662790806699698</c:v>
                </c:pt>
                <c:pt idx="3">
                  <c:v>0.32481011831718198</c:v>
                </c:pt>
                <c:pt idx="4">
                  <c:v>0.38667131413233702</c:v>
                </c:pt>
                <c:pt idx="5">
                  <c:v>0.44279465178173799</c:v>
                </c:pt>
                <c:pt idx="6">
                  <c:v>0.493695383296053</c:v>
                </c:pt>
                <c:pt idx="7">
                  <c:v>0.53986489167260299</c:v>
                </c:pt>
                <c:pt idx="8">
                  <c:v>0.58173981956240695</c:v>
                </c:pt>
                <c:pt idx="9">
                  <c:v>0.61971651318549603</c:v>
                </c:pt>
                <c:pt idx="10">
                  <c:v>0.65413214383578899</c:v>
                </c:pt>
                <c:pt idx="11">
                  <c:v>0.68533336482247498</c:v>
                </c:pt>
                <c:pt idx="12">
                  <c:v>0.71361695645119005</c:v>
                </c:pt>
                <c:pt idx="13">
                  <c:v>0.73925229924511804</c:v>
                </c:pt>
                <c:pt idx="14">
                  <c:v>0.76248390358694895</c:v>
                </c:pt>
                <c:pt idx="15">
                  <c:v>0.78350507737466402</c:v>
                </c:pt>
                <c:pt idx="16">
                  <c:v>0.80254431584854002</c:v>
                </c:pt>
                <c:pt idx="17">
                  <c:v>0.81978469034109103</c:v>
                </c:pt>
                <c:pt idx="18">
                  <c:v>0.83539236352955304</c:v>
                </c:pt>
              </c:numCache>
            </c:numRef>
          </c:val>
          <c:smooth val="0"/>
        </c:ser>
        <c:ser>
          <c:idx val="3"/>
          <c:order val="2"/>
          <c:tx>
            <c:strRef>
              <c:f>'Markov Cohort Summary'!$D$3</c:f>
              <c:strCache>
                <c:ptCount val="1"/>
                <c:pt idx="0">
                  <c:v>DEXA Dead</c:v>
                </c:pt>
              </c:strCache>
            </c:strRef>
          </c:tx>
          <c:spPr>
            <a:ln w="28575" cap="rnd">
              <a:solidFill>
                <a:schemeClr val="accent4"/>
              </a:solidFill>
              <a:round/>
            </a:ln>
            <a:effectLst/>
          </c:spPr>
          <c:marker>
            <c:symbol val="none"/>
          </c:marker>
          <c:cat>
            <c:numRef>
              <c:f>'Markov Cohort Summary'!$A$4:$A$22</c:f>
              <c:numCache>
                <c:formatCode>General</c:formatCode>
                <c:ptCount val="19"/>
                <c:pt idx="0">
                  <c:v>0</c:v>
                </c:pt>
                <c:pt idx="1">
                  <c:v>12</c:v>
                </c:pt>
                <c:pt idx="2">
                  <c:v>24</c:v>
                </c:pt>
                <c:pt idx="3">
                  <c:v>36</c:v>
                </c:pt>
                <c:pt idx="4">
                  <c:v>48</c:v>
                </c:pt>
                <c:pt idx="5">
                  <c:v>60</c:v>
                </c:pt>
                <c:pt idx="6">
                  <c:v>72</c:v>
                </c:pt>
                <c:pt idx="7">
                  <c:v>84</c:v>
                </c:pt>
                <c:pt idx="8">
                  <c:v>96</c:v>
                </c:pt>
                <c:pt idx="9">
                  <c:v>108</c:v>
                </c:pt>
                <c:pt idx="10">
                  <c:v>120</c:v>
                </c:pt>
                <c:pt idx="11">
                  <c:v>132</c:v>
                </c:pt>
                <c:pt idx="12">
                  <c:v>144</c:v>
                </c:pt>
                <c:pt idx="13">
                  <c:v>156</c:v>
                </c:pt>
                <c:pt idx="14">
                  <c:v>168</c:v>
                </c:pt>
                <c:pt idx="15">
                  <c:v>180</c:v>
                </c:pt>
                <c:pt idx="16">
                  <c:v>192</c:v>
                </c:pt>
                <c:pt idx="17">
                  <c:v>204</c:v>
                </c:pt>
                <c:pt idx="18">
                  <c:v>216</c:v>
                </c:pt>
              </c:numCache>
            </c:numRef>
          </c:cat>
          <c:val>
            <c:numRef>
              <c:f>'Markov Cohort Summary'!$D$4:$D$22</c:f>
              <c:numCache>
                <c:formatCode>General</c:formatCode>
                <c:ptCount val="19"/>
                <c:pt idx="0">
                  <c:v>0</c:v>
                </c:pt>
                <c:pt idx="1">
                  <c:v>3.35921523979335E-4</c:v>
                </c:pt>
                <c:pt idx="2">
                  <c:v>6.7173020468839801E-4</c:v>
                </c:pt>
                <c:pt idx="3">
                  <c:v>1.0074260800336701E-3</c:v>
                </c:pt>
                <c:pt idx="4">
                  <c:v>1.3430091879089001E-3</c:v>
                </c:pt>
                <c:pt idx="5">
                  <c:v>1.67847956619512E-3</c:v>
                </c:pt>
                <c:pt idx="6">
                  <c:v>2.04563847752252E-3</c:v>
                </c:pt>
                <c:pt idx="7">
                  <c:v>2.4126623565347699E-3</c:v>
                </c:pt>
                <c:pt idx="8">
                  <c:v>2.7795512528935502E-3</c:v>
                </c:pt>
                <c:pt idx="9">
                  <c:v>3.14630521624227E-3</c:v>
                </c:pt>
                <c:pt idx="10">
                  <c:v>3.5492735494387201E-3</c:v>
                </c:pt>
                <c:pt idx="11">
                  <c:v>3.9520789866370797E-3</c:v>
                </c:pt>
                <c:pt idx="12">
                  <c:v>4.35472159368646E-3</c:v>
                </c:pt>
                <c:pt idx="13">
                  <c:v>4.75720143640936E-3</c:v>
                </c:pt>
                <c:pt idx="14">
                  <c:v>5.1595185806016597E-3</c:v>
                </c:pt>
                <c:pt idx="15">
                  <c:v>5.5990256601775798E-3</c:v>
                </c:pt>
                <c:pt idx="16">
                  <c:v>6.0383385714656203E-3</c:v>
                </c:pt>
                <c:pt idx="17">
                  <c:v>6.4774574002466898E-3</c:v>
                </c:pt>
                <c:pt idx="18">
                  <c:v>6.9163822322638301E-3</c:v>
                </c:pt>
              </c:numCache>
            </c:numRef>
          </c:val>
          <c:smooth val="0"/>
        </c:ser>
        <c:ser>
          <c:idx val="4"/>
          <c:order val="3"/>
          <c:tx>
            <c:strRef>
              <c:f>'Markov Cohort Summary'!$E$3</c:f>
              <c:strCache>
                <c:ptCount val="1"/>
                <c:pt idx="0">
                  <c:v>PBO Improvement</c:v>
                </c:pt>
              </c:strCache>
            </c:strRef>
          </c:tx>
          <c:spPr>
            <a:ln w="28575" cap="rnd">
              <a:solidFill>
                <a:schemeClr val="accent5"/>
              </a:solidFill>
              <a:round/>
            </a:ln>
            <a:effectLst/>
          </c:spPr>
          <c:marker>
            <c:symbol val="none"/>
          </c:marker>
          <c:cat>
            <c:numRef>
              <c:f>'Markov Cohort Summary'!$A$4:$A$22</c:f>
              <c:numCache>
                <c:formatCode>General</c:formatCode>
                <c:ptCount val="19"/>
                <c:pt idx="0">
                  <c:v>0</c:v>
                </c:pt>
                <c:pt idx="1">
                  <c:v>12</c:v>
                </c:pt>
                <c:pt idx="2">
                  <c:v>24</c:v>
                </c:pt>
                <c:pt idx="3">
                  <c:v>36</c:v>
                </c:pt>
                <c:pt idx="4">
                  <c:v>48</c:v>
                </c:pt>
                <c:pt idx="5">
                  <c:v>60</c:v>
                </c:pt>
                <c:pt idx="6">
                  <c:v>72</c:v>
                </c:pt>
                <c:pt idx="7">
                  <c:v>84</c:v>
                </c:pt>
                <c:pt idx="8">
                  <c:v>96</c:v>
                </c:pt>
                <c:pt idx="9">
                  <c:v>108</c:v>
                </c:pt>
                <c:pt idx="10">
                  <c:v>120</c:v>
                </c:pt>
                <c:pt idx="11">
                  <c:v>132</c:v>
                </c:pt>
                <c:pt idx="12">
                  <c:v>144</c:v>
                </c:pt>
                <c:pt idx="13">
                  <c:v>156</c:v>
                </c:pt>
                <c:pt idx="14">
                  <c:v>168</c:v>
                </c:pt>
                <c:pt idx="15">
                  <c:v>180</c:v>
                </c:pt>
                <c:pt idx="16">
                  <c:v>192</c:v>
                </c:pt>
                <c:pt idx="17">
                  <c:v>204</c:v>
                </c:pt>
                <c:pt idx="18">
                  <c:v>216</c:v>
                </c:pt>
              </c:numCache>
            </c:numRef>
          </c:cat>
          <c:val>
            <c:numRef>
              <c:f>'Markov Cohort Summary'!$E$4:$E$22</c:f>
              <c:numCache>
                <c:formatCode>General</c:formatCode>
                <c:ptCount val="19"/>
                <c:pt idx="0">
                  <c:v>1</c:v>
                </c:pt>
                <c:pt idx="1">
                  <c:v>0.47368421052631599</c:v>
                </c:pt>
                <c:pt idx="2">
                  <c:v>0.34194614243601001</c:v>
                </c:pt>
                <c:pt idx="3">
                  <c:v>0.24684623580116599</c:v>
                </c:pt>
                <c:pt idx="4">
                  <c:v>0.17819491600379</c:v>
                </c:pt>
                <c:pt idx="5">
                  <c:v>0.12863646871720999</c:v>
                </c:pt>
                <c:pt idx="6">
                  <c:v>9.2856806862033597E-2</c:v>
                </c:pt>
                <c:pt idx="7">
                  <c:v>6.70290988752823E-2</c:v>
                </c:pt>
                <c:pt idx="8">
                  <c:v>4.8385253034900398E-2</c:v>
                </c:pt>
                <c:pt idx="9">
                  <c:v>3.4927110024369601E-2</c:v>
                </c:pt>
                <c:pt idx="10">
                  <c:v>2.5211016075790099E-2</c:v>
                </c:pt>
                <c:pt idx="11">
                  <c:v>1.8197764748651601E-2</c:v>
                </c:pt>
                <c:pt idx="12">
                  <c:v>1.3135473828255299E-2</c:v>
                </c:pt>
                <c:pt idx="13">
                  <c:v>9.4814212116664399E-3</c:v>
                </c:pt>
                <c:pt idx="14">
                  <c:v>6.8438603257434697E-3</c:v>
                </c:pt>
                <c:pt idx="15">
                  <c:v>4.9397644880387502E-3</c:v>
                </c:pt>
                <c:pt idx="16">
                  <c:v>3.5654253646150999E-3</c:v>
                </c:pt>
                <c:pt idx="17">
                  <c:v>2.5734542732598802E-3</c:v>
                </c:pt>
                <c:pt idx="18">
                  <c:v>1.8574689467029299E-3</c:v>
                </c:pt>
              </c:numCache>
            </c:numRef>
          </c:val>
          <c:smooth val="0"/>
        </c:ser>
        <c:ser>
          <c:idx val="5"/>
          <c:order val="4"/>
          <c:tx>
            <c:strRef>
              <c:f>'Markov Cohort Summary'!$F$3</c:f>
              <c:strCache>
                <c:ptCount val="1"/>
                <c:pt idx="0">
                  <c:v>PBO No improvement</c:v>
                </c:pt>
              </c:strCache>
            </c:strRef>
          </c:tx>
          <c:spPr>
            <a:ln w="28575" cap="rnd">
              <a:solidFill>
                <a:schemeClr val="accent6"/>
              </a:solidFill>
              <a:round/>
            </a:ln>
            <a:effectLst/>
          </c:spPr>
          <c:marker>
            <c:symbol val="none"/>
          </c:marker>
          <c:cat>
            <c:numRef>
              <c:f>'Markov Cohort Summary'!$A$4:$A$22</c:f>
              <c:numCache>
                <c:formatCode>General</c:formatCode>
                <c:ptCount val="19"/>
                <c:pt idx="0">
                  <c:v>0</c:v>
                </c:pt>
                <c:pt idx="1">
                  <c:v>12</c:v>
                </c:pt>
                <c:pt idx="2">
                  <c:v>24</c:v>
                </c:pt>
                <c:pt idx="3">
                  <c:v>36</c:v>
                </c:pt>
                <c:pt idx="4">
                  <c:v>48</c:v>
                </c:pt>
                <c:pt idx="5">
                  <c:v>60</c:v>
                </c:pt>
                <c:pt idx="6">
                  <c:v>72</c:v>
                </c:pt>
                <c:pt idx="7">
                  <c:v>84</c:v>
                </c:pt>
                <c:pt idx="8">
                  <c:v>96</c:v>
                </c:pt>
                <c:pt idx="9">
                  <c:v>108</c:v>
                </c:pt>
                <c:pt idx="10">
                  <c:v>120</c:v>
                </c:pt>
                <c:pt idx="11">
                  <c:v>132</c:v>
                </c:pt>
                <c:pt idx="12">
                  <c:v>144</c:v>
                </c:pt>
                <c:pt idx="13">
                  <c:v>156</c:v>
                </c:pt>
                <c:pt idx="14">
                  <c:v>168</c:v>
                </c:pt>
                <c:pt idx="15">
                  <c:v>180</c:v>
                </c:pt>
                <c:pt idx="16">
                  <c:v>192</c:v>
                </c:pt>
                <c:pt idx="17">
                  <c:v>204</c:v>
                </c:pt>
                <c:pt idx="18">
                  <c:v>216</c:v>
                </c:pt>
              </c:numCache>
            </c:numRef>
          </c:cat>
          <c:val>
            <c:numRef>
              <c:f>'Markov Cohort Summary'!$F$4:$F$22</c:f>
              <c:numCache>
                <c:formatCode>General</c:formatCode>
                <c:ptCount val="19"/>
                <c:pt idx="0">
                  <c:v>0</c:v>
                </c:pt>
                <c:pt idx="1">
                  <c:v>0.52597986794970497</c:v>
                </c:pt>
                <c:pt idx="2">
                  <c:v>0.65738212735930202</c:v>
                </c:pt>
                <c:pt idx="3">
                  <c:v>0.75214633811880105</c:v>
                </c:pt>
                <c:pt idx="4">
                  <c:v>0.82046207480830202</c:v>
                </c:pt>
                <c:pt idx="5">
                  <c:v>0.86968505171659505</c:v>
                </c:pt>
                <c:pt idx="6">
                  <c:v>0.90509755466044395</c:v>
                </c:pt>
                <c:pt idx="7">
                  <c:v>0.930558238768183</c:v>
                </c:pt>
                <c:pt idx="8">
                  <c:v>0.94883519571220598</c:v>
                </c:pt>
                <c:pt idx="9">
                  <c:v>0.96192658475938797</c:v>
                </c:pt>
                <c:pt idx="10">
                  <c:v>0.97123971037477097</c:v>
                </c:pt>
                <c:pt idx="11">
                  <c:v>0.97785015626471095</c:v>
                </c:pt>
                <c:pt idx="12">
                  <c:v>0.98250980457805803</c:v>
                </c:pt>
                <c:pt idx="13">
                  <c:v>0.98576137735192404</c:v>
                </c:pt>
                <c:pt idx="14">
                  <c:v>0.98799662109365405</c:v>
                </c:pt>
                <c:pt idx="15">
                  <c:v>0.98946120985178299</c:v>
                </c:pt>
                <c:pt idx="16">
                  <c:v>0.99039623606391902</c:v>
                </c:pt>
                <c:pt idx="17">
                  <c:v>0.99094908832649298</c:v>
                </c:pt>
                <c:pt idx="18">
                  <c:v>0.99122614882103299</c:v>
                </c:pt>
              </c:numCache>
            </c:numRef>
          </c:val>
          <c:smooth val="0"/>
        </c:ser>
        <c:ser>
          <c:idx val="6"/>
          <c:order val="5"/>
          <c:tx>
            <c:strRef>
              <c:f>'Markov Cohort Summary'!$G$3</c:f>
              <c:strCache>
                <c:ptCount val="1"/>
                <c:pt idx="0">
                  <c:v>PBO Dead</c:v>
                </c:pt>
              </c:strCache>
            </c:strRef>
          </c:tx>
          <c:spPr>
            <a:ln w="28575" cap="rnd">
              <a:solidFill>
                <a:schemeClr val="accent1">
                  <a:lumMod val="60000"/>
                </a:schemeClr>
              </a:solidFill>
              <a:round/>
            </a:ln>
            <a:effectLst/>
          </c:spPr>
          <c:marker>
            <c:symbol val="none"/>
          </c:marker>
          <c:cat>
            <c:numRef>
              <c:f>'Markov Cohort Summary'!$A$4:$A$22</c:f>
              <c:numCache>
                <c:formatCode>General</c:formatCode>
                <c:ptCount val="19"/>
                <c:pt idx="0">
                  <c:v>0</c:v>
                </c:pt>
                <c:pt idx="1">
                  <c:v>12</c:v>
                </c:pt>
                <c:pt idx="2">
                  <c:v>24</c:v>
                </c:pt>
                <c:pt idx="3">
                  <c:v>36</c:v>
                </c:pt>
                <c:pt idx="4">
                  <c:v>48</c:v>
                </c:pt>
                <c:pt idx="5">
                  <c:v>60</c:v>
                </c:pt>
                <c:pt idx="6">
                  <c:v>72</c:v>
                </c:pt>
                <c:pt idx="7">
                  <c:v>84</c:v>
                </c:pt>
                <c:pt idx="8">
                  <c:v>96</c:v>
                </c:pt>
                <c:pt idx="9">
                  <c:v>108</c:v>
                </c:pt>
                <c:pt idx="10">
                  <c:v>120</c:v>
                </c:pt>
                <c:pt idx="11">
                  <c:v>132</c:v>
                </c:pt>
                <c:pt idx="12">
                  <c:v>144</c:v>
                </c:pt>
                <c:pt idx="13">
                  <c:v>156</c:v>
                </c:pt>
                <c:pt idx="14">
                  <c:v>168</c:v>
                </c:pt>
                <c:pt idx="15">
                  <c:v>180</c:v>
                </c:pt>
                <c:pt idx="16">
                  <c:v>192</c:v>
                </c:pt>
                <c:pt idx="17">
                  <c:v>204</c:v>
                </c:pt>
                <c:pt idx="18">
                  <c:v>216</c:v>
                </c:pt>
              </c:numCache>
            </c:numRef>
          </c:cat>
          <c:val>
            <c:numRef>
              <c:f>'Markov Cohort Summary'!$G$4:$G$22</c:f>
              <c:numCache>
                <c:formatCode>General</c:formatCode>
                <c:ptCount val="19"/>
                <c:pt idx="0">
                  <c:v>0</c:v>
                </c:pt>
                <c:pt idx="1">
                  <c:v>3.35921523979335E-4</c:v>
                </c:pt>
                <c:pt idx="2">
                  <c:v>6.7173020468839801E-4</c:v>
                </c:pt>
                <c:pt idx="3">
                  <c:v>1.0074260800336701E-3</c:v>
                </c:pt>
                <c:pt idx="4">
                  <c:v>1.34300918790891E-3</c:v>
                </c:pt>
                <c:pt idx="5">
                  <c:v>1.67847956619512E-3</c:v>
                </c:pt>
                <c:pt idx="6">
                  <c:v>2.04563847752252E-3</c:v>
                </c:pt>
                <c:pt idx="7">
                  <c:v>2.4126623565347699E-3</c:v>
                </c:pt>
                <c:pt idx="8">
                  <c:v>2.7795512528935502E-3</c:v>
                </c:pt>
                <c:pt idx="9">
                  <c:v>3.14630521624227E-3</c:v>
                </c:pt>
                <c:pt idx="10">
                  <c:v>3.5492735494387201E-3</c:v>
                </c:pt>
                <c:pt idx="11">
                  <c:v>3.9520789866370797E-3</c:v>
                </c:pt>
                <c:pt idx="12">
                  <c:v>4.35472159368646E-3</c:v>
                </c:pt>
                <c:pt idx="13">
                  <c:v>4.75720143640936E-3</c:v>
                </c:pt>
                <c:pt idx="14">
                  <c:v>5.1595185806016597E-3</c:v>
                </c:pt>
                <c:pt idx="15">
                  <c:v>5.5990256601775798E-3</c:v>
                </c:pt>
                <c:pt idx="16">
                  <c:v>6.0383385714656203E-3</c:v>
                </c:pt>
                <c:pt idx="17">
                  <c:v>6.4774574002466898E-3</c:v>
                </c:pt>
                <c:pt idx="18">
                  <c:v>6.9163822322638301E-3</c:v>
                </c:pt>
              </c:numCache>
            </c:numRef>
          </c:val>
          <c:smooth val="0"/>
        </c:ser>
        <c:dLbls>
          <c:showLegendKey val="0"/>
          <c:showVal val="0"/>
          <c:showCatName val="0"/>
          <c:showSerName val="0"/>
          <c:showPercent val="0"/>
          <c:showBubbleSize val="0"/>
        </c:dLbls>
        <c:marker val="1"/>
        <c:smooth val="0"/>
        <c:axId val="227461376"/>
        <c:axId val="233558400"/>
      </c:lineChart>
      <c:catAx>
        <c:axId val="227461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558400"/>
        <c:crosses val="autoZero"/>
        <c:auto val="1"/>
        <c:lblAlgn val="ctr"/>
        <c:lblOffset val="100"/>
        <c:noMultiLvlLbl val="0"/>
      </c:catAx>
      <c:valAx>
        <c:axId val="23355840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of patients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7461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CAB2-2E58-4CA1-926B-6D8DC469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9269</Words>
  <Characters>52837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2018-02-19T23:10:00Z</dcterms:created>
  <dcterms:modified xsi:type="dcterms:W3CDTF">2018-02-19T23:10:00Z</dcterms:modified>
</cp:coreProperties>
</file>