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FE7F00" w:rsidRDefault="004B546C" w:rsidP="005A2C6A">
      <w:pPr>
        <w:pStyle w:val="Title"/>
        <w:spacing w:before="120" w:after="160"/>
        <w:ind w:left="720" w:hanging="720"/>
        <w:rPr>
          <w:rFonts w:asciiTheme="minorHAnsi" w:hAnsiTheme="minorHAnsi"/>
          <w:sz w:val="36"/>
          <w:szCs w:val="36"/>
        </w:rPr>
      </w:pPr>
      <w:bookmarkStart w:id="0" w:name="_GoBack"/>
      <w:bookmarkEnd w:id="0"/>
      <w:r w:rsidRPr="00FE7F00">
        <w:rPr>
          <w:rFonts w:asciiTheme="minorHAnsi" w:hAnsiTheme="minorHAnsi"/>
          <w:sz w:val="36"/>
          <w:szCs w:val="36"/>
        </w:rPr>
        <w:t>6.14</w:t>
      </w:r>
      <w:r w:rsidR="007C0F57" w:rsidRPr="00FE7F00">
        <w:rPr>
          <w:rFonts w:asciiTheme="minorHAnsi" w:hAnsiTheme="minorHAnsi"/>
          <w:sz w:val="36"/>
          <w:szCs w:val="36"/>
        </w:rPr>
        <w:tab/>
      </w:r>
      <w:r w:rsidRPr="00FE7F00">
        <w:rPr>
          <w:rFonts w:asciiTheme="minorHAnsi" w:hAnsiTheme="minorHAnsi"/>
          <w:sz w:val="36"/>
          <w:szCs w:val="36"/>
        </w:rPr>
        <w:t>EMPAGLIFLOZIN</w:t>
      </w:r>
      <w:r w:rsidR="008A50F1" w:rsidRPr="00FE7F00">
        <w:rPr>
          <w:rFonts w:asciiTheme="minorHAnsi" w:hAnsiTheme="minorHAnsi"/>
          <w:sz w:val="36"/>
          <w:szCs w:val="36"/>
        </w:rPr>
        <w:t xml:space="preserve"> </w:t>
      </w:r>
      <w:r w:rsidR="008A50F1" w:rsidRPr="00FE7F00">
        <w:rPr>
          <w:rFonts w:asciiTheme="minorHAnsi" w:hAnsiTheme="minorHAnsi"/>
          <w:sz w:val="36"/>
          <w:szCs w:val="36"/>
        </w:rPr>
        <w:br/>
      </w:r>
      <w:r w:rsidR="00F41B82" w:rsidRPr="00FE7F00">
        <w:rPr>
          <w:rFonts w:asciiTheme="minorHAnsi" w:hAnsiTheme="minorHAnsi"/>
          <w:sz w:val="36"/>
          <w:szCs w:val="36"/>
        </w:rPr>
        <w:t>Tablet 10 mg, tablet 25 mg</w:t>
      </w:r>
      <w:r w:rsidR="00264DA4" w:rsidRPr="00FE7F00">
        <w:rPr>
          <w:rFonts w:asciiTheme="minorHAnsi" w:hAnsiTheme="minorHAnsi"/>
          <w:sz w:val="36"/>
          <w:szCs w:val="36"/>
        </w:rPr>
        <w:t>, Jardiance®</w:t>
      </w:r>
      <w:r w:rsidR="008A50F1" w:rsidRPr="00FE7F00">
        <w:rPr>
          <w:rFonts w:asciiTheme="minorHAnsi" w:hAnsiTheme="minorHAnsi"/>
          <w:sz w:val="36"/>
          <w:szCs w:val="36"/>
        </w:rPr>
        <w:t xml:space="preserve"> </w:t>
      </w:r>
      <w:r w:rsidR="00F41B82" w:rsidRPr="00FE7F00">
        <w:rPr>
          <w:rFonts w:asciiTheme="minorHAnsi" w:hAnsiTheme="minorHAnsi"/>
          <w:sz w:val="36"/>
          <w:szCs w:val="36"/>
        </w:rPr>
        <w:t>EMPAGLIFLOZIN WITH METFORMIN</w:t>
      </w:r>
      <w:r w:rsidR="00264DA4" w:rsidRPr="00FE7F00">
        <w:rPr>
          <w:rFonts w:asciiTheme="minorHAnsi" w:hAnsiTheme="minorHAnsi"/>
          <w:sz w:val="36"/>
          <w:szCs w:val="36"/>
        </w:rPr>
        <w:t xml:space="preserve"> </w:t>
      </w:r>
      <w:r w:rsidR="005A2C6A">
        <w:rPr>
          <w:rFonts w:asciiTheme="minorHAnsi" w:hAnsiTheme="minorHAnsi"/>
          <w:sz w:val="36"/>
          <w:szCs w:val="36"/>
        </w:rPr>
        <w:br/>
      </w:r>
      <w:r w:rsidR="00264DA4" w:rsidRPr="00FE7F00">
        <w:rPr>
          <w:rFonts w:asciiTheme="minorHAnsi" w:hAnsiTheme="minorHAnsi"/>
          <w:sz w:val="36"/>
          <w:szCs w:val="36"/>
        </w:rPr>
        <w:t>Tablet containing 12.5 mg empagliflozin with 1 g metformin hydrochloride,</w:t>
      </w:r>
      <w:r w:rsidR="005A2C6A">
        <w:rPr>
          <w:rFonts w:asciiTheme="minorHAnsi" w:hAnsiTheme="minorHAnsi"/>
          <w:sz w:val="36"/>
          <w:szCs w:val="36"/>
        </w:rPr>
        <w:br/>
      </w:r>
      <w:r w:rsidR="00264DA4" w:rsidRPr="00FE7F00">
        <w:rPr>
          <w:rFonts w:asciiTheme="minorHAnsi" w:hAnsiTheme="minorHAnsi"/>
          <w:sz w:val="36"/>
          <w:szCs w:val="36"/>
        </w:rPr>
        <w:t xml:space="preserve">Tablet containing 12.5 mg empagliflozin with 500 mg metformin hydrochloride, </w:t>
      </w:r>
      <w:r w:rsidR="005A2C6A">
        <w:rPr>
          <w:rFonts w:asciiTheme="minorHAnsi" w:hAnsiTheme="minorHAnsi"/>
          <w:sz w:val="36"/>
          <w:szCs w:val="36"/>
        </w:rPr>
        <w:br/>
      </w:r>
      <w:r w:rsidR="00264DA4" w:rsidRPr="00FE7F00">
        <w:rPr>
          <w:rFonts w:asciiTheme="minorHAnsi" w:hAnsiTheme="minorHAnsi"/>
          <w:sz w:val="36"/>
          <w:szCs w:val="36"/>
        </w:rPr>
        <w:t xml:space="preserve">Tablet containing 5 mg empagliflozin with 1 g metformin hydrochloride, </w:t>
      </w:r>
      <w:r w:rsidR="005A2C6A">
        <w:rPr>
          <w:rFonts w:asciiTheme="minorHAnsi" w:hAnsiTheme="minorHAnsi"/>
          <w:sz w:val="36"/>
          <w:szCs w:val="36"/>
        </w:rPr>
        <w:br/>
      </w:r>
      <w:r w:rsidR="00264DA4" w:rsidRPr="00FE7F00">
        <w:rPr>
          <w:rFonts w:asciiTheme="minorHAnsi" w:hAnsiTheme="minorHAnsi"/>
          <w:sz w:val="36"/>
          <w:szCs w:val="36"/>
        </w:rPr>
        <w:t>Tablet containing 5 mg empagliflozin with 500 mg metformin hydrochloride,</w:t>
      </w:r>
      <w:r w:rsidR="005A2C6A">
        <w:rPr>
          <w:rFonts w:asciiTheme="minorHAnsi" w:hAnsiTheme="minorHAnsi"/>
          <w:sz w:val="36"/>
          <w:szCs w:val="36"/>
        </w:rPr>
        <w:br/>
      </w:r>
      <w:r w:rsidR="00264DA4" w:rsidRPr="00FE7F00">
        <w:rPr>
          <w:rFonts w:asciiTheme="minorHAnsi" w:hAnsiTheme="minorHAnsi"/>
          <w:sz w:val="36"/>
          <w:szCs w:val="36"/>
        </w:rPr>
        <w:t>Jardiamet</w:t>
      </w:r>
      <w:r w:rsidR="00584A59" w:rsidRPr="00FE7F00">
        <w:rPr>
          <w:rFonts w:asciiTheme="minorHAnsi" w:hAnsiTheme="minorHAnsi"/>
          <w:sz w:val="36"/>
          <w:szCs w:val="36"/>
        </w:rPr>
        <w:t>®</w:t>
      </w:r>
      <w:r w:rsidR="00264DA4" w:rsidRPr="00FE7F00">
        <w:rPr>
          <w:rFonts w:asciiTheme="minorHAnsi" w:hAnsiTheme="minorHAnsi"/>
          <w:sz w:val="36"/>
          <w:szCs w:val="36"/>
        </w:rPr>
        <w:t xml:space="preserve"> 12.5 mg/1000 mg, 12.5 mg/500 mg, 5 mg/ 1000 mg, and 5 mg/500 mg</w:t>
      </w:r>
      <w:r w:rsidR="005A2C6A">
        <w:rPr>
          <w:rFonts w:asciiTheme="minorHAnsi" w:hAnsiTheme="minorHAnsi"/>
          <w:sz w:val="36"/>
          <w:szCs w:val="36"/>
        </w:rPr>
        <w:br/>
      </w:r>
      <w:r w:rsidR="00F41B82" w:rsidRPr="00FE7F00">
        <w:rPr>
          <w:rFonts w:asciiTheme="minorHAnsi" w:hAnsiTheme="minorHAnsi"/>
          <w:sz w:val="36"/>
          <w:szCs w:val="36"/>
        </w:rPr>
        <w:t>LINAGLIPTIN</w:t>
      </w:r>
      <w:r w:rsidR="00264DA4" w:rsidRPr="00FE7F00">
        <w:rPr>
          <w:rFonts w:asciiTheme="minorHAnsi" w:hAnsiTheme="minorHAnsi"/>
          <w:sz w:val="36"/>
          <w:szCs w:val="36"/>
        </w:rPr>
        <w:t xml:space="preserve"> </w:t>
      </w:r>
      <w:r w:rsidR="005A2C6A">
        <w:rPr>
          <w:rFonts w:asciiTheme="minorHAnsi" w:hAnsiTheme="minorHAnsi"/>
          <w:sz w:val="36"/>
          <w:szCs w:val="36"/>
        </w:rPr>
        <w:br/>
      </w:r>
      <w:r w:rsidR="00264DA4" w:rsidRPr="00FE7F00">
        <w:rPr>
          <w:rFonts w:asciiTheme="minorHAnsi" w:hAnsiTheme="minorHAnsi"/>
          <w:sz w:val="36"/>
          <w:szCs w:val="36"/>
        </w:rPr>
        <w:t>Tablet 5 mg, Trajenta®</w:t>
      </w:r>
      <w:r w:rsidR="005A2C6A">
        <w:rPr>
          <w:rFonts w:asciiTheme="minorHAnsi" w:hAnsiTheme="minorHAnsi"/>
          <w:sz w:val="36"/>
          <w:szCs w:val="36"/>
        </w:rPr>
        <w:br/>
      </w:r>
      <w:r w:rsidR="00F41B82" w:rsidRPr="00FE7F00">
        <w:rPr>
          <w:rFonts w:asciiTheme="minorHAnsi" w:hAnsiTheme="minorHAnsi"/>
          <w:sz w:val="36"/>
          <w:szCs w:val="36"/>
        </w:rPr>
        <w:t>LINAGLIPTIN WITH METFORMIN</w:t>
      </w:r>
      <w:r w:rsidR="00264DA4" w:rsidRPr="00FE7F00">
        <w:rPr>
          <w:rFonts w:asciiTheme="minorHAnsi" w:hAnsiTheme="minorHAnsi"/>
          <w:sz w:val="36"/>
          <w:szCs w:val="36"/>
        </w:rPr>
        <w:t xml:space="preserve"> </w:t>
      </w:r>
      <w:r w:rsidR="005A2C6A">
        <w:rPr>
          <w:rFonts w:asciiTheme="minorHAnsi" w:hAnsiTheme="minorHAnsi"/>
          <w:sz w:val="36"/>
          <w:szCs w:val="36"/>
        </w:rPr>
        <w:br/>
      </w:r>
      <w:r w:rsidR="00264DA4" w:rsidRPr="00FE7F00">
        <w:rPr>
          <w:rFonts w:asciiTheme="minorHAnsi" w:hAnsiTheme="minorHAnsi"/>
          <w:sz w:val="36"/>
          <w:szCs w:val="36"/>
        </w:rPr>
        <w:t>Tablet containing 2.5 mg linagliptin with 1000 mg metformin hydrochloride, Tablet containing 2.5 mg linagliptin with 500 mg metformin hydrochloride, Tablet containing 2.5 mg linagliptin with 850 mg metformin hydrochloride</w:t>
      </w:r>
      <w:r w:rsidR="008A50F1" w:rsidRPr="00FE7F00">
        <w:rPr>
          <w:rFonts w:asciiTheme="minorHAnsi" w:hAnsiTheme="minorHAnsi"/>
          <w:sz w:val="36"/>
          <w:szCs w:val="36"/>
        </w:rPr>
        <w:br/>
      </w:r>
      <w:r w:rsidR="00264DA4" w:rsidRPr="00FE7F00">
        <w:rPr>
          <w:rFonts w:asciiTheme="minorHAnsi" w:hAnsiTheme="minorHAnsi"/>
          <w:sz w:val="36"/>
          <w:szCs w:val="36"/>
        </w:rPr>
        <w:t>Trajentamet</w:t>
      </w:r>
      <w:r w:rsidR="0004240E" w:rsidRPr="00FE7F00">
        <w:rPr>
          <w:rFonts w:asciiTheme="minorHAnsi" w:hAnsiTheme="minorHAnsi"/>
          <w:sz w:val="36"/>
          <w:szCs w:val="36"/>
        </w:rPr>
        <w:t>®</w:t>
      </w:r>
      <w:r w:rsidR="00EF44A0" w:rsidRPr="00FE7F00">
        <w:rPr>
          <w:rFonts w:asciiTheme="minorHAnsi" w:hAnsiTheme="minorHAnsi"/>
          <w:sz w:val="36"/>
          <w:szCs w:val="36"/>
        </w:rPr>
        <w:t xml:space="preserve">, </w:t>
      </w:r>
      <w:r w:rsidRPr="00FE7F00">
        <w:rPr>
          <w:rFonts w:asciiTheme="minorHAnsi" w:hAnsiTheme="minorHAnsi"/>
          <w:sz w:val="36"/>
          <w:szCs w:val="36"/>
        </w:rPr>
        <w:t>Boehringer Ingelheim</w:t>
      </w:r>
      <w:r w:rsidR="009E6D5A">
        <w:rPr>
          <w:rFonts w:asciiTheme="minorHAnsi" w:hAnsiTheme="minorHAnsi"/>
          <w:sz w:val="36"/>
          <w:szCs w:val="36"/>
        </w:rPr>
        <w:t xml:space="preserve"> Pty Ltd</w:t>
      </w:r>
    </w:p>
    <w:p w:rsidR="008A50F1" w:rsidRPr="00FE7F00" w:rsidRDefault="00CE10C4" w:rsidP="00EB0B63">
      <w:pPr>
        <w:pStyle w:val="PBACHeading1"/>
        <w:spacing w:before="240" w:after="120"/>
        <w:ind w:left="709" w:hanging="709"/>
        <w:rPr>
          <w:rFonts w:asciiTheme="minorHAnsi" w:hAnsiTheme="minorHAnsi"/>
          <w:sz w:val="32"/>
          <w:szCs w:val="32"/>
        </w:rPr>
      </w:pPr>
      <w:r w:rsidRPr="00FE7F00">
        <w:rPr>
          <w:rFonts w:asciiTheme="minorHAnsi" w:hAnsiTheme="minorHAnsi"/>
          <w:sz w:val="32"/>
          <w:szCs w:val="32"/>
        </w:rPr>
        <w:t xml:space="preserve">Purpose of </w:t>
      </w:r>
      <w:r w:rsidR="0004240E" w:rsidRPr="00FE7F00">
        <w:rPr>
          <w:rFonts w:asciiTheme="minorHAnsi" w:hAnsiTheme="minorHAnsi"/>
          <w:sz w:val="32"/>
          <w:szCs w:val="32"/>
        </w:rPr>
        <w:t>Application</w:t>
      </w:r>
    </w:p>
    <w:p w:rsidR="00EF44A0" w:rsidRPr="00FE7F00" w:rsidRDefault="00EF44A0" w:rsidP="002379AD">
      <w:pPr>
        <w:pStyle w:val="ListParagraph"/>
        <w:widowControl/>
        <w:numPr>
          <w:ilvl w:val="1"/>
          <w:numId w:val="14"/>
        </w:numPr>
        <w:spacing w:after="120"/>
        <w:contextualSpacing w:val="0"/>
        <w:rPr>
          <w:rFonts w:asciiTheme="minorHAnsi" w:eastAsiaTheme="minorHAnsi" w:hAnsiTheme="minorHAnsi" w:cstheme="minorBidi"/>
          <w:i/>
          <w:snapToGrid/>
          <w:sz w:val="24"/>
          <w:szCs w:val="22"/>
        </w:rPr>
      </w:pPr>
      <w:r w:rsidRPr="00FE7F00">
        <w:rPr>
          <w:rFonts w:asciiTheme="minorHAnsi" w:eastAsiaTheme="minorHAnsi" w:hAnsiTheme="minorHAnsi" w:cstheme="minorBidi"/>
          <w:snapToGrid/>
          <w:sz w:val="24"/>
          <w:szCs w:val="22"/>
        </w:rPr>
        <w:t>The mi</w:t>
      </w:r>
      <w:r w:rsidR="00FF2801" w:rsidRPr="00FE7F00">
        <w:rPr>
          <w:rFonts w:asciiTheme="minorHAnsi" w:eastAsiaTheme="minorHAnsi" w:hAnsiTheme="minorHAnsi" w:cstheme="minorBidi"/>
          <w:snapToGrid/>
          <w:sz w:val="24"/>
          <w:szCs w:val="22"/>
        </w:rPr>
        <w:t>nor submission requested</w:t>
      </w:r>
      <w:r w:rsidR="007A7808" w:rsidRPr="00FE7F00">
        <w:rPr>
          <w:rFonts w:asciiTheme="minorHAnsi" w:eastAsiaTheme="minorHAnsi" w:hAnsiTheme="minorHAnsi" w:cstheme="minorBidi"/>
          <w:snapToGrid/>
          <w:sz w:val="24"/>
          <w:szCs w:val="22"/>
        </w:rPr>
        <w:t xml:space="preserve"> the </w:t>
      </w:r>
      <w:r w:rsidR="00A22C71" w:rsidRPr="00FE7F00">
        <w:rPr>
          <w:rFonts w:asciiTheme="minorHAnsi" w:eastAsiaTheme="minorHAnsi" w:hAnsiTheme="minorHAnsi" w:cstheme="minorBidi"/>
          <w:snapToGrid/>
          <w:sz w:val="24"/>
          <w:szCs w:val="22"/>
        </w:rPr>
        <w:t xml:space="preserve">Authority Required (STREAMLINED) </w:t>
      </w:r>
      <w:r w:rsidR="00584A59" w:rsidRPr="00FE7F00">
        <w:rPr>
          <w:rFonts w:asciiTheme="minorHAnsi" w:eastAsiaTheme="minorHAnsi" w:hAnsiTheme="minorHAnsi" w:cstheme="minorBidi"/>
          <w:snapToGrid/>
          <w:sz w:val="24"/>
          <w:szCs w:val="22"/>
        </w:rPr>
        <w:t xml:space="preserve">listing </w:t>
      </w:r>
      <w:r w:rsidR="00CF53E6" w:rsidRPr="00FE7F00">
        <w:rPr>
          <w:rFonts w:asciiTheme="minorHAnsi" w:eastAsiaTheme="minorHAnsi" w:hAnsiTheme="minorHAnsi" w:cstheme="minorBidi"/>
          <w:snapToGrid/>
          <w:sz w:val="24"/>
          <w:szCs w:val="22"/>
        </w:rPr>
        <w:t xml:space="preserve">of empagliflozin, linagliptin and their </w:t>
      </w:r>
      <w:r w:rsidR="00147DE4" w:rsidRPr="00FE7F00">
        <w:rPr>
          <w:rFonts w:asciiTheme="minorHAnsi" w:eastAsiaTheme="minorHAnsi" w:hAnsiTheme="minorHAnsi" w:cstheme="minorBidi"/>
          <w:snapToGrid/>
          <w:sz w:val="24"/>
          <w:szCs w:val="22"/>
        </w:rPr>
        <w:t xml:space="preserve">respective </w:t>
      </w:r>
      <w:r w:rsidR="00CF53E6" w:rsidRPr="00FE7F00">
        <w:rPr>
          <w:rFonts w:asciiTheme="minorHAnsi" w:eastAsiaTheme="minorHAnsi" w:hAnsiTheme="minorHAnsi" w:cstheme="minorBidi"/>
          <w:snapToGrid/>
          <w:sz w:val="24"/>
          <w:szCs w:val="22"/>
        </w:rPr>
        <w:t>fixed dose combination (FDC)</w:t>
      </w:r>
      <w:r w:rsidR="00943C83" w:rsidRPr="00FE7F00">
        <w:rPr>
          <w:rFonts w:asciiTheme="minorHAnsi" w:eastAsiaTheme="minorHAnsi" w:hAnsiTheme="minorHAnsi" w:cstheme="minorBidi"/>
          <w:snapToGrid/>
          <w:sz w:val="24"/>
          <w:szCs w:val="22"/>
        </w:rPr>
        <w:t xml:space="preserve"> </w:t>
      </w:r>
      <w:r w:rsidR="00147DE4" w:rsidRPr="00FE7F00">
        <w:rPr>
          <w:rFonts w:asciiTheme="minorHAnsi" w:eastAsiaTheme="minorHAnsi" w:hAnsiTheme="minorHAnsi" w:cstheme="minorBidi"/>
          <w:snapToGrid/>
          <w:sz w:val="24"/>
          <w:szCs w:val="22"/>
        </w:rPr>
        <w:t xml:space="preserve">products </w:t>
      </w:r>
      <w:r w:rsidR="00943C83" w:rsidRPr="00FE7F00">
        <w:rPr>
          <w:rFonts w:asciiTheme="minorHAnsi" w:eastAsiaTheme="minorHAnsi" w:hAnsiTheme="minorHAnsi" w:cstheme="minorBidi"/>
          <w:snapToGrid/>
          <w:sz w:val="24"/>
          <w:szCs w:val="22"/>
        </w:rPr>
        <w:t>with metformin, for use in triple oral therapy (empagliflozin</w:t>
      </w:r>
      <w:r w:rsidR="00147DE4" w:rsidRPr="00FE7F00">
        <w:rPr>
          <w:rFonts w:asciiTheme="minorHAnsi" w:eastAsiaTheme="minorHAnsi" w:hAnsiTheme="minorHAnsi" w:cstheme="minorBidi"/>
          <w:snapToGrid/>
          <w:sz w:val="24"/>
          <w:szCs w:val="22"/>
        </w:rPr>
        <w:t xml:space="preserve"> +</w:t>
      </w:r>
      <w:r w:rsidR="00943C83" w:rsidRPr="00FE7F00">
        <w:rPr>
          <w:rFonts w:asciiTheme="minorHAnsi" w:eastAsiaTheme="minorHAnsi" w:hAnsiTheme="minorHAnsi" w:cstheme="minorBidi"/>
          <w:snapToGrid/>
          <w:sz w:val="24"/>
          <w:szCs w:val="22"/>
        </w:rPr>
        <w:t xml:space="preserve"> linagliptin </w:t>
      </w:r>
      <w:r w:rsidR="00147DE4" w:rsidRPr="00FE7F00">
        <w:rPr>
          <w:rFonts w:asciiTheme="minorHAnsi" w:eastAsiaTheme="minorHAnsi" w:hAnsiTheme="minorHAnsi" w:cstheme="minorBidi"/>
          <w:snapToGrid/>
          <w:sz w:val="24"/>
          <w:szCs w:val="22"/>
        </w:rPr>
        <w:t xml:space="preserve">+ </w:t>
      </w:r>
      <w:r w:rsidR="00943C83" w:rsidRPr="00FE7F00">
        <w:rPr>
          <w:rFonts w:asciiTheme="minorHAnsi" w:eastAsiaTheme="minorHAnsi" w:hAnsiTheme="minorHAnsi" w:cstheme="minorBidi"/>
          <w:snapToGrid/>
          <w:sz w:val="24"/>
          <w:szCs w:val="22"/>
        </w:rPr>
        <w:t xml:space="preserve">metformin) </w:t>
      </w:r>
      <w:r w:rsidR="00CF53E6" w:rsidRPr="00FE7F00">
        <w:rPr>
          <w:rFonts w:asciiTheme="minorHAnsi" w:eastAsiaTheme="minorHAnsi" w:hAnsiTheme="minorHAnsi" w:cstheme="minorBidi"/>
          <w:snapToGrid/>
          <w:sz w:val="24"/>
          <w:szCs w:val="22"/>
        </w:rPr>
        <w:t xml:space="preserve">in </w:t>
      </w:r>
      <w:r w:rsidR="00943C83" w:rsidRPr="00FE7F00">
        <w:rPr>
          <w:rFonts w:asciiTheme="minorHAnsi" w:eastAsiaTheme="minorHAnsi" w:hAnsiTheme="minorHAnsi" w:cstheme="minorBidi"/>
          <w:snapToGrid/>
          <w:sz w:val="24"/>
          <w:szCs w:val="22"/>
        </w:rPr>
        <w:t>patients with</w:t>
      </w:r>
      <w:r w:rsidR="007A7808" w:rsidRPr="00FE7F00">
        <w:rPr>
          <w:rFonts w:asciiTheme="minorHAnsi" w:eastAsiaTheme="minorHAnsi" w:hAnsiTheme="minorHAnsi" w:cstheme="minorBidi"/>
          <w:snapToGrid/>
          <w:sz w:val="24"/>
          <w:szCs w:val="22"/>
        </w:rPr>
        <w:t xml:space="preserve"> Type 2 Diabetes Mellitus (T2DM)</w:t>
      </w:r>
      <w:r w:rsidR="003464C0" w:rsidRPr="00FE7F00">
        <w:rPr>
          <w:rFonts w:asciiTheme="minorHAnsi" w:eastAsiaTheme="minorHAnsi" w:hAnsiTheme="minorHAnsi" w:cstheme="minorBidi"/>
          <w:snapToGrid/>
          <w:sz w:val="24"/>
          <w:szCs w:val="22"/>
        </w:rPr>
        <w:t xml:space="preserve">, </w:t>
      </w:r>
      <w:r w:rsidR="00147DE4" w:rsidRPr="00FE7F00">
        <w:rPr>
          <w:rFonts w:asciiTheme="minorHAnsi" w:eastAsiaTheme="minorHAnsi" w:hAnsiTheme="minorHAnsi" w:cstheme="minorBidi"/>
          <w:snapToGrid/>
          <w:sz w:val="24"/>
          <w:szCs w:val="22"/>
        </w:rPr>
        <w:t xml:space="preserve">who are uncontrolled on dual oral therapy and </w:t>
      </w:r>
      <w:r w:rsidR="003464C0" w:rsidRPr="00FE7F00">
        <w:rPr>
          <w:rFonts w:asciiTheme="minorHAnsi" w:eastAsiaTheme="minorHAnsi" w:hAnsiTheme="minorHAnsi" w:cstheme="minorBidi"/>
          <w:snapToGrid/>
          <w:sz w:val="24"/>
          <w:szCs w:val="22"/>
        </w:rPr>
        <w:t xml:space="preserve">who are intolerant or contraindicated to a sulfonylurea, have had an adverse event to previous treatment with a sulfonylurea, or have failed </w:t>
      </w:r>
      <w:r w:rsidR="00147DE4" w:rsidRPr="00FE7F00">
        <w:rPr>
          <w:rFonts w:asciiTheme="minorHAnsi" w:eastAsiaTheme="minorHAnsi" w:hAnsiTheme="minorHAnsi" w:cstheme="minorBidi"/>
          <w:snapToGrid/>
          <w:sz w:val="24"/>
          <w:szCs w:val="22"/>
        </w:rPr>
        <w:t xml:space="preserve">a </w:t>
      </w:r>
      <w:r w:rsidR="003464C0" w:rsidRPr="00FE7F00">
        <w:rPr>
          <w:rFonts w:asciiTheme="minorHAnsi" w:eastAsiaTheme="minorHAnsi" w:hAnsiTheme="minorHAnsi" w:cstheme="minorBidi"/>
          <w:snapToGrid/>
          <w:sz w:val="24"/>
          <w:szCs w:val="22"/>
        </w:rPr>
        <w:t>triple oral therapy treatment which included a sulfonylurea.</w:t>
      </w:r>
      <w:r w:rsidR="00BF777E" w:rsidRPr="00FE7F00">
        <w:rPr>
          <w:rFonts w:asciiTheme="minorHAnsi" w:eastAsiaTheme="minorHAnsi" w:hAnsiTheme="minorHAnsi" w:cstheme="minorBidi"/>
          <w:snapToGrid/>
          <w:sz w:val="24"/>
          <w:szCs w:val="22"/>
        </w:rPr>
        <w:t xml:space="preserve"> </w:t>
      </w:r>
      <w:r w:rsidR="00FC4CC0" w:rsidRPr="00FE7F00">
        <w:rPr>
          <w:rFonts w:asciiTheme="minorHAnsi" w:eastAsiaTheme="minorHAnsi" w:hAnsiTheme="minorHAnsi" w:cstheme="minorBidi"/>
          <w:snapToGrid/>
          <w:sz w:val="24"/>
          <w:szCs w:val="22"/>
        </w:rPr>
        <w:t xml:space="preserve">In its </w:t>
      </w:r>
      <w:r w:rsidR="00273185">
        <w:rPr>
          <w:rFonts w:asciiTheme="minorHAnsi" w:eastAsiaTheme="minorHAnsi" w:hAnsiTheme="minorHAnsi" w:cstheme="minorBidi"/>
          <w:snapToGrid/>
          <w:sz w:val="24"/>
          <w:szCs w:val="22"/>
        </w:rPr>
        <w:t>P</w:t>
      </w:r>
      <w:r w:rsidR="00273185" w:rsidRPr="00FE7F00">
        <w:rPr>
          <w:rFonts w:asciiTheme="minorHAnsi" w:eastAsiaTheme="minorHAnsi" w:hAnsiTheme="minorHAnsi" w:cstheme="minorBidi"/>
          <w:snapToGrid/>
          <w:sz w:val="24"/>
          <w:szCs w:val="22"/>
        </w:rPr>
        <w:t>re</w:t>
      </w:r>
      <w:r w:rsidR="00FC4CC0" w:rsidRPr="00FE7F00">
        <w:rPr>
          <w:rFonts w:asciiTheme="minorHAnsi" w:eastAsiaTheme="minorHAnsi" w:hAnsiTheme="minorHAnsi" w:cstheme="minorBidi"/>
          <w:snapToGrid/>
          <w:sz w:val="24"/>
          <w:szCs w:val="22"/>
        </w:rPr>
        <w:t>-</w:t>
      </w:r>
      <w:r w:rsidR="00273185">
        <w:rPr>
          <w:rFonts w:asciiTheme="minorHAnsi" w:eastAsiaTheme="minorHAnsi" w:hAnsiTheme="minorHAnsi" w:cstheme="minorBidi"/>
          <w:snapToGrid/>
          <w:sz w:val="24"/>
          <w:szCs w:val="22"/>
        </w:rPr>
        <w:t>S</w:t>
      </w:r>
      <w:r w:rsidR="00273185" w:rsidRPr="00FE7F00">
        <w:rPr>
          <w:rFonts w:asciiTheme="minorHAnsi" w:eastAsiaTheme="minorHAnsi" w:hAnsiTheme="minorHAnsi" w:cstheme="minorBidi"/>
          <w:snapToGrid/>
          <w:sz w:val="24"/>
          <w:szCs w:val="22"/>
        </w:rPr>
        <w:t>ub</w:t>
      </w:r>
      <w:r w:rsidR="00FC4CC0" w:rsidRPr="00FE7F00">
        <w:rPr>
          <w:rFonts w:asciiTheme="minorHAnsi" w:eastAsiaTheme="minorHAnsi" w:hAnsiTheme="minorHAnsi" w:cstheme="minorBidi"/>
          <w:snapToGrid/>
          <w:sz w:val="24"/>
          <w:szCs w:val="22"/>
        </w:rPr>
        <w:t>-</w:t>
      </w:r>
      <w:r w:rsidR="00273185">
        <w:rPr>
          <w:rFonts w:asciiTheme="minorHAnsi" w:eastAsiaTheme="minorHAnsi" w:hAnsiTheme="minorHAnsi" w:cstheme="minorBidi"/>
          <w:snapToGrid/>
          <w:sz w:val="24"/>
          <w:szCs w:val="22"/>
        </w:rPr>
        <w:t>C</w:t>
      </w:r>
      <w:r w:rsidR="00273185" w:rsidRPr="00FE7F00">
        <w:rPr>
          <w:rFonts w:asciiTheme="minorHAnsi" w:eastAsiaTheme="minorHAnsi" w:hAnsiTheme="minorHAnsi" w:cstheme="minorBidi"/>
          <w:snapToGrid/>
          <w:sz w:val="24"/>
          <w:szCs w:val="22"/>
        </w:rPr>
        <w:t xml:space="preserve">ommittee </w:t>
      </w:r>
      <w:r w:rsidR="00273185">
        <w:rPr>
          <w:rFonts w:asciiTheme="minorHAnsi" w:eastAsiaTheme="minorHAnsi" w:hAnsiTheme="minorHAnsi" w:cstheme="minorBidi"/>
          <w:snapToGrid/>
          <w:sz w:val="24"/>
          <w:szCs w:val="22"/>
        </w:rPr>
        <w:t>R</w:t>
      </w:r>
      <w:r w:rsidR="00273185" w:rsidRPr="00FE7F00">
        <w:rPr>
          <w:rFonts w:asciiTheme="minorHAnsi" w:eastAsiaTheme="minorHAnsi" w:hAnsiTheme="minorHAnsi" w:cstheme="minorBidi"/>
          <w:snapToGrid/>
          <w:sz w:val="24"/>
          <w:szCs w:val="22"/>
        </w:rPr>
        <w:t xml:space="preserve">esponse </w:t>
      </w:r>
      <w:r w:rsidR="00DF4F83" w:rsidRPr="00FE7F00">
        <w:rPr>
          <w:rFonts w:asciiTheme="minorHAnsi" w:eastAsiaTheme="minorHAnsi" w:hAnsiTheme="minorHAnsi" w:cstheme="minorBidi"/>
          <w:snapToGrid/>
          <w:sz w:val="24"/>
          <w:szCs w:val="22"/>
        </w:rPr>
        <w:t>(PSCR)</w:t>
      </w:r>
      <w:r w:rsidR="00FC4CC0" w:rsidRPr="00FE7F00">
        <w:rPr>
          <w:rFonts w:asciiTheme="minorHAnsi" w:eastAsiaTheme="minorHAnsi" w:hAnsiTheme="minorHAnsi" w:cstheme="minorBidi"/>
          <w:snapToGrid/>
          <w:sz w:val="24"/>
          <w:szCs w:val="22"/>
        </w:rPr>
        <w:t xml:space="preserve"> for the concurrent major submission for an FDC of empagliflozin with linagliptin, the sponsor indicated it would accept the restriction wording and authority level considered most appropriate by the PBAC.</w:t>
      </w:r>
      <w:r w:rsidR="00FC4CC0" w:rsidRPr="00FE7F00">
        <w:rPr>
          <w:rFonts w:asciiTheme="minorHAnsi" w:eastAsiaTheme="minorHAnsi" w:hAnsiTheme="minorHAnsi" w:cstheme="minorBidi"/>
          <w:i/>
          <w:snapToGrid/>
          <w:sz w:val="24"/>
          <w:szCs w:val="22"/>
        </w:rPr>
        <w:t xml:space="preserve"> </w:t>
      </w:r>
    </w:p>
    <w:p w:rsidR="006A12A5" w:rsidRPr="00FE7F00" w:rsidRDefault="006A12A5" w:rsidP="00EB0B63">
      <w:pPr>
        <w:pStyle w:val="PBACHeading1"/>
        <w:spacing w:before="240" w:after="120"/>
        <w:ind w:left="709" w:hanging="709"/>
        <w:rPr>
          <w:rFonts w:asciiTheme="minorHAnsi" w:hAnsiTheme="minorHAnsi"/>
          <w:sz w:val="32"/>
          <w:szCs w:val="32"/>
        </w:rPr>
      </w:pPr>
      <w:r w:rsidRPr="00FE7F00">
        <w:rPr>
          <w:rFonts w:asciiTheme="minorHAnsi" w:hAnsiTheme="minorHAnsi"/>
          <w:sz w:val="32"/>
          <w:szCs w:val="32"/>
        </w:rPr>
        <w:lastRenderedPageBreak/>
        <w:t>Requested listing</w:t>
      </w:r>
    </w:p>
    <w:p w:rsidR="006F27A8" w:rsidRPr="00FE7F00" w:rsidRDefault="008945E7" w:rsidP="002379AD">
      <w:pPr>
        <w:pStyle w:val="ListParagraph"/>
        <w:widowControl/>
        <w:numPr>
          <w:ilvl w:val="1"/>
          <w:numId w:val="14"/>
        </w:numPr>
        <w:spacing w:after="120"/>
        <w:contextualSpacing w:val="0"/>
        <w:rPr>
          <w:rFonts w:asciiTheme="minorHAnsi" w:eastAsiaTheme="minorHAnsi" w:hAnsiTheme="minorHAnsi" w:cstheme="minorBidi"/>
          <w:i/>
          <w:snapToGrid/>
          <w:sz w:val="24"/>
          <w:szCs w:val="22"/>
        </w:rPr>
      </w:pPr>
      <w:r w:rsidRPr="00FE7F00">
        <w:rPr>
          <w:rFonts w:asciiTheme="minorHAnsi" w:eastAsiaTheme="minorHAnsi" w:hAnsiTheme="minorHAnsi" w:cstheme="minorBidi"/>
          <w:snapToGrid/>
          <w:sz w:val="24"/>
          <w:szCs w:val="22"/>
        </w:rPr>
        <w:t>T</w:t>
      </w:r>
      <w:r w:rsidR="00587B5D" w:rsidRPr="00FE7F00">
        <w:rPr>
          <w:rFonts w:asciiTheme="minorHAnsi" w:eastAsiaTheme="minorHAnsi" w:hAnsiTheme="minorHAnsi" w:cstheme="minorBidi"/>
          <w:snapToGrid/>
          <w:sz w:val="24"/>
          <w:szCs w:val="22"/>
        </w:rPr>
        <w:t xml:space="preserve">he Pre-PBAC response indicated that </w:t>
      </w:r>
      <w:r w:rsidRPr="00FE7F00">
        <w:rPr>
          <w:rFonts w:asciiTheme="minorHAnsi" w:eastAsiaTheme="minorHAnsi" w:hAnsiTheme="minorHAnsi" w:cstheme="minorBidi"/>
          <w:snapToGrid/>
          <w:sz w:val="24"/>
          <w:szCs w:val="22"/>
        </w:rPr>
        <w:t>the sponsor</w:t>
      </w:r>
      <w:r w:rsidR="00587B5D" w:rsidRPr="00FE7F00">
        <w:rPr>
          <w:rFonts w:asciiTheme="minorHAnsi" w:eastAsiaTheme="minorHAnsi" w:hAnsiTheme="minorHAnsi" w:cstheme="minorBidi"/>
          <w:snapToGrid/>
          <w:sz w:val="24"/>
          <w:szCs w:val="22"/>
        </w:rPr>
        <w:t xml:space="preserve"> would accept the wording and level of restriction that was considered mo</w:t>
      </w:r>
      <w:r w:rsidRPr="00FE7F00">
        <w:rPr>
          <w:rFonts w:asciiTheme="minorHAnsi" w:eastAsiaTheme="minorHAnsi" w:hAnsiTheme="minorHAnsi" w:cstheme="minorBidi"/>
          <w:snapToGrid/>
          <w:sz w:val="24"/>
          <w:szCs w:val="22"/>
        </w:rPr>
        <w:t>st</w:t>
      </w:r>
      <w:r w:rsidR="00587B5D" w:rsidRPr="00FE7F00">
        <w:rPr>
          <w:rFonts w:asciiTheme="minorHAnsi" w:eastAsiaTheme="minorHAnsi" w:hAnsiTheme="minorHAnsi" w:cstheme="minorBidi"/>
          <w:snapToGrid/>
          <w:sz w:val="24"/>
          <w:szCs w:val="22"/>
        </w:rPr>
        <w:t xml:space="preserve"> appropriate by the PBAC.</w:t>
      </w:r>
    </w:p>
    <w:p w:rsidR="00BC203B" w:rsidRPr="00FE7F00" w:rsidRDefault="00BC203B" w:rsidP="00273185">
      <w:pPr>
        <w:pStyle w:val="PBACHeading1"/>
        <w:numPr>
          <w:ilvl w:val="0"/>
          <w:numId w:val="0"/>
        </w:numPr>
        <w:outlineLvl w:val="9"/>
        <w:rPr>
          <w:rFonts w:asciiTheme="minorHAnsi" w:hAnsiTheme="minorHAnsi"/>
          <w:b w:val="0"/>
          <w:i/>
          <w:sz w:val="24"/>
          <w:szCs w:val="24"/>
        </w:rPr>
      </w:pPr>
      <w:r w:rsidRPr="00FE7F00">
        <w:rPr>
          <w:rFonts w:asciiTheme="minorHAnsi" w:hAnsiTheme="minorHAnsi"/>
          <w:b w:val="0"/>
          <w:i/>
          <w:sz w:val="24"/>
          <w:szCs w:val="24"/>
        </w:rPr>
        <w:t xml:space="preserve">For more detail on PBAC’s view, see section </w:t>
      </w:r>
      <w:r w:rsidR="00B2275E" w:rsidRPr="00FE7F00">
        <w:rPr>
          <w:rFonts w:asciiTheme="minorHAnsi" w:hAnsiTheme="minorHAnsi"/>
          <w:b w:val="0"/>
          <w:i/>
          <w:sz w:val="24"/>
          <w:szCs w:val="24"/>
        </w:rPr>
        <w:t xml:space="preserve">5 </w:t>
      </w:r>
      <w:r w:rsidRPr="00FE7F00">
        <w:rPr>
          <w:rFonts w:asciiTheme="minorHAnsi" w:hAnsiTheme="minorHAnsi"/>
          <w:b w:val="0"/>
          <w:i/>
          <w:sz w:val="24"/>
          <w:szCs w:val="24"/>
        </w:rPr>
        <w:t>PBAC outcome.</w:t>
      </w:r>
    </w:p>
    <w:p w:rsidR="00C603D4" w:rsidRPr="00FE7F00" w:rsidRDefault="00CE10C4" w:rsidP="00696129">
      <w:pPr>
        <w:pStyle w:val="PBACHeading1"/>
        <w:spacing w:before="240" w:after="120"/>
        <w:ind w:left="709" w:hanging="709"/>
        <w:rPr>
          <w:rFonts w:asciiTheme="minorHAnsi" w:hAnsiTheme="minorHAnsi"/>
          <w:sz w:val="32"/>
          <w:szCs w:val="32"/>
        </w:rPr>
      </w:pPr>
      <w:r w:rsidRPr="00FE7F00">
        <w:rPr>
          <w:rFonts w:asciiTheme="minorHAnsi" w:hAnsiTheme="minorHAnsi"/>
          <w:sz w:val="32"/>
          <w:szCs w:val="32"/>
        </w:rPr>
        <w:t>Background</w:t>
      </w:r>
    </w:p>
    <w:p w:rsidR="0070634F" w:rsidRPr="00FE7F00" w:rsidRDefault="0070634F" w:rsidP="002379A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E7F00">
        <w:rPr>
          <w:rFonts w:asciiTheme="minorHAnsi" w:eastAsiaTheme="minorHAnsi" w:hAnsiTheme="minorHAnsi" w:cstheme="minorBidi"/>
          <w:snapToGrid/>
          <w:sz w:val="24"/>
          <w:szCs w:val="22"/>
        </w:rPr>
        <w:t xml:space="preserve">Empagliflozin is </w:t>
      </w:r>
      <w:r w:rsidR="00D84C81" w:rsidRPr="00FE7F00">
        <w:rPr>
          <w:rFonts w:asciiTheme="minorHAnsi" w:eastAsiaTheme="minorHAnsi" w:hAnsiTheme="minorHAnsi" w:cstheme="minorBidi"/>
          <w:snapToGrid/>
          <w:sz w:val="24"/>
          <w:szCs w:val="22"/>
        </w:rPr>
        <w:t xml:space="preserve">TGA </w:t>
      </w:r>
      <w:r w:rsidRPr="00FE7F00">
        <w:rPr>
          <w:rFonts w:asciiTheme="minorHAnsi" w:eastAsiaTheme="minorHAnsi" w:hAnsiTheme="minorHAnsi" w:cstheme="minorBidi"/>
          <w:snapToGrid/>
          <w:sz w:val="24"/>
          <w:szCs w:val="22"/>
        </w:rPr>
        <w:t xml:space="preserve">registered for use in T2DM as monotherapy, </w:t>
      </w:r>
      <w:r w:rsidR="001F2A1C" w:rsidRPr="00FE7F00">
        <w:rPr>
          <w:rFonts w:asciiTheme="minorHAnsi" w:eastAsiaTheme="minorHAnsi" w:hAnsiTheme="minorHAnsi" w:cstheme="minorBidi"/>
          <w:snapToGrid/>
          <w:sz w:val="24"/>
          <w:szCs w:val="22"/>
        </w:rPr>
        <w:t>or “in co</w:t>
      </w:r>
      <w:r w:rsidR="00034C67" w:rsidRPr="00FE7F00">
        <w:rPr>
          <w:rFonts w:asciiTheme="minorHAnsi" w:eastAsiaTheme="minorHAnsi" w:hAnsiTheme="minorHAnsi" w:cstheme="minorBidi"/>
          <w:snapToGrid/>
          <w:sz w:val="24"/>
          <w:szCs w:val="22"/>
        </w:rPr>
        <w:t>mbination with other glucose-lo</w:t>
      </w:r>
      <w:r w:rsidR="001F2A1C" w:rsidRPr="00FE7F00">
        <w:rPr>
          <w:rFonts w:asciiTheme="minorHAnsi" w:eastAsiaTheme="minorHAnsi" w:hAnsiTheme="minorHAnsi" w:cstheme="minorBidi"/>
          <w:snapToGrid/>
          <w:sz w:val="24"/>
          <w:szCs w:val="22"/>
        </w:rPr>
        <w:t>wering medicinal products including insulin, when these, together with diet and exercise, do not provi</w:t>
      </w:r>
      <w:r w:rsidR="00034C67" w:rsidRPr="00FE7F00">
        <w:rPr>
          <w:rFonts w:asciiTheme="minorHAnsi" w:eastAsiaTheme="minorHAnsi" w:hAnsiTheme="minorHAnsi" w:cstheme="minorBidi"/>
          <w:snapToGrid/>
          <w:sz w:val="24"/>
          <w:szCs w:val="22"/>
        </w:rPr>
        <w:t>de adequate glycaemic control”, or “in patients with T2DM and established cardiovascular disease to reduce the risk of cardiovascular death.”</w:t>
      </w:r>
      <w:r w:rsidRPr="00FE7F00">
        <w:rPr>
          <w:rFonts w:asciiTheme="minorHAnsi" w:eastAsiaTheme="minorHAnsi" w:hAnsiTheme="minorHAnsi" w:cstheme="minorBidi"/>
          <w:snapToGrid/>
          <w:sz w:val="24"/>
          <w:szCs w:val="22"/>
        </w:rPr>
        <w:t xml:space="preserve"> Empagliflozin with metformin FDC is indicated as </w:t>
      </w:r>
      <w:r w:rsidR="00034C67" w:rsidRPr="00FE7F00">
        <w:rPr>
          <w:rFonts w:asciiTheme="minorHAnsi" w:eastAsiaTheme="minorHAnsi" w:hAnsiTheme="minorHAnsi" w:cstheme="minorBidi"/>
          <w:snapToGrid/>
          <w:sz w:val="24"/>
          <w:szCs w:val="22"/>
        </w:rPr>
        <w:t>“</w:t>
      </w:r>
      <w:r w:rsidRPr="00FE7F00">
        <w:rPr>
          <w:rFonts w:asciiTheme="minorHAnsi" w:eastAsiaTheme="minorHAnsi" w:hAnsiTheme="minorHAnsi" w:cstheme="minorBidi"/>
          <w:snapToGrid/>
          <w:sz w:val="24"/>
          <w:szCs w:val="22"/>
        </w:rPr>
        <w:t>an adjunct to diet and exercise to improve glycaemic control in adults with T2DM when treatment with both empagliflozin and metformin is appropriate</w:t>
      </w:r>
      <w:r w:rsidR="00034C67" w:rsidRPr="00FE7F00">
        <w:rPr>
          <w:rFonts w:asciiTheme="minorHAnsi" w:eastAsiaTheme="minorHAnsi" w:hAnsiTheme="minorHAnsi" w:cstheme="minorBidi"/>
          <w:snapToGrid/>
          <w:sz w:val="24"/>
          <w:szCs w:val="22"/>
        </w:rPr>
        <w:t>”</w:t>
      </w:r>
      <w:r w:rsidRPr="00FE7F00">
        <w:rPr>
          <w:rFonts w:asciiTheme="minorHAnsi" w:eastAsiaTheme="minorHAnsi" w:hAnsiTheme="minorHAnsi" w:cstheme="minorBidi"/>
          <w:snapToGrid/>
          <w:sz w:val="24"/>
          <w:szCs w:val="22"/>
        </w:rPr>
        <w:t>.</w:t>
      </w:r>
    </w:p>
    <w:p w:rsidR="009726D0" w:rsidRPr="00FE7F00" w:rsidRDefault="009726D0" w:rsidP="002379A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E7F00">
        <w:rPr>
          <w:rFonts w:asciiTheme="minorHAnsi" w:eastAsiaTheme="minorHAnsi" w:hAnsiTheme="minorHAnsi" w:cstheme="minorBidi"/>
          <w:snapToGrid/>
          <w:sz w:val="24"/>
          <w:szCs w:val="22"/>
        </w:rPr>
        <w:t xml:space="preserve">Linagliptin and its FDC with metformin </w:t>
      </w:r>
      <w:r w:rsidR="00AC2C47" w:rsidRPr="00FE7F00">
        <w:rPr>
          <w:rFonts w:asciiTheme="minorHAnsi" w:eastAsiaTheme="minorHAnsi" w:hAnsiTheme="minorHAnsi" w:cstheme="minorBidi"/>
          <w:snapToGrid/>
          <w:sz w:val="24"/>
          <w:szCs w:val="22"/>
        </w:rPr>
        <w:t xml:space="preserve">were </w:t>
      </w:r>
      <w:r w:rsidRPr="00FE7F00">
        <w:rPr>
          <w:rFonts w:asciiTheme="minorHAnsi" w:eastAsiaTheme="minorHAnsi" w:hAnsiTheme="minorHAnsi" w:cstheme="minorBidi"/>
          <w:snapToGrid/>
          <w:sz w:val="24"/>
          <w:szCs w:val="22"/>
        </w:rPr>
        <w:t>recently approved by the TGA for use in combination therapy with an SGLT2 inhibitor and metformin.</w:t>
      </w:r>
    </w:p>
    <w:p w:rsidR="006A12A5" w:rsidRPr="00FE7F00" w:rsidRDefault="006F619C" w:rsidP="002379A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E7F00">
        <w:rPr>
          <w:rFonts w:asciiTheme="minorHAnsi" w:eastAsiaTheme="minorHAnsi" w:hAnsiTheme="minorHAnsi" w:cstheme="minorBidi"/>
          <w:snapToGrid/>
          <w:sz w:val="24"/>
          <w:szCs w:val="22"/>
        </w:rPr>
        <w:t xml:space="preserve">The PBAC previously considered a submission for empagliflozin and linagliptin </w:t>
      </w:r>
      <w:r w:rsidR="009726D0" w:rsidRPr="00FE7F00">
        <w:rPr>
          <w:rFonts w:asciiTheme="minorHAnsi" w:eastAsiaTheme="minorHAnsi" w:hAnsiTheme="minorHAnsi" w:cstheme="minorBidi"/>
          <w:snapToGrid/>
          <w:sz w:val="24"/>
          <w:szCs w:val="22"/>
        </w:rPr>
        <w:t xml:space="preserve">FDC </w:t>
      </w:r>
      <w:r w:rsidRPr="00FE7F00">
        <w:rPr>
          <w:rFonts w:asciiTheme="minorHAnsi" w:eastAsiaTheme="minorHAnsi" w:hAnsiTheme="minorHAnsi" w:cstheme="minorBidi"/>
          <w:snapToGrid/>
          <w:sz w:val="24"/>
          <w:szCs w:val="22"/>
        </w:rPr>
        <w:t>at its March 2017 meeting</w:t>
      </w:r>
      <w:r w:rsidR="006436A7" w:rsidRPr="00FE7F00">
        <w:rPr>
          <w:rFonts w:asciiTheme="minorHAnsi" w:eastAsiaTheme="minorHAnsi" w:hAnsiTheme="minorHAnsi" w:cstheme="minorBidi"/>
          <w:snapToGrid/>
          <w:sz w:val="24"/>
          <w:szCs w:val="22"/>
        </w:rPr>
        <w:t xml:space="preserve"> for the requested listing</w:t>
      </w:r>
      <w:r w:rsidRPr="00FE7F00">
        <w:rPr>
          <w:rFonts w:asciiTheme="minorHAnsi" w:eastAsiaTheme="minorHAnsi" w:hAnsiTheme="minorHAnsi" w:cstheme="minorBidi"/>
          <w:snapToGrid/>
          <w:sz w:val="24"/>
          <w:szCs w:val="22"/>
        </w:rPr>
        <w:t>.</w:t>
      </w:r>
      <w:r w:rsidR="006436A7" w:rsidRPr="00FE7F00">
        <w:rPr>
          <w:rFonts w:asciiTheme="minorHAnsi" w:eastAsiaTheme="minorHAnsi" w:hAnsiTheme="minorHAnsi" w:cstheme="minorBidi"/>
          <w:snapToGrid/>
          <w:sz w:val="24"/>
          <w:szCs w:val="22"/>
        </w:rPr>
        <w:t xml:space="preserve"> However, t</w:t>
      </w:r>
      <w:r w:rsidR="009726D0" w:rsidRPr="00FE7F00">
        <w:rPr>
          <w:rFonts w:asciiTheme="minorHAnsi" w:eastAsiaTheme="minorHAnsi" w:hAnsiTheme="minorHAnsi" w:cstheme="minorBidi"/>
          <w:snapToGrid/>
          <w:sz w:val="24"/>
          <w:szCs w:val="22"/>
        </w:rPr>
        <w:t xml:space="preserve">he PBAC has not previously considered the </w:t>
      </w:r>
      <w:r w:rsidR="006436A7" w:rsidRPr="00FE7F00">
        <w:rPr>
          <w:rFonts w:asciiTheme="minorHAnsi" w:eastAsiaTheme="minorHAnsi" w:hAnsiTheme="minorHAnsi" w:cstheme="minorBidi"/>
          <w:snapToGrid/>
          <w:sz w:val="24"/>
          <w:szCs w:val="22"/>
        </w:rPr>
        <w:t xml:space="preserve">empagliflozin and linagliptin single component drugs, or their FDCs with metformin </w:t>
      </w:r>
      <w:r w:rsidR="009726D0" w:rsidRPr="00FE7F00">
        <w:rPr>
          <w:rFonts w:asciiTheme="minorHAnsi" w:eastAsiaTheme="minorHAnsi" w:hAnsiTheme="minorHAnsi" w:cstheme="minorBidi"/>
          <w:snapToGrid/>
          <w:sz w:val="24"/>
          <w:szCs w:val="22"/>
        </w:rPr>
        <w:t xml:space="preserve">for this triple oral therapy. </w:t>
      </w:r>
    </w:p>
    <w:p w:rsidR="009849CA" w:rsidRPr="00FE7F00" w:rsidRDefault="00B50D79" w:rsidP="003421F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E7F00">
        <w:rPr>
          <w:rFonts w:asciiTheme="minorHAnsi" w:eastAsiaTheme="minorHAnsi" w:hAnsiTheme="minorHAnsi" w:cstheme="minorBidi"/>
          <w:snapToGrid/>
          <w:sz w:val="24"/>
          <w:szCs w:val="22"/>
        </w:rPr>
        <w:t xml:space="preserve">The PBAC also </w:t>
      </w:r>
      <w:r w:rsidR="000A3BA2" w:rsidRPr="00FE7F00">
        <w:rPr>
          <w:rFonts w:asciiTheme="minorHAnsi" w:eastAsiaTheme="minorHAnsi" w:hAnsiTheme="minorHAnsi" w:cstheme="minorBidi"/>
          <w:snapToGrid/>
          <w:sz w:val="24"/>
          <w:szCs w:val="22"/>
        </w:rPr>
        <w:t xml:space="preserve">considered </w:t>
      </w:r>
      <w:r w:rsidRPr="00FE7F00">
        <w:rPr>
          <w:rFonts w:asciiTheme="minorHAnsi" w:eastAsiaTheme="minorHAnsi" w:hAnsiTheme="minorHAnsi" w:cstheme="minorBidi"/>
          <w:snapToGrid/>
          <w:sz w:val="24"/>
          <w:szCs w:val="22"/>
        </w:rPr>
        <w:t>a submission to the November 2017 meeting requesting the listing of dapagliflozin, in combination with any DPP4 inhibitor and metformin.</w:t>
      </w:r>
    </w:p>
    <w:p w:rsidR="00BC203B" w:rsidRPr="00FE7F00" w:rsidRDefault="00BC203B" w:rsidP="001B0732">
      <w:pPr>
        <w:pStyle w:val="PBACHeading1"/>
        <w:numPr>
          <w:ilvl w:val="0"/>
          <w:numId w:val="0"/>
        </w:numPr>
        <w:outlineLvl w:val="9"/>
        <w:rPr>
          <w:rFonts w:asciiTheme="minorHAnsi" w:hAnsiTheme="minorHAnsi"/>
          <w:b w:val="0"/>
          <w:i/>
          <w:sz w:val="24"/>
          <w:szCs w:val="24"/>
        </w:rPr>
      </w:pPr>
      <w:r w:rsidRPr="00FE7F00">
        <w:rPr>
          <w:rFonts w:asciiTheme="minorHAnsi" w:hAnsiTheme="minorHAnsi"/>
          <w:b w:val="0"/>
          <w:i/>
          <w:sz w:val="24"/>
          <w:szCs w:val="24"/>
        </w:rPr>
        <w:t>For more deta</w:t>
      </w:r>
      <w:r w:rsidR="00B2275E" w:rsidRPr="00FE7F00">
        <w:rPr>
          <w:rFonts w:asciiTheme="minorHAnsi" w:hAnsiTheme="minorHAnsi"/>
          <w:b w:val="0"/>
          <w:i/>
          <w:sz w:val="24"/>
          <w:szCs w:val="24"/>
        </w:rPr>
        <w:t>il on PBAC’s view, see section 5</w:t>
      </w:r>
      <w:r w:rsidRPr="00FE7F00">
        <w:rPr>
          <w:rFonts w:asciiTheme="minorHAnsi" w:hAnsiTheme="minorHAnsi"/>
          <w:b w:val="0"/>
          <w:i/>
          <w:sz w:val="24"/>
          <w:szCs w:val="24"/>
        </w:rPr>
        <w:t xml:space="preserve"> PBAC outcome.</w:t>
      </w:r>
    </w:p>
    <w:p w:rsidR="000B558D" w:rsidRPr="00FE7F00"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FE7F00">
        <w:rPr>
          <w:rFonts w:asciiTheme="minorHAnsi" w:hAnsiTheme="minorHAnsi"/>
          <w:sz w:val="32"/>
          <w:szCs w:val="32"/>
        </w:rPr>
        <w:t>C</w:t>
      </w:r>
      <w:r w:rsidR="00D84934" w:rsidRPr="00FE7F00">
        <w:rPr>
          <w:rFonts w:asciiTheme="minorHAnsi" w:hAnsiTheme="minorHAnsi"/>
          <w:sz w:val="32"/>
          <w:szCs w:val="32"/>
        </w:rPr>
        <w:t>onsideration of the evidence</w:t>
      </w:r>
    </w:p>
    <w:p w:rsidR="0044564C" w:rsidRPr="00FE7F00" w:rsidRDefault="0044564C" w:rsidP="001B0732">
      <w:pPr>
        <w:widowControl w:val="0"/>
        <w:spacing w:before="240" w:line="276" w:lineRule="auto"/>
        <w:jc w:val="both"/>
        <w:outlineLvl w:val="1"/>
        <w:rPr>
          <w:rFonts w:asciiTheme="minorHAnsi" w:hAnsiTheme="minorHAnsi" w:cs="Arial"/>
          <w:b/>
          <w:bCs/>
          <w:i/>
          <w:snapToGrid w:val="0"/>
          <w:sz w:val="28"/>
          <w:szCs w:val="28"/>
        </w:rPr>
      </w:pPr>
      <w:r w:rsidRPr="00FE7F00">
        <w:rPr>
          <w:rFonts w:asciiTheme="minorHAnsi" w:hAnsiTheme="minorHAnsi" w:cs="Arial"/>
          <w:b/>
          <w:bCs/>
          <w:i/>
          <w:snapToGrid w:val="0"/>
          <w:sz w:val="28"/>
          <w:szCs w:val="28"/>
        </w:rPr>
        <w:t>Sponsor hearing</w:t>
      </w:r>
    </w:p>
    <w:p w:rsidR="0044564C" w:rsidRPr="00FE7F00" w:rsidRDefault="0044564C" w:rsidP="0044564C">
      <w:pPr>
        <w:widowControl w:val="0"/>
        <w:numPr>
          <w:ilvl w:val="1"/>
          <w:numId w:val="5"/>
        </w:numPr>
        <w:spacing w:after="120"/>
        <w:jc w:val="both"/>
        <w:rPr>
          <w:rFonts w:asciiTheme="minorHAnsi" w:hAnsiTheme="minorHAnsi" w:cs="Arial"/>
          <w:bCs/>
          <w:snapToGrid w:val="0"/>
        </w:rPr>
      </w:pPr>
      <w:r w:rsidRPr="00FE7F00">
        <w:rPr>
          <w:rFonts w:asciiTheme="minorHAnsi" w:hAnsiTheme="minorHAnsi" w:cs="Arial"/>
          <w:bCs/>
          <w:snapToGrid w:val="0"/>
        </w:rPr>
        <w:t>There was no hearing for this item as it was a minor submission.</w:t>
      </w:r>
    </w:p>
    <w:p w:rsidR="0044564C" w:rsidRPr="00FE7F00" w:rsidRDefault="0044564C" w:rsidP="005A2C6A">
      <w:pPr>
        <w:widowControl w:val="0"/>
        <w:spacing w:before="240" w:line="276" w:lineRule="auto"/>
        <w:jc w:val="both"/>
        <w:outlineLvl w:val="1"/>
        <w:rPr>
          <w:rFonts w:asciiTheme="minorHAnsi" w:hAnsiTheme="minorHAnsi" w:cs="Arial"/>
          <w:b/>
          <w:bCs/>
          <w:i/>
          <w:snapToGrid w:val="0"/>
          <w:sz w:val="28"/>
          <w:szCs w:val="28"/>
        </w:rPr>
      </w:pPr>
      <w:r w:rsidRPr="00FE7F00">
        <w:rPr>
          <w:rFonts w:asciiTheme="minorHAnsi" w:hAnsiTheme="minorHAnsi" w:cs="Arial"/>
          <w:b/>
          <w:bCs/>
          <w:i/>
          <w:snapToGrid w:val="0"/>
          <w:sz w:val="28"/>
          <w:szCs w:val="28"/>
        </w:rPr>
        <w:t>Consumer comments</w:t>
      </w:r>
    </w:p>
    <w:p w:rsidR="0044564C" w:rsidRPr="00FE7F00" w:rsidRDefault="0044564C" w:rsidP="0044564C">
      <w:pPr>
        <w:widowControl w:val="0"/>
        <w:numPr>
          <w:ilvl w:val="1"/>
          <w:numId w:val="5"/>
        </w:numPr>
        <w:spacing w:after="120"/>
        <w:jc w:val="both"/>
        <w:rPr>
          <w:rFonts w:asciiTheme="minorHAnsi" w:hAnsiTheme="minorHAnsi" w:cs="Arial"/>
          <w:bCs/>
          <w:snapToGrid w:val="0"/>
        </w:rPr>
      </w:pPr>
      <w:r w:rsidRPr="00FE7F00">
        <w:rPr>
          <w:rFonts w:asciiTheme="minorHAnsi" w:hAnsiTheme="minorHAnsi" w:cs="Arial"/>
          <w:bCs/>
          <w:snapToGrid w:val="0"/>
        </w:rPr>
        <w:t>The PBAC noted that no consumer comments were received for this item.</w:t>
      </w:r>
    </w:p>
    <w:p w:rsidR="00D84934" w:rsidRPr="00FE7F00" w:rsidRDefault="00D84934" w:rsidP="00937958">
      <w:pPr>
        <w:pStyle w:val="Heading2"/>
        <w:keepLines/>
        <w:spacing w:before="240" w:after="120"/>
        <w:rPr>
          <w:rFonts w:asciiTheme="minorHAnsi" w:eastAsiaTheme="majorEastAsia" w:hAnsiTheme="minorHAnsi" w:cstheme="majorBidi"/>
          <w:sz w:val="28"/>
          <w:szCs w:val="28"/>
          <w:lang w:eastAsia="en-US"/>
        </w:rPr>
      </w:pPr>
      <w:r w:rsidRPr="00FE7F00">
        <w:rPr>
          <w:rFonts w:asciiTheme="minorHAnsi" w:eastAsiaTheme="majorEastAsia" w:hAnsiTheme="minorHAnsi" w:cstheme="majorBidi"/>
          <w:sz w:val="28"/>
          <w:szCs w:val="28"/>
          <w:lang w:eastAsia="en-US"/>
        </w:rPr>
        <w:t>Clinical trials</w:t>
      </w:r>
    </w:p>
    <w:p w:rsidR="006436A7" w:rsidRPr="00FE7F00" w:rsidRDefault="006436A7" w:rsidP="002379AD">
      <w:pPr>
        <w:pStyle w:val="ListParagraph"/>
        <w:widowControl/>
        <w:numPr>
          <w:ilvl w:val="1"/>
          <w:numId w:val="14"/>
        </w:numPr>
        <w:spacing w:after="120"/>
        <w:rPr>
          <w:rFonts w:asciiTheme="minorHAnsi" w:hAnsiTheme="minorHAnsi"/>
          <w:sz w:val="24"/>
          <w:szCs w:val="24"/>
        </w:rPr>
      </w:pPr>
      <w:r w:rsidRPr="00FE7F00">
        <w:rPr>
          <w:rFonts w:asciiTheme="minorHAnsi" w:hAnsiTheme="minorHAnsi"/>
          <w:sz w:val="24"/>
          <w:szCs w:val="24"/>
        </w:rPr>
        <w:t xml:space="preserve">The minor submission is relying on the clinical evidence presented in the empagliflozin with linagliptin FDC major submission to the November 2017 meeting to support the efficacy and safety of triple oral therapy with empagliflozin + linagliptin + metformin, as well as evidence to demonstrate bioequivalence of empagliflozin with linagliptin FDC with concomitant use of its components. </w:t>
      </w:r>
    </w:p>
    <w:p w:rsidR="006436A7" w:rsidRPr="00FE7F00" w:rsidRDefault="006436A7" w:rsidP="002379AD">
      <w:pPr>
        <w:pStyle w:val="ListParagraph"/>
        <w:widowControl/>
        <w:spacing w:after="120"/>
        <w:rPr>
          <w:rFonts w:asciiTheme="minorHAnsi" w:hAnsiTheme="minorHAnsi"/>
          <w:sz w:val="24"/>
          <w:szCs w:val="24"/>
        </w:rPr>
      </w:pPr>
    </w:p>
    <w:p w:rsidR="006436A7" w:rsidRPr="00FE7F00" w:rsidRDefault="006436A7" w:rsidP="002379AD">
      <w:pPr>
        <w:pStyle w:val="ListParagraph"/>
        <w:widowControl/>
        <w:numPr>
          <w:ilvl w:val="1"/>
          <w:numId w:val="14"/>
        </w:numPr>
        <w:spacing w:after="120"/>
        <w:rPr>
          <w:rFonts w:asciiTheme="minorHAnsi" w:hAnsiTheme="minorHAnsi"/>
          <w:sz w:val="24"/>
          <w:szCs w:val="24"/>
        </w:rPr>
      </w:pPr>
      <w:r w:rsidRPr="00FE7F00">
        <w:rPr>
          <w:rFonts w:asciiTheme="minorHAnsi" w:eastAsiaTheme="minorHAnsi" w:hAnsiTheme="minorHAnsi" w:cstheme="minorBidi"/>
          <w:snapToGrid/>
          <w:sz w:val="24"/>
          <w:szCs w:val="22"/>
        </w:rPr>
        <w:t xml:space="preserve">The PBAC has previously accepted that the empagliflozin + metformin and linagliptin + metformin FDCs are bioequivalent to the </w:t>
      </w:r>
      <w:r w:rsidR="008357D4" w:rsidRPr="00FE7F00">
        <w:rPr>
          <w:rFonts w:asciiTheme="minorHAnsi" w:eastAsiaTheme="minorHAnsi" w:hAnsiTheme="minorHAnsi" w:cstheme="minorBidi"/>
          <w:snapToGrid/>
          <w:sz w:val="24"/>
          <w:szCs w:val="22"/>
        </w:rPr>
        <w:t xml:space="preserve">corresponding individual </w:t>
      </w:r>
      <w:r w:rsidRPr="00FE7F00">
        <w:rPr>
          <w:rFonts w:asciiTheme="minorHAnsi" w:eastAsiaTheme="minorHAnsi" w:hAnsiTheme="minorHAnsi" w:cstheme="minorBidi"/>
          <w:snapToGrid/>
          <w:sz w:val="24"/>
          <w:szCs w:val="22"/>
        </w:rPr>
        <w:t xml:space="preserve">components taken </w:t>
      </w:r>
      <w:r w:rsidR="009849CA" w:rsidRPr="00FE7F00">
        <w:rPr>
          <w:rFonts w:asciiTheme="minorHAnsi" w:eastAsiaTheme="minorHAnsi" w:hAnsiTheme="minorHAnsi" w:cstheme="minorBidi"/>
          <w:snapToGrid/>
          <w:sz w:val="24"/>
          <w:szCs w:val="22"/>
        </w:rPr>
        <w:t>concomitantly</w:t>
      </w:r>
      <w:r w:rsidRPr="00FE7F00">
        <w:rPr>
          <w:rFonts w:asciiTheme="minorHAnsi" w:hAnsiTheme="minorHAnsi"/>
          <w:sz w:val="24"/>
          <w:szCs w:val="24"/>
        </w:rPr>
        <w:t>.</w:t>
      </w:r>
    </w:p>
    <w:p w:rsidR="005A3173" w:rsidRPr="00FE7F00" w:rsidRDefault="005A3173" w:rsidP="00966D0D">
      <w:pPr>
        <w:pStyle w:val="Heading2"/>
        <w:keepLines/>
        <w:spacing w:before="240" w:after="120"/>
        <w:rPr>
          <w:rFonts w:asciiTheme="minorHAnsi" w:eastAsiaTheme="majorEastAsia" w:hAnsiTheme="minorHAnsi" w:cstheme="majorBidi"/>
          <w:sz w:val="28"/>
          <w:szCs w:val="28"/>
          <w:lang w:eastAsia="en-US"/>
        </w:rPr>
      </w:pPr>
      <w:r w:rsidRPr="00FE7F00">
        <w:rPr>
          <w:rFonts w:asciiTheme="minorHAnsi" w:eastAsiaTheme="majorEastAsia" w:hAnsiTheme="minorHAnsi" w:cstheme="majorBidi"/>
          <w:sz w:val="28"/>
          <w:szCs w:val="28"/>
          <w:lang w:eastAsia="en-US"/>
        </w:rPr>
        <w:lastRenderedPageBreak/>
        <w:t>Economic analysis</w:t>
      </w:r>
    </w:p>
    <w:p w:rsidR="009B0F67" w:rsidRPr="00FE7F00" w:rsidRDefault="006436A7" w:rsidP="002379AD">
      <w:pPr>
        <w:pStyle w:val="ListParagraph"/>
        <w:widowControl/>
        <w:numPr>
          <w:ilvl w:val="1"/>
          <w:numId w:val="14"/>
        </w:numPr>
        <w:spacing w:after="120"/>
        <w:contextualSpacing w:val="0"/>
        <w:rPr>
          <w:rFonts w:asciiTheme="minorHAnsi" w:eastAsiaTheme="minorHAnsi" w:hAnsiTheme="minorHAnsi" w:cstheme="minorBidi"/>
          <w:snapToGrid/>
          <w:color w:val="FF00FF"/>
          <w:sz w:val="24"/>
          <w:szCs w:val="22"/>
        </w:rPr>
      </w:pPr>
      <w:r w:rsidRPr="00FE7F00">
        <w:rPr>
          <w:rFonts w:asciiTheme="minorHAnsi" w:hAnsiTheme="minorHAnsi"/>
          <w:sz w:val="24"/>
          <w:szCs w:val="24"/>
        </w:rPr>
        <w:t xml:space="preserve">This submission </w:t>
      </w:r>
      <w:r w:rsidR="00532D2B" w:rsidRPr="00FE7F00">
        <w:rPr>
          <w:rFonts w:asciiTheme="minorHAnsi" w:hAnsiTheme="minorHAnsi"/>
          <w:sz w:val="24"/>
          <w:szCs w:val="24"/>
        </w:rPr>
        <w:t>relied</w:t>
      </w:r>
      <w:r w:rsidRPr="00FE7F00">
        <w:rPr>
          <w:rFonts w:asciiTheme="minorHAnsi" w:hAnsiTheme="minorHAnsi"/>
          <w:sz w:val="24"/>
          <w:szCs w:val="24"/>
        </w:rPr>
        <w:t xml:space="preserve"> on the empagliflozin with linagliptin FDC major submission to the November 2017 </w:t>
      </w:r>
      <w:r w:rsidR="008357D4" w:rsidRPr="00FE7F00">
        <w:rPr>
          <w:rFonts w:asciiTheme="minorHAnsi" w:hAnsiTheme="minorHAnsi"/>
          <w:sz w:val="24"/>
          <w:szCs w:val="24"/>
        </w:rPr>
        <w:t xml:space="preserve">PBAC </w:t>
      </w:r>
      <w:r w:rsidRPr="00FE7F00">
        <w:rPr>
          <w:rFonts w:asciiTheme="minorHAnsi" w:hAnsiTheme="minorHAnsi"/>
          <w:sz w:val="24"/>
          <w:szCs w:val="24"/>
        </w:rPr>
        <w:t>meeting to establish the cost-effectiveness of the requested listing.</w:t>
      </w:r>
    </w:p>
    <w:p w:rsidR="008945E7" w:rsidRPr="00FE7F00" w:rsidRDefault="009A249E" w:rsidP="002379AD">
      <w:pPr>
        <w:pStyle w:val="ListParagraph"/>
        <w:widowControl/>
        <w:numPr>
          <w:ilvl w:val="1"/>
          <w:numId w:val="14"/>
        </w:numPr>
        <w:spacing w:after="120"/>
        <w:contextualSpacing w:val="0"/>
        <w:rPr>
          <w:rFonts w:asciiTheme="minorHAnsi" w:hAnsiTheme="minorHAnsi"/>
          <w:sz w:val="24"/>
          <w:szCs w:val="24"/>
        </w:rPr>
      </w:pPr>
      <w:r w:rsidRPr="00FE7F00">
        <w:rPr>
          <w:rFonts w:asciiTheme="minorHAnsi" w:hAnsiTheme="minorHAnsi"/>
          <w:sz w:val="24"/>
          <w:szCs w:val="24"/>
        </w:rPr>
        <w:t xml:space="preserve">The </w:t>
      </w:r>
      <w:r w:rsidR="007E234E" w:rsidRPr="00FE7F00">
        <w:rPr>
          <w:rFonts w:asciiTheme="minorHAnsi" w:hAnsiTheme="minorHAnsi"/>
          <w:sz w:val="24"/>
          <w:szCs w:val="24"/>
        </w:rPr>
        <w:t>submission proposed the same DPMQs as the existing listings.</w:t>
      </w:r>
      <w:r w:rsidR="00F95130" w:rsidRPr="00FE7F00">
        <w:rPr>
          <w:rFonts w:asciiTheme="minorHAnsi" w:hAnsiTheme="minorHAnsi"/>
          <w:sz w:val="24"/>
          <w:szCs w:val="24"/>
        </w:rPr>
        <w:t xml:space="preserve"> </w:t>
      </w:r>
      <w:r w:rsidR="006436A7" w:rsidRPr="00FE7F00">
        <w:rPr>
          <w:rFonts w:asciiTheme="minorHAnsi" w:hAnsiTheme="minorHAnsi"/>
          <w:sz w:val="24"/>
          <w:szCs w:val="24"/>
        </w:rPr>
        <w:t xml:space="preserve">However, </w:t>
      </w:r>
      <w:r w:rsidR="00532D2B" w:rsidRPr="00FE7F00">
        <w:rPr>
          <w:rFonts w:asciiTheme="minorHAnsi" w:hAnsiTheme="minorHAnsi"/>
          <w:sz w:val="24"/>
          <w:szCs w:val="24"/>
        </w:rPr>
        <w:t xml:space="preserve">the PBAC </w:t>
      </w:r>
      <w:r w:rsidR="008945E7" w:rsidRPr="00FE7F00">
        <w:rPr>
          <w:rFonts w:asciiTheme="minorHAnsi" w:hAnsiTheme="minorHAnsi"/>
          <w:sz w:val="24"/>
          <w:szCs w:val="24"/>
        </w:rPr>
        <w:t>recalled</w:t>
      </w:r>
      <w:r w:rsidR="00532D2B" w:rsidRPr="00FE7F00">
        <w:rPr>
          <w:rFonts w:asciiTheme="minorHAnsi" w:hAnsiTheme="minorHAnsi"/>
          <w:sz w:val="24"/>
          <w:szCs w:val="24"/>
        </w:rPr>
        <w:t xml:space="preserve"> that </w:t>
      </w:r>
      <w:r w:rsidR="00F50137" w:rsidRPr="00FE7F00">
        <w:rPr>
          <w:rFonts w:asciiTheme="minorHAnsi" w:hAnsiTheme="minorHAnsi"/>
          <w:sz w:val="24"/>
          <w:szCs w:val="24"/>
        </w:rPr>
        <w:t xml:space="preserve">the </w:t>
      </w:r>
      <w:r w:rsidR="009B3515" w:rsidRPr="00FE7F00">
        <w:rPr>
          <w:rFonts w:asciiTheme="minorHAnsi" w:hAnsiTheme="minorHAnsi"/>
          <w:sz w:val="24"/>
          <w:szCs w:val="24"/>
        </w:rPr>
        <w:t>pre-PBAC</w:t>
      </w:r>
      <w:r w:rsidR="008945E7" w:rsidRPr="00FE7F00">
        <w:rPr>
          <w:rFonts w:asciiTheme="minorHAnsi" w:hAnsiTheme="minorHAnsi"/>
          <w:sz w:val="24"/>
          <w:szCs w:val="24"/>
        </w:rPr>
        <w:t xml:space="preserve"> response for the empagliflozin with linagliptin FDC offered a </w:t>
      </w:r>
      <w:r w:rsidR="009D4C65">
        <w:rPr>
          <w:rFonts w:asciiTheme="minorHAnsi" w:hAnsiTheme="minorHAnsi"/>
          <w:noProof/>
          <w:color w:val="000000"/>
          <w:sz w:val="24"/>
          <w:szCs w:val="24"/>
          <w:highlight w:val="black"/>
        </w:rPr>
        <w:t>'''''</w:t>
      </w:r>
      <w:r w:rsidR="008945E7" w:rsidRPr="00FE7F00">
        <w:rPr>
          <w:rFonts w:asciiTheme="minorHAnsi" w:hAnsiTheme="minorHAnsi"/>
          <w:sz w:val="24"/>
          <w:szCs w:val="24"/>
        </w:rPr>
        <w:t xml:space="preserve">% price reduction on the AEMP of the sum of components. </w:t>
      </w:r>
    </w:p>
    <w:p w:rsidR="004A0F5C" w:rsidRPr="00FE7F00" w:rsidRDefault="008945E7">
      <w:pPr>
        <w:pStyle w:val="ListParagraph"/>
        <w:widowControl/>
        <w:numPr>
          <w:ilvl w:val="1"/>
          <w:numId w:val="14"/>
        </w:numPr>
        <w:spacing w:after="120"/>
        <w:contextualSpacing w:val="0"/>
        <w:rPr>
          <w:rFonts w:asciiTheme="minorHAnsi" w:hAnsiTheme="minorHAnsi"/>
          <w:sz w:val="24"/>
          <w:szCs w:val="24"/>
        </w:rPr>
      </w:pPr>
      <w:r w:rsidRPr="00FE7F00">
        <w:rPr>
          <w:rFonts w:asciiTheme="minorHAnsi" w:hAnsiTheme="minorHAnsi"/>
          <w:sz w:val="24"/>
          <w:szCs w:val="24"/>
        </w:rPr>
        <w:t xml:space="preserve">The PBAC noted that no </w:t>
      </w:r>
      <w:r w:rsidR="00F95130" w:rsidRPr="00FE7F00">
        <w:rPr>
          <w:rFonts w:asciiTheme="minorHAnsi" w:hAnsiTheme="minorHAnsi"/>
          <w:sz w:val="24"/>
          <w:szCs w:val="24"/>
        </w:rPr>
        <w:t xml:space="preserve">reduced price </w:t>
      </w:r>
      <w:r w:rsidRPr="00FE7F00">
        <w:rPr>
          <w:rFonts w:asciiTheme="minorHAnsi" w:hAnsiTheme="minorHAnsi"/>
          <w:sz w:val="24"/>
          <w:szCs w:val="24"/>
        </w:rPr>
        <w:t xml:space="preserve">was offered </w:t>
      </w:r>
      <w:r w:rsidR="00FE7F00">
        <w:rPr>
          <w:rFonts w:asciiTheme="minorHAnsi" w:hAnsiTheme="minorHAnsi"/>
          <w:sz w:val="24"/>
          <w:szCs w:val="24"/>
        </w:rPr>
        <w:t xml:space="preserve">for </w:t>
      </w:r>
      <w:r w:rsidR="00F95130" w:rsidRPr="00FE7F00">
        <w:rPr>
          <w:rFonts w:asciiTheme="minorHAnsi" w:hAnsiTheme="minorHAnsi"/>
          <w:sz w:val="24"/>
          <w:szCs w:val="24"/>
        </w:rPr>
        <w:t xml:space="preserve">the single components and the FDCs for empagliflozin or linagliptin in combination with metformin, </w:t>
      </w:r>
      <w:r w:rsidRPr="00FE7F00">
        <w:rPr>
          <w:rFonts w:asciiTheme="minorHAnsi" w:hAnsiTheme="minorHAnsi"/>
          <w:sz w:val="24"/>
          <w:szCs w:val="24"/>
        </w:rPr>
        <w:t xml:space="preserve">included in this submission. </w:t>
      </w:r>
    </w:p>
    <w:p w:rsidR="008357D4" w:rsidRPr="00FE7F00" w:rsidRDefault="008357D4" w:rsidP="003421F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E7F00">
        <w:rPr>
          <w:rFonts w:asciiTheme="minorHAnsi" w:eastAsiaTheme="minorHAnsi" w:hAnsiTheme="minorHAnsi" w:cstheme="minorBidi"/>
          <w:snapToGrid/>
          <w:sz w:val="24"/>
          <w:szCs w:val="22"/>
        </w:rPr>
        <w:t xml:space="preserve">The PBAC noted that the pre-PBAC response cited a previous PBAC </w:t>
      </w:r>
      <w:r w:rsidR="003421F3" w:rsidRPr="00FE7F00">
        <w:rPr>
          <w:rFonts w:asciiTheme="minorHAnsi" w:eastAsiaTheme="minorHAnsi" w:hAnsiTheme="minorHAnsi" w:cstheme="minorBidi"/>
          <w:snapToGrid/>
          <w:sz w:val="24"/>
          <w:szCs w:val="22"/>
        </w:rPr>
        <w:t xml:space="preserve">recommendation </w:t>
      </w:r>
      <w:r w:rsidRPr="00FE7F00">
        <w:rPr>
          <w:rFonts w:asciiTheme="minorHAnsi" w:eastAsiaTheme="minorHAnsi" w:hAnsiTheme="minorHAnsi" w:cstheme="minorBidi"/>
          <w:snapToGrid/>
          <w:sz w:val="24"/>
          <w:szCs w:val="22"/>
        </w:rPr>
        <w:t>relating to the listing of a long-acting muscarinic antagonist (LAMA)/ long acting beta2-agonist (LABA) combination for chronic obstructive pulmonary disease (COPD), in which the price reduction of the FDC did not flow on its individual components</w:t>
      </w:r>
      <w:r w:rsidR="00EA4DB8" w:rsidRPr="00FE7F00">
        <w:rPr>
          <w:rFonts w:asciiTheme="minorHAnsi" w:eastAsiaTheme="minorHAnsi" w:hAnsiTheme="minorHAnsi" w:cstheme="minorBidi"/>
          <w:snapToGrid/>
          <w:sz w:val="24"/>
          <w:szCs w:val="22"/>
        </w:rPr>
        <w:t xml:space="preserve"> to justify this position</w:t>
      </w:r>
      <w:r w:rsidRPr="00FE7F00">
        <w:rPr>
          <w:rFonts w:asciiTheme="minorHAnsi" w:eastAsiaTheme="minorHAnsi" w:hAnsiTheme="minorHAnsi" w:cstheme="minorBidi"/>
          <w:snapToGrid/>
          <w:sz w:val="24"/>
          <w:szCs w:val="22"/>
        </w:rPr>
        <w:t xml:space="preserve">. However, the PBAC considered that this previous </w:t>
      </w:r>
      <w:r w:rsidR="003421F3" w:rsidRPr="00FE7F00">
        <w:rPr>
          <w:rFonts w:asciiTheme="minorHAnsi" w:eastAsiaTheme="minorHAnsi" w:hAnsiTheme="minorHAnsi" w:cstheme="minorBidi"/>
          <w:snapToGrid/>
          <w:sz w:val="24"/>
          <w:szCs w:val="22"/>
        </w:rPr>
        <w:t xml:space="preserve">recommendation </w:t>
      </w:r>
      <w:r w:rsidRPr="00FE7F00">
        <w:rPr>
          <w:rFonts w:asciiTheme="minorHAnsi" w:eastAsiaTheme="minorHAnsi" w:hAnsiTheme="minorHAnsi" w:cstheme="minorBidi"/>
          <w:snapToGrid/>
          <w:sz w:val="24"/>
          <w:szCs w:val="22"/>
        </w:rPr>
        <w:t>was for a dual therapy</w:t>
      </w:r>
      <w:r w:rsidR="003421F3" w:rsidRPr="00FE7F00">
        <w:rPr>
          <w:rFonts w:asciiTheme="minorHAnsi" w:eastAsiaTheme="minorHAnsi" w:hAnsiTheme="minorHAnsi" w:cstheme="minorBidi"/>
          <w:snapToGrid/>
          <w:sz w:val="24"/>
          <w:szCs w:val="22"/>
        </w:rPr>
        <w:t xml:space="preserve"> that would replace two single agents</w:t>
      </w:r>
      <w:r w:rsidR="00EA4DB8" w:rsidRPr="00FE7F00">
        <w:rPr>
          <w:rFonts w:asciiTheme="minorHAnsi" w:eastAsiaTheme="minorHAnsi" w:hAnsiTheme="minorHAnsi" w:cstheme="minorBidi"/>
          <w:snapToGrid/>
          <w:sz w:val="24"/>
          <w:szCs w:val="22"/>
        </w:rPr>
        <w:t>,</w:t>
      </w:r>
      <w:r w:rsidR="005A0E58" w:rsidRPr="00FE7F00">
        <w:rPr>
          <w:rFonts w:asciiTheme="minorHAnsi" w:eastAsiaTheme="minorHAnsi" w:hAnsiTheme="minorHAnsi" w:cstheme="minorBidi"/>
          <w:snapToGrid/>
          <w:sz w:val="24"/>
          <w:szCs w:val="22"/>
        </w:rPr>
        <w:t xml:space="preserve"> </w:t>
      </w:r>
      <w:r w:rsidRPr="00FE7F00">
        <w:rPr>
          <w:rFonts w:asciiTheme="minorHAnsi" w:eastAsiaTheme="minorHAnsi" w:hAnsiTheme="minorHAnsi" w:cstheme="minorBidi"/>
          <w:snapToGrid/>
          <w:sz w:val="24"/>
          <w:szCs w:val="22"/>
        </w:rPr>
        <w:t>and was a considerably different circumstance</w:t>
      </w:r>
      <w:r w:rsidR="00EA4DB8" w:rsidRPr="00FE7F00">
        <w:rPr>
          <w:rFonts w:asciiTheme="minorHAnsi" w:eastAsiaTheme="minorHAnsi" w:hAnsiTheme="minorHAnsi" w:cstheme="minorBidi"/>
          <w:snapToGrid/>
          <w:sz w:val="24"/>
          <w:szCs w:val="22"/>
        </w:rPr>
        <w:t>, such</w:t>
      </w:r>
      <w:r w:rsidRPr="00FE7F00">
        <w:rPr>
          <w:rFonts w:asciiTheme="minorHAnsi" w:eastAsiaTheme="minorHAnsi" w:hAnsiTheme="minorHAnsi" w:cstheme="minorBidi"/>
          <w:snapToGrid/>
          <w:sz w:val="24"/>
          <w:szCs w:val="22"/>
        </w:rPr>
        <w:t xml:space="preserve"> that it </w:t>
      </w:r>
      <w:r w:rsidR="00EA4DB8" w:rsidRPr="00FE7F00">
        <w:rPr>
          <w:rFonts w:asciiTheme="minorHAnsi" w:eastAsiaTheme="minorHAnsi" w:hAnsiTheme="minorHAnsi" w:cstheme="minorBidi"/>
          <w:snapToGrid/>
          <w:sz w:val="24"/>
          <w:szCs w:val="22"/>
        </w:rPr>
        <w:t>does not serve</w:t>
      </w:r>
      <w:r w:rsidRPr="00FE7F00">
        <w:rPr>
          <w:rFonts w:asciiTheme="minorHAnsi" w:eastAsiaTheme="minorHAnsi" w:hAnsiTheme="minorHAnsi" w:cstheme="minorBidi"/>
          <w:snapToGrid/>
          <w:sz w:val="24"/>
          <w:szCs w:val="22"/>
        </w:rPr>
        <w:t xml:space="preserve"> as a precedent for th</w:t>
      </w:r>
      <w:r w:rsidR="00EA4DB8" w:rsidRPr="00FE7F00">
        <w:rPr>
          <w:rFonts w:asciiTheme="minorHAnsi" w:eastAsiaTheme="minorHAnsi" w:hAnsiTheme="minorHAnsi" w:cstheme="minorBidi"/>
          <w:snapToGrid/>
          <w:sz w:val="24"/>
          <w:szCs w:val="22"/>
        </w:rPr>
        <w:t>is reques</w:t>
      </w:r>
      <w:r w:rsidR="003C3E36" w:rsidRPr="00FE7F00">
        <w:rPr>
          <w:rFonts w:asciiTheme="minorHAnsi" w:eastAsiaTheme="minorHAnsi" w:hAnsiTheme="minorHAnsi" w:cstheme="minorBidi"/>
          <w:snapToGrid/>
          <w:sz w:val="24"/>
          <w:szCs w:val="22"/>
        </w:rPr>
        <w:t>t</w:t>
      </w:r>
      <w:r w:rsidR="003421F3" w:rsidRPr="00FE7F00">
        <w:rPr>
          <w:rFonts w:asciiTheme="minorHAnsi" w:eastAsiaTheme="minorHAnsi" w:hAnsiTheme="minorHAnsi" w:cstheme="minorBidi"/>
          <w:snapToGrid/>
          <w:sz w:val="24"/>
          <w:szCs w:val="22"/>
        </w:rPr>
        <w:t>,</w:t>
      </w:r>
      <w:r w:rsidR="003421F3" w:rsidRPr="00FE7F00">
        <w:t xml:space="preserve"> </w:t>
      </w:r>
      <w:r w:rsidR="00FE7F00" w:rsidRPr="00FE7F00">
        <w:rPr>
          <w:rFonts w:asciiTheme="minorHAnsi" w:eastAsiaTheme="minorHAnsi" w:hAnsiTheme="minorHAnsi" w:cstheme="minorBidi"/>
          <w:snapToGrid/>
          <w:sz w:val="24"/>
          <w:szCs w:val="22"/>
        </w:rPr>
        <w:t>where triple</w:t>
      </w:r>
      <w:r w:rsidR="003421F3" w:rsidRPr="00FE7F00">
        <w:rPr>
          <w:rFonts w:asciiTheme="minorHAnsi" w:eastAsiaTheme="minorHAnsi" w:hAnsiTheme="minorHAnsi" w:cstheme="minorBidi"/>
          <w:snapToGrid/>
          <w:sz w:val="24"/>
          <w:szCs w:val="22"/>
        </w:rPr>
        <w:t xml:space="preserve"> therapy can be achieved through different combinations of PBS listed medicines that do not involve the FDC.  </w:t>
      </w:r>
    </w:p>
    <w:p w:rsidR="005A3173" w:rsidRPr="00FE7F00" w:rsidRDefault="005A3173" w:rsidP="008306F3">
      <w:pPr>
        <w:pStyle w:val="Heading2"/>
        <w:keepLines/>
        <w:spacing w:before="240" w:after="120"/>
        <w:rPr>
          <w:rFonts w:asciiTheme="minorHAnsi" w:eastAsiaTheme="majorEastAsia" w:hAnsiTheme="minorHAnsi" w:cstheme="majorBidi"/>
          <w:sz w:val="28"/>
          <w:szCs w:val="28"/>
          <w:lang w:eastAsia="en-US"/>
        </w:rPr>
      </w:pPr>
      <w:r w:rsidRPr="00FE7F00">
        <w:rPr>
          <w:rFonts w:asciiTheme="minorHAnsi" w:eastAsiaTheme="majorEastAsia" w:hAnsiTheme="minorHAnsi" w:cstheme="majorBidi"/>
          <w:sz w:val="28"/>
          <w:szCs w:val="28"/>
          <w:lang w:eastAsia="en-US"/>
        </w:rPr>
        <w:t>Estimated PBS usage &amp; financial implications</w:t>
      </w:r>
    </w:p>
    <w:p w:rsidR="00C83E91" w:rsidRPr="00FE7F00" w:rsidRDefault="00C83E91" w:rsidP="002379AD">
      <w:pPr>
        <w:pStyle w:val="ListParagraph"/>
        <w:widowControl/>
        <w:numPr>
          <w:ilvl w:val="1"/>
          <w:numId w:val="14"/>
        </w:numPr>
        <w:spacing w:after="120"/>
        <w:contextualSpacing w:val="0"/>
        <w:rPr>
          <w:rFonts w:asciiTheme="minorHAnsi" w:hAnsiTheme="minorHAnsi"/>
          <w:sz w:val="24"/>
          <w:szCs w:val="24"/>
        </w:rPr>
      </w:pPr>
      <w:r w:rsidRPr="00FE7F00">
        <w:rPr>
          <w:rFonts w:asciiTheme="minorHAnsi" w:hAnsiTheme="minorHAnsi"/>
          <w:sz w:val="24"/>
          <w:szCs w:val="24"/>
        </w:rPr>
        <w:t xml:space="preserve">The minor submission assumed that if the individual components are listed for the same indication as empagliflozin with linagliptin FDC, the total number of patients treated with empagliflozin with linagliptin plus metformin will be the same as that proposed in the empagliflozin + linagliptin FDC submission, but distributed between the empagliflozin with linagliptin FDC, the empagliflozin or linagliptin with metformin FDCs, and combined use of the individual components. </w:t>
      </w:r>
    </w:p>
    <w:p w:rsidR="00C83E91" w:rsidRPr="00FE7F00" w:rsidRDefault="007A76ED" w:rsidP="002379AD">
      <w:pPr>
        <w:pStyle w:val="ListParagraph"/>
        <w:widowControl/>
        <w:numPr>
          <w:ilvl w:val="1"/>
          <w:numId w:val="14"/>
        </w:numPr>
        <w:spacing w:after="120"/>
        <w:contextualSpacing w:val="0"/>
        <w:rPr>
          <w:rFonts w:asciiTheme="minorHAnsi" w:hAnsiTheme="minorHAnsi"/>
          <w:sz w:val="24"/>
          <w:szCs w:val="24"/>
        </w:rPr>
      </w:pPr>
      <w:r w:rsidRPr="00FE7F00">
        <w:rPr>
          <w:rFonts w:asciiTheme="minorHAnsi" w:hAnsiTheme="minorHAnsi"/>
          <w:sz w:val="24"/>
          <w:szCs w:val="24"/>
        </w:rPr>
        <w:t>In addition, w</w:t>
      </w:r>
      <w:r w:rsidR="00C83E91" w:rsidRPr="00FE7F00">
        <w:rPr>
          <w:rFonts w:asciiTheme="minorHAnsi" w:hAnsiTheme="minorHAnsi"/>
          <w:sz w:val="24"/>
          <w:szCs w:val="24"/>
        </w:rPr>
        <w:t>ith respect to the empagliflozin + linagliptin FDC submission, the ESC “considered that the financial estimates were highly dependent on the proposed restriction, and were therefore uncertain”.</w:t>
      </w:r>
      <w:r w:rsidR="00C83E91" w:rsidRPr="00FE7F00">
        <w:rPr>
          <w:rFonts w:asciiTheme="minorHAnsi" w:hAnsiTheme="minorHAnsi"/>
          <w:i/>
          <w:sz w:val="24"/>
          <w:szCs w:val="24"/>
        </w:rPr>
        <w:t xml:space="preserve"> </w:t>
      </w:r>
      <w:r w:rsidR="00C83E91" w:rsidRPr="00FE7F00">
        <w:rPr>
          <w:rFonts w:asciiTheme="minorHAnsi" w:hAnsiTheme="minorHAnsi"/>
          <w:sz w:val="24"/>
          <w:szCs w:val="24"/>
        </w:rPr>
        <w:t xml:space="preserve">Therefore, more detailed estimated have not been included and will need to be negotiated with the sponsor </w:t>
      </w:r>
      <w:r w:rsidR="00B2640F" w:rsidRPr="00FE7F00">
        <w:rPr>
          <w:rFonts w:asciiTheme="minorHAnsi" w:hAnsiTheme="minorHAnsi"/>
          <w:sz w:val="24"/>
          <w:szCs w:val="24"/>
        </w:rPr>
        <w:t>before implementation of the re</w:t>
      </w:r>
      <w:r w:rsidR="008357D4" w:rsidRPr="00FE7F00">
        <w:rPr>
          <w:rFonts w:asciiTheme="minorHAnsi" w:hAnsiTheme="minorHAnsi"/>
          <w:sz w:val="24"/>
          <w:szCs w:val="24"/>
        </w:rPr>
        <w:t>co</w:t>
      </w:r>
      <w:r w:rsidR="003421F3" w:rsidRPr="00FE7F00">
        <w:rPr>
          <w:rFonts w:asciiTheme="minorHAnsi" w:hAnsiTheme="minorHAnsi"/>
          <w:sz w:val="24"/>
          <w:szCs w:val="24"/>
        </w:rPr>
        <w:t>m</w:t>
      </w:r>
      <w:r w:rsidR="008357D4" w:rsidRPr="00FE7F00">
        <w:rPr>
          <w:rFonts w:asciiTheme="minorHAnsi" w:hAnsiTheme="minorHAnsi"/>
          <w:sz w:val="24"/>
          <w:szCs w:val="24"/>
        </w:rPr>
        <w:t>mendation</w:t>
      </w:r>
      <w:r w:rsidR="00C83E91" w:rsidRPr="00FE7F00">
        <w:rPr>
          <w:rFonts w:asciiTheme="minorHAnsi" w:hAnsiTheme="minorHAnsi"/>
          <w:sz w:val="24"/>
          <w:szCs w:val="24"/>
        </w:rPr>
        <w:t>.</w:t>
      </w:r>
    </w:p>
    <w:p w:rsidR="00BC203B" w:rsidRPr="00FE7F00" w:rsidRDefault="00BC203B" w:rsidP="00273185">
      <w:pPr>
        <w:pStyle w:val="PBACHeading1"/>
        <w:numPr>
          <w:ilvl w:val="0"/>
          <w:numId w:val="0"/>
        </w:numPr>
        <w:outlineLvl w:val="9"/>
        <w:rPr>
          <w:rFonts w:asciiTheme="minorHAnsi" w:hAnsiTheme="minorHAnsi"/>
          <w:b w:val="0"/>
          <w:i/>
          <w:sz w:val="24"/>
          <w:szCs w:val="24"/>
        </w:rPr>
      </w:pPr>
      <w:r w:rsidRPr="00FE7F00">
        <w:rPr>
          <w:rFonts w:asciiTheme="minorHAnsi" w:hAnsiTheme="minorHAnsi"/>
          <w:b w:val="0"/>
          <w:i/>
          <w:sz w:val="24"/>
          <w:szCs w:val="24"/>
        </w:rPr>
        <w:t xml:space="preserve">For more detail on PBAC’s view, see section </w:t>
      </w:r>
      <w:r w:rsidR="00B2275E" w:rsidRPr="00FE7F00">
        <w:rPr>
          <w:rFonts w:asciiTheme="minorHAnsi" w:hAnsiTheme="minorHAnsi"/>
          <w:b w:val="0"/>
          <w:i/>
          <w:sz w:val="24"/>
          <w:szCs w:val="24"/>
        </w:rPr>
        <w:t xml:space="preserve">5 </w:t>
      </w:r>
      <w:r w:rsidRPr="00FE7F00">
        <w:rPr>
          <w:rFonts w:asciiTheme="minorHAnsi" w:hAnsiTheme="minorHAnsi"/>
          <w:b w:val="0"/>
          <w:i/>
          <w:sz w:val="24"/>
          <w:szCs w:val="24"/>
        </w:rPr>
        <w:t>PBAC outcome.</w:t>
      </w:r>
    </w:p>
    <w:p w:rsidR="008575CE" w:rsidRPr="00FE7F00" w:rsidRDefault="008575CE" w:rsidP="005A2C6A">
      <w:pPr>
        <w:widowControl w:val="0"/>
        <w:numPr>
          <w:ilvl w:val="0"/>
          <w:numId w:val="5"/>
        </w:numPr>
        <w:spacing w:before="240" w:after="120"/>
        <w:jc w:val="both"/>
        <w:outlineLvl w:val="0"/>
        <w:rPr>
          <w:rFonts w:asciiTheme="minorHAnsi" w:hAnsiTheme="minorHAnsi" w:cs="Arial"/>
          <w:b/>
          <w:bCs/>
          <w:i/>
          <w:snapToGrid w:val="0"/>
          <w:sz w:val="32"/>
        </w:rPr>
      </w:pPr>
      <w:r w:rsidRPr="00FE7F00">
        <w:rPr>
          <w:rFonts w:asciiTheme="minorHAnsi" w:hAnsiTheme="minorHAnsi" w:cs="Arial"/>
          <w:b/>
          <w:bCs/>
          <w:i/>
          <w:snapToGrid w:val="0"/>
          <w:sz w:val="32"/>
        </w:rPr>
        <w:t>PBAC Outcome</w:t>
      </w:r>
    </w:p>
    <w:p w:rsidR="008575CE" w:rsidRPr="00FE7F00" w:rsidRDefault="008575CE" w:rsidP="00302504">
      <w:pPr>
        <w:widowControl w:val="0"/>
        <w:numPr>
          <w:ilvl w:val="1"/>
          <w:numId w:val="5"/>
        </w:numPr>
        <w:spacing w:after="120"/>
        <w:jc w:val="both"/>
        <w:rPr>
          <w:rFonts w:asciiTheme="minorHAnsi" w:hAnsiTheme="minorHAnsi" w:cs="Arial"/>
          <w:bCs/>
          <w:snapToGrid w:val="0"/>
        </w:rPr>
      </w:pPr>
      <w:r w:rsidRPr="00FE7F00">
        <w:rPr>
          <w:rFonts w:asciiTheme="minorHAnsi" w:hAnsiTheme="minorHAnsi" w:cs="Arial"/>
          <w:bCs/>
          <w:snapToGrid w:val="0"/>
        </w:rPr>
        <w:t xml:space="preserve">The PBAC recommended </w:t>
      </w:r>
      <w:r w:rsidR="00302504" w:rsidRPr="00FE7F00">
        <w:rPr>
          <w:rFonts w:asciiTheme="minorHAnsi" w:eastAsiaTheme="minorHAnsi" w:hAnsiTheme="minorHAnsi" w:cstheme="minorBidi"/>
          <w:szCs w:val="22"/>
        </w:rPr>
        <w:t xml:space="preserve">the Authority Required (STREAMLINED) listing of empagliflozin, </w:t>
      </w:r>
      <w:r w:rsidR="007D101F" w:rsidRPr="00FE7F00">
        <w:rPr>
          <w:rFonts w:asciiTheme="minorHAnsi" w:eastAsiaTheme="minorHAnsi" w:hAnsiTheme="minorHAnsi" w:cstheme="minorBidi"/>
          <w:szCs w:val="22"/>
        </w:rPr>
        <w:t>empagliflozin with metformin fixed dose combination</w:t>
      </w:r>
      <w:r w:rsidR="008357D4" w:rsidRPr="00FE7F00">
        <w:rPr>
          <w:rFonts w:asciiTheme="minorHAnsi" w:eastAsiaTheme="minorHAnsi" w:hAnsiTheme="minorHAnsi" w:cstheme="minorBidi"/>
          <w:szCs w:val="22"/>
        </w:rPr>
        <w:t>s</w:t>
      </w:r>
      <w:r w:rsidR="007D101F" w:rsidRPr="00FE7F00">
        <w:rPr>
          <w:rFonts w:asciiTheme="minorHAnsi" w:eastAsiaTheme="minorHAnsi" w:hAnsiTheme="minorHAnsi" w:cstheme="minorBidi"/>
          <w:szCs w:val="22"/>
        </w:rPr>
        <w:t xml:space="preserve"> (FDC), </w:t>
      </w:r>
      <w:r w:rsidR="00302504" w:rsidRPr="00FE7F00">
        <w:rPr>
          <w:rFonts w:asciiTheme="minorHAnsi" w:eastAsiaTheme="minorHAnsi" w:hAnsiTheme="minorHAnsi" w:cstheme="minorBidi"/>
          <w:szCs w:val="22"/>
        </w:rPr>
        <w:t>linagliptin</w:t>
      </w:r>
      <w:r w:rsidR="008357D4" w:rsidRPr="00FE7F00">
        <w:rPr>
          <w:rFonts w:asciiTheme="minorHAnsi" w:eastAsiaTheme="minorHAnsi" w:hAnsiTheme="minorHAnsi" w:cstheme="minorBidi"/>
          <w:szCs w:val="22"/>
        </w:rPr>
        <w:t>,</w:t>
      </w:r>
      <w:r w:rsidR="00302504" w:rsidRPr="00FE7F00">
        <w:rPr>
          <w:rFonts w:asciiTheme="minorHAnsi" w:eastAsiaTheme="minorHAnsi" w:hAnsiTheme="minorHAnsi" w:cstheme="minorBidi"/>
          <w:szCs w:val="22"/>
        </w:rPr>
        <w:t xml:space="preserve"> and</w:t>
      </w:r>
      <w:r w:rsidR="007D101F" w:rsidRPr="00FE7F00">
        <w:rPr>
          <w:rFonts w:asciiTheme="minorHAnsi" w:eastAsiaTheme="minorHAnsi" w:hAnsiTheme="minorHAnsi" w:cstheme="minorBidi"/>
          <w:szCs w:val="22"/>
        </w:rPr>
        <w:t xml:space="preserve"> linagliptin</w:t>
      </w:r>
      <w:r w:rsidR="00302504" w:rsidRPr="00FE7F00">
        <w:rPr>
          <w:rFonts w:asciiTheme="minorHAnsi" w:eastAsiaTheme="minorHAnsi" w:hAnsiTheme="minorHAnsi" w:cstheme="minorBidi"/>
          <w:szCs w:val="22"/>
        </w:rPr>
        <w:t xml:space="preserve"> with metformin</w:t>
      </w:r>
      <w:r w:rsidR="007D101F" w:rsidRPr="00FE7F00">
        <w:rPr>
          <w:rFonts w:asciiTheme="minorHAnsi" w:eastAsiaTheme="minorHAnsi" w:hAnsiTheme="minorHAnsi" w:cstheme="minorBidi"/>
          <w:szCs w:val="22"/>
        </w:rPr>
        <w:t xml:space="preserve"> FDC</w:t>
      </w:r>
      <w:r w:rsidR="008357D4" w:rsidRPr="00FE7F00">
        <w:rPr>
          <w:rFonts w:asciiTheme="minorHAnsi" w:eastAsiaTheme="minorHAnsi" w:hAnsiTheme="minorHAnsi" w:cstheme="minorBidi"/>
          <w:szCs w:val="22"/>
        </w:rPr>
        <w:t>s</w:t>
      </w:r>
      <w:r w:rsidR="00302504" w:rsidRPr="00FE7F00">
        <w:rPr>
          <w:rFonts w:asciiTheme="minorHAnsi" w:eastAsiaTheme="minorHAnsi" w:hAnsiTheme="minorHAnsi" w:cstheme="minorBidi"/>
          <w:szCs w:val="22"/>
        </w:rPr>
        <w:t>, for use in triple oral therapy (</w:t>
      </w:r>
      <w:r w:rsidR="008357D4" w:rsidRPr="00FE7F00">
        <w:rPr>
          <w:rFonts w:asciiTheme="minorHAnsi" w:eastAsiaTheme="minorHAnsi" w:hAnsiTheme="minorHAnsi" w:cstheme="minorBidi"/>
          <w:szCs w:val="22"/>
        </w:rPr>
        <w:t>DPP4 + SGLT2</w:t>
      </w:r>
      <w:r w:rsidR="00302504" w:rsidRPr="00FE7F00">
        <w:rPr>
          <w:rFonts w:asciiTheme="minorHAnsi" w:eastAsiaTheme="minorHAnsi" w:hAnsiTheme="minorHAnsi" w:cstheme="minorBidi"/>
          <w:szCs w:val="22"/>
        </w:rPr>
        <w:t xml:space="preserve"> + metformin) in patients with </w:t>
      </w:r>
      <w:r w:rsidR="00462B92" w:rsidRPr="00FE7F00">
        <w:rPr>
          <w:rFonts w:asciiTheme="minorHAnsi" w:eastAsiaTheme="minorHAnsi" w:hAnsiTheme="minorHAnsi" w:cstheme="minorBidi"/>
          <w:szCs w:val="22"/>
        </w:rPr>
        <w:t>t</w:t>
      </w:r>
      <w:r w:rsidR="00302504" w:rsidRPr="00FE7F00">
        <w:rPr>
          <w:rFonts w:asciiTheme="minorHAnsi" w:eastAsiaTheme="minorHAnsi" w:hAnsiTheme="minorHAnsi" w:cstheme="minorBidi"/>
          <w:szCs w:val="22"/>
        </w:rPr>
        <w:t>ype 2 Diabetes Mellitus (T2DM)</w:t>
      </w:r>
      <w:r w:rsidR="009B3515" w:rsidRPr="00FE7F00">
        <w:rPr>
          <w:rFonts w:asciiTheme="minorHAnsi" w:eastAsiaTheme="minorHAnsi" w:hAnsiTheme="minorHAnsi" w:cstheme="minorBidi"/>
          <w:szCs w:val="22"/>
        </w:rPr>
        <w:t xml:space="preserve"> on the basis of acceptable cost-effectiveness demonstrated by </w:t>
      </w:r>
      <w:r w:rsidR="00E173C9" w:rsidRPr="00FE7F00">
        <w:rPr>
          <w:rFonts w:asciiTheme="minorHAnsi" w:eastAsiaTheme="minorHAnsi" w:hAnsiTheme="minorHAnsi" w:cstheme="minorBidi"/>
          <w:szCs w:val="22"/>
        </w:rPr>
        <w:t xml:space="preserve">the concurrent major submission for </w:t>
      </w:r>
      <w:r w:rsidR="003421F3" w:rsidRPr="00FE7F00">
        <w:rPr>
          <w:rFonts w:asciiTheme="minorHAnsi" w:eastAsiaTheme="minorHAnsi" w:hAnsiTheme="minorHAnsi" w:cstheme="minorBidi"/>
          <w:szCs w:val="22"/>
        </w:rPr>
        <w:t xml:space="preserve">the </w:t>
      </w:r>
      <w:r w:rsidR="00E173C9" w:rsidRPr="00FE7F00">
        <w:rPr>
          <w:rFonts w:asciiTheme="minorHAnsi" w:eastAsiaTheme="minorHAnsi" w:hAnsiTheme="minorHAnsi" w:cstheme="minorBidi"/>
          <w:szCs w:val="22"/>
        </w:rPr>
        <w:t xml:space="preserve">empagliflozin and linagliptin FDC. </w:t>
      </w:r>
    </w:p>
    <w:p w:rsidR="00941732" w:rsidRPr="00FE7F00" w:rsidRDefault="009B351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E7F00">
        <w:rPr>
          <w:rFonts w:asciiTheme="minorHAnsi" w:eastAsiaTheme="minorHAnsi" w:hAnsiTheme="minorHAnsi" w:cstheme="minorBidi"/>
          <w:snapToGrid/>
          <w:sz w:val="24"/>
          <w:szCs w:val="22"/>
        </w:rPr>
        <w:t>The PBAC recalled that at the November 2017 meeting</w:t>
      </w:r>
      <w:r w:rsidR="007D101F" w:rsidRPr="00FE7F00">
        <w:rPr>
          <w:rFonts w:asciiTheme="minorHAnsi" w:eastAsiaTheme="minorHAnsi" w:hAnsiTheme="minorHAnsi" w:cstheme="minorBidi"/>
          <w:snapToGrid/>
          <w:sz w:val="24"/>
          <w:szCs w:val="22"/>
        </w:rPr>
        <w:t>,</w:t>
      </w:r>
      <w:r w:rsidRPr="00FE7F00">
        <w:rPr>
          <w:rFonts w:asciiTheme="minorHAnsi" w:eastAsiaTheme="minorHAnsi" w:hAnsiTheme="minorHAnsi" w:cstheme="minorBidi"/>
          <w:snapToGrid/>
          <w:sz w:val="24"/>
          <w:szCs w:val="22"/>
        </w:rPr>
        <w:t xml:space="preserve"> it recommended the listing of empagliflozin with linagliptin </w:t>
      </w:r>
      <w:r w:rsidR="008357D4" w:rsidRPr="00FE7F00">
        <w:rPr>
          <w:rFonts w:asciiTheme="minorHAnsi" w:eastAsiaTheme="minorHAnsi" w:hAnsiTheme="minorHAnsi" w:cstheme="minorBidi"/>
          <w:snapToGrid/>
          <w:sz w:val="24"/>
          <w:szCs w:val="22"/>
        </w:rPr>
        <w:t xml:space="preserve">FDC </w:t>
      </w:r>
      <w:r w:rsidRPr="00FE7F00">
        <w:rPr>
          <w:rFonts w:asciiTheme="minorHAnsi" w:eastAsiaTheme="minorHAnsi" w:hAnsiTheme="minorHAnsi" w:cstheme="minorBidi"/>
          <w:snapToGrid/>
          <w:sz w:val="24"/>
          <w:szCs w:val="22"/>
        </w:rPr>
        <w:t xml:space="preserve">for use in combination </w:t>
      </w:r>
      <w:r w:rsidR="008357D4" w:rsidRPr="00FE7F00">
        <w:rPr>
          <w:rFonts w:asciiTheme="minorHAnsi" w:eastAsiaTheme="minorHAnsi" w:hAnsiTheme="minorHAnsi" w:cstheme="minorBidi"/>
          <w:snapToGrid/>
          <w:sz w:val="24"/>
          <w:szCs w:val="22"/>
        </w:rPr>
        <w:t>with</w:t>
      </w:r>
      <w:r w:rsidRPr="00FE7F00">
        <w:rPr>
          <w:rFonts w:asciiTheme="minorHAnsi" w:eastAsiaTheme="minorHAnsi" w:hAnsiTheme="minorHAnsi" w:cstheme="minorBidi"/>
          <w:snapToGrid/>
          <w:sz w:val="24"/>
          <w:szCs w:val="22"/>
        </w:rPr>
        <w:t xml:space="preserve"> metformin in patients with T2DM. </w:t>
      </w:r>
      <w:r w:rsidR="0044564C" w:rsidRPr="00FE7F00">
        <w:rPr>
          <w:rFonts w:asciiTheme="minorHAnsi" w:eastAsiaTheme="minorHAnsi" w:hAnsiTheme="minorHAnsi" w:cstheme="minorBidi"/>
          <w:snapToGrid/>
          <w:sz w:val="24"/>
          <w:szCs w:val="22"/>
        </w:rPr>
        <w:t xml:space="preserve">The PBAC </w:t>
      </w:r>
      <w:r w:rsidRPr="00FE7F00">
        <w:rPr>
          <w:rFonts w:asciiTheme="minorHAnsi" w:eastAsiaTheme="minorHAnsi" w:hAnsiTheme="minorHAnsi" w:cstheme="minorBidi"/>
          <w:snapToGrid/>
          <w:sz w:val="24"/>
          <w:szCs w:val="22"/>
        </w:rPr>
        <w:t xml:space="preserve">also recalled </w:t>
      </w:r>
      <w:r w:rsidR="0044564C" w:rsidRPr="00FE7F00">
        <w:rPr>
          <w:rFonts w:asciiTheme="minorHAnsi" w:eastAsiaTheme="minorHAnsi" w:hAnsiTheme="minorHAnsi" w:cstheme="minorBidi"/>
          <w:snapToGrid/>
          <w:sz w:val="24"/>
          <w:szCs w:val="22"/>
        </w:rPr>
        <w:t xml:space="preserve">that </w:t>
      </w:r>
      <w:r w:rsidR="00B56A1F" w:rsidRPr="00FE7F00">
        <w:rPr>
          <w:rFonts w:asciiTheme="minorHAnsi" w:eastAsiaTheme="minorHAnsi" w:hAnsiTheme="minorHAnsi" w:cstheme="minorBidi"/>
          <w:snapToGrid/>
          <w:sz w:val="24"/>
          <w:szCs w:val="22"/>
        </w:rPr>
        <w:t xml:space="preserve">it has previously accepted bioequivalence between empagliflozin with linagliptin FDC and the concomitant use of empagliflozin and linagliptin </w:t>
      </w:r>
      <w:r w:rsidR="008357D4" w:rsidRPr="00FE7F00">
        <w:rPr>
          <w:rFonts w:asciiTheme="minorHAnsi" w:hAnsiTheme="minorHAnsi"/>
          <w:sz w:val="24"/>
          <w:szCs w:val="24"/>
        </w:rPr>
        <w:t xml:space="preserve">individual </w:t>
      </w:r>
      <w:r w:rsidRPr="00FE7F00">
        <w:rPr>
          <w:rFonts w:asciiTheme="minorHAnsi" w:hAnsiTheme="minorHAnsi"/>
          <w:sz w:val="24"/>
          <w:szCs w:val="24"/>
        </w:rPr>
        <w:t xml:space="preserve">components </w:t>
      </w:r>
      <w:r w:rsidR="00B56A1F" w:rsidRPr="00FE7F00">
        <w:rPr>
          <w:rFonts w:asciiTheme="minorHAnsi" w:hAnsiTheme="minorHAnsi"/>
          <w:sz w:val="24"/>
          <w:szCs w:val="24"/>
        </w:rPr>
        <w:t>(</w:t>
      </w:r>
      <w:r w:rsidRPr="00FE7F00">
        <w:rPr>
          <w:rFonts w:asciiTheme="minorHAnsi" w:hAnsiTheme="minorHAnsi"/>
          <w:sz w:val="24"/>
          <w:szCs w:val="24"/>
        </w:rPr>
        <w:t>e</w:t>
      </w:r>
      <w:r w:rsidR="00B56A1F" w:rsidRPr="00FE7F00">
        <w:rPr>
          <w:rFonts w:asciiTheme="minorHAnsi" w:hAnsiTheme="minorHAnsi"/>
          <w:sz w:val="24"/>
          <w:szCs w:val="24"/>
        </w:rPr>
        <w:t>mpagliflozin with linagliptin PSD, March 2017 para 7.6)</w:t>
      </w:r>
      <w:r w:rsidRPr="00FE7F00">
        <w:rPr>
          <w:rFonts w:asciiTheme="minorHAnsi" w:hAnsiTheme="minorHAnsi"/>
          <w:sz w:val="24"/>
          <w:szCs w:val="24"/>
        </w:rPr>
        <w:t xml:space="preserve">, as well as the bioequivalence of empagliflozin, linagliptin, and metformin with their </w:t>
      </w:r>
      <w:r w:rsidR="008357D4" w:rsidRPr="00FE7F00">
        <w:rPr>
          <w:rFonts w:asciiTheme="minorHAnsi" w:hAnsiTheme="minorHAnsi"/>
          <w:sz w:val="24"/>
          <w:szCs w:val="24"/>
        </w:rPr>
        <w:t xml:space="preserve">respective </w:t>
      </w:r>
      <w:r w:rsidRPr="00FE7F00">
        <w:rPr>
          <w:rFonts w:asciiTheme="minorHAnsi" w:hAnsiTheme="minorHAnsi"/>
          <w:sz w:val="24"/>
          <w:szCs w:val="24"/>
        </w:rPr>
        <w:t>FDCs</w:t>
      </w:r>
      <w:r w:rsidR="00126AEC" w:rsidRPr="00FE7F00">
        <w:rPr>
          <w:rFonts w:asciiTheme="minorHAnsi" w:hAnsiTheme="minorHAnsi"/>
          <w:sz w:val="24"/>
          <w:szCs w:val="24"/>
        </w:rPr>
        <w:t>.</w:t>
      </w:r>
      <w:r w:rsidR="00941732" w:rsidRPr="00FE7F00">
        <w:rPr>
          <w:rFonts w:asciiTheme="minorHAnsi" w:hAnsiTheme="minorHAnsi"/>
          <w:sz w:val="24"/>
          <w:szCs w:val="24"/>
        </w:rPr>
        <w:t xml:space="preserve"> </w:t>
      </w:r>
      <w:r w:rsidR="003B21B3" w:rsidRPr="00FE7F00">
        <w:rPr>
          <w:rFonts w:asciiTheme="minorHAnsi" w:eastAsiaTheme="minorHAnsi" w:hAnsiTheme="minorHAnsi" w:cstheme="minorBidi"/>
          <w:snapToGrid/>
          <w:sz w:val="24"/>
          <w:szCs w:val="22"/>
        </w:rPr>
        <w:t xml:space="preserve">The PBAC </w:t>
      </w:r>
      <w:r w:rsidRPr="00FE7F00">
        <w:rPr>
          <w:rFonts w:asciiTheme="minorHAnsi" w:eastAsiaTheme="minorHAnsi" w:hAnsiTheme="minorHAnsi" w:cstheme="minorBidi"/>
          <w:snapToGrid/>
          <w:sz w:val="24"/>
          <w:szCs w:val="22"/>
        </w:rPr>
        <w:t xml:space="preserve">therefore considered that it would be reasonable to extend the listings of empagliflozin, linagliptin and their respective FDC products with metformin to allow their use in triple combination therapy with metformin, a </w:t>
      </w:r>
      <w:r w:rsidR="008357D4" w:rsidRPr="00FE7F00">
        <w:rPr>
          <w:rFonts w:asciiTheme="minorHAnsi" w:eastAsiaTheme="minorHAnsi" w:hAnsiTheme="minorHAnsi" w:cstheme="minorBidi"/>
          <w:snapToGrid/>
          <w:sz w:val="24"/>
          <w:szCs w:val="22"/>
        </w:rPr>
        <w:t xml:space="preserve">DPP4, </w:t>
      </w:r>
      <w:r w:rsidRPr="00FE7F00">
        <w:rPr>
          <w:rFonts w:asciiTheme="minorHAnsi" w:eastAsiaTheme="minorHAnsi" w:hAnsiTheme="minorHAnsi" w:cstheme="minorBidi"/>
          <w:snapToGrid/>
          <w:sz w:val="24"/>
          <w:szCs w:val="22"/>
        </w:rPr>
        <w:t xml:space="preserve">and </w:t>
      </w:r>
      <w:r w:rsidR="008357D4" w:rsidRPr="00FE7F00">
        <w:rPr>
          <w:rFonts w:asciiTheme="minorHAnsi" w:eastAsiaTheme="minorHAnsi" w:hAnsiTheme="minorHAnsi" w:cstheme="minorBidi"/>
          <w:snapToGrid/>
          <w:sz w:val="24"/>
          <w:szCs w:val="22"/>
        </w:rPr>
        <w:t xml:space="preserve">an </w:t>
      </w:r>
      <w:r w:rsidRPr="00FE7F00">
        <w:rPr>
          <w:rFonts w:asciiTheme="minorHAnsi" w:eastAsiaTheme="minorHAnsi" w:hAnsiTheme="minorHAnsi" w:cstheme="minorBidi"/>
          <w:snapToGrid/>
          <w:sz w:val="24"/>
          <w:szCs w:val="22"/>
        </w:rPr>
        <w:t xml:space="preserve">SGLT2 inhibitor. </w:t>
      </w:r>
    </w:p>
    <w:p w:rsidR="003B21B3" w:rsidRPr="00FE7F00" w:rsidRDefault="00C40856" w:rsidP="00462B92">
      <w:pPr>
        <w:pStyle w:val="ListParagraph"/>
        <w:widowControl/>
        <w:numPr>
          <w:ilvl w:val="1"/>
          <w:numId w:val="14"/>
        </w:numPr>
        <w:spacing w:after="120"/>
        <w:contextualSpacing w:val="0"/>
        <w:rPr>
          <w:rFonts w:eastAsiaTheme="minorHAnsi"/>
          <w:snapToGrid/>
        </w:rPr>
      </w:pPr>
      <w:r w:rsidRPr="00FE7F00">
        <w:rPr>
          <w:rFonts w:asciiTheme="minorHAnsi" w:eastAsiaTheme="minorHAnsi" w:hAnsiTheme="minorHAnsi" w:cstheme="minorBidi"/>
          <w:snapToGrid/>
          <w:sz w:val="24"/>
          <w:szCs w:val="22"/>
        </w:rPr>
        <w:t xml:space="preserve">The PBAC noted that the proposed wording for the empagliflozin with linagliptin </w:t>
      </w:r>
      <w:r w:rsidR="008357D4" w:rsidRPr="00FE7F00">
        <w:rPr>
          <w:rFonts w:asciiTheme="minorHAnsi" w:eastAsiaTheme="minorHAnsi" w:hAnsiTheme="minorHAnsi" w:cstheme="minorBidi"/>
          <w:snapToGrid/>
          <w:sz w:val="24"/>
          <w:szCs w:val="22"/>
        </w:rPr>
        <w:t xml:space="preserve">FDC </w:t>
      </w:r>
      <w:r w:rsidRPr="00FE7F00">
        <w:rPr>
          <w:rFonts w:asciiTheme="minorHAnsi" w:eastAsiaTheme="minorHAnsi" w:hAnsiTheme="minorHAnsi" w:cstheme="minorBidi"/>
          <w:snapToGrid/>
          <w:sz w:val="24"/>
          <w:szCs w:val="22"/>
        </w:rPr>
        <w:t xml:space="preserve">restriction has been amended through the </w:t>
      </w:r>
      <w:r w:rsidR="008357D4" w:rsidRPr="00FE7F00">
        <w:rPr>
          <w:rFonts w:asciiTheme="minorHAnsi" w:eastAsiaTheme="minorHAnsi" w:hAnsiTheme="minorHAnsi" w:cstheme="minorBidi"/>
          <w:snapToGrid/>
          <w:sz w:val="24"/>
          <w:szCs w:val="22"/>
        </w:rPr>
        <w:t xml:space="preserve">consideration </w:t>
      </w:r>
      <w:r w:rsidRPr="00FE7F00">
        <w:rPr>
          <w:rFonts w:asciiTheme="minorHAnsi" w:eastAsiaTheme="minorHAnsi" w:hAnsiTheme="minorHAnsi" w:cstheme="minorBidi"/>
          <w:snapToGrid/>
          <w:sz w:val="24"/>
          <w:szCs w:val="22"/>
        </w:rPr>
        <w:t xml:space="preserve">process, particularly to remove the requirement for intolerance or contraindication to sulfonylureas and that the restrictions for the drugs </w:t>
      </w:r>
      <w:r w:rsidR="008357D4" w:rsidRPr="00FE7F00">
        <w:rPr>
          <w:rFonts w:asciiTheme="minorHAnsi" w:eastAsiaTheme="minorHAnsi" w:hAnsiTheme="minorHAnsi" w:cstheme="minorBidi"/>
          <w:snapToGrid/>
          <w:sz w:val="24"/>
          <w:szCs w:val="22"/>
        </w:rPr>
        <w:t xml:space="preserve">in this submission </w:t>
      </w:r>
      <w:r w:rsidRPr="00FE7F00">
        <w:rPr>
          <w:rFonts w:asciiTheme="minorHAnsi" w:eastAsiaTheme="minorHAnsi" w:hAnsiTheme="minorHAnsi" w:cstheme="minorBidi"/>
          <w:snapToGrid/>
          <w:sz w:val="24"/>
          <w:szCs w:val="22"/>
        </w:rPr>
        <w:t>will also need to be consistent with th</w:t>
      </w:r>
      <w:r w:rsidR="008357D4" w:rsidRPr="00FE7F00">
        <w:rPr>
          <w:rFonts w:asciiTheme="minorHAnsi" w:eastAsiaTheme="minorHAnsi" w:hAnsiTheme="minorHAnsi" w:cstheme="minorBidi"/>
          <w:snapToGrid/>
          <w:sz w:val="24"/>
          <w:szCs w:val="22"/>
        </w:rPr>
        <w:t>e</w:t>
      </w:r>
      <w:r w:rsidR="00523A31" w:rsidRPr="00FE7F00">
        <w:rPr>
          <w:rFonts w:asciiTheme="minorHAnsi" w:eastAsiaTheme="minorHAnsi" w:hAnsiTheme="minorHAnsi" w:cstheme="minorBidi"/>
          <w:snapToGrid/>
          <w:sz w:val="24"/>
          <w:szCs w:val="22"/>
        </w:rPr>
        <w:t xml:space="preserve"> restriction</w:t>
      </w:r>
      <w:r w:rsidR="008357D4" w:rsidRPr="00FE7F00">
        <w:rPr>
          <w:rFonts w:asciiTheme="minorHAnsi" w:eastAsiaTheme="minorHAnsi" w:hAnsiTheme="minorHAnsi" w:cstheme="minorBidi"/>
          <w:snapToGrid/>
          <w:sz w:val="24"/>
          <w:szCs w:val="22"/>
        </w:rPr>
        <w:t xml:space="preserve"> for the empagliflozin with linagliptin FDC</w:t>
      </w:r>
      <w:r w:rsidRPr="00FE7F00">
        <w:rPr>
          <w:rFonts w:asciiTheme="minorHAnsi" w:eastAsiaTheme="minorHAnsi" w:hAnsiTheme="minorHAnsi" w:cstheme="minorBidi"/>
          <w:snapToGrid/>
          <w:sz w:val="24"/>
          <w:szCs w:val="22"/>
        </w:rPr>
        <w:t>.</w:t>
      </w:r>
      <w:r w:rsidR="00941732" w:rsidRPr="00FE7F00">
        <w:rPr>
          <w:rFonts w:asciiTheme="minorHAnsi" w:eastAsiaTheme="minorHAnsi" w:hAnsiTheme="minorHAnsi" w:cstheme="minorBidi"/>
          <w:snapToGrid/>
          <w:szCs w:val="22"/>
        </w:rPr>
        <w:t xml:space="preserve"> </w:t>
      </w:r>
    </w:p>
    <w:p w:rsidR="009B3515" w:rsidRPr="00FE7F00" w:rsidRDefault="00C40856" w:rsidP="006503F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E7F00">
        <w:rPr>
          <w:rFonts w:asciiTheme="minorHAnsi" w:hAnsiTheme="minorHAnsi"/>
          <w:sz w:val="24"/>
          <w:szCs w:val="24"/>
        </w:rPr>
        <w:t xml:space="preserve">The PBAC noted that no reduced price was offered </w:t>
      </w:r>
      <w:r w:rsidR="00774BE7">
        <w:rPr>
          <w:rFonts w:asciiTheme="minorHAnsi" w:hAnsiTheme="minorHAnsi"/>
          <w:sz w:val="24"/>
          <w:szCs w:val="24"/>
        </w:rPr>
        <w:t xml:space="preserve">for </w:t>
      </w:r>
      <w:r w:rsidRPr="00FE7F00">
        <w:rPr>
          <w:rFonts w:asciiTheme="minorHAnsi" w:hAnsiTheme="minorHAnsi"/>
          <w:sz w:val="24"/>
          <w:szCs w:val="24"/>
        </w:rPr>
        <w:t>the single components, and the FDCs for empagliflozin or linagliptin in combination with metformin, included in this submission. However</w:t>
      </w:r>
      <w:r w:rsidR="008357D4" w:rsidRPr="00FE7F00">
        <w:rPr>
          <w:rFonts w:asciiTheme="minorHAnsi" w:hAnsiTheme="minorHAnsi"/>
          <w:sz w:val="24"/>
          <w:szCs w:val="24"/>
        </w:rPr>
        <w:t>,</w:t>
      </w:r>
      <w:r w:rsidRPr="00FE7F00">
        <w:rPr>
          <w:rFonts w:asciiTheme="minorHAnsi" w:hAnsiTheme="minorHAnsi"/>
          <w:sz w:val="24"/>
          <w:szCs w:val="24"/>
        </w:rPr>
        <w:t xml:space="preserve"> the PBAC </w:t>
      </w:r>
      <w:r w:rsidR="008357D4" w:rsidRPr="00FE7F00">
        <w:rPr>
          <w:rFonts w:asciiTheme="minorHAnsi" w:hAnsiTheme="minorHAnsi"/>
          <w:sz w:val="24"/>
          <w:szCs w:val="24"/>
        </w:rPr>
        <w:t xml:space="preserve">also noted </w:t>
      </w:r>
      <w:r w:rsidRPr="00FE7F00">
        <w:rPr>
          <w:rFonts w:asciiTheme="minorHAnsi" w:hAnsiTheme="minorHAnsi"/>
          <w:sz w:val="24"/>
          <w:szCs w:val="24"/>
        </w:rPr>
        <w:t>that the</w:t>
      </w:r>
      <w:r w:rsidR="008357D4" w:rsidRPr="00FE7F00">
        <w:rPr>
          <w:rFonts w:asciiTheme="minorHAnsi" w:hAnsiTheme="minorHAnsi"/>
          <w:sz w:val="24"/>
          <w:szCs w:val="24"/>
        </w:rPr>
        <w:t xml:space="preserve"> empagliflozin and linagliptin individual</w:t>
      </w:r>
      <w:r w:rsidRPr="00FE7F00">
        <w:rPr>
          <w:rFonts w:asciiTheme="minorHAnsi" w:hAnsiTheme="minorHAnsi"/>
          <w:sz w:val="24"/>
          <w:szCs w:val="24"/>
        </w:rPr>
        <w:t xml:space="preserve"> component</w:t>
      </w:r>
      <w:r w:rsidR="008357D4" w:rsidRPr="00FE7F00">
        <w:rPr>
          <w:rFonts w:asciiTheme="minorHAnsi" w:hAnsiTheme="minorHAnsi"/>
          <w:sz w:val="24"/>
          <w:szCs w:val="24"/>
        </w:rPr>
        <w:t>s</w:t>
      </w:r>
      <w:r w:rsidRPr="00FE7F00">
        <w:rPr>
          <w:rFonts w:asciiTheme="minorHAnsi" w:hAnsiTheme="minorHAnsi"/>
          <w:sz w:val="24"/>
          <w:szCs w:val="24"/>
        </w:rPr>
        <w:t xml:space="preserve"> and </w:t>
      </w:r>
      <w:r w:rsidR="008357D4" w:rsidRPr="00FE7F00">
        <w:rPr>
          <w:rFonts w:asciiTheme="minorHAnsi" w:hAnsiTheme="minorHAnsi"/>
          <w:sz w:val="24"/>
          <w:szCs w:val="24"/>
        </w:rPr>
        <w:t xml:space="preserve">respective </w:t>
      </w:r>
      <w:r w:rsidRPr="00FE7F00">
        <w:rPr>
          <w:rFonts w:asciiTheme="minorHAnsi" w:hAnsiTheme="minorHAnsi"/>
          <w:sz w:val="24"/>
          <w:szCs w:val="24"/>
        </w:rPr>
        <w:t xml:space="preserve">FDCs </w:t>
      </w:r>
      <w:r w:rsidR="008357D4" w:rsidRPr="00FE7F00">
        <w:rPr>
          <w:rFonts w:asciiTheme="minorHAnsi" w:hAnsiTheme="minorHAnsi"/>
          <w:sz w:val="24"/>
          <w:szCs w:val="24"/>
        </w:rPr>
        <w:t xml:space="preserve">with metformin </w:t>
      </w:r>
      <w:r w:rsidRPr="00FE7F00">
        <w:rPr>
          <w:rFonts w:asciiTheme="minorHAnsi" w:hAnsiTheme="minorHAnsi"/>
          <w:sz w:val="24"/>
          <w:szCs w:val="24"/>
        </w:rPr>
        <w:t>are used in a number of different combinations</w:t>
      </w:r>
      <w:r w:rsidR="008357D4" w:rsidRPr="00FE7F00">
        <w:rPr>
          <w:rFonts w:asciiTheme="minorHAnsi" w:hAnsiTheme="minorHAnsi"/>
          <w:sz w:val="24"/>
          <w:szCs w:val="24"/>
        </w:rPr>
        <w:t xml:space="preserve">. The PBAC </w:t>
      </w:r>
      <w:r w:rsidR="003421F3" w:rsidRPr="00FE7F00">
        <w:rPr>
          <w:rFonts w:asciiTheme="minorHAnsi" w:hAnsiTheme="minorHAnsi"/>
          <w:sz w:val="24"/>
          <w:szCs w:val="24"/>
        </w:rPr>
        <w:t xml:space="preserve">was </w:t>
      </w:r>
      <w:r w:rsidR="008357D4" w:rsidRPr="00FE7F00">
        <w:rPr>
          <w:rFonts w:asciiTheme="minorHAnsi" w:hAnsiTheme="minorHAnsi"/>
          <w:sz w:val="24"/>
          <w:szCs w:val="24"/>
        </w:rPr>
        <w:t>therefore of the view that</w:t>
      </w:r>
      <w:r w:rsidRPr="00FE7F00">
        <w:rPr>
          <w:rFonts w:asciiTheme="minorHAnsi" w:hAnsiTheme="minorHAnsi"/>
          <w:sz w:val="24"/>
          <w:szCs w:val="24"/>
        </w:rPr>
        <w:t xml:space="preserve"> it would be difficult to determine the expected proportion of utilisation of these drugs in triple therapy </w:t>
      </w:r>
      <w:r w:rsidR="00602B38" w:rsidRPr="00FE7F00">
        <w:rPr>
          <w:rFonts w:asciiTheme="minorHAnsi" w:hAnsiTheme="minorHAnsi"/>
          <w:sz w:val="24"/>
          <w:szCs w:val="24"/>
        </w:rPr>
        <w:t xml:space="preserve">comprised of </w:t>
      </w:r>
      <w:r w:rsidRPr="00FE7F00">
        <w:rPr>
          <w:rFonts w:asciiTheme="minorHAnsi" w:hAnsiTheme="minorHAnsi"/>
          <w:sz w:val="24"/>
          <w:szCs w:val="24"/>
        </w:rPr>
        <w:t>an SGLT2</w:t>
      </w:r>
      <w:r w:rsidR="00602B38" w:rsidRPr="00FE7F00">
        <w:rPr>
          <w:rFonts w:asciiTheme="minorHAnsi" w:hAnsiTheme="minorHAnsi"/>
          <w:sz w:val="24"/>
          <w:szCs w:val="24"/>
        </w:rPr>
        <w:t>,</w:t>
      </w:r>
      <w:r w:rsidRPr="00FE7F00">
        <w:rPr>
          <w:rFonts w:asciiTheme="minorHAnsi" w:hAnsiTheme="minorHAnsi"/>
          <w:sz w:val="24"/>
          <w:szCs w:val="24"/>
        </w:rPr>
        <w:t xml:space="preserve"> </w:t>
      </w:r>
      <w:r w:rsidR="008357D4" w:rsidRPr="00FE7F00">
        <w:rPr>
          <w:rFonts w:asciiTheme="minorHAnsi" w:hAnsiTheme="minorHAnsi"/>
          <w:sz w:val="24"/>
          <w:szCs w:val="24"/>
        </w:rPr>
        <w:t xml:space="preserve">a </w:t>
      </w:r>
      <w:r w:rsidRPr="00FE7F00">
        <w:rPr>
          <w:rFonts w:asciiTheme="minorHAnsi" w:hAnsiTheme="minorHAnsi"/>
          <w:sz w:val="24"/>
          <w:szCs w:val="24"/>
        </w:rPr>
        <w:t>DPP4</w:t>
      </w:r>
      <w:r w:rsidR="00602B38" w:rsidRPr="00FE7F00">
        <w:rPr>
          <w:rFonts w:asciiTheme="minorHAnsi" w:hAnsiTheme="minorHAnsi"/>
          <w:sz w:val="24"/>
          <w:szCs w:val="24"/>
        </w:rPr>
        <w:t xml:space="preserve"> and metformin</w:t>
      </w:r>
      <w:r w:rsidRPr="00FE7F00">
        <w:rPr>
          <w:rFonts w:asciiTheme="minorHAnsi" w:hAnsiTheme="minorHAnsi"/>
          <w:sz w:val="24"/>
          <w:szCs w:val="24"/>
        </w:rPr>
        <w:t>. Further, the PBAC noted previous advice from the Drug-Utilisation Sub</w:t>
      </w:r>
      <w:r w:rsidR="008357D4" w:rsidRPr="00FE7F00">
        <w:rPr>
          <w:rFonts w:asciiTheme="minorHAnsi" w:hAnsiTheme="minorHAnsi"/>
          <w:sz w:val="24"/>
          <w:szCs w:val="24"/>
        </w:rPr>
        <w:noBreakHyphen/>
      </w:r>
      <w:r w:rsidRPr="00FE7F00">
        <w:rPr>
          <w:rFonts w:asciiTheme="minorHAnsi" w:hAnsiTheme="minorHAnsi"/>
          <w:sz w:val="24"/>
          <w:szCs w:val="24"/>
        </w:rPr>
        <w:t xml:space="preserve">Committee that due to the advantages to patients in terms of both reduced copayments and flexibility in metformin dosing, uptake of the empagliflozin </w:t>
      </w:r>
      <w:r w:rsidR="008357D4" w:rsidRPr="00FE7F00">
        <w:rPr>
          <w:rFonts w:asciiTheme="minorHAnsi" w:hAnsiTheme="minorHAnsi"/>
          <w:sz w:val="24"/>
          <w:szCs w:val="24"/>
        </w:rPr>
        <w:t>with</w:t>
      </w:r>
      <w:r w:rsidRPr="00FE7F00">
        <w:rPr>
          <w:rFonts w:asciiTheme="minorHAnsi" w:hAnsiTheme="minorHAnsi"/>
          <w:sz w:val="24"/>
          <w:szCs w:val="24"/>
        </w:rPr>
        <w:t xml:space="preserve"> linagliptin FDC over other combinations is likely to be high. The PBAC also noted the price reduction offered for the empagliflozin + linagliptin FDC </w:t>
      </w:r>
      <w:r w:rsidR="00602B38" w:rsidRPr="00FE7F00">
        <w:rPr>
          <w:rFonts w:asciiTheme="minorHAnsi" w:hAnsiTheme="minorHAnsi"/>
          <w:sz w:val="24"/>
          <w:szCs w:val="24"/>
        </w:rPr>
        <w:t xml:space="preserve">and considered this </w:t>
      </w:r>
      <w:r w:rsidRPr="00FE7F00">
        <w:rPr>
          <w:rFonts w:asciiTheme="minorHAnsi" w:hAnsiTheme="minorHAnsi"/>
          <w:sz w:val="24"/>
          <w:szCs w:val="24"/>
        </w:rPr>
        <w:t>was sufficient to account for any utilisation of the single component and other FDCs in this triple therapy combination.</w:t>
      </w:r>
    </w:p>
    <w:p w:rsidR="006503F2" w:rsidRPr="00FE7F00" w:rsidRDefault="00D01180" w:rsidP="006503F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E7F00">
        <w:rPr>
          <w:rFonts w:asciiTheme="minorHAnsi" w:eastAsiaTheme="minorHAnsi" w:hAnsiTheme="minorHAnsi" w:cstheme="minorBidi"/>
          <w:snapToGrid/>
          <w:sz w:val="24"/>
          <w:szCs w:val="22"/>
        </w:rPr>
        <w:t>T</w:t>
      </w:r>
      <w:r w:rsidR="006503F2" w:rsidRPr="00FE7F00">
        <w:rPr>
          <w:rFonts w:asciiTheme="minorHAnsi" w:eastAsiaTheme="minorHAnsi" w:hAnsiTheme="minorHAnsi" w:cstheme="minorBidi"/>
          <w:snapToGrid/>
          <w:sz w:val="24"/>
          <w:szCs w:val="22"/>
        </w:rPr>
        <w:t xml:space="preserve">he PBAC </w:t>
      </w:r>
      <w:r w:rsidRPr="00FE7F00">
        <w:rPr>
          <w:rFonts w:asciiTheme="minorHAnsi" w:eastAsiaTheme="minorHAnsi" w:hAnsiTheme="minorHAnsi" w:cstheme="minorBidi"/>
          <w:snapToGrid/>
          <w:sz w:val="24"/>
          <w:szCs w:val="22"/>
        </w:rPr>
        <w:t>considered that</w:t>
      </w:r>
      <w:r w:rsidR="006503F2" w:rsidRPr="00FE7F00">
        <w:rPr>
          <w:rFonts w:asciiTheme="minorHAnsi" w:eastAsiaTheme="minorHAnsi" w:hAnsiTheme="minorHAnsi" w:cstheme="minorBidi"/>
          <w:snapToGrid/>
          <w:sz w:val="24"/>
          <w:szCs w:val="22"/>
        </w:rPr>
        <w:t xml:space="preserve"> empagliflozin, linagliptin and their FDCs with metformin for use in triple therapy of empagliflozin, linagliptin and metformin are suitable for inclusion in the PBS medicines for prescribing by nurse practitioners for continuing therapy only</w:t>
      </w:r>
      <w:r w:rsidR="007F490C" w:rsidRPr="00FE7F00">
        <w:rPr>
          <w:rFonts w:asciiTheme="minorHAnsi" w:eastAsiaTheme="minorHAnsi" w:hAnsiTheme="minorHAnsi" w:cstheme="minorBidi"/>
          <w:snapToGrid/>
          <w:sz w:val="24"/>
          <w:szCs w:val="22"/>
        </w:rPr>
        <w:t xml:space="preserve">, where the therapy has been initiated by a medical </w:t>
      </w:r>
      <w:r w:rsidR="002A0F88" w:rsidRPr="00FE7F00">
        <w:rPr>
          <w:rFonts w:asciiTheme="minorHAnsi" w:eastAsiaTheme="minorHAnsi" w:hAnsiTheme="minorHAnsi" w:cstheme="minorBidi"/>
          <w:snapToGrid/>
          <w:sz w:val="24"/>
          <w:szCs w:val="22"/>
        </w:rPr>
        <w:t>practitioner</w:t>
      </w:r>
      <w:r w:rsidR="006503F2" w:rsidRPr="00FE7F00">
        <w:rPr>
          <w:rFonts w:asciiTheme="minorHAnsi" w:eastAsiaTheme="minorHAnsi" w:hAnsiTheme="minorHAnsi" w:cstheme="minorBidi"/>
          <w:snapToGrid/>
          <w:sz w:val="24"/>
          <w:szCs w:val="22"/>
        </w:rPr>
        <w:t xml:space="preserve">. </w:t>
      </w:r>
    </w:p>
    <w:p w:rsidR="006503F2" w:rsidRPr="00FE7F00" w:rsidRDefault="002A0F88" w:rsidP="006503F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E7F00">
        <w:rPr>
          <w:rFonts w:asciiTheme="minorHAnsi" w:eastAsiaTheme="minorHAnsi" w:hAnsiTheme="minorHAnsi" w:cstheme="minorBidi"/>
          <w:snapToGrid/>
          <w:sz w:val="24"/>
          <w:szCs w:val="22"/>
        </w:rPr>
        <w:t>The PBAC considered that e</w:t>
      </w:r>
      <w:r w:rsidR="006503F2" w:rsidRPr="00FE7F00">
        <w:rPr>
          <w:rFonts w:asciiTheme="minorHAnsi" w:eastAsiaTheme="minorHAnsi" w:hAnsiTheme="minorHAnsi" w:cstheme="minorBidi"/>
          <w:snapToGrid/>
          <w:sz w:val="24"/>
          <w:szCs w:val="22"/>
        </w:rPr>
        <w:t>mpagliflozin, linagliptin and their FDCs with metformin should not be exempt from the Early Supply Rule because the Early Supply Rule currently applies to the existing listings for these drugs.</w:t>
      </w:r>
    </w:p>
    <w:p w:rsidR="006503F2" w:rsidRPr="00FE7F00" w:rsidRDefault="003B21B3" w:rsidP="006503F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E7F00">
        <w:rPr>
          <w:rFonts w:asciiTheme="minorHAnsi" w:eastAsiaTheme="minorHAnsi" w:hAnsiTheme="minorHAnsi" w:cstheme="minorBidi"/>
          <w:snapToGrid/>
          <w:sz w:val="24"/>
          <w:szCs w:val="22"/>
        </w:rPr>
        <w:t xml:space="preserve">The PBAC noted that this submission is not eligible for an Independent Review as it has received a positive recommendation. </w:t>
      </w:r>
    </w:p>
    <w:p w:rsidR="008575CE" w:rsidRPr="00FE7F00" w:rsidRDefault="008575CE" w:rsidP="00E77338">
      <w:pPr>
        <w:widowControl w:val="0"/>
        <w:jc w:val="both"/>
        <w:rPr>
          <w:rFonts w:asciiTheme="minorHAnsi" w:hAnsiTheme="minorHAnsi" w:cs="Arial"/>
          <w:b/>
          <w:bCs/>
          <w:snapToGrid w:val="0"/>
        </w:rPr>
      </w:pPr>
      <w:r w:rsidRPr="00FE7F00">
        <w:rPr>
          <w:rFonts w:asciiTheme="minorHAnsi" w:hAnsiTheme="minorHAnsi" w:cs="Arial"/>
          <w:b/>
          <w:bCs/>
          <w:snapToGrid w:val="0"/>
        </w:rPr>
        <w:t>Outcome:</w:t>
      </w:r>
    </w:p>
    <w:p w:rsidR="008575CE" w:rsidRPr="00FE7F00" w:rsidRDefault="008575CE" w:rsidP="00E77338">
      <w:pPr>
        <w:jc w:val="both"/>
        <w:rPr>
          <w:rFonts w:asciiTheme="minorHAnsi" w:hAnsiTheme="minorHAnsi" w:cs="Arial"/>
          <w:bCs/>
          <w:snapToGrid w:val="0"/>
        </w:rPr>
      </w:pPr>
      <w:r w:rsidRPr="00FE7F00">
        <w:rPr>
          <w:rFonts w:asciiTheme="minorHAnsi" w:hAnsiTheme="minorHAnsi" w:cs="Arial"/>
          <w:bCs/>
          <w:snapToGrid w:val="0"/>
        </w:rPr>
        <w:t xml:space="preserve">Recommended </w:t>
      </w:r>
    </w:p>
    <w:p w:rsidR="008575CE" w:rsidRPr="00FE7F00" w:rsidRDefault="008575CE" w:rsidP="005A2C6A">
      <w:pPr>
        <w:widowControl w:val="0"/>
        <w:numPr>
          <w:ilvl w:val="0"/>
          <w:numId w:val="5"/>
        </w:numPr>
        <w:spacing w:before="240" w:after="120"/>
        <w:jc w:val="both"/>
        <w:outlineLvl w:val="0"/>
        <w:rPr>
          <w:rFonts w:asciiTheme="minorHAnsi" w:hAnsiTheme="minorHAnsi" w:cs="Arial"/>
          <w:b/>
          <w:bCs/>
          <w:i/>
          <w:snapToGrid w:val="0"/>
          <w:sz w:val="32"/>
        </w:rPr>
      </w:pPr>
      <w:r w:rsidRPr="00FE7F00">
        <w:rPr>
          <w:rFonts w:asciiTheme="minorHAnsi" w:hAnsiTheme="minorHAnsi" w:cs="Arial"/>
          <w:b/>
          <w:bCs/>
          <w:snapToGrid w:val="0"/>
          <w:sz w:val="32"/>
        </w:rPr>
        <w:t>Recommended listing</w:t>
      </w:r>
    </w:p>
    <w:p w:rsidR="008575CE" w:rsidRPr="00FE7F00" w:rsidRDefault="008575CE">
      <w:pPr>
        <w:widowControl w:val="0"/>
        <w:ind w:firstLine="720"/>
        <w:jc w:val="both"/>
        <w:rPr>
          <w:rFonts w:asciiTheme="minorHAnsi" w:hAnsiTheme="minorHAnsi" w:cs="Arial"/>
          <w:bCs/>
          <w:snapToGrid w:val="0"/>
        </w:rPr>
      </w:pPr>
      <w:r w:rsidRPr="00FE7F00">
        <w:rPr>
          <w:rFonts w:asciiTheme="minorHAnsi" w:hAnsiTheme="minorHAnsi" w:cs="Arial"/>
          <w:bCs/>
          <w:snapToGrid w:val="0"/>
        </w:rPr>
        <w:t>Add new item:</w:t>
      </w:r>
    </w:p>
    <w:p w:rsidR="008575CE" w:rsidRPr="00FE7F00" w:rsidRDefault="008575CE" w:rsidP="008575CE">
      <w:pPr>
        <w:pStyle w:val="NoSpacing"/>
      </w:pPr>
    </w:p>
    <w:tbl>
      <w:tblPr>
        <w:tblW w:w="4910" w:type="pct"/>
        <w:tblLook w:val="0000" w:firstRow="0" w:lastRow="0" w:firstColumn="0" w:lastColumn="0" w:noHBand="0" w:noVBand="0"/>
      </w:tblPr>
      <w:tblGrid>
        <w:gridCol w:w="1938"/>
        <w:gridCol w:w="1354"/>
        <w:gridCol w:w="721"/>
        <w:gridCol w:w="877"/>
        <w:gridCol w:w="1563"/>
        <w:gridCol w:w="1773"/>
        <w:gridCol w:w="850"/>
      </w:tblGrid>
      <w:tr w:rsidR="00952828" w:rsidRPr="00FE7F00" w:rsidTr="00E77338">
        <w:trPr>
          <w:cantSplit/>
          <w:trHeight w:val="465"/>
        </w:trPr>
        <w:tc>
          <w:tcPr>
            <w:tcW w:w="1814" w:type="pct"/>
            <w:gridSpan w:val="2"/>
            <w:tcBorders>
              <w:bottom w:val="single" w:sz="4" w:space="0" w:color="auto"/>
            </w:tcBorders>
          </w:tcPr>
          <w:p w:rsidR="00952828" w:rsidRPr="00FE7F00" w:rsidRDefault="0095282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Name, Restriction,</w:t>
            </w:r>
          </w:p>
          <w:p w:rsidR="00952828" w:rsidRPr="00FE7F00" w:rsidRDefault="0095282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Manner of administration and form</w:t>
            </w:r>
          </w:p>
        </w:tc>
        <w:tc>
          <w:tcPr>
            <w:tcW w:w="397" w:type="pct"/>
            <w:tcBorders>
              <w:bottom w:val="single" w:sz="4" w:space="0" w:color="auto"/>
            </w:tcBorders>
          </w:tcPr>
          <w:p w:rsidR="00952828" w:rsidRPr="00FE7F00" w:rsidRDefault="0095282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Max.</w:t>
            </w:r>
          </w:p>
          <w:p w:rsidR="00952828" w:rsidRPr="00FE7F00" w:rsidRDefault="0095282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Qty</w:t>
            </w:r>
          </w:p>
        </w:tc>
        <w:tc>
          <w:tcPr>
            <w:tcW w:w="483" w:type="pct"/>
            <w:tcBorders>
              <w:bottom w:val="single" w:sz="4" w:space="0" w:color="auto"/>
            </w:tcBorders>
          </w:tcPr>
          <w:p w:rsidR="00952828" w:rsidRPr="00FE7F00" w:rsidRDefault="0095282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№.of</w:t>
            </w:r>
          </w:p>
          <w:p w:rsidR="00952828" w:rsidRPr="00FE7F00" w:rsidRDefault="0095282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Rpts</w:t>
            </w:r>
          </w:p>
        </w:tc>
        <w:tc>
          <w:tcPr>
            <w:tcW w:w="2306" w:type="pct"/>
            <w:gridSpan w:val="3"/>
            <w:tcBorders>
              <w:bottom w:val="single" w:sz="4" w:space="0" w:color="auto"/>
            </w:tcBorders>
          </w:tcPr>
          <w:p w:rsidR="00952828" w:rsidRPr="00FE7F00" w:rsidRDefault="0095282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Proprietary Name and Manufacturer</w:t>
            </w:r>
          </w:p>
        </w:tc>
      </w:tr>
      <w:tr w:rsidR="00952828" w:rsidRPr="00FE7F00" w:rsidTr="00E77338">
        <w:trPr>
          <w:cantSplit/>
          <w:trHeight w:val="567"/>
        </w:trPr>
        <w:tc>
          <w:tcPr>
            <w:tcW w:w="1814" w:type="pct"/>
            <w:gridSpan w:val="2"/>
          </w:tcPr>
          <w:p w:rsidR="00952828" w:rsidRPr="00FE7F00" w:rsidRDefault="00952828" w:rsidP="008945E7">
            <w:pPr>
              <w:keepNext/>
              <w:spacing w:before="40" w:after="40"/>
              <w:jc w:val="both"/>
              <w:rPr>
                <w:rFonts w:ascii="Arial Narrow" w:hAnsi="Arial Narrow" w:cs="Arial"/>
                <w:sz w:val="20"/>
                <w:szCs w:val="20"/>
              </w:rPr>
            </w:pPr>
            <w:r w:rsidRPr="00FE7F00">
              <w:rPr>
                <w:rFonts w:ascii="Arial Narrow" w:hAnsi="Arial Narrow" w:cs="Arial"/>
                <w:smallCaps/>
                <w:sz w:val="20"/>
                <w:szCs w:val="20"/>
              </w:rPr>
              <w:t xml:space="preserve">empagliflozin </w:t>
            </w:r>
          </w:p>
          <w:p w:rsidR="00952828" w:rsidRPr="00FE7F00" w:rsidRDefault="00952828" w:rsidP="008945E7">
            <w:pPr>
              <w:keepNext/>
              <w:spacing w:before="40" w:after="40"/>
              <w:jc w:val="both"/>
              <w:rPr>
                <w:rFonts w:ascii="Arial Narrow" w:hAnsi="Arial Narrow" w:cs="Arial"/>
                <w:sz w:val="20"/>
                <w:szCs w:val="20"/>
              </w:rPr>
            </w:pPr>
            <w:r w:rsidRPr="00FE7F00">
              <w:rPr>
                <w:rFonts w:ascii="Arial Narrow" w:hAnsi="Arial Narrow" w:cs="Arial"/>
                <w:sz w:val="20"/>
                <w:szCs w:val="20"/>
              </w:rPr>
              <w:t xml:space="preserve">Tablet, 25 mg, 30 </w:t>
            </w:r>
          </w:p>
        </w:tc>
        <w:tc>
          <w:tcPr>
            <w:tcW w:w="397" w:type="pct"/>
          </w:tcPr>
          <w:p w:rsidR="00952828" w:rsidRPr="00FE7F00" w:rsidRDefault="00952828" w:rsidP="008945E7">
            <w:pPr>
              <w:keepNext/>
              <w:spacing w:before="40" w:after="40"/>
              <w:jc w:val="both"/>
              <w:rPr>
                <w:rFonts w:ascii="Arial Narrow" w:hAnsi="Arial Narrow" w:cs="Arial"/>
                <w:sz w:val="20"/>
                <w:szCs w:val="20"/>
              </w:rPr>
            </w:pPr>
          </w:p>
          <w:p w:rsidR="00952828" w:rsidRPr="00FE7F00" w:rsidRDefault="00952828" w:rsidP="008945E7">
            <w:pPr>
              <w:keepNext/>
              <w:spacing w:before="40" w:after="40"/>
              <w:jc w:val="both"/>
              <w:rPr>
                <w:rFonts w:ascii="Arial Narrow" w:hAnsi="Arial Narrow" w:cs="Arial"/>
                <w:sz w:val="20"/>
                <w:szCs w:val="20"/>
              </w:rPr>
            </w:pPr>
            <w:r w:rsidRPr="00FE7F00">
              <w:rPr>
                <w:rFonts w:ascii="Arial Narrow" w:hAnsi="Arial Narrow" w:cs="Arial"/>
                <w:sz w:val="20"/>
                <w:szCs w:val="20"/>
              </w:rPr>
              <w:t>1</w:t>
            </w:r>
          </w:p>
        </w:tc>
        <w:tc>
          <w:tcPr>
            <w:tcW w:w="483" w:type="pct"/>
          </w:tcPr>
          <w:p w:rsidR="00952828" w:rsidRPr="00FE7F00" w:rsidRDefault="00952828" w:rsidP="008945E7">
            <w:pPr>
              <w:keepNext/>
              <w:spacing w:before="40" w:after="40"/>
              <w:jc w:val="both"/>
              <w:rPr>
                <w:rFonts w:ascii="Arial Narrow" w:hAnsi="Arial Narrow" w:cs="Arial"/>
                <w:sz w:val="20"/>
                <w:szCs w:val="20"/>
              </w:rPr>
            </w:pPr>
          </w:p>
          <w:p w:rsidR="00952828" w:rsidRPr="00FE7F00" w:rsidRDefault="00952828" w:rsidP="008945E7">
            <w:pPr>
              <w:keepNext/>
              <w:spacing w:before="40" w:after="40"/>
              <w:jc w:val="both"/>
              <w:rPr>
                <w:rFonts w:ascii="Arial Narrow" w:hAnsi="Arial Narrow" w:cs="Arial"/>
                <w:sz w:val="20"/>
                <w:szCs w:val="20"/>
              </w:rPr>
            </w:pPr>
            <w:r w:rsidRPr="00FE7F00">
              <w:rPr>
                <w:rFonts w:ascii="Arial Narrow" w:hAnsi="Arial Narrow" w:cs="Arial"/>
                <w:sz w:val="20"/>
                <w:szCs w:val="20"/>
              </w:rPr>
              <w:t>5</w:t>
            </w:r>
          </w:p>
        </w:tc>
        <w:tc>
          <w:tcPr>
            <w:tcW w:w="861" w:type="pct"/>
          </w:tcPr>
          <w:p w:rsidR="00952828" w:rsidRPr="00FE7F00" w:rsidRDefault="00952828" w:rsidP="008945E7">
            <w:pPr>
              <w:keepNext/>
              <w:spacing w:before="40" w:after="40"/>
              <w:jc w:val="both"/>
              <w:rPr>
                <w:rFonts w:ascii="Arial Narrow" w:hAnsi="Arial Narrow" w:cs="Arial"/>
                <w:sz w:val="20"/>
                <w:szCs w:val="20"/>
              </w:rPr>
            </w:pPr>
          </w:p>
          <w:p w:rsidR="00952828" w:rsidRPr="00FE7F00" w:rsidRDefault="00952828" w:rsidP="008945E7">
            <w:pPr>
              <w:keepNext/>
              <w:spacing w:before="40" w:after="40"/>
              <w:jc w:val="both"/>
              <w:rPr>
                <w:rFonts w:ascii="Arial Narrow" w:hAnsi="Arial Narrow" w:cs="Arial"/>
                <w:sz w:val="20"/>
                <w:szCs w:val="20"/>
              </w:rPr>
            </w:pPr>
            <w:r w:rsidRPr="00FE7F00">
              <w:rPr>
                <w:rFonts w:ascii="Arial Narrow" w:hAnsi="Arial Narrow" w:cs="Arial"/>
                <w:sz w:val="20"/>
                <w:szCs w:val="20"/>
              </w:rPr>
              <w:t>Jardiance®</w:t>
            </w:r>
          </w:p>
        </w:tc>
        <w:tc>
          <w:tcPr>
            <w:tcW w:w="1444" w:type="pct"/>
            <w:gridSpan w:val="2"/>
          </w:tcPr>
          <w:p w:rsidR="00952828" w:rsidRPr="00FE7F00" w:rsidRDefault="00952828" w:rsidP="008945E7">
            <w:pPr>
              <w:keepNext/>
              <w:spacing w:before="40" w:after="40"/>
              <w:jc w:val="both"/>
              <w:rPr>
                <w:rFonts w:ascii="Arial Narrow" w:hAnsi="Arial Narrow" w:cs="Arial"/>
                <w:sz w:val="20"/>
                <w:szCs w:val="20"/>
              </w:rPr>
            </w:pPr>
          </w:p>
          <w:p w:rsidR="00952828" w:rsidRPr="00FE7F00" w:rsidRDefault="00952828" w:rsidP="008945E7">
            <w:pPr>
              <w:keepNext/>
              <w:spacing w:before="40" w:after="40"/>
              <w:jc w:val="both"/>
              <w:rPr>
                <w:rFonts w:ascii="Arial Narrow" w:hAnsi="Arial Narrow" w:cs="Arial"/>
                <w:sz w:val="20"/>
                <w:szCs w:val="20"/>
              </w:rPr>
            </w:pPr>
            <w:r w:rsidRPr="00FE7F00">
              <w:rPr>
                <w:rFonts w:ascii="Arial Narrow" w:hAnsi="Arial Narrow" w:cs="Arial"/>
                <w:sz w:val="20"/>
                <w:szCs w:val="20"/>
              </w:rPr>
              <w:t>Boehringer Ingelheim Pty Ltd</w:t>
            </w:r>
          </w:p>
        </w:tc>
      </w:tr>
      <w:tr w:rsidR="00952828" w:rsidRPr="00FE7F00" w:rsidTr="00E77338">
        <w:trPr>
          <w:cantSplit/>
          <w:trHeight w:val="567"/>
        </w:trPr>
        <w:tc>
          <w:tcPr>
            <w:tcW w:w="1814" w:type="pct"/>
            <w:gridSpan w:val="2"/>
          </w:tcPr>
          <w:p w:rsidR="00952828" w:rsidRPr="00FE7F00" w:rsidRDefault="00952828" w:rsidP="008945E7">
            <w:pPr>
              <w:keepNext/>
              <w:spacing w:before="40" w:after="40"/>
              <w:jc w:val="both"/>
              <w:rPr>
                <w:rFonts w:ascii="Arial Narrow" w:hAnsi="Arial Narrow" w:cs="Arial"/>
                <w:smallCaps/>
                <w:sz w:val="20"/>
                <w:szCs w:val="20"/>
              </w:rPr>
            </w:pPr>
            <w:r w:rsidRPr="00FE7F00">
              <w:rPr>
                <w:rFonts w:ascii="Arial Narrow" w:hAnsi="Arial Narrow" w:cs="Arial"/>
                <w:sz w:val="20"/>
                <w:szCs w:val="20"/>
              </w:rPr>
              <w:t>Tablet, 10 mg, 30</w:t>
            </w:r>
          </w:p>
        </w:tc>
        <w:tc>
          <w:tcPr>
            <w:tcW w:w="397" w:type="pct"/>
          </w:tcPr>
          <w:p w:rsidR="00952828" w:rsidRPr="00FE7F00" w:rsidRDefault="00952828" w:rsidP="008945E7">
            <w:pPr>
              <w:keepNext/>
              <w:spacing w:before="40" w:after="40"/>
              <w:jc w:val="both"/>
              <w:rPr>
                <w:rFonts w:ascii="Arial Narrow" w:hAnsi="Arial Narrow" w:cs="Arial"/>
                <w:sz w:val="20"/>
                <w:szCs w:val="20"/>
              </w:rPr>
            </w:pPr>
            <w:r w:rsidRPr="00FE7F00">
              <w:rPr>
                <w:rFonts w:ascii="Arial Narrow" w:hAnsi="Arial Narrow" w:cs="Arial"/>
                <w:sz w:val="20"/>
                <w:szCs w:val="20"/>
              </w:rPr>
              <w:t>1</w:t>
            </w:r>
          </w:p>
        </w:tc>
        <w:tc>
          <w:tcPr>
            <w:tcW w:w="483" w:type="pct"/>
          </w:tcPr>
          <w:p w:rsidR="00952828" w:rsidRPr="00FE7F00" w:rsidRDefault="00952828" w:rsidP="008945E7">
            <w:pPr>
              <w:keepNext/>
              <w:spacing w:before="40" w:after="40"/>
              <w:jc w:val="both"/>
              <w:rPr>
                <w:rFonts w:ascii="Arial Narrow" w:hAnsi="Arial Narrow" w:cs="Arial"/>
                <w:sz w:val="20"/>
                <w:szCs w:val="20"/>
              </w:rPr>
            </w:pPr>
            <w:r w:rsidRPr="00FE7F00">
              <w:rPr>
                <w:rFonts w:ascii="Arial Narrow" w:hAnsi="Arial Narrow" w:cs="Arial"/>
                <w:sz w:val="20"/>
                <w:szCs w:val="20"/>
              </w:rPr>
              <w:t>5</w:t>
            </w:r>
          </w:p>
        </w:tc>
        <w:tc>
          <w:tcPr>
            <w:tcW w:w="861" w:type="pct"/>
          </w:tcPr>
          <w:p w:rsidR="00952828" w:rsidRPr="00FE7F00" w:rsidRDefault="00952828" w:rsidP="008945E7">
            <w:pPr>
              <w:keepNext/>
              <w:spacing w:before="40" w:after="40"/>
              <w:jc w:val="both"/>
              <w:rPr>
                <w:rFonts w:ascii="Arial Narrow" w:hAnsi="Arial Narrow" w:cs="Arial"/>
                <w:sz w:val="20"/>
                <w:szCs w:val="20"/>
              </w:rPr>
            </w:pPr>
          </w:p>
        </w:tc>
        <w:tc>
          <w:tcPr>
            <w:tcW w:w="1444" w:type="pct"/>
            <w:gridSpan w:val="2"/>
          </w:tcPr>
          <w:p w:rsidR="00952828" w:rsidRPr="00FE7F00" w:rsidRDefault="00952828" w:rsidP="008945E7">
            <w:pPr>
              <w:keepNext/>
              <w:spacing w:before="40" w:after="40"/>
              <w:jc w:val="both"/>
              <w:rPr>
                <w:rFonts w:ascii="Arial Narrow" w:hAnsi="Arial Narrow" w:cs="Arial"/>
                <w:sz w:val="20"/>
                <w:szCs w:val="20"/>
              </w:rPr>
            </w:pPr>
          </w:p>
        </w:tc>
      </w:tr>
      <w:tr w:rsidR="00A07FA1" w:rsidRPr="00FE7F00" w:rsidTr="00E77338">
        <w:trPr>
          <w:gridAfter w:val="1"/>
          <w:wAfter w:w="468" w:type="pct"/>
          <w:cantSplit/>
          <w:trHeight w:val="360"/>
        </w:trPr>
        <w:tc>
          <w:tcPr>
            <w:tcW w:w="4532" w:type="pct"/>
            <w:gridSpan w:val="6"/>
            <w:tcBorders>
              <w:bottom w:val="single" w:sz="4" w:space="0" w:color="auto"/>
            </w:tcBorders>
          </w:tcPr>
          <w:p w:rsidR="00A07FA1" w:rsidRPr="00FE7F00" w:rsidRDefault="00A07FA1" w:rsidP="008945E7">
            <w:pPr>
              <w:spacing w:before="40" w:after="40"/>
              <w:jc w:val="both"/>
              <w:rPr>
                <w:rFonts w:ascii="Arial Narrow" w:hAnsi="Arial Narrow" w:cs="Arial"/>
                <w:sz w:val="20"/>
                <w:szCs w:val="20"/>
              </w:rPr>
            </w:pPr>
          </w:p>
        </w:tc>
      </w:tr>
      <w:tr w:rsidR="00A07FA1" w:rsidRPr="00FE7F00" w:rsidTr="00E77338">
        <w:trPr>
          <w:cantSplit/>
          <w:trHeight w:val="360"/>
        </w:trPr>
        <w:tc>
          <w:tcPr>
            <w:tcW w:w="1068" w:type="pct"/>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jc w:val="both"/>
              <w:rPr>
                <w:rFonts w:ascii="Arial Narrow" w:hAnsi="Arial Narrow" w:cs="Arial"/>
                <w:sz w:val="20"/>
                <w:szCs w:val="20"/>
              </w:rPr>
            </w:pPr>
            <w:r w:rsidRPr="00FE7F00">
              <w:rPr>
                <w:rFonts w:ascii="Arial Narrow" w:hAnsi="Arial Narrow" w:cs="Arial"/>
                <w:sz w:val="20"/>
                <w:szCs w:val="20"/>
              </w:rPr>
              <w:t xml:space="preserve">Category / </w:t>
            </w:r>
          </w:p>
          <w:p w:rsidR="00A07FA1" w:rsidRPr="00FE7F00" w:rsidRDefault="00A07FA1" w:rsidP="008945E7">
            <w:pPr>
              <w:spacing w:before="40" w:after="40"/>
              <w:jc w:val="both"/>
              <w:rPr>
                <w:rFonts w:ascii="Arial Narrow" w:hAnsi="Arial Narrow" w:cs="Arial"/>
                <w:b/>
                <w:sz w:val="20"/>
                <w:szCs w:val="20"/>
              </w:rPr>
            </w:pPr>
            <w:r w:rsidRPr="00FE7F00">
              <w:rPr>
                <w:rFonts w:ascii="Arial Narrow" w:hAnsi="Arial Narrow" w:cs="Arial"/>
                <w:sz w:val="20"/>
                <w:szCs w:val="20"/>
              </w:rPr>
              <w:t>Program</w:t>
            </w:r>
          </w:p>
        </w:tc>
        <w:tc>
          <w:tcPr>
            <w:tcW w:w="3932" w:type="pct"/>
            <w:gridSpan w:val="6"/>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rPr>
                <w:rFonts w:ascii="Arial Narrow" w:hAnsi="Arial Narrow" w:cs="Arial"/>
                <w:sz w:val="20"/>
                <w:szCs w:val="20"/>
              </w:rPr>
            </w:pPr>
            <w:r w:rsidRPr="00FE7F00">
              <w:rPr>
                <w:rFonts w:ascii="Arial Narrow" w:hAnsi="Arial Narrow" w:cs="Arial"/>
                <w:sz w:val="20"/>
                <w:szCs w:val="20"/>
              </w:rPr>
              <w:t>GENERAL – General Schedule (Code GE)</w:t>
            </w:r>
          </w:p>
          <w:p w:rsidR="00A07FA1" w:rsidRPr="00FE7F00" w:rsidRDefault="00A07FA1" w:rsidP="008945E7">
            <w:pPr>
              <w:spacing w:before="40" w:after="40"/>
              <w:rPr>
                <w:rFonts w:ascii="Arial Narrow" w:hAnsi="Arial Narrow" w:cs="Arial"/>
                <w:sz w:val="20"/>
                <w:szCs w:val="20"/>
              </w:rPr>
            </w:pPr>
          </w:p>
        </w:tc>
      </w:tr>
      <w:tr w:rsidR="00A07FA1" w:rsidRPr="00FE7F00" w:rsidTr="00E77338">
        <w:trPr>
          <w:cantSplit/>
          <w:trHeight w:val="360"/>
        </w:trPr>
        <w:tc>
          <w:tcPr>
            <w:tcW w:w="1068" w:type="pct"/>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jc w:val="both"/>
              <w:rPr>
                <w:rFonts w:ascii="Arial Narrow" w:hAnsi="Arial Narrow" w:cs="Arial"/>
                <w:b/>
                <w:sz w:val="20"/>
                <w:szCs w:val="20"/>
              </w:rPr>
            </w:pPr>
            <w:r w:rsidRPr="00FE7F00">
              <w:rPr>
                <w:rFonts w:ascii="Arial Narrow" w:hAnsi="Arial Narrow" w:cs="Arial"/>
                <w:b/>
                <w:sz w:val="20"/>
                <w:szCs w:val="20"/>
              </w:rPr>
              <w:t>Prescriber type:</w:t>
            </w:r>
          </w:p>
        </w:tc>
        <w:tc>
          <w:tcPr>
            <w:tcW w:w="3932" w:type="pct"/>
            <w:gridSpan w:val="6"/>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Check1"/>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Dental  </w:t>
            </w:r>
            <w:r w:rsidRPr="00FE7F00">
              <w:rPr>
                <w:rFonts w:ascii="Arial Narrow" w:hAnsi="Arial Narrow" w:cs="Arial"/>
                <w:sz w:val="20"/>
                <w:szCs w:val="20"/>
              </w:rPr>
              <w:fldChar w:fldCharType="begin">
                <w:ffData>
                  <w:name w:val=""/>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Medical Practitioners  </w:t>
            </w:r>
            <w:r w:rsidRPr="00FE7F00">
              <w:rPr>
                <w:rFonts w:ascii="Arial Narrow" w:hAnsi="Arial Narrow" w:cs="Arial"/>
                <w:sz w:val="20"/>
                <w:szCs w:val="20"/>
              </w:rPr>
              <w:fldChar w:fldCharType="begin">
                <w:ffData>
                  <w:name w:val="Check3"/>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Nurse practitioners  </w:t>
            </w:r>
            <w:r w:rsidRPr="00FE7F00">
              <w:rPr>
                <w:rFonts w:ascii="Arial Narrow" w:hAnsi="Arial Narrow" w:cs="Arial"/>
                <w:sz w:val="20"/>
                <w:szCs w:val="20"/>
              </w:rPr>
              <w:fldChar w:fldCharType="begin">
                <w:ffData>
                  <w:name w:val=""/>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Optometrists</w:t>
            </w:r>
          </w:p>
          <w:p w:rsidR="00A07FA1" w:rsidRPr="00FE7F00" w:rsidRDefault="00A07FA1"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Check5"/>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Midwives</w:t>
            </w:r>
          </w:p>
        </w:tc>
      </w:tr>
      <w:tr w:rsidR="00A07FA1" w:rsidRPr="00FE7F00" w:rsidTr="00E77338">
        <w:trPr>
          <w:cantSplit/>
          <w:trHeight w:val="360"/>
        </w:trPr>
        <w:tc>
          <w:tcPr>
            <w:tcW w:w="1068" w:type="pct"/>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jc w:val="both"/>
              <w:rPr>
                <w:rFonts w:ascii="Arial Narrow" w:hAnsi="Arial Narrow" w:cs="Arial"/>
                <w:b/>
                <w:sz w:val="20"/>
                <w:szCs w:val="20"/>
              </w:rPr>
            </w:pPr>
            <w:r w:rsidRPr="00FE7F00">
              <w:rPr>
                <w:rFonts w:ascii="Arial Narrow" w:hAnsi="Arial Narrow" w:cs="Arial"/>
                <w:b/>
                <w:sz w:val="20"/>
                <w:szCs w:val="20"/>
              </w:rPr>
              <w:t>Condition:</w:t>
            </w:r>
          </w:p>
        </w:tc>
        <w:tc>
          <w:tcPr>
            <w:tcW w:w="3932" w:type="pct"/>
            <w:gridSpan w:val="6"/>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rPr>
                <w:rFonts w:ascii="Arial Narrow" w:hAnsi="Arial Narrow" w:cs="Arial"/>
                <w:sz w:val="20"/>
                <w:szCs w:val="20"/>
              </w:rPr>
            </w:pPr>
            <w:r w:rsidRPr="00FE7F00">
              <w:rPr>
                <w:rFonts w:ascii="Arial Narrow" w:hAnsi="Arial Narrow" w:cs="Arial"/>
                <w:sz w:val="20"/>
                <w:szCs w:val="20"/>
              </w:rPr>
              <w:t>Diabetes mellitus type 2</w:t>
            </w:r>
          </w:p>
        </w:tc>
      </w:tr>
      <w:tr w:rsidR="00A07FA1" w:rsidRPr="00FE7F00" w:rsidTr="00E77338">
        <w:trPr>
          <w:cantSplit/>
          <w:trHeight w:val="360"/>
        </w:trPr>
        <w:tc>
          <w:tcPr>
            <w:tcW w:w="1068" w:type="pct"/>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jc w:val="both"/>
              <w:rPr>
                <w:rFonts w:ascii="Arial Narrow" w:hAnsi="Arial Narrow" w:cs="Arial"/>
                <w:b/>
                <w:sz w:val="20"/>
                <w:szCs w:val="20"/>
              </w:rPr>
            </w:pPr>
            <w:r w:rsidRPr="00FE7F00">
              <w:rPr>
                <w:rFonts w:ascii="Arial Narrow" w:hAnsi="Arial Narrow" w:cs="Arial"/>
                <w:b/>
                <w:sz w:val="20"/>
                <w:szCs w:val="20"/>
              </w:rPr>
              <w:t>PBS Indication:</w:t>
            </w:r>
          </w:p>
        </w:tc>
        <w:tc>
          <w:tcPr>
            <w:tcW w:w="3932" w:type="pct"/>
            <w:gridSpan w:val="6"/>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rPr>
                <w:rFonts w:ascii="Arial Narrow" w:hAnsi="Arial Narrow" w:cs="Arial"/>
                <w:sz w:val="20"/>
                <w:szCs w:val="20"/>
              </w:rPr>
            </w:pPr>
            <w:r w:rsidRPr="00FE7F00">
              <w:rPr>
                <w:rFonts w:ascii="Arial Narrow" w:hAnsi="Arial Narrow" w:cs="Arial"/>
                <w:sz w:val="20"/>
                <w:szCs w:val="20"/>
              </w:rPr>
              <w:t>Diabetes mellitus type 2</w:t>
            </w:r>
          </w:p>
        </w:tc>
      </w:tr>
      <w:tr w:rsidR="00A07FA1" w:rsidRPr="00FE7F00" w:rsidTr="00E77338">
        <w:trPr>
          <w:cantSplit/>
          <w:trHeight w:val="360"/>
        </w:trPr>
        <w:tc>
          <w:tcPr>
            <w:tcW w:w="1068" w:type="pct"/>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jc w:val="both"/>
              <w:rPr>
                <w:rFonts w:ascii="Arial Narrow" w:hAnsi="Arial Narrow" w:cs="Arial"/>
                <w:sz w:val="20"/>
                <w:szCs w:val="20"/>
              </w:rPr>
            </w:pPr>
            <w:r w:rsidRPr="00FE7F00">
              <w:rPr>
                <w:rFonts w:ascii="Arial Narrow" w:hAnsi="Arial Narrow" w:cs="Arial"/>
                <w:b/>
                <w:sz w:val="20"/>
                <w:szCs w:val="20"/>
              </w:rPr>
              <w:t>Restriction Level / Method:</w:t>
            </w:r>
          </w:p>
        </w:tc>
        <w:tc>
          <w:tcPr>
            <w:tcW w:w="3932" w:type="pct"/>
            <w:gridSpan w:val="6"/>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Check5"/>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Streamlined</w:t>
            </w:r>
          </w:p>
        </w:tc>
      </w:tr>
      <w:tr w:rsidR="00A07FA1" w:rsidRPr="00FE7F00" w:rsidTr="00E77338">
        <w:trPr>
          <w:cantSplit/>
          <w:trHeight w:val="360"/>
        </w:trPr>
        <w:tc>
          <w:tcPr>
            <w:tcW w:w="1068" w:type="pct"/>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jc w:val="both"/>
              <w:rPr>
                <w:rFonts w:ascii="Arial Narrow" w:hAnsi="Arial Narrow" w:cs="Arial"/>
                <w:b/>
                <w:sz w:val="20"/>
                <w:szCs w:val="20"/>
              </w:rPr>
            </w:pPr>
            <w:r w:rsidRPr="00FE7F00">
              <w:rPr>
                <w:rFonts w:ascii="Arial Narrow" w:hAnsi="Arial Narrow" w:cs="Arial"/>
                <w:b/>
                <w:sz w:val="20"/>
                <w:szCs w:val="20"/>
              </w:rPr>
              <w:t>Clinical criteria:</w:t>
            </w:r>
          </w:p>
          <w:p w:rsidR="00A07FA1" w:rsidRPr="00FE7F00" w:rsidRDefault="00A07FA1" w:rsidP="008945E7">
            <w:pPr>
              <w:spacing w:before="40" w:after="40"/>
              <w:jc w:val="both"/>
              <w:rPr>
                <w:rFonts w:ascii="Arial Narrow" w:hAnsi="Arial Narrow" w:cs="Arial"/>
                <w:i/>
                <w:sz w:val="20"/>
                <w:szCs w:val="20"/>
              </w:rPr>
            </w:pPr>
          </w:p>
          <w:p w:rsidR="00A07FA1" w:rsidRPr="00FE7F00" w:rsidRDefault="00A07FA1" w:rsidP="008945E7">
            <w:pPr>
              <w:spacing w:before="40" w:after="40"/>
              <w:jc w:val="both"/>
              <w:rPr>
                <w:rFonts w:ascii="Arial Narrow" w:hAnsi="Arial Narrow" w:cs="Arial"/>
                <w:sz w:val="20"/>
                <w:szCs w:val="20"/>
              </w:rPr>
            </w:pPr>
          </w:p>
        </w:tc>
        <w:tc>
          <w:tcPr>
            <w:tcW w:w="3932" w:type="pct"/>
            <w:gridSpan w:val="6"/>
            <w:tcBorders>
              <w:top w:val="single" w:sz="4" w:space="0" w:color="auto"/>
              <w:left w:val="single" w:sz="4" w:space="0" w:color="auto"/>
              <w:bottom w:val="single" w:sz="4" w:space="0" w:color="auto"/>
              <w:right w:val="single" w:sz="4" w:space="0" w:color="auto"/>
            </w:tcBorders>
          </w:tcPr>
          <w:p w:rsidR="00952828" w:rsidRPr="00FE7F00" w:rsidRDefault="00952828" w:rsidP="00952828">
            <w:pPr>
              <w:rPr>
                <w:rFonts w:ascii="Arial Narrow" w:hAnsi="Arial Narrow"/>
                <w:sz w:val="20"/>
              </w:rPr>
            </w:pPr>
            <w:r w:rsidRPr="00FE7F00">
              <w:rPr>
                <w:rFonts w:ascii="Arial Narrow" w:hAnsi="Arial Narrow"/>
                <w:sz w:val="20"/>
              </w:rPr>
              <w:t>The treatment must be in combination with metformin,</w:t>
            </w:r>
          </w:p>
          <w:p w:rsidR="00952828" w:rsidRPr="00FE7F00" w:rsidRDefault="00952828" w:rsidP="00952828">
            <w:pPr>
              <w:rPr>
                <w:rFonts w:ascii="Arial Narrow" w:hAnsi="Arial Narrow"/>
                <w:sz w:val="20"/>
              </w:rPr>
            </w:pPr>
          </w:p>
          <w:p w:rsidR="00952828" w:rsidRPr="00FE7F00" w:rsidRDefault="00952828" w:rsidP="00952828">
            <w:pPr>
              <w:rPr>
                <w:rFonts w:ascii="Arial Narrow" w:hAnsi="Arial Narrow"/>
                <w:sz w:val="20"/>
              </w:rPr>
            </w:pPr>
            <w:r w:rsidRPr="00FE7F00">
              <w:rPr>
                <w:rFonts w:ascii="Arial Narrow" w:hAnsi="Arial Narrow"/>
                <w:sz w:val="20"/>
              </w:rPr>
              <w:t>AND</w:t>
            </w:r>
          </w:p>
          <w:p w:rsidR="00952828" w:rsidRPr="00FE7F00" w:rsidRDefault="00952828" w:rsidP="00952828">
            <w:pPr>
              <w:rPr>
                <w:rFonts w:ascii="Arial Narrow" w:hAnsi="Arial Narrow"/>
                <w:strike/>
                <w:sz w:val="20"/>
              </w:rPr>
            </w:pPr>
          </w:p>
          <w:p w:rsidR="00952828" w:rsidRPr="00FE7F00" w:rsidRDefault="00952828" w:rsidP="00952828">
            <w:pPr>
              <w:rPr>
                <w:rFonts w:ascii="Arial Narrow" w:hAnsi="Arial Narrow"/>
                <w:sz w:val="20"/>
              </w:rPr>
            </w:pPr>
            <w:r w:rsidRPr="00FE7F00">
              <w:rPr>
                <w:rFonts w:ascii="Arial Narrow" w:hAnsi="Arial Narrow"/>
                <w:sz w:val="20"/>
              </w:rPr>
              <w:t xml:space="preserve">The treatment must be in combination with a dipeptidyl peptidase 4 inhibitor inhibitor (gliptin) </w:t>
            </w:r>
          </w:p>
          <w:p w:rsidR="00952828" w:rsidRPr="00FE7F00" w:rsidRDefault="00952828" w:rsidP="00952828">
            <w:pPr>
              <w:rPr>
                <w:rFonts w:ascii="Arial Narrow" w:hAnsi="Arial Narrow"/>
                <w:strike/>
                <w:sz w:val="20"/>
              </w:rPr>
            </w:pPr>
          </w:p>
          <w:p w:rsidR="00952828" w:rsidRPr="00FE7F00" w:rsidRDefault="00952828" w:rsidP="00952828">
            <w:pPr>
              <w:rPr>
                <w:rFonts w:ascii="Arial Narrow" w:hAnsi="Arial Narrow"/>
                <w:sz w:val="20"/>
              </w:rPr>
            </w:pPr>
            <w:r w:rsidRPr="00FE7F00">
              <w:rPr>
                <w:rFonts w:ascii="Arial Narrow" w:hAnsi="Arial Narrow"/>
                <w:sz w:val="20"/>
              </w:rPr>
              <w:t>AND</w:t>
            </w:r>
          </w:p>
          <w:p w:rsidR="00952828" w:rsidRPr="00FE7F00" w:rsidRDefault="00952828" w:rsidP="00952828">
            <w:pPr>
              <w:rPr>
                <w:rFonts w:ascii="Arial Narrow" w:hAnsi="Arial Narrow"/>
                <w:sz w:val="20"/>
              </w:rPr>
            </w:pPr>
          </w:p>
          <w:p w:rsidR="00952828" w:rsidRPr="00FE7F00" w:rsidRDefault="00952828" w:rsidP="00952828">
            <w:pPr>
              <w:rPr>
                <w:rFonts w:ascii="Arial Narrow" w:hAnsi="Arial Narrow"/>
                <w:sz w:val="20"/>
              </w:rPr>
            </w:pPr>
            <w:r w:rsidRPr="00FE7F00">
              <w:rPr>
                <w:rFonts w:ascii="Arial Narrow" w:hAnsi="Arial Narrow"/>
                <w:sz w:val="20"/>
              </w:rPr>
              <w:t xml:space="preserve">Patient must have previously been stabilised on dual </w:t>
            </w:r>
            <w:r w:rsidR="00C40856" w:rsidRPr="00FE7F00">
              <w:rPr>
                <w:rFonts w:ascii="Arial Narrow" w:hAnsi="Arial Narrow"/>
                <w:sz w:val="20"/>
              </w:rPr>
              <w:t xml:space="preserve">or triple </w:t>
            </w:r>
            <w:r w:rsidRPr="00FE7F00">
              <w:rPr>
                <w:rFonts w:ascii="Arial Narrow" w:hAnsi="Arial Narrow"/>
                <w:sz w:val="20"/>
              </w:rPr>
              <w:t xml:space="preserve">oral therapy which </w:t>
            </w:r>
            <w:r w:rsidR="00E20B27" w:rsidRPr="00FE7F00">
              <w:rPr>
                <w:rFonts w:ascii="Arial Narrow" w:hAnsi="Arial Narrow"/>
                <w:sz w:val="20"/>
              </w:rPr>
              <w:t xml:space="preserve">included </w:t>
            </w:r>
            <w:r w:rsidRPr="00FE7F00">
              <w:rPr>
                <w:rFonts w:ascii="Arial Narrow" w:hAnsi="Arial Narrow"/>
                <w:sz w:val="20"/>
              </w:rPr>
              <w:t xml:space="preserve">a dipeptidyl peptidase 4 inhibitor (gliptin) </w:t>
            </w:r>
          </w:p>
          <w:p w:rsidR="00952828" w:rsidRPr="00FE7F00" w:rsidRDefault="00952828" w:rsidP="00952828">
            <w:pPr>
              <w:rPr>
                <w:rFonts w:ascii="Arial Narrow" w:hAnsi="Arial Narrow"/>
                <w:sz w:val="20"/>
              </w:rPr>
            </w:pPr>
          </w:p>
          <w:p w:rsidR="00952828" w:rsidRPr="00FE7F00" w:rsidRDefault="00952828" w:rsidP="00952828">
            <w:pPr>
              <w:rPr>
                <w:rFonts w:ascii="Arial Narrow" w:hAnsi="Arial Narrow"/>
                <w:sz w:val="20"/>
              </w:rPr>
            </w:pPr>
            <w:r w:rsidRPr="00FE7F00">
              <w:rPr>
                <w:rFonts w:ascii="Arial Narrow" w:hAnsi="Arial Narrow"/>
                <w:sz w:val="20"/>
              </w:rPr>
              <w:t>OR</w:t>
            </w:r>
          </w:p>
          <w:p w:rsidR="00952828" w:rsidRPr="00FE7F00" w:rsidRDefault="00952828" w:rsidP="00952828">
            <w:pPr>
              <w:rPr>
                <w:rFonts w:ascii="Arial Narrow" w:hAnsi="Arial Narrow"/>
                <w:sz w:val="20"/>
              </w:rPr>
            </w:pPr>
          </w:p>
          <w:p w:rsidR="00952828" w:rsidRPr="00FE7F00" w:rsidRDefault="00952828" w:rsidP="00952828">
            <w:pPr>
              <w:rPr>
                <w:rFonts w:ascii="Arial Narrow" w:hAnsi="Arial Narrow"/>
                <w:sz w:val="20"/>
              </w:rPr>
            </w:pPr>
            <w:r w:rsidRPr="00FE7F00">
              <w:rPr>
                <w:rFonts w:ascii="Arial Narrow" w:hAnsi="Arial Narrow"/>
                <w:sz w:val="20"/>
              </w:rPr>
              <w:t xml:space="preserve">Patient must have previously been stabilised on dual </w:t>
            </w:r>
            <w:r w:rsidR="00C40856" w:rsidRPr="00FE7F00">
              <w:rPr>
                <w:rFonts w:ascii="Arial Narrow" w:hAnsi="Arial Narrow"/>
                <w:sz w:val="20"/>
              </w:rPr>
              <w:t xml:space="preserve">or triple </w:t>
            </w:r>
            <w:r w:rsidRPr="00FE7F00">
              <w:rPr>
                <w:rFonts w:ascii="Arial Narrow" w:hAnsi="Arial Narrow"/>
                <w:sz w:val="20"/>
              </w:rPr>
              <w:t xml:space="preserve">oral therapy which </w:t>
            </w:r>
            <w:r w:rsidR="00E20B27" w:rsidRPr="00FE7F00">
              <w:rPr>
                <w:rFonts w:ascii="Arial Narrow" w:hAnsi="Arial Narrow"/>
                <w:sz w:val="20"/>
              </w:rPr>
              <w:t xml:space="preserve">included </w:t>
            </w:r>
            <w:r w:rsidRPr="00FE7F00">
              <w:rPr>
                <w:rFonts w:ascii="Arial Narrow" w:hAnsi="Arial Narrow"/>
                <w:sz w:val="20"/>
              </w:rPr>
              <w:t>a sodium-glucose co-transporter 2 (SGLT2) inhibitor,</w:t>
            </w:r>
          </w:p>
          <w:p w:rsidR="00952828" w:rsidRPr="00FE7F00" w:rsidRDefault="00952828" w:rsidP="00952828">
            <w:pPr>
              <w:rPr>
                <w:rFonts w:ascii="Arial Narrow" w:hAnsi="Arial Narrow"/>
                <w:sz w:val="20"/>
              </w:rPr>
            </w:pPr>
          </w:p>
          <w:p w:rsidR="00952828" w:rsidRPr="00FE7F00" w:rsidRDefault="00952828" w:rsidP="00952828">
            <w:pPr>
              <w:rPr>
                <w:rFonts w:ascii="Arial Narrow" w:hAnsi="Arial Narrow"/>
                <w:sz w:val="20"/>
              </w:rPr>
            </w:pPr>
            <w:r w:rsidRPr="00FE7F00">
              <w:rPr>
                <w:rFonts w:ascii="Arial Narrow" w:hAnsi="Arial Narrow"/>
                <w:sz w:val="20"/>
              </w:rPr>
              <w:t>AND</w:t>
            </w:r>
          </w:p>
          <w:p w:rsidR="00952828" w:rsidRPr="00FE7F00" w:rsidRDefault="00952828" w:rsidP="00952828">
            <w:pPr>
              <w:rPr>
                <w:rFonts w:ascii="Arial Narrow" w:hAnsi="Arial Narrow"/>
                <w:sz w:val="20"/>
              </w:rPr>
            </w:pPr>
          </w:p>
          <w:p w:rsidR="00952828" w:rsidRPr="00FE7F00" w:rsidRDefault="00952828" w:rsidP="00952828">
            <w:pPr>
              <w:rPr>
                <w:rFonts w:ascii="Arial Narrow" w:hAnsi="Arial Narrow"/>
                <w:sz w:val="20"/>
              </w:rPr>
            </w:pPr>
            <w:r w:rsidRPr="00FE7F00">
              <w:rPr>
                <w:rFonts w:ascii="Arial Narrow" w:hAnsi="Arial Narrow"/>
                <w:sz w:val="20"/>
              </w:rPr>
              <w:t>Patient must have, or have had, an HbA1c measurement greater than 7% prior to the initiation of triple oral therapy with a dipeptidyl peptidase 4 inhibitor (gliptin) and a sodium</w:t>
            </w:r>
            <w:r w:rsidRPr="00FE7F00">
              <w:rPr>
                <w:rFonts w:ascii="Arial Narrow" w:hAnsi="Arial Narrow"/>
                <w:sz w:val="20"/>
              </w:rPr>
              <w:noBreakHyphen/>
              <w:t>glucose co</w:t>
            </w:r>
            <w:r w:rsidRPr="00FE7F00">
              <w:rPr>
                <w:rFonts w:ascii="Arial Narrow" w:hAnsi="Arial Narrow"/>
                <w:sz w:val="20"/>
              </w:rPr>
              <w:noBreakHyphen/>
              <w:t xml:space="preserve">transporter 2 (SGLT2) inhibitor, </w:t>
            </w:r>
          </w:p>
          <w:p w:rsidR="00952828" w:rsidRPr="00FE7F00" w:rsidRDefault="00952828" w:rsidP="00952828">
            <w:pPr>
              <w:rPr>
                <w:rFonts w:ascii="Arial Narrow" w:hAnsi="Arial Narrow"/>
                <w:sz w:val="20"/>
              </w:rPr>
            </w:pPr>
          </w:p>
          <w:p w:rsidR="00952828" w:rsidRPr="00FE7F00" w:rsidRDefault="00952828" w:rsidP="00952828">
            <w:pPr>
              <w:rPr>
                <w:rFonts w:ascii="Arial Narrow" w:hAnsi="Arial Narrow"/>
                <w:sz w:val="20"/>
              </w:rPr>
            </w:pPr>
            <w:r w:rsidRPr="00FE7F00">
              <w:rPr>
                <w:rFonts w:ascii="Arial Narrow" w:hAnsi="Arial Narrow"/>
                <w:sz w:val="20"/>
              </w:rPr>
              <w:t>OR</w:t>
            </w:r>
          </w:p>
          <w:p w:rsidR="00952828" w:rsidRPr="00FE7F00" w:rsidRDefault="00952828" w:rsidP="00952828">
            <w:pPr>
              <w:rPr>
                <w:rFonts w:ascii="Arial Narrow" w:hAnsi="Arial Narrow"/>
                <w:sz w:val="20"/>
              </w:rPr>
            </w:pPr>
          </w:p>
          <w:p w:rsidR="00952828" w:rsidRPr="00FE7F00" w:rsidRDefault="00952828" w:rsidP="00952828">
            <w:pPr>
              <w:rPr>
                <w:rFonts w:ascii="Arial Narrow" w:hAnsi="Arial Narrow"/>
                <w:sz w:val="20"/>
              </w:rPr>
            </w:pPr>
            <w:r w:rsidRPr="00FE7F00">
              <w:rPr>
                <w:rFonts w:ascii="Arial Narrow" w:hAnsi="Arial Narrow"/>
                <w:sz w:val="20"/>
              </w:rPr>
              <w:t>Patient must have, or have had, where HbA1c measurement is clinically inappropriate, blood glucose levels greater than 10 mmol per L in more than 20% of tests over a 2 week period prior to initiation of triple oral therapy with a gliptin, and an SGLT2 inhibitor</w:t>
            </w:r>
            <w:r w:rsidR="009D0254" w:rsidRPr="00FE7F00">
              <w:rPr>
                <w:rFonts w:ascii="Arial Narrow" w:hAnsi="Arial Narrow"/>
                <w:sz w:val="20"/>
              </w:rPr>
              <w:t>.</w:t>
            </w:r>
          </w:p>
          <w:p w:rsidR="00A07FA1" w:rsidRPr="00FE7F00" w:rsidRDefault="00A07FA1" w:rsidP="008945E7">
            <w:pPr>
              <w:spacing w:before="40" w:after="40"/>
              <w:rPr>
                <w:rFonts w:ascii="Arial Narrow" w:hAnsi="Arial Narrow" w:cs="Arial"/>
                <w:sz w:val="20"/>
                <w:szCs w:val="20"/>
              </w:rPr>
            </w:pPr>
          </w:p>
        </w:tc>
      </w:tr>
      <w:tr w:rsidR="00A07FA1" w:rsidRPr="00FE7F00" w:rsidTr="00E77338">
        <w:trPr>
          <w:cantSplit/>
          <w:trHeight w:val="360"/>
        </w:trPr>
        <w:tc>
          <w:tcPr>
            <w:tcW w:w="1068" w:type="pct"/>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jc w:val="both"/>
              <w:rPr>
                <w:rFonts w:ascii="Arial Narrow" w:hAnsi="Arial Narrow" w:cs="Arial"/>
                <w:b/>
                <w:sz w:val="20"/>
                <w:szCs w:val="20"/>
              </w:rPr>
            </w:pPr>
            <w:r w:rsidRPr="00FE7F00">
              <w:rPr>
                <w:rFonts w:ascii="Arial Narrow" w:hAnsi="Arial Narrow" w:cs="Arial"/>
                <w:b/>
                <w:sz w:val="20"/>
                <w:szCs w:val="20"/>
              </w:rPr>
              <w:t>Prescriber Instructions</w:t>
            </w:r>
          </w:p>
          <w:p w:rsidR="00A07FA1" w:rsidRPr="00FE7F00" w:rsidRDefault="00A07FA1" w:rsidP="008945E7">
            <w:pPr>
              <w:spacing w:before="40" w:after="40"/>
              <w:jc w:val="both"/>
              <w:rPr>
                <w:rFonts w:ascii="Arial Narrow" w:hAnsi="Arial Narrow" w:cs="Arial"/>
                <w:sz w:val="20"/>
                <w:szCs w:val="20"/>
              </w:rPr>
            </w:pPr>
          </w:p>
        </w:tc>
        <w:tc>
          <w:tcPr>
            <w:tcW w:w="3932" w:type="pct"/>
            <w:gridSpan w:val="6"/>
            <w:tcBorders>
              <w:top w:val="single" w:sz="4" w:space="0" w:color="auto"/>
              <w:left w:val="single" w:sz="4" w:space="0" w:color="auto"/>
              <w:bottom w:val="single" w:sz="4" w:space="0" w:color="auto"/>
              <w:right w:val="single" w:sz="4" w:space="0" w:color="auto"/>
            </w:tcBorders>
          </w:tcPr>
          <w:p w:rsidR="009D0254" w:rsidRPr="00FE7F00" w:rsidRDefault="009D0254" w:rsidP="009D0254">
            <w:pPr>
              <w:rPr>
                <w:rFonts w:ascii="Arial Narrow" w:hAnsi="Arial Narrow"/>
                <w:sz w:val="20"/>
              </w:rPr>
            </w:pPr>
            <w:r w:rsidRPr="00FE7F00">
              <w:rPr>
                <w:rFonts w:ascii="Arial Narrow" w:hAnsi="Arial Narrow"/>
                <w:sz w:val="20"/>
              </w:rPr>
              <w:t>The date and level of the qualifying HbA1c measurement must be, or must have been, documented in the patient's medical records at the time triple oral therapy with a gliptin and an SGLT2 inhibitor is initiated.</w:t>
            </w:r>
          </w:p>
          <w:p w:rsidR="009D0254" w:rsidRPr="00FE7F00" w:rsidRDefault="009D0254" w:rsidP="009D0254">
            <w:pPr>
              <w:rPr>
                <w:rFonts w:ascii="Arial Narrow" w:hAnsi="Arial Narrow"/>
                <w:sz w:val="20"/>
              </w:rPr>
            </w:pPr>
          </w:p>
          <w:p w:rsidR="009D0254" w:rsidRPr="00FE7F00" w:rsidRDefault="009D0254" w:rsidP="009D0254">
            <w:pPr>
              <w:rPr>
                <w:rFonts w:ascii="Arial Narrow" w:hAnsi="Arial Narrow"/>
                <w:sz w:val="20"/>
              </w:rPr>
            </w:pPr>
            <w:r w:rsidRPr="00FE7F00">
              <w:rPr>
                <w:rFonts w:ascii="Arial Narrow" w:hAnsi="Arial Narrow"/>
                <w:sz w:val="20"/>
              </w:rPr>
              <w:t xml:space="preserve">The HbA1c must be no more than 4 months old at the time triple oral therapy with a gliptin and a SGLT2 inhibitor was initiated. </w:t>
            </w:r>
          </w:p>
          <w:p w:rsidR="009D0254" w:rsidRPr="00FE7F00" w:rsidRDefault="009D0254" w:rsidP="009D0254">
            <w:pPr>
              <w:rPr>
                <w:rFonts w:ascii="Arial Narrow" w:hAnsi="Arial Narrow"/>
                <w:sz w:val="20"/>
              </w:rPr>
            </w:pPr>
          </w:p>
          <w:p w:rsidR="009D0254" w:rsidRPr="00FE7F00" w:rsidRDefault="009D0254" w:rsidP="009D0254">
            <w:pPr>
              <w:rPr>
                <w:rFonts w:ascii="Arial Narrow" w:hAnsi="Arial Narrow"/>
                <w:sz w:val="20"/>
              </w:rPr>
            </w:pPr>
            <w:r w:rsidRPr="00FE7F00">
              <w:rPr>
                <w:rFonts w:ascii="Arial Narrow" w:hAnsi="Arial Narrow"/>
                <w:sz w:val="20"/>
              </w:rPr>
              <w:t>Blood glucose monitoring may be used as an alternative assessment to HbA1c levels in the following circumstances:</w:t>
            </w:r>
          </w:p>
          <w:p w:rsidR="009D0254" w:rsidRPr="00FE7F00" w:rsidRDefault="009D0254" w:rsidP="009D0254">
            <w:pPr>
              <w:rPr>
                <w:rFonts w:ascii="Arial Narrow" w:hAnsi="Arial Narrow"/>
                <w:sz w:val="20"/>
              </w:rPr>
            </w:pPr>
          </w:p>
          <w:p w:rsidR="009D0254" w:rsidRPr="00FE7F00" w:rsidRDefault="009D0254" w:rsidP="009D0254">
            <w:pPr>
              <w:numPr>
                <w:ilvl w:val="0"/>
                <w:numId w:val="24"/>
              </w:numPr>
              <w:ind w:left="459" w:hanging="283"/>
              <w:jc w:val="both"/>
              <w:rPr>
                <w:rFonts w:ascii="Arial Narrow" w:hAnsi="Arial Narrow"/>
                <w:sz w:val="20"/>
              </w:rPr>
            </w:pPr>
            <w:r w:rsidRPr="00FE7F00">
              <w:rPr>
                <w:rFonts w:ascii="Arial Narrow" w:hAnsi="Arial Narrow"/>
                <w:sz w:val="20"/>
              </w:rPr>
              <w:t>A clinical condition with reduced red blood cell survival, including haemolytic anaemias and haemoglobinopathies; and/or</w:t>
            </w:r>
          </w:p>
          <w:p w:rsidR="009D0254" w:rsidRPr="00FE7F00" w:rsidRDefault="009D0254" w:rsidP="009D0254">
            <w:pPr>
              <w:numPr>
                <w:ilvl w:val="0"/>
                <w:numId w:val="24"/>
              </w:numPr>
              <w:ind w:left="459" w:hanging="283"/>
              <w:jc w:val="both"/>
              <w:rPr>
                <w:rFonts w:ascii="Arial Narrow" w:hAnsi="Arial Narrow"/>
                <w:sz w:val="20"/>
              </w:rPr>
            </w:pPr>
            <w:r w:rsidRPr="00FE7F00">
              <w:rPr>
                <w:rFonts w:ascii="Arial Narrow" w:hAnsi="Arial Narrow"/>
                <w:sz w:val="20"/>
              </w:rPr>
              <w:t>Had red cell transfusion within the previous 3 months</w:t>
            </w:r>
          </w:p>
          <w:p w:rsidR="009D0254" w:rsidRPr="00FE7F00" w:rsidRDefault="009D0254" w:rsidP="009D0254">
            <w:pPr>
              <w:rPr>
                <w:rFonts w:ascii="Arial Narrow" w:hAnsi="Arial Narrow"/>
                <w:sz w:val="20"/>
              </w:rPr>
            </w:pPr>
          </w:p>
          <w:p w:rsidR="009D0254" w:rsidRPr="00FE7F00" w:rsidRDefault="009D0254" w:rsidP="009D0254">
            <w:pPr>
              <w:rPr>
                <w:rFonts w:ascii="Arial Narrow" w:hAnsi="Arial Narrow"/>
                <w:sz w:val="20"/>
              </w:rPr>
            </w:pPr>
            <w:r w:rsidRPr="00FE7F00">
              <w:rPr>
                <w:rFonts w:ascii="Arial Narrow" w:hAnsi="Arial Narrow"/>
                <w:sz w:val="20"/>
              </w:rPr>
              <w:t>The results of the blood glucose monitoring, which must be no more than 4 months old at the time of initiation of triple oral therapy with a gliptin and an SGLT2 inhibitor, must be documented in the patient's medical records.</w:t>
            </w:r>
          </w:p>
          <w:p w:rsidR="009D0254" w:rsidRPr="00FE7F00" w:rsidRDefault="009D0254" w:rsidP="009D0254">
            <w:pPr>
              <w:rPr>
                <w:rFonts w:ascii="Arial Narrow" w:hAnsi="Arial Narrow"/>
                <w:sz w:val="20"/>
              </w:rPr>
            </w:pPr>
          </w:p>
          <w:p w:rsidR="009D0254" w:rsidRPr="00FE7F00" w:rsidRDefault="009D0254" w:rsidP="009D0254">
            <w:pPr>
              <w:rPr>
                <w:rFonts w:ascii="Arial Narrow" w:hAnsi="Arial Narrow"/>
                <w:sz w:val="20"/>
              </w:rPr>
            </w:pPr>
            <w:r w:rsidRPr="00FE7F00">
              <w:rPr>
                <w:rFonts w:ascii="Arial Narrow" w:hAnsi="Arial Narrow"/>
                <w:sz w:val="20"/>
              </w:rPr>
              <w:t>A patient whose diabetes was previously demonstrated unable to be controlled with metformin and a gliptin or an SGLT2 inhibitor does not need to requalify on this criterion before being eligible for PBS-subsidised treatment with this drug.</w:t>
            </w:r>
          </w:p>
          <w:p w:rsidR="00A07FA1" w:rsidRPr="00FE7F00" w:rsidRDefault="00A07FA1" w:rsidP="008945E7">
            <w:pPr>
              <w:spacing w:before="40" w:after="40"/>
              <w:rPr>
                <w:rFonts w:ascii="Arial Narrow" w:hAnsi="Arial Narrow" w:cs="Arial"/>
                <w:sz w:val="20"/>
                <w:szCs w:val="20"/>
              </w:rPr>
            </w:pPr>
          </w:p>
        </w:tc>
      </w:tr>
      <w:tr w:rsidR="00A07FA1" w:rsidRPr="00FE7F00" w:rsidTr="00E77338">
        <w:trPr>
          <w:cantSplit/>
          <w:trHeight w:val="360"/>
        </w:trPr>
        <w:tc>
          <w:tcPr>
            <w:tcW w:w="1068" w:type="pct"/>
            <w:tcBorders>
              <w:top w:val="single" w:sz="4" w:space="0" w:color="auto"/>
              <w:left w:val="single" w:sz="4" w:space="0" w:color="auto"/>
              <w:bottom w:val="single" w:sz="4" w:space="0" w:color="auto"/>
              <w:right w:val="single" w:sz="4" w:space="0" w:color="auto"/>
            </w:tcBorders>
          </w:tcPr>
          <w:p w:rsidR="00A07FA1" w:rsidRPr="00FE7F00" w:rsidRDefault="00A07FA1" w:rsidP="008945E7">
            <w:pPr>
              <w:spacing w:before="40" w:after="40"/>
              <w:jc w:val="both"/>
              <w:rPr>
                <w:rFonts w:ascii="Arial Narrow" w:hAnsi="Arial Narrow" w:cs="Arial"/>
                <w:b/>
                <w:sz w:val="20"/>
                <w:szCs w:val="20"/>
              </w:rPr>
            </w:pPr>
            <w:r w:rsidRPr="00FE7F00">
              <w:rPr>
                <w:rFonts w:ascii="Arial Narrow" w:hAnsi="Arial Narrow" w:cs="Arial"/>
                <w:b/>
                <w:sz w:val="20"/>
                <w:szCs w:val="20"/>
              </w:rPr>
              <w:t>Administrative Advice</w:t>
            </w:r>
          </w:p>
          <w:p w:rsidR="00A07FA1" w:rsidRPr="00FE7F00" w:rsidRDefault="00A07FA1" w:rsidP="008945E7">
            <w:pPr>
              <w:spacing w:before="40" w:after="40"/>
              <w:jc w:val="both"/>
              <w:rPr>
                <w:rFonts w:ascii="Arial Narrow" w:hAnsi="Arial Narrow" w:cs="Arial"/>
                <w:i/>
                <w:sz w:val="20"/>
                <w:szCs w:val="20"/>
              </w:rPr>
            </w:pPr>
          </w:p>
        </w:tc>
        <w:tc>
          <w:tcPr>
            <w:tcW w:w="3932" w:type="pct"/>
            <w:gridSpan w:val="6"/>
            <w:tcBorders>
              <w:top w:val="single" w:sz="4" w:space="0" w:color="auto"/>
              <w:left w:val="single" w:sz="4" w:space="0" w:color="auto"/>
              <w:bottom w:val="single" w:sz="4" w:space="0" w:color="auto"/>
              <w:right w:val="single" w:sz="4" w:space="0" w:color="auto"/>
            </w:tcBorders>
          </w:tcPr>
          <w:p w:rsidR="009D0254" w:rsidRPr="00FE7F00" w:rsidRDefault="009D0254" w:rsidP="009D0254">
            <w:pPr>
              <w:rPr>
                <w:rFonts w:ascii="Arial Narrow" w:hAnsi="Arial Narrow"/>
                <w:sz w:val="20"/>
              </w:rPr>
            </w:pPr>
            <w:r w:rsidRPr="00FE7F00">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9D0254" w:rsidRPr="00FE7F00" w:rsidRDefault="009D0254" w:rsidP="009D0254">
            <w:pPr>
              <w:rPr>
                <w:rFonts w:ascii="Arial Narrow" w:hAnsi="Arial Narrow"/>
                <w:sz w:val="20"/>
              </w:rPr>
            </w:pPr>
          </w:p>
          <w:p w:rsidR="00FC4098" w:rsidRPr="00FE7F00" w:rsidRDefault="00FC4098" w:rsidP="009D0254">
            <w:pPr>
              <w:rPr>
                <w:rFonts w:ascii="Arial Narrow" w:hAnsi="Arial Narrow"/>
                <w:sz w:val="20"/>
              </w:rPr>
            </w:pPr>
            <w:r w:rsidRPr="00975EBA">
              <w:rPr>
                <w:rFonts w:ascii="Arial Narrow" w:hAnsi="Arial Narrow"/>
                <w:sz w:val="20"/>
              </w:rPr>
              <w:t xml:space="preserve">This drug is not PBS subsidised for use as monotherapy or in combination with a thiazolidinedione (glitazone), </w:t>
            </w:r>
            <w:r w:rsidRPr="00975EBA">
              <w:rPr>
                <w:rFonts w:ascii="Arial Narrow" w:hAnsi="Arial Narrow"/>
                <w:strike/>
                <w:sz w:val="20"/>
              </w:rPr>
              <w:t>a dipeptidyl peptidase 4 inhibitor (gliptin)</w:t>
            </w:r>
            <w:r w:rsidRPr="00975EBA">
              <w:rPr>
                <w:rFonts w:ascii="Arial Narrow" w:hAnsi="Arial Narrow"/>
                <w:sz w:val="20"/>
              </w:rPr>
              <w:t xml:space="preserve"> or a glucagon-like peptide-1.</w:t>
            </w:r>
          </w:p>
          <w:p w:rsidR="00FC4098" w:rsidRPr="00FE7F00" w:rsidRDefault="00FC4098" w:rsidP="009D0254">
            <w:pPr>
              <w:rPr>
                <w:rFonts w:ascii="Arial Narrow" w:hAnsi="Arial Narrow"/>
                <w:sz w:val="20"/>
              </w:rPr>
            </w:pPr>
          </w:p>
          <w:p w:rsidR="00A07FA1" w:rsidRPr="00FE7F00" w:rsidRDefault="009D0254" w:rsidP="008945E7">
            <w:pPr>
              <w:spacing w:before="40" w:after="40"/>
              <w:rPr>
                <w:rFonts w:ascii="Arial Narrow" w:hAnsi="Arial Narrow" w:cs="Arial"/>
                <w:sz w:val="20"/>
                <w:szCs w:val="20"/>
              </w:rPr>
            </w:pPr>
            <w:r w:rsidRPr="00FE7F00">
              <w:rPr>
                <w:rFonts w:ascii="Arial Narrow" w:hAnsi="Arial Narrow"/>
                <w:sz w:val="20"/>
              </w:rPr>
              <w:t>PBS subsidised dual oral therapy does not include concomitant use of a combination of: a gliptin, a glitazone or an SGLT2 inhibitor.</w:t>
            </w:r>
          </w:p>
        </w:tc>
      </w:tr>
    </w:tbl>
    <w:p w:rsidR="008575CE" w:rsidRPr="00FE7F00" w:rsidRDefault="008575CE" w:rsidP="008575CE">
      <w:pPr>
        <w:pStyle w:val="NoSpacing"/>
      </w:pPr>
    </w:p>
    <w:p w:rsidR="00273185" w:rsidRDefault="00273185">
      <w:r>
        <w:br w:type="page"/>
      </w:r>
    </w:p>
    <w:tbl>
      <w:tblPr>
        <w:tblW w:w="4910" w:type="pct"/>
        <w:tblLook w:val="0000" w:firstRow="0" w:lastRow="0" w:firstColumn="0" w:lastColumn="0" w:noHBand="0" w:noVBand="0"/>
      </w:tblPr>
      <w:tblGrid>
        <w:gridCol w:w="1936"/>
        <w:gridCol w:w="1356"/>
        <w:gridCol w:w="721"/>
        <w:gridCol w:w="877"/>
        <w:gridCol w:w="1173"/>
        <w:gridCol w:w="2167"/>
        <w:gridCol w:w="846"/>
      </w:tblGrid>
      <w:tr w:rsidR="009D0254" w:rsidRPr="00FE7F00" w:rsidTr="00E77338">
        <w:trPr>
          <w:cantSplit/>
          <w:trHeight w:val="465"/>
        </w:trPr>
        <w:tc>
          <w:tcPr>
            <w:tcW w:w="1814" w:type="pct"/>
            <w:gridSpan w:val="2"/>
            <w:tcBorders>
              <w:bottom w:val="single" w:sz="4" w:space="0" w:color="auto"/>
            </w:tcBorders>
          </w:tcPr>
          <w:p w:rsidR="009D0254" w:rsidRPr="00FE7F00" w:rsidRDefault="009D0254"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Name, Restriction,</w:t>
            </w:r>
          </w:p>
          <w:p w:rsidR="009D0254" w:rsidRPr="00FE7F00" w:rsidRDefault="009D0254"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Manner of administration and form</w:t>
            </w:r>
          </w:p>
        </w:tc>
        <w:tc>
          <w:tcPr>
            <w:tcW w:w="397" w:type="pct"/>
            <w:tcBorders>
              <w:bottom w:val="single" w:sz="4" w:space="0" w:color="auto"/>
            </w:tcBorders>
          </w:tcPr>
          <w:p w:rsidR="009D0254" w:rsidRPr="00FE7F00" w:rsidRDefault="009D0254"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Max.</w:t>
            </w:r>
          </w:p>
          <w:p w:rsidR="009D0254" w:rsidRPr="00FE7F00" w:rsidRDefault="009D0254"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Qty</w:t>
            </w:r>
          </w:p>
        </w:tc>
        <w:tc>
          <w:tcPr>
            <w:tcW w:w="483" w:type="pct"/>
            <w:tcBorders>
              <w:bottom w:val="single" w:sz="4" w:space="0" w:color="auto"/>
            </w:tcBorders>
          </w:tcPr>
          <w:p w:rsidR="009D0254" w:rsidRPr="00FE7F00" w:rsidRDefault="009D0254"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№.of</w:t>
            </w:r>
          </w:p>
          <w:p w:rsidR="009D0254" w:rsidRPr="00FE7F00" w:rsidRDefault="009D0254"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Rpts</w:t>
            </w:r>
          </w:p>
        </w:tc>
        <w:tc>
          <w:tcPr>
            <w:tcW w:w="2306" w:type="pct"/>
            <w:gridSpan w:val="3"/>
            <w:tcBorders>
              <w:bottom w:val="single" w:sz="4" w:space="0" w:color="auto"/>
            </w:tcBorders>
          </w:tcPr>
          <w:p w:rsidR="009D0254" w:rsidRPr="00FE7F00" w:rsidRDefault="009D0254"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Proprietary Name and Manufacturer</w:t>
            </w:r>
          </w:p>
        </w:tc>
      </w:tr>
      <w:tr w:rsidR="009D0254" w:rsidRPr="00FE7F00" w:rsidTr="00E77338">
        <w:trPr>
          <w:cantSplit/>
          <w:trHeight w:val="567"/>
        </w:trPr>
        <w:tc>
          <w:tcPr>
            <w:tcW w:w="1814" w:type="pct"/>
            <w:gridSpan w:val="2"/>
          </w:tcPr>
          <w:p w:rsidR="009D0254" w:rsidRPr="00FE7F00" w:rsidRDefault="009D0254" w:rsidP="008945E7">
            <w:pPr>
              <w:keepNext/>
              <w:spacing w:before="40" w:after="40"/>
              <w:jc w:val="both"/>
              <w:rPr>
                <w:rFonts w:ascii="Arial Narrow" w:hAnsi="Arial Narrow" w:cs="Arial"/>
                <w:smallCaps/>
                <w:sz w:val="20"/>
                <w:szCs w:val="20"/>
              </w:rPr>
            </w:pPr>
            <w:r w:rsidRPr="00FE7F00">
              <w:rPr>
                <w:rFonts w:ascii="Arial Narrow" w:hAnsi="Arial Narrow" w:cs="Arial"/>
                <w:smallCaps/>
                <w:sz w:val="20"/>
                <w:szCs w:val="20"/>
              </w:rPr>
              <w:t>empagliflozin with metformin</w:t>
            </w:r>
          </w:p>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tablet, empagliflozin 12.5 mg + metformin hydrochloride 500 mg, 60</w:t>
            </w:r>
          </w:p>
        </w:tc>
        <w:tc>
          <w:tcPr>
            <w:tcW w:w="397" w:type="pct"/>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1</w:t>
            </w:r>
          </w:p>
        </w:tc>
        <w:tc>
          <w:tcPr>
            <w:tcW w:w="483" w:type="pct"/>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5</w:t>
            </w:r>
          </w:p>
        </w:tc>
        <w:tc>
          <w:tcPr>
            <w:tcW w:w="646" w:type="pct"/>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Jardiamet®</w:t>
            </w:r>
          </w:p>
        </w:tc>
        <w:tc>
          <w:tcPr>
            <w:tcW w:w="1660" w:type="pct"/>
            <w:gridSpan w:val="2"/>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Boehringer Ingelheim Pty Ltd</w:t>
            </w:r>
          </w:p>
        </w:tc>
      </w:tr>
      <w:tr w:rsidR="009D0254" w:rsidRPr="00FE7F00" w:rsidTr="00E77338">
        <w:trPr>
          <w:cantSplit/>
          <w:trHeight w:val="567"/>
        </w:trPr>
        <w:tc>
          <w:tcPr>
            <w:tcW w:w="1814" w:type="pct"/>
            <w:gridSpan w:val="2"/>
          </w:tcPr>
          <w:p w:rsidR="009D0254" w:rsidRPr="00FE7F00" w:rsidRDefault="009D0254" w:rsidP="008945E7">
            <w:pPr>
              <w:keepNext/>
              <w:spacing w:before="40" w:after="40"/>
              <w:jc w:val="both"/>
              <w:rPr>
                <w:rFonts w:ascii="Arial Narrow" w:hAnsi="Arial Narrow" w:cs="Arial"/>
                <w:smallCaps/>
                <w:sz w:val="20"/>
                <w:szCs w:val="20"/>
              </w:rPr>
            </w:pPr>
            <w:r w:rsidRPr="00FE7F00">
              <w:rPr>
                <w:rFonts w:ascii="Arial Narrow" w:hAnsi="Arial Narrow" w:cs="Arial"/>
                <w:sz w:val="20"/>
                <w:szCs w:val="20"/>
              </w:rPr>
              <w:t>tablet, empagliflozin 12.5 mg + metformin hydrochloride 1 g, 60</w:t>
            </w:r>
          </w:p>
        </w:tc>
        <w:tc>
          <w:tcPr>
            <w:tcW w:w="397" w:type="pct"/>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1</w:t>
            </w:r>
          </w:p>
        </w:tc>
        <w:tc>
          <w:tcPr>
            <w:tcW w:w="483" w:type="pct"/>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5</w:t>
            </w:r>
          </w:p>
        </w:tc>
        <w:tc>
          <w:tcPr>
            <w:tcW w:w="646" w:type="pct"/>
          </w:tcPr>
          <w:p w:rsidR="009D0254" w:rsidRPr="00FE7F00" w:rsidRDefault="009D0254" w:rsidP="008945E7">
            <w:pPr>
              <w:keepNext/>
              <w:spacing w:before="40" w:after="40"/>
              <w:jc w:val="both"/>
              <w:rPr>
                <w:rFonts w:ascii="Arial Narrow" w:hAnsi="Arial Narrow" w:cs="Arial"/>
                <w:sz w:val="20"/>
                <w:szCs w:val="20"/>
              </w:rPr>
            </w:pPr>
          </w:p>
        </w:tc>
        <w:tc>
          <w:tcPr>
            <w:tcW w:w="1660" w:type="pct"/>
            <w:gridSpan w:val="2"/>
          </w:tcPr>
          <w:p w:rsidR="009D0254" w:rsidRPr="00FE7F00" w:rsidRDefault="009D0254" w:rsidP="008945E7">
            <w:pPr>
              <w:keepNext/>
              <w:spacing w:before="40" w:after="40"/>
              <w:jc w:val="both"/>
              <w:rPr>
                <w:rFonts w:ascii="Arial Narrow" w:hAnsi="Arial Narrow" w:cs="Arial"/>
                <w:sz w:val="20"/>
                <w:szCs w:val="20"/>
              </w:rPr>
            </w:pPr>
          </w:p>
        </w:tc>
      </w:tr>
      <w:tr w:rsidR="009D0254" w:rsidRPr="00FE7F00" w:rsidTr="00E77338">
        <w:trPr>
          <w:cantSplit/>
          <w:trHeight w:val="567"/>
        </w:trPr>
        <w:tc>
          <w:tcPr>
            <w:tcW w:w="1814" w:type="pct"/>
            <w:gridSpan w:val="2"/>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tablet, empagliflozin 5 mg + metformin hydrochloride 500 mg, 60</w:t>
            </w:r>
          </w:p>
        </w:tc>
        <w:tc>
          <w:tcPr>
            <w:tcW w:w="397" w:type="pct"/>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1</w:t>
            </w:r>
          </w:p>
        </w:tc>
        <w:tc>
          <w:tcPr>
            <w:tcW w:w="483" w:type="pct"/>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5</w:t>
            </w:r>
          </w:p>
        </w:tc>
        <w:tc>
          <w:tcPr>
            <w:tcW w:w="646" w:type="pct"/>
          </w:tcPr>
          <w:p w:rsidR="009D0254" w:rsidRPr="00FE7F00" w:rsidRDefault="009D0254" w:rsidP="008945E7">
            <w:pPr>
              <w:keepNext/>
              <w:spacing w:before="40" w:after="40"/>
              <w:jc w:val="both"/>
              <w:rPr>
                <w:rFonts w:ascii="Arial Narrow" w:hAnsi="Arial Narrow" w:cs="Arial"/>
                <w:sz w:val="20"/>
                <w:szCs w:val="20"/>
              </w:rPr>
            </w:pPr>
          </w:p>
        </w:tc>
        <w:tc>
          <w:tcPr>
            <w:tcW w:w="1660" w:type="pct"/>
            <w:gridSpan w:val="2"/>
          </w:tcPr>
          <w:p w:rsidR="009D0254" w:rsidRPr="00FE7F00" w:rsidRDefault="009D0254" w:rsidP="008945E7">
            <w:pPr>
              <w:keepNext/>
              <w:spacing w:before="40" w:after="40"/>
              <w:jc w:val="both"/>
              <w:rPr>
                <w:rFonts w:ascii="Arial Narrow" w:hAnsi="Arial Narrow" w:cs="Arial"/>
                <w:sz w:val="20"/>
                <w:szCs w:val="20"/>
              </w:rPr>
            </w:pPr>
          </w:p>
        </w:tc>
      </w:tr>
      <w:tr w:rsidR="009D0254" w:rsidRPr="00FE7F00" w:rsidTr="00E77338">
        <w:trPr>
          <w:cantSplit/>
          <w:trHeight w:val="567"/>
        </w:trPr>
        <w:tc>
          <w:tcPr>
            <w:tcW w:w="1814" w:type="pct"/>
            <w:gridSpan w:val="2"/>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tablet, empagliflozin 5 mg + metformin hydrochloride 1 g, 60</w:t>
            </w:r>
          </w:p>
        </w:tc>
        <w:tc>
          <w:tcPr>
            <w:tcW w:w="397" w:type="pct"/>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1</w:t>
            </w:r>
          </w:p>
        </w:tc>
        <w:tc>
          <w:tcPr>
            <w:tcW w:w="483" w:type="pct"/>
          </w:tcPr>
          <w:p w:rsidR="009D0254" w:rsidRPr="00FE7F00" w:rsidRDefault="009D0254" w:rsidP="008945E7">
            <w:pPr>
              <w:keepNext/>
              <w:spacing w:before="40" w:after="40"/>
              <w:jc w:val="both"/>
              <w:rPr>
                <w:rFonts w:ascii="Arial Narrow" w:hAnsi="Arial Narrow" w:cs="Arial"/>
                <w:sz w:val="20"/>
                <w:szCs w:val="20"/>
              </w:rPr>
            </w:pPr>
            <w:r w:rsidRPr="00FE7F00">
              <w:rPr>
                <w:rFonts w:ascii="Arial Narrow" w:hAnsi="Arial Narrow" w:cs="Arial"/>
                <w:sz w:val="20"/>
                <w:szCs w:val="20"/>
              </w:rPr>
              <w:t>5</w:t>
            </w:r>
          </w:p>
        </w:tc>
        <w:tc>
          <w:tcPr>
            <w:tcW w:w="646" w:type="pct"/>
          </w:tcPr>
          <w:p w:rsidR="009D0254" w:rsidRPr="00FE7F00" w:rsidRDefault="009D0254" w:rsidP="008945E7">
            <w:pPr>
              <w:keepNext/>
              <w:spacing w:before="40" w:after="40"/>
              <w:jc w:val="both"/>
              <w:rPr>
                <w:rFonts w:ascii="Arial Narrow" w:hAnsi="Arial Narrow" w:cs="Arial"/>
                <w:sz w:val="20"/>
                <w:szCs w:val="20"/>
              </w:rPr>
            </w:pPr>
          </w:p>
        </w:tc>
        <w:tc>
          <w:tcPr>
            <w:tcW w:w="1660" w:type="pct"/>
            <w:gridSpan w:val="2"/>
          </w:tcPr>
          <w:p w:rsidR="009D0254" w:rsidRPr="00FE7F00" w:rsidRDefault="009D0254" w:rsidP="008945E7">
            <w:pPr>
              <w:keepNext/>
              <w:spacing w:before="40" w:after="40"/>
              <w:jc w:val="both"/>
              <w:rPr>
                <w:rFonts w:ascii="Arial Narrow" w:hAnsi="Arial Narrow" w:cs="Arial"/>
                <w:sz w:val="20"/>
                <w:szCs w:val="20"/>
              </w:rPr>
            </w:pPr>
          </w:p>
        </w:tc>
      </w:tr>
      <w:tr w:rsidR="009D0254" w:rsidRPr="00FE7F00" w:rsidTr="00E77338">
        <w:trPr>
          <w:gridAfter w:val="1"/>
          <w:wAfter w:w="466" w:type="pct"/>
          <w:cantSplit/>
          <w:trHeight w:val="360"/>
        </w:trPr>
        <w:tc>
          <w:tcPr>
            <w:tcW w:w="4534" w:type="pct"/>
            <w:gridSpan w:val="6"/>
            <w:tcBorders>
              <w:bottom w:val="single" w:sz="4" w:space="0" w:color="auto"/>
            </w:tcBorders>
          </w:tcPr>
          <w:p w:rsidR="009D0254" w:rsidRPr="00FE7F00" w:rsidRDefault="009D0254" w:rsidP="008945E7">
            <w:pPr>
              <w:spacing w:before="40" w:after="40"/>
              <w:jc w:val="both"/>
              <w:rPr>
                <w:rFonts w:ascii="Arial Narrow" w:hAnsi="Arial Narrow" w:cs="Arial"/>
                <w:sz w:val="20"/>
                <w:szCs w:val="20"/>
              </w:rPr>
            </w:pPr>
          </w:p>
        </w:tc>
      </w:tr>
      <w:tr w:rsidR="009D0254" w:rsidRPr="00FE7F00" w:rsidTr="00E77338">
        <w:trPr>
          <w:cantSplit/>
          <w:trHeight w:val="360"/>
        </w:trPr>
        <w:tc>
          <w:tcPr>
            <w:tcW w:w="1067" w:type="pct"/>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jc w:val="both"/>
              <w:rPr>
                <w:rFonts w:ascii="Arial Narrow" w:hAnsi="Arial Narrow" w:cs="Arial"/>
                <w:sz w:val="20"/>
                <w:szCs w:val="20"/>
              </w:rPr>
            </w:pPr>
            <w:r w:rsidRPr="00FE7F00">
              <w:rPr>
                <w:rFonts w:ascii="Arial Narrow" w:hAnsi="Arial Narrow" w:cs="Arial"/>
                <w:sz w:val="20"/>
                <w:szCs w:val="20"/>
              </w:rPr>
              <w:t xml:space="preserve">Category / </w:t>
            </w:r>
          </w:p>
          <w:p w:rsidR="009D0254" w:rsidRPr="00FE7F00" w:rsidRDefault="009D0254" w:rsidP="008945E7">
            <w:pPr>
              <w:spacing w:before="40" w:after="40"/>
              <w:jc w:val="both"/>
              <w:rPr>
                <w:rFonts w:ascii="Arial Narrow" w:hAnsi="Arial Narrow" w:cs="Arial"/>
                <w:b/>
                <w:sz w:val="20"/>
                <w:szCs w:val="20"/>
              </w:rPr>
            </w:pPr>
            <w:r w:rsidRPr="00FE7F00">
              <w:rPr>
                <w:rFonts w:ascii="Arial Narrow" w:hAnsi="Arial Narrow" w:cs="Arial"/>
                <w:sz w:val="20"/>
                <w:szCs w:val="20"/>
              </w:rPr>
              <w:t>Program</w:t>
            </w:r>
          </w:p>
        </w:tc>
        <w:tc>
          <w:tcPr>
            <w:tcW w:w="3933" w:type="pct"/>
            <w:gridSpan w:val="6"/>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rPr>
                <w:rFonts w:ascii="Arial Narrow" w:hAnsi="Arial Narrow" w:cs="Arial"/>
                <w:sz w:val="20"/>
                <w:szCs w:val="20"/>
              </w:rPr>
            </w:pPr>
            <w:r w:rsidRPr="00FE7F00">
              <w:rPr>
                <w:rFonts w:ascii="Arial Narrow" w:hAnsi="Arial Narrow" w:cs="Arial"/>
                <w:sz w:val="20"/>
                <w:szCs w:val="20"/>
              </w:rPr>
              <w:t>GENERAL – General Schedule (Code GE)</w:t>
            </w:r>
          </w:p>
          <w:p w:rsidR="009D0254" w:rsidRPr="00FE7F00" w:rsidRDefault="009D0254" w:rsidP="008945E7">
            <w:pPr>
              <w:spacing w:before="40" w:after="40"/>
              <w:rPr>
                <w:rFonts w:ascii="Arial Narrow" w:hAnsi="Arial Narrow" w:cs="Arial"/>
                <w:sz w:val="20"/>
                <w:szCs w:val="20"/>
              </w:rPr>
            </w:pPr>
          </w:p>
        </w:tc>
      </w:tr>
      <w:tr w:rsidR="009D0254" w:rsidRPr="00FE7F00" w:rsidTr="00E77338">
        <w:trPr>
          <w:cantSplit/>
          <w:trHeight w:val="360"/>
        </w:trPr>
        <w:tc>
          <w:tcPr>
            <w:tcW w:w="1067" w:type="pct"/>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jc w:val="both"/>
              <w:rPr>
                <w:rFonts w:ascii="Arial Narrow" w:hAnsi="Arial Narrow" w:cs="Arial"/>
                <w:b/>
                <w:sz w:val="20"/>
                <w:szCs w:val="20"/>
              </w:rPr>
            </w:pPr>
            <w:r w:rsidRPr="00FE7F00">
              <w:rPr>
                <w:rFonts w:ascii="Arial Narrow" w:hAnsi="Arial Narrow" w:cs="Arial"/>
                <w:b/>
                <w:sz w:val="20"/>
                <w:szCs w:val="20"/>
              </w:rPr>
              <w:t>Prescriber type:</w:t>
            </w:r>
          </w:p>
        </w:tc>
        <w:tc>
          <w:tcPr>
            <w:tcW w:w="3933" w:type="pct"/>
            <w:gridSpan w:val="6"/>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Check1"/>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Dental  </w:t>
            </w:r>
            <w:r w:rsidRPr="00FE7F00">
              <w:rPr>
                <w:rFonts w:ascii="Arial Narrow" w:hAnsi="Arial Narrow" w:cs="Arial"/>
                <w:sz w:val="20"/>
                <w:szCs w:val="20"/>
              </w:rPr>
              <w:fldChar w:fldCharType="begin">
                <w:ffData>
                  <w:name w:val=""/>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Medical Practitioners  </w:t>
            </w:r>
            <w:r w:rsidRPr="00FE7F00">
              <w:rPr>
                <w:rFonts w:ascii="Arial Narrow" w:hAnsi="Arial Narrow" w:cs="Arial"/>
                <w:sz w:val="20"/>
                <w:szCs w:val="20"/>
              </w:rPr>
              <w:fldChar w:fldCharType="begin">
                <w:ffData>
                  <w:name w:val=""/>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Nurse practitioners  </w:t>
            </w:r>
            <w:r w:rsidRPr="00FE7F00">
              <w:rPr>
                <w:rFonts w:ascii="Arial Narrow" w:hAnsi="Arial Narrow" w:cs="Arial"/>
                <w:sz w:val="20"/>
                <w:szCs w:val="20"/>
              </w:rPr>
              <w:fldChar w:fldCharType="begin">
                <w:ffData>
                  <w:name w:val=""/>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Optometrists</w:t>
            </w:r>
          </w:p>
          <w:p w:rsidR="009D0254" w:rsidRPr="00FE7F00" w:rsidRDefault="009D0254"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Check5"/>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Midwives</w:t>
            </w:r>
          </w:p>
        </w:tc>
      </w:tr>
      <w:tr w:rsidR="009D0254" w:rsidRPr="00FE7F00" w:rsidTr="00E77338">
        <w:trPr>
          <w:cantSplit/>
          <w:trHeight w:val="360"/>
        </w:trPr>
        <w:tc>
          <w:tcPr>
            <w:tcW w:w="1067" w:type="pct"/>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jc w:val="both"/>
              <w:rPr>
                <w:rFonts w:ascii="Arial Narrow" w:hAnsi="Arial Narrow" w:cs="Arial"/>
                <w:b/>
                <w:sz w:val="20"/>
                <w:szCs w:val="20"/>
              </w:rPr>
            </w:pPr>
            <w:r w:rsidRPr="00FE7F00">
              <w:rPr>
                <w:rFonts w:ascii="Arial Narrow" w:hAnsi="Arial Narrow" w:cs="Arial"/>
                <w:b/>
                <w:sz w:val="20"/>
                <w:szCs w:val="20"/>
              </w:rPr>
              <w:t>Condition:</w:t>
            </w:r>
          </w:p>
        </w:tc>
        <w:tc>
          <w:tcPr>
            <w:tcW w:w="3933" w:type="pct"/>
            <w:gridSpan w:val="6"/>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rPr>
                <w:rFonts w:ascii="Arial Narrow" w:hAnsi="Arial Narrow" w:cs="Arial"/>
                <w:sz w:val="20"/>
                <w:szCs w:val="20"/>
              </w:rPr>
            </w:pPr>
            <w:r w:rsidRPr="00FE7F00">
              <w:rPr>
                <w:rFonts w:ascii="Arial Narrow" w:hAnsi="Arial Narrow" w:cs="Arial"/>
                <w:sz w:val="20"/>
                <w:szCs w:val="20"/>
              </w:rPr>
              <w:t>Diabetes mellitus type 2</w:t>
            </w:r>
          </w:p>
        </w:tc>
      </w:tr>
      <w:tr w:rsidR="009D0254" w:rsidRPr="00FE7F00" w:rsidTr="00E77338">
        <w:trPr>
          <w:cantSplit/>
          <w:trHeight w:val="360"/>
        </w:trPr>
        <w:tc>
          <w:tcPr>
            <w:tcW w:w="1067" w:type="pct"/>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jc w:val="both"/>
              <w:rPr>
                <w:rFonts w:ascii="Arial Narrow" w:hAnsi="Arial Narrow" w:cs="Arial"/>
                <w:b/>
                <w:sz w:val="20"/>
                <w:szCs w:val="20"/>
              </w:rPr>
            </w:pPr>
            <w:r w:rsidRPr="00FE7F00">
              <w:rPr>
                <w:rFonts w:ascii="Arial Narrow" w:hAnsi="Arial Narrow" w:cs="Arial"/>
                <w:b/>
                <w:sz w:val="20"/>
                <w:szCs w:val="20"/>
              </w:rPr>
              <w:t>PBS Indication:</w:t>
            </w:r>
          </w:p>
        </w:tc>
        <w:tc>
          <w:tcPr>
            <w:tcW w:w="3933" w:type="pct"/>
            <w:gridSpan w:val="6"/>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rPr>
                <w:rFonts w:ascii="Arial Narrow" w:hAnsi="Arial Narrow" w:cs="Arial"/>
                <w:sz w:val="20"/>
                <w:szCs w:val="20"/>
              </w:rPr>
            </w:pPr>
            <w:r w:rsidRPr="00FE7F00">
              <w:rPr>
                <w:rFonts w:ascii="Arial Narrow" w:hAnsi="Arial Narrow" w:cs="Arial"/>
                <w:sz w:val="20"/>
                <w:szCs w:val="20"/>
              </w:rPr>
              <w:t>Diabetes mellitus type 2</w:t>
            </w:r>
          </w:p>
        </w:tc>
      </w:tr>
      <w:tr w:rsidR="009D0254" w:rsidRPr="00FE7F00" w:rsidTr="00E77338">
        <w:trPr>
          <w:cantSplit/>
          <w:trHeight w:val="360"/>
        </w:trPr>
        <w:tc>
          <w:tcPr>
            <w:tcW w:w="1067" w:type="pct"/>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jc w:val="both"/>
              <w:rPr>
                <w:rFonts w:ascii="Arial Narrow" w:hAnsi="Arial Narrow" w:cs="Arial"/>
                <w:b/>
                <w:sz w:val="20"/>
                <w:szCs w:val="20"/>
              </w:rPr>
            </w:pPr>
            <w:r w:rsidRPr="00FE7F00">
              <w:rPr>
                <w:rFonts w:ascii="Arial Narrow" w:hAnsi="Arial Narrow" w:cs="Arial"/>
                <w:b/>
                <w:sz w:val="20"/>
                <w:szCs w:val="20"/>
              </w:rPr>
              <w:t>Restriction Level / Method:</w:t>
            </w:r>
          </w:p>
          <w:p w:rsidR="009D0254" w:rsidRPr="00FE7F00" w:rsidRDefault="009D0254" w:rsidP="008945E7">
            <w:pPr>
              <w:spacing w:before="40" w:after="40"/>
              <w:rPr>
                <w:rFonts w:ascii="Arial Narrow" w:hAnsi="Arial Narrow" w:cs="Arial"/>
                <w:sz w:val="20"/>
                <w:szCs w:val="20"/>
              </w:rPr>
            </w:pPr>
          </w:p>
        </w:tc>
        <w:tc>
          <w:tcPr>
            <w:tcW w:w="3933" w:type="pct"/>
            <w:gridSpan w:val="6"/>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Streamlined</w:t>
            </w:r>
          </w:p>
        </w:tc>
      </w:tr>
      <w:tr w:rsidR="009D0254" w:rsidRPr="00FE7F00" w:rsidTr="00E77338">
        <w:trPr>
          <w:cantSplit/>
          <w:trHeight w:val="360"/>
        </w:trPr>
        <w:tc>
          <w:tcPr>
            <w:tcW w:w="1067" w:type="pct"/>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jc w:val="both"/>
              <w:rPr>
                <w:rFonts w:ascii="Arial Narrow" w:hAnsi="Arial Narrow" w:cs="Arial"/>
                <w:b/>
                <w:sz w:val="20"/>
                <w:szCs w:val="20"/>
              </w:rPr>
            </w:pPr>
            <w:r w:rsidRPr="00FE7F00">
              <w:rPr>
                <w:rFonts w:ascii="Arial Narrow" w:hAnsi="Arial Narrow" w:cs="Arial"/>
                <w:b/>
                <w:sz w:val="20"/>
                <w:szCs w:val="20"/>
              </w:rPr>
              <w:t>Clinical criteria:</w:t>
            </w:r>
          </w:p>
          <w:p w:rsidR="009D0254" w:rsidRPr="00FE7F00" w:rsidRDefault="009D0254" w:rsidP="008945E7">
            <w:pPr>
              <w:spacing w:before="40" w:after="40"/>
              <w:jc w:val="both"/>
              <w:rPr>
                <w:rFonts w:ascii="Arial Narrow" w:hAnsi="Arial Narrow" w:cs="Arial"/>
                <w:i/>
                <w:sz w:val="20"/>
                <w:szCs w:val="20"/>
              </w:rPr>
            </w:pPr>
          </w:p>
          <w:p w:rsidR="009D0254" w:rsidRPr="00FE7F00" w:rsidRDefault="009D0254" w:rsidP="008945E7">
            <w:pPr>
              <w:spacing w:before="40" w:after="40"/>
              <w:jc w:val="both"/>
              <w:rPr>
                <w:rFonts w:ascii="Arial Narrow" w:hAnsi="Arial Narrow" w:cs="Arial"/>
                <w:sz w:val="20"/>
                <w:szCs w:val="20"/>
              </w:rPr>
            </w:pPr>
          </w:p>
        </w:tc>
        <w:tc>
          <w:tcPr>
            <w:tcW w:w="3933" w:type="pct"/>
            <w:gridSpan w:val="6"/>
            <w:tcBorders>
              <w:top w:val="single" w:sz="4" w:space="0" w:color="auto"/>
              <w:left w:val="single" w:sz="4" w:space="0" w:color="auto"/>
              <w:bottom w:val="single" w:sz="4" w:space="0" w:color="auto"/>
              <w:right w:val="single" w:sz="4" w:space="0" w:color="auto"/>
            </w:tcBorders>
          </w:tcPr>
          <w:p w:rsidR="00BF3A8D" w:rsidRPr="00FE7F00" w:rsidRDefault="00BF3A8D" w:rsidP="00BF3A8D">
            <w:pPr>
              <w:spacing w:before="60"/>
              <w:jc w:val="both"/>
              <w:rPr>
                <w:rFonts w:ascii="Arial Narrow" w:hAnsi="Arial Narrow"/>
                <w:sz w:val="20"/>
              </w:rPr>
            </w:pPr>
            <w:r w:rsidRPr="00FE7F00">
              <w:rPr>
                <w:rFonts w:ascii="Arial Narrow" w:hAnsi="Arial Narrow"/>
                <w:sz w:val="20"/>
              </w:rPr>
              <w:t xml:space="preserve">The treatment must be in combination with </w:t>
            </w:r>
            <w:r w:rsidRPr="00FE7F00">
              <w:rPr>
                <w:rFonts w:ascii="Arial Narrow" w:hAnsi="Arial Narrow"/>
                <w:i/>
                <w:sz w:val="20"/>
              </w:rPr>
              <w:t xml:space="preserve">a </w:t>
            </w:r>
            <w:r w:rsidRPr="00FE7F00">
              <w:rPr>
                <w:rFonts w:ascii="Arial Narrow" w:hAnsi="Arial Narrow"/>
                <w:sz w:val="20"/>
              </w:rPr>
              <w:t>dipeptidyl peptidase</w:t>
            </w:r>
            <w:r w:rsidRPr="00FE7F00">
              <w:rPr>
                <w:rFonts w:ascii="Arial Narrow" w:hAnsi="Arial Narrow"/>
                <w:strike/>
                <w:sz w:val="20"/>
              </w:rPr>
              <w:t>-</w:t>
            </w:r>
            <w:r w:rsidRPr="00FE7F00">
              <w:rPr>
                <w:rFonts w:ascii="Arial Narrow" w:hAnsi="Arial Narrow"/>
                <w:sz w:val="20"/>
              </w:rPr>
              <w:t xml:space="preserve"> 4 inhibitor (gliptin), </w:t>
            </w:r>
          </w:p>
          <w:p w:rsidR="00C40856" w:rsidRPr="00FE7F00" w:rsidRDefault="00C40856" w:rsidP="00C40856">
            <w:pPr>
              <w:spacing w:before="40" w:after="40"/>
              <w:rPr>
                <w:rFonts w:ascii="Arial Narrow" w:hAnsi="Arial Narrow" w:cs="Arial"/>
                <w:sz w:val="20"/>
                <w:szCs w:val="20"/>
              </w:rPr>
            </w:pPr>
          </w:p>
          <w:p w:rsidR="00C40856" w:rsidRPr="00FE7F00" w:rsidRDefault="00C40856" w:rsidP="00C40856">
            <w:pPr>
              <w:spacing w:before="40" w:after="40"/>
              <w:rPr>
                <w:rFonts w:ascii="Arial Narrow" w:hAnsi="Arial Narrow" w:cs="Arial"/>
                <w:sz w:val="20"/>
                <w:szCs w:val="20"/>
              </w:rPr>
            </w:pPr>
            <w:r w:rsidRPr="00FE7F00">
              <w:rPr>
                <w:rFonts w:ascii="Arial Narrow" w:hAnsi="Arial Narrow" w:cs="Arial"/>
                <w:sz w:val="20"/>
                <w:szCs w:val="20"/>
              </w:rPr>
              <w:t>AND</w:t>
            </w:r>
          </w:p>
          <w:p w:rsidR="00C40856" w:rsidRPr="00FE7F00" w:rsidRDefault="00C40856" w:rsidP="00C40856">
            <w:pPr>
              <w:spacing w:before="40" w:after="40"/>
              <w:rPr>
                <w:rFonts w:ascii="Arial Narrow" w:hAnsi="Arial Narrow" w:cs="Arial"/>
                <w:sz w:val="20"/>
                <w:szCs w:val="20"/>
              </w:rPr>
            </w:pPr>
          </w:p>
          <w:p w:rsidR="00C40856" w:rsidRPr="00FE7F00" w:rsidRDefault="00C40856" w:rsidP="00C40856">
            <w:pPr>
              <w:spacing w:before="40" w:after="40"/>
              <w:rPr>
                <w:rFonts w:ascii="Arial Narrow" w:hAnsi="Arial Narrow" w:cs="Arial"/>
                <w:sz w:val="20"/>
                <w:szCs w:val="20"/>
              </w:rPr>
            </w:pPr>
            <w:r w:rsidRPr="00FE7F00">
              <w:rPr>
                <w:rFonts w:ascii="Arial Narrow" w:hAnsi="Arial Narrow" w:cs="Arial"/>
                <w:sz w:val="20"/>
                <w:szCs w:val="20"/>
              </w:rPr>
              <w:t xml:space="preserve">Patient must have previously been stabilised on dual or triple oral therapy which </w:t>
            </w:r>
            <w:r w:rsidR="00E20B27" w:rsidRPr="00FE7F00">
              <w:rPr>
                <w:rFonts w:ascii="Arial Narrow" w:hAnsi="Arial Narrow" w:cs="Arial"/>
                <w:sz w:val="20"/>
                <w:szCs w:val="20"/>
              </w:rPr>
              <w:t xml:space="preserve">included </w:t>
            </w:r>
            <w:r w:rsidRPr="00FE7F00">
              <w:rPr>
                <w:rFonts w:ascii="Arial Narrow" w:hAnsi="Arial Narrow" w:cs="Arial"/>
                <w:sz w:val="20"/>
                <w:szCs w:val="20"/>
              </w:rPr>
              <w:t xml:space="preserve">an SGLT2 inhibitor, </w:t>
            </w:r>
          </w:p>
          <w:p w:rsidR="00C40856" w:rsidRPr="00FE7F00" w:rsidRDefault="00C40856" w:rsidP="00C40856">
            <w:pPr>
              <w:spacing w:before="40" w:after="40"/>
              <w:rPr>
                <w:rFonts w:ascii="Arial Narrow" w:hAnsi="Arial Narrow" w:cs="Arial"/>
                <w:sz w:val="20"/>
                <w:szCs w:val="20"/>
              </w:rPr>
            </w:pPr>
          </w:p>
          <w:p w:rsidR="00C40856" w:rsidRPr="00FE7F00" w:rsidRDefault="00C40856" w:rsidP="00C40856">
            <w:pPr>
              <w:spacing w:before="40" w:after="40"/>
              <w:rPr>
                <w:rFonts w:ascii="Arial Narrow" w:hAnsi="Arial Narrow" w:cs="Arial"/>
                <w:sz w:val="20"/>
                <w:szCs w:val="20"/>
              </w:rPr>
            </w:pPr>
            <w:r w:rsidRPr="00FE7F00">
              <w:rPr>
                <w:rFonts w:ascii="Arial Narrow" w:hAnsi="Arial Narrow" w:cs="Arial"/>
                <w:sz w:val="20"/>
                <w:szCs w:val="20"/>
              </w:rPr>
              <w:t>OR</w:t>
            </w:r>
          </w:p>
          <w:p w:rsidR="00C40856" w:rsidRPr="00FE7F00" w:rsidRDefault="00C40856" w:rsidP="00C40856">
            <w:pPr>
              <w:rPr>
                <w:rFonts w:ascii="Arial Narrow" w:hAnsi="Arial Narrow"/>
                <w:i/>
                <w:sz w:val="20"/>
              </w:rPr>
            </w:pPr>
          </w:p>
          <w:p w:rsidR="00C40856" w:rsidRPr="00FE7F00" w:rsidRDefault="00C40856" w:rsidP="00C40856">
            <w:pPr>
              <w:rPr>
                <w:rFonts w:ascii="Arial Narrow" w:hAnsi="Arial Narrow"/>
                <w:i/>
                <w:sz w:val="20"/>
              </w:rPr>
            </w:pPr>
            <w:r w:rsidRPr="00FE7F00">
              <w:rPr>
                <w:rFonts w:ascii="Arial Narrow" w:hAnsi="Arial Narrow"/>
                <w:i/>
                <w:sz w:val="20"/>
              </w:rPr>
              <w:t xml:space="preserve">Patient must have previously been stabilised on dual or triple oral therapy which </w:t>
            </w:r>
            <w:r w:rsidR="00E20B27" w:rsidRPr="00FE7F00">
              <w:rPr>
                <w:rFonts w:ascii="Arial Narrow" w:hAnsi="Arial Narrow"/>
                <w:i/>
                <w:sz w:val="20"/>
              </w:rPr>
              <w:t xml:space="preserve">included </w:t>
            </w:r>
            <w:r w:rsidRPr="00FE7F00">
              <w:rPr>
                <w:rFonts w:ascii="Arial Narrow" w:hAnsi="Arial Narrow"/>
                <w:i/>
                <w:sz w:val="20"/>
              </w:rPr>
              <w:t>a dipeptidyl peptidase 1 inhibitor (gliptin),</w:t>
            </w:r>
          </w:p>
          <w:p w:rsidR="00C40856" w:rsidRPr="00FE7F00" w:rsidRDefault="00C40856" w:rsidP="00BF3A8D">
            <w:pPr>
              <w:spacing w:before="60"/>
              <w:ind w:left="33"/>
              <w:jc w:val="both"/>
              <w:rPr>
                <w:rFonts w:ascii="Arial Narrow" w:hAnsi="Arial Narrow"/>
                <w:sz w:val="20"/>
              </w:rPr>
            </w:pPr>
          </w:p>
          <w:p w:rsidR="00BF3A8D" w:rsidRPr="00FE7F00" w:rsidRDefault="00BF3A8D" w:rsidP="00BF3A8D">
            <w:pPr>
              <w:spacing w:before="60"/>
              <w:ind w:left="33"/>
              <w:jc w:val="both"/>
              <w:rPr>
                <w:rFonts w:ascii="Arial Narrow" w:hAnsi="Arial Narrow"/>
                <w:sz w:val="20"/>
              </w:rPr>
            </w:pPr>
            <w:r w:rsidRPr="00FE7F00">
              <w:rPr>
                <w:rFonts w:ascii="Arial Narrow" w:hAnsi="Arial Narrow"/>
                <w:sz w:val="20"/>
              </w:rPr>
              <w:t>AND</w:t>
            </w:r>
          </w:p>
          <w:p w:rsidR="00C40856" w:rsidRPr="00FE7F00" w:rsidRDefault="00C40856" w:rsidP="00BF3A8D">
            <w:pPr>
              <w:spacing w:before="60"/>
              <w:ind w:left="33"/>
              <w:jc w:val="both"/>
              <w:rPr>
                <w:rFonts w:ascii="Arial Narrow" w:hAnsi="Arial Narrow"/>
                <w:i/>
                <w:sz w:val="20"/>
              </w:rPr>
            </w:pPr>
          </w:p>
          <w:p w:rsidR="00C40856" w:rsidRPr="00FE7F00" w:rsidRDefault="00C40856" w:rsidP="00C40856">
            <w:pPr>
              <w:rPr>
                <w:rFonts w:ascii="Arial Narrow" w:hAnsi="Arial Narrow"/>
                <w:sz w:val="20"/>
              </w:rPr>
            </w:pPr>
            <w:r w:rsidRPr="00FE7F00">
              <w:rPr>
                <w:rFonts w:ascii="Arial Narrow" w:hAnsi="Arial Narrow"/>
                <w:sz w:val="20"/>
              </w:rPr>
              <w:t>Patient must have, or have had, an HbA1c measurement greater than 7% prior to the initiation of triple oral therapy with a dipeptidyl peptidase 4 inhibitor (gliptin) and a sodium</w:t>
            </w:r>
            <w:r w:rsidRPr="00FE7F00">
              <w:rPr>
                <w:rFonts w:ascii="Arial Narrow" w:hAnsi="Arial Narrow"/>
                <w:sz w:val="20"/>
              </w:rPr>
              <w:noBreakHyphen/>
              <w:t>glucose co</w:t>
            </w:r>
            <w:r w:rsidRPr="00FE7F00">
              <w:rPr>
                <w:rFonts w:ascii="Arial Narrow" w:hAnsi="Arial Narrow"/>
                <w:sz w:val="20"/>
              </w:rPr>
              <w:noBreakHyphen/>
              <w:t xml:space="preserve">transporter 2 (SGLT2) inhibitor, </w:t>
            </w:r>
          </w:p>
          <w:p w:rsidR="00C40856" w:rsidRPr="00FE7F00" w:rsidRDefault="00C40856" w:rsidP="00C40856">
            <w:pPr>
              <w:rPr>
                <w:rFonts w:ascii="Arial Narrow" w:hAnsi="Arial Narrow"/>
                <w:sz w:val="20"/>
              </w:rPr>
            </w:pPr>
          </w:p>
          <w:p w:rsidR="00C40856" w:rsidRPr="00FE7F00" w:rsidRDefault="00C40856" w:rsidP="00C40856">
            <w:pPr>
              <w:rPr>
                <w:rFonts w:ascii="Arial Narrow" w:hAnsi="Arial Narrow"/>
                <w:sz w:val="20"/>
              </w:rPr>
            </w:pPr>
            <w:r w:rsidRPr="00FE7F00">
              <w:rPr>
                <w:rFonts w:ascii="Arial Narrow" w:hAnsi="Arial Narrow"/>
                <w:sz w:val="20"/>
              </w:rPr>
              <w:t>OR</w:t>
            </w:r>
          </w:p>
          <w:p w:rsidR="00C40856" w:rsidRPr="00FE7F00" w:rsidRDefault="00C40856" w:rsidP="00C40856">
            <w:pPr>
              <w:rPr>
                <w:rFonts w:ascii="Arial Narrow" w:hAnsi="Arial Narrow"/>
                <w:sz w:val="20"/>
              </w:rPr>
            </w:pPr>
          </w:p>
          <w:p w:rsidR="00C40856" w:rsidRPr="00FE7F00" w:rsidRDefault="00C40856" w:rsidP="00C40856">
            <w:pPr>
              <w:rPr>
                <w:rFonts w:ascii="Arial Narrow" w:hAnsi="Arial Narrow"/>
                <w:sz w:val="20"/>
              </w:rPr>
            </w:pPr>
            <w:r w:rsidRPr="00FE7F00">
              <w:rPr>
                <w:rFonts w:ascii="Arial Narrow" w:hAnsi="Arial Narrow"/>
                <w:sz w:val="20"/>
              </w:rPr>
              <w:t>Patient must have, or have had, where HbA1c measurement is clinically inappropriate, blood glucose levels greater than 10 mmol per L in more than 20% of tests over a 2 week period prior to initiation of triple oral therapy with a gliptin, and an SGLT2 inhibitor.</w:t>
            </w:r>
          </w:p>
          <w:p w:rsidR="009D0254" w:rsidRPr="00FE7F00" w:rsidRDefault="009D0254" w:rsidP="009F4BFB">
            <w:pPr>
              <w:spacing w:before="40" w:after="40"/>
              <w:rPr>
                <w:rFonts w:ascii="Arial Narrow" w:hAnsi="Arial Narrow" w:cs="Arial"/>
                <w:sz w:val="20"/>
                <w:szCs w:val="20"/>
              </w:rPr>
            </w:pPr>
          </w:p>
        </w:tc>
      </w:tr>
      <w:tr w:rsidR="009D0254" w:rsidRPr="00FE7F00" w:rsidTr="00E77338">
        <w:trPr>
          <w:cantSplit/>
          <w:trHeight w:val="360"/>
        </w:trPr>
        <w:tc>
          <w:tcPr>
            <w:tcW w:w="1067" w:type="pct"/>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jc w:val="both"/>
              <w:rPr>
                <w:rFonts w:ascii="Arial Narrow" w:hAnsi="Arial Narrow" w:cs="Arial"/>
                <w:b/>
                <w:sz w:val="20"/>
                <w:szCs w:val="20"/>
              </w:rPr>
            </w:pPr>
            <w:r w:rsidRPr="00FE7F00">
              <w:rPr>
                <w:rFonts w:ascii="Arial Narrow" w:hAnsi="Arial Narrow" w:cs="Arial"/>
                <w:b/>
                <w:sz w:val="20"/>
                <w:szCs w:val="20"/>
              </w:rPr>
              <w:t>Prescriber Instructions</w:t>
            </w:r>
          </w:p>
          <w:p w:rsidR="009D0254" w:rsidRPr="00FE7F00" w:rsidRDefault="009D0254" w:rsidP="008945E7">
            <w:pPr>
              <w:spacing w:before="40" w:after="40"/>
              <w:jc w:val="both"/>
              <w:rPr>
                <w:rFonts w:ascii="Arial Narrow" w:hAnsi="Arial Narrow" w:cs="Arial"/>
                <w:i/>
                <w:sz w:val="20"/>
                <w:szCs w:val="20"/>
              </w:rPr>
            </w:pPr>
          </w:p>
          <w:p w:rsidR="009D0254" w:rsidRPr="00FE7F00" w:rsidRDefault="009D0254" w:rsidP="008945E7">
            <w:pPr>
              <w:spacing w:before="40" w:after="40"/>
              <w:jc w:val="both"/>
              <w:rPr>
                <w:rFonts w:ascii="Arial Narrow" w:hAnsi="Arial Narrow" w:cs="Arial"/>
                <w:sz w:val="20"/>
                <w:szCs w:val="20"/>
              </w:rPr>
            </w:pPr>
          </w:p>
        </w:tc>
        <w:tc>
          <w:tcPr>
            <w:tcW w:w="3933" w:type="pct"/>
            <w:gridSpan w:val="6"/>
            <w:tcBorders>
              <w:top w:val="single" w:sz="4" w:space="0" w:color="auto"/>
              <w:left w:val="single" w:sz="4" w:space="0" w:color="auto"/>
              <w:bottom w:val="single" w:sz="4" w:space="0" w:color="auto"/>
              <w:right w:val="single" w:sz="4" w:space="0" w:color="auto"/>
            </w:tcBorders>
          </w:tcPr>
          <w:p w:rsidR="00BF3A8D" w:rsidRPr="00FE7F00" w:rsidRDefault="00BF3A8D" w:rsidP="00BF3A8D">
            <w:pPr>
              <w:spacing w:before="60"/>
              <w:jc w:val="both"/>
              <w:rPr>
                <w:rFonts w:ascii="Arial Narrow" w:hAnsi="Arial Narrow"/>
                <w:sz w:val="20"/>
              </w:rPr>
            </w:pPr>
            <w:r w:rsidRPr="00FE7F00">
              <w:rPr>
                <w:rFonts w:ascii="Arial Narrow" w:hAnsi="Arial Narrow"/>
                <w:sz w:val="20"/>
              </w:rPr>
              <w:t xml:space="preserve">The date and level of the qualifying HbA1c measurement must be, or must have been, documented in the patient’s medical records at the time </w:t>
            </w:r>
            <w:r w:rsidRPr="00FE7F00">
              <w:rPr>
                <w:rFonts w:ascii="Arial Narrow" w:hAnsi="Arial Narrow"/>
                <w:i/>
                <w:sz w:val="20"/>
              </w:rPr>
              <w:t xml:space="preserve">triple oral therapy </w:t>
            </w:r>
            <w:r w:rsidRPr="00FE7F00">
              <w:rPr>
                <w:rFonts w:ascii="Arial Narrow" w:hAnsi="Arial Narrow"/>
                <w:sz w:val="20"/>
              </w:rPr>
              <w:t xml:space="preserve">with a gliptin </w:t>
            </w:r>
            <w:r w:rsidRPr="00FE7F00">
              <w:rPr>
                <w:rFonts w:ascii="Arial Narrow" w:hAnsi="Arial Narrow"/>
                <w:i/>
                <w:sz w:val="20"/>
              </w:rPr>
              <w:t>and</w:t>
            </w:r>
            <w:r w:rsidRPr="00FE7F00">
              <w:rPr>
                <w:rFonts w:ascii="Arial Narrow" w:hAnsi="Arial Narrow"/>
                <w:sz w:val="20"/>
              </w:rPr>
              <w:t xml:space="preserve"> an SGLT2 inhibitor is initiated.</w:t>
            </w:r>
          </w:p>
          <w:p w:rsidR="00BF3A8D" w:rsidRPr="00FE7F00" w:rsidRDefault="00BF3A8D" w:rsidP="00BF3A8D">
            <w:pPr>
              <w:spacing w:before="60"/>
              <w:jc w:val="both"/>
              <w:rPr>
                <w:rFonts w:ascii="Arial Narrow" w:hAnsi="Arial Narrow"/>
                <w:sz w:val="20"/>
              </w:rPr>
            </w:pPr>
          </w:p>
          <w:p w:rsidR="00BF3A8D" w:rsidRPr="00FE7F00" w:rsidRDefault="00BF3A8D" w:rsidP="00BF3A8D">
            <w:pPr>
              <w:spacing w:before="60"/>
              <w:jc w:val="both"/>
              <w:rPr>
                <w:rFonts w:ascii="Arial Narrow" w:hAnsi="Arial Narrow"/>
                <w:sz w:val="20"/>
              </w:rPr>
            </w:pPr>
            <w:r w:rsidRPr="00FE7F00">
              <w:rPr>
                <w:rFonts w:ascii="Arial Narrow" w:hAnsi="Arial Narrow"/>
                <w:sz w:val="20"/>
              </w:rPr>
              <w:t xml:space="preserve">The HbA1c must be no more than 4 months old at the time </w:t>
            </w:r>
            <w:r w:rsidRPr="00FE7F00">
              <w:rPr>
                <w:rFonts w:ascii="Arial Narrow" w:hAnsi="Arial Narrow"/>
                <w:i/>
                <w:sz w:val="20"/>
              </w:rPr>
              <w:t>triple oral therapy</w:t>
            </w:r>
            <w:r w:rsidRPr="00FE7F00">
              <w:rPr>
                <w:rFonts w:ascii="Arial Narrow" w:hAnsi="Arial Narrow"/>
                <w:sz w:val="20"/>
              </w:rPr>
              <w:t xml:space="preserve"> with a gliptin </w:t>
            </w:r>
            <w:r w:rsidRPr="00FE7F00">
              <w:rPr>
                <w:rFonts w:ascii="Arial Narrow" w:hAnsi="Arial Narrow"/>
                <w:i/>
                <w:sz w:val="20"/>
              </w:rPr>
              <w:t xml:space="preserve">and </w:t>
            </w:r>
            <w:r w:rsidRPr="00FE7F00">
              <w:rPr>
                <w:rFonts w:ascii="Arial Narrow" w:hAnsi="Arial Narrow"/>
                <w:sz w:val="20"/>
              </w:rPr>
              <w:t>an SGLT2 inhibitor was initiated.</w:t>
            </w:r>
          </w:p>
          <w:p w:rsidR="00BF3A8D" w:rsidRPr="00FE7F00" w:rsidRDefault="00BF3A8D" w:rsidP="00BF3A8D">
            <w:pPr>
              <w:spacing w:before="60"/>
              <w:jc w:val="both"/>
              <w:rPr>
                <w:rFonts w:ascii="Arial Narrow" w:hAnsi="Arial Narrow"/>
                <w:sz w:val="20"/>
              </w:rPr>
            </w:pPr>
          </w:p>
          <w:p w:rsidR="00BF3A8D" w:rsidRPr="00FE7F00" w:rsidRDefault="00BF3A8D" w:rsidP="00BF3A8D">
            <w:pPr>
              <w:spacing w:before="60"/>
              <w:jc w:val="both"/>
              <w:rPr>
                <w:rFonts w:ascii="Arial Narrow" w:hAnsi="Arial Narrow"/>
                <w:sz w:val="20"/>
              </w:rPr>
            </w:pPr>
            <w:r w:rsidRPr="00FE7F00">
              <w:rPr>
                <w:rFonts w:ascii="Arial Narrow" w:hAnsi="Arial Narrow"/>
                <w:sz w:val="20"/>
              </w:rPr>
              <w:t>Blood glucose monitoring may be used as an alternative assessment to HbA1c levels in the following circumstances:</w:t>
            </w:r>
          </w:p>
          <w:p w:rsidR="00BF3A8D" w:rsidRPr="00FE7F00" w:rsidRDefault="00BF3A8D" w:rsidP="00BF3A8D">
            <w:pPr>
              <w:pStyle w:val="ListParagraph"/>
              <w:widowControl/>
              <w:numPr>
                <w:ilvl w:val="0"/>
                <w:numId w:val="25"/>
              </w:numPr>
              <w:spacing w:before="60"/>
              <w:rPr>
                <w:rFonts w:ascii="Arial Narrow" w:hAnsi="Arial Narrow"/>
                <w:sz w:val="20"/>
              </w:rPr>
            </w:pPr>
            <w:r w:rsidRPr="00FE7F00">
              <w:rPr>
                <w:rFonts w:ascii="Arial Narrow" w:hAnsi="Arial Narrow"/>
                <w:sz w:val="20"/>
              </w:rPr>
              <w:t>A clinical condition with reduced red blood cell survival, including haemolytic anaemias and haemoglobinopathies; and/or</w:t>
            </w:r>
          </w:p>
          <w:p w:rsidR="00BF3A8D" w:rsidRPr="00FE7F00" w:rsidRDefault="00BF3A8D" w:rsidP="00BF3A8D">
            <w:pPr>
              <w:pStyle w:val="ListParagraph"/>
              <w:widowControl/>
              <w:numPr>
                <w:ilvl w:val="0"/>
                <w:numId w:val="25"/>
              </w:numPr>
              <w:spacing w:before="60"/>
              <w:rPr>
                <w:rFonts w:ascii="Arial Narrow" w:hAnsi="Arial Narrow"/>
                <w:sz w:val="20"/>
              </w:rPr>
            </w:pPr>
            <w:r w:rsidRPr="00FE7F00">
              <w:rPr>
                <w:rFonts w:ascii="Arial Narrow" w:hAnsi="Arial Narrow"/>
                <w:sz w:val="20"/>
              </w:rPr>
              <w:t>Had red cell transfusion within the previous 3 months.</w:t>
            </w:r>
          </w:p>
          <w:p w:rsidR="00BF3A8D" w:rsidRPr="00FE7F00" w:rsidRDefault="00BF3A8D" w:rsidP="00BF3A8D">
            <w:pPr>
              <w:spacing w:before="60"/>
              <w:ind w:left="33"/>
              <w:jc w:val="both"/>
              <w:rPr>
                <w:rFonts w:ascii="Arial Narrow" w:hAnsi="Arial Narrow"/>
                <w:sz w:val="20"/>
              </w:rPr>
            </w:pPr>
          </w:p>
          <w:p w:rsidR="00BF3A8D" w:rsidRPr="00FE7F00" w:rsidRDefault="00BF3A8D" w:rsidP="00BF3A8D">
            <w:pPr>
              <w:spacing w:before="60"/>
              <w:ind w:left="33"/>
              <w:jc w:val="both"/>
              <w:rPr>
                <w:rFonts w:ascii="Arial Narrow" w:hAnsi="Arial Narrow"/>
                <w:sz w:val="20"/>
              </w:rPr>
            </w:pPr>
            <w:r w:rsidRPr="00FE7F00">
              <w:rPr>
                <w:rFonts w:ascii="Arial Narrow" w:hAnsi="Arial Narrow"/>
                <w:sz w:val="20"/>
              </w:rPr>
              <w:t xml:space="preserve">The results of the blood glucose monitoring, which must be no more than 4 months old at the time of initiation of </w:t>
            </w:r>
            <w:r w:rsidRPr="00FE7F00">
              <w:rPr>
                <w:rFonts w:ascii="Arial Narrow" w:hAnsi="Arial Narrow"/>
                <w:i/>
                <w:sz w:val="20"/>
              </w:rPr>
              <w:t xml:space="preserve">triple oral therapy </w:t>
            </w:r>
            <w:r w:rsidRPr="00FE7F00">
              <w:rPr>
                <w:rFonts w:ascii="Arial Narrow" w:hAnsi="Arial Narrow"/>
                <w:sz w:val="20"/>
              </w:rPr>
              <w:t xml:space="preserve">with a gliptin </w:t>
            </w:r>
            <w:r w:rsidRPr="00FE7F00">
              <w:rPr>
                <w:rFonts w:ascii="Arial Narrow" w:hAnsi="Arial Narrow"/>
                <w:i/>
                <w:sz w:val="20"/>
              </w:rPr>
              <w:t>and</w:t>
            </w:r>
            <w:r w:rsidRPr="00FE7F00">
              <w:rPr>
                <w:rFonts w:ascii="Arial Narrow" w:hAnsi="Arial Narrow"/>
                <w:sz w:val="20"/>
              </w:rPr>
              <w:t xml:space="preserve"> an SGLT2 inhibitor, must be document in the patient’s medical records.</w:t>
            </w:r>
          </w:p>
          <w:p w:rsidR="00BF3A8D" w:rsidRPr="00FE7F00" w:rsidRDefault="00BF3A8D" w:rsidP="00BF3A8D">
            <w:pPr>
              <w:spacing w:before="60"/>
              <w:ind w:left="33"/>
              <w:jc w:val="both"/>
              <w:rPr>
                <w:rFonts w:ascii="Arial Narrow" w:hAnsi="Arial Narrow"/>
                <w:sz w:val="20"/>
              </w:rPr>
            </w:pPr>
          </w:p>
          <w:p w:rsidR="00BF3A8D" w:rsidRPr="00FE7F00" w:rsidRDefault="00BF3A8D" w:rsidP="00BF3A8D">
            <w:pPr>
              <w:rPr>
                <w:rFonts w:ascii="Arial Narrow" w:hAnsi="Arial Narrow" w:cs="Arial"/>
                <w:sz w:val="20"/>
                <w:szCs w:val="20"/>
              </w:rPr>
            </w:pPr>
            <w:r w:rsidRPr="00FE7F00">
              <w:rPr>
                <w:rFonts w:ascii="Arial Narrow" w:hAnsi="Arial Narrow" w:cs="Arial"/>
                <w:sz w:val="20"/>
                <w:szCs w:val="20"/>
              </w:rPr>
              <w:t xml:space="preserve">A patient whose diabetes was previously demonstrated unable to be controlled with metformin </w:t>
            </w:r>
            <w:r w:rsidRPr="00FE7F00">
              <w:rPr>
                <w:rFonts w:ascii="Arial Narrow" w:hAnsi="Arial Narrow" w:cs="Arial"/>
                <w:i/>
                <w:sz w:val="20"/>
                <w:szCs w:val="20"/>
              </w:rPr>
              <w:t>and</w:t>
            </w:r>
            <w:r w:rsidRPr="00FE7F00">
              <w:rPr>
                <w:rFonts w:ascii="Arial Narrow" w:hAnsi="Arial Narrow" w:cs="Arial"/>
                <w:sz w:val="20"/>
                <w:szCs w:val="20"/>
              </w:rPr>
              <w:t xml:space="preserve"> a gliptin </w:t>
            </w:r>
            <w:r w:rsidRPr="00FE7F00">
              <w:rPr>
                <w:rFonts w:ascii="Arial Narrow" w:hAnsi="Arial Narrow" w:cs="Arial"/>
                <w:i/>
                <w:sz w:val="20"/>
                <w:szCs w:val="20"/>
              </w:rPr>
              <w:t>or an SGLT2 inhibitor</w:t>
            </w:r>
            <w:r w:rsidRPr="00FE7F00">
              <w:rPr>
                <w:rFonts w:ascii="Arial Narrow" w:hAnsi="Arial Narrow" w:cs="Arial"/>
                <w:sz w:val="20"/>
                <w:szCs w:val="20"/>
              </w:rPr>
              <w:t xml:space="preserve"> does not need to requalify on this criterion before being eligible for PBS-subsidised treatment with this drug.</w:t>
            </w:r>
          </w:p>
          <w:p w:rsidR="009D0254" w:rsidRPr="00FE7F00" w:rsidRDefault="009D0254" w:rsidP="008945E7">
            <w:pPr>
              <w:spacing w:before="40" w:after="40"/>
              <w:rPr>
                <w:rFonts w:ascii="Arial Narrow" w:hAnsi="Arial Narrow" w:cs="Arial"/>
                <w:sz w:val="20"/>
                <w:szCs w:val="20"/>
              </w:rPr>
            </w:pPr>
          </w:p>
        </w:tc>
      </w:tr>
      <w:tr w:rsidR="009D0254" w:rsidRPr="00FE7F00" w:rsidTr="00E77338">
        <w:trPr>
          <w:cantSplit/>
          <w:trHeight w:val="360"/>
        </w:trPr>
        <w:tc>
          <w:tcPr>
            <w:tcW w:w="1067" w:type="pct"/>
            <w:tcBorders>
              <w:top w:val="single" w:sz="4" w:space="0" w:color="auto"/>
              <w:left w:val="single" w:sz="4" w:space="0" w:color="auto"/>
              <w:bottom w:val="single" w:sz="4" w:space="0" w:color="auto"/>
              <w:right w:val="single" w:sz="4" w:space="0" w:color="auto"/>
            </w:tcBorders>
          </w:tcPr>
          <w:p w:rsidR="009D0254" w:rsidRPr="00FE7F00" w:rsidRDefault="009D0254" w:rsidP="008945E7">
            <w:pPr>
              <w:spacing w:before="40" w:after="40"/>
              <w:jc w:val="both"/>
              <w:rPr>
                <w:rFonts w:ascii="Arial Narrow" w:hAnsi="Arial Narrow" w:cs="Arial"/>
                <w:b/>
                <w:sz w:val="20"/>
                <w:szCs w:val="20"/>
              </w:rPr>
            </w:pPr>
            <w:r w:rsidRPr="00FE7F00">
              <w:rPr>
                <w:rFonts w:ascii="Arial Narrow" w:hAnsi="Arial Narrow" w:cs="Arial"/>
                <w:b/>
                <w:sz w:val="20"/>
                <w:szCs w:val="20"/>
              </w:rPr>
              <w:t>Administrative Advice</w:t>
            </w:r>
          </w:p>
          <w:p w:rsidR="009D0254" w:rsidRPr="00FE7F00" w:rsidRDefault="009D0254" w:rsidP="008945E7">
            <w:pPr>
              <w:spacing w:before="40" w:after="40"/>
              <w:jc w:val="both"/>
              <w:rPr>
                <w:rFonts w:ascii="Arial Narrow" w:hAnsi="Arial Narrow" w:cs="Arial"/>
                <w:i/>
                <w:sz w:val="20"/>
                <w:szCs w:val="20"/>
              </w:rPr>
            </w:pPr>
          </w:p>
        </w:tc>
        <w:tc>
          <w:tcPr>
            <w:tcW w:w="3933" w:type="pct"/>
            <w:gridSpan w:val="6"/>
            <w:tcBorders>
              <w:top w:val="single" w:sz="4" w:space="0" w:color="auto"/>
              <w:left w:val="single" w:sz="4" w:space="0" w:color="auto"/>
              <w:bottom w:val="single" w:sz="4" w:space="0" w:color="auto"/>
              <w:right w:val="single" w:sz="4" w:space="0" w:color="auto"/>
            </w:tcBorders>
          </w:tcPr>
          <w:p w:rsidR="00BF3A8D" w:rsidRPr="00FE7F00" w:rsidRDefault="00BF3A8D" w:rsidP="00BF3A8D">
            <w:pPr>
              <w:spacing w:before="60"/>
              <w:jc w:val="both"/>
              <w:rPr>
                <w:rFonts w:ascii="Arial Narrow" w:hAnsi="Arial Narrow"/>
                <w:b/>
                <w:sz w:val="20"/>
              </w:rPr>
            </w:pPr>
            <w:r w:rsidRPr="00FE7F00">
              <w:rPr>
                <w:rFonts w:ascii="Arial Narrow" w:hAnsi="Arial Narrow"/>
                <w:b/>
                <w:sz w:val="20"/>
              </w:rPr>
              <w:t>Note:</w:t>
            </w:r>
          </w:p>
          <w:p w:rsidR="00BF3A8D" w:rsidRPr="00FE7F00" w:rsidRDefault="00BF3A8D" w:rsidP="00BF3A8D">
            <w:pPr>
              <w:spacing w:before="60"/>
              <w:jc w:val="both"/>
              <w:rPr>
                <w:rFonts w:ascii="Arial Narrow" w:hAnsi="Arial Narrow"/>
                <w:b/>
                <w:sz w:val="20"/>
              </w:rPr>
            </w:pPr>
            <w:r w:rsidRPr="00FE7F00">
              <w:rPr>
                <w:rFonts w:ascii="Arial Narrow" w:hAnsi="Arial Narrow"/>
                <w:b/>
                <w:sz w:val="20"/>
              </w:rPr>
              <w:t>Continuing Therapy Only:</w:t>
            </w:r>
          </w:p>
          <w:p w:rsidR="00BF3A8D" w:rsidRPr="00FE7F00" w:rsidRDefault="00BF3A8D" w:rsidP="00BF3A8D">
            <w:pPr>
              <w:spacing w:before="60"/>
              <w:jc w:val="both"/>
              <w:rPr>
                <w:rFonts w:ascii="Arial Narrow" w:hAnsi="Arial Narrow"/>
                <w:sz w:val="20"/>
              </w:rPr>
            </w:pPr>
            <w:r w:rsidRPr="00FE7F00">
              <w:rPr>
                <w:rFonts w:ascii="Arial Narrow" w:hAnsi="Arial Narrow"/>
                <w:sz w:val="20"/>
              </w:rPr>
              <w:t>For prescribing by nurse practitioners as continuing therapy only, where the treatment of, and prescribing of medicine for, a patient has been initiated by a medical practitioner.</w:t>
            </w:r>
          </w:p>
          <w:p w:rsidR="00BF3A8D" w:rsidRPr="00FE7F00" w:rsidRDefault="00BF3A8D" w:rsidP="00BF3A8D">
            <w:pPr>
              <w:spacing w:before="60"/>
              <w:jc w:val="both"/>
              <w:rPr>
                <w:rFonts w:ascii="Arial Narrow" w:hAnsi="Arial Narrow"/>
                <w:sz w:val="20"/>
              </w:rPr>
            </w:pPr>
            <w:r w:rsidRPr="00FE7F00">
              <w:rPr>
                <w:rFonts w:ascii="Arial Narrow" w:hAnsi="Arial Narrow"/>
                <w:sz w:val="20"/>
              </w:rPr>
              <w:t>Further information can be found in the Explanatory Notes for Nurse Practitioners.</w:t>
            </w:r>
          </w:p>
          <w:p w:rsidR="00BF3A8D" w:rsidRPr="00FE7F00" w:rsidRDefault="00BF3A8D" w:rsidP="00BF3A8D">
            <w:pPr>
              <w:spacing w:before="60"/>
              <w:jc w:val="both"/>
              <w:rPr>
                <w:rFonts w:ascii="Arial Narrow" w:hAnsi="Arial Narrow"/>
                <w:b/>
                <w:sz w:val="20"/>
              </w:rPr>
            </w:pPr>
            <w:r w:rsidRPr="00FE7F00">
              <w:rPr>
                <w:rFonts w:ascii="Arial Narrow" w:hAnsi="Arial Narrow"/>
                <w:b/>
                <w:sz w:val="20"/>
              </w:rPr>
              <w:t>Note:</w:t>
            </w:r>
          </w:p>
          <w:p w:rsidR="00BF3A8D" w:rsidRPr="00FE7F00" w:rsidRDefault="00BF3A8D" w:rsidP="00BF3A8D">
            <w:pPr>
              <w:spacing w:before="60"/>
              <w:jc w:val="both"/>
              <w:rPr>
                <w:rFonts w:ascii="Arial Narrow" w:hAnsi="Arial Narrow"/>
                <w:sz w:val="20"/>
              </w:rPr>
            </w:pPr>
            <w:r w:rsidRPr="00FE7F00">
              <w:rPr>
                <w:rFonts w:ascii="Arial Narrow" w:hAnsi="Arial Narrow"/>
                <w:sz w:val="20"/>
              </w:rPr>
              <w:t>The fixed dose combination is not PBS</w:t>
            </w:r>
            <w:r w:rsidRPr="00FE7F00">
              <w:rPr>
                <w:rFonts w:ascii="Arial Narrow" w:hAnsi="Arial Narrow"/>
                <w:sz w:val="20"/>
              </w:rPr>
              <w:noBreakHyphen/>
              <w:t>subsidised for use as initial therapy or in combination with a thiazolidinedione (glitazone) or a glucagon</w:t>
            </w:r>
            <w:r w:rsidRPr="00FE7F00">
              <w:rPr>
                <w:rFonts w:ascii="Arial Narrow" w:hAnsi="Arial Narrow"/>
                <w:sz w:val="20"/>
              </w:rPr>
              <w:noBreakHyphen/>
              <w:t>like peptide</w:t>
            </w:r>
            <w:r w:rsidRPr="00FE7F00">
              <w:rPr>
                <w:rFonts w:ascii="Arial Narrow" w:hAnsi="Arial Narrow"/>
                <w:sz w:val="20"/>
              </w:rPr>
              <w:noBreakHyphen/>
              <w:t>1.</w:t>
            </w:r>
          </w:p>
          <w:p w:rsidR="00BF3A8D" w:rsidRPr="00FE7F00" w:rsidRDefault="00BF3A8D" w:rsidP="00BF3A8D">
            <w:pPr>
              <w:spacing w:before="60"/>
              <w:jc w:val="both"/>
              <w:rPr>
                <w:rFonts w:ascii="Arial Narrow" w:hAnsi="Arial Narrow"/>
                <w:sz w:val="20"/>
              </w:rPr>
            </w:pPr>
          </w:p>
          <w:p w:rsidR="009D0254" w:rsidRPr="00FE7F00" w:rsidRDefault="00BF3A8D" w:rsidP="008945E7">
            <w:pPr>
              <w:spacing w:before="40" w:after="40"/>
              <w:rPr>
                <w:rFonts w:ascii="Arial Narrow" w:hAnsi="Arial Narrow" w:cs="Arial"/>
                <w:sz w:val="20"/>
                <w:szCs w:val="20"/>
              </w:rPr>
            </w:pPr>
            <w:r w:rsidRPr="00FE7F00">
              <w:rPr>
                <w:rFonts w:ascii="Arial Narrow" w:hAnsi="Arial Narrow"/>
                <w:sz w:val="20"/>
              </w:rPr>
              <w:t>PBS subsidised dual oral therapy does not include concomitant use of a gliptin or an SGLT2 inhibitor with a glitazone.</w:t>
            </w:r>
          </w:p>
        </w:tc>
      </w:tr>
    </w:tbl>
    <w:p w:rsidR="008575CE" w:rsidRPr="00FE7F00" w:rsidRDefault="008575CE" w:rsidP="008575CE">
      <w:pPr>
        <w:pStyle w:val="NoSpacing"/>
      </w:pPr>
    </w:p>
    <w:p w:rsidR="00273185" w:rsidRDefault="00273185">
      <w:r>
        <w:br w:type="page"/>
      </w:r>
    </w:p>
    <w:tbl>
      <w:tblPr>
        <w:tblW w:w="4910" w:type="pct"/>
        <w:tblLook w:val="0000" w:firstRow="0" w:lastRow="0" w:firstColumn="0" w:lastColumn="0" w:noHBand="0" w:noVBand="0"/>
      </w:tblPr>
      <w:tblGrid>
        <w:gridCol w:w="1952"/>
        <w:gridCol w:w="1372"/>
        <w:gridCol w:w="741"/>
        <w:gridCol w:w="891"/>
        <w:gridCol w:w="1530"/>
        <w:gridCol w:w="1730"/>
        <w:gridCol w:w="860"/>
      </w:tblGrid>
      <w:tr w:rsidR="009F4BFB" w:rsidRPr="00FE7F00" w:rsidTr="00E77338">
        <w:trPr>
          <w:cantSplit/>
          <w:trHeight w:val="465"/>
        </w:trPr>
        <w:tc>
          <w:tcPr>
            <w:tcW w:w="1831" w:type="pct"/>
            <w:gridSpan w:val="2"/>
            <w:tcBorders>
              <w:bottom w:val="single" w:sz="4" w:space="0" w:color="auto"/>
            </w:tcBorders>
          </w:tcPr>
          <w:p w:rsidR="009F4BFB" w:rsidRPr="00FE7F00" w:rsidRDefault="009F4BFB"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Name, Restriction,</w:t>
            </w:r>
          </w:p>
          <w:p w:rsidR="009F4BFB" w:rsidRPr="00FE7F00" w:rsidRDefault="009F4BFB"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Manner of administration and form</w:t>
            </w:r>
          </w:p>
        </w:tc>
        <w:tc>
          <w:tcPr>
            <w:tcW w:w="408" w:type="pct"/>
            <w:tcBorders>
              <w:bottom w:val="single" w:sz="4" w:space="0" w:color="auto"/>
            </w:tcBorders>
          </w:tcPr>
          <w:p w:rsidR="009F4BFB" w:rsidRPr="00FE7F00" w:rsidRDefault="009F4BFB"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Max.</w:t>
            </w:r>
          </w:p>
          <w:p w:rsidR="009F4BFB" w:rsidRPr="00FE7F00" w:rsidRDefault="009F4BFB"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Qty</w:t>
            </w:r>
          </w:p>
        </w:tc>
        <w:tc>
          <w:tcPr>
            <w:tcW w:w="491" w:type="pct"/>
            <w:tcBorders>
              <w:bottom w:val="single" w:sz="4" w:space="0" w:color="auto"/>
            </w:tcBorders>
          </w:tcPr>
          <w:p w:rsidR="009F4BFB" w:rsidRPr="00FE7F00" w:rsidRDefault="009F4BFB"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№.of</w:t>
            </w:r>
          </w:p>
          <w:p w:rsidR="009F4BFB" w:rsidRPr="00FE7F00" w:rsidRDefault="009F4BFB"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Rpts</w:t>
            </w:r>
          </w:p>
        </w:tc>
        <w:tc>
          <w:tcPr>
            <w:tcW w:w="2270" w:type="pct"/>
            <w:gridSpan w:val="3"/>
            <w:tcBorders>
              <w:bottom w:val="single" w:sz="4" w:space="0" w:color="auto"/>
            </w:tcBorders>
          </w:tcPr>
          <w:p w:rsidR="009F4BFB" w:rsidRPr="00FE7F00" w:rsidRDefault="009F4BFB"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Proprietary Name and Manufacturer</w:t>
            </w:r>
          </w:p>
        </w:tc>
      </w:tr>
      <w:tr w:rsidR="009F4BFB" w:rsidRPr="00FE7F00" w:rsidTr="00E77338">
        <w:trPr>
          <w:cantSplit/>
          <w:trHeight w:val="567"/>
        </w:trPr>
        <w:tc>
          <w:tcPr>
            <w:tcW w:w="1831" w:type="pct"/>
            <w:gridSpan w:val="2"/>
          </w:tcPr>
          <w:p w:rsidR="009F4BFB" w:rsidRPr="00FE7F00" w:rsidRDefault="009F4BFB" w:rsidP="008945E7">
            <w:pPr>
              <w:keepNext/>
              <w:spacing w:before="40" w:after="40"/>
              <w:jc w:val="both"/>
              <w:rPr>
                <w:rFonts w:ascii="Arial Narrow" w:hAnsi="Arial Narrow" w:cs="Arial"/>
                <w:smallCaps/>
                <w:sz w:val="20"/>
                <w:szCs w:val="20"/>
              </w:rPr>
            </w:pPr>
            <w:r w:rsidRPr="00FE7F00">
              <w:rPr>
                <w:rFonts w:ascii="Arial Narrow" w:hAnsi="Arial Narrow" w:cs="Arial"/>
                <w:smallCaps/>
                <w:sz w:val="20"/>
                <w:szCs w:val="20"/>
              </w:rPr>
              <w:t>linagliptin</w:t>
            </w:r>
          </w:p>
          <w:p w:rsidR="009F4BFB" w:rsidRPr="00FE7F00" w:rsidRDefault="009F4BFB" w:rsidP="008945E7">
            <w:pPr>
              <w:keepNext/>
              <w:spacing w:before="40" w:after="40"/>
              <w:jc w:val="both"/>
              <w:rPr>
                <w:rFonts w:ascii="Arial Narrow" w:hAnsi="Arial Narrow" w:cs="Arial"/>
                <w:sz w:val="20"/>
                <w:szCs w:val="20"/>
              </w:rPr>
            </w:pPr>
            <w:r w:rsidRPr="00FE7F00">
              <w:rPr>
                <w:rFonts w:ascii="Arial Narrow" w:hAnsi="Arial Narrow" w:cs="Arial"/>
                <w:sz w:val="20"/>
                <w:szCs w:val="20"/>
              </w:rPr>
              <w:t>tablet, linagliptin 5 mg, 30</w:t>
            </w:r>
          </w:p>
        </w:tc>
        <w:tc>
          <w:tcPr>
            <w:tcW w:w="408" w:type="pct"/>
          </w:tcPr>
          <w:p w:rsidR="009F4BFB" w:rsidRPr="00FE7F00" w:rsidRDefault="009F4BFB" w:rsidP="008945E7">
            <w:pPr>
              <w:keepNext/>
              <w:spacing w:before="40" w:after="40"/>
              <w:jc w:val="both"/>
              <w:rPr>
                <w:rFonts w:ascii="Arial Narrow" w:hAnsi="Arial Narrow" w:cs="Arial"/>
                <w:sz w:val="20"/>
                <w:szCs w:val="20"/>
              </w:rPr>
            </w:pPr>
            <w:r w:rsidRPr="00FE7F00">
              <w:rPr>
                <w:rFonts w:ascii="Arial Narrow" w:hAnsi="Arial Narrow" w:cs="Arial"/>
                <w:sz w:val="20"/>
                <w:szCs w:val="20"/>
              </w:rPr>
              <w:t>1</w:t>
            </w:r>
          </w:p>
        </w:tc>
        <w:tc>
          <w:tcPr>
            <w:tcW w:w="491" w:type="pct"/>
          </w:tcPr>
          <w:p w:rsidR="009F4BFB" w:rsidRPr="00FE7F00" w:rsidRDefault="009F4BFB" w:rsidP="008945E7">
            <w:pPr>
              <w:keepNext/>
              <w:spacing w:before="40" w:after="40"/>
              <w:jc w:val="both"/>
              <w:rPr>
                <w:rFonts w:ascii="Arial Narrow" w:hAnsi="Arial Narrow" w:cs="Arial"/>
                <w:sz w:val="20"/>
                <w:szCs w:val="20"/>
              </w:rPr>
            </w:pPr>
            <w:r w:rsidRPr="00FE7F00">
              <w:rPr>
                <w:rFonts w:ascii="Arial Narrow" w:hAnsi="Arial Narrow" w:cs="Arial"/>
                <w:sz w:val="20"/>
                <w:szCs w:val="20"/>
              </w:rPr>
              <w:t>5</w:t>
            </w:r>
          </w:p>
        </w:tc>
        <w:tc>
          <w:tcPr>
            <w:tcW w:w="843" w:type="pct"/>
          </w:tcPr>
          <w:p w:rsidR="009F4BFB" w:rsidRPr="00FE7F00" w:rsidRDefault="009F4BFB" w:rsidP="008945E7">
            <w:pPr>
              <w:keepNext/>
              <w:spacing w:before="40" w:after="40"/>
              <w:jc w:val="both"/>
              <w:rPr>
                <w:rFonts w:ascii="Arial Narrow" w:hAnsi="Arial Narrow" w:cs="Arial"/>
                <w:sz w:val="20"/>
                <w:szCs w:val="20"/>
              </w:rPr>
            </w:pPr>
            <w:r w:rsidRPr="00FE7F00">
              <w:rPr>
                <w:rFonts w:ascii="Arial Narrow" w:hAnsi="Arial Narrow" w:cs="Arial"/>
                <w:sz w:val="20"/>
                <w:szCs w:val="20"/>
              </w:rPr>
              <w:t>Trajenta®</w:t>
            </w:r>
          </w:p>
        </w:tc>
        <w:tc>
          <w:tcPr>
            <w:tcW w:w="1427" w:type="pct"/>
            <w:gridSpan w:val="2"/>
          </w:tcPr>
          <w:p w:rsidR="009F4BFB" w:rsidRPr="00FE7F00" w:rsidRDefault="009F4BFB" w:rsidP="008945E7">
            <w:pPr>
              <w:keepNext/>
              <w:spacing w:before="40" w:after="40"/>
              <w:jc w:val="both"/>
              <w:rPr>
                <w:rFonts w:ascii="Arial Narrow" w:hAnsi="Arial Narrow" w:cs="Arial"/>
                <w:sz w:val="20"/>
                <w:szCs w:val="20"/>
              </w:rPr>
            </w:pPr>
            <w:r w:rsidRPr="00FE7F00">
              <w:rPr>
                <w:rFonts w:ascii="Arial Narrow" w:hAnsi="Arial Narrow" w:cs="Arial"/>
                <w:sz w:val="20"/>
                <w:szCs w:val="20"/>
              </w:rPr>
              <w:t>Boehringer Ingelheim Pty Ltd</w:t>
            </w:r>
          </w:p>
        </w:tc>
      </w:tr>
      <w:tr w:rsidR="009F4BFB" w:rsidRPr="00FE7F00" w:rsidTr="00E77338">
        <w:trPr>
          <w:gridAfter w:val="1"/>
          <w:wAfter w:w="474" w:type="pct"/>
          <w:cantSplit/>
          <w:trHeight w:val="360"/>
        </w:trPr>
        <w:tc>
          <w:tcPr>
            <w:tcW w:w="4526" w:type="pct"/>
            <w:gridSpan w:val="6"/>
            <w:tcBorders>
              <w:bottom w:val="single" w:sz="4" w:space="0" w:color="auto"/>
            </w:tcBorders>
          </w:tcPr>
          <w:p w:rsidR="009F4BFB" w:rsidRPr="00FE7F00" w:rsidRDefault="009F4BFB" w:rsidP="008945E7">
            <w:pPr>
              <w:spacing w:before="40" w:after="40"/>
              <w:jc w:val="both"/>
              <w:rPr>
                <w:rFonts w:ascii="Arial Narrow" w:hAnsi="Arial Narrow" w:cs="Arial"/>
                <w:sz w:val="20"/>
                <w:szCs w:val="20"/>
              </w:rPr>
            </w:pPr>
          </w:p>
        </w:tc>
      </w:tr>
      <w:tr w:rsidR="009F4BFB" w:rsidRPr="00FE7F00" w:rsidTr="00E77338">
        <w:trPr>
          <w:cantSplit/>
          <w:trHeight w:val="360"/>
        </w:trPr>
        <w:tc>
          <w:tcPr>
            <w:tcW w:w="1075"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sz w:val="20"/>
                <w:szCs w:val="20"/>
              </w:rPr>
            </w:pPr>
            <w:r w:rsidRPr="00FE7F00">
              <w:rPr>
                <w:rFonts w:ascii="Arial Narrow" w:hAnsi="Arial Narrow" w:cs="Arial"/>
                <w:sz w:val="20"/>
                <w:szCs w:val="20"/>
              </w:rPr>
              <w:t xml:space="preserve">Category / </w:t>
            </w:r>
          </w:p>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sz w:val="20"/>
                <w:szCs w:val="20"/>
              </w:rPr>
              <w:t>Program</w:t>
            </w:r>
          </w:p>
        </w:tc>
        <w:tc>
          <w:tcPr>
            <w:tcW w:w="3925" w:type="pct"/>
            <w:gridSpan w:val="6"/>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GENERAL – General Schedule (Code GE)</w:t>
            </w:r>
          </w:p>
          <w:p w:rsidR="009F4BFB" w:rsidRPr="00FE7F00" w:rsidRDefault="009F4BFB" w:rsidP="008945E7">
            <w:pPr>
              <w:spacing w:before="40" w:after="40"/>
              <w:rPr>
                <w:rFonts w:ascii="Arial Narrow" w:hAnsi="Arial Narrow" w:cs="Arial"/>
                <w:sz w:val="20"/>
                <w:szCs w:val="20"/>
              </w:rPr>
            </w:pPr>
          </w:p>
        </w:tc>
      </w:tr>
      <w:tr w:rsidR="009F4BFB" w:rsidRPr="00FE7F00" w:rsidTr="00E77338">
        <w:trPr>
          <w:cantSplit/>
          <w:trHeight w:val="360"/>
        </w:trPr>
        <w:tc>
          <w:tcPr>
            <w:tcW w:w="1075"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Prescriber type:</w:t>
            </w:r>
          </w:p>
        </w:tc>
        <w:tc>
          <w:tcPr>
            <w:tcW w:w="3925" w:type="pct"/>
            <w:gridSpan w:val="6"/>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Check1"/>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Dental  </w:t>
            </w:r>
            <w:r w:rsidRPr="00FE7F00">
              <w:rPr>
                <w:rFonts w:ascii="Arial Narrow" w:hAnsi="Arial Narrow" w:cs="Arial"/>
                <w:sz w:val="20"/>
                <w:szCs w:val="20"/>
              </w:rPr>
              <w:fldChar w:fldCharType="begin">
                <w:ffData>
                  <w:name w:val=""/>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Medical Practitioners  </w:t>
            </w:r>
            <w:r w:rsidRPr="00FE7F00">
              <w:rPr>
                <w:rFonts w:ascii="Arial Narrow" w:hAnsi="Arial Narrow" w:cs="Arial"/>
                <w:sz w:val="20"/>
                <w:szCs w:val="20"/>
              </w:rPr>
              <w:fldChar w:fldCharType="begin">
                <w:ffData>
                  <w:name w:val=""/>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Nurse practitioners  </w:t>
            </w:r>
            <w:r w:rsidRPr="00FE7F00">
              <w:rPr>
                <w:rFonts w:ascii="Arial Narrow" w:hAnsi="Arial Narrow" w:cs="Arial"/>
                <w:sz w:val="20"/>
                <w:szCs w:val="20"/>
              </w:rPr>
              <w:fldChar w:fldCharType="begin">
                <w:ffData>
                  <w:name w:val=""/>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Optometrists</w:t>
            </w:r>
          </w:p>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Check5"/>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Midwives</w:t>
            </w:r>
          </w:p>
        </w:tc>
      </w:tr>
      <w:tr w:rsidR="009F4BFB" w:rsidRPr="00FE7F00" w:rsidTr="00E77338">
        <w:trPr>
          <w:cantSplit/>
          <w:trHeight w:val="360"/>
        </w:trPr>
        <w:tc>
          <w:tcPr>
            <w:tcW w:w="1075"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Condition:</w:t>
            </w:r>
          </w:p>
        </w:tc>
        <w:tc>
          <w:tcPr>
            <w:tcW w:w="3925" w:type="pct"/>
            <w:gridSpan w:val="6"/>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Diabetes mellitus type 2</w:t>
            </w:r>
          </w:p>
        </w:tc>
      </w:tr>
      <w:tr w:rsidR="009F4BFB" w:rsidRPr="00FE7F00" w:rsidTr="00E77338">
        <w:trPr>
          <w:cantSplit/>
          <w:trHeight w:val="360"/>
        </w:trPr>
        <w:tc>
          <w:tcPr>
            <w:tcW w:w="1075"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PBS Indication:</w:t>
            </w:r>
          </w:p>
        </w:tc>
        <w:tc>
          <w:tcPr>
            <w:tcW w:w="3925" w:type="pct"/>
            <w:gridSpan w:val="6"/>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Diabetes mellitus type 2</w:t>
            </w:r>
          </w:p>
        </w:tc>
      </w:tr>
      <w:tr w:rsidR="009F4BFB" w:rsidRPr="00FE7F00" w:rsidTr="00E77338">
        <w:trPr>
          <w:cantSplit/>
          <w:trHeight w:val="360"/>
        </w:trPr>
        <w:tc>
          <w:tcPr>
            <w:tcW w:w="1075"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Restriction Level / Method:</w:t>
            </w:r>
          </w:p>
          <w:p w:rsidR="009F4BFB" w:rsidRPr="00FE7F00" w:rsidRDefault="009F4BFB" w:rsidP="008945E7">
            <w:pPr>
              <w:spacing w:before="40" w:after="40"/>
              <w:rPr>
                <w:rFonts w:ascii="Arial Narrow" w:hAnsi="Arial Narrow" w:cs="Arial"/>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Streamlined</w:t>
            </w:r>
          </w:p>
        </w:tc>
      </w:tr>
      <w:tr w:rsidR="009F4BFB" w:rsidRPr="00FE7F00" w:rsidTr="00E77338">
        <w:trPr>
          <w:cantSplit/>
          <w:trHeight w:val="360"/>
        </w:trPr>
        <w:tc>
          <w:tcPr>
            <w:tcW w:w="1075"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Clinical criteria:</w:t>
            </w:r>
          </w:p>
          <w:p w:rsidR="009F4BFB" w:rsidRPr="00FE7F00" w:rsidRDefault="009F4BFB" w:rsidP="008945E7">
            <w:pPr>
              <w:spacing w:before="40" w:after="40"/>
              <w:jc w:val="both"/>
              <w:rPr>
                <w:rFonts w:ascii="Arial Narrow" w:hAnsi="Arial Narrow" w:cs="Arial"/>
                <w:i/>
                <w:sz w:val="20"/>
                <w:szCs w:val="20"/>
              </w:rPr>
            </w:pPr>
          </w:p>
          <w:p w:rsidR="009F4BFB" w:rsidRPr="00FE7F00" w:rsidRDefault="009F4BFB" w:rsidP="008945E7">
            <w:pPr>
              <w:spacing w:before="40" w:after="40"/>
              <w:jc w:val="both"/>
              <w:rPr>
                <w:rFonts w:ascii="Arial Narrow" w:hAnsi="Arial Narrow" w:cs="Arial"/>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 xml:space="preserve">The treatment must be in combination with metformin </w:t>
            </w:r>
          </w:p>
          <w:p w:rsidR="00401105" w:rsidRPr="00FE7F00" w:rsidRDefault="00401105" w:rsidP="008945E7">
            <w:pPr>
              <w:spacing w:before="40" w:after="40"/>
              <w:rPr>
                <w:rFonts w:ascii="Arial Narrow" w:hAnsi="Arial Narrow" w:cs="Arial"/>
                <w:sz w:val="20"/>
                <w:szCs w:val="20"/>
              </w:rPr>
            </w:pPr>
          </w:p>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AND</w:t>
            </w:r>
          </w:p>
          <w:p w:rsidR="00401105" w:rsidRPr="00FE7F00" w:rsidRDefault="00401105" w:rsidP="008945E7">
            <w:pPr>
              <w:spacing w:before="40" w:after="40"/>
              <w:rPr>
                <w:rFonts w:ascii="Arial Narrow" w:hAnsi="Arial Narrow" w:cs="Arial"/>
                <w:sz w:val="20"/>
                <w:szCs w:val="20"/>
              </w:rPr>
            </w:pPr>
          </w:p>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 xml:space="preserve">The treatment must be in combination with a sodium-glucose co-transporter 2 (SGLT2) inhibitor; </w:t>
            </w:r>
          </w:p>
          <w:p w:rsidR="00401105" w:rsidRPr="00FE7F00" w:rsidRDefault="00401105" w:rsidP="008945E7">
            <w:pPr>
              <w:spacing w:before="40" w:after="40"/>
              <w:rPr>
                <w:rFonts w:ascii="Arial Narrow" w:hAnsi="Arial Narrow" w:cs="Arial"/>
                <w:sz w:val="20"/>
                <w:szCs w:val="20"/>
              </w:rPr>
            </w:pPr>
          </w:p>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AND</w:t>
            </w:r>
          </w:p>
          <w:p w:rsidR="00401105" w:rsidRPr="00FE7F00" w:rsidRDefault="00401105" w:rsidP="008945E7">
            <w:pPr>
              <w:spacing w:before="40" w:after="40"/>
              <w:rPr>
                <w:rFonts w:ascii="Arial Narrow" w:hAnsi="Arial Narrow" w:cs="Arial"/>
                <w:sz w:val="20"/>
                <w:szCs w:val="20"/>
              </w:rPr>
            </w:pPr>
          </w:p>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 xml:space="preserve">Patient must have previously </w:t>
            </w:r>
            <w:r w:rsidR="00C908DE" w:rsidRPr="00FE7F00">
              <w:rPr>
                <w:rFonts w:ascii="Arial Narrow" w:hAnsi="Arial Narrow" w:cs="Arial"/>
                <w:sz w:val="20"/>
                <w:szCs w:val="20"/>
              </w:rPr>
              <w:t xml:space="preserve">been stabilised on dual </w:t>
            </w:r>
            <w:r w:rsidR="00C40856" w:rsidRPr="00FE7F00">
              <w:rPr>
                <w:rFonts w:ascii="Arial Narrow" w:hAnsi="Arial Narrow" w:cs="Arial"/>
                <w:sz w:val="20"/>
                <w:szCs w:val="20"/>
              </w:rPr>
              <w:t xml:space="preserve">or triple </w:t>
            </w:r>
            <w:r w:rsidR="00C908DE" w:rsidRPr="00FE7F00">
              <w:rPr>
                <w:rFonts w:ascii="Arial Narrow" w:hAnsi="Arial Narrow" w:cs="Arial"/>
                <w:sz w:val="20"/>
                <w:szCs w:val="20"/>
              </w:rPr>
              <w:t xml:space="preserve">oral therapy which </w:t>
            </w:r>
            <w:r w:rsidR="00E20B27" w:rsidRPr="00FE7F00">
              <w:rPr>
                <w:rFonts w:ascii="Arial Narrow" w:hAnsi="Arial Narrow" w:cs="Arial"/>
                <w:sz w:val="20"/>
                <w:szCs w:val="20"/>
              </w:rPr>
              <w:t xml:space="preserve">included </w:t>
            </w:r>
            <w:r w:rsidR="00C908DE" w:rsidRPr="00FE7F00">
              <w:rPr>
                <w:rFonts w:ascii="Arial Narrow" w:hAnsi="Arial Narrow" w:cs="Arial"/>
                <w:sz w:val="20"/>
                <w:szCs w:val="20"/>
              </w:rPr>
              <w:t>a</w:t>
            </w:r>
            <w:r w:rsidR="00C40856" w:rsidRPr="00FE7F00">
              <w:rPr>
                <w:rFonts w:ascii="Arial Narrow" w:hAnsi="Arial Narrow" w:cs="Arial"/>
                <w:sz w:val="20"/>
                <w:szCs w:val="20"/>
              </w:rPr>
              <w:t>n</w:t>
            </w:r>
            <w:r w:rsidR="00C908DE" w:rsidRPr="00FE7F00">
              <w:rPr>
                <w:rFonts w:ascii="Arial Narrow" w:hAnsi="Arial Narrow" w:cs="Arial"/>
                <w:sz w:val="20"/>
                <w:szCs w:val="20"/>
              </w:rPr>
              <w:t xml:space="preserve"> SGLT2 inhibitor</w:t>
            </w:r>
            <w:r w:rsidRPr="00FE7F00">
              <w:rPr>
                <w:rFonts w:ascii="Arial Narrow" w:hAnsi="Arial Narrow" w:cs="Arial"/>
                <w:sz w:val="20"/>
                <w:szCs w:val="20"/>
              </w:rPr>
              <w:t xml:space="preserve">, </w:t>
            </w:r>
          </w:p>
          <w:p w:rsidR="00401105" w:rsidRPr="00FE7F00" w:rsidRDefault="00401105" w:rsidP="008945E7">
            <w:pPr>
              <w:spacing w:before="40" w:after="40"/>
              <w:rPr>
                <w:rFonts w:ascii="Arial Narrow" w:hAnsi="Arial Narrow" w:cs="Arial"/>
                <w:sz w:val="20"/>
                <w:szCs w:val="20"/>
              </w:rPr>
            </w:pPr>
          </w:p>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OR</w:t>
            </w:r>
          </w:p>
          <w:p w:rsidR="00401105" w:rsidRPr="00FE7F00" w:rsidRDefault="00401105" w:rsidP="00AF4C71">
            <w:pPr>
              <w:rPr>
                <w:rFonts w:ascii="Arial Narrow" w:hAnsi="Arial Narrow"/>
                <w:sz w:val="20"/>
              </w:rPr>
            </w:pPr>
          </w:p>
          <w:p w:rsidR="00AF4C71" w:rsidRPr="00FE7F00" w:rsidRDefault="00AF4C71" w:rsidP="00AF4C71">
            <w:pPr>
              <w:rPr>
                <w:rFonts w:ascii="Arial Narrow" w:hAnsi="Arial Narrow"/>
                <w:sz w:val="20"/>
              </w:rPr>
            </w:pPr>
            <w:r w:rsidRPr="00FE7F00">
              <w:rPr>
                <w:rFonts w:ascii="Arial Narrow" w:hAnsi="Arial Narrow"/>
                <w:sz w:val="20"/>
              </w:rPr>
              <w:t xml:space="preserve">Patient must have previously been stabilised on dual </w:t>
            </w:r>
            <w:r w:rsidR="00C40856" w:rsidRPr="00FE7F00">
              <w:rPr>
                <w:rFonts w:ascii="Arial Narrow" w:hAnsi="Arial Narrow"/>
                <w:sz w:val="20"/>
              </w:rPr>
              <w:t xml:space="preserve">or triple </w:t>
            </w:r>
            <w:r w:rsidRPr="00FE7F00">
              <w:rPr>
                <w:rFonts w:ascii="Arial Narrow" w:hAnsi="Arial Narrow"/>
                <w:sz w:val="20"/>
              </w:rPr>
              <w:t xml:space="preserve">oral therapy which </w:t>
            </w:r>
            <w:r w:rsidR="00E20B27" w:rsidRPr="00FE7F00">
              <w:rPr>
                <w:rFonts w:ascii="Arial Narrow" w:hAnsi="Arial Narrow"/>
                <w:sz w:val="20"/>
              </w:rPr>
              <w:t xml:space="preserve">included </w:t>
            </w:r>
            <w:r w:rsidRPr="00FE7F00">
              <w:rPr>
                <w:rFonts w:ascii="Arial Narrow" w:hAnsi="Arial Narrow"/>
                <w:sz w:val="20"/>
              </w:rPr>
              <w:t>a dipeptidyl peptidase 1 inhibitor (gliptin),</w:t>
            </w:r>
          </w:p>
          <w:p w:rsidR="009F4BFB" w:rsidRPr="00FE7F00" w:rsidRDefault="009F4BFB" w:rsidP="008945E7">
            <w:pPr>
              <w:spacing w:before="40" w:after="40"/>
              <w:rPr>
                <w:rFonts w:ascii="Arial Narrow" w:hAnsi="Arial Narrow" w:cs="Arial"/>
                <w:sz w:val="20"/>
                <w:szCs w:val="20"/>
              </w:rPr>
            </w:pPr>
          </w:p>
          <w:p w:rsidR="00206930" w:rsidRPr="00FE7F00" w:rsidRDefault="00206930" w:rsidP="00206930">
            <w:pPr>
              <w:rPr>
                <w:rFonts w:ascii="Arial Narrow" w:hAnsi="Arial Narrow"/>
                <w:sz w:val="20"/>
              </w:rPr>
            </w:pPr>
            <w:r w:rsidRPr="00FE7F00">
              <w:rPr>
                <w:rFonts w:ascii="Arial Narrow" w:hAnsi="Arial Narrow"/>
                <w:sz w:val="20"/>
              </w:rPr>
              <w:t>AND</w:t>
            </w:r>
          </w:p>
          <w:p w:rsidR="00206930" w:rsidRPr="00FE7F00" w:rsidRDefault="00206930" w:rsidP="00206930">
            <w:pPr>
              <w:rPr>
                <w:rFonts w:ascii="Arial Narrow" w:hAnsi="Arial Narrow"/>
                <w:sz w:val="20"/>
              </w:rPr>
            </w:pPr>
          </w:p>
          <w:p w:rsidR="00206930" w:rsidRPr="00FE7F00" w:rsidRDefault="00206930" w:rsidP="00206930">
            <w:pPr>
              <w:rPr>
                <w:rFonts w:ascii="Arial Narrow" w:hAnsi="Arial Narrow"/>
                <w:sz w:val="20"/>
              </w:rPr>
            </w:pPr>
            <w:r w:rsidRPr="00FE7F00">
              <w:rPr>
                <w:rFonts w:ascii="Arial Narrow" w:hAnsi="Arial Narrow"/>
                <w:sz w:val="20"/>
              </w:rPr>
              <w:t xml:space="preserve">Patient must have, or have had, an HbA1c measurement greater than 7% prior to the initiation of triple oral therapy with a gliptin and an SGLT2 inhibitor, </w:t>
            </w:r>
          </w:p>
          <w:p w:rsidR="00206930" w:rsidRPr="00FE7F00" w:rsidRDefault="00206930" w:rsidP="00206930">
            <w:pPr>
              <w:rPr>
                <w:rFonts w:ascii="Arial Narrow" w:hAnsi="Arial Narrow"/>
                <w:sz w:val="20"/>
              </w:rPr>
            </w:pPr>
          </w:p>
          <w:p w:rsidR="00206930" w:rsidRPr="00FE7F00" w:rsidRDefault="00206930" w:rsidP="00206930">
            <w:pPr>
              <w:rPr>
                <w:rFonts w:ascii="Arial Narrow" w:hAnsi="Arial Narrow"/>
                <w:sz w:val="20"/>
              </w:rPr>
            </w:pPr>
            <w:r w:rsidRPr="00FE7F00">
              <w:rPr>
                <w:rFonts w:ascii="Arial Narrow" w:hAnsi="Arial Narrow"/>
                <w:sz w:val="20"/>
              </w:rPr>
              <w:t>OR</w:t>
            </w:r>
          </w:p>
          <w:p w:rsidR="00206930" w:rsidRPr="00FE7F00" w:rsidRDefault="00206930" w:rsidP="00206930">
            <w:pPr>
              <w:rPr>
                <w:rFonts w:ascii="Arial Narrow" w:hAnsi="Arial Narrow"/>
                <w:sz w:val="20"/>
              </w:rPr>
            </w:pPr>
          </w:p>
          <w:p w:rsidR="00206930" w:rsidRPr="00FE7F00" w:rsidRDefault="00206930" w:rsidP="00206930">
            <w:pPr>
              <w:rPr>
                <w:rFonts w:ascii="Arial Narrow" w:hAnsi="Arial Narrow"/>
                <w:sz w:val="20"/>
              </w:rPr>
            </w:pPr>
            <w:r w:rsidRPr="00FE7F00">
              <w:rPr>
                <w:rFonts w:ascii="Arial Narrow" w:hAnsi="Arial Narrow"/>
                <w:sz w:val="20"/>
              </w:rPr>
              <w:t>Patient must have, or have had, where HbA1c measurement is clinically inappropriate, blood glucose levels greater than 10 mmol per L in more than 20% of tests over a 2 week period prior to initiation of triple oral therapy with a gliptin, and an SGLT2 inhibitor.</w:t>
            </w:r>
          </w:p>
          <w:p w:rsidR="00401105" w:rsidRPr="00FE7F00" w:rsidRDefault="00401105" w:rsidP="008945E7">
            <w:pPr>
              <w:spacing w:before="40" w:after="40"/>
              <w:rPr>
                <w:rFonts w:ascii="Arial Narrow" w:hAnsi="Arial Narrow" w:cs="Arial"/>
                <w:sz w:val="20"/>
                <w:szCs w:val="20"/>
              </w:rPr>
            </w:pPr>
          </w:p>
          <w:p w:rsidR="009F4BFB" w:rsidRPr="00FE7F00" w:rsidRDefault="009F4BFB" w:rsidP="008945E7">
            <w:pPr>
              <w:spacing w:before="40" w:after="40"/>
              <w:rPr>
                <w:rFonts w:ascii="Arial Narrow" w:hAnsi="Arial Narrow" w:cs="Arial"/>
                <w:sz w:val="20"/>
                <w:szCs w:val="20"/>
              </w:rPr>
            </w:pPr>
          </w:p>
        </w:tc>
      </w:tr>
      <w:tr w:rsidR="009F4BFB" w:rsidRPr="00FE7F00" w:rsidTr="00E77338">
        <w:trPr>
          <w:cantSplit/>
          <w:trHeight w:val="360"/>
        </w:trPr>
        <w:tc>
          <w:tcPr>
            <w:tcW w:w="1075"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Prescriber Instructions</w:t>
            </w:r>
          </w:p>
          <w:p w:rsidR="009F4BFB" w:rsidRPr="00FE7F00" w:rsidRDefault="009F4BFB" w:rsidP="008945E7">
            <w:pPr>
              <w:spacing w:before="40" w:after="40"/>
              <w:jc w:val="both"/>
              <w:rPr>
                <w:rFonts w:ascii="Arial Narrow" w:hAnsi="Arial Narrow" w:cs="Arial"/>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024147" w:rsidRPr="00FE7F00" w:rsidRDefault="00024147" w:rsidP="00024147">
            <w:pPr>
              <w:rPr>
                <w:rFonts w:ascii="Arial Narrow" w:hAnsi="Arial Narrow"/>
                <w:sz w:val="20"/>
              </w:rPr>
            </w:pPr>
            <w:r w:rsidRPr="00FE7F00">
              <w:rPr>
                <w:rFonts w:ascii="Arial Narrow" w:hAnsi="Arial Narrow"/>
                <w:sz w:val="20"/>
              </w:rPr>
              <w:t>The date and level of the qualifying HbA1c measurement must be, or must have been, documented in the patient's medical records at the time triple oral therapy with a gliptin and an SGLT2 inhibitor is initiated.</w:t>
            </w:r>
          </w:p>
          <w:p w:rsidR="00024147" w:rsidRPr="00FE7F00" w:rsidRDefault="00024147" w:rsidP="00024147">
            <w:pPr>
              <w:rPr>
                <w:rFonts w:ascii="Arial Narrow" w:hAnsi="Arial Narrow"/>
                <w:sz w:val="20"/>
              </w:rPr>
            </w:pPr>
          </w:p>
          <w:p w:rsidR="00024147" w:rsidRPr="00FE7F00" w:rsidRDefault="00024147" w:rsidP="00024147">
            <w:pPr>
              <w:rPr>
                <w:rFonts w:ascii="Arial Narrow" w:hAnsi="Arial Narrow"/>
                <w:sz w:val="20"/>
              </w:rPr>
            </w:pPr>
            <w:r w:rsidRPr="00FE7F00">
              <w:rPr>
                <w:rFonts w:ascii="Arial Narrow" w:hAnsi="Arial Narrow"/>
                <w:sz w:val="20"/>
              </w:rPr>
              <w:t xml:space="preserve">The HbA1c must be no more than 4 months old at the time triple oral therapy with a gliptin and a SGLT2 inhibitor was initiated. </w:t>
            </w:r>
          </w:p>
          <w:p w:rsidR="00024147" w:rsidRPr="00FE7F00" w:rsidRDefault="00024147" w:rsidP="00024147">
            <w:pPr>
              <w:rPr>
                <w:rFonts w:ascii="Arial Narrow" w:hAnsi="Arial Narrow"/>
                <w:sz w:val="20"/>
              </w:rPr>
            </w:pPr>
          </w:p>
          <w:p w:rsidR="00024147" w:rsidRPr="00FE7F00" w:rsidRDefault="00024147" w:rsidP="00024147">
            <w:pPr>
              <w:rPr>
                <w:rFonts w:ascii="Arial Narrow" w:hAnsi="Arial Narrow"/>
                <w:sz w:val="20"/>
              </w:rPr>
            </w:pPr>
            <w:r w:rsidRPr="00FE7F00">
              <w:rPr>
                <w:rFonts w:ascii="Arial Narrow" w:hAnsi="Arial Narrow"/>
                <w:sz w:val="20"/>
              </w:rPr>
              <w:t>Blood glucose monitoring may be used as an alternative assessment to HbA1c levels in the following circumstances:</w:t>
            </w:r>
          </w:p>
          <w:p w:rsidR="00024147" w:rsidRPr="00FE7F00" w:rsidRDefault="00024147" w:rsidP="00024147">
            <w:pPr>
              <w:rPr>
                <w:rFonts w:ascii="Arial Narrow" w:hAnsi="Arial Narrow"/>
                <w:sz w:val="20"/>
              </w:rPr>
            </w:pPr>
          </w:p>
          <w:p w:rsidR="00024147" w:rsidRPr="00FE7F00" w:rsidRDefault="00024147" w:rsidP="00E77338">
            <w:pPr>
              <w:numPr>
                <w:ilvl w:val="0"/>
                <w:numId w:val="27"/>
              </w:numPr>
              <w:ind w:hanging="262"/>
              <w:jc w:val="both"/>
              <w:rPr>
                <w:rFonts w:ascii="Arial Narrow" w:hAnsi="Arial Narrow"/>
                <w:sz w:val="20"/>
              </w:rPr>
            </w:pPr>
            <w:r w:rsidRPr="00FE7F00">
              <w:rPr>
                <w:rFonts w:ascii="Arial Narrow" w:hAnsi="Arial Narrow"/>
                <w:sz w:val="20"/>
              </w:rPr>
              <w:t>A clinical condition with reduced red blood cell survival, including haemolytic anaemias and haemoglobinopathies; and/or</w:t>
            </w:r>
          </w:p>
          <w:p w:rsidR="00024147" w:rsidRPr="00FE7F00" w:rsidRDefault="00024147" w:rsidP="00E77338">
            <w:pPr>
              <w:numPr>
                <w:ilvl w:val="0"/>
                <w:numId w:val="27"/>
              </w:numPr>
              <w:ind w:left="742" w:hanging="284"/>
              <w:jc w:val="both"/>
              <w:rPr>
                <w:rFonts w:ascii="Arial Narrow" w:hAnsi="Arial Narrow"/>
                <w:sz w:val="20"/>
              </w:rPr>
            </w:pPr>
            <w:r w:rsidRPr="00FE7F00">
              <w:rPr>
                <w:rFonts w:ascii="Arial Narrow" w:hAnsi="Arial Narrow"/>
                <w:sz w:val="20"/>
              </w:rPr>
              <w:t>Had red cell transfusion within the previous 3 months</w:t>
            </w:r>
          </w:p>
          <w:p w:rsidR="00024147" w:rsidRPr="00FE7F00" w:rsidRDefault="00024147" w:rsidP="00024147">
            <w:pPr>
              <w:rPr>
                <w:rFonts w:ascii="Arial Narrow" w:hAnsi="Arial Narrow"/>
                <w:sz w:val="20"/>
              </w:rPr>
            </w:pPr>
          </w:p>
          <w:p w:rsidR="00024147" w:rsidRPr="00FE7F00" w:rsidRDefault="00024147" w:rsidP="00024147">
            <w:pPr>
              <w:rPr>
                <w:rFonts w:ascii="Arial Narrow" w:hAnsi="Arial Narrow"/>
                <w:sz w:val="20"/>
              </w:rPr>
            </w:pPr>
            <w:r w:rsidRPr="00FE7F00">
              <w:rPr>
                <w:rFonts w:ascii="Arial Narrow" w:hAnsi="Arial Narrow"/>
                <w:sz w:val="20"/>
              </w:rPr>
              <w:t>The results of the blood glucose monitoring, which must be no more than 4 months old at the time of initiation of triple oral therapy with a gliptin and an SGLT2 inhibitor, must be documented in the patient's medical records.</w:t>
            </w:r>
          </w:p>
          <w:p w:rsidR="00024147" w:rsidRPr="00FE7F00" w:rsidRDefault="00024147" w:rsidP="00024147">
            <w:pPr>
              <w:rPr>
                <w:rFonts w:ascii="Arial Narrow" w:hAnsi="Arial Narrow"/>
                <w:sz w:val="20"/>
              </w:rPr>
            </w:pPr>
          </w:p>
          <w:p w:rsidR="00024147" w:rsidRPr="00FE7F00" w:rsidRDefault="00024147" w:rsidP="00024147">
            <w:pPr>
              <w:rPr>
                <w:rFonts w:ascii="Arial Narrow" w:hAnsi="Arial Narrow"/>
                <w:sz w:val="20"/>
              </w:rPr>
            </w:pPr>
            <w:r w:rsidRPr="00FE7F00">
              <w:rPr>
                <w:rFonts w:ascii="Arial Narrow" w:hAnsi="Arial Narrow"/>
                <w:sz w:val="20"/>
              </w:rPr>
              <w:t>A patient whose diabetes was previously demonstrated unable to be controlled with metformin and a gliptin or an SGLT2 inhibitor does not need to requalify on this criterion before being eligible for PBS-subsidised treatment with this drug.</w:t>
            </w:r>
          </w:p>
          <w:p w:rsidR="009F4BFB" w:rsidRPr="00FE7F00" w:rsidRDefault="009F4BFB" w:rsidP="008945E7">
            <w:pPr>
              <w:spacing w:before="40" w:after="40"/>
              <w:rPr>
                <w:rFonts w:ascii="Arial Narrow" w:hAnsi="Arial Narrow" w:cs="Arial"/>
                <w:sz w:val="20"/>
                <w:szCs w:val="20"/>
              </w:rPr>
            </w:pPr>
          </w:p>
        </w:tc>
      </w:tr>
      <w:tr w:rsidR="00024147" w:rsidRPr="00FE7F00" w:rsidTr="00E77338">
        <w:trPr>
          <w:cantSplit/>
          <w:trHeight w:val="360"/>
        </w:trPr>
        <w:tc>
          <w:tcPr>
            <w:tcW w:w="1075" w:type="pct"/>
            <w:tcBorders>
              <w:top w:val="single" w:sz="4" w:space="0" w:color="auto"/>
              <w:left w:val="single" w:sz="4" w:space="0" w:color="auto"/>
              <w:bottom w:val="single" w:sz="4" w:space="0" w:color="auto"/>
              <w:right w:val="single" w:sz="4" w:space="0" w:color="auto"/>
            </w:tcBorders>
          </w:tcPr>
          <w:p w:rsidR="00024147" w:rsidRPr="00FE7F00" w:rsidRDefault="00024147" w:rsidP="008945E7">
            <w:pPr>
              <w:spacing w:before="40" w:after="40"/>
              <w:jc w:val="both"/>
              <w:rPr>
                <w:rFonts w:ascii="Arial Narrow" w:hAnsi="Arial Narrow" w:cs="Arial"/>
                <w:b/>
                <w:sz w:val="20"/>
                <w:szCs w:val="20"/>
              </w:rPr>
            </w:pPr>
            <w:r w:rsidRPr="00FE7F00">
              <w:rPr>
                <w:rFonts w:ascii="Arial Narrow" w:hAnsi="Arial Narrow" w:cs="Arial"/>
                <w:b/>
                <w:sz w:val="20"/>
                <w:szCs w:val="20"/>
              </w:rPr>
              <w:t>Administrative Advice</w:t>
            </w:r>
          </w:p>
          <w:p w:rsidR="00024147" w:rsidRPr="00FE7F00" w:rsidRDefault="00024147" w:rsidP="008945E7">
            <w:pPr>
              <w:spacing w:before="40" w:after="40"/>
              <w:jc w:val="both"/>
              <w:rPr>
                <w:rFonts w:ascii="Arial Narrow" w:hAnsi="Arial Narrow" w:cs="Arial"/>
                <w:i/>
                <w:sz w:val="20"/>
                <w:szCs w:val="20"/>
              </w:rPr>
            </w:pPr>
          </w:p>
        </w:tc>
        <w:tc>
          <w:tcPr>
            <w:tcW w:w="3925" w:type="pct"/>
            <w:gridSpan w:val="6"/>
            <w:tcBorders>
              <w:top w:val="single" w:sz="4" w:space="0" w:color="auto"/>
              <w:left w:val="single" w:sz="4" w:space="0" w:color="auto"/>
              <w:bottom w:val="single" w:sz="4" w:space="0" w:color="auto"/>
              <w:right w:val="single" w:sz="4" w:space="0" w:color="auto"/>
            </w:tcBorders>
          </w:tcPr>
          <w:p w:rsidR="00024147" w:rsidRPr="00FE7F00" w:rsidRDefault="00024147" w:rsidP="008945E7">
            <w:pPr>
              <w:rPr>
                <w:rFonts w:ascii="Arial Narrow" w:hAnsi="Arial Narrow"/>
                <w:i/>
                <w:sz w:val="20"/>
              </w:rPr>
            </w:pPr>
            <w:r w:rsidRPr="00FE7F00">
              <w:rPr>
                <w:rFonts w:ascii="Arial Narrow" w:hAnsi="Arial Narrow"/>
                <w:i/>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024147" w:rsidRPr="00FE7F00" w:rsidRDefault="00024147" w:rsidP="008945E7">
            <w:pPr>
              <w:rPr>
                <w:rFonts w:ascii="Arial Narrow" w:hAnsi="Arial Narrow"/>
                <w:sz w:val="20"/>
              </w:rPr>
            </w:pPr>
          </w:p>
          <w:p w:rsidR="00B822C5" w:rsidRPr="00FE7F00" w:rsidRDefault="00B822C5" w:rsidP="00E77338">
            <w:pPr>
              <w:rPr>
                <w:rFonts w:ascii="Arial Narrow" w:hAnsi="Arial Narrow"/>
                <w:i/>
                <w:sz w:val="20"/>
              </w:rPr>
            </w:pPr>
            <w:r w:rsidRPr="00975EBA">
              <w:rPr>
                <w:rFonts w:ascii="Arial Narrow" w:hAnsi="Arial Narrow"/>
                <w:i/>
                <w:sz w:val="20"/>
              </w:rPr>
              <w:t>This drug is not PBS subsidised for use as monotherapy or in combination with</w:t>
            </w:r>
            <w:r w:rsidR="00FC4098" w:rsidRPr="00975EBA">
              <w:rPr>
                <w:rFonts w:ascii="Arial Narrow" w:hAnsi="Arial Narrow"/>
                <w:i/>
                <w:sz w:val="20"/>
              </w:rPr>
              <w:t xml:space="preserve"> a thiazolidinedione (glitazone)</w:t>
            </w:r>
            <w:r w:rsidRPr="00975EBA">
              <w:rPr>
                <w:rFonts w:ascii="Arial Narrow" w:hAnsi="Arial Narrow"/>
                <w:i/>
                <w:sz w:val="20"/>
              </w:rPr>
              <w:t xml:space="preserve"> or a glucagon-like peptide-1</w:t>
            </w:r>
            <w:r w:rsidR="00FC4098" w:rsidRPr="00975EBA">
              <w:rPr>
                <w:rFonts w:ascii="Arial Narrow" w:hAnsi="Arial Narrow"/>
                <w:i/>
                <w:sz w:val="20"/>
              </w:rPr>
              <w:t xml:space="preserve"> </w:t>
            </w:r>
            <w:r w:rsidR="00FC4098" w:rsidRPr="00975EBA">
              <w:rPr>
                <w:rFonts w:ascii="Arial Narrow" w:hAnsi="Arial Narrow"/>
                <w:i/>
                <w:strike/>
                <w:sz w:val="20"/>
              </w:rPr>
              <w:t>or an SGLT2 inhibitor</w:t>
            </w:r>
            <w:r w:rsidRPr="00975EBA">
              <w:rPr>
                <w:rFonts w:ascii="Arial Narrow" w:hAnsi="Arial Narrow"/>
                <w:i/>
                <w:sz w:val="20"/>
              </w:rPr>
              <w:t>.</w:t>
            </w:r>
          </w:p>
          <w:p w:rsidR="00B822C5" w:rsidRPr="00FE7F00" w:rsidRDefault="00B822C5" w:rsidP="008945E7">
            <w:pPr>
              <w:rPr>
                <w:rFonts w:ascii="Arial Narrow" w:hAnsi="Arial Narrow"/>
                <w:sz w:val="20"/>
              </w:rPr>
            </w:pPr>
          </w:p>
          <w:p w:rsidR="00024147" w:rsidRPr="00FE7F00" w:rsidRDefault="00024147" w:rsidP="008945E7">
            <w:pPr>
              <w:spacing w:before="40" w:after="40"/>
              <w:rPr>
                <w:rFonts w:ascii="Arial Narrow" w:hAnsi="Arial Narrow" w:cs="Arial"/>
                <w:sz w:val="20"/>
                <w:szCs w:val="20"/>
              </w:rPr>
            </w:pPr>
            <w:r w:rsidRPr="00FE7F00">
              <w:rPr>
                <w:rFonts w:ascii="Arial Narrow" w:hAnsi="Arial Narrow"/>
                <w:sz w:val="20"/>
              </w:rPr>
              <w:t>PBS subsidised dual oral therapy does not include concomitant use of a combination of</w:t>
            </w:r>
            <w:r w:rsidRPr="00FE7F00">
              <w:rPr>
                <w:rFonts w:ascii="Arial Narrow" w:hAnsi="Arial Narrow"/>
                <w:i/>
                <w:sz w:val="20"/>
              </w:rPr>
              <w:t xml:space="preserve">: a gliptin, </w:t>
            </w:r>
            <w:r w:rsidRPr="00FE7F00">
              <w:rPr>
                <w:rFonts w:ascii="Arial Narrow" w:hAnsi="Arial Narrow"/>
                <w:sz w:val="20"/>
              </w:rPr>
              <w:t>a glitazone</w:t>
            </w:r>
            <w:r w:rsidRPr="00FE7F00">
              <w:rPr>
                <w:rFonts w:ascii="Arial Narrow" w:hAnsi="Arial Narrow"/>
                <w:i/>
                <w:sz w:val="20"/>
              </w:rPr>
              <w:t xml:space="preserve"> or an SGLT2 inhibitor.</w:t>
            </w:r>
          </w:p>
        </w:tc>
      </w:tr>
    </w:tbl>
    <w:p w:rsidR="009F4BFB" w:rsidRPr="00FE7F00" w:rsidRDefault="009F4BFB" w:rsidP="009F4BFB">
      <w:pPr>
        <w:rPr>
          <w:szCs w:val="22"/>
        </w:rPr>
      </w:pPr>
    </w:p>
    <w:p w:rsidR="00273185" w:rsidRDefault="00273185">
      <w:r>
        <w:br w:type="page"/>
      </w:r>
    </w:p>
    <w:tbl>
      <w:tblPr>
        <w:tblW w:w="4915" w:type="pct"/>
        <w:tblLook w:val="0000" w:firstRow="0" w:lastRow="0" w:firstColumn="0" w:lastColumn="0" w:noHBand="0" w:noVBand="0"/>
      </w:tblPr>
      <w:tblGrid>
        <w:gridCol w:w="1909"/>
        <w:gridCol w:w="1334"/>
        <w:gridCol w:w="700"/>
        <w:gridCol w:w="852"/>
        <w:gridCol w:w="1214"/>
        <w:gridCol w:w="2240"/>
        <w:gridCol w:w="836"/>
      </w:tblGrid>
      <w:tr w:rsidR="00FC4098" w:rsidRPr="00FE7F00" w:rsidTr="00E77338">
        <w:trPr>
          <w:cantSplit/>
          <w:trHeight w:val="465"/>
        </w:trPr>
        <w:tc>
          <w:tcPr>
            <w:tcW w:w="1785" w:type="pct"/>
            <w:gridSpan w:val="2"/>
            <w:tcBorders>
              <w:bottom w:val="single" w:sz="4" w:space="0" w:color="auto"/>
            </w:tcBorders>
          </w:tcPr>
          <w:p w:rsidR="00FC4098" w:rsidRPr="00FE7F00" w:rsidRDefault="00FC409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Name, Restriction,</w:t>
            </w:r>
          </w:p>
          <w:p w:rsidR="00FC4098" w:rsidRPr="00FE7F00" w:rsidRDefault="00FC409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Manner of administration and form</w:t>
            </w:r>
          </w:p>
        </w:tc>
        <w:tc>
          <w:tcPr>
            <w:tcW w:w="385" w:type="pct"/>
            <w:tcBorders>
              <w:bottom w:val="single" w:sz="4" w:space="0" w:color="auto"/>
            </w:tcBorders>
          </w:tcPr>
          <w:p w:rsidR="00FC4098" w:rsidRPr="00FE7F00" w:rsidRDefault="00FC409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Max.</w:t>
            </w:r>
          </w:p>
          <w:p w:rsidR="00FC4098" w:rsidRPr="00FE7F00" w:rsidRDefault="00FC409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Qty</w:t>
            </w:r>
          </w:p>
        </w:tc>
        <w:tc>
          <w:tcPr>
            <w:tcW w:w="469" w:type="pct"/>
            <w:tcBorders>
              <w:bottom w:val="single" w:sz="4" w:space="0" w:color="auto"/>
            </w:tcBorders>
          </w:tcPr>
          <w:p w:rsidR="00FC4098" w:rsidRPr="00FE7F00" w:rsidRDefault="00FC409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№.of</w:t>
            </w:r>
          </w:p>
          <w:p w:rsidR="00FC4098" w:rsidRPr="00FE7F00" w:rsidRDefault="00FC409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Rpts</w:t>
            </w:r>
          </w:p>
        </w:tc>
        <w:tc>
          <w:tcPr>
            <w:tcW w:w="2361" w:type="pct"/>
            <w:gridSpan w:val="3"/>
            <w:tcBorders>
              <w:bottom w:val="single" w:sz="4" w:space="0" w:color="auto"/>
            </w:tcBorders>
          </w:tcPr>
          <w:p w:rsidR="00FC4098" w:rsidRPr="00FE7F00" w:rsidRDefault="00FC4098" w:rsidP="008945E7">
            <w:pPr>
              <w:keepNext/>
              <w:spacing w:before="40" w:after="40"/>
              <w:jc w:val="both"/>
              <w:rPr>
                <w:rFonts w:ascii="Arial Narrow" w:hAnsi="Arial Narrow" w:cs="Arial"/>
                <w:b/>
                <w:sz w:val="20"/>
                <w:szCs w:val="20"/>
              </w:rPr>
            </w:pPr>
            <w:r w:rsidRPr="00FE7F00">
              <w:rPr>
                <w:rFonts w:ascii="Arial Narrow" w:hAnsi="Arial Narrow" w:cs="Arial"/>
                <w:b/>
                <w:sz w:val="20"/>
                <w:szCs w:val="20"/>
              </w:rPr>
              <w:t>Proprietary Name and Manufacturer</w:t>
            </w:r>
          </w:p>
        </w:tc>
      </w:tr>
      <w:tr w:rsidR="00FC4098" w:rsidRPr="00FE7F00" w:rsidTr="00E77338">
        <w:trPr>
          <w:cantSplit/>
          <w:trHeight w:val="567"/>
        </w:trPr>
        <w:tc>
          <w:tcPr>
            <w:tcW w:w="1785" w:type="pct"/>
            <w:gridSpan w:val="2"/>
          </w:tcPr>
          <w:p w:rsidR="00FC4098" w:rsidRPr="00FE7F00" w:rsidRDefault="00FC4098" w:rsidP="008945E7">
            <w:pPr>
              <w:keepNext/>
              <w:spacing w:before="40" w:after="40"/>
              <w:jc w:val="both"/>
              <w:rPr>
                <w:rFonts w:ascii="Arial Narrow" w:hAnsi="Arial Narrow" w:cs="Arial"/>
                <w:smallCaps/>
                <w:sz w:val="20"/>
                <w:szCs w:val="20"/>
              </w:rPr>
            </w:pPr>
            <w:r w:rsidRPr="00FE7F00">
              <w:rPr>
                <w:rFonts w:ascii="Arial Narrow" w:hAnsi="Arial Narrow" w:cs="Arial"/>
                <w:smallCaps/>
                <w:sz w:val="20"/>
                <w:szCs w:val="20"/>
              </w:rPr>
              <w:t>linagliptin with metformin</w:t>
            </w:r>
          </w:p>
          <w:p w:rsidR="00FC4098" w:rsidRPr="00FE7F00" w:rsidRDefault="00FC4098" w:rsidP="008945E7">
            <w:pPr>
              <w:keepNext/>
              <w:spacing w:before="40" w:after="40"/>
              <w:jc w:val="both"/>
              <w:rPr>
                <w:rFonts w:ascii="Arial Narrow" w:hAnsi="Arial Narrow" w:cs="Arial"/>
                <w:sz w:val="20"/>
                <w:szCs w:val="20"/>
              </w:rPr>
            </w:pPr>
            <w:r w:rsidRPr="00FE7F00">
              <w:rPr>
                <w:rFonts w:ascii="Arial Narrow" w:hAnsi="Arial Narrow" w:cs="Arial"/>
                <w:sz w:val="20"/>
                <w:szCs w:val="20"/>
              </w:rPr>
              <w:t>tablet, linagliptin 2.5 mg + metformin hydrochloride 500 mg, 60</w:t>
            </w:r>
          </w:p>
        </w:tc>
        <w:tc>
          <w:tcPr>
            <w:tcW w:w="385" w:type="pct"/>
          </w:tcPr>
          <w:p w:rsidR="00FC4098" w:rsidRPr="00FE7F00" w:rsidRDefault="00FC4098" w:rsidP="008945E7">
            <w:pPr>
              <w:keepNext/>
              <w:spacing w:before="40" w:after="40"/>
              <w:jc w:val="both"/>
              <w:rPr>
                <w:rFonts w:ascii="Arial Narrow" w:hAnsi="Arial Narrow" w:cs="Arial"/>
                <w:sz w:val="20"/>
                <w:szCs w:val="20"/>
              </w:rPr>
            </w:pPr>
            <w:r w:rsidRPr="00FE7F00">
              <w:rPr>
                <w:rFonts w:ascii="Arial Narrow" w:hAnsi="Arial Narrow" w:cs="Arial"/>
                <w:sz w:val="20"/>
                <w:szCs w:val="20"/>
              </w:rPr>
              <w:t>1</w:t>
            </w:r>
          </w:p>
        </w:tc>
        <w:tc>
          <w:tcPr>
            <w:tcW w:w="469" w:type="pct"/>
          </w:tcPr>
          <w:p w:rsidR="00FC4098" w:rsidRPr="00FE7F00" w:rsidRDefault="00FC4098" w:rsidP="008945E7">
            <w:pPr>
              <w:keepNext/>
              <w:spacing w:before="40" w:after="40"/>
              <w:jc w:val="both"/>
              <w:rPr>
                <w:rFonts w:ascii="Arial Narrow" w:hAnsi="Arial Narrow" w:cs="Arial"/>
                <w:sz w:val="20"/>
                <w:szCs w:val="20"/>
              </w:rPr>
            </w:pPr>
            <w:r w:rsidRPr="00FE7F00">
              <w:rPr>
                <w:rFonts w:ascii="Arial Narrow" w:hAnsi="Arial Narrow" w:cs="Arial"/>
                <w:sz w:val="20"/>
                <w:szCs w:val="20"/>
              </w:rPr>
              <w:t>5</w:t>
            </w:r>
          </w:p>
        </w:tc>
        <w:tc>
          <w:tcPr>
            <w:tcW w:w="668" w:type="pct"/>
          </w:tcPr>
          <w:p w:rsidR="00FC4098" w:rsidRPr="00FE7F00" w:rsidRDefault="00FC4098" w:rsidP="008945E7">
            <w:pPr>
              <w:keepNext/>
              <w:spacing w:before="40" w:after="40"/>
              <w:jc w:val="both"/>
              <w:rPr>
                <w:rFonts w:ascii="Arial Narrow" w:hAnsi="Arial Narrow" w:cs="Arial"/>
                <w:sz w:val="20"/>
                <w:szCs w:val="20"/>
              </w:rPr>
            </w:pPr>
            <w:r w:rsidRPr="00FE7F00">
              <w:rPr>
                <w:rFonts w:ascii="Arial Narrow" w:hAnsi="Arial Narrow" w:cs="Arial"/>
                <w:sz w:val="20"/>
                <w:szCs w:val="20"/>
              </w:rPr>
              <w:t>Trajentamet®</w:t>
            </w:r>
          </w:p>
        </w:tc>
        <w:tc>
          <w:tcPr>
            <w:tcW w:w="1693" w:type="pct"/>
            <w:gridSpan w:val="2"/>
          </w:tcPr>
          <w:p w:rsidR="00FC4098" w:rsidRPr="00FE7F00" w:rsidRDefault="00FC4098" w:rsidP="008945E7">
            <w:pPr>
              <w:keepNext/>
              <w:spacing w:before="40" w:after="40"/>
              <w:jc w:val="both"/>
              <w:rPr>
                <w:rFonts w:ascii="Arial Narrow" w:hAnsi="Arial Narrow" w:cs="Arial"/>
                <w:sz w:val="20"/>
                <w:szCs w:val="20"/>
              </w:rPr>
            </w:pPr>
            <w:r w:rsidRPr="00FE7F00">
              <w:rPr>
                <w:rFonts w:ascii="Arial Narrow" w:hAnsi="Arial Narrow" w:cs="Arial"/>
                <w:sz w:val="20"/>
                <w:szCs w:val="20"/>
              </w:rPr>
              <w:t xml:space="preserve"> Boehringer Ingelheim Pty Ltd</w:t>
            </w:r>
          </w:p>
        </w:tc>
      </w:tr>
      <w:tr w:rsidR="00FC4098" w:rsidRPr="00FE7F00" w:rsidTr="00E77338">
        <w:trPr>
          <w:cantSplit/>
          <w:trHeight w:val="567"/>
        </w:trPr>
        <w:tc>
          <w:tcPr>
            <w:tcW w:w="1785" w:type="pct"/>
            <w:gridSpan w:val="2"/>
          </w:tcPr>
          <w:p w:rsidR="00FC4098" w:rsidRPr="00FE7F00" w:rsidRDefault="00FC4098" w:rsidP="008945E7">
            <w:pPr>
              <w:keepNext/>
              <w:spacing w:before="40" w:after="40"/>
              <w:jc w:val="both"/>
              <w:rPr>
                <w:rFonts w:ascii="Arial Narrow" w:hAnsi="Arial Narrow" w:cs="Arial"/>
                <w:smallCaps/>
                <w:sz w:val="20"/>
                <w:szCs w:val="20"/>
              </w:rPr>
            </w:pPr>
            <w:r w:rsidRPr="00FE7F00">
              <w:rPr>
                <w:rFonts w:ascii="Arial Narrow" w:hAnsi="Arial Narrow" w:cs="Arial"/>
                <w:sz w:val="20"/>
                <w:szCs w:val="20"/>
              </w:rPr>
              <w:t>tablet, linagliptin 2.5 mg + metformin hydrochloride 1 g, 60</w:t>
            </w:r>
          </w:p>
        </w:tc>
        <w:tc>
          <w:tcPr>
            <w:tcW w:w="385" w:type="pct"/>
          </w:tcPr>
          <w:p w:rsidR="00FC4098" w:rsidRPr="00FE7F00" w:rsidRDefault="00FC4098" w:rsidP="008945E7">
            <w:pPr>
              <w:keepNext/>
              <w:spacing w:before="40" w:after="40"/>
              <w:jc w:val="both"/>
              <w:rPr>
                <w:rFonts w:ascii="Arial Narrow" w:hAnsi="Arial Narrow" w:cs="Arial"/>
                <w:sz w:val="20"/>
                <w:szCs w:val="20"/>
              </w:rPr>
            </w:pPr>
            <w:r w:rsidRPr="00FE7F00">
              <w:rPr>
                <w:rFonts w:ascii="Arial Narrow" w:hAnsi="Arial Narrow" w:cs="Arial"/>
                <w:sz w:val="20"/>
                <w:szCs w:val="20"/>
              </w:rPr>
              <w:t>1</w:t>
            </w:r>
          </w:p>
        </w:tc>
        <w:tc>
          <w:tcPr>
            <w:tcW w:w="469" w:type="pct"/>
          </w:tcPr>
          <w:p w:rsidR="00FC4098" w:rsidRPr="00FE7F00" w:rsidRDefault="00FC4098" w:rsidP="008945E7">
            <w:pPr>
              <w:keepNext/>
              <w:spacing w:before="40" w:after="40"/>
              <w:jc w:val="both"/>
              <w:rPr>
                <w:rFonts w:ascii="Arial Narrow" w:hAnsi="Arial Narrow" w:cs="Arial"/>
                <w:sz w:val="20"/>
                <w:szCs w:val="20"/>
              </w:rPr>
            </w:pPr>
            <w:r w:rsidRPr="00FE7F00">
              <w:rPr>
                <w:rFonts w:ascii="Arial Narrow" w:hAnsi="Arial Narrow" w:cs="Arial"/>
                <w:sz w:val="20"/>
                <w:szCs w:val="20"/>
              </w:rPr>
              <w:t>5</w:t>
            </w:r>
          </w:p>
        </w:tc>
        <w:tc>
          <w:tcPr>
            <w:tcW w:w="668" w:type="pct"/>
          </w:tcPr>
          <w:p w:rsidR="00FC4098" w:rsidRPr="00FE7F00" w:rsidRDefault="00FC4098" w:rsidP="008945E7">
            <w:pPr>
              <w:keepNext/>
              <w:spacing w:before="40" w:after="40"/>
              <w:jc w:val="both"/>
              <w:rPr>
                <w:rFonts w:ascii="Arial Narrow" w:hAnsi="Arial Narrow" w:cs="Arial"/>
                <w:sz w:val="20"/>
                <w:szCs w:val="20"/>
              </w:rPr>
            </w:pPr>
          </w:p>
        </w:tc>
        <w:tc>
          <w:tcPr>
            <w:tcW w:w="1693" w:type="pct"/>
            <w:gridSpan w:val="2"/>
          </w:tcPr>
          <w:p w:rsidR="00FC4098" w:rsidRPr="00FE7F00" w:rsidRDefault="00FC4098" w:rsidP="008945E7">
            <w:pPr>
              <w:keepNext/>
              <w:spacing w:before="40" w:after="40"/>
              <w:jc w:val="both"/>
              <w:rPr>
                <w:rFonts w:ascii="Arial Narrow" w:hAnsi="Arial Narrow" w:cs="Arial"/>
                <w:sz w:val="20"/>
                <w:szCs w:val="20"/>
              </w:rPr>
            </w:pPr>
          </w:p>
        </w:tc>
      </w:tr>
      <w:tr w:rsidR="00FC4098" w:rsidRPr="00FE7F00" w:rsidTr="00E77338">
        <w:trPr>
          <w:cantSplit/>
          <w:trHeight w:val="567"/>
        </w:trPr>
        <w:tc>
          <w:tcPr>
            <w:tcW w:w="1785" w:type="pct"/>
            <w:gridSpan w:val="2"/>
          </w:tcPr>
          <w:p w:rsidR="00FC4098" w:rsidRPr="00FE7F00" w:rsidRDefault="00FC4098" w:rsidP="008945E7">
            <w:pPr>
              <w:keepNext/>
              <w:spacing w:before="40" w:after="40"/>
              <w:jc w:val="both"/>
              <w:rPr>
                <w:rFonts w:ascii="Arial Narrow" w:hAnsi="Arial Narrow" w:cs="Arial"/>
                <w:sz w:val="20"/>
                <w:szCs w:val="20"/>
              </w:rPr>
            </w:pPr>
            <w:r w:rsidRPr="00FE7F00">
              <w:rPr>
                <w:rFonts w:ascii="Arial Narrow" w:hAnsi="Arial Narrow" w:cs="Arial"/>
                <w:sz w:val="20"/>
                <w:szCs w:val="20"/>
              </w:rPr>
              <w:t>tablet, linagliptin 2.5 mg + metformin hydrochloride 850 mg, 60</w:t>
            </w:r>
          </w:p>
        </w:tc>
        <w:tc>
          <w:tcPr>
            <w:tcW w:w="385" w:type="pct"/>
          </w:tcPr>
          <w:p w:rsidR="00FC4098" w:rsidRPr="00FE7F00" w:rsidRDefault="00FC4098" w:rsidP="008945E7">
            <w:pPr>
              <w:keepNext/>
              <w:spacing w:before="40" w:after="40"/>
              <w:jc w:val="both"/>
              <w:rPr>
                <w:rFonts w:ascii="Arial Narrow" w:hAnsi="Arial Narrow" w:cs="Arial"/>
                <w:sz w:val="20"/>
                <w:szCs w:val="20"/>
              </w:rPr>
            </w:pPr>
            <w:r w:rsidRPr="00FE7F00">
              <w:rPr>
                <w:rFonts w:ascii="Arial Narrow" w:hAnsi="Arial Narrow" w:cs="Arial"/>
                <w:sz w:val="20"/>
                <w:szCs w:val="20"/>
              </w:rPr>
              <w:t>1</w:t>
            </w:r>
          </w:p>
        </w:tc>
        <w:tc>
          <w:tcPr>
            <w:tcW w:w="469" w:type="pct"/>
          </w:tcPr>
          <w:p w:rsidR="00FC4098" w:rsidRPr="00FE7F00" w:rsidRDefault="00FC4098" w:rsidP="008945E7">
            <w:pPr>
              <w:keepNext/>
              <w:spacing w:before="40" w:after="40"/>
              <w:jc w:val="both"/>
              <w:rPr>
                <w:rFonts w:ascii="Arial Narrow" w:hAnsi="Arial Narrow" w:cs="Arial"/>
                <w:sz w:val="20"/>
                <w:szCs w:val="20"/>
              </w:rPr>
            </w:pPr>
            <w:r w:rsidRPr="00FE7F00">
              <w:rPr>
                <w:rFonts w:ascii="Arial Narrow" w:hAnsi="Arial Narrow" w:cs="Arial"/>
                <w:sz w:val="20"/>
                <w:szCs w:val="20"/>
              </w:rPr>
              <w:t>5</w:t>
            </w:r>
          </w:p>
        </w:tc>
        <w:tc>
          <w:tcPr>
            <w:tcW w:w="668" w:type="pct"/>
          </w:tcPr>
          <w:p w:rsidR="00FC4098" w:rsidRPr="00FE7F00" w:rsidRDefault="00FC4098" w:rsidP="008945E7">
            <w:pPr>
              <w:keepNext/>
              <w:spacing w:before="40" w:after="40"/>
              <w:jc w:val="both"/>
              <w:rPr>
                <w:rFonts w:ascii="Arial Narrow" w:hAnsi="Arial Narrow" w:cs="Arial"/>
                <w:sz w:val="20"/>
                <w:szCs w:val="20"/>
              </w:rPr>
            </w:pPr>
          </w:p>
        </w:tc>
        <w:tc>
          <w:tcPr>
            <w:tcW w:w="1693" w:type="pct"/>
            <w:gridSpan w:val="2"/>
          </w:tcPr>
          <w:p w:rsidR="00FC4098" w:rsidRPr="00FE7F00" w:rsidRDefault="00FC4098" w:rsidP="008945E7">
            <w:pPr>
              <w:keepNext/>
              <w:spacing w:before="40" w:after="40"/>
              <w:jc w:val="both"/>
              <w:rPr>
                <w:rFonts w:ascii="Arial Narrow" w:hAnsi="Arial Narrow" w:cs="Arial"/>
                <w:sz w:val="20"/>
                <w:szCs w:val="20"/>
              </w:rPr>
            </w:pPr>
          </w:p>
        </w:tc>
      </w:tr>
      <w:tr w:rsidR="009F4BFB" w:rsidRPr="00FE7F00" w:rsidTr="008945E7">
        <w:trPr>
          <w:gridAfter w:val="1"/>
          <w:wAfter w:w="460" w:type="pct"/>
          <w:cantSplit/>
          <w:trHeight w:val="360"/>
        </w:trPr>
        <w:tc>
          <w:tcPr>
            <w:tcW w:w="4540" w:type="pct"/>
            <w:gridSpan w:val="6"/>
            <w:tcBorders>
              <w:bottom w:val="single" w:sz="4" w:space="0" w:color="auto"/>
            </w:tcBorders>
          </w:tcPr>
          <w:p w:rsidR="009F4BFB" w:rsidRPr="00FE7F00" w:rsidRDefault="009F4BFB" w:rsidP="008945E7">
            <w:pPr>
              <w:spacing w:before="40" w:after="40"/>
              <w:jc w:val="both"/>
              <w:rPr>
                <w:rFonts w:ascii="Arial Narrow" w:hAnsi="Arial Narrow" w:cs="Arial"/>
                <w:sz w:val="20"/>
                <w:szCs w:val="20"/>
              </w:rPr>
            </w:pPr>
          </w:p>
        </w:tc>
      </w:tr>
      <w:tr w:rsidR="009F4BFB" w:rsidRPr="00FE7F00" w:rsidTr="008945E7">
        <w:trPr>
          <w:cantSplit/>
          <w:trHeight w:val="360"/>
        </w:trPr>
        <w:tc>
          <w:tcPr>
            <w:tcW w:w="1051"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sz w:val="20"/>
                <w:szCs w:val="20"/>
              </w:rPr>
            </w:pPr>
            <w:r w:rsidRPr="00FE7F00">
              <w:rPr>
                <w:rFonts w:ascii="Arial Narrow" w:hAnsi="Arial Narrow" w:cs="Arial"/>
                <w:sz w:val="20"/>
                <w:szCs w:val="20"/>
              </w:rPr>
              <w:t xml:space="preserve">Category / </w:t>
            </w:r>
          </w:p>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sz w:val="20"/>
                <w:szCs w:val="20"/>
              </w:rPr>
              <w:t>Program</w:t>
            </w:r>
          </w:p>
        </w:tc>
        <w:tc>
          <w:tcPr>
            <w:tcW w:w="3949" w:type="pct"/>
            <w:gridSpan w:val="6"/>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GENERAL – General Schedule (Code GE)</w:t>
            </w:r>
          </w:p>
          <w:p w:rsidR="009F4BFB" w:rsidRPr="00FE7F00" w:rsidRDefault="009F4BFB" w:rsidP="008945E7">
            <w:pPr>
              <w:spacing w:before="40" w:after="40"/>
              <w:rPr>
                <w:rFonts w:ascii="Arial Narrow" w:hAnsi="Arial Narrow" w:cs="Arial"/>
                <w:sz w:val="20"/>
                <w:szCs w:val="20"/>
              </w:rPr>
            </w:pPr>
          </w:p>
        </w:tc>
      </w:tr>
      <w:tr w:rsidR="009F4BFB" w:rsidRPr="00FE7F00" w:rsidTr="008945E7">
        <w:trPr>
          <w:cantSplit/>
          <w:trHeight w:val="360"/>
        </w:trPr>
        <w:tc>
          <w:tcPr>
            <w:tcW w:w="1051"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Prescriber type:</w:t>
            </w:r>
          </w:p>
        </w:tc>
        <w:tc>
          <w:tcPr>
            <w:tcW w:w="3949" w:type="pct"/>
            <w:gridSpan w:val="6"/>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Check1"/>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Dental  </w:t>
            </w:r>
            <w:r w:rsidRPr="00FE7F00">
              <w:rPr>
                <w:rFonts w:ascii="Arial Narrow" w:hAnsi="Arial Narrow" w:cs="Arial"/>
                <w:sz w:val="20"/>
                <w:szCs w:val="20"/>
              </w:rPr>
              <w:fldChar w:fldCharType="begin">
                <w:ffData>
                  <w:name w:val=""/>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Medical Practitioners  </w:t>
            </w:r>
            <w:r w:rsidRPr="00FE7F00">
              <w:rPr>
                <w:rFonts w:ascii="Arial Narrow" w:hAnsi="Arial Narrow" w:cs="Arial"/>
                <w:sz w:val="20"/>
                <w:szCs w:val="20"/>
              </w:rPr>
              <w:fldChar w:fldCharType="begin">
                <w:ffData>
                  <w:name w:val=""/>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 xml:space="preserve">Nurse practitioners  </w:t>
            </w:r>
            <w:r w:rsidRPr="00FE7F00">
              <w:rPr>
                <w:rFonts w:ascii="Arial Narrow" w:hAnsi="Arial Narrow" w:cs="Arial"/>
                <w:sz w:val="20"/>
                <w:szCs w:val="20"/>
              </w:rPr>
              <w:fldChar w:fldCharType="begin">
                <w:ffData>
                  <w:name w:val=""/>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Optometrists</w:t>
            </w:r>
          </w:p>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Check5"/>
                  <w:enabled/>
                  <w:calcOnExit w:val="0"/>
                  <w:checkBox>
                    <w:sizeAuto/>
                    <w:default w:val="0"/>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Midwives</w:t>
            </w:r>
          </w:p>
        </w:tc>
      </w:tr>
      <w:tr w:rsidR="009F4BFB" w:rsidRPr="00FE7F00" w:rsidTr="008945E7">
        <w:trPr>
          <w:cantSplit/>
          <w:trHeight w:val="360"/>
        </w:trPr>
        <w:tc>
          <w:tcPr>
            <w:tcW w:w="1051"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Condition:</w:t>
            </w:r>
          </w:p>
        </w:tc>
        <w:tc>
          <w:tcPr>
            <w:tcW w:w="3949" w:type="pct"/>
            <w:gridSpan w:val="6"/>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Diabetes mellitus type 2</w:t>
            </w:r>
          </w:p>
        </w:tc>
      </w:tr>
      <w:tr w:rsidR="009F4BFB" w:rsidRPr="00FE7F00" w:rsidTr="008945E7">
        <w:trPr>
          <w:cantSplit/>
          <w:trHeight w:val="360"/>
        </w:trPr>
        <w:tc>
          <w:tcPr>
            <w:tcW w:w="1051"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PBS Indication:</w:t>
            </w:r>
          </w:p>
        </w:tc>
        <w:tc>
          <w:tcPr>
            <w:tcW w:w="3949" w:type="pct"/>
            <w:gridSpan w:val="6"/>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t>Diabetes mellitus type 2</w:t>
            </w:r>
          </w:p>
        </w:tc>
      </w:tr>
      <w:tr w:rsidR="009F4BFB" w:rsidRPr="00FE7F00" w:rsidTr="008945E7">
        <w:trPr>
          <w:cantSplit/>
          <w:trHeight w:val="360"/>
        </w:trPr>
        <w:tc>
          <w:tcPr>
            <w:tcW w:w="1051"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Restriction Level / Method:</w:t>
            </w:r>
          </w:p>
          <w:p w:rsidR="009F4BFB" w:rsidRPr="00FE7F00" w:rsidRDefault="009F4BFB" w:rsidP="008945E7">
            <w:pPr>
              <w:spacing w:before="40" w:after="40"/>
              <w:rPr>
                <w:rFonts w:ascii="Arial Narrow" w:hAnsi="Arial Narrow" w:cs="Arial"/>
                <w:sz w:val="20"/>
                <w:szCs w:val="20"/>
              </w:rPr>
            </w:pPr>
          </w:p>
        </w:tc>
        <w:tc>
          <w:tcPr>
            <w:tcW w:w="3949" w:type="pct"/>
            <w:gridSpan w:val="6"/>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rPr>
                <w:rFonts w:ascii="Arial Narrow" w:hAnsi="Arial Narrow" w:cs="Arial"/>
                <w:sz w:val="20"/>
                <w:szCs w:val="20"/>
              </w:rPr>
            </w:pPr>
            <w:r w:rsidRPr="00FE7F00">
              <w:rPr>
                <w:rFonts w:ascii="Arial Narrow" w:hAnsi="Arial Narrow" w:cs="Arial"/>
                <w:sz w:val="20"/>
                <w:szCs w:val="20"/>
              </w:rPr>
              <w:fldChar w:fldCharType="begin">
                <w:ffData>
                  <w:name w:val=""/>
                  <w:enabled/>
                  <w:calcOnExit w:val="0"/>
                  <w:checkBox>
                    <w:sizeAuto/>
                    <w:default w:val="1"/>
                  </w:checkBox>
                </w:ffData>
              </w:fldChar>
            </w:r>
            <w:r w:rsidRPr="00FE7F00">
              <w:rPr>
                <w:rFonts w:ascii="Arial Narrow" w:hAnsi="Arial Narrow" w:cs="Arial"/>
                <w:sz w:val="20"/>
                <w:szCs w:val="20"/>
              </w:rPr>
              <w:instrText xml:space="preserve"> FORMCHECKBOX </w:instrText>
            </w:r>
            <w:r w:rsidR="009D4C65">
              <w:rPr>
                <w:rFonts w:ascii="Arial Narrow" w:hAnsi="Arial Narrow" w:cs="Arial"/>
                <w:sz w:val="20"/>
                <w:szCs w:val="20"/>
              </w:rPr>
            </w:r>
            <w:r w:rsidR="009D4C65">
              <w:rPr>
                <w:rFonts w:ascii="Arial Narrow" w:hAnsi="Arial Narrow" w:cs="Arial"/>
                <w:sz w:val="20"/>
                <w:szCs w:val="20"/>
              </w:rPr>
              <w:fldChar w:fldCharType="separate"/>
            </w:r>
            <w:r w:rsidRPr="00FE7F00">
              <w:rPr>
                <w:rFonts w:ascii="Arial Narrow" w:hAnsi="Arial Narrow" w:cs="Arial"/>
                <w:sz w:val="20"/>
                <w:szCs w:val="20"/>
              </w:rPr>
              <w:fldChar w:fldCharType="end"/>
            </w:r>
            <w:r w:rsidRPr="00FE7F00">
              <w:rPr>
                <w:rFonts w:ascii="Arial Narrow" w:hAnsi="Arial Narrow" w:cs="Arial"/>
                <w:sz w:val="20"/>
                <w:szCs w:val="20"/>
              </w:rPr>
              <w:t>Streamlined</w:t>
            </w:r>
          </w:p>
        </w:tc>
      </w:tr>
      <w:tr w:rsidR="009F4BFB" w:rsidRPr="00FE7F00" w:rsidTr="008945E7">
        <w:trPr>
          <w:cantSplit/>
          <w:trHeight w:val="360"/>
        </w:trPr>
        <w:tc>
          <w:tcPr>
            <w:tcW w:w="1051"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Clinical criteria:</w:t>
            </w:r>
          </w:p>
          <w:p w:rsidR="009F4BFB" w:rsidRPr="00FE7F00" w:rsidRDefault="009F4BFB" w:rsidP="008945E7">
            <w:pPr>
              <w:spacing w:before="40" w:after="40"/>
              <w:jc w:val="both"/>
              <w:rPr>
                <w:rFonts w:ascii="Arial Narrow" w:hAnsi="Arial Narrow" w:cs="Arial"/>
                <w:i/>
                <w:sz w:val="20"/>
                <w:szCs w:val="20"/>
              </w:rPr>
            </w:pPr>
          </w:p>
          <w:p w:rsidR="009F4BFB" w:rsidRPr="00FE7F00" w:rsidRDefault="009F4BFB" w:rsidP="008945E7">
            <w:pPr>
              <w:spacing w:before="40" w:after="40"/>
              <w:jc w:val="both"/>
              <w:rPr>
                <w:rFonts w:ascii="Arial Narrow" w:hAnsi="Arial Narrow" w:cs="Arial"/>
                <w:sz w:val="20"/>
                <w:szCs w:val="20"/>
              </w:rPr>
            </w:pPr>
          </w:p>
        </w:tc>
        <w:tc>
          <w:tcPr>
            <w:tcW w:w="3949" w:type="pct"/>
            <w:gridSpan w:val="6"/>
            <w:tcBorders>
              <w:top w:val="single" w:sz="4" w:space="0" w:color="auto"/>
              <w:left w:val="single" w:sz="4" w:space="0" w:color="auto"/>
              <w:bottom w:val="single" w:sz="4" w:space="0" w:color="auto"/>
              <w:right w:val="single" w:sz="4" w:space="0" w:color="auto"/>
            </w:tcBorders>
          </w:tcPr>
          <w:p w:rsidR="000B4602" w:rsidRPr="00FE7F00" w:rsidRDefault="000B4602" w:rsidP="000B4602">
            <w:pPr>
              <w:spacing w:before="60"/>
              <w:jc w:val="both"/>
              <w:rPr>
                <w:rFonts w:ascii="Arial Narrow" w:hAnsi="Arial Narrow"/>
                <w:sz w:val="20"/>
              </w:rPr>
            </w:pPr>
            <w:r w:rsidRPr="00FE7F00">
              <w:rPr>
                <w:rFonts w:ascii="Arial Narrow" w:hAnsi="Arial Narrow"/>
                <w:sz w:val="20"/>
              </w:rPr>
              <w:t xml:space="preserve">The treatment must be in combination with a </w:t>
            </w:r>
            <w:r w:rsidR="0094008C" w:rsidRPr="00FE7F00">
              <w:rPr>
                <w:rFonts w:ascii="Arial Narrow" w:hAnsi="Arial Narrow"/>
                <w:sz w:val="20"/>
              </w:rPr>
              <w:t>sodium-glucose co-transporter 2 (SGLT2) inhibitor</w:t>
            </w:r>
            <w:r w:rsidRPr="00FE7F00">
              <w:rPr>
                <w:rFonts w:ascii="Arial Narrow" w:hAnsi="Arial Narrow"/>
                <w:sz w:val="20"/>
              </w:rPr>
              <w:t xml:space="preserve">, </w:t>
            </w:r>
          </w:p>
          <w:p w:rsidR="00E77338" w:rsidRPr="00FE7F00" w:rsidRDefault="00E77338" w:rsidP="00C40856">
            <w:pPr>
              <w:spacing w:before="40" w:after="40"/>
              <w:rPr>
                <w:rFonts w:ascii="Arial Narrow" w:hAnsi="Arial Narrow" w:cs="Arial"/>
                <w:sz w:val="20"/>
                <w:szCs w:val="20"/>
              </w:rPr>
            </w:pPr>
          </w:p>
          <w:p w:rsidR="00C40856" w:rsidRPr="00FE7F00" w:rsidRDefault="00C40856" w:rsidP="00C40856">
            <w:pPr>
              <w:spacing w:before="40" w:after="40"/>
              <w:rPr>
                <w:rFonts w:ascii="Arial Narrow" w:hAnsi="Arial Narrow" w:cs="Arial"/>
                <w:sz w:val="20"/>
                <w:szCs w:val="20"/>
              </w:rPr>
            </w:pPr>
            <w:r w:rsidRPr="00FE7F00">
              <w:rPr>
                <w:rFonts w:ascii="Arial Narrow" w:hAnsi="Arial Narrow" w:cs="Arial"/>
                <w:sz w:val="20"/>
                <w:szCs w:val="20"/>
              </w:rPr>
              <w:t>AND</w:t>
            </w:r>
          </w:p>
          <w:p w:rsidR="00C40856" w:rsidRPr="00FE7F00" w:rsidRDefault="00C40856" w:rsidP="00C40856">
            <w:pPr>
              <w:spacing w:before="40" w:after="40"/>
              <w:rPr>
                <w:rFonts w:ascii="Arial Narrow" w:hAnsi="Arial Narrow" w:cs="Arial"/>
                <w:sz w:val="20"/>
                <w:szCs w:val="20"/>
              </w:rPr>
            </w:pPr>
          </w:p>
          <w:p w:rsidR="00C40856" w:rsidRPr="00FE7F00" w:rsidRDefault="00C40856" w:rsidP="00C40856">
            <w:pPr>
              <w:spacing w:before="40" w:after="40"/>
              <w:rPr>
                <w:rFonts w:ascii="Arial Narrow" w:hAnsi="Arial Narrow" w:cs="Arial"/>
                <w:sz w:val="20"/>
                <w:szCs w:val="20"/>
              </w:rPr>
            </w:pPr>
            <w:r w:rsidRPr="00FE7F00">
              <w:rPr>
                <w:rFonts w:ascii="Arial Narrow" w:hAnsi="Arial Narrow" w:cs="Arial"/>
                <w:sz w:val="20"/>
                <w:szCs w:val="20"/>
              </w:rPr>
              <w:t xml:space="preserve">Patient must have previously been stabilised on dual or triple oral therapy which </w:t>
            </w:r>
            <w:r w:rsidR="00E20B27" w:rsidRPr="00FE7F00">
              <w:rPr>
                <w:rFonts w:ascii="Arial Narrow" w:hAnsi="Arial Narrow" w:cs="Arial"/>
                <w:sz w:val="20"/>
                <w:szCs w:val="20"/>
              </w:rPr>
              <w:t xml:space="preserve">included </w:t>
            </w:r>
            <w:r w:rsidRPr="00FE7F00">
              <w:rPr>
                <w:rFonts w:ascii="Arial Narrow" w:hAnsi="Arial Narrow" w:cs="Arial"/>
                <w:sz w:val="20"/>
                <w:szCs w:val="20"/>
              </w:rPr>
              <w:t xml:space="preserve">an SGLT2 inhibitor, </w:t>
            </w:r>
          </w:p>
          <w:p w:rsidR="00C40856" w:rsidRPr="00FE7F00" w:rsidRDefault="00C40856" w:rsidP="00C40856">
            <w:pPr>
              <w:spacing w:before="40" w:after="40"/>
              <w:rPr>
                <w:rFonts w:ascii="Arial Narrow" w:hAnsi="Arial Narrow" w:cs="Arial"/>
                <w:sz w:val="20"/>
                <w:szCs w:val="20"/>
              </w:rPr>
            </w:pPr>
          </w:p>
          <w:p w:rsidR="00C40856" w:rsidRPr="00FE7F00" w:rsidRDefault="00C40856" w:rsidP="00C40856">
            <w:pPr>
              <w:spacing w:before="40" w:after="40"/>
              <w:rPr>
                <w:rFonts w:ascii="Arial Narrow" w:hAnsi="Arial Narrow" w:cs="Arial"/>
                <w:sz w:val="20"/>
                <w:szCs w:val="20"/>
              </w:rPr>
            </w:pPr>
            <w:r w:rsidRPr="00FE7F00">
              <w:rPr>
                <w:rFonts w:ascii="Arial Narrow" w:hAnsi="Arial Narrow" w:cs="Arial"/>
                <w:sz w:val="20"/>
                <w:szCs w:val="20"/>
              </w:rPr>
              <w:t>OR</w:t>
            </w:r>
          </w:p>
          <w:p w:rsidR="00C40856" w:rsidRPr="00FE7F00" w:rsidRDefault="00C40856" w:rsidP="00C40856">
            <w:pPr>
              <w:rPr>
                <w:rFonts w:ascii="Arial Narrow" w:hAnsi="Arial Narrow"/>
                <w:sz w:val="20"/>
              </w:rPr>
            </w:pPr>
          </w:p>
          <w:p w:rsidR="00C40856" w:rsidRPr="00FE7F00" w:rsidRDefault="00C40856" w:rsidP="00C40856">
            <w:pPr>
              <w:rPr>
                <w:rFonts w:ascii="Arial Narrow" w:hAnsi="Arial Narrow"/>
                <w:sz w:val="20"/>
              </w:rPr>
            </w:pPr>
            <w:r w:rsidRPr="00FE7F00">
              <w:rPr>
                <w:rFonts w:ascii="Arial Narrow" w:hAnsi="Arial Narrow"/>
                <w:sz w:val="20"/>
              </w:rPr>
              <w:t xml:space="preserve">Patient must have previously been stabilised on dual or triple oral therapy which </w:t>
            </w:r>
            <w:r w:rsidR="00E20B27" w:rsidRPr="00FE7F00">
              <w:rPr>
                <w:rFonts w:ascii="Arial Narrow" w:hAnsi="Arial Narrow"/>
                <w:sz w:val="20"/>
              </w:rPr>
              <w:t xml:space="preserve">included </w:t>
            </w:r>
            <w:r w:rsidRPr="00FE7F00">
              <w:rPr>
                <w:rFonts w:ascii="Arial Narrow" w:hAnsi="Arial Narrow"/>
                <w:sz w:val="20"/>
              </w:rPr>
              <w:t>a dipeptidyl peptidase 1 inhibitor (gliptin),</w:t>
            </w:r>
          </w:p>
          <w:p w:rsidR="00873556" w:rsidRPr="00FE7F00" w:rsidRDefault="00873556" w:rsidP="000B4602">
            <w:pPr>
              <w:spacing w:before="60"/>
              <w:ind w:left="33"/>
              <w:jc w:val="both"/>
              <w:rPr>
                <w:rFonts w:ascii="Arial Narrow" w:hAnsi="Arial Narrow"/>
                <w:sz w:val="20"/>
              </w:rPr>
            </w:pPr>
          </w:p>
          <w:p w:rsidR="000B4602" w:rsidRPr="00FE7F00" w:rsidRDefault="000B4602" w:rsidP="00E77338">
            <w:pPr>
              <w:spacing w:before="60"/>
              <w:jc w:val="both"/>
              <w:rPr>
                <w:rFonts w:ascii="Arial Narrow" w:hAnsi="Arial Narrow"/>
                <w:sz w:val="20"/>
              </w:rPr>
            </w:pPr>
            <w:r w:rsidRPr="00FE7F00">
              <w:rPr>
                <w:rFonts w:ascii="Arial Narrow" w:hAnsi="Arial Narrow"/>
                <w:sz w:val="20"/>
              </w:rPr>
              <w:t>AND</w:t>
            </w:r>
          </w:p>
          <w:p w:rsidR="00873556" w:rsidRPr="00FE7F00" w:rsidRDefault="00873556" w:rsidP="000B4602">
            <w:pPr>
              <w:spacing w:before="60"/>
              <w:jc w:val="both"/>
              <w:rPr>
                <w:rFonts w:ascii="Arial Narrow" w:hAnsi="Arial Narrow"/>
                <w:sz w:val="20"/>
              </w:rPr>
            </w:pPr>
          </w:p>
          <w:p w:rsidR="00C40856" w:rsidRPr="00FE7F00" w:rsidRDefault="00C40856" w:rsidP="00C40856">
            <w:pPr>
              <w:rPr>
                <w:rFonts w:ascii="Arial Narrow" w:hAnsi="Arial Narrow"/>
                <w:sz w:val="20"/>
              </w:rPr>
            </w:pPr>
            <w:r w:rsidRPr="00FE7F00">
              <w:rPr>
                <w:rFonts w:ascii="Arial Narrow" w:hAnsi="Arial Narrow"/>
                <w:sz w:val="20"/>
              </w:rPr>
              <w:t>Patient must have, or have had, an HbA1c measurement greater than 7% prior to the initiation of triple oral therapy with a dipeptidyl peptidase 4 inhibitor (gliptin) and a sodium</w:t>
            </w:r>
            <w:r w:rsidRPr="00FE7F00">
              <w:rPr>
                <w:rFonts w:ascii="Arial Narrow" w:hAnsi="Arial Narrow"/>
                <w:sz w:val="20"/>
              </w:rPr>
              <w:noBreakHyphen/>
              <w:t>glucose co</w:t>
            </w:r>
            <w:r w:rsidRPr="00FE7F00">
              <w:rPr>
                <w:rFonts w:ascii="Arial Narrow" w:hAnsi="Arial Narrow"/>
                <w:sz w:val="20"/>
              </w:rPr>
              <w:noBreakHyphen/>
              <w:t xml:space="preserve">transporter 2 (SGLT2) inhibitor, </w:t>
            </w:r>
          </w:p>
          <w:p w:rsidR="00C40856" w:rsidRPr="00FE7F00" w:rsidRDefault="00C40856" w:rsidP="00C40856">
            <w:pPr>
              <w:rPr>
                <w:rFonts w:ascii="Arial Narrow" w:hAnsi="Arial Narrow"/>
                <w:sz w:val="20"/>
              </w:rPr>
            </w:pPr>
          </w:p>
          <w:p w:rsidR="00C40856" w:rsidRPr="00FE7F00" w:rsidRDefault="00C40856" w:rsidP="00C40856">
            <w:pPr>
              <w:rPr>
                <w:rFonts w:ascii="Arial Narrow" w:hAnsi="Arial Narrow"/>
                <w:sz w:val="20"/>
              </w:rPr>
            </w:pPr>
            <w:r w:rsidRPr="00FE7F00">
              <w:rPr>
                <w:rFonts w:ascii="Arial Narrow" w:hAnsi="Arial Narrow"/>
                <w:sz w:val="20"/>
              </w:rPr>
              <w:t>OR</w:t>
            </w:r>
          </w:p>
          <w:p w:rsidR="00C40856" w:rsidRPr="00FE7F00" w:rsidRDefault="00C40856" w:rsidP="00C40856">
            <w:pPr>
              <w:rPr>
                <w:rFonts w:ascii="Arial Narrow" w:hAnsi="Arial Narrow"/>
                <w:sz w:val="20"/>
              </w:rPr>
            </w:pPr>
          </w:p>
          <w:p w:rsidR="00C40856" w:rsidRPr="00FE7F00" w:rsidRDefault="00C40856" w:rsidP="00C40856">
            <w:pPr>
              <w:rPr>
                <w:rFonts w:ascii="Arial Narrow" w:hAnsi="Arial Narrow"/>
                <w:sz w:val="20"/>
              </w:rPr>
            </w:pPr>
            <w:r w:rsidRPr="00FE7F00">
              <w:rPr>
                <w:rFonts w:ascii="Arial Narrow" w:hAnsi="Arial Narrow"/>
                <w:sz w:val="20"/>
              </w:rPr>
              <w:t>Patient must have, or have had, where HbA1c measurement is clinically inappropriate, blood glucose levels greater than 10 mmol per L in more than 20% of tests over a 2 week period prior to initiation of triple oral therapy with a gliptin, and an SGLT2 inhibitor.</w:t>
            </w:r>
          </w:p>
          <w:p w:rsidR="009F4BFB" w:rsidRPr="00FE7F00" w:rsidRDefault="009F4BFB" w:rsidP="00873556">
            <w:pPr>
              <w:spacing w:before="40" w:after="40"/>
              <w:rPr>
                <w:rFonts w:ascii="Arial Narrow" w:hAnsi="Arial Narrow" w:cs="Arial"/>
                <w:sz w:val="20"/>
                <w:szCs w:val="20"/>
              </w:rPr>
            </w:pPr>
          </w:p>
        </w:tc>
      </w:tr>
      <w:tr w:rsidR="009F4BFB" w:rsidRPr="00FE7F00" w:rsidTr="008945E7">
        <w:trPr>
          <w:cantSplit/>
          <w:trHeight w:val="360"/>
        </w:trPr>
        <w:tc>
          <w:tcPr>
            <w:tcW w:w="1051"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Prescriber Instructions</w:t>
            </w:r>
          </w:p>
          <w:p w:rsidR="009F4BFB" w:rsidRPr="00FE7F00" w:rsidRDefault="009F4BFB" w:rsidP="008945E7">
            <w:pPr>
              <w:spacing w:before="40" w:after="40"/>
              <w:jc w:val="both"/>
              <w:rPr>
                <w:rFonts w:ascii="Arial Narrow" w:hAnsi="Arial Narrow" w:cs="Arial"/>
                <w:sz w:val="20"/>
                <w:szCs w:val="20"/>
              </w:rPr>
            </w:pPr>
          </w:p>
        </w:tc>
        <w:tc>
          <w:tcPr>
            <w:tcW w:w="3949" w:type="pct"/>
            <w:gridSpan w:val="6"/>
            <w:tcBorders>
              <w:top w:val="single" w:sz="4" w:space="0" w:color="auto"/>
              <w:left w:val="single" w:sz="4" w:space="0" w:color="auto"/>
              <w:bottom w:val="single" w:sz="4" w:space="0" w:color="auto"/>
              <w:right w:val="single" w:sz="4" w:space="0" w:color="auto"/>
            </w:tcBorders>
          </w:tcPr>
          <w:p w:rsidR="0094008C" w:rsidRPr="00FE7F00" w:rsidRDefault="0094008C" w:rsidP="0094008C">
            <w:pPr>
              <w:spacing w:before="60"/>
              <w:jc w:val="both"/>
              <w:rPr>
                <w:rFonts w:ascii="Arial Narrow" w:hAnsi="Arial Narrow"/>
                <w:sz w:val="20"/>
              </w:rPr>
            </w:pPr>
            <w:r w:rsidRPr="00FE7F00">
              <w:rPr>
                <w:rFonts w:ascii="Arial Narrow" w:hAnsi="Arial Narrow"/>
                <w:sz w:val="20"/>
              </w:rPr>
              <w:t>The date and level of the qualifying HbA1c measurement must be, or must have been, documented in the patient’s medical records at the time triple oral therapy with a gliptin and an SGLT2 inhibitor is initiated.</w:t>
            </w:r>
          </w:p>
          <w:p w:rsidR="0094008C" w:rsidRPr="00FE7F00" w:rsidRDefault="0094008C" w:rsidP="0094008C">
            <w:pPr>
              <w:spacing w:before="60"/>
              <w:jc w:val="both"/>
              <w:rPr>
                <w:rFonts w:ascii="Arial Narrow" w:hAnsi="Arial Narrow"/>
                <w:sz w:val="20"/>
              </w:rPr>
            </w:pPr>
          </w:p>
          <w:p w:rsidR="0094008C" w:rsidRPr="00FE7F00" w:rsidRDefault="0094008C" w:rsidP="0094008C">
            <w:pPr>
              <w:spacing w:before="60"/>
              <w:jc w:val="both"/>
              <w:rPr>
                <w:rFonts w:ascii="Arial Narrow" w:hAnsi="Arial Narrow"/>
                <w:sz w:val="20"/>
              </w:rPr>
            </w:pPr>
            <w:r w:rsidRPr="00FE7F00">
              <w:rPr>
                <w:rFonts w:ascii="Arial Narrow" w:hAnsi="Arial Narrow"/>
                <w:sz w:val="20"/>
              </w:rPr>
              <w:t>The HbA1c must be no more than 4 months old at the time triple oral therapy with a gliptin and an SGLT2 inhibitor was initiated.</w:t>
            </w:r>
          </w:p>
          <w:p w:rsidR="0094008C" w:rsidRPr="00FE7F00" w:rsidRDefault="0094008C" w:rsidP="0094008C">
            <w:pPr>
              <w:spacing w:before="60"/>
              <w:jc w:val="both"/>
              <w:rPr>
                <w:rFonts w:ascii="Arial Narrow" w:hAnsi="Arial Narrow"/>
                <w:sz w:val="20"/>
              </w:rPr>
            </w:pPr>
          </w:p>
          <w:p w:rsidR="0094008C" w:rsidRPr="00FE7F00" w:rsidRDefault="0094008C" w:rsidP="0094008C">
            <w:pPr>
              <w:spacing w:before="60"/>
              <w:jc w:val="both"/>
              <w:rPr>
                <w:rFonts w:ascii="Arial Narrow" w:hAnsi="Arial Narrow"/>
                <w:sz w:val="20"/>
              </w:rPr>
            </w:pPr>
            <w:r w:rsidRPr="00FE7F00">
              <w:rPr>
                <w:rFonts w:ascii="Arial Narrow" w:hAnsi="Arial Narrow"/>
                <w:sz w:val="20"/>
              </w:rPr>
              <w:t>Blood glucose monitoring may be used as an alternative assessment to HbA1c levels in the following circumstances:</w:t>
            </w:r>
          </w:p>
          <w:p w:rsidR="0094008C" w:rsidRPr="00FE7F00" w:rsidRDefault="0094008C" w:rsidP="0094008C">
            <w:pPr>
              <w:pStyle w:val="ListParagraph"/>
              <w:widowControl/>
              <w:numPr>
                <w:ilvl w:val="0"/>
                <w:numId w:val="28"/>
              </w:numPr>
              <w:spacing w:before="60"/>
              <w:rPr>
                <w:rFonts w:ascii="Arial Narrow" w:hAnsi="Arial Narrow"/>
                <w:sz w:val="20"/>
              </w:rPr>
            </w:pPr>
            <w:r w:rsidRPr="00FE7F00">
              <w:rPr>
                <w:rFonts w:ascii="Arial Narrow" w:hAnsi="Arial Narrow"/>
                <w:sz w:val="20"/>
              </w:rPr>
              <w:t>A clinical condition with reduced red blood cell survival, including haemolytic anaemias and haemoglobinopathies; and/or</w:t>
            </w:r>
          </w:p>
          <w:p w:rsidR="0094008C" w:rsidRPr="00FE7F00" w:rsidRDefault="0094008C" w:rsidP="0094008C">
            <w:pPr>
              <w:pStyle w:val="ListParagraph"/>
              <w:widowControl/>
              <w:numPr>
                <w:ilvl w:val="0"/>
                <w:numId w:val="28"/>
              </w:numPr>
              <w:spacing w:before="60"/>
              <w:rPr>
                <w:rFonts w:ascii="Arial Narrow" w:hAnsi="Arial Narrow"/>
                <w:sz w:val="20"/>
              </w:rPr>
            </w:pPr>
            <w:r w:rsidRPr="00FE7F00">
              <w:rPr>
                <w:rFonts w:ascii="Arial Narrow" w:hAnsi="Arial Narrow"/>
                <w:sz w:val="20"/>
              </w:rPr>
              <w:t>Had red cell transfusion within the previous 3 months.</w:t>
            </w:r>
          </w:p>
          <w:p w:rsidR="0094008C" w:rsidRPr="00FE7F00" w:rsidRDefault="0094008C" w:rsidP="0094008C">
            <w:pPr>
              <w:spacing w:before="60"/>
              <w:ind w:left="33"/>
              <w:jc w:val="both"/>
              <w:rPr>
                <w:rFonts w:ascii="Arial Narrow" w:hAnsi="Arial Narrow"/>
                <w:sz w:val="20"/>
              </w:rPr>
            </w:pPr>
          </w:p>
          <w:p w:rsidR="0094008C" w:rsidRPr="00FE7F00" w:rsidRDefault="0094008C" w:rsidP="0094008C">
            <w:pPr>
              <w:spacing w:before="60"/>
              <w:ind w:left="33"/>
              <w:jc w:val="both"/>
              <w:rPr>
                <w:rFonts w:ascii="Arial Narrow" w:hAnsi="Arial Narrow"/>
                <w:sz w:val="20"/>
              </w:rPr>
            </w:pPr>
            <w:r w:rsidRPr="00FE7F00">
              <w:rPr>
                <w:rFonts w:ascii="Arial Narrow" w:hAnsi="Arial Narrow"/>
                <w:sz w:val="20"/>
              </w:rPr>
              <w:t>The results of the blood glucose monitoring, which must be no more than 4 months old at the time of initiation of triple oral therapy with a gliptin and an SGLT2 inhibitor, must be document in the patient’s medical records.</w:t>
            </w:r>
          </w:p>
          <w:p w:rsidR="0094008C" w:rsidRPr="00FE7F00" w:rsidRDefault="0094008C" w:rsidP="0094008C">
            <w:pPr>
              <w:spacing w:before="60"/>
              <w:ind w:left="33"/>
              <w:jc w:val="both"/>
              <w:rPr>
                <w:rFonts w:ascii="Arial Narrow" w:hAnsi="Arial Narrow"/>
                <w:sz w:val="20"/>
              </w:rPr>
            </w:pPr>
          </w:p>
          <w:p w:rsidR="0094008C" w:rsidRPr="00FE7F00" w:rsidRDefault="0094008C" w:rsidP="0094008C">
            <w:pPr>
              <w:rPr>
                <w:rFonts w:ascii="Arial Narrow" w:hAnsi="Arial Narrow" w:cs="Arial"/>
                <w:sz w:val="20"/>
                <w:szCs w:val="20"/>
              </w:rPr>
            </w:pPr>
            <w:r w:rsidRPr="00FE7F00">
              <w:rPr>
                <w:rFonts w:ascii="Arial Narrow" w:hAnsi="Arial Narrow" w:cs="Arial"/>
                <w:sz w:val="20"/>
                <w:szCs w:val="20"/>
              </w:rPr>
              <w:t>A patient whose diabetes was previously demonstrated unable to be controlled with metformin and a gliptin or an SGLT2 inhibitor does not need to requalify on this criterion before being eligible for PBS-subsidised treatment with this drug.</w:t>
            </w:r>
          </w:p>
          <w:p w:rsidR="009F4BFB" w:rsidRPr="00FE7F00" w:rsidRDefault="009F4BFB" w:rsidP="008945E7">
            <w:pPr>
              <w:spacing w:before="40" w:after="40"/>
              <w:rPr>
                <w:rFonts w:ascii="Arial Narrow" w:hAnsi="Arial Narrow" w:cs="Arial"/>
                <w:sz w:val="20"/>
                <w:szCs w:val="20"/>
              </w:rPr>
            </w:pPr>
          </w:p>
        </w:tc>
      </w:tr>
      <w:tr w:rsidR="009F4BFB" w:rsidRPr="00FE7F00" w:rsidTr="008945E7">
        <w:trPr>
          <w:cantSplit/>
          <w:trHeight w:val="360"/>
        </w:trPr>
        <w:tc>
          <w:tcPr>
            <w:tcW w:w="1051" w:type="pct"/>
            <w:tcBorders>
              <w:top w:val="single" w:sz="4" w:space="0" w:color="auto"/>
              <w:left w:val="single" w:sz="4" w:space="0" w:color="auto"/>
              <w:bottom w:val="single" w:sz="4" w:space="0" w:color="auto"/>
              <w:right w:val="single" w:sz="4" w:space="0" w:color="auto"/>
            </w:tcBorders>
          </w:tcPr>
          <w:p w:rsidR="009F4BFB" w:rsidRPr="00FE7F00" w:rsidRDefault="009F4BFB" w:rsidP="008945E7">
            <w:pPr>
              <w:spacing w:before="40" w:after="40"/>
              <w:jc w:val="both"/>
              <w:rPr>
                <w:rFonts w:ascii="Arial Narrow" w:hAnsi="Arial Narrow" w:cs="Arial"/>
                <w:b/>
                <w:sz w:val="20"/>
                <w:szCs w:val="20"/>
              </w:rPr>
            </w:pPr>
            <w:r w:rsidRPr="00FE7F00">
              <w:rPr>
                <w:rFonts w:ascii="Arial Narrow" w:hAnsi="Arial Narrow" w:cs="Arial"/>
                <w:b/>
                <w:sz w:val="20"/>
                <w:szCs w:val="20"/>
              </w:rPr>
              <w:t>Administrative Advice</w:t>
            </w:r>
          </w:p>
          <w:p w:rsidR="009F4BFB" w:rsidRPr="00FE7F00" w:rsidRDefault="009F4BFB" w:rsidP="008945E7">
            <w:pPr>
              <w:spacing w:before="40" w:after="40"/>
              <w:jc w:val="both"/>
              <w:rPr>
                <w:rFonts w:ascii="Arial Narrow" w:hAnsi="Arial Narrow" w:cs="Arial"/>
                <w:i/>
                <w:sz w:val="20"/>
                <w:szCs w:val="20"/>
              </w:rPr>
            </w:pPr>
          </w:p>
        </w:tc>
        <w:tc>
          <w:tcPr>
            <w:tcW w:w="3949" w:type="pct"/>
            <w:gridSpan w:val="6"/>
            <w:tcBorders>
              <w:top w:val="single" w:sz="4" w:space="0" w:color="auto"/>
              <w:left w:val="single" w:sz="4" w:space="0" w:color="auto"/>
              <w:bottom w:val="single" w:sz="4" w:space="0" w:color="auto"/>
              <w:right w:val="single" w:sz="4" w:space="0" w:color="auto"/>
            </w:tcBorders>
          </w:tcPr>
          <w:p w:rsidR="0094008C" w:rsidRPr="00FE7F00" w:rsidRDefault="0094008C" w:rsidP="0094008C">
            <w:pPr>
              <w:spacing w:before="60"/>
              <w:jc w:val="both"/>
              <w:rPr>
                <w:rFonts w:ascii="Arial Narrow" w:hAnsi="Arial Narrow"/>
                <w:b/>
                <w:sz w:val="20"/>
              </w:rPr>
            </w:pPr>
            <w:r w:rsidRPr="00FE7F00">
              <w:rPr>
                <w:rFonts w:ascii="Arial Narrow" w:hAnsi="Arial Narrow"/>
                <w:b/>
                <w:sz w:val="20"/>
              </w:rPr>
              <w:t>Note:</w:t>
            </w:r>
          </w:p>
          <w:p w:rsidR="0094008C" w:rsidRPr="00FE7F00" w:rsidRDefault="0094008C" w:rsidP="0094008C">
            <w:pPr>
              <w:spacing w:before="60"/>
              <w:jc w:val="both"/>
              <w:rPr>
                <w:rFonts w:ascii="Arial Narrow" w:hAnsi="Arial Narrow"/>
                <w:b/>
                <w:sz w:val="20"/>
              </w:rPr>
            </w:pPr>
            <w:r w:rsidRPr="00FE7F00">
              <w:rPr>
                <w:rFonts w:ascii="Arial Narrow" w:hAnsi="Arial Narrow"/>
                <w:b/>
                <w:sz w:val="20"/>
              </w:rPr>
              <w:t>Continuing Therapy Only:</w:t>
            </w:r>
          </w:p>
          <w:p w:rsidR="0094008C" w:rsidRPr="00FE7F00" w:rsidRDefault="0094008C" w:rsidP="0094008C">
            <w:pPr>
              <w:spacing w:before="60"/>
              <w:jc w:val="both"/>
              <w:rPr>
                <w:rFonts w:ascii="Arial Narrow" w:hAnsi="Arial Narrow"/>
                <w:sz w:val="20"/>
              </w:rPr>
            </w:pPr>
            <w:r w:rsidRPr="00FE7F00">
              <w:rPr>
                <w:rFonts w:ascii="Arial Narrow" w:hAnsi="Arial Narrow"/>
                <w:sz w:val="20"/>
              </w:rPr>
              <w:t>For prescribing by nurse practitioners as continuing therapy only, where the treatment of, and prescribing of medicine for, a patient has been initiated by a medical practitioner.</w:t>
            </w:r>
          </w:p>
          <w:p w:rsidR="0094008C" w:rsidRPr="00FE7F00" w:rsidRDefault="0094008C" w:rsidP="0094008C">
            <w:pPr>
              <w:spacing w:before="60"/>
              <w:jc w:val="both"/>
              <w:rPr>
                <w:rFonts w:ascii="Arial Narrow" w:hAnsi="Arial Narrow"/>
                <w:sz w:val="20"/>
              </w:rPr>
            </w:pPr>
            <w:r w:rsidRPr="00FE7F00">
              <w:rPr>
                <w:rFonts w:ascii="Arial Narrow" w:hAnsi="Arial Narrow"/>
                <w:sz w:val="20"/>
              </w:rPr>
              <w:t>Further information can be found in the Explanatory Notes for Nurse Practitioners.</w:t>
            </w:r>
          </w:p>
          <w:p w:rsidR="00D364C9" w:rsidRPr="00FE7F00" w:rsidRDefault="00D364C9" w:rsidP="0094008C">
            <w:pPr>
              <w:spacing w:before="60"/>
              <w:jc w:val="both"/>
              <w:rPr>
                <w:rFonts w:ascii="Arial Narrow" w:hAnsi="Arial Narrow"/>
                <w:sz w:val="20"/>
              </w:rPr>
            </w:pPr>
          </w:p>
          <w:p w:rsidR="0094008C" w:rsidRPr="00FE7F00" w:rsidRDefault="0094008C" w:rsidP="0094008C">
            <w:pPr>
              <w:spacing w:before="60"/>
              <w:jc w:val="both"/>
              <w:rPr>
                <w:rFonts w:ascii="Arial Narrow" w:hAnsi="Arial Narrow"/>
                <w:b/>
                <w:sz w:val="20"/>
              </w:rPr>
            </w:pPr>
            <w:r w:rsidRPr="00FE7F00">
              <w:rPr>
                <w:rFonts w:ascii="Arial Narrow" w:hAnsi="Arial Narrow"/>
                <w:b/>
                <w:sz w:val="20"/>
              </w:rPr>
              <w:t>Note:</w:t>
            </w:r>
          </w:p>
          <w:p w:rsidR="0094008C" w:rsidRPr="00FE7F00" w:rsidRDefault="0094008C" w:rsidP="0094008C">
            <w:pPr>
              <w:spacing w:before="60"/>
              <w:jc w:val="both"/>
              <w:rPr>
                <w:rFonts w:ascii="Arial Narrow" w:hAnsi="Arial Narrow"/>
                <w:sz w:val="20"/>
              </w:rPr>
            </w:pPr>
            <w:r w:rsidRPr="00FE7F00">
              <w:rPr>
                <w:rFonts w:ascii="Arial Narrow" w:hAnsi="Arial Narrow"/>
                <w:sz w:val="20"/>
              </w:rPr>
              <w:t>The fixed dose combination is not PBS</w:t>
            </w:r>
            <w:r w:rsidRPr="00FE7F00">
              <w:rPr>
                <w:rFonts w:ascii="Arial Narrow" w:hAnsi="Arial Narrow"/>
                <w:sz w:val="20"/>
              </w:rPr>
              <w:noBreakHyphen/>
              <w:t>subsidised for use as initial therapy or in combination with a thiazolidinedione (glitazone) or a glucagon</w:t>
            </w:r>
            <w:r w:rsidRPr="00FE7F00">
              <w:rPr>
                <w:rFonts w:ascii="Arial Narrow" w:hAnsi="Arial Narrow"/>
                <w:sz w:val="20"/>
              </w:rPr>
              <w:noBreakHyphen/>
              <w:t>like peptide</w:t>
            </w:r>
            <w:r w:rsidRPr="00FE7F00">
              <w:rPr>
                <w:rFonts w:ascii="Arial Narrow" w:hAnsi="Arial Narrow"/>
                <w:sz w:val="20"/>
              </w:rPr>
              <w:noBreakHyphen/>
              <w:t>1.</w:t>
            </w:r>
          </w:p>
          <w:p w:rsidR="0094008C" w:rsidRPr="00FE7F00" w:rsidRDefault="0094008C" w:rsidP="0094008C">
            <w:pPr>
              <w:spacing w:before="60"/>
              <w:jc w:val="both"/>
              <w:rPr>
                <w:rFonts w:ascii="Arial Narrow" w:hAnsi="Arial Narrow"/>
                <w:sz w:val="20"/>
              </w:rPr>
            </w:pPr>
          </w:p>
          <w:p w:rsidR="009F4BFB" w:rsidRPr="00FE7F00" w:rsidRDefault="0094008C" w:rsidP="008945E7">
            <w:pPr>
              <w:spacing w:before="40" w:after="40"/>
              <w:rPr>
                <w:rFonts w:ascii="Arial Narrow" w:hAnsi="Arial Narrow" w:cs="Arial"/>
                <w:sz w:val="20"/>
                <w:szCs w:val="20"/>
              </w:rPr>
            </w:pPr>
            <w:r w:rsidRPr="00FE7F00">
              <w:rPr>
                <w:rFonts w:ascii="Arial Narrow" w:hAnsi="Arial Narrow"/>
                <w:sz w:val="20"/>
              </w:rPr>
              <w:t>PBS subsidised dual oral therapy does not include concomitant use of a gliptin or an SGLT2 inhibitor with a glitazone.</w:t>
            </w:r>
          </w:p>
        </w:tc>
      </w:tr>
    </w:tbl>
    <w:p w:rsidR="008575CE" w:rsidRPr="00FE7F00" w:rsidRDefault="008575CE" w:rsidP="008575CE">
      <w:pPr>
        <w:pStyle w:val="ListParagraph"/>
        <w:ind w:left="360"/>
        <w:rPr>
          <w:rFonts w:ascii="Calibri" w:hAnsi="Calibri" w:cs="Calibri"/>
        </w:rPr>
      </w:pPr>
    </w:p>
    <w:p w:rsidR="005A2C6A" w:rsidRPr="005A2C6A" w:rsidRDefault="005A2C6A" w:rsidP="005A2C6A">
      <w:pPr>
        <w:keepNext/>
        <w:keepLines/>
        <w:numPr>
          <w:ilvl w:val="0"/>
          <w:numId w:val="5"/>
        </w:numPr>
        <w:spacing w:before="240" w:after="120"/>
        <w:ind w:left="709" w:hanging="709"/>
        <w:outlineLvl w:val="0"/>
        <w:rPr>
          <w:rFonts w:ascii="Calibri" w:hAnsi="Calibri"/>
          <w:b/>
          <w:sz w:val="32"/>
          <w:szCs w:val="32"/>
          <w:lang w:eastAsia="en-US"/>
        </w:rPr>
      </w:pPr>
      <w:r w:rsidRPr="005A2C6A">
        <w:rPr>
          <w:rFonts w:ascii="Calibri" w:hAnsi="Calibri"/>
          <w:b/>
          <w:sz w:val="32"/>
          <w:szCs w:val="32"/>
          <w:lang w:eastAsia="en-US"/>
        </w:rPr>
        <w:t>Context for Decision</w:t>
      </w:r>
    </w:p>
    <w:p w:rsidR="005A2C6A" w:rsidRPr="005A2C6A" w:rsidRDefault="005A2C6A" w:rsidP="005A2C6A">
      <w:pPr>
        <w:spacing w:before="120" w:after="120"/>
        <w:rPr>
          <w:rFonts w:ascii="Calibri" w:eastAsia="Calibri" w:hAnsi="Calibri" w:cs="Arial"/>
          <w:szCs w:val="22"/>
          <w:lang w:eastAsia="en-US"/>
        </w:rPr>
      </w:pPr>
      <w:r w:rsidRPr="005A2C6A">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A2C6A" w:rsidRPr="006C4D70" w:rsidRDefault="005A2C6A" w:rsidP="006C4D70">
      <w:pPr>
        <w:keepNext/>
        <w:keepLines/>
        <w:numPr>
          <w:ilvl w:val="0"/>
          <w:numId w:val="5"/>
        </w:numPr>
        <w:spacing w:before="240" w:after="120"/>
        <w:ind w:left="709" w:hanging="709"/>
        <w:outlineLvl w:val="0"/>
        <w:rPr>
          <w:rFonts w:ascii="Calibri" w:hAnsi="Calibri"/>
          <w:b/>
          <w:sz w:val="32"/>
          <w:szCs w:val="32"/>
          <w:lang w:eastAsia="en-US"/>
        </w:rPr>
      </w:pPr>
      <w:r w:rsidRPr="005A2C6A">
        <w:rPr>
          <w:rFonts w:ascii="Calibri" w:hAnsi="Calibri"/>
          <w:b/>
          <w:sz w:val="32"/>
          <w:szCs w:val="32"/>
          <w:lang w:eastAsia="en-US"/>
        </w:rPr>
        <w:t>Sponsor’s Comment</w:t>
      </w:r>
    </w:p>
    <w:p w:rsidR="005A2C6A" w:rsidRPr="005A2C6A" w:rsidRDefault="005A2C6A" w:rsidP="005A2C6A">
      <w:pPr>
        <w:spacing w:before="120" w:after="160"/>
        <w:jc w:val="both"/>
        <w:rPr>
          <w:rFonts w:ascii="Calibri" w:eastAsia="Calibri" w:hAnsi="Calibri" w:cs="Arial"/>
          <w:snapToGrid w:val="0"/>
          <w:szCs w:val="20"/>
          <w:lang w:eastAsia="en-US"/>
        </w:rPr>
      </w:pPr>
      <w:r w:rsidRPr="005A2C6A">
        <w:rPr>
          <w:rFonts w:ascii="Calibri" w:eastAsia="Calibri" w:hAnsi="Calibri" w:cs="Arial"/>
          <w:snapToGrid w:val="0"/>
          <w:szCs w:val="20"/>
          <w:lang w:eastAsia="en-US"/>
        </w:rPr>
        <w:t>The sponsor had no comment.</w:t>
      </w:r>
    </w:p>
    <w:p w:rsidR="002514D0" w:rsidRPr="00FE7F00" w:rsidRDefault="002514D0"/>
    <w:sectPr w:rsidR="002514D0" w:rsidRPr="00FE7F00" w:rsidSect="005A2C6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65" w:rsidRDefault="009D4C65">
      <w:r>
        <w:separator/>
      </w:r>
    </w:p>
    <w:p w:rsidR="009D4C65" w:rsidRDefault="009D4C65"/>
  </w:endnote>
  <w:endnote w:type="continuationSeparator" w:id="0">
    <w:p w:rsidR="009D4C65" w:rsidRDefault="009D4C65">
      <w:r>
        <w:continuationSeparator/>
      </w:r>
    </w:p>
    <w:p w:rsidR="009D4C65" w:rsidRDefault="009D4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E7F00" w:rsidTr="005A3173">
      <w:trPr>
        <w:trHeight w:val="151"/>
      </w:trPr>
      <w:tc>
        <w:tcPr>
          <w:tcW w:w="2250" w:type="pct"/>
          <w:tcBorders>
            <w:top w:val="nil"/>
            <w:left w:val="nil"/>
            <w:bottom w:val="single" w:sz="4" w:space="0" w:color="4F81BD"/>
            <w:right w:val="nil"/>
          </w:tcBorders>
        </w:tcPr>
        <w:p w:rsidR="00FE7F00" w:rsidRPr="005A3173" w:rsidRDefault="00FE7F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7F00" w:rsidRPr="005A3173" w:rsidRDefault="00FE7F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7F00" w:rsidRPr="005A3173" w:rsidRDefault="00FE7F00" w:rsidP="005A3173">
          <w:pPr>
            <w:pStyle w:val="Header"/>
            <w:spacing w:line="276" w:lineRule="auto"/>
            <w:rPr>
              <w:rFonts w:ascii="Calibri" w:eastAsia="MS Gothic" w:hAnsi="Calibri"/>
              <w:b/>
              <w:bCs/>
              <w:color w:val="4F81BD"/>
            </w:rPr>
          </w:pPr>
        </w:p>
      </w:tc>
    </w:tr>
    <w:tr w:rsidR="00FE7F00" w:rsidTr="005A3173">
      <w:trPr>
        <w:trHeight w:val="150"/>
      </w:trPr>
      <w:tc>
        <w:tcPr>
          <w:tcW w:w="2250" w:type="pct"/>
          <w:tcBorders>
            <w:top w:val="single" w:sz="4" w:space="0" w:color="4F81BD"/>
            <w:left w:val="nil"/>
            <w:bottom w:val="nil"/>
            <w:right w:val="nil"/>
          </w:tcBorders>
        </w:tcPr>
        <w:p w:rsidR="00FE7F00" w:rsidRPr="005A3173" w:rsidRDefault="00FE7F00" w:rsidP="005A3173">
          <w:pPr>
            <w:pStyle w:val="Header"/>
            <w:spacing w:line="276" w:lineRule="auto"/>
            <w:rPr>
              <w:rFonts w:ascii="Calibri" w:eastAsia="MS Gothic" w:hAnsi="Calibri"/>
              <w:b/>
              <w:bCs/>
              <w:color w:val="4F81BD"/>
            </w:rPr>
          </w:pPr>
        </w:p>
      </w:tc>
      <w:tc>
        <w:tcPr>
          <w:tcW w:w="0" w:type="auto"/>
          <w:vMerge/>
          <w:vAlign w:val="center"/>
          <w:hideMark/>
        </w:tcPr>
        <w:p w:rsidR="00FE7F00" w:rsidRPr="005A3173" w:rsidRDefault="00FE7F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7F00" w:rsidRPr="005A3173" w:rsidRDefault="00FE7F00" w:rsidP="005A3173">
          <w:pPr>
            <w:pStyle w:val="Header"/>
            <w:spacing w:line="276" w:lineRule="auto"/>
            <w:rPr>
              <w:rFonts w:ascii="Calibri" w:eastAsia="MS Gothic" w:hAnsi="Calibri"/>
              <w:b/>
              <w:bCs/>
              <w:color w:val="4F81BD"/>
            </w:rPr>
          </w:pPr>
        </w:p>
      </w:tc>
    </w:tr>
  </w:tbl>
  <w:p w:rsidR="00FE7F00" w:rsidRDefault="00FE7F0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7F00" w:rsidRDefault="00FE7F00">
    <w:pPr>
      <w:pStyle w:val="Footer"/>
    </w:pPr>
  </w:p>
  <w:p w:rsidR="00FE7F00" w:rsidRDefault="00FE7F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00" w:rsidRDefault="00FE7F00" w:rsidP="00EF44A0">
    <w:pPr>
      <w:pStyle w:val="Footer"/>
      <w:jc w:val="center"/>
      <w:rPr>
        <w:rFonts w:ascii="Arial" w:hAnsi="Arial" w:cs="Arial"/>
        <w:b/>
        <w:sz w:val="20"/>
        <w:szCs w:val="20"/>
      </w:rPr>
    </w:pPr>
  </w:p>
  <w:p w:rsidR="00FE7F00" w:rsidRPr="00BC203B" w:rsidRDefault="00FE7F00" w:rsidP="00BC203B">
    <w:pPr>
      <w:pStyle w:val="Footer"/>
      <w:tabs>
        <w:tab w:val="left" w:pos="4549"/>
        <w:tab w:val="center" w:pos="4608"/>
      </w:tabs>
      <w:ind w:left="360"/>
      <w:rPr>
        <w:rFonts w:ascii="Calibri" w:hAnsi="Calibri" w:cs="Arial"/>
        <w:b/>
        <w:sz w:val="20"/>
      </w:rPr>
    </w:pPr>
    <w:r>
      <w:rPr>
        <w:rFonts w:ascii="Calibri" w:hAnsi="Calibri" w:cs="Arial"/>
        <w:b/>
        <w:sz w:val="20"/>
      </w:rPr>
      <w:tab/>
    </w:r>
    <w:r>
      <w:rPr>
        <w:rFonts w:ascii="Calibri" w:hAnsi="Calibri" w:cs="Arial"/>
        <w:b/>
        <w:sz w:val="20"/>
      </w:rPr>
      <w:tab/>
    </w:r>
    <w:r>
      <w:rPr>
        <w:rFonts w:ascii="Calibri" w:hAnsi="Calibri" w:cs="Arial"/>
        <w:b/>
        <w:sz w:val="20"/>
      </w:rPr>
      <w:tab/>
    </w: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9D4C65">
      <w:rPr>
        <w:rFonts w:ascii="Calibri" w:hAnsi="Calibri" w:cs="Arial"/>
        <w:b/>
        <w:noProof/>
        <w:sz w:val="20"/>
      </w:rPr>
      <w:t>1</w:t>
    </w:r>
    <w:r w:rsidRPr="00F90A91">
      <w:rPr>
        <w:rFonts w:ascii="Calibri" w:hAnsi="Calibri" w:cs="Arial"/>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E7F00" w:rsidTr="005A3173">
      <w:trPr>
        <w:trHeight w:val="151"/>
      </w:trPr>
      <w:tc>
        <w:tcPr>
          <w:tcW w:w="2250" w:type="pct"/>
          <w:tcBorders>
            <w:top w:val="nil"/>
            <w:left w:val="nil"/>
            <w:bottom w:val="single" w:sz="4" w:space="0" w:color="4F81BD"/>
            <w:right w:val="nil"/>
          </w:tcBorders>
        </w:tcPr>
        <w:p w:rsidR="00FE7F00" w:rsidRPr="005A3173" w:rsidRDefault="00FE7F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7F00" w:rsidRPr="005A3173" w:rsidRDefault="00FE7F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7F00" w:rsidRPr="005A3173" w:rsidRDefault="00FE7F00" w:rsidP="005A3173">
          <w:pPr>
            <w:pStyle w:val="Header"/>
            <w:spacing w:line="276" w:lineRule="auto"/>
            <w:rPr>
              <w:rFonts w:ascii="Calibri" w:eastAsia="MS Gothic" w:hAnsi="Calibri"/>
              <w:b/>
              <w:bCs/>
              <w:color w:val="4F81BD"/>
            </w:rPr>
          </w:pPr>
        </w:p>
      </w:tc>
    </w:tr>
    <w:tr w:rsidR="00FE7F00" w:rsidTr="005A3173">
      <w:trPr>
        <w:trHeight w:val="150"/>
      </w:trPr>
      <w:tc>
        <w:tcPr>
          <w:tcW w:w="2250" w:type="pct"/>
          <w:tcBorders>
            <w:top w:val="single" w:sz="4" w:space="0" w:color="4F81BD"/>
            <w:left w:val="nil"/>
            <w:bottom w:val="nil"/>
            <w:right w:val="nil"/>
          </w:tcBorders>
        </w:tcPr>
        <w:p w:rsidR="00FE7F00" w:rsidRPr="005A3173" w:rsidRDefault="00FE7F00" w:rsidP="005A3173">
          <w:pPr>
            <w:pStyle w:val="Header"/>
            <w:spacing w:line="276" w:lineRule="auto"/>
            <w:rPr>
              <w:rFonts w:ascii="Calibri" w:eastAsia="MS Gothic" w:hAnsi="Calibri"/>
              <w:b/>
              <w:bCs/>
              <w:color w:val="4F81BD"/>
            </w:rPr>
          </w:pPr>
        </w:p>
      </w:tc>
      <w:tc>
        <w:tcPr>
          <w:tcW w:w="0" w:type="auto"/>
          <w:vMerge/>
          <w:vAlign w:val="center"/>
          <w:hideMark/>
        </w:tcPr>
        <w:p w:rsidR="00FE7F00" w:rsidRPr="005A3173" w:rsidRDefault="00FE7F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7F00" w:rsidRPr="005A3173" w:rsidRDefault="00FE7F0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E7F00" w:rsidTr="005A3173">
      <w:trPr>
        <w:trHeight w:val="151"/>
      </w:trPr>
      <w:tc>
        <w:tcPr>
          <w:tcW w:w="2250" w:type="pct"/>
          <w:tcBorders>
            <w:top w:val="nil"/>
            <w:left w:val="nil"/>
            <w:bottom w:val="single" w:sz="4" w:space="0" w:color="4F81BD"/>
            <w:right w:val="nil"/>
          </w:tcBorders>
        </w:tcPr>
        <w:p w:rsidR="00FE7F00" w:rsidRPr="005A3173" w:rsidRDefault="00FE7F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7F00" w:rsidRPr="005A3173" w:rsidRDefault="00FE7F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7F00" w:rsidRPr="005A3173" w:rsidRDefault="00FE7F00" w:rsidP="005A3173">
          <w:pPr>
            <w:pStyle w:val="Header"/>
            <w:spacing w:line="276" w:lineRule="auto"/>
            <w:rPr>
              <w:rFonts w:ascii="Calibri" w:eastAsia="MS Gothic" w:hAnsi="Calibri"/>
              <w:b/>
              <w:bCs/>
              <w:color w:val="4F81BD"/>
            </w:rPr>
          </w:pPr>
        </w:p>
      </w:tc>
    </w:tr>
    <w:tr w:rsidR="00FE7F00" w:rsidTr="005A3173">
      <w:trPr>
        <w:trHeight w:val="150"/>
      </w:trPr>
      <w:tc>
        <w:tcPr>
          <w:tcW w:w="2250" w:type="pct"/>
          <w:tcBorders>
            <w:top w:val="single" w:sz="4" w:space="0" w:color="4F81BD"/>
            <w:left w:val="nil"/>
            <w:bottom w:val="nil"/>
            <w:right w:val="nil"/>
          </w:tcBorders>
        </w:tcPr>
        <w:p w:rsidR="00FE7F00" w:rsidRPr="005A3173" w:rsidRDefault="00FE7F00" w:rsidP="005A3173">
          <w:pPr>
            <w:pStyle w:val="Header"/>
            <w:spacing w:line="276" w:lineRule="auto"/>
            <w:rPr>
              <w:rFonts w:ascii="Calibri" w:eastAsia="MS Gothic" w:hAnsi="Calibri"/>
              <w:b/>
              <w:bCs/>
              <w:color w:val="4F81BD"/>
            </w:rPr>
          </w:pPr>
        </w:p>
      </w:tc>
      <w:tc>
        <w:tcPr>
          <w:tcW w:w="0" w:type="auto"/>
          <w:vMerge/>
          <w:vAlign w:val="center"/>
          <w:hideMark/>
        </w:tcPr>
        <w:p w:rsidR="00FE7F00" w:rsidRPr="005A3173" w:rsidRDefault="00FE7F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7F00" w:rsidRPr="005A3173" w:rsidRDefault="00FE7F00" w:rsidP="005A3173">
          <w:pPr>
            <w:pStyle w:val="Header"/>
            <w:spacing w:line="276" w:lineRule="auto"/>
            <w:rPr>
              <w:rFonts w:ascii="Calibri" w:eastAsia="MS Gothic" w:hAnsi="Calibri"/>
              <w:b/>
              <w:bCs/>
              <w:color w:val="4F81BD"/>
            </w:rPr>
          </w:pPr>
        </w:p>
      </w:tc>
    </w:tr>
  </w:tbl>
  <w:p w:rsidR="00FE7F00" w:rsidRPr="007C0F57" w:rsidRDefault="00FE7F0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E7F00" w:rsidRPr="007C0F57" w:rsidRDefault="00FE7F00" w:rsidP="007C0F57">
    <w:pPr>
      <w:pStyle w:val="Footer"/>
      <w:jc w:val="center"/>
      <w:rPr>
        <w:b/>
        <w:i/>
        <w:sz w:val="20"/>
        <w:szCs w:val="20"/>
      </w:rPr>
    </w:pPr>
    <w:r w:rsidRPr="007C0F57">
      <w:rPr>
        <w:b/>
        <w:i/>
        <w:sz w:val="20"/>
        <w:szCs w:val="20"/>
      </w:rPr>
      <w:t>Commercial-in-Confidence</w:t>
    </w:r>
  </w:p>
  <w:p w:rsidR="00FE7F00" w:rsidRDefault="00FE7F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65" w:rsidRDefault="009D4C65">
      <w:r>
        <w:separator/>
      </w:r>
    </w:p>
    <w:p w:rsidR="009D4C65" w:rsidRDefault="009D4C65"/>
  </w:footnote>
  <w:footnote w:type="continuationSeparator" w:id="0">
    <w:p w:rsidR="009D4C65" w:rsidRDefault="009D4C65">
      <w:r>
        <w:continuationSeparator/>
      </w:r>
    </w:p>
    <w:p w:rsidR="009D4C65" w:rsidRDefault="009D4C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E7F00" w:rsidRPr="008E0D90" w:rsidTr="00A06225">
      <w:trPr>
        <w:trHeight w:val="151"/>
      </w:trPr>
      <w:tc>
        <w:tcPr>
          <w:tcW w:w="2389" w:type="pct"/>
          <w:tcBorders>
            <w:top w:val="nil"/>
            <w:left w:val="nil"/>
            <w:bottom w:val="single" w:sz="4" w:space="0" w:color="4F81BD"/>
            <w:right w:val="nil"/>
          </w:tcBorders>
        </w:tcPr>
        <w:p w:rsidR="00FE7F00" w:rsidRPr="00A06225" w:rsidRDefault="00FE7F00">
          <w:pPr>
            <w:pStyle w:val="Header"/>
            <w:spacing w:line="276" w:lineRule="auto"/>
            <w:rPr>
              <w:rFonts w:ascii="Cambria" w:eastAsia="MS Gothic" w:hAnsi="Cambria"/>
              <w:b/>
              <w:bCs/>
              <w:color w:val="4F81BD"/>
            </w:rPr>
          </w:pPr>
        </w:p>
      </w:tc>
      <w:tc>
        <w:tcPr>
          <w:tcW w:w="333" w:type="pct"/>
          <w:vMerge w:val="restart"/>
          <w:noWrap/>
          <w:vAlign w:val="center"/>
          <w:hideMark/>
        </w:tcPr>
        <w:p w:rsidR="00FE7F00" w:rsidRPr="00A06225" w:rsidRDefault="00FE7F0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E7F00" w:rsidRPr="00A06225" w:rsidRDefault="00FE7F00">
          <w:pPr>
            <w:pStyle w:val="Header"/>
            <w:spacing w:line="276" w:lineRule="auto"/>
            <w:rPr>
              <w:rFonts w:ascii="Cambria" w:eastAsia="MS Gothic" w:hAnsi="Cambria"/>
              <w:b/>
              <w:bCs/>
              <w:color w:val="4F81BD"/>
            </w:rPr>
          </w:pPr>
        </w:p>
      </w:tc>
    </w:tr>
    <w:tr w:rsidR="00FE7F00" w:rsidRPr="008E0D90" w:rsidTr="00A06225">
      <w:trPr>
        <w:trHeight w:val="150"/>
      </w:trPr>
      <w:tc>
        <w:tcPr>
          <w:tcW w:w="2389" w:type="pct"/>
          <w:tcBorders>
            <w:top w:val="single" w:sz="4" w:space="0" w:color="4F81BD"/>
            <w:left w:val="nil"/>
            <w:bottom w:val="nil"/>
            <w:right w:val="nil"/>
          </w:tcBorders>
        </w:tcPr>
        <w:p w:rsidR="00FE7F00" w:rsidRPr="00A06225" w:rsidRDefault="00FE7F00">
          <w:pPr>
            <w:pStyle w:val="Header"/>
            <w:spacing w:line="276" w:lineRule="auto"/>
            <w:rPr>
              <w:rFonts w:ascii="Cambria" w:eastAsia="MS Gothic" w:hAnsi="Cambria"/>
              <w:b/>
              <w:bCs/>
              <w:color w:val="4F81BD"/>
            </w:rPr>
          </w:pPr>
        </w:p>
      </w:tc>
      <w:tc>
        <w:tcPr>
          <w:tcW w:w="0" w:type="auto"/>
          <w:vMerge/>
          <w:vAlign w:val="center"/>
          <w:hideMark/>
        </w:tcPr>
        <w:p w:rsidR="00FE7F00" w:rsidRPr="00A06225" w:rsidRDefault="00FE7F00">
          <w:pPr>
            <w:rPr>
              <w:rFonts w:ascii="Cambria" w:hAnsi="Cambria"/>
              <w:color w:val="4F81BD"/>
              <w:sz w:val="22"/>
              <w:szCs w:val="22"/>
            </w:rPr>
          </w:pPr>
        </w:p>
      </w:tc>
      <w:tc>
        <w:tcPr>
          <w:tcW w:w="2278" w:type="pct"/>
          <w:tcBorders>
            <w:top w:val="single" w:sz="4" w:space="0" w:color="4F81BD"/>
            <w:left w:val="nil"/>
            <w:bottom w:val="nil"/>
            <w:right w:val="nil"/>
          </w:tcBorders>
        </w:tcPr>
        <w:p w:rsidR="00FE7F00" w:rsidRPr="00A06225" w:rsidRDefault="00FE7F00">
          <w:pPr>
            <w:pStyle w:val="Header"/>
            <w:spacing w:line="276" w:lineRule="auto"/>
            <w:rPr>
              <w:rFonts w:ascii="Cambria" w:eastAsia="MS Gothic" w:hAnsi="Cambria"/>
              <w:b/>
              <w:bCs/>
              <w:color w:val="4F81BD"/>
            </w:rPr>
          </w:pPr>
        </w:p>
      </w:tc>
    </w:tr>
  </w:tbl>
  <w:p w:rsidR="00FE7F00" w:rsidRDefault="00FE7F00">
    <w:pPr>
      <w:pStyle w:val="Header"/>
    </w:pPr>
  </w:p>
  <w:p w:rsidR="00FE7F00" w:rsidRDefault="00FE7F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00" w:rsidRPr="00F90A91" w:rsidRDefault="005A2C6A" w:rsidP="00BC203B">
    <w:pPr>
      <w:pStyle w:val="Header"/>
      <w:ind w:left="360"/>
      <w:jc w:val="center"/>
      <w:rPr>
        <w:rFonts w:asciiTheme="minorHAnsi" w:hAnsiTheme="minorHAnsi" w:cs="Arial"/>
        <w:i/>
        <w:color w:val="808080"/>
        <w:sz w:val="22"/>
      </w:rPr>
    </w:pPr>
    <w:r>
      <w:rPr>
        <w:rFonts w:asciiTheme="minorHAnsi" w:hAnsiTheme="minorHAnsi" w:cs="Arial"/>
        <w:i/>
        <w:color w:val="808080"/>
        <w:sz w:val="22"/>
      </w:rPr>
      <w:t xml:space="preserve">Public Summary Document </w:t>
    </w:r>
    <w:r w:rsidR="00FE7F00" w:rsidRPr="00F90A91">
      <w:rPr>
        <w:rFonts w:asciiTheme="minorHAnsi" w:hAnsiTheme="minorHAnsi" w:cs="Arial"/>
        <w:i/>
        <w:color w:val="808080"/>
        <w:sz w:val="22"/>
      </w:rPr>
      <w:t xml:space="preserve">– </w:t>
    </w:r>
    <w:r w:rsidR="00FE7F00">
      <w:rPr>
        <w:rFonts w:asciiTheme="minorHAnsi" w:hAnsiTheme="minorHAnsi" w:cs="Arial"/>
        <w:i/>
        <w:color w:val="808080"/>
        <w:sz w:val="22"/>
      </w:rPr>
      <w:t>November 2017</w:t>
    </w:r>
    <w:r w:rsidR="00FE7F00" w:rsidRPr="00F90A91">
      <w:rPr>
        <w:rFonts w:asciiTheme="minorHAnsi" w:hAnsiTheme="minorHAnsi" w:cs="Arial"/>
        <w:i/>
        <w:color w:val="808080"/>
        <w:sz w:val="22"/>
      </w:rPr>
      <w:t xml:space="preserve"> PBAC Meeting</w:t>
    </w:r>
  </w:p>
  <w:p w:rsidR="00FE7F00" w:rsidRDefault="00FE7F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C65" w:rsidRDefault="009D4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BF101B"/>
    <w:multiLevelType w:val="hybridMultilevel"/>
    <w:tmpl w:val="3C8641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D185D04"/>
    <w:multiLevelType w:val="hybridMultilevel"/>
    <w:tmpl w:val="963C153C"/>
    <w:lvl w:ilvl="0" w:tplc="7A1881C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7">
    <w:nsid w:val="50D40E56"/>
    <w:multiLevelType w:val="hybridMultilevel"/>
    <w:tmpl w:val="963C153C"/>
    <w:lvl w:ilvl="0" w:tplc="7A1881C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9867CD8"/>
    <w:multiLevelType w:val="hybridMultilevel"/>
    <w:tmpl w:val="740210BE"/>
    <w:lvl w:ilvl="0" w:tplc="0C090001">
      <w:start w:val="1"/>
      <w:numFmt w:val="bullet"/>
      <w:lvlText w:val=""/>
      <w:lvlJc w:val="left"/>
      <w:pPr>
        <w:ind w:left="2210" w:hanging="360"/>
      </w:pPr>
      <w:rPr>
        <w:rFonts w:ascii="Symbol" w:hAnsi="Symbol" w:hint="default"/>
      </w:rPr>
    </w:lvl>
    <w:lvl w:ilvl="1" w:tplc="0C090003" w:tentative="1">
      <w:start w:val="1"/>
      <w:numFmt w:val="bullet"/>
      <w:lvlText w:val="o"/>
      <w:lvlJc w:val="left"/>
      <w:pPr>
        <w:ind w:left="2930" w:hanging="360"/>
      </w:pPr>
      <w:rPr>
        <w:rFonts w:ascii="Courier New" w:hAnsi="Courier New" w:cs="Courier New" w:hint="default"/>
      </w:rPr>
    </w:lvl>
    <w:lvl w:ilvl="2" w:tplc="0C090005" w:tentative="1">
      <w:start w:val="1"/>
      <w:numFmt w:val="bullet"/>
      <w:lvlText w:val=""/>
      <w:lvlJc w:val="left"/>
      <w:pPr>
        <w:ind w:left="3650" w:hanging="360"/>
      </w:pPr>
      <w:rPr>
        <w:rFonts w:ascii="Wingdings" w:hAnsi="Wingdings" w:hint="default"/>
      </w:rPr>
    </w:lvl>
    <w:lvl w:ilvl="3" w:tplc="0C090001" w:tentative="1">
      <w:start w:val="1"/>
      <w:numFmt w:val="bullet"/>
      <w:lvlText w:val=""/>
      <w:lvlJc w:val="left"/>
      <w:pPr>
        <w:ind w:left="4370" w:hanging="360"/>
      </w:pPr>
      <w:rPr>
        <w:rFonts w:ascii="Symbol" w:hAnsi="Symbol" w:hint="default"/>
      </w:rPr>
    </w:lvl>
    <w:lvl w:ilvl="4" w:tplc="0C090003" w:tentative="1">
      <w:start w:val="1"/>
      <w:numFmt w:val="bullet"/>
      <w:lvlText w:val="o"/>
      <w:lvlJc w:val="left"/>
      <w:pPr>
        <w:ind w:left="5090" w:hanging="360"/>
      </w:pPr>
      <w:rPr>
        <w:rFonts w:ascii="Courier New" w:hAnsi="Courier New" w:cs="Courier New" w:hint="default"/>
      </w:rPr>
    </w:lvl>
    <w:lvl w:ilvl="5" w:tplc="0C090005" w:tentative="1">
      <w:start w:val="1"/>
      <w:numFmt w:val="bullet"/>
      <w:lvlText w:val=""/>
      <w:lvlJc w:val="left"/>
      <w:pPr>
        <w:ind w:left="5810" w:hanging="360"/>
      </w:pPr>
      <w:rPr>
        <w:rFonts w:ascii="Wingdings" w:hAnsi="Wingdings" w:hint="default"/>
      </w:rPr>
    </w:lvl>
    <w:lvl w:ilvl="6" w:tplc="0C090001" w:tentative="1">
      <w:start w:val="1"/>
      <w:numFmt w:val="bullet"/>
      <w:lvlText w:val=""/>
      <w:lvlJc w:val="left"/>
      <w:pPr>
        <w:ind w:left="6530" w:hanging="360"/>
      </w:pPr>
      <w:rPr>
        <w:rFonts w:ascii="Symbol" w:hAnsi="Symbol" w:hint="default"/>
      </w:rPr>
    </w:lvl>
    <w:lvl w:ilvl="7" w:tplc="0C090003" w:tentative="1">
      <w:start w:val="1"/>
      <w:numFmt w:val="bullet"/>
      <w:lvlText w:val="o"/>
      <w:lvlJc w:val="left"/>
      <w:pPr>
        <w:ind w:left="7250" w:hanging="360"/>
      </w:pPr>
      <w:rPr>
        <w:rFonts w:ascii="Courier New" w:hAnsi="Courier New" w:cs="Courier New" w:hint="default"/>
      </w:rPr>
    </w:lvl>
    <w:lvl w:ilvl="8" w:tplc="0C090005" w:tentative="1">
      <w:start w:val="1"/>
      <w:numFmt w:val="bullet"/>
      <w:lvlText w:val=""/>
      <w:lvlJc w:val="left"/>
      <w:pPr>
        <w:ind w:left="7970" w:hanging="360"/>
      </w:pPr>
      <w:rPr>
        <w:rFonts w:ascii="Wingdings" w:hAnsi="Wingdings" w:hint="default"/>
      </w:rPr>
    </w:lvl>
  </w:abstractNum>
  <w:abstractNum w:abstractNumId="21">
    <w:nsid w:val="71BF7A1A"/>
    <w:multiLevelType w:val="hybridMultilevel"/>
    <w:tmpl w:val="963C153C"/>
    <w:lvl w:ilvl="0" w:tplc="7A1881C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22">
    <w:nsid w:val="784D033C"/>
    <w:multiLevelType w:val="multilevel"/>
    <w:tmpl w:val="7D7CA30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9D94415"/>
    <w:multiLevelType w:val="hybridMultilevel"/>
    <w:tmpl w:val="3C8641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5"/>
  </w:num>
  <w:num w:numId="5">
    <w:abstractNumId w:val="22"/>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22"/>
  </w:num>
  <w:num w:numId="15">
    <w:abstractNumId w:val="20"/>
  </w:num>
  <w:num w:numId="16">
    <w:abstractNumId w:val="22"/>
  </w:num>
  <w:num w:numId="17">
    <w:abstractNumId w:val="22"/>
  </w:num>
  <w:num w:numId="18">
    <w:abstractNumId w:val="22"/>
  </w:num>
  <w:num w:numId="19">
    <w:abstractNumId w:val="18"/>
  </w:num>
  <w:num w:numId="20">
    <w:abstractNumId w:val="19"/>
  </w:num>
  <w:num w:numId="21">
    <w:abstractNumId w:val="5"/>
  </w:num>
  <w:num w:numId="22">
    <w:abstractNumId w:val="2"/>
  </w:num>
  <w:num w:numId="23">
    <w:abstractNumId w:val="10"/>
  </w:num>
  <w:num w:numId="24">
    <w:abstractNumId w:val="9"/>
  </w:num>
  <w:num w:numId="25">
    <w:abstractNumId w:val="21"/>
  </w:num>
  <w:num w:numId="26">
    <w:abstractNumId w:val="17"/>
  </w:num>
  <w:num w:numId="27">
    <w:abstractNumId w:val="23"/>
  </w:num>
  <w:num w:numId="2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613B"/>
    <w:rsid w:val="00014264"/>
    <w:rsid w:val="00024147"/>
    <w:rsid w:val="0002464A"/>
    <w:rsid w:val="00025E3B"/>
    <w:rsid w:val="00026E7A"/>
    <w:rsid w:val="0003049C"/>
    <w:rsid w:val="0003106B"/>
    <w:rsid w:val="00033BEE"/>
    <w:rsid w:val="00034C67"/>
    <w:rsid w:val="000421A1"/>
    <w:rsid w:val="0004240E"/>
    <w:rsid w:val="00045E26"/>
    <w:rsid w:val="000514B5"/>
    <w:rsid w:val="00060E64"/>
    <w:rsid w:val="00066755"/>
    <w:rsid w:val="00077143"/>
    <w:rsid w:val="00082169"/>
    <w:rsid w:val="000969AD"/>
    <w:rsid w:val="000A3BA2"/>
    <w:rsid w:val="000A449D"/>
    <w:rsid w:val="000A71E0"/>
    <w:rsid w:val="000B2CF9"/>
    <w:rsid w:val="000B4602"/>
    <w:rsid w:val="000B558D"/>
    <w:rsid w:val="000C0C85"/>
    <w:rsid w:val="000C6996"/>
    <w:rsid w:val="000D23BA"/>
    <w:rsid w:val="000D68DE"/>
    <w:rsid w:val="000E681E"/>
    <w:rsid w:val="000F0003"/>
    <w:rsid w:val="000F13DD"/>
    <w:rsid w:val="000F4E6A"/>
    <w:rsid w:val="000F66F3"/>
    <w:rsid w:val="000F6711"/>
    <w:rsid w:val="00102750"/>
    <w:rsid w:val="00104227"/>
    <w:rsid w:val="001107BF"/>
    <w:rsid w:val="0012417C"/>
    <w:rsid w:val="00126AEC"/>
    <w:rsid w:val="00133DB9"/>
    <w:rsid w:val="00142395"/>
    <w:rsid w:val="00142714"/>
    <w:rsid w:val="001452ED"/>
    <w:rsid w:val="00147DE4"/>
    <w:rsid w:val="00150A74"/>
    <w:rsid w:val="00152F24"/>
    <w:rsid w:val="0016187E"/>
    <w:rsid w:val="00163329"/>
    <w:rsid w:val="00164623"/>
    <w:rsid w:val="00165B64"/>
    <w:rsid w:val="00172587"/>
    <w:rsid w:val="0018037A"/>
    <w:rsid w:val="001830CE"/>
    <w:rsid w:val="001860CF"/>
    <w:rsid w:val="0018643B"/>
    <w:rsid w:val="00196307"/>
    <w:rsid w:val="001A33EA"/>
    <w:rsid w:val="001B017F"/>
    <w:rsid w:val="001B0732"/>
    <w:rsid w:val="001B2BBC"/>
    <w:rsid w:val="001B5129"/>
    <w:rsid w:val="001C0CAA"/>
    <w:rsid w:val="001C1195"/>
    <w:rsid w:val="001C1D82"/>
    <w:rsid w:val="001C7B6F"/>
    <w:rsid w:val="001E2F92"/>
    <w:rsid w:val="001F1850"/>
    <w:rsid w:val="001F2A1C"/>
    <w:rsid w:val="00203FAC"/>
    <w:rsid w:val="00206930"/>
    <w:rsid w:val="00213CFB"/>
    <w:rsid w:val="00217BE1"/>
    <w:rsid w:val="002379AD"/>
    <w:rsid w:val="002514D0"/>
    <w:rsid w:val="00264DA4"/>
    <w:rsid w:val="00271BA1"/>
    <w:rsid w:val="00273185"/>
    <w:rsid w:val="002762FA"/>
    <w:rsid w:val="0027664E"/>
    <w:rsid w:val="00277505"/>
    <w:rsid w:val="0029458F"/>
    <w:rsid w:val="002A0F88"/>
    <w:rsid w:val="002A104C"/>
    <w:rsid w:val="002A4960"/>
    <w:rsid w:val="002B12FC"/>
    <w:rsid w:val="002B1AE6"/>
    <w:rsid w:val="002B2DE8"/>
    <w:rsid w:val="002B30F8"/>
    <w:rsid w:val="002B5596"/>
    <w:rsid w:val="002C212F"/>
    <w:rsid w:val="002C696B"/>
    <w:rsid w:val="002D4543"/>
    <w:rsid w:val="002E3153"/>
    <w:rsid w:val="002E72CA"/>
    <w:rsid w:val="002F7E3B"/>
    <w:rsid w:val="00300AD6"/>
    <w:rsid w:val="00302504"/>
    <w:rsid w:val="00317C6C"/>
    <w:rsid w:val="00323F97"/>
    <w:rsid w:val="00326E79"/>
    <w:rsid w:val="003276CB"/>
    <w:rsid w:val="00330791"/>
    <w:rsid w:val="0033518A"/>
    <w:rsid w:val="00336762"/>
    <w:rsid w:val="003367EF"/>
    <w:rsid w:val="00337297"/>
    <w:rsid w:val="00341AE4"/>
    <w:rsid w:val="003421F3"/>
    <w:rsid w:val="003425E6"/>
    <w:rsid w:val="003464C0"/>
    <w:rsid w:val="00351CF7"/>
    <w:rsid w:val="003872CF"/>
    <w:rsid w:val="00392838"/>
    <w:rsid w:val="00393ABA"/>
    <w:rsid w:val="003967E6"/>
    <w:rsid w:val="0039782C"/>
    <w:rsid w:val="003A5B4A"/>
    <w:rsid w:val="003B21B3"/>
    <w:rsid w:val="003B23C5"/>
    <w:rsid w:val="003B2A75"/>
    <w:rsid w:val="003B6124"/>
    <w:rsid w:val="003C0DD5"/>
    <w:rsid w:val="003C2FB5"/>
    <w:rsid w:val="003C3E36"/>
    <w:rsid w:val="003D09BB"/>
    <w:rsid w:val="003D4AC4"/>
    <w:rsid w:val="003D63B7"/>
    <w:rsid w:val="003E468B"/>
    <w:rsid w:val="003F3228"/>
    <w:rsid w:val="003F5C8C"/>
    <w:rsid w:val="00401105"/>
    <w:rsid w:val="0040346C"/>
    <w:rsid w:val="00420E54"/>
    <w:rsid w:val="004252EC"/>
    <w:rsid w:val="004321FA"/>
    <w:rsid w:val="0044564C"/>
    <w:rsid w:val="0044571B"/>
    <w:rsid w:val="004465BD"/>
    <w:rsid w:val="00462B92"/>
    <w:rsid w:val="00466ADA"/>
    <w:rsid w:val="0047163E"/>
    <w:rsid w:val="00476245"/>
    <w:rsid w:val="00477DEB"/>
    <w:rsid w:val="00483035"/>
    <w:rsid w:val="00485940"/>
    <w:rsid w:val="00487270"/>
    <w:rsid w:val="004A07FF"/>
    <w:rsid w:val="004A0F5C"/>
    <w:rsid w:val="004A2484"/>
    <w:rsid w:val="004A4E2E"/>
    <w:rsid w:val="004A5A85"/>
    <w:rsid w:val="004A71D1"/>
    <w:rsid w:val="004B3258"/>
    <w:rsid w:val="004B546C"/>
    <w:rsid w:val="004B5640"/>
    <w:rsid w:val="004C1BD7"/>
    <w:rsid w:val="004C31FE"/>
    <w:rsid w:val="004C4B95"/>
    <w:rsid w:val="004C691D"/>
    <w:rsid w:val="004C6C07"/>
    <w:rsid w:val="004D1EA8"/>
    <w:rsid w:val="004E692D"/>
    <w:rsid w:val="00501554"/>
    <w:rsid w:val="00514CD7"/>
    <w:rsid w:val="00523A31"/>
    <w:rsid w:val="005271AE"/>
    <w:rsid w:val="005275BB"/>
    <w:rsid w:val="005319B2"/>
    <w:rsid w:val="00532402"/>
    <w:rsid w:val="00532C74"/>
    <w:rsid w:val="00532D2B"/>
    <w:rsid w:val="00534E2E"/>
    <w:rsid w:val="00544552"/>
    <w:rsid w:val="00554874"/>
    <w:rsid w:val="0056474F"/>
    <w:rsid w:val="005651FE"/>
    <w:rsid w:val="005663E6"/>
    <w:rsid w:val="00577C4D"/>
    <w:rsid w:val="00581932"/>
    <w:rsid w:val="00583C01"/>
    <w:rsid w:val="00584A59"/>
    <w:rsid w:val="00587B5D"/>
    <w:rsid w:val="005915AF"/>
    <w:rsid w:val="00593D1D"/>
    <w:rsid w:val="005963BB"/>
    <w:rsid w:val="005A0E58"/>
    <w:rsid w:val="005A2C6A"/>
    <w:rsid w:val="005A3173"/>
    <w:rsid w:val="005A3223"/>
    <w:rsid w:val="005A3DA3"/>
    <w:rsid w:val="005A52C4"/>
    <w:rsid w:val="005D03AB"/>
    <w:rsid w:val="005D5017"/>
    <w:rsid w:val="005E1333"/>
    <w:rsid w:val="00601A91"/>
    <w:rsid w:val="00602B38"/>
    <w:rsid w:val="00602BA3"/>
    <w:rsid w:val="0060482F"/>
    <w:rsid w:val="00611937"/>
    <w:rsid w:val="00612E34"/>
    <w:rsid w:val="00614159"/>
    <w:rsid w:val="00617C00"/>
    <w:rsid w:val="006263BF"/>
    <w:rsid w:val="0062748A"/>
    <w:rsid w:val="00630A2C"/>
    <w:rsid w:val="0063682E"/>
    <w:rsid w:val="006407C6"/>
    <w:rsid w:val="006436A7"/>
    <w:rsid w:val="006436CD"/>
    <w:rsid w:val="006473E7"/>
    <w:rsid w:val="006503F2"/>
    <w:rsid w:val="00651169"/>
    <w:rsid w:val="00653D69"/>
    <w:rsid w:val="006616F4"/>
    <w:rsid w:val="006622B8"/>
    <w:rsid w:val="0066696F"/>
    <w:rsid w:val="006670BE"/>
    <w:rsid w:val="00670A76"/>
    <w:rsid w:val="006711AA"/>
    <w:rsid w:val="00672B57"/>
    <w:rsid w:val="00675622"/>
    <w:rsid w:val="006765C2"/>
    <w:rsid w:val="006767BB"/>
    <w:rsid w:val="006906DB"/>
    <w:rsid w:val="00690961"/>
    <w:rsid w:val="00691E6C"/>
    <w:rsid w:val="006953AC"/>
    <w:rsid w:val="006956F2"/>
    <w:rsid w:val="00696129"/>
    <w:rsid w:val="00697CF2"/>
    <w:rsid w:val="006A12A5"/>
    <w:rsid w:val="006B0D94"/>
    <w:rsid w:val="006B2489"/>
    <w:rsid w:val="006B485D"/>
    <w:rsid w:val="006C4D70"/>
    <w:rsid w:val="006C708E"/>
    <w:rsid w:val="006D6EC7"/>
    <w:rsid w:val="006E3399"/>
    <w:rsid w:val="006E4777"/>
    <w:rsid w:val="006F27A8"/>
    <w:rsid w:val="006F5125"/>
    <w:rsid w:val="006F619C"/>
    <w:rsid w:val="00702B6F"/>
    <w:rsid w:val="0070634F"/>
    <w:rsid w:val="00712B92"/>
    <w:rsid w:val="0071340B"/>
    <w:rsid w:val="00714ABF"/>
    <w:rsid w:val="00715F14"/>
    <w:rsid w:val="007174BB"/>
    <w:rsid w:val="0072025D"/>
    <w:rsid w:val="007254FE"/>
    <w:rsid w:val="007353D3"/>
    <w:rsid w:val="00747352"/>
    <w:rsid w:val="007603D2"/>
    <w:rsid w:val="00763018"/>
    <w:rsid w:val="0076420C"/>
    <w:rsid w:val="00774BE7"/>
    <w:rsid w:val="007753C2"/>
    <w:rsid w:val="007838B8"/>
    <w:rsid w:val="00791860"/>
    <w:rsid w:val="0079306C"/>
    <w:rsid w:val="00794A40"/>
    <w:rsid w:val="007A24DF"/>
    <w:rsid w:val="007A76ED"/>
    <w:rsid w:val="007A7808"/>
    <w:rsid w:val="007C0F57"/>
    <w:rsid w:val="007C40B6"/>
    <w:rsid w:val="007C455F"/>
    <w:rsid w:val="007C729F"/>
    <w:rsid w:val="007D101F"/>
    <w:rsid w:val="007E1D28"/>
    <w:rsid w:val="007E234E"/>
    <w:rsid w:val="007E70F3"/>
    <w:rsid w:val="007F2641"/>
    <w:rsid w:val="007F490C"/>
    <w:rsid w:val="007F7C36"/>
    <w:rsid w:val="00806796"/>
    <w:rsid w:val="008151D6"/>
    <w:rsid w:val="00826F6D"/>
    <w:rsid w:val="008306F3"/>
    <w:rsid w:val="008357D4"/>
    <w:rsid w:val="00856DDD"/>
    <w:rsid w:val="008575CE"/>
    <w:rsid w:val="00863E68"/>
    <w:rsid w:val="00873556"/>
    <w:rsid w:val="00882085"/>
    <w:rsid w:val="00883188"/>
    <w:rsid w:val="008945E7"/>
    <w:rsid w:val="008961B4"/>
    <w:rsid w:val="00897D58"/>
    <w:rsid w:val="00897F22"/>
    <w:rsid w:val="008A1956"/>
    <w:rsid w:val="008A4937"/>
    <w:rsid w:val="008A50F1"/>
    <w:rsid w:val="008C3551"/>
    <w:rsid w:val="008C47AE"/>
    <w:rsid w:val="008D1B5C"/>
    <w:rsid w:val="008D303C"/>
    <w:rsid w:val="008D3C82"/>
    <w:rsid w:val="008D447E"/>
    <w:rsid w:val="008D6E64"/>
    <w:rsid w:val="008D7A41"/>
    <w:rsid w:val="008E3680"/>
    <w:rsid w:val="008E5870"/>
    <w:rsid w:val="008F1434"/>
    <w:rsid w:val="008F2046"/>
    <w:rsid w:val="008F3781"/>
    <w:rsid w:val="008F7355"/>
    <w:rsid w:val="0090531F"/>
    <w:rsid w:val="00905800"/>
    <w:rsid w:val="009067B7"/>
    <w:rsid w:val="00913C73"/>
    <w:rsid w:val="0093071B"/>
    <w:rsid w:val="00930937"/>
    <w:rsid w:val="00933E6C"/>
    <w:rsid w:val="0093643D"/>
    <w:rsid w:val="00937958"/>
    <w:rsid w:val="0094008C"/>
    <w:rsid w:val="00941732"/>
    <w:rsid w:val="00942160"/>
    <w:rsid w:val="00942A82"/>
    <w:rsid w:val="00943C83"/>
    <w:rsid w:val="00944889"/>
    <w:rsid w:val="0095146F"/>
    <w:rsid w:val="00952828"/>
    <w:rsid w:val="009602C5"/>
    <w:rsid w:val="00962223"/>
    <w:rsid w:val="00966D0D"/>
    <w:rsid w:val="009726D0"/>
    <w:rsid w:val="00974C21"/>
    <w:rsid w:val="00975EBA"/>
    <w:rsid w:val="00982B5F"/>
    <w:rsid w:val="009849CA"/>
    <w:rsid w:val="00991443"/>
    <w:rsid w:val="00994B1F"/>
    <w:rsid w:val="009962BC"/>
    <w:rsid w:val="009A1619"/>
    <w:rsid w:val="009A249E"/>
    <w:rsid w:val="009B0F67"/>
    <w:rsid w:val="009B3515"/>
    <w:rsid w:val="009B4F1C"/>
    <w:rsid w:val="009C57E4"/>
    <w:rsid w:val="009C703C"/>
    <w:rsid w:val="009D0254"/>
    <w:rsid w:val="009D3CAA"/>
    <w:rsid w:val="009D4C65"/>
    <w:rsid w:val="009D6AD5"/>
    <w:rsid w:val="009E6D5A"/>
    <w:rsid w:val="009F4A8B"/>
    <w:rsid w:val="009F4BFB"/>
    <w:rsid w:val="009F4E46"/>
    <w:rsid w:val="009F5B65"/>
    <w:rsid w:val="009F5F2E"/>
    <w:rsid w:val="009F70B2"/>
    <w:rsid w:val="00A00BC0"/>
    <w:rsid w:val="00A026E2"/>
    <w:rsid w:val="00A06225"/>
    <w:rsid w:val="00A079E5"/>
    <w:rsid w:val="00A07FA1"/>
    <w:rsid w:val="00A124D8"/>
    <w:rsid w:val="00A128E6"/>
    <w:rsid w:val="00A22C71"/>
    <w:rsid w:val="00A34E6C"/>
    <w:rsid w:val="00A37C8D"/>
    <w:rsid w:val="00A507E4"/>
    <w:rsid w:val="00A5273B"/>
    <w:rsid w:val="00A53A9D"/>
    <w:rsid w:val="00A55FEE"/>
    <w:rsid w:val="00A60D28"/>
    <w:rsid w:val="00A62C1A"/>
    <w:rsid w:val="00A6426D"/>
    <w:rsid w:val="00A65218"/>
    <w:rsid w:val="00A665C1"/>
    <w:rsid w:val="00A70622"/>
    <w:rsid w:val="00A70977"/>
    <w:rsid w:val="00A71C07"/>
    <w:rsid w:val="00A725B2"/>
    <w:rsid w:val="00A77613"/>
    <w:rsid w:val="00A8390C"/>
    <w:rsid w:val="00A9101D"/>
    <w:rsid w:val="00A928BD"/>
    <w:rsid w:val="00A947F1"/>
    <w:rsid w:val="00AA4D1C"/>
    <w:rsid w:val="00AB0437"/>
    <w:rsid w:val="00AC068A"/>
    <w:rsid w:val="00AC193C"/>
    <w:rsid w:val="00AC2C47"/>
    <w:rsid w:val="00AC2E7A"/>
    <w:rsid w:val="00AC5206"/>
    <w:rsid w:val="00AD407E"/>
    <w:rsid w:val="00AE11A5"/>
    <w:rsid w:val="00AE13E2"/>
    <w:rsid w:val="00AE22D3"/>
    <w:rsid w:val="00AF4C71"/>
    <w:rsid w:val="00AF62DF"/>
    <w:rsid w:val="00AF68CC"/>
    <w:rsid w:val="00B039BC"/>
    <w:rsid w:val="00B1059E"/>
    <w:rsid w:val="00B13435"/>
    <w:rsid w:val="00B1743B"/>
    <w:rsid w:val="00B176C8"/>
    <w:rsid w:val="00B205AA"/>
    <w:rsid w:val="00B2275E"/>
    <w:rsid w:val="00B22E84"/>
    <w:rsid w:val="00B25F75"/>
    <w:rsid w:val="00B2640F"/>
    <w:rsid w:val="00B26B3F"/>
    <w:rsid w:val="00B33AA1"/>
    <w:rsid w:val="00B35FC9"/>
    <w:rsid w:val="00B43E90"/>
    <w:rsid w:val="00B45086"/>
    <w:rsid w:val="00B467DC"/>
    <w:rsid w:val="00B4750E"/>
    <w:rsid w:val="00B50D79"/>
    <w:rsid w:val="00B56118"/>
    <w:rsid w:val="00B56A1F"/>
    <w:rsid w:val="00B623E1"/>
    <w:rsid w:val="00B6773F"/>
    <w:rsid w:val="00B679B3"/>
    <w:rsid w:val="00B75C39"/>
    <w:rsid w:val="00B801BA"/>
    <w:rsid w:val="00B81880"/>
    <w:rsid w:val="00B822C5"/>
    <w:rsid w:val="00B823A1"/>
    <w:rsid w:val="00B84D5C"/>
    <w:rsid w:val="00B854AA"/>
    <w:rsid w:val="00B97B3F"/>
    <w:rsid w:val="00BB14F1"/>
    <w:rsid w:val="00BB69F5"/>
    <w:rsid w:val="00BB7EC3"/>
    <w:rsid w:val="00BC203B"/>
    <w:rsid w:val="00BC4B9A"/>
    <w:rsid w:val="00BD0D1D"/>
    <w:rsid w:val="00BD66A1"/>
    <w:rsid w:val="00BD784C"/>
    <w:rsid w:val="00BF3A8D"/>
    <w:rsid w:val="00BF4CB6"/>
    <w:rsid w:val="00BF777E"/>
    <w:rsid w:val="00C00DA7"/>
    <w:rsid w:val="00C05954"/>
    <w:rsid w:val="00C07CBB"/>
    <w:rsid w:val="00C12170"/>
    <w:rsid w:val="00C12768"/>
    <w:rsid w:val="00C13C4D"/>
    <w:rsid w:val="00C211BF"/>
    <w:rsid w:val="00C27B58"/>
    <w:rsid w:val="00C3039A"/>
    <w:rsid w:val="00C30552"/>
    <w:rsid w:val="00C35996"/>
    <w:rsid w:val="00C40856"/>
    <w:rsid w:val="00C4747E"/>
    <w:rsid w:val="00C5342C"/>
    <w:rsid w:val="00C603D4"/>
    <w:rsid w:val="00C6256A"/>
    <w:rsid w:val="00C71390"/>
    <w:rsid w:val="00C73EA1"/>
    <w:rsid w:val="00C77891"/>
    <w:rsid w:val="00C77CA1"/>
    <w:rsid w:val="00C83E91"/>
    <w:rsid w:val="00C908DE"/>
    <w:rsid w:val="00C91449"/>
    <w:rsid w:val="00C92D10"/>
    <w:rsid w:val="00CC05BA"/>
    <w:rsid w:val="00CE10C4"/>
    <w:rsid w:val="00CE27B5"/>
    <w:rsid w:val="00CF5067"/>
    <w:rsid w:val="00CF53E6"/>
    <w:rsid w:val="00CF59D0"/>
    <w:rsid w:val="00D01180"/>
    <w:rsid w:val="00D02511"/>
    <w:rsid w:val="00D0321E"/>
    <w:rsid w:val="00D10284"/>
    <w:rsid w:val="00D12A63"/>
    <w:rsid w:val="00D13BC3"/>
    <w:rsid w:val="00D1455A"/>
    <w:rsid w:val="00D2520B"/>
    <w:rsid w:val="00D25439"/>
    <w:rsid w:val="00D31150"/>
    <w:rsid w:val="00D3138B"/>
    <w:rsid w:val="00D3280C"/>
    <w:rsid w:val="00D3406A"/>
    <w:rsid w:val="00D364C9"/>
    <w:rsid w:val="00D409A0"/>
    <w:rsid w:val="00D4269C"/>
    <w:rsid w:val="00D4572C"/>
    <w:rsid w:val="00D469B2"/>
    <w:rsid w:val="00D741EB"/>
    <w:rsid w:val="00D7611A"/>
    <w:rsid w:val="00D77903"/>
    <w:rsid w:val="00D83605"/>
    <w:rsid w:val="00D84934"/>
    <w:rsid w:val="00D84C81"/>
    <w:rsid w:val="00D91271"/>
    <w:rsid w:val="00DA2CB5"/>
    <w:rsid w:val="00DA31E4"/>
    <w:rsid w:val="00DA4BAC"/>
    <w:rsid w:val="00DB646F"/>
    <w:rsid w:val="00DD084F"/>
    <w:rsid w:val="00DE6D27"/>
    <w:rsid w:val="00DF217D"/>
    <w:rsid w:val="00DF26A7"/>
    <w:rsid w:val="00DF4F83"/>
    <w:rsid w:val="00E15627"/>
    <w:rsid w:val="00E157EA"/>
    <w:rsid w:val="00E164B3"/>
    <w:rsid w:val="00E16910"/>
    <w:rsid w:val="00E173C9"/>
    <w:rsid w:val="00E20B27"/>
    <w:rsid w:val="00E41D3D"/>
    <w:rsid w:val="00E42BDB"/>
    <w:rsid w:val="00E434B7"/>
    <w:rsid w:val="00E44700"/>
    <w:rsid w:val="00E52849"/>
    <w:rsid w:val="00E56AE6"/>
    <w:rsid w:val="00E57EEB"/>
    <w:rsid w:val="00E62D94"/>
    <w:rsid w:val="00E65E54"/>
    <w:rsid w:val="00E7381F"/>
    <w:rsid w:val="00E77338"/>
    <w:rsid w:val="00E80155"/>
    <w:rsid w:val="00E848C0"/>
    <w:rsid w:val="00E91B96"/>
    <w:rsid w:val="00E941A1"/>
    <w:rsid w:val="00E95CE3"/>
    <w:rsid w:val="00EA2825"/>
    <w:rsid w:val="00EA4DB8"/>
    <w:rsid w:val="00EA61A5"/>
    <w:rsid w:val="00EB0B63"/>
    <w:rsid w:val="00EB1239"/>
    <w:rsid w:val="00EB5088"/>
    <w:rsid w:val="00EB5DD5"/>
    <w:rsid w:val="00EC3D87"/>
    <w:rsid w:val="00ED1644"/>
    <w:rsid w:val="00ED2593"/>
    <w:rsid w:val="00ED7D9C"/>
    <w:rsid w:val="00EE40F3"/>
    <w:rsid w:val="00EF444E"/>
    <w:rsid w:val="00EF44A0"/>
    <w:rsid w:val="00EF4FED"/>
    <w:rsid w:val="00F050BD"/>
    <w:rsid w:val="00F05657"/>
    <w:rsid w:val="00F168C7"/>
    <w:rsid w:val="00F25578"/>
    <w:rsid w:val="00F258E5"/>
    <w:rsid w:val="00F300BC"/>
    <w:rsid w:val="00F3334E"/>
    <w:rsid w:val="00F36CCB"/>
    <w:rsid w:val="00F374E5"/>
    <w:rsid w:val="00F41B82"/>
    <w:rsid w:val="00F43AF2"/>
    <w:rsid w:val="00F50137"/>
    <w:rsid w:val="00F50EC4"/>
    <w:rsid w:val="00F52478"/>
    <w:rsid w:val="00F550CF"/>
    <w:rsid w:val="00F57A6D"/>
    <w:rsid w:val="00F638CC"/>
    <w:rsid w:val="00F64CC1"/>
    <w:rsid w:val="00F65A13"/>
    <w:rsid w:val="00F70D47"/>
    <w:rsid w:val="00F72317"/>
    <w:rsid w:val="00F80475"/>
    <w:rsid w:val="00F8247A"/>
    <w:rsid w:val="00F84DA2"/>
    <w:rsid w:val="00F851C9"/>
    <w:rsid w:val="00F95130"/>
    <w:rsid w:val="00F9629A"/>
    <w:rsid w:val="00F974AE"/>
    <w:rsid w:val="00F97EFC"/>
    <w:rsid w:val="00FA5883"/>
    <w:rsid w:val="00FA6055"/>
    <w:rsid w:val="00FB20BF"/>
    <w:rsid w:val="00FB322F"/>
    <w:rsid w:val="00FB442F"/>
    <w:rsid w:val="00FC1929"/>
    <w:rsid w:val="00FC4098"/>
    <w:rsid w:val="00FC4CC0"/>
    <w:rsid w:val="00FC5B46"/>
    <w:rsid w:val="00FC7A1D"/>
    <w:rsid w:val="00FD0DB0"/>
    <w:rsid w:val="00FD6D8E"/>
    <w:rsid w:val="00FE0E94"/>
    <w:rsid w:val="00FE7F00"/>
    <w:rsid w:val="00FF00BD"/>
    <w:rsid w:val="00FF0ACA"/>
    <w:rsid w:val="00FF0C75"/>
    <w:rsid w:val="00FF1ED4"/>
    <w:rsid w:val="00FF2801"/>
    <w:rsid w:val="00FF4D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BodyText">
    <w:name w:val="Body Text"/>
    <w:basedOn w:val="Normal"/>
    <w:link w:val="BodyTextChar"/>
    <w:rsid w:val="008D303C"/>
    <w:pPr>
      <w:spacing w:after="120"/>
    </w:pPr>
  </w:style>
  <w:style w:type="character" w:customStyle="1" w:styleId="BodyTextChar">
    <w:name w:val="Body Text Char"/>
    <w:basedOn w:val="DefaultParagraphFont"/>
    <w:link w:val="BodyText"/>
    <w:rsid w:val="008D303C"/>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autoRedefine/>
    <w:uiPriority w:val="35"/>
    <w:qFormat/>
    <w:rsid w:val="00583C01"/>
    <w:pPr>
      <w:keepNext/>
      <w:tabs>
        <w:tab w:val="left" w:pos="1418"/>
      </w:tabs>
      <w:spacing w:after="40"/>
      <w:ind w:left="1418" w:hanging="1418"/>
    </w:pPr>
    <w:rPr>
      <w:rFonts w:asciiTheme="minorHAnsi" w:hAnsiTheme="minorHAnsi"/>
      <w:b/>
      <w:bCs/>
      <w:sz w:val="22"/>
      <w:szCs w:val="20"/>
      <w:lang w:eastAsia="en-GB"/>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35"/>
    <w:rsid w:val="00583C01"/>
    <w:rPr>
      <w:rFonts w:asciiTheme="minorHAnsi" w:hAnsiTheme="minorHAnsi"/>
      <w:b/>
      <w:bCs/>
      <w:sz w:val="22"/>
      <w:lang w:eastAsia="en-GB"/>
    </w:rPr>
  </w:style>
  <w:style w:type="paragraph" w:customStyle="1" w:styleId="TableText0">
    <w:name w:val="Table Text"/>
    <w:basedOn w:val="Normal"/>
    <w:link w:val="TableTextChar"/>
    <w:qFormat/>
    <w:rsid w:val="00583C01"/>
    <w:pPr>
      <w:spacing w:before="40" w:after="40"/>
    </w:pPr>
    <w:rPr>
      <w:rFonts w:asciiTheme="minorHAnsi" w:eastAsia="SimSun" w:hAnsiTheme="minorHAnsi" w:cs="Arial Narrow"/>
      <w:sz w:val="20"/>
      <w:szCs w:val="20"/>
      <w:lang w:eastAsia="en-US"/>
    </w:rPr>
  </w:style>
  <w:style w:type="paragraph" w:customStyle="1" w:styleId="Tablenotes0">
    <w:name w:val="Table notes"/>
    <w:basedOn w:val="Normal"/>
    <w:qFormat/>
    <w:rsid w:val="00583C01"/>
    <w:rPr>
      <w:rFonts w:asciiTheme="minorHAnsi" w:hAnsiTheme="minorHAnsi" w:cs="Arial"/>
      <w:sz w:val="18"/>
      <w:szCs w:val="22"/>
    </w:rPr>
  </w:style>
  <w:style w:type="character" w:customStyle="1" w:styleId="TableTextChar">
    <w:name w:val="Table Text Char"/>
    <w:basedOn w:val="DefaultParagraphFont"/>
    <w:link w:val="TableText0"/>
    <w:rsid w:val="00583C01"/>
    <w:rPr>
      <w:rFonts w:asciiTheme="minorHAnsi" w:eastAsia="SimSun" w:hAnsiTheme="minorHAnsi" w:cs="Arial Narrow"/>
      <w:lang w:eastAsia="en-US"/>
    </w:rPr>
  </w:style>
  <w:style w:type="table" w:customStyle="1" w:styleId="TableNoBorders">
    <w:name w:val="Table No Borders"/>
    <w:basedOn w:val="TableNormal"/>
    <w:rsid w:val="00583C01"/>
    <w:pPr>
      <w:spacing w:before="40" w:after="20"/>
    </w:pPr>
    <w:rPr>
      <w:rFonts w:ascii="Garamond" w:hAnsi="Garamond"/>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Tabletextbody">
    <w:name w:val="Table text (body)"/>
    <w:basedOn w:val="BodyText"/>
    <w:qFormat/>
    <w:rsid w:val="00583C01"/>
    <w:pPr>
      <w:keepNext/>
      <w:spacing w:before="40" w:after="40"/>
      <w:jc w:val="center"/>
    </w:pPr>
    <w:rPr>
      <w:rFonts w:asciiTheme="minorHAnsi" w:hAnsiTheme="minorHAnsi"/>
      <w:sz w:val="20"/>
    </w:rPr>
  </w:style>
  <w:style w:type="character" w:customStyle="1" w:styleId="label-">
    <w:name w:val="label-"/>
    <w:basedOn w:val="DefaultParagraphFont"/>
    <w:rsid w:val="00B822C5"/>
  </w:style>
  <w:style w:type="paragraph" w:styleId="NormalWeb">
    <w:name w:val="Normal (Web)"/>
    <w:basedOn w:val="Normal"/>
    <w:uiPriority w:val="99"/>
    <w:unhideWhenUsed/>
    <w:rsid w:val="00B822C5"/>
    <w:pPr>
      <w:spacing w:before="100" w:beforeAutospacing="1" w:after="100" w:afterAutospacing="1"/>
    </w:pPr>
  </w:style>
  <w:style w:type="paragraph" w:styleId="Revision">
    <w:name w:val="Revision"/>
    <w:hidden/>
    <w:uiPriority w:val="71"/>
    <w:rsid w:val="00B822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BodyText">
    <w:name w:val="Body Text"/>
    <w:basedOn w:val="Normal"/>
    <w:link w:val="BodyTextChar"/>
    <w:rsid w:val="008D303C"/>
    <w:pPr>
      <w:spacing w:after="120"/>
    </w:pPr>
  </w:style>
  <w:style w:type="character" w:customStyle="1" w:styleId="BodyTextChar">
    <w:name w:val="Body Text Char"/>
    <w:basedOn w:val="DefaultParagraphFont"/>
    <w:link w:val="BodyText"/>
    <w:rsid w:val="008D303C"/>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autoRedefine/>
    <w:uiPriority w:val="35"/>
    <w:qFormat/>
    <w:rsid w:val="00583C01"/>
    <w:pPr>
      <w:keepNext/>
      <w:tabs>
        <w:tab w:val="left" w:pos="1418"/>
      </w:tabs>
      <w:spacing w:after="40"/>
      <w:ind w:left="1418" w:hanging="1418"/>
    </w:pPr>
    <w:rPr>
      <w:rFonts w:asciiTheme="minorHAnsi" w:hAnsiTheme="minorHAnsi"/>
      <w:b/>
      <w:bCs/>
      <w:sz w:val="22"/>
      <w:szCs w:val="20"/>
      <w:lang w:eastAsia="en-GB"/>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35"/>
    <w:rsid w:val="00583C01"/>
    <w:rPr>
      <w:rFonts w:asciiTheme="minorHAnsi" w:hAnsiTheme="minorHAnsi"/>
      <w:b/>
      <w:bCs/>
      <w:sz w:val="22"/>
      <w:lang w:eastAsia="en-GB"/>
    </w:rPr>
  </w:style>
  <w:style w:type="paragraph" w:customStyle="1" w:styleId="TableText0">
    <w:name w:val="Table Text"/>
    <w:basedOn w:val="Normal"/>
    <w:link w:val="TableTextChar"/>
    <w:qFormat/>
    <w:rsid w:val="00583C01"/>
    <w:pPr>
      <w:spacing w:before="40" w:after="40"/>
    </w:pPr>
    <w:rPr>
      <w:rFonts w:asciiTheme="minorHAnsi" w:eastAsia="SimSun" w:hAnsiTheme="minorHAnsi" w:cs="Arial Narrow"/>
      <w:sz w:val="20"/>
      <w:szCs w:val="20"/>
      <w:lang w:eastAsia="en-US"/>
    </w:rPr>
  </w:style>
  <w:style w:type="paragraph" w:customStyle="1" w:styleId="Tablenotes0">
    <w:name w:val="Table notes"/>
    <w:basedOn w:val="Normal"/>
    <w:qFormat/>
    <w:rsid w:val="00583C01"/>
    <w:rPr>
      <w:rFonts w:asciiTheme="minorHAnsi" w:hAnsiTheme="minorHAnsi" w:cs="Arial"/>
      <w:sz w:val="18"/>
      <w:szCs w:val="22"/>
    </w:rPr>
  </w:style>
  <w:style w:type="character" w:customStyle="1" w:styleId="TableTextChar">
    <w:name w:val="Table Text Char"/>
    <w:basedOn w:val="DefaultParagraphFont"/>
    <w:link w:val="TableText0"/>
    <w:rsid w:val="00583C01"/>
    <w:rPr>
      <w:rFonts w:asciiTheme="minorHAnsi" w:eastAsia="SimSun" w:hAnsiTheme="minorHAnsi" w:cs="Arial Narrow"/>
      <w:lang w:eastAsia="en-US"/>
    </w:rPr>
  </w:style>
  <w:style w:type="table" w:customStyle="1" w:styleId="TableNoBorders">
    <w:name w:val="Table No Borders"/>
    <w:basedOn w:val="TableNormal"/>
    <w:rsid w:val="00583C01"/>
    <w:pPr>
      <w:spacing w:before="40" w:after="20"/>
    </w:pPr>
    <w:rPr>
      <w:rFonts w:ascii="Garamond" w:hAnsi="Garamond"/>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Tabletextbody">
    <w:name w:val="Table text (body)"/>
    <w:basedOn w:val="BodyText"/>
    <w:qFormat/>
    <w:rsid w:val="00583C01"/>
    <w:pPr>
      <w:keepNext/>
      <w:spacing w:before="40" w:after="40"/>
      <w:jc w:val="center"/>
    </w:pPr>
    <w:rPr>
      <w:rFonts w:asciiTheme="minorHAnsi" w:hAnsiTheme="minorHAnsi"/>
      <w:sz w:val="20"/>
    </w:rPr>
  </w:style>
  <w:style w:type="character" w:customStyle="1" w:styleId="label-">
    <w:name w:val="label-"/>
    <w:basedOn w:val="DefaultParagraphFont"/>
    <w:rsid w:val="00B822C5"/>
  </w:style>
  <w:style w:type="paragraph" w:styleId="NormalWeb">
    <w:name w:val="Normal (Web)"/>
    <w:basedOn w:val="Normal"/>
    <w:uiPriority w:val="99"/>
    <w:unhideWhenUsed/>
    <w:rsid w:val="00B822C5"/>
    <w:pPr>
      <w:spacing w:before="100" w:beforeAutospacing="1" w:after="100" w:afterAutospacing="1"/>
    </w:pPr>
  </w:style>
  <w:style w:type="paragraph" w:styleId="Revision">
    <w:name w:val="Revision"/>
    <w:hidden/>
    <w:uiPriority w:val="71"/>
    <w:rsid w:val="00B822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1454266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E424-6061-4FF5-8573-8BA71B70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2018-02-14T21:58:00Z</dcterms:created>
  <dcterms:modified xsi:type="dcterms:W3CDTF">2018-02-14T21:58:00Z</dcterms:modified>
</cp:coreProperties>
</file>