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21709" w:rsidRDefault="003B396C" w:rsidP="00B422E6">
      <w:pPr>
        <w:pStyle w:val="Title"/>
        <w:tabs>
          <w:tab w:val="left" w:pos="851"/>
        </w:tabs>
        <w:spacing w:before="120" w:after="160"/>
        <w:ind w:left="851" w:hanging="851"/>
        <w:rPr>
          <w:rFonts w:asciiTheme="minorHAnsi" w:hAnsiTheme="minorHAnsi"/>
          <w:sz w:val="36"/>
          <w:szCs w:val="36"/>
        </w:rPr>
      </w:pPr>
      <w:bookmarkStart w:id="0" w:name="_GoBack"/>
      <w:bookmarkEnd w:id="0"/>
      <w:r w:rsidRPr="00521709">
        <w:rPr>
          <w:rFonts w:asciiTheme="minorHAnsi" w:eastAsia="Times New Roman" w:hAnsiTheme="minorHAnsi" w:cs="Arial"/>
          <w:spacing w:val="0"/>
          <w:kern w:val="0"/>
          <w:sz w:val="36"/>
          <w:szCs w:val="24"/>
        </w:rPr>
        <w:t>6.15</w:t>
      </w:r>
      <w:r w:rsidR="007C0F57" w:rsidRPr="00521709">
        <w:rPr>
          <w:rFonts w:asciiTheme="minorHAnsi" w:eastAsia="Times New Roman" w:hAnsiTheme="minorHAnsi" w:cs="Arial"/>
          <w:spacing w:val="0"/>
          <w:kern w:val="0"/>
          <w:sz w:val="36"/>
          <w:szCs w:val="24"/>
        </w:rPr>
        <w:tab/>
      </w:r>
      <w:r w:rsidR="003D2840" w:rsidRPr="00521709">
        <w:rPr>
          <w:rFonts w:asciiTheme="minorHAnsi" w:eastAsia="Times New Roman" w:hAnsiTheme="minorHAnsi" w:cs="Arial"/>
          <w:spacing w:val="0"/>
          <w:kern w:val="0"/>
          <w:sz w:val="36"/>
          <w:szCs w:val="24"/>
        </w:rPr>
        <w:t>GLECAPREVIR with PIBRENTASVIR</w:t>
      </w:r>
      <w:r w:rsidR="003D2840" w:rsidRPr="00521709">
        <w:rPr>
          <w:rFonts w:asciiTheme="minorHAnsi" w:hAnsiTheme="minorHAnsi"/>
          <w:sz w:val="36"/>
          <w:szCs w:val="36"/>
        </w:rPr>
        <w:t xml:space="preserve">, </w:t>
      </w:r>
      <w:r w:rsidR="00B422E6">
        <w:rPr>
          <w:rFonts w:asciiTheme="minorHAnsi" w:hAnsiTheme="minorHAnsi"/>
          <w:sz w:val="36"/>
          <w:szCs w:val="36"/>
        </w:rPr>
        <w:br/>
      </w:r>
      <w:r w:rsidR="003D2840" w:rsidRPr="00521709">
        <w:rPr>
          <w:rFonts w:asciiTheme="minorHAnsi" w:hAnsiTheme="minorHAnsi"/>
          <w:sz w:val="36"/>
          <w:szCs w:val="36"/>
        </w:rPr>
        <w:t xml:space="preserve">Tablet containing 100 mg glecaprevir </w:t>
      </w:r>
      <w:r w:rsidR="00B422E6">
        <w:rPr>
          <w:rFonts w:asciiTheme="minorHAnsi" w:hAnsiTheme="minorHAnsi"/>
          <w:sz w:val="36"/>
          <w:szCs w:val="36"/>
        </w:rPr>
        <w:br/>
      </w:r>
      <w:r w:rsidR="003D2840" w:rsidRPr="00521709">
        <w:rPr>
          <w:rFonts w:asciiTheme="minorHAnsi" w:hAnsiTheme="minorHAnsi"/>
          <w:sz w:val="36"/>
          <w:szCs w:val="36"/>
        </w:rPr>
        <w:t xml:space="preserve">with 40 mg pibrentasvir, </w:t>
      </w:r>
      <w:r w:rsidR="000B59D6">
        <w:rPr>
          <w:rFonts w:asciiTheme="minorHAnsi" w:hAnsiTheme="minorHAnsi"/>
          <w:sz w:val="36"/>
          <w:szCs w:val="36"/>
        </w:rPr>
        <w:t xml:space="preserve"> </w:t>
      </w:r>
      <w:r w:rsidR="00B422E6">
        <w:rPr>
          <w:rFonts w:asciiTheme="minorHAnsi" w:hAnsiTheme="minorHAnsi"/>
          <w:sz w:val="36"/>
          <w:szCs w:val="36"/>
        </w:rPr>
        <w:br/>
      </w:r>
      <w:r w:rsidR="003D2840" w:rsidRPr="00521709">
        <w:rPr>
          <w:rFonts w:asciiTheme="minorHAnsi" w:hAnsiTheme="minorHAnsi"/>
          <w:sz w:val="36"/>
          <w:szCs w:val="36"/>
        </w:rPr>
        <w:t>Maviret®, AbbVie Pty Ltd.</w:t>
      </w:r>
    </w:p>
    <w:p w:rsidR="008A50F1" w:rsidRPr="00521709" w:rsidRDefault="00CE10C4" w:rsidP="00EB0B63">
      <w:pPr>
        <w:pStyle w:val="PBACHeading1"/>
        <w:spacing w:before="240" w:after="120"/>
        <w:ind w:left="709" w:hanging="709"/>
        <w:rPr>
          <w:rFonts w:asciiTheme="minorHAnsi" w:hAnsiTheme="minorHAnsi"/>
          <w:sz w:val="32"/>
          <w:szCs w:val="32"/>
        </w:rPr>
      </w:pPr>
      <w:r w:rsidRPr="00521709">
        <w:rPr>
          <w:rFonts w:asciiTheme="minorHAnsi" w:hAnsiTheme="minorHAnsi"/>
          <w:sz w:val="32"/>
          <w:szCs w:val="32"/>
        </w:rPr>
        <w:t xml:space="preserve">Purpose of </w:t>
      </w:r>
      <w:r w:rsidR="0004240E" w:rsidRPr="00521709">
        <w:rPr>
          <w:rFonts w:asciiTheme="minorHAnsi" w:hAnsiTheme="minorHAnsi"/>
          <w:sz w:val="32"/>
          <w:szCs w:val="32"/>
        </w:rPr>
        <w:t>Application</w:t>
      </w:r>
    </w:p>
    <w:p w:rsidR="006A12A5" w:rsidRPr="00521709" w:rsidRDefault="00EF44A0" w:rsidP="00F4358D">
      <w:pPr>
        <w:pStyle w:val="ListParagraph"/>
        <w:numPr>
          <w:ilvl w:val="1"/>
          <w:numId w:val="5"/>
        </w:numPr>
        <w:ind w:left="720" w:right="112"/>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The mi</w:t>
      </w:r>
      <w:r w:rsidR="00FF2801" w:rsidRPr="00521709">
        <w:rPr>
          <w:rFonts w:asciiTheme="minorHAnsi" w:eastAsiaTheme="minorHAnsi" w:hAnsiTheme="minorHAnsi" w:cstheme="minorBidi"/>
          <w:snapToGrid/>
          <w:sz w:val="24"/>
          <w:szCs w:val="22"/>
        </w:rPr>
        <w:t xml:space="preserve">nor submission </w:t>
      </w:r>
      <w:r w:rsidR="00B64845" w:rsidRPr="00521709">
        <w:rPr>
          <w:rFonts w:asciiTheme="minorHAnsi" w:eastAsiaTheme="minorHAnsi" w:hAnsiTheme="minorHAnsi" w:cstheme="minorBidi"/>
          <w:snapToGrid/>
          <w:sz w:val="24"/>
          <w:szCs w:val="22"/>
        </w:rPr>
        <w:t>request</w:t>
      </w:r>
      <w:r w:rsidR="007E45DE" w:rsidRPr="00521709">
        <w:rPr>
          <w:rFonts w:asciiTheme="minorHAnsi" w:eastAsiaTheme="minorHAnsi" w:hAnsiTheme="minorHAnsi" w:cstheme="minorBidi"/>
          <w:snapToGrid/>
          <w:sz w:val="24"/>
          <w:szCs w:val="22"/>
        </w:rPr>
        <w:t>ed</w:t>
      </w:r>
      <w:r w:rsidR="00B64845" w:rsidRPr="00521709">
        <w:rPr>
          <w:rFonts w:asciiTheme="minorHAnsi" w:eastAsiaTheme="minorHAnsi" w:hAnsiTheme="minorHAnsi" w:cstheme="minorBidi"/>
          <w:snapToGrid/>
          <w:sz w:val="24"/>
          <w:szCs w:val="22"/>
        </w:rPr>
        <w:t xml:space="preserve"> </w:t>
      </w:r>
      <w:r w:rsidR="007E45DE" w:rsidRPr="00521709">
        <w:rPr>
          <w:rFonts w:asciiTheme="minorHAnsi" w:eastAsiaTheme="minorHAnsi" w:hAnsiTheme="minorHAnsi" w:cstheme="minorBidi"/>
          <w:snapToGrid/>
          <w:sz w:val="24"/>
          <w:szCs w:val="22"/>
        </w:rPr>
        <w:t xml:space="preserve">that </w:t>
      </w:r>
      <w:r w:rsidR="00B64845" w:rsidRPr="00521709">
        <w:rPr>
          <w:rFonts w:asciiTheme="minorHAnsi" w:eastAsiaTheme="minorHAnsi" w:hAnsiTheme="minorHAnsi" w:cstheme="minorBidi"/>
          <w:snapToGrid/>
          <w:sz w:val="24"/>
          <w:szCs w:val="22"/>
        </w:rPr>
        <w:t xml:space="preserve">the PBAC consider the reimbursement of glecaprevir with pibrentasvir (GLE-PIB) for a small sub population of patients infected with chronic hepatitis C </w:t>
      </w:r>
      <w:r w:rsidR="00333162" w:rsidRPr="00521709">
        <w:rPr>
          <w:rFonts w:asciiTheme="minorHAnsi" w:eastAsiaTheme="minorHAnsi" w:hAnsiTheme="minorHAnsi" w:cstheme="minorBidi"/>
          <w:snapToGrid/>
          <w:sz w:val="24"/>
          <w:szCs w:val="22"/>
        </w:rPr>
        <w:t xml:space="preserve">(CHC) </w:t>
      </w:r>
      <w:r w:rsidR="00B64845" w:rsidRPr="00521709">
        <w:rPr>
          <w:rFonts w:asciiTheme="minorHAnsi" w:eastAsiaTheme="minorHAnsi" w:hAnsiTheme="minorHAnsi" w:cstheme="minorBidi"/>
          <w:snapToGrid/>
          <w:sz w:val="24"/>
          <w:szCs w:val="22"/>
        </w:rPr>
        <w:t xml:space="preserve">that have failed prior treatment with the use of an NS5A inhibitor. This submission follows from a major submission </w:t>
      </w:r>
      <w:r w:rsidR="00C90631" w:rsidRPr="00521709">
        <w:rPr>
          <w:rFonts w:asciiTheme="minorHAnsi" w:eastAsiaTheme="minorHAnsi" w:hAnsiTheme="minorHAnsi" w:cstheme="minorBidi"/>
          <w:snapToGrid/>
          <w:sz w:val="24"/>
          <w:szCs w:val="22"/>
        </w:rPr>
        <w:t>deferred</w:t>
      </w:r>
      <w:r w:rsidR="00B64845" w:rsidRPr="00521709">
        <w:rPr>
          <w:rFonts w:asciiTheme="minorHAnsi" w:eastAsiaTheme="minorHAnsi" w:hAnsiTheme="minorHAnsi" w:cstheme="minorBidi"/>
          <w:snapToGrid/>
          <w:sz w:val="24"/>
          <w:szCs w:val="22"/>
        </w:rPr>
        <w:t xml:space="preserve"> </w:t>
      </w:r>
      <w:r w:rsidR="00CC60CA" w:rsidRPr="00521709">
        <w:rPr>
          <w:rFonts w:asciiTheme="minorHAnsi" w:eastAsiaTheme="minorHAnsi" w:hAnsiTheme="minorHAnsi" w:cstheme="minorBidi"/>
          <w:snapToGrid/>
          <w:sz w:val="24"/>
          <w:szCs w:val="22"/>
        </w:rPr>
        <w:t xml:space="preserve">(pending the </w:t>
      </w:r>
      <w:r w:rsidR="00884E28" w:rsidRPr="00521709">
        <w:rPr>
          <w:rFonts w:asciiTheme="minorHAnsi" w:eastAsiaTheme="minorHAnsi" w:hAnsiTheme="minorHAnsi" w:cstheme="minorBidi"/>
          <w:snapToGrid/>
          <w:sz w:val="24"/>
          <w:szCs w:val="22"/>
        </w:rPr>
        <w:t>outcome of the TGA’s considerations</w:t>
      </w:r>
      <w:r w:rsidR="00CC60CA" w:rsidRPr="00521709">
        <w:rPr>
          <w:rFonts w:asciiTheme="minorHAnsi" w:eastAsiaTheme="minorHAnsi" w:hAnsiTheme="minorHAnsi" w:cstheme="minorBidi"/>
          <w:snapToGrid/>
          <w:sz w:val="24"/>
          <w:szCs w:val="22"/>
        </w:rPr>
        <w:t xml:space="preserve">) </w:t>
      </w:r>
      <w:r w:rsidR="00B64845" w:rsidRPr="00521709">
        <w:rPr>
          <w:rFonts w:asciiTheme="minorHAnsi" w:eastAsiaTheme="minorHAnsi" w:hAnsiTheme="minorHAnsi" w:cstheme="minorBidi"/>
          <w:snapToGrid/>
          <w:sz w:val="24"/>
          <w:szCs w:val="22"/>
        </w:rPr>
        <w:t xml:space="preserve">at the July 2017 PBAC meeting for </w:t>
      </w:r>
      <w:r w:rsidR="00057571" w:rsidRPr="00521709">
        <w:rPr>
          <w:rFonts w:asciiTheme="minorHAnsi" w:eastAsiaTheme="minorHAnsi" w:hAnsiTheme="minorHAnsi" w:cstheme="minorBidi"/>
          <w:snapToGrid/>
          <w:sz w:val="24"/>
          <w:szCs w:val="22"/>
        </w:rPr>
        <w:t>glecaprevir with pibrentasvir</w:t>
      </w:r>
      <w:r w:rsidR="00B64845" w:rsidRPr="00521709">
        <w:rPr>
          <w:rFonts w:asciiTheme="minorHAnsi" w:eastAsiaTheme="minorHAnsi" w:hAnsiTheme="minorHAnsi" w:cstheme="minorBidi"/>
          <w:snapToGrid/>
          <w:sz w:val="24"/>
          <w:szCs w:val="22"/>
        </w:rPr>
        <w:t xml:space="preserve">, requesting reimbursement for the treatment of patients with genotypes 1-6 hepatitis C virus (HCV) on a cost-minimisation basis to Epclusa (sofosbuvir/velpatasvir). </w:t>
      </w:r>
    </w:p>
    <w:p w:rsidR="006A12A5" w:rsidRPr="00521709" w:rsidRDefault="006A12A5" w:rsidP="00EB0B63">
      <w:pPr>
        <w:pStyle w:val="PBACHeading1"/>
        <w:spacing w:before="240" w:after="120"/>
        <w:ind w:left="709" w:hanging="709"/>
        <w:rPr>
          <w:rFonts w:asciiTheme="minorHAnsi" w:hAnsiTheme="minorHAnsi"/>
          <w:sz w:val="32"/>
          <w:szCs w:val="32"/>
        </w:rPr>
      </w:pPr>
      <w:r w:rsidRPr="00521709">
        <w:rPr>
          <w:rFonts w:asciiTheme="minorHAnsi" w:hAnsiTheme="minorHAnsi"/>
          <w:sz w:val="32"/>
          <w:szCs w:val="32"/>
        </w:rPr>
        <w:t>Requested listing</w:t>
      </w:r>
    </w:p>
    <w:p w:rsidR="00B15BF8" w:rsidRPr="00D8776B" w:rsidRDefault="00B15BF8" w:rsidP="00B15BF8">
      <w:pPr>
        <w:pStyle w:val="ListParagraph"/>
        <w:numPr>
          <w:ilvl w:val="1"/>
          <w:numId w:val="5"/>
        </w:numPr>
        <w:ind w:left="720" w:right="254"/>
        <w:rPr>
          <w:rFonts w:asciiTheme="minorHAnsi" w:eastAsiaTheme="minorHAnsi" w:hAnsiTheme="minorHAnsi" w:cstheme="minorBidi"/>
          <w:snapToGrid/>
          <w:sz w:val="24"/>
          <w:szCs w:val="22"/>
        </w:rPr>
      </w:pPr>
      <w:r w:rsidRPr="00D8776B">
        <w:rPr>
          <w:rFonts w:asciiTheme="minorHAnsi" w:eastAsiaTheme="minorHAnsi" w:hAnsiTheme="minorHAnsi" w:cstheme="minorBidi"/>
          <w:snapToGrid/>
          <w:sz w:val="24"/>
          <w:szCs w:val="22"/>
        </w:rPr>
        <w:t>To be finalised</w:t>
      </w:r>
      <w:r w:rsidR="00D8776B" w:rsidRPr="00D8776B">
        <w:rPr>
          <w:rFonts w:asciiTheme="minorHAnsi" w:eastAsiaTheme="minorHAnsi" w:hAnsiTheme="minorHAnsi" w:cstheme="minorBidi"/>
          <w:snapToGrid/>
          <w:sz w:val="24"/>
          <w:szCs w:val="22"/>
        </w:rPr>
        <w:t xml:space="preserve"> following TGA registration</w:t>
      </w:r>
      <w:r w:rsidRPr="00D8776B">
        <w:rPr>
          <w:rFonts w:asciiTheme="minorHAnsi" w:eastAsiaTheme="minorHAnsi" w:hAnsiTheme="minorHAnsi" w:cstheme="minorBidi"/>
          <w:snapToGrid/>
          <w:sz w:val="24"/>
          <w:szCs w:val="22"/>
        </w:rPr>
        <w:t xml:space="preserve">. </w:t>
      </w:r>
      <w:r w:rsidR="00D8776B" w:rsidRPr="00D8776B">
        <w:rPr>
          <w:rFonts w:asciiTheme="minorHAnsi" w:eastAsiaTheme="minorHAnsi" w:hAnsiTheme="minorHAnsi" w:cstheme="minorBidi"/>
          <w:snapToGrid/>
          <w:sz w:val="24"/>
          <w:szCs w:val="22"/>
        </w:rPr>
        <w:t>The</w:t>
      </w:r>
      <w:r w:rsidRPr="00D8776B">
        <w:rPr>
          <w:rFonts w:asciiTheme="minorHAnsi" w:hAnsiTheme="minorHAnsi"/>
          <w:sz w:val="24"/>
        </w:rPr>
        <w:t xml:space="preserve"> proposed </w:t>
      </w:r>
      <w:r w:rsidR="00D8776B" w:rsidRPr="00D8776B">
        <w:rPr>
          <w:rFonts w:asciiTheme="minorHAnsi" w:hAnsiTheme="minorHAnsi"/>
          <w:sz w:val="24"/>
        </w:rPr>
        <w:t xml:space="preserve">amendments to the </w:t>
      </w:r>
      <w:r w:rsidR="00D8776B" w:rsidRPr="00D8776B">
        <w:rPr>
          <w:rFonts w:asciiTheme="minorHAnsi" w:hAnsiTheme="minorHAnsi"/>
          <w:i/>
          <w:sz w:val="24"/>
          <w:szCs w:val="24"/>
        </w:rPr>
        <w:t>General Statement for Drugs for the Treatment of Hepatitis C</w:t>
      </w:r>
      <w:r w:rsidR="00D8776B" w:rsidRPr="00D8776B">
        <w:rPr>
          <w:rFonts w:asciiTheme="minorHAnsi" w:hAnsiTheme="minorHAnsi"/>
          <w:sz w:val="24"/>
        </w:rPr>
        <w:t xml:space="preserve"> are</w:t>
      </w:r>
      <w:r w:rsidRPr="00D8776B">
        <w:rPr>
          <w:rFonts w:asciiTheme="minorHAnsi" w:hAnsiTheme="minorHAnsi"/>
          <w:sz w:val="24"/>
        </w:rPr>
        <w:t xml:space="preserve"> given below. </w:t>
      </w:r>
      <w:r w:rsidR="00D8776B" w:rsidRPr="00D8776B">
        <w:rPr>
          <w:rFonts w:asciiTheme="minorHAnsi" w:hAnsiTheme="minorHAnsi"/>
          <w:sz w:val="24"/>
        </w:rPr>
        <w:t xml:space="preserve">The full proposed restriction is at the end of this document. </w:t>
      </w:r>
      <w:r w:rsidR="00D8776B" w:rsidRPr="00D8776B">
        <w:rPr>
          <w:rFonts w:asciiTheme="minorHAnsi" w:hAnsiTheme="minorHAnsi"/>
          <w:sz w:val="24"/>
          <w:szCs w:val="24"/>
        </w:rPr>
        <w:t>Additions to the requested listing are added in italics and deletions are crossed out with strikethrough.</w:t>
      </w:r>
    </w:p>
    <w:p w:rsidR="00D8776B" w:rsidRPr="00D8776B" w:rsidRDefault="00D8776B" w:rsidP="00D8776B">
      <w:pPr>
        <w:pStyle w:val="ListParagraph"/>
        <w:ind w:right="254"/>
        <w:rPr>
          <w:rFonts w:asciiTheme="minorHAnsi" w:eastAsiaTheme="minorHAnsi" w:hAnsiTheme="minorHAnsi" w:cstheme="minorBidi"/>
          <w:snapToGrid/>
          <w:sz w:val="24"/>
          <w:szCs w:val="22"/>
        </w:rPr>
      </w:pPr>
    </w:p>
    <w:p w:rsidR="00C14B00" w:rsidRPr="00521709" w:rsidRDefault="0017630D" w:rsidP="00F4358D">
      <w:pPr>
        <w:pStyle w:val="ListParagraph"/>
        <w:numPr>
          <w:ilvl w:val="1"/>
          <w:numId w:val="5"/>
        </w:numPr>
        <w:ind w:left="720" w:right="254"/>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The </w:t>
      </w:r>
      <w:r w:rsidR="00BF3DCB" w:rsidRPr="00521709">
        <w:rPr>
          <w:rFonts w:asciiTheme="minorHAnsi" w:eastAsiaTheme="minorHAnsi" w:hAnsiTheme="minorHAnsi" w:cstheme="minorBidi"/>
          <w:snapToGrid/>
          <w:sz w:val="24"/>
          <w:szCs w:val="22"/>
        </w:rPr>
        <w:t>submission</w:t>
      </w:r>
      <w:r w:rsidRPr="00521709">
        <w:rPr>
          <w:rFonts w:asciiTheme="minorHAnsi" w:eastAsiaTheme="minorHAnsi" w:hAnsiTheme="minorHAnsi" w:cstheme="minorBidi"/>
          <w:snapToGrid/>
          <w:sz w:val="24"/>
          <w:szCs w:val="22"/>
        </w:rPr>
        <w:t xml:space="preserve"> request</w:t>
      </w:r>
      <w:r w:rsidR="0074054F" w:rsidRPr="00521709">
        <w:rPr>
          <w:rFonts w:asciiTheme="minorHAnsi" w:eastAsiaTheme="minorHAnsi" w:hAnsiTheme="minorHAnsi" w:cstheme="minorBidi"/>
          <w:snapToGrid/>
          <w:sz w:val="24"/>
          <w:szCs w:val="22"/>
        </w:rPr>
        <w:t>ed</w:t>
      </w:r>
      <w:r w:rsidRPr="00521709">
        <w:rPr>
          <w:rFonts w:asciiTheme="minorHAnsi" w:eastAsiaTheme="minorHAnsi" w:hAnsiTheme="minorHAnsi" w:cstheme="minorBidi"/>
          <w:snapToGrid/>
          <w:sz w:val="24"/>
          <w:szCs w:val="22"/>
        </w:rPr>
        <w:t xml:space="preserve"> that the treatment matrices in the General Statement for Drugs for the Treatment of Hepatitis C </w:t>
      </w:r>
      <w:r w:rsidR="00BF3DCB" w:rsidRPr="00521709">
        <w:rPr>
          <w:rFonts w:asciiTheme="minorHAnsi" w:eastAsiaTheme="minorHAnsi" w:hAnsiTheme="minorHAnsi" w:cstheme="minorBidi"/>
          <w:snapToGrid/>
          <w:sz w:val="24"/>
          <w:szCs w:val="22"/>
        </w:rPr>
        <w:t>include</w:t>
      </w:r>
      <w:r w:rsidRPr="00521709">
        <w:rPr>
          <w:rFonts w:asciiTheme="minorHAnsi" w:eastAsiaTheme="minorHAnsi" w:hAnsiTheme="minorHAnsi" w:cstheme="minorBidi"/>
          <w:snapToGrid/>
          <w:sz w:val="24"/>
          <w:szCs w:val="22"/>
        </w:rPr>
        <w:t xml:space="preserve"> </w:t>
      </w:r>
      <w:r w:rsidR="00C90631" w:rsidRPr="00521709">
        <w:rPr>
          <w:rFonts w:asciiTheme="minorHAnsi" w:eastAsiaTheme="minorHAnsi" w:hAnsiTheme="minorHAnsi" w:cstheme="minorBidi"/>
          <w:snapToGrid/>
          <w:sz w:val="24"/>
          <w:szCs w:val="22"/>
        </w:rPr>
        <w:t xml:space="preserve">a 16 week treatment regimen of </w:t>
      </w:r>
      <w:r w:rsidR="00057571" w:rsidRPr="00521709">
        <w:rPr>
          <w:rFonts w:asciiTheme="minorHAnsi" w:eastAsiaTheme="minorHAnsi" w:hAnsiTheme="minorHAnsi" w:cstheme="minorBidi"/>
          <w:snapToGrid/>
          <w:sz w:val="24"/>
          <w:szCs w:val="22"/>
        </w:rPr>
        <w:t xml:space="preserve">glecaprevir with pibrentasvir </w:t>
      </w:r>
      <w:r w:rsidRPr="00521709">
        <w:rPr>
          <w:rFonts w:asciiTheme="minorHAnsi" w:eastAsiaTheme="minorHAnsi" w:hAnsiTheme="minorHAnsi" w:cstheme="minorBidi"/>
          <w:snapToGrid/>
          <w:sz w:val="24"/>
          <w:szCs w:val="22"/>
        </w:rPr>
        <w:t xml:space="preserve">for patients </w:t>
      </w:r>
      <w:r w:rsidR="00C14B00" w:rsidRPr="00521709">
        <w:rPr>
          <w:rFonts w:asciiTheme="minorHAnsi" w:eastAsiaTheme="minorHAnsi" w:hAnsiTheme="minorHAnsi" w:cstheme="minorBidi"/>
          <w:snapToGrid/>
          <w:sz w:val="24"/>
          <w:szCs w:val="22"/>
        </w:rPr>
        <w:t xml:space="preserve">who have failed prior treatment with an N5SA inhibitor (also called N5SA treatment experienced patients) as </w:t>
      </w:r>
      <w:r w:rsidRPr="00521709">
        <w:rPr>
          <w:rFonts w:asciiTheme="minorHAnsi" w:eastAsiaTheme="minorHAnsi" w:hAnsiTheme="minorHAnsi" w:cstheme="minorBidi"/>
          <w:snapToGrid/>
          <w:sz w:val="24"/>
          <w:szCs w:val="22"/>
        </w:rPr>
        <w:t>outlined in Table 1</w:t>
      </w:r>
      <w:r w:rsidR="00C14B00" w:rsidRPr="00521709">
        <w:rPr>
          <w:rFonts w:asciiTheme="minorHAnsi" w:eastAsiaTheme="minorHAnsi" w:hAnsiTheme="minorHAnsi" w:cstheme="minorBidi"/>
          <w:snapToGrid/>
          <w:sz w:val="24"/>
          <w:szCs w:val="22"/>
        </w:rPr>
        <w:t xml:space="preserve"> – this change would be given effect through an amendment to the footnote to the general statement. </w:t>
      </w:r>
      <w:r w:rsidR="00C90631" w:rsidRPr="00521709">
        <w:rPr>
          <w:rFonts w:asciiTheme="minorHAnsi" w:eastAsiaTheme="minorHAnsi" w:hAnsiTheme="minorHAnsi" w:cstheme="minorBidi"/>
          <w:snapToGrid/>
          <w:sz w:val="24"/>
          <w:szCs w:val="22"/>
        </w:rPr>
        <w:t>(</w:t>
      </w:r>
      <w:r w:rsidR="0074054F" w:rsidRPr="00521709">
        <w:rPr>
          <w:rFonts w:asciiTheme="minorHAnsi" w:eastAsiaTheme="minorHAnsi" w:hAnsiTheme="minorHAnsi" w:cstheme="minorBidi"/>
          <w:snapToGrid/>
          <w:sz w:val="24"/>
          <w:szCs w:val="22"/>
        </w:rPr>
        <w:t>T</w:t>
      </w:r>
      <w:r w:rsidR="00C90631" w:rsidRPr="00521709">
        <w:rPr>
          <w:rFonts w:asciiTheme="minorHAnsi" w:eastAsiaTheme="minorHAnsi" w:hAnsiTheme="minorHAnsi" w:cstheme="minorBidi"/>
          <w:snapToGrid/>
          <w:sz w:val="24"/>
          <w:szCs w:val="22"/>
        </w:rPr>
        <w:t>he submission considered at the July 2017 meeting included treatment regimens of 8-, 12-, or 16-weeks for treatment naïve patients with and without cirrhosis and treatment experienced patients with and without cirrhosis</w:t>
      </w:r>
      <w:r w:rsidR="00C14B00" w:rsidRPr="00521709">
        <w:rPr>
          <w:rFonts w:asciiTheme="minorHAnsi" w:eastAsiaTheme="minorHAnsi" w:hAnsiTheme="minorHAnsi" w:cstheme="minorBidi"/>
          <w:snapToGrid/>
          <w:sz w:val="24"/>
          <w:szCs w:val="22"/>
        </w:rPr>
        <w:t>.</w:t>
      </w:r>
      <w:r w:rsidR="00C90631" w:rsidRPr="00521709">
        <w:rPr>
          <w:rFonts w:asciiTheme="minorHAnsi" w:eastAsiaTheme="minorHAnsi" w:hAnsiTheme="minorHAnsi" w:cstheme="minorBidi"/>
          <w:snapToGrid/>
          <w:sz w:val="24"/>
          <w:szCs w:val="22"/>
        </w:rPr>
        <w:t xml:space="preserve"> </w:t>
      </w:r>
    </w:p>
    <w:p w:rsidR="00333162" w:rsidRPr="00521709" w:rsidRDefault="00333162" w:rsidP="0074054F">
      <w:pPr>
        <w:pStyle w:val="ListParagraph"/>
        <w:widowControl/>
        <w:spacing w:after="120"/>
        <w:ind w:left="1146"/>
        <w:contextualSpacing w:val="0"/>
        <w:rPr>
          <w:rFonts w:ascii="Arial Narrow" w:hAnsi="Arial Narrow"/>
          <w:b/>
          <w:bCs/>
          <w:sz w:val="20"/>
          <w:szCs w:val="18"/>
        </w:rPr>
      </w:pPr>
    </w:p>
    <w:p w:rsidR="00AD0EB1" w:rsidRDefault="00AD0EB1">
      <w:pPr>
        <w:rPr>
          <w:rFonts w:ascii="Arial Narrow" w:hAnsi="Arial Narrow" w:cs="Arial"/>
          <w:b/>
          <w:bCs/>
          <w:snapToGrid w:val="0"/>
          <w:sz w:val="20"/>
          <w:szCs w:val="18"/>
          <w:lang w:eastAsia="en-US"/>
        </w:rPr>
      </w:pPr>
      <w:r>
        <w:br w:type="page"/>
      </w:r>
    </w:p>
    <w:p w:rsidR="00FB3C11" w:rsidRPr="00521709" w:rsidRDefault="00FB3C11" w:rsidP="00FB3C11">
      <w:pPr>
        <w:pStyle w:val="Caption"/>
        <w:keepNext/>
      </w:pPr>
      <w:r w:rsidRPr="00521709">
        <w:lastRenderedPageBreak/>
        <w:t>Table 1</w:t>
      </w:r>
      <w:r w:rsidR="00884E28" w:rsidRPr="00521709">
        <w:t>:</w:t>
      </w:r>
      <w:r w:rsidRPr="00521709">
        <w:t xml:space="preserve"> Treatment Matrix</w:t>
      </w:r>
    </w:p>
    <w:tbl>
      <w:tblPr>
        <w:tblStyle w:val="Summarybox1"/>
        <w:tblpPr w:leftFromText="180" w:rightFromText="180" w:vertAnchor="text" w:horzAnchor="margin" w:tblpX="108" w:tblpY="120"/>
        <w:tblW w:w="4942" w:type="pct"/>
        <w:tblLook w:val="04A0" w:firstRow="1" w:lastRow="0" w:firstColumn="1" w:lastColumn="0" w:noHBand="0" w:noVBand="1"/>
        <w:tblCaption w:val="Table 1 Treatment Matrix"/>
      </w:tblPr>
      <w:tblGrid>
        <w:gridCol w:w="1794"/>
        <w:gridCol w:w="3892"/>
        <w:gridCol w:w="3886"/>
      </w:tblGrid>
      <w:tr w:rsidR="00BF3DCB" w:rsidRPr="00521709" w:rsidTr="000B59D6">
        <w:trPr>
          <w:trHeight w:val="485"/>
          <w:tblHeader/>
        </w:trPr>
        <w:tc>
          <w:tcPr>
            <w:tcW w:w="5000" w:type="pct"/>
            <w:gridSpan w:val="3"/>
            <w:tcBorders>
              <w:top w:val="single" w:sz="4" w:space="0" w:color="auto"/>
            </w:tcBorders>
            <w:shd w:val="clear" w:color="auto" w:fill="auto"/>
            <w:vAlign w:val="center"/>
          </w:tcPr>
          <w:p w:rsidR="00BF3DCB" w:rsidRPr="00B422E6" w:rsidRDefault="00BF3DCB" w:rsidP="00D7347C">
            <w:pPr>
              <w:keepNext/>
              <w:widowControl w:val="0"/>
              <w:rPr>
                <w:rFonts w:ascii="Arial Narrow" w:hAnsi="Arial Narrow" w:cs="Arial"/>
                <w:b/>
                <w:iCs/>
                <w:sz w:val="20"/>
                <w:szCs w:val="20"/>
                <w:lang w:eastAsia="en-US"/>
              </w:rPr>
            </w:pPr>
            <w:r w:rsidRPr="00B422E6">
              <w:rPr>
                <w:rFonts w:ascii="Arial Narrow" w:hAnsi="Arial Narrow" w:cs="Arial"/>
                <w:b/>
                <w:iCs/>
                <w:sz w:val="20"/>
                <w:szCs w:val="20"/>
                <w:lang w:eastAsia="en-US"/>
              </w:rPr>
              <w:t>Treatment Matrix</w:t>
            </w:r>
          </w:p>
        </w:tc>
      </w:tr>
      <w:tr w:rsidR="00BF3DCB" w:rsidRPr="00521709" w:rsidTr="00B422E6">
        <w:trPr>
          <w:trHeight w:val="332"/>
        </w:trPr>
        <w:tc>
          <w:tcPr>
            <w:tcW w:w="5000" w:type="pct"/>
            <w:gridSpan w:val="3"/>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lang w:eastAsia="en-US"/>
              </w:rPr>
              <w:t>Hepatitis C – Non –cirrhotic patients</w:t>
            </w:r>
          </w:p>
        </w:tc>
      </w:tr>
      <w:tr w:rsidR="00BF3DCB" w:rsidRPr="00521709" w:rsidTr="00B422E6">
        <w:trPr>
          <w:trHeight w:val="332"/>
        </w:trPr>
        <w:tc>
          <w:tcPr>
            <w:tcW w:w="937" w:type="pct"/>
            <w:tcBorders>
              <w:top w:val="single" w:sz="4" w:space="0" w:color="auto"/>
            </w:tcBorders>
            <w:shd w:val="clear" w:color="auto" w:fill="auto"/>
            <w:vAlign w:val="center"/>
          </w:tcPr>
          <w:p w:rsidR="00BF3DCB" w:rsidRPr="00B422E6" w:rsidRDefault="00BF3DCB" w:rsidP="00D7347C">
            <w:pPr>
              <w:keepNext/>
              <w:widowControl w:val="0"/>
              <w:spacing w:after="120"/>
              <w:rPr>
                <w:rFonts w:ascii="Arial Narrow" w:hAnsi="Arial Narrow" w:cs="Arial"/>
                <w:iCs/>
                <w:color w:val="000000"/>
                <w:sz w:val="20"/>
                <w:szCs w:val="20"/>
                <w:lang w:eastAsia="en-US"/>
              </w:rPr>
            </w:pPr>
          </w:p>
        </w:tc>
        <w:tc>
          <w:tcPr>
            <w:tcW w:w="2033" w:type="pct"/>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u w:val="single"/>
                <w:lang w:eastAsia="en-US"/>
              </w:rPr>
              <w:t>Treatment naïve</w:t>
            </w:r>
          </w:p>
        </w:tc>
        <w:tc>
          <w:tcPr>
            <w:tcW w:w="2031" w:type="pct"/>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u w:val="single"/>
                <w:lang w:eastAsia="en-US"/>
              </w:rPr>
              <w:t>Treatment experienced</w:t>
            </w:r>
          </w:p>
        </w:tc>
      </w:tr>
      <w:tr w:rsidR="00BF3DCB" w:rsidRPr="00521709" w:rsidTr="00B422E6">
        <w:trPr>
          <w:trHeight w:val="332"/>
        </w:trPr>
        <w:tc>
          <w:tcPr>
            <w:tcW w:w="937" w:type="pct"/>
            <w:shd w:val="clear" w:color="auto" w:fill="auto"/>
            <w:vAlign w:val="center"/>
          </w:tcPr>
          <w:p w:rsidR="00BF3DCB" w:rsidRPr="00B422E6" w:rsidRDefault="00BF3DCB" w:rsidP="00D7347C">
            <w:pPr>
              <w:keepNext/>
              <w:widowControl w:val="0"/>
              <w:rPr>
                <w:rFonts w:ascii="Arial Narrow" w:hAnsi="Arial Narrow" w:cs="Arial"/>
                <w:b/>
                <w:iCs/>
                <w:color w:val="000000"/>
                <w:sz w:val="20"/>
                <w:szCs w:val="20"/>
                <w:u w:val="single"/>
                <w:lang w:eastAsia="en-US"/>
              </w:rPr>
            </w:pPr>
            <w:r w:rsidRPr="00B422E6">
              <w:rPr>
                <w:rFonts w:ascii="Arial Narrow" w:hAnsi="Arial Narrow" w:cs="Arial"/>
                <w:b/>
                <w:iCs/>
                <w:color w:val="000000"/>
                <w:sz w:val="20"/>
                <w:szCs w:val="20"/>
                <w:u w:val="single"/>
                <w:lang w:eastAsia="en-US"/>
              </w:rPr>
              <w:t>Genotype 1-6</w:t>
            </w:r>
          </w:p>
        </w:tc>
        <w:tc>
          <w:tcPr>
            <w:tcW w:w="2033" w:type="pct"/>
            <w:shd w:val="clear" w:color="auto" w:fill="auto"/>
            <w:vAlign w:val="center"/>
          </w:tcPr>
          <w:p w:rsidR="00BF3DCB" w:rsidRPr="00B422E6" w:rsidRDefault="00BF3DCB" w:rsidP="00D7347C">
            <w:pPr>
              <w:keepNext/>
              <w:widowControl w:val="0"/>
              <w:spacing w:before="40"/>
              <w:rPr>
                <w:rFonts w:ascii="Arial Narrow" w:eastAsia="Calibri" w:hAnsi="Arial Narrow" w:cs="Arial"/>
                <w:b/>
                <w:iCs/>
                <w:sz w:val="20"/>
                <w:szCs w:val="20"/>
                <w:lang w:eastAsia="en-US"/>
              </w:rPr>
            </w:pPr>
            <w:r w:rsidRPr="00B422E6">
              <w:rPr>
                <w:rFonts w:ascii="Arial Narrow" w:eastAsia="Calibri" w:hAnsi="Arial Narrow" w:cs="Arial"/>
                <w:b/>
                <w:iCs/>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lang w:eastAsia="en-US"/>
              </w:rPr>
            </w:pPr>
            <w:r w:rsidRPr="00B422E6">
              <w:rPr>
                <w:rFonts w:ascii="Arial Narrow" w:eastAsia="Calibri" w:hAnsi="Arial Narrow" w:cs="Arial"/>
                <w:iCs/>
                <w:sz w:val="20"/>
                <w:szCs w:val="20"/>
                <w:lang w:eastAsia="en-US"/>
              </w:rPr>
              <w:t>[8 weeks]</w:t>
            </w:r>
          </w:p>
        </w:tc>
        <w:tc>
          <w:tcPr>
            <w:tcW w:w="2031" w:type="pct"/>
            <w:shd w:val="clear" w:color="auto" w:fill="auto"/>
            <w:vAlign w:val="center"/>
          </w:tcPr>
          <w:p w:rsidR="00BF3DCB" w:rsidRPr="00B422E6" w:rsidRDefault="00BF3DCB" w:rsidP="00D7347C">
            <w:pPr>
              <w:keepNext/>
              <w:widowControl w:val="0"/>
              <w:spacing w:before="40"/>
              <w:rPr>
                <w:rFonts w:ascii="Arial Narrow" w:eastAsia="Calibri" w:hAnsi="Arial Narrow" w:cs="Arial"/>
                <w:b/>
                <w:iCs/>
                <w:sz w:val="20"/>
                <w:szCs w:val="20"/>
                <w:lang w:eastAsia="en-US"/>
              </w:rPr>
            </w:pPr>
            <w:r w:rsidRPr="00B422E6">
              <w:rPr>
                <w:rFonts w:ascii="Arial Narrow" w:eastAsia="Calibri" w:hAnsi="Arial Narrow" w:cs="Arial"/>
                <w:b/>
                <w:iCs/>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lang w:eastAsia="en-US"/>
              </w:rPr>
            </w:pPr>
            <w:r w:rsidRPr="00B422E6">
              <w:rPr>
                <w:rFonts w:ascii="Arial Narrow" w:eastAsia="Calibri" w:hAnsi="Arial Narrow" w:cs="Arial"/>
                <w:iCs/>
                <w:sz w:val="20"/>
                <w:szCs w:val="20"/>
                <w:lang w:eastAsia="en-US"/>
              </w:rPr>
              <w:t xml:space="preserve">[8 </w:t>
            </w:r>
            <w:r w:rsidR="00D8776B" w:rsidRPr="00B422E6">
              <w:rPr>
                <w:rFonts w:ascii="Arial Narrow" w:eastAsia="Calibri" w:hAnsi="Arial Narrow" w:cs="Arial"/>
                <w:i/>
                <w:iCs/>
                <w:sz w:val="20"/>
                <w:szCs w:val="20"/>
                <w:lang w:eastAsia="en-US"/>
              </w:rPr>
              <w:t xml:space="preserve">or 16 </w:t>
            </w:r>
            <w:r w:rsidRPr="00B422E6">
              <w:rPr>
                <w:rFonts w:ascii="Arial Narrow" w:eastAsia="Calibri" w:hAnsi="Arial Narrow" w:cs="Arial"/>
                <w:i/>
                <w:iCs/>
                <w:sz w:val="20"/>
                <w:szCs w:val="20"/>
                <w:lang w:eastAsia="en-US"/>
              </w:rPr>
              <w:t>weeks</w:t>
            </w:r>
            <w:r w:rsidRPr="00B422E6">
              <w:rPr>
                <w:rFonts w:ascii="Arial Narrow" w:eastAsia="Calibri" w:hAnsi="Arial Narrow" w:cs="Arial"/>
                <w:iCs/>
                <w:sz w:val="20"/>
                <w:szCs w:val="20"/>
                <w:lang w:eastAsia="en-US"/>
              </w:rPr>
              <w:t>]</w:t>
            </w:r>
            <w:r w:rsidR="00D8776B" w:rsidRPr="00B422E6">
              <w:rPr>
                <w:rFonts w:ascii="Arial Narrow" w:eastAsia="Calibri" w:hAnsi="Arial Narrow" w:cs="Arial"/>
                <w:iCs/>
                <w:sz w:val="20"/>
                <w:szCs w:val="20"/>
                <w:vertAlign w:val="superscript"/>
                <w:lang w:eastAsia="en-US"/>
              </w:rPr>
              <w:t>a</w:t>
            </w:r>
          </w:p>
          <w:p w:rsidR="00BF3DCB" w:rsidRPr="00B422E6" w:rsidRDefault="00BF3DCB" w:rsidP="00D7347C">
            <w:pPr>
              <w:keepNext/>
              <w:widowControl w:val="0"/>
              <w:spacing w:before="40"/>
              <w:rPr>
                <w:rFonts w:ascii="Arial Narrow" w:eastAsia="Calibri" w:hAnsi="Arial Narrow" w:cs="Arial"/>
                <w:iCs/>
                <w:strike/>
                <w:sz w:val="20"/>
                <w:szCs w:val="20"/>
                <w:lang w:eastAsia="en-US"/>
              </w:rPr>
            </w:pPr>
            <w:r w:rsidRPr="00B422E6">
              <w:rPr>
                <w:rFonts w:ascii="Arial Narrow" w:eastAsia="Calibri" w:hAnsi="Arial Narrow" w:cs="Arial"/>
                <w:iCs/>
                <w:strike/>
                <w:sz w:val="20"/>
                <w:szCs w:val="20"/>
                <w:lang w:eastAsia="en-US"/>
              </w:rPr>
              <w:t>OR</w:t>
            </w:r>
          </w:p>
          <w:p w:rsidR="00BF3DCB" w:rsidRPr="00B422E6" w:rsidRDefault="00BF3DCB" w:rsidP="00D7347C">
            <w:pPr>
              <w:keepNext/>
              <w:widowControl w:val="0"/>
              <w:spacing w:before="40"/>
              <w:rPr>
                <w:rFonts w:ascii="Arial Narrow" w:eastAsia="Calibri" w:hAnsi="Arial Narrow" w:cs="Arial"/>
                <w:b/>
                <w:iCs/>
                <w:strike/>
                <w:sz w:val="20"/>
                <w:szCs w:val="20"/>
                <w:lang w:eastAsia="en-US"/>
              </w:rPr>
            </w:pPr>
            <w:r w:rsidRPr="00B422E6">
              <w:rPr>
                <w:rFonts w:ascii="Arial Narrow" w:eastAsia="Calibri" w:hAnsi="Arial Narrow" w:cs="Arial"/>
                <w:b/>
                <w:iCs/>
                <w:strike/>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vertAlign w:val="superscript"/>
                <w:lang w:eastAsia="en-US"/>
              </w:rPr>
            </w:pPr>
            <w:r w:rsidRPr="00B422E6">
              <w:rPr>
                <w:rFonts w:ascii="Arial Narrow" w:eastAsia="Calibri" w:hAnsi="Arial Narrow" w:cs="Arial"/>
                <w:iCs/>
                <w:strike/>
                <w:sz w:val="20"/>
                <w:szCs w:val="20"/>
                <w:lang w:eastAsia="en-US"/>
              </w:rPr>
              <w:t>[16 weeks]</w:t>
            </w:r>
            <w:r w:rsidRPr="00B422E6">
              <w:rPr>
                <w:rFonts w:ascii="Arial Narrow" w:eastAsia="Calibri" w:hAnsi="Arial Narrow" w:cs="Arial"/>
                <w:iCs/>
                <w:strike/>
                <w:sz w:val="20"/>
                <w:szCs w:val="20"/>
                <w:vertAlign w:val="superscript"/>
                <w:lang w:eastAsia="en-US"/>
              </w:rPr>
              <w:t>a</w:t>
            </w:r>
          </w:p>
        </w:tc>
      </w:tr>
      <w:tr w:rsidR="00BF3DCB" w:rsidRPr="00521709" w:rsidTr="00B422E6">
        <w:trPr>
          <w:trHeight w:val="332"/>
        </w:trPr>
        <w:tc>
          <w:tcPr>
            <w:tcW w:w="5000" w:type="pct"/>
            <w:gridSpan w:val="3"/>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lang w:eastAsia="en-US"/>
              </w:rPr>
              <w:t>Hepatitis C –Cirrhotic patients</w:t>
            </w:r>
          </w:p>
        </w:tc>
      </w:tr>
      <w:tr w:rsidR="00BF3DCB" w:rsidRPr="00521709" w:rsidTr="00B422E6">
        <w:trPr>
          <w:trHeight w:val="332"/>
        </w:trPr>
        <w:tc>
          <w:tcPr>
            <w:tcW w:w="937" w:type="pct"/>
            <w:tcBorders>
              <w:top w:val="single" w:sz="4" w:space="0" w:color="auto"/>
            </w:tcBorders>
            <w:shd w:val="clear" w:color="auto" w:fill="auto"/>
            <w:vAlign w:val="center"/>
          </w:tcPr>
          <w:p w:rsidR="00BF3DCB" w:rsidRPr="00B422E6" w:rsidRDefault="00BF3DCB" w:rsidP="00D7347C">
            <w:pPr>
              <w:keepNext/>
              <w:widowControl w:val="0"/>
              <w:spacing w:after="120"/>
              <w:rPr>
                <w:rFonts w:ascii="Arial Narrow" w:hAnsi="Arial Narrow" w:cs="Arial"/>
                <w:iCs/>
                <w:color w:val="000000"/>
                <w:sz w:val="20"/>
                <w:szCs w:val="20"/>
                <w:lang w:eastAsia="en-US"/>
              </w:rPr>
            </w:pPr>
          </w:p>
        </w:tc>
        <w:tc>
          <w:tcPr>
            <w:tcW w:w="2033" w:type="pct"/>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u w:val="single"/>
                <w:lang w:eastAsia="en-US"/>
              </w:rPr>
              <w:t>Treatment naïve</w:t>
            </w:r>
          </w:p>
        </w:tc>
        <w:tc>
          <w:tcPr>
            <w:tcW w:w="2031" w:type="pct"/>
            <w:tcBorders>
              <w:top w:val="single" w:sz="4" w:space="0" w:color="auto"/>
            </w:tcBorders>
            <w:shd w:val="clear" w:color="auto" w:fill="auto"/>
            <w:vAlign w:val="center"/>
          </w:tcPr>
          <w:p w:rsidR="00BF3DCB" w:rsidRPr="00B422E6" w:rsidRDefault="00BF3DCB" w:rsidP="00D7347C">
            <w:pPr>
              <w:keepNext/>
              <w:widowControl w:val="0"/>
              <w:spacing w:before="40" w:after="120"/>
              <w:rPr>
                <w:rFonts w:ascii="Arial Narrow" w:eastAsia="Calibri" w:hAnsi="Arial Narrow" w:cs="Arial"/>
                <w:b/>
                <w:iCs/>
                <w:sz w:val="20"/>
                <w:szCs w:val="20"/>
                <w:u w:val="single"/>
                <w:lang w:eastAsia="en-US"/>
              </w:rPr>
            </w:pPr>
            <w:r w:rsidRPr="00B422E6">
              <w:rPr>
                <w:rFonts w:ascii="Arial Narrow" w:eastAsia="Calibri" w:hAnsi="Arial Narrow" w:cs="Arial"/>
                <w:b/>
                <w:iCs/>
                <w:sz w:val="20"/>
                <w:szCs w:val="20"/>
                <w:u w:val="single"/>
                <w:lang w:eastAsia="en-US"/>
              </w:rPr>
              <w:t>Treatment experienced</w:t>
            </w:r>
          </w:p>
        </w:tc>
      </w:tr>
      <w:tr w:rsidR="00BF3DCB" w:rsidRPr="00521709" w:rsidTr="00B422E6">
        <w:trPr>
          <w:trHeight w:val="332"/>
        </w:trPr>
        <w:tc>
          <w:tcPr>
            <w:tcW w:w="937" w:type="pct"/>
            <w:shd w:val="clear" w:color="auto" w:fill="auto"/>
            <w:vAlign w:val="center"/>
          </w:tcPr>
          <w:p w:rsidR="00BF3DCB" w:rsidRPr="00B422E6" w:rsidRDefault="00BF3DCB" w:rsidP="00D7347C">
            <w:pPr>
              <w:keepNext/>
              <w:widowControl w:val="0"/>
              <w:rPr>
                <w:rFonts w:ascii="Arial Narrow" w:hAnsi="Arial Narrow" w:cs="Arial"/>
                <w:b/>
                <w:iCs/>
                <w:color w:val="000000"/>
                <w:sz w:val="20"/>
                <w:szCs w:val="20"/>
                <w:u w:val="single"/>
                <w:lang w:eastAsia="en-US"/>
              </w:rPr>
            </w:pPr>
            <w:r w:rsidRPr="00B422E6">
              <w:rPr>
                <w:rFonts w:ascii="Arial Narrow" w:hAnsi="Arial Narrow" w:cs="Arial"/>
                <w:b/>
                <w:iCs/>
                <w:color w:val="000000"/>
                <w:sz w:val="20"/>
                <w:szCs w:val="20"/>
                <w:u w:val="single"/>
                <w:lang w:eastAsia="en-US"/>
              </w:rPr>
              <w:t>Genotype 1-6</w:t>
            </w:r>
          </w:p>
        </w:tc>
        <w:tc>
          <w:tcPr>
            <w:tcW w:w="2033" w:type="pct"/>
            <w:shd w:val="clear" w:color="auto" w:fill="auto"/>
            <w:vAlign w:val="center"/>
          </w:tcPr>
          <w:p w:rsidR="00BF3DCB" w:rsidRPr="00B422E6" w:rsidRDefault="00BF3DCB" w:rsidP="00D7347C">
            <w:pPr>
              <w:keepNext/>
              <w:widowControl w:val="0"/>
              <w:spacing w:before="40"/>
              <w:rPr>
                <w:rFonts w:ascii="Arial Narrow" w:eastAsia="Calibri" w:hAnsi="Arial Narrow" w:cs="Arial"/>
                <w:b/>
                <w:iCs/>
                <w:sz w:val="20"/>
                <w:szCs w:val="20"/>
                <w:lang w:eastAsia="en-US"/>
              </w:rPr>
            </w:pPr>
            <w:r w:rsidRPr="00B422E6">
              <w:rPr>
                <w:rFonts w:ascii="Arial Narrow" w:eastAsia="Calibri" w:hAnsi="Arial Narrow" w:cs="Arial"/>
                <w:b/>
                <w:iCs/>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lang w:eastAsia="en-US"/>
              </w:rPr>
            </w:pPr>
            <w:r w:rsidRPr="00B422E6">
              <w:rPr>
                <w:rFonts w:ascii="Arial Narrow" w:eastAsia="Calibri" w:hAnsi="Arial Narrow" w:cs="Arial"/>
                <w:iCs/>
                <w:sz w:val="20"/>
                <w:szCs w:val="20"/>
                <w:lang w:eastAsia="en-US"/>
              </w:rPr>
              <w:t>[12 weeks]</w:t>
            </w:r>
          </w:p>
        </w:tc>
        <w:tc>
          <w:tcPr>
            <w:tcW w:w="2031" w:type="pct"/>
            <w:shd w:val="clear" w:color="auto" w:fill="auto"/>
            <w:vAlign w:val="center"/>
          </w:tcPr>
          <w:p w:rsidR="00BF3DCB" w:rsidRPr="00B422E6" w:rsidRDefault="00BF3DCB" w:rsidP="00D7347C">
            <w:pPr>
              <w:keepNext/>
              <w:widowControl w:val="0"/>
              <w:spacing w:before="40"/>
              <w:rPr>
                <w:rFonts w:ascii="Arial Narrow" w:eastAsia="Calibri" w:hAnsi="Arial Narrow" w:cs="Arial"/>
                <w:b/>
                <w:iCs/>
                <w:sz w:val="20"/>
                <w:szCs w:val="20"/>
                <w:lang w:eastAsia="en-US"/>
              </w:rPr>
            </w:pPr>
            <w:r w:rsidRPr="00B422E6">
              <w:rPr>
                <w:rFonts w:ascii="Arial Narrow" w:eastAsia="Calibri" w:hAnsi="Arial Narrow" w:cs="Arial"/>
                <w:b/>
                <w:iCs/>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lang w:eastAsia="en-US"/>
              </w:rPr>
            </w:pPr>
            <w:r w:rsidRPr="00B422E6">
              <w:rPr>
                <w:rFonts w:ascii="Arial Narrow" w:eastAsia="Calibri" w:hAnsi="Arial Narrow" w:cs="Arial"/>
                <w:iCs/>
                <w:sz w:val="20"/>
                <w:szCs w:val="20"/>
                <w:lang w:eastAsia="en-US"/>
              </w:rPr>
              <w:t>[12</w:t>
            </w:r>
            <w:r w:rsidR="00D8776B" w:rsidRPr="00B422E6">
              <w:rPr>
                <w:rFonts w:ascii="Arial Narrow" w:eastAsia="Calibri" w:hAnsi="Arial Narrow" w:cs="Arial"/>
                <w:iCs/>
                <w:sz w:val="20"/>
                <w:szCs w:val="20"/>
                <w:lang w:eastAsia="en-US"/>
              </w:rPr>
              <w:t xml:space="preserve"> </w:t>
            </w:r>
            <w:r w:rsidR="00D8776B" w:rsidRPr="00B422E6">
              <w:rPr>
                <w:rFonts w:ascii="Arial Narrow" w:eastAsia="Calibri" w:hAnsi="Arial Narrow" w:cs="Arial"/>
                <w:i/>
                <w:iCs/>
                <w:sz w:val="20"/>
                <w:szCs w:val="20"/>
                <w:lang w:eastAsia="en-US"/>
              </w:rPr>
              <w:t>or 16</w:t>
            </w:r>
            <w:r w:rsidRPr="00B422E6">
              <w:rPr>
                <w:rFonts w:ascii="Arial Narrow" w:eastAsia="Calibri" w:hAnsi="Arial Narrow" w:cs="Arial"/>
                <w:i/>
                <w:iCs/>
                <w:sz w:val="20"/>
                <w:szCs w:val="20"/>
                <w:lang w:eastAsia="en-US"/>
              </w:rPr>
              <w:t xml:space="preserve"> weeks</w:t>
            </w:r>
            <w:r w:rsidRPr="00B422E6">
              <w:rPr>
                <w:rFonts w:ascii="Arial Narrow" w:eastAsia="Calibri" w:hAnsi="Arial Narrow" w:cs="Arial"/>
                <w:iCs/>
                <w:sz w:val="20"/>
                <w:szCs w:val="20"/>
                <w:lang w:eastAsia="en-US"/>
              </w:rPr>
              <w:t>]</w:t>
            </w:r>
            <w:r w:rsidR="00D8776B" w:rsidRPr="00B422E6">
              <w:rPr>
                <w:rFonts w:ascii="Arial Narrow" w:eastAsia="Calibri" w:hAnsi="Arial Narrow" w:cs="Arial"/>
                <w:iCs/>
                <w:sz w:val="20"/>
                <w:szCs w:val="20"/>
                <w:vertAlign w:val="superscript"/>
                <w:lang w:eastAsia="en-US"/>
              </w:rPr>
              <w:t>a</w:t>
            </w:r>
          </w:p>
          <w:p w:rsidR="00BF3DCB" w:rsidRPr="00B422E6" w:rsidRDefault="00BF3DCB" w:rsidP="00D7347C">
            <w:pPr>
              <w:keepNext/>
              <w:widowControl w:val="0"/>
              <w:spacing w:before="40"/>
              <w:rPr>
                <w:rFonts w:ascii="Arial Narrow" w:eastAsia="Calibri" w:hAnsi="Arial Narrow" w:cs="Arial"/>
                <w:iCs/>
                <w:strike/>
                <w:sz w:val="20"/>
                <w:szCs w:val="20"/>
                <w:lang w:eastAsia="en-US"/>
              </w:rPr>
            </w:pPr>
            <w:r w:rsidRPr="00B422E6">
              <w:rPr>
                <w:rFonts w:ascii="Arial Narrow" w:eastAsia="Calibri" w:hAnsi="Arial Narrow" w:cs="Arial"/>
                <w:iCs/>
                <w:strike/>
                <w:sz w:val="20"/>
                <w:szCs w:val="20"/>
                <w:lang w:eastAsia="en-US"/>
              </w:rPr>
              <w:t>OR</w:t>
            </w:r>
          </w:p>
          <w:p w:rsidR="00BF3DCB" w:rsidRPr="00B422E6" w:rsidRDefault="00BF3DCB" w:rsidP="00D7347C">
            <w:pPr>
              <w:keepNext/>
              <w:widowControl w:val="0"/>
              <w:spacing w:before="40"/>
              <w:rPr>
                <w:rFonts w:ascii="Arial Narrow" w:eastAsia="Calibri" w:hAnsi="Arial Narrow" w:cs="Arial"/>
                <w:b/>
                <w:iCs/>
                <w:strike/>
                <w:sz w:val="20"/>
                <w:szCs w:val="20"/>
                <w:lang w:eastAsia="en-US"/>
              </w:rPr>
            </w:pPr>
            <w:r w:rsidRPr="00B422E6">
              <w:rPr>
                <w:rFonts w:ascii="Arial Narrow" w:eastAsia="Calibri" w:hAnsi="Arial Narrow" w:cs="Arial"/>
                <w:b/>
                <w:iCs/>
                <w:strike/>
                <w:sz w:val="20"/>
                <w:szCs w:val="20"/>
                <w:lang w:eastAsia="en-US"/>
              </w:rPr>
              <w:t>GLECAPREVIR + PIBRENTASVIR</w:t>
            </w:r>
          </w:p>
          <w:p w:rsidR="00BF3DCB" w:rsidRPr="00B422E6" w:rsidRDefault="00BF3DCB" w:rsidP="00D7347C">
            <w:pPr>
              <w:keepNext/>
              <w:widowControl w:val="0"/>
              <w:spacing w:before="40"/>
              <w:rPr>
                <w:rFonts w:ascii="Arial Narrow" w:eastAsia="Calibri" w:hAnsi="Arial Narrow" w:cs="Arial"/>
                <w:iCs/>
                <w:sz w:val="20"/>
                <w:szCs w:val="20"/>
                <w:vertAlign w:val="superscript"/>
                <w:lang w:eastAsia="en-US"/>
              </w:rPr>
            </w:pPr>
            <w:r w:rsidRPr="00B422E6">
              <w:rPr>
                <w:rFonts w:ascii="Arial Narrow" w:eastAsia="Calibri" w:hAnsi="Arial Narrow" w:cs="Arial"/>
                <w:iCs/>
                <w:strike/>
                <w:sz w:val="20"/>
                <w:szCs w:val="20"/>
                <w:lang w:eastAsia="en-US"/>
              </w:rPr>
              <w:t>[16 weeks]</w:t>
            </w:r>
            <w:r w:rsidRPr="00B422E6">
              <w:rPr>
                <w:rFonts w:ascii="Arial Narrow" w:eastAsia="Calibri" w:hAnsi="Arial Narrow" w:cs="Arial"/>
                <w:iCs/>
                <w:strike/>
                <w:sz w:val="20"/>
                <w:szCs w:val="20"/>
                <w:vertAlign w:val="superscript"/>
                <w:lang w:eastAsia="en-US"/>
              </w:rPr>
              <w:t>a</w:t>
            </w:r>
          </w:p>
        </w:tc>
      </w:tr>
    </w:tbl>
    <w:p w:rsidR="00D8776B" w:rsidRDefault="006D567D" w:rsidP="000517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360" w:line="276" w:lineRule="auto"/>
        <w:ind w:left="634" w:hanging="634"/>
        <w:jc w:val="both"/>
        <w:rPr>
          <w:rFonts w:ascii="Arial Narrow" w:hAnsi="Arial Narrow"/>
          <w:b/>
          <w:bCs/>
          <w:sz w:val="20"/>
          <w:szCs w:val="20"/>
          <w:lang w:eastAsia="en-US"/>
        </w:rPr>
      </w:pPr>
      <w:r w:rsidRPr="00521709">
        <w:rPr>
          <w:rFonts w:ascii="Arial Narrow" w:hAnsi="Arial Narrow"/>
          <w:b/>
          <w:bCs/>
          <w:sz w:val="20"/>
          <w:szCs w:val="20"/>
          <w:lang w:eastAsia="en-US"/>
        </w:rPr>
        <w:t>Notes:</w:t>
      </w:r>
      <w:r w:rsidRPr="00521709">
        <w:rPr>
          <w:rFonts w:ascii="Arial Narrow" w:hAnsi="Arial Narrow"/>
          <w:b/>
          <w:bCs/>
          <w:sz w:val="20"/>
          <w:szCs w:val="20"/>
          <w:lang w:eastAsia="en-US"/>
        </w:rPr>
        <w:tab/>
      </w:r>
      <w:r w:rsidRPr="003E0EDC">
        <w:rPr>
          <w:rFonts w:ascii="Arial Narrow" w:hAnsi="Arial Narrow"/>
          <w:b/>
          <w:bCs/>
          <w:sz w:val="20"/>
          <w:szCs w:val="20"/>
          <w:vertAlign w:val="superscript"/>
          <w:lang w:eastAsia="en-US"/>
        </w:rPr>
        <w:t>a</w:t>
      </w:r>
      <w:r w:rsidRPr="003E0EDC">
        <w:rPr>
          <w:rFonts w:ascii="Arial Narrow" w:hAnsi="Arial Narrow"/>
          <w:b/>
          <w:bCs/>
          <w:strike/>
          <w:sz w:val="20"/>
          <w:szCs w:val="20"/>
          <w:lang w:eastAsia="en-US"/>
        </w:rPr>
        <w:t xml:space="preserve">for NS5A treatment experienced and all GT3 </w:t>
      </w:r>
      <w:r w:rsidR="003E0EDC" w:rsidRPr="003E0EDC">
        <w:rPr>
          <w:rFonts w:ascii="Arial Narrow" w:hAnsi="Arial Narrow"/>
          <w:b/>
          <w:bCs/>
          <w:i/>
          <w:sz w:val="20"/>
          <w:szCs w:val="20"/>
          <w:lang w:eastAsia="en-US"/>
        </w:rPr>
        <w:t>[</w:t>
      </w:r>
      <w:r w:rsidR="003E0EDC" w:rsidRPr="003E0EDC">
        <w:rPr>
          <w:rFonts w:ascii="Arial Narrow" w:eastAsia="Calibri" w:hAnsi="Arial Narrow" w:cs="Arial"/>
          <w:b/>
          <w:i/>
          <w:iCs/>
          <w:sz w:val="20"/>
          <w:szCs w:val="20"/>
          <w:lang w:eastAsia="en-US"/>
        </w:rPr>
        <w:t xml:space="preserve">GLECAPREVIR + PIBRENTASVIR] </w:t>
      </w:r>
      <w:r w:rsidR="003E0EDC" w:rsidRPr="003E0EDC">
        <w:rPr>
          <w:rFonts w:ascii="Arial Narrow" w:hAnsi="Arial Narrow"/>
          <w:b/>
          <w:bCs/>
          <w:i/>
          <w:sz w:val="20"/>
          <w:szCs w:val="20"/>
          <w:lang w:eastAsia="en-US"/>
        </w:rPr>
        <w:t>for</w:t>
      </w:r>
      <w:r w:rsidR="003E0EDC" w:rsidRPr="003E0EDC">
        <w:rPr>
          <w:rFonts w:ascii="Arial Narrow" w:hAnsi="Arial Narrow"/>
          <w:b/>
          <w:bCs/>
          <w:sz w:val="20"/>
          <w:szCs w:val="20"/>
          <w:lang w:eastAsia="en-US"/>
        </w:rPr>
        <w:t xml:space="preserve"> </w:t>
      </w:r>
      <w:r w:rsidRPr="003E0EDC">
        <w:rPr>
          <w:rFonts w:ascii="Arial Narrow" w:hAnsi="Arial Narrow"/>
          <w:b/>
          <w:bCs/>
          <w:sz w:val="20"/>
          <w:szCs w:val="20"/>
          <w:lang w:eastAsia="en-US"/>
        </w:rPr>
        <w:t>treatment experienced patients</w:t>
      </w:r>
      <w:r w:rsidR="003E0EDC" w:rsidRPr="003E0EDC">
        <w:rPr>
          <w:rFonts w:ascii="Arial Narrow" w:hAnsi="Arial Narrow"/>
          <w:b/>
          <w:bCs/>
          <w:sz w:val="20"/>
          <w:szCs w:val="20"/>
          <w:lang w:eastAsia="en-US"/>
        </w:rPr>
        <w:t xml:space="preserve"> </w:t>
      </w:r>
      <w:r w:rsidR="003E0EDC" w:rsidRPr="003E0EDC">
        <w:rPr>
          <w:rFonts w:ascii="Arial Narrow" w:hAnsi="Arial Narrow"/>
          <w:b/>
          <w:bCs/>
          <w:i/>
          <w:sz w:val="20"/>
          <w:szCs w:val="20"/>
          <w:lang w:eastAsia="en-US"/>
        </w:rPr>
        <w:t>with genotype 3 HCV and patients who have failed an NS5A inhibitor</w:t>
      </w:r>
      <w:r w:rsidRPr="003E0EDC">
        <w:rPr>
          <w:rFonts w:ascii="Arial Narrow" w:hAnsi="Arial Narrow"/>
          <w:b/>
          <w:bCs/>
          <w:sz w:val="20"/>
          <w:szCs w:val="20"/>
          <w:lang w:eastAsia="en-US"/>
        </w:rPr>
        <w:t xml:space="preserve">, treatment </w:t>
      </w:r>
      <w:r w:rsidR="00461CCF" w:rsidRPr="003E0EDC">
        <w:rPr>
          <w:rFonts w:ascii="Arial Narrow" w:hAnsi="Arial Narrow"/>
          <w:b/>
          <w:bCs/>
          <w:sz w:val="20"/>
          <w:szCs w:val="20"/>
          <w:lang w:eastAsia="en-US"/>
        </w:rPr>
        <w:t xml:space="preserve">is </w:t>
      </w:r>
      <w:r w:rsidRPr="003E0EDC">
        <w:rPr>
          <w:rFonts w:ascii="Arial Narrow" w:hAnsi="Arial Narrow"/>
          <w:b/>
          <w:bCs/>
          <w:sz w:val="20"/>
          <w:szCs w:val="20"/>
          <w:lang w:eastAsia="en-US"/>
        </w:rPr>
        <w:t>for 16 weeks.</w:t>
      </w:r>
    </w:p>
    <w:p w:rsidR="00DA5741" w:rsidRPr="00521709" w:rsidRDefault="0017630D"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Upon TGA approval of</w:t>
      </w:r>
      <w:r w:rsidRPr="00521709">
        <w:t xml:space="preserve"> </w:t>
      </w:r>
      <w:r w:rsidR="00057571" w:rsidRPr="00521709">
        <w:rPr>
          <w:rFonts w:asciiTheme="minorHAnsi" w:eastAsiaTheme="minorHAnsi" w:hAnsiTheme="minorHAnsi" w:cstheme="minorBidi"/>
          <w:snapToGrid/>
          <w:sz w:val="24"/>
          <w:szCs w:val="22"/>
        </w:rPr>
        <w:t xml:space="preserve">glecaprevir with pibrentasvir </w:t>
      </w:r>
      <w:r w:rsidR="00DA5741" w:rsidRPr="00521709">
        <w:rPr>
          <w:rFonts w:asciiTheme="minorHAnsi" w:eastAsiaTheme="minorHAnsi" w:hAnsiTheme="minorHAnsi" w:cstheme="minorBidi"/>
          <w:snapToGrid/>
          <w:sz w:val="24"/>
          <w:szCs w:val="22"/>
        </w:rPr>
        <w:t xml:space="preserve">the sponsor </w:t>
      </w:r>
      <w:r w:rsidRPr="00521709">
        <w:rPr>
          <w:rFonts w:asciiTheme="minorHAnsi" w:eastAsiaTheme="minorHAnsi" w:hAnsiTheme="minorHAnsi" w:cstheme="minorBidi"/>
          <w:snapToGrid/>
          <w:sz w:val="24"/>
          <w:szCs w:val="22"/>
        </w:rPr>
        <w:t>requests</w:t>
      </w:r>
      <w:r w:rsidR="00DA5741" w:rsidRPr="00521709">
        <w:rPr>
          <w:rFonts w:asciiTheme="minorHAnsi" w:eastAsiaTheme="minorHAnsi" w:hAnsiTheme="minorHAnsi" w:cstheme="minorBidi"/>
          <w:snapToGrid/>
          <w:sz w:val="24"/>
          <w:szCs w:val="22"/>
        </w:rPr>
        <w:t xml:space="preserve"> a dual listing to ensure all patients with CHC have access to treatment</w:t>
      </w:r>
      <w:r w:rsidR="00461CCF" w:rsidRPr="00521709">
        <w:rPr>
          <w:rFonts w:asciiTheme="minorHAnsi" w:eastAsiaTheme="minorHAnsi" w:hAnsiTheme="minorHAnsi" w:cstheme="minorBidi"/>
          <w:snapToGrid/>
          <w:sz w:val="24"/>
          <w:szCs w:val="22"/>
        </w:rPr>
        <w:t xml:space="preserve"> through a</w:t>
      </w:r>
      <w:r w:rsidR="00DA5741" w:rsidRPr="00521709">
        <w:rPr>
          <w:rFonts w:asciiTheme="minorHAnsi" w:eastAsiaTheme="minorHAnsi" w:hAnsiTheme="minorHAnsi" w:cstheme="minorBidi"/>
          <w:snapToGrid/>
          <w:sz w:val="24"/>
          <w:szCs w:val="22"/>
        </w:rPr>
        <w:t>:</w:t>
      </w:r>
    </w:p>
    <w:p w:rsidR="00DA5741" w:rsidRPr="00521709" w:rsidRDefault="00DA5741" w:rsidP="00DA5741">
      <w:pPr>
        <w:pStyle w:val="ListParagraph"/>
        <w:spacing w:after="1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w:t>
      </w:r>
      <w:r w:rsidRPr="00521709">
        <w:rPr>
          <w:rFonts w:asciiTheme="minorHAnsi" w:eastAsiaTheme="minorHAnsi" w:hAnsiTheme="minorHAnsi" w:cstheme="minorBidi"/>
          <w:snapToGrid/>
          <w:sz w:val="24"/>
          <w:szCs w:val="22"/>
        </w:rPr>
        <w:tab/>
        <w:t>General Schedule Authority Required listing</w:t>
      </w:r>
      <w:r w:rsidR="00461CCF" w:rsidRPr="00521709">
        <w:rPr>
          <w:rFonts w:asciiTheme="minorHAnsi" w:eastAsiaTheme="minorHAnsi" w:hAnsiTheme="minorHAnsi" w:cstheme="minorBidi"/>
          <w:snapToGrid/>
          <w:sz w:val="24"/>
          <w:szCs w:val="22"/>
        </w:rPr>
        <w:t>, or a</w:t>
      </w:r>
      <w:r w:rsidRPr="00521709">
        <w:rPr>
          <w:rFonts w:asciiTheme="minorHAnsi" w:eastAsiaTheme="minorHAnsi" w:hAnsiTheme="minorHAnsi" w:cstheme="minorBidi"/>
          <w:snapToGrid/>
          <w:sz w:val="24"/>
          <w:szCs w:val="22"/>
        </w:rPr>
        <w:t xml:space="preserve"> </w:t>
      </w:r>
    </w:p>
    <w:p w:rsidR="00D7347C" w:rsidRPr="00521709" w:rsidRDefault="00DA5741" w:rsidP="00B15BF8">
      <w:pPr>
        <w:pStyle w:val="ListParagraph"/>
        <w:spacing w:after="1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w:t>
      </w:r>
      <w:r w:rsidRPr="00521709">
        <w:rPr>
          <w:rFonts w:asciiTheme="minorHAnsi" w:eastAsiaTheme="minorHAnsi" w:hAnsiTheme="minorHAnsi" w:cstheme="minorBidi"/>
          <w:snapToGrid/>
          <w:sz w:val="24"/>
          <w:szCs w:val="22"/>
        </w:rPr>
        <w:tab/>
        <w:t>Section 100 HSD program Authority Required listing</w:t>
      </w:r>
      <w:r w:rsidR="00461CCF" w:rsidRPr="00521709">
        <w:rPr>
          <w:rFonts w:asciiTheme="minorHAnsi" w:eastAsiaTheme="minorHAnsi" w:hAnsiTheme="minorHAnsi" w:cstheme="minorBidi"/>
          <w:snapToGrid/>
          <w:sz w:val="24"/>
          <w:szCs w:val="22"/>
        </w:rPr>
        <w:t>.</w:t>
      </w:r>
    </w:p>
    <w:p w:rsidR="003E2DF2" w:rsidRPr="00521709" w:rsidRDefault="003E2DF2" w:rsidP="003E2DF2">
      <w:pPr>
        <w:ind w:left="709"/>
        <w:contextualSpacing/>
        <w:jc w:val="both"/>
        <w:rPr>
          <w:rFonts w:asciiTheme="minorHAnsi" w:hAnsiTheme="minorHAnsi"/>
          <w:i/>
          <w:highlight w:val="yellow"/>
        </w:rPr>
      </w:pPr>
    </w:p>
    <w:p w:rsidR="003E2DF2" w:rsidRPr="00521709" w:rsidRDefault="003E2DF2" w:rsidP="003E2DF2">
      <w:pPr>
        <w:ind w:left="709"/>
        <w:contextualSpacing/>
        <w:jc w:val="both"/>
        <w:rPr>
          <w:rFonts w:asciiTheme="minorHAnsi" w:eastAsiaTheme="majorEastAsia" w:hAnsiTheme="minorHAnsi" w:cstheme="majorBidi"/>
          <w:sz w:val="28"/>
          <w:szCs w:val="28"/>
          <w:lang w:eastAsia="en-US"/>
        </w:rPr>
      </w:pPr>
      <w:r w:rsidRPr="00521709">
        <w:rPr>
          <w:rFonts w:asciiTheme="minorHAnsi" w:hAnsiTheme="minorHAnsi"/>
          <w:i/>
        </w:rPr>
        <w:t>For more detail on PBAC’s view, see section 7 PBAC outcome.</w:t>
      </w:r>
    </w:p>
    <w:p w:rsidR="00C603D4" w:rsidRPr="00521709" w:rsidRDefault="00CE10C4" w:rsidP="00696129">
      <w:pPr>
        <w:pStyle w:val="PBACHeading1"/>
        <w:spacing w:before="240" w:after="120"/>
        <w:ind w:left="709" w:hanging="709"/>
        <w:rPr>
          <w:rFonts w:asciiTheme="minorHAnsi" w:hAnsiTheme="minorHAnsi"/>
          <w:sz w:val="32"/>
          <w:szCs w:val="32"/>
        </w:rPr>
      </w:pPr>
      <w:r w:rsidRPr="00521709">
        <w:rPr>
          <w:rFonts w:asciiTheme="minorHAnsi" w:hAnsiTheme="minorHAnsi"/>
          <w:sz w:val="32"/>
          <w:szCs w:val="32"/>
        </w:rPr>
        <w:t>Background</w:t>
      </w:r>
    </w:p>
    <w:p w:rsidR="00DD6CC5" w:rsidRPr="00521709" w:rsidRDefault="00BF5D78"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The </w:t>
      </w:r>
      <w:r w:rsidR="00C431FA" w:rsidRPr="00521709">
        <w:rPr>
          <w:rFonts w:asciiTheme="minorHAnsi" w:eastAsiaTheme="minorHAnsi" w:hAnsiTheme="minorHAnsi" w:cstheme="minorBidi"/>
          <w:snapToGrid/>
          <w:sz w:val="24"/>
          <w:szCs w:val="22"/>
        </w:rPr>
        <w:t xml:space="preserve">previous major </w:t>
      </w:r>
      <w:r w:rsidRPr="00521709">
        <w:rPr>
          <w:rFonts w:asciiTheme="minorHAnsi" w:eastAsiaTheme="minorHAnsi" w:hAnsiTheme="minorHAnsi" w:cstheme="minorBidi"/>
          <w:snapToGrid/>
          <w:sz w:val="24"/>
          <w:szCs w:val="22"/>
        </w:rPr>
        <w:t xml:space="preserve">submission was made under TGA/PBAC Parallel Process. At the time of </w:t>
      </w:r>
      <w:r w:rsidR="00241A5F" w:rsidRPr="00521709">
        <w:rPr>
          <w:rFonts w:asciiTheme="minorHAnsi" w:eastAsiaTheme="minorHAnsi" w:hAnsiTheme="minorHAnsi" w:cstheme="minorBidi"/>
          <w:snapToGrid/>
          <w:sz w:val="24"/>
          <w:szCs w:val="22"/>
        </w:rPr>
        <w:t xml:space="preserve">PBAC consideration for this submission, </w:t>
      </w:r>
      <w:r w:rsidR="00B65345" w:rsidRPr="00521709">
        <w:rPr>
          <w:rFonts w:asciiTheme="minorHAnsi" w:eastAsiaTheme="minorHAnsi" w:hAnsiTheme="minorHAnsi" w:cstheme="minorBidi"/>
          <w:snapToGrid/>
          <w:sz w:val="24"/>
          <w:szCs w:val="22"/>
        </w:rPr>
        <w:t>a positive</w:t>
      </w:r>
      <w:r w:rsidR="00241A5F" w:rsidRPr="00521709">
        <w:rPr>
          <w:rFonts w:asciiTheme="minorHAnsi" w:eastAsiaTheme="minorHAnsi" w:hAnsiTheme="minorHAnsi" w:cstheme="minorBidi"/>
          <w:snapToGrid/>
          <w:sz w:val="24"/>
          <w:szCs w:val="22"/>
        </w:rPr>
        <w:t xml:space="preserve"> TGA Delegate’s overview had been received. </w:t>
      </w:r>
    </w:p>
    <w:p w:rsidR="00333162" w:rsidRPr="00521709" w:rsidRDefault="00333162" w:rsidP="00333162">
      <w:pPr>
        <w:pStyle w:val="ListParagraph"/>
        <w:ind w:left="1146"/>
        <w:rPr>
          <w:rFonts w:asciiTheme="minorHAnsi" w:eastAsiaTheme="minorHAnsi" w:hAnsiTheme="minorHAnsi" w:cstheme="minorBidi"/>
          <w:snapToGrid/>
          <w:sz w:val="24"/>
          <w:szCs w:val="22"/>
        </w:rPr>
      </w:pPr>
    </w:p>
    <w:p w:rsidR="00DD6CC5" w:rsidRDefault="00DD6CC5"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4"/>
        </w:rPr>
        <w:t>This is the second submission reques</w:t>
      </w:r>
      <w:r w:rsidR="00BF5D78" w:rsidRPr="00521709">
        <w:rPr>
          <w:rFonts w:asciiTheme="minorHAnsi" w:eastAsiaTheme="minorHAnsi" w:hAnsiTheme="minorHAnsi" w:cstheme="minorBidi"/>
          <w:snapToGrid/>
          <w:sz w:val="24"/>
          <w:szCs w:val="24"/>
        </w:rPr>
        <w:t xml:space="preserve">ting PBS-listing of glecaprevir with </w:t>
      </w:r>
      <w:r w:rsidRPr="00521709">
        <w:rPr>
          <w:rFonts w:asciiTheme="minorHAnsi" w:eastAsiaTheme="minorHAnsi" w:hAnsiTheme="minorHAnsi" w:cstheme="minorBidi"/>
          <w:snapToGrid/>
          <w:sz w:val="24"/>
          <w:szCs w:val="24"/>
        </w:rPr>
        <w:t>pibrentasvir.</w:t>
      </w:r>
      <w:r w:rsidR="00BF5D78" w:rsidRPr="00521709">
        <w:rPr>
          <w:sz w:val="24"/>
          <w:szCs w:val="24"/>
        </w:rPr>
        <w:t xml:space="preserve"> </w:t>
      </w:r>
      <w:r w:rsidR="00BF5D78" w:rsidRPr="00521709">
        <w:rPr>
          <w:rFonts w:asciiTheme="minorHAnsi" w:eastAsiaTheme="minorHAnsi" w:hAnsiTheme="minorHAnsi" w:cstheme="minorBidi"/>
          <w:snapToGrid/>
          <w:sz w:val="24"/>
          <w:szCs w:val="24"/>
        </w:rPr>
        <w:t xml:space="preserve">Glecaprevir with pibrentasvir was previously considered by the PBAC in </w:t>
      </w:r>
      <w:r w:rsidR="008D5438" w:rsidRPr="00521709">
        <w:rPr>
          <w:rFonts w:asciiTheme="minorHAnsi" w:eastAsiaTheme="minorHAnsi" w:hAnsiTheme="minorHAnsi" w:cstheme="minorBidi"/>
          <w:snapToGrid/>
          <w:sz w:val="24"/>
          <w:szCs w:val="24"/>
        </w:rPr>
        <w:t>July 2017</w:t>
      </w:r>
      <w:r w:rsidR="008D5438" w:rsidRPr="00521709">
        <w:t xml:space="preserve"> </w:t>
      </w:r>
      <w:r w:rsidR="008D5438" w:rsidRPr="00521709">
        <w:rPr>
          <w:rFonts w:asciiTheme="minorHAnsi" w:eastAsiaTheme="minorHAnsi" w:hAnsiTheme="minorHAnsi" w:cstheme="minorBidi"/>
          <w:snapToGrid/>
          <w:sz w:val="24"/>
          <w:szCs w:val="22"/>
        </w:rPr>
        <w:t xml:space="preserve">for PBS listing of the fixed dose combination (FDC) of glecaprevir </w:t>
      </w:r>
      <w:r w:rsidR="00C14B00" w:rsidRPr="00521709">
        <w:rPr>
          <w:rFonts w:asciiTheme="minorHAnsi" w:eastAsiaTheme="minorHAnsi" w:hAnsiTheme="minorHAnsi" w:cstheme="minorBidi"/>
          <w:snapToGrid/>
          <w:sz w:val="24"/>
          <w:szCs w:val="22"/>
        </w:rPr>
        <w:t xml:space="preserve">with </w:t>
      </w:r>
      <w:r w:rsidR="008D5438" w:rsidRPr="00521709">
        <w:rPr>
          <w:rFonts w:asciiTheme="minorHAnsi" w:eastAsiaTheme="minorHAnsi" w:hAnsiTheme="minorHAnsi" w:cstheme="minorBidi"/>
          <w:snapToGrid/>
          <w:sz w:val="24"/>
          <w:szCs w:val="22"/>
        </w:rPr>
        <w:t>pibrentasvir for the treatment of chronic hepatitis C for genotypes 1-6.</w:t>
      </w:r>
      <w:r w:rsidR="003647BA" w:rsidRPr="00521709">
        <w:rPr>
          <w:rFonts w:asciiTheme="minorHAnsi" w:eastAsiaTheme="minorHAnsi" w:hAnsiTheme="minorHAnsi" w:cstheme="minorBidi"/>
          <w:snapToGrid/>
          <w:sz w:val="24"/>
          <w:szCs w:val="22"/>
        </w:rPr>
        <w:t xml:space="preserve"> At that time, in response to </w:t>
      </w:r>
      <w:r w:rsidR="009B79BC" w:rsidRPr="00521709">
        <w:rPr>
          <w:rFonts w:asciiTheme="minorHAnsi" w:eastAsiaTheme="minorHAnsi" w:hAnsiTheme="minorHAnsi" w:cstheme="minorBidi"/>
          <w:snapToGrid/>
          <w:sz w:val="24"/>
          <w:szCs w:val="22"/>
        </w:rPr>
        <w:t xml:space="preserve">questions raised during the evaluation regarding the </w:t>
      </w:r>
      <w:r w:rsidR="003476DC" w:rsidRPr="00521709">
        <w:rPr>
          <w:rFonts w:asciiTheme="minorHAnsi" w:eastAsiaTheme="minorHAnsi" w:hAnsiTheme="minorHAnsi" w:cstheme="minorBidi"/>
          <w:snapToGrid/>
          <w:sz w:val="24"/>
          <w:szCs w:val="22"/>
        </w:rPr>
        <w:t>appropriateness</w:t>
      </w:r>
      <w:r w:rsidR="009B79BC" w:rsidRPr="00521709">
        <w:rPr>
          <w:rFonts w:asciiTheme="minorHAnsi" w:eastAsiaTheme="minorHAnsi" w:hAnsiTheme="minorHAnsi" w:cstheme="minorBidi"/>
          <w:snapToGrid/>
          <w:sz w:val="24"/>
          <w:szCs w:val="22"/>
        </w:rPr>
        <w:t xml:space="preserve"> of sofosbuvir/velpatasvir as a comparator for patients who have failed prior NS5A inhibitors, </w:t>
      </w:r>
      <w:r w:rsidR="003647BA" w:rsidRPr="00521709">
        <w:rPr>
          <w:rFonts w:asciiTheme="minorHAnsi" w:eastAsiaTheme="minorHAnsi" w:hAnsiTheme="minorHAnsi" w:cstheme="minorBidi"/>
          <w:snapToGrid/>
          <w:sz w:val="24"/>
          <w:szCs w:val="22"/>
        </w:rPr>
        <w:t xml:space="preserve">the sponsor withdrew the request for reimbursement for the small sub-population of patients who have failed prior treatment with an NS5A inhibitor. </w:t>
      </w:r>
    </w:p>
    <w:p w:rsidR="00AD0EB1" w:rsidRPr="00AD0EB1" w:rsidRDefault="00AD0EB1" w:rsidP="00AD0EB1">
      <w:pPr>
        <w:rPr>
          <w:rFonts w:asciiTheme="minorHAnsi" w:eastAsiaTheme="minorHAnsi" w:hAnsiTheme="minorHAnsi" w:cstheme="minorBidi"/>
          <w:szCs w:val="22"/>
        </w:rPr>
      </w:pPr>
    </w:p>
    <w:p w:rsidR="00333162" w:rsidRPr="00521709" w:rsidRDefault="003647BA"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This minor submission </w:t>
      </w:r>
      <w:r w:rsidR="00DD6CC5" w:rsidRPr="00521709">
        <w:rPr>
          <w:rFonts w:asciiTheme="minorHAnsi" w:eastAsiaTheme="minorHAnsi" w:hAnsiTheme="minorHAnsi" w:cstheme="minorBidi"/>
          <w:snapToGrid/>
          <w:sz w:val="24"/>
          <w:szCs w:val="22"/>
        </w:rPr>
        <w:t>request</w:t>
      </w:r>
      <w:r w:rsidRPr="00521709">
        <w:rPr>
          <w:rFonts w:asciiTheme="minorHAnsi" w:eastAsiaTheme="minorHAnsi" w:hAnsiTheme="minorHAnsi" w:cstheme="minorBidi"/>
          <w:snapToGrid/>
          <w:sz w:val="24"/>
          <w:szCs w:val="22"/>
        </w:rPr>
        <w:t xml:space="preserve">ed that the </w:t>
      </w:r>
      <w:r w:rsidR="00C14B00" w:rsidRPr="00521709">
        <w:rPr>
          <w:rFonts w:asciiTheme="minorHAnsi" w:eastAsiaTheme="minorHAnsi" w:hAnsiTheme="minorHAnsi" w:cstheme="minorBidi"/>
          <w:snapToGrid/>
          <w:sz w:val="24"/>
          <w:szCs w:val="22"/>
        </w:rPr>
        <w:t xml:space="preserve">reimbursement of </w:t>
      </w:r>
      <w:r w:rsidR="00333162" w:rsidRPr="00521709">
        <w:rPr>
          <w:rFonts w:asciiTheme="minorHAnsi" w:eastAsiaTheme="minorHAnsi" w:hAnsiTheme="minorHAnsi" w:cstheme="minorBidi"/>
          <w:snapToGrid/>
          <w:sz w:val="24"/>
          <w:szCs w:val="22"/>
        </w:rPr>
        <w:t xml:space="preserve">glecaprevir </w:t>
      </w:r>
      <w:r w:rsidR="00C14B00" w:rsidRPr="00521709">
        <w:rPr>
          <w:rFonts w:asciiTheme="minorHAnsi" w:eastAsiaTheme="minorHAnsi" w:hAnsiTheme="minorHAnsi" w:cstheme="minorBidi"/>
          <w:snapToGrid/>
          <w:sz w:val="24"/>
          <w:szCs w:val="22"/>
        </w:rPr>
        <w:t xml:space="preserve">with pibrentasvir for </w:t>
      </w:r>
      <w:r w:rsidRPr="00521709">
        <w:rPr>
          <w:rFonts w:asciiTheme="minorHAnsi" w:eastAsiaTheme="minorHAnsi" w:hAnsiTheme="minorHAnsi" w:cstheme="minorBidi"/>
          <w:snapToGrid/>
          <w:sz w:val="24"/>
          <w:szCs w:val="22"/>
        </w:rPr>
        <w:t>subgroup of patients</w:t>
      </w:r>
      <w:r w:rsidR="00DD6CC5" w:rsidRPr="00521709">
        <w:rPr>
          <w:rFonts w:asciiTheme="minorHAnsi" w:eastAsiaTheme="minorHAnsi" w:hAnsiTheme="minorHAnsi" w:cstheme="minorBidi"/>
          <w:snapToGrid/>
          <w:sz w:val="24"/>
          <w:szCs w:val="22"/>
        </w:rPr>
        <w:t xml:space="preserve"> </w:t>
      </w:r>
      <w:r w:rsidR="009E46D5" w:rsidRPr="00521709">
        <w:rPr>
          <w:rFonts w:asciiTheme="minorHAnsi" w:eastAsiaTheme="minorHAnsi" w:hAnsiTheme="minorHAnsi" w:cstheme="minorBidi"/>
          <w:snapToGrid/>
          <w:sz w:val="24"/>
          <w:szCs w:val="22"/>
        </w:rPr>
        <w:t>who have failed prior treatment with an NS5A inhibitor, be considered</w:t>
      </w:r>
      <w:r w:rsidR="00DD6CC5" w:rsidRPr="00521709">
        <w:rPr>
          <w:rFonts w:asciiTheme="minorHAnsi" w:eastAsiaTheme="minorHAnsi" w:hAnsiTheme="minorHAnsi" w:cstheme="minorBidi"/>
          <w:snapToGrid/>
          <w:sz w:val="24"/>
          <w:szCs w:val="22"/>
        </w:rPr>
        <w:t xml:space="preserve"> </w:t>
      </w:r>
      <w:r w:rsidR="00C14B00" w:rsidRPr="00521709">
        <w:rPr>
          <w:rFonts w:asciiTheme="minorHAnsi" w:eastAsiaTheme="minorHAnsi" w:hAnsiTheme="minorHAnsi" w:cstheme="minorBidi"/>
          <w:snapToGrid/>
          <w:sz w:val="24"/>
          <w:szCs w:val="22"/>
        </w:rPr>
        <w:t>by the PBAC</w:t>
      </w:r>
      <w:r w:rsidR="00122C31" w:rsidRPr="00521709">
        <w:rPr>
          <w:rFonts w:asciiTheme="minorHAnsi" w:eastAsiaTheme="minorHAnsi" w:hAnsiTheme="minorHAnsi" w:cstheme="minorBidi"/>
          <w:snapToGrid/>
          <w:sz w:val="24"/>
          <w:szCs w:val="22"/>
        </w:rPr>
        <w:t>.</w:t>
      </w:r>
    </w:p>
    <w:p w:rsidR="00AA55AF" w:rsidRPr="00521709" w:rsidRDefault="00AA55AF" w:rsidP="00AA55AF">
      <w:pPr>
        <w:pStyle w:val="ListParagraph"/>
        <w:rPr>
          <w:rFonts w:asciiTheme="minorHAnsi" w:eastAsiaTheme="minorHAnsi" w:hAnsiTheme="minorHAnsi" w:cstheme="minorBidi"/>
          <w:snapToGrid/>
          <w:sz w:val="24"/>
          <w:szCs w:val="22"/>
        </w:rPr>
      </w:pPr>
    </w:p>
    <w:p w:rsidR="00A153AF" w:rsidRPr="00521709" w:rsidRDefault="00087833"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At its meeting of July 2017, the PBAC was of a mind to recommend the Authority Required General Schedule and Section 100 listing</w:t>
      </w:r>
      <w:r w:rsidR="008E20F1" w:rsidRPr="00521709">
        <w:rPr>
          <w:rFonts w:asciiTheme="minorHAnsi" w:eastAsiaTheme="minorHAnsi" w:hAnsiTheme="minorHAnsi" w:cstheme="minorBidi"/>
          <w:snapToGrid/>
          <w:sz w:val="24"/>
          <w:szCs w:val="22"/>
        </w:rPr>
        <w:t>s</w:t>
      </w:r>
      <w:r w:rsidRPr="00521709">
        <w:rPr>
          <w:rFonts w:asciiTheme="minorHAnsi" w:eastAsiaTheme="minorHAnsi" w:hAnsiTheme="minorHAnsi" w:cstheme="minorBidi"/>
          <w:snapToGrid/>
          <w:sz w:val="24"/>
          <w:szCs w:val="22"/>
        </w:rPr>
        <w:t xml:space="preserve"> of glecaprevir with pibrentasvir for the treatment of chronic hepatitis C infection </w:t>
      </w:r>
      <w:r w:rsidR="00122C31" w:rsidRPr="00521709">
        <w:rPr>
          <w:rFonts w:asciiTheme="minorHAnsi" w:eastAsiaTheme="minorHAnsi" w:hAnsiTheme="minorHAnsi" w:cstheme="minorBidi"/>
          <w:snapToGrid/>
          <w:sz w:val="24"/>
          <w:szCs w:val="22"/>
        </w:rPr>
        <w:t xml:space="preserve">(CHC) </w:t>
      </w:r>
      <w:r w:rsidRPr="00521709">
        <w:rPr>
          <w:rFonts w:asciiTheme="minorHAnsi" w:eastAsiaTheme="minorHAnsi" w:hAnsiTheme="minorHAnsi" w:cstheme="minorBidi"/>
          <w:snapToGrid/>
          <w:sz w:val="24"/>
          <w:szCs w:val="22"/>
        </w:rPr>
        <w:t>for</w:t>
      </w:r>
      <w:r w:rsidR="005128F5" w:rsidRPr="00521709">
        <w:rPr>
          <w:rFonts w:asciiTheme="minorHAnsi" w:eastAsiaTheme="minorHAnsi" w:hAnsiTheme="minorHAnsi" w:cstheme="minorBidi"/>
          <w:snapToGrid/>
          <w:sz w:val="24"/>
          <w:szCs w:val="22"/>
        </w:rPr>
        <w:t xml:space="preserve"> treatment naïve and treatment experienced</w:t>
      </w:r>
      <w:r w:rsidRPr="00521709">
        <w:rPr>
          <w:rFonts w:asciiTheme="minorHAnsi" w:eastAsiaTheme="minorHAnsi" w:hAnsiTheme="minorHAnsi" w:cstheme="minorBidi"/>
          <w:snapToGrid/>
          <w:sz w:val="24"/>
          <w:szCs w:val="22"/>
        </w:rPr>
        <w:t xml:space="preserve"> patients with genotypes 1-6, with or without cirrhosis. However, the PBAC deferred making a final recommendation pending the provision of the relevant TGA delegate’s overview.</w:t>
      </w:r>
    </w:p>
    <w:p w:rsidR="0005172B" w:rsidRPr="00521709" w:rsidRDefault="0005172B" w:rsidP="0005172B">
      <w:pPr>
        <w:pStyle w:val="ListParagraph"/>
        <w:rPr>
          <w:rFonts w:asciiTheme="minorHAnsi" w:eastAsiaTheme="minorHAnsi" w:hAnsiTheme="minorHAnsi" w:cstheme="minorBidi"/>
          <w:snapToGrid/>
          <w:sz w:val="24"/>
          <w:szCs w:val="22"/>
        </w:rPr>
      </w:pPr>
    </w:p>
    <w:p w:rsidR="0005172B" w:rsidRPr="00521709" w:rsidRDefault="0005172B"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The TGA delegate’</w:t>
      </w:r>
      <w:r w:rsidRPr="00521709">
        <w:rPr>
          <w:rFonts w:asciiTheme="minorHAnsi" w:eastAsiaTheme="minorHAnsi" w:hAnsiTheme="minorHAnsi" w:cstheme="minorBidi"/>
          <w:szCs w:val="22"/>
        </w:rPr>
        <w:t>s overview was received prior to the November PBAC meeting.</w:t>
      </w:r>
    </w:p>
    <w:p w:rsidR="00D07201" w:rsidRPr="00521709" w:rsidRDefault="00D07201" w:rsidP="0005172B">
      <w:pPr>
        <w:rPr>
          <w:highlight w:val="yellow"/>
        </w:rPr>
      </w:pPr>
    </w:p>
    <w:p w:rsidR="003E2DF2" w:rsidRPr="00521709" w:rsidRDefault="003E2DF2" w:rsidP="003E2DF2">
      <w:pPr>
        <w:ind w:left="709"/>
        <w:contextualSpacing/>
        <w:jc w:val="both"/>
        <w:rPr>
          <w:rFonts w:asciiTheme="minorHAnsi" w:eastAsiaTheme="minorHAnsi" w:hAnsiTheme="minorHAnsi" w:cstheme="minorBidi"/>
          <w:szCs w:val="22"/>
        </w:rPr>
      </w:pPr>
      <w:r w:rsidRPr="00521709">
        <w:rPr>
          <w:rFonts w:asciiTheme="minorHAnsi" w:hAnsiTheme="minorHAnsi"/>
          <w:i/>
        </w:rPr>
        <w:t>For more detail on PBAC’s view, see section 7 PBAC outcome.</w:t>
      </w:r>
    </w:p>
    <w:p w:rsidR="00CE10C4" w:rsidRPr="00521709" w:rsidRDefault="006436CD" w:rsidP="00D31150">
      <w:pPr>
        <w:pStyle w:val="PBACHeading1"/>
        <w:spacing w:before="240" w:after="120"/>
        <w:ind w:left="709" w:hanging="709"/>
        <w:rPr>
          <w:rFonts w:asciiTheme="minorHAnsi" w:hAnsiTheme="minorHAnsi"/>
          <w:sz w:val="32"/>
          <w:szCs w:val="32"/>
        </w:rPr>
      </w:pPr>
      <w:r w:rsidRPr="00521709">
        <w:rPr>
          <w:rFonts w:asciiTheme="minorHAnsi" w:hAnsiTheme="minorHAnsi"/>
          <w:sz w:val="32"/>
          <w:szCs w:val="32"/>
        </w:rPr>
        <w:t xml:space="preserve">Population and disease </w:t>
      </w:r>
    </w:p>
    <w:p w:rsidR="00A153AF" w:rsidRPr="00521709" w:rsidRDefault="00A153AF"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Hepatitis C is a blood-borne inflammatory liver disease caused by hepatitis C virus (HCV), with around 75-80% of people exposed to HCV developing chronic infection which may lead to cirrhosis, liver failure, hepatocellular carcinoma and death. Approximately 230,000 people in Australia were estimated to be living with chronic HCV infection in 2014 (Kirby 2015). </w:t>
      </w:r>
    </w:p>
    <w:p w:rsidR="00AA55AF" w:rsidRPr="00521709" w:rsidRDefault="00AA55AF" w:rsidP="00AA55AF">
      <w:pPr>
        <w:pStyle w:val="ListParagraph"/>
        <w:rPr>
          <w:rFonts w:asciiTheme="minorHAnsi" w:eastAsiaTheme="minorHAnsi" w:hAnsiTheme="minorHAnsi" w:cstheme="minorBidi"/>
          <w:snapToGrid/>
          <w:sz w:val="24"/>
          <w:szCs w:val="22"/>
        </w:rPr>
      </w:pPr>
    </w:p>
    <w:p w:rsidR="00A153AF" w:rsidRPr="00521709" w:rsidRDefault="00122C31" w:rsidP="00AA55AF">
      <w:pPr>
        <w:pStyle w:val="ListParagraph"/>
        <w:numPr>
          <w:ilvl w:val="1"/>
          <w:numId w:val="5"/>
        </w:numPr>
        <w:ind w:left="720"/>
        <w:rPr>
          <w:rFonts w:asciiTheme="minorHAnsi" w:eastAsiaTheme="minorHAnsi" w:hAnsiTheme="minorHAnsi" w:cstheme="minorBidi"/>
          <w:snapToGrid/>
          <w:sz w:val="24"/>
          <w:szCs w:val="24"/>
        </w:rPr>
      </w:pPr>
      <w:r w:rsidRPr="00521709">
        <w:rPr>
          <w:rFonts w:asciiTheme="minorHAnsi" w:eastAsiaTheme="minorHAnsi" w:hAnsiTheme="minorHAnsi" w:cstheme="minorBidi"/>
          <w:snapToGrid/>
          <w:sz w:val="24"/>
          <w:szCs w:val="24"/>
        </w:rPr>
        <w:t xml:space="preserve">The glecaprevir with </w:t>
      </w:r>
      <w:r w:rsidR="00A153AF" w:rsidRPr="00521709">
        <w:rPr>
          <w:rFonts w:asciiTheme="minorHAnsi" w:eastAsiaTheme="minorHAnsi" w:hAnsiTheme="minorHAnsi" w:cstheme="minorBidi"/>
          <w:snapToGrid/>
          <w:sz w:val="24"/>
          <w:szCs w:val="24"/>
        </w:rPr>
        <w:t>pibrentasvir FDC is an alternative treatment option to hepatitis C antivirals already listed on the PBS for the treatment of this condition. Glecaprevir is a HCV NS3/4A protease inhibitor. HCV NS3/4A protease is necessary for the creation of proteins essential for viral replication. Pibrentasvir is a HCV NS5A protein inhibitor. HCV NS5A protein is essential for viral RNA replication and virion assembly.</w:t>
      </w:r>
    </w:p>
    <w:p w:rsidR="003E2DF2" w:rsidRPr="00521709" w:rsidRDefault="003E2DF2" w:rsidP="003E2DF2">
      <w:pPr>
        <w:pStyle w:val="ListParagraph"/>
        <w:rPr>
          <w:rFonts w:asciiTheme="minorHAnsi" w:eastAsiaTheme="minorHAnsi" w:hAnsiTheme="minorHAnsi" w:cstheme="minorBidi"/>
          <w:snapToGrid/>
          <w:sz w:val="24"/>
          <w:szCs w:val="24"/>
        </w:rPr>
      </w:pPr>
    </w:p>
    <w:p w:rsidR="005A3173" w:rsidRPr="00521709" w:rsidRDefault="005A3173" w:rsidP="00D31150">
      <w:pPr>
        <w:pStyle w:val="PBACHeading1"/>
        <w:spacing w:before="240" w:after="120"/>
        <w:ind w:left="709" w:hanging="709"/>
        <w:rPr>
          <w:rFonts w:asciiTheme="minorHAnsi" w:hAnsiTheme="minorHAnsi"/>
          <w:sz w:val="32"/>
          <w:szCs w:val="32"/>
        </w:rPr>
      </w:pPr>
      <w:r w:rsidRPr="00521709">
        <w:rPr>
          <w:rFonts w:asciiTheme="minorHAnsi" w:hAnsiTheme="minorHAnsi"/>
          <w:sz w:val="32"/>
          <w:szCs w:val="32"/>
        </w:rPr>
        <w:t>Comparator</w:t>
      </w:r>
    </w:p>
    <w:p w:rsidR="00434EA8" w:rsidRPr="00521709" w:rsidRDefault="002B4BE7" w:rsidP="00AA55AF">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The minor submission nominated</w:t>
      </w:r>
      <w:r w:rsidR="00A85A86" w:rsidRPr="00521709">
        <w:rPr>
          <w:rFonts w:asciiTheme="minorHAnsi" w:eastAsiaTheme="minorHAnsi" w:hAnsiTheme="minorHAnsi" w:cstheme="minorBidi"/>
          <w:snapToGrid/>
          <w:sz w:val="24"/>
          <w:szCs w:val="22"/>
        </w:rPr>
        <w:t xml:space="preserve"> no treatment as the comparator in NS5A experienced patients.</w:t>
      </w:r>
      <w:r w:rsidR="006E4934" w:rsidRPr="00521709">
        <w:rPr>
          <w:rFonts w:asciiTheme="minorHAnsi" w:eastAsiaTheme="minorHAnsi" w:hAnsiTheme="minorHAnsi" w:cstheme="minorBidi"/>
          <w:snapToGrid/>
          <w:sz w:val="24"/>
          <w:szCs w:val="22"/>
        </w:rPr>
        <w:t xml:space="preserve"> The PBAC considered that this was the appropriate comparator. </w:t>
      </w:r>
    </w:p>
    <w:p w:rsidR="002B4BE7" w:rsidRPr="00521709" w:rsidRDefault="002B4BE7" w:rsidP="002B4BE7">
      <w:pPr>
        <w:pStyle w:val="ListParagraph"/>
        <w:widowControl/>
        <w:spacing w:before="120" w:after="160"/>
        <w:rPr>
          <w:rFonts w:asciiTheme="minorHAnsi" w:eastAsiaTheme="minorHAnsi" w:hAnsiTheme="minorHAnsi" w:cstheme="minorBidi"/>
          <w:snapToGrid/>
          <w:sz w:val="24"/>
          <w:szCs w:val="22"/>
        </w:rPr>
      </w:pPr>
    </w:p>
    <w:p w:rsidR="003E2DF2" w:rsidRPr="00521709" w:rsidRDefault="00434EA8" w:rsidP="0005172B">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The previous major submission </w:t>
      </w:r>
      <w:r w:rsidR="002B4BE7" w:rsidRPr="00521709">
        <w:rPr>
          <w:rFonts w:asciiTheme="minorHAnsi" w:eastAsiaTheme="minorHAnsi" w:hAnsiTheme="minorHAnsi" w:cstheme="minorBidi"/>
          <w:snapToGrid/>
          <w:sz w:val="24"/>
          <w:szCs w:val="22"/>
        </w:rPr>
        <w:t xml:space="preserve">considered by the PBAC in July 2017 </w:t>
      </w:r>
      <w:r w:rsidRPr="00521709">
        <w:rPr>
          <w:rFonts w:asciiTheme="minorHAnsi" w:eastAsiaTheme="minorHAnsi" w:hAnsiTheme="minorHAnsi" w:cstheme="minorBidi"/>
          <w:snapToGrid/>
          <w:sz w:val="24"/>
          <w:szCs w:val="22"/>
        </w:rPr>
        <w:t>nominated sofosbuvir/velpatasvir as the main comparator</w:t>
      </w:r>
      <w:r w:rsidRPr="00521709">
        <w:rPr>
          <w:rFonts w:asciiTheme="minorHAnsi" w:eastAsiaTheme="minorHAnsi" w:hAnsiTheme="minorHAnsi" w:cstheme="minorBidi"/>
          <w:szCs w:val="22"/>
        </w:rPr>
        <w:t xml:space="preserve">. </w:t>
      </w:r>
      <w:r w:rsidR="002B4BE7" w:rsidRPr="00521709">
        <w:rPr>
          <w:rFonts w:asciiTheme="minorHAnsi" w:hAnsiTheme="minorHAnsi"/>
          <w:sz w:val="24"/>
          <w:szCs w:val="24"/>
        </w:rPr>
        <w:t>This was considered the appropriate comparator</w:t>
      </w:r>
      <w:r w:rsidR="00045A33" w:rsidRPr="00521709">
        <w:rPr>
          <w:rFonts w:asciiTheme="minorHAnsi" w:hAnsiTheme="minorHAnsi"/>
          <w:sz w:val="24"/>
          <w:szCs w:val="24"/>
        </w:rPr>
        <w:t xml:space="preserve"> for non NS5A experienced patients.</w:t>
      </w:r>
      <w:r w:rsidR="002B4BE7" w:rsidRPr="00521709">
        <w:rPr>
          <w:rFonts w:asciiTheme="minorHAnsi" w:hAnsiTheme="minorHAnsi"/>
          <w:sz w:val="24"/>
          <w:szCs w:val="24"/>
        </w:rPr>
        <w:t xml:space="preserve"> </w:t>
      </w:r>
    </w:p>
    <w:p w:rsidR="0005172B" w:rsidRPr="00521709" w:rsidRDefault="0005172B" w:rsidP="0005172B">
      <w:pPr>
        <w:pStyle w:val="ListParagraph"/>
        <w:rPr>
          <w:rFonts w:asciiTheme="minorHAnsi" w:eastAsiaTheme="minorHAnsi" w:hAnsiTheme="minorHAnsi" w:cstheme="minorBidi"/>
          <w:snapToGrid/>
          <w:sz w:val="24"/>
          <w:szCs w:val="22"/>
        </w:rPr>
      </w:pPr>
    </w:p>
    <w:p w:rsidR="003E2DF2" w:rsidRPr="00521709" w:rsidRDefault="003E2DF2" w:rsidP="003E2DF2">
      <w:pPr>
        <w:ind w:left="709"/>
        <w:contextualSpacing/>
        <w:jc w:val="both"/>
        <w:rPr>
          <w:rFonts w:asciiTheme="minorHAnsi" w:hAnsiTheme="minorHAnsi"/>
          <w:i/>
        </w:rPr>
      </w:pPr>
      <w:r w:rsidRPr="00521709">
        <w:rPr>
          <w:rFonts w:asciiTheme="minorHAnsi" w:hAnsiTheme="minorHAnsi"/>
          <w:i/>
        </w:rPr>
        <w:t>For more detail on PBAC’s view, see section 7 PBAC outcome.</w:t>
      </w:r>
    </w:p>
    <w:p w:rsidR="000B558D" w:rsidRPr="00521709"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21709">
        <w:rPr>
          <w:rFonts w:asciiTheme="minorHAnsi" w:hAnsiTheme="minorHAnsi"/>
          <w:sz w:val="32"/>
          <w:szCs w:val="32"/>
        </w:rPr>
        <w:t>C</w:t>
      </w:r>
      <w:r w:rsidR="00D84934" w:rsidRPr="00521709">
        <w:rPr>
          <w:rFonts w:asciiTheme="minorHAnsi" w:hAnsiTheme="minorHAnsi"/>
          <w:sz w:val="32"/>
          <w:szCs w:val="32"/>
        </w:rPr>
        <w:t>onsideration of the evidence</w:t>
      </w:r>
    </w:p>
    <w:p w:rsidR="00C02299" w:rsidRPr="00521709" w:rsidRDefault="00C02299" w:rsidP="00C02299">
      <w:pPr>
        <w:widowControl w:val="0"/>
        <w:spacing w:before="240" w:line="276" w:lineRule="auto"/>
        <w:jc w:val="both"/>
        <w:rPr>
          <w:rFonts w:asciiTheme="minorHAnsi" w:hAnsiTheme="minorHAnsi" w:cs="Arial"/>
          <w:b/>
          <w:bCs/>
          <w:i/>
          <w:snapToGrid w:val="0"/>
          <w:sz w:val="28"/>
          <w:szCs w:val="28"/>
        </w:rPr>
      </w:pPr>
      <w:r w:rsidRPr="00521709">
        <w:rPr>
          <w:rFonts w:asciiTheme="minorHAnsi" w:hAnsiTheme="minorHAnsi" w:cs="Arial"/>
          <w:b/>
          <w:bCs/>
          <w:i/>
          <w:snapToGrid w:val="0"/>
          <w:sz w:val="28"/>
          <w:szCs w:val="28"/>
        </w:rPr>
        <w:t>Sponsor hearing</w:t>
      </w:r>
    </w:p>
    <w:p w:rsidR="00C02299" w:rsidRPr="00521709" w:rsidRDefault="00C02299" w:rsidP="00937958">
      <w:pPr>
        <w:keepLines/>
        <w:widowControl w:val="0"/>
        <w:numPr>
          <w:ilvl w:val="1"/>
          <w:numId w:val="5"/>
        </w:numPr>
        <w:spacing w:before="240" w:after="120"/>
        <w:ind w:left="720"/>
        <w:jc w:val="both"/>
        <w:rPr>
          <w:rFonts w:asciiTheme="minorHAnsi" w:eastAsiaTheme="majorEastAsia" w:hAnsiTheme="minorHAnsi" w:cstheme="majorBidi"/>
          <w:sz w:val="28"/>
          <w:szCs w:val="28"/>
          <w:lang w:eastAsia="en-US"/>
        </w:rPr>
      </w:pPr>
      <w:r w:rsidRPr="00521709">
        <w:rPr>
          <w:rFonts w:asciiTheme="minorHAnsi" w:hAnsiTheme="minorHAnsi" w:cs="Arial"/>
          <w:bCs/>
          <w:snapToGrid w:val="0"/>
        </w:rPr>
        <w:t>There was no hearing for this item as it was a minor submission.</w:t>
      </w:r>
    </w:p>
    <w:p w:rsidR="00DE434F" w:rsidRPr="00521709" w:rsidRDefault="00DE434F" w:rsidP="00DE434F">
      <w:pPr>
        <w:pStyle w:val="Heading2"/>
        <w:keepLines/>
        <w:spacing w:before="240" w:after="120"/>
        <w:rPr>
          <w:rFonts w:asciiTheme="minorHAnsi" w:eastAsiaTheme="majorEastAsia" w:hAnsiTheme="minorHAnsi" w:cstheme="majorBidi"/>
          <w:sz w:val="28"/>
          <w:szCs w:val="28"/>
          <w:lang w:eastAsia="en-US"/>
        </w:rPr>
      </w:pPr>
      <w:r w:rsidRPr="00521709">
        <w:rPr>
          <w:rFonts w:asciiTheme="minorHAnsi" w:eastAsiaTheme="majorEastAsia" w:hAnsiTheme="minorHAnsi" w:cstheme="majorBidi"/>
          <w:sz w:val="28"/>
          <w:szCs w:val="28"/>
          <w:lang w:eastAsia="en-US"/>
        </w:rPr>
        <w:t>Consumer comments</w:t>
      </w:r>
    </w:p>
    <w:p w:rsidR="00DE434F" w:rsidRPr="00521709" w:rsidRDefault="00DE434F" w:rsidP="00F17B06">
      <w:pPr>
        <w:numPr>
          <w:ilvl w:val="1"/>
          <w:numId w:val="5"/>
        </w:numPr>
        <w:ind w:left="720"/>
        <w:jc w:val="both"/>
        <w:rPr>
          <w:rFonts w:asciiTheme="minorHAnsi" w:hAnsiTheme="minorHAnsi"/>
          <w:bCs/>
        </w:rPr>
      </w:pPr>
      <w:r w:rsidRPr="00521709">
        <w:rPr>
          <w:rFonts w:asciiTheme="minorHAnsi" w:eastAsiaTheme="minorHAnsi" w:hAnsiTheme="minorHAnsi" w:cstheme="minorBidi"/>
          <w:szCs w:val="22"/>
        </w:rPr>
        <w:t>The PBAC noted</w:t>
      </w:r>
      <w:r w:rsidR="006E4934" w:rsidRPr="00521709">
        <w:rPr>
          <w:rFonts w:asciiTheme="minorHAnsi" w:eastAsiaTheme="minorHAnsi" w:hAnsiTheme="minorHAnsi" w:cstheme="minorBidi"/>
          <w:szCs w:val="22"/>
        </w:rPr>
        <w:t xml:space="preserve"> and welcomed the </w:t>
      </w:r>
      <w:r w:rsidR="00492AF2" w:rsidRPr="00521709">
        <w:rPr>
          <w:rFonts w:asciiTheme="minorHAnsi" w:eastAsiaTheme="minorHAnsi" w:hAnsiTheme="minorHAnsi" w:cstheme="minorBidi"/>
          <w:szCs w:val="22"/>
        </w:rPr>
        <w:t xml:space="preserve">input </w:t>
      </w:r>
      <w:r w:rsidR="00A124F2" w:rsidRPr="00521709">
        <w:rPr>
          <w:rFonts w:asciiTheme="minorHAnsi" w:hAnsiTheme="minorHAnsi"/>
          <w:bCs/>
        </w:rPr>
        <w:t>received from professional organisations representing people living with hepatitis</w:t>
      </w:r>
      <w:r w:rsidR="00A124F2" w:rsidRPr="00521709">
        <w:rPr>
          <w:rFonts w:asciiTheme="minorHAnsi" w:eastAsiaTheme="minorHAnsi" w:hAnsiTheme="minorHAnsi" w:cstheme="minorBidi"/>
          <w:szCs w:val="22"/>
        </w:rPr>
        <w:t xml:space="preserve"> </w:t>
      </w:r>
      <w:r w:rsidR="000F5F8F" w:rsidRPr="00521709">
        <w:rPr>
          <w:rFonts w:asciiTheme="minorHAnsi" w:eastAsiaTheme="minorHAnsi" w:hAnsiTheme="minorHAnsi" w:cstheme="minorBidi"/>
          <w:szCs w:val="22"/>
        </w:rPr>
        <w:t>(4) via the consumer comments facility on the PBS website.</w:t>
      </w:r>
      <w:r w:rsidR="00A124F2" w:rsidRPr="00521709">
        <w:rPr>
          <w:rFonts w:asciiTheme="minorHAnsi" w:eastAsiaTheme="minorHAnsi" w:hAnsiTheme="minorHAnsi" w:cstheme="minorBidi"/>
          <w:szCs w:val="22"/>
        </w:rPr>
        <w:t xml:space="preserve"> The comments</w:t>
      </w:r>
      <w:r w:rsidR="00492AF2" w:rsidRPr="00521709">
        <w:rPr>
          <w:rFonts w:asciiTheme="minorHAnsi" w:eastAsiaTheme="minorHAnsi" w:hAnsiTheme="minorHAnsi" w:cstheme="minorBidi"/>
          <w:szCs w:val="22"/>
        </w:rPr>
        <w:t xml:space="preserve"> </w:t>
      </w:r>
      <w:r w:rsidR="00F17B06" w:rsidRPr="00521709">
        <w:rPr>
          <w:rFonts w:asciiTheme="minorHAnsi" w:hAnsiTheme="minorHAnsi"/>
          <w:bCs/>
        </w:rPr>
        <w:t xml:space="preserve">described a range of benefits of treatment with </w:t>
      </w:r>
      <w:r w:rsidR="00F17B06" w:rsidRPr="00521709">
        <w:rPr>
          <w:rFonts w:asciiTheme="minorHAnsi" w:hAnsiTheme="minorHAnsi"/>
        </w:rPr>
        <w:t>glecaprevir/pibrentasvir including</w:t>
      </w:r>
      <w:r w:rsidR="00F17B06" w:rsidRPr="00521709">
        <w:rPr>
          <w:rFonts w:asciiTheme="minorHAnsi" w:hAnsiTheme="minorHAnsi"/>
          <w:bCs/>
        </w:rPr>
        <w:t xml:space="preserve"> the addition of another pan-genotypic treatment choice for patients with HCV</w:t>
      </w:r>
      <w:r w:rsidR="00B33628" w:rsidRPr="00521709">
        <w:rPr>
          <w:rFonts w:asciiTheme="minorHAnsi" w:hAnsiTheme="minorHAnsi"/>
          <w:bCs/>
        </w:rPr>
        <w:t>;</w:t>
      </w:r>
      <w:r w:rsidR="00F17B06" w:rsidRPr="00521709">
        <w:rPr>
          <w:rFonts w:asciiTheme="minorHAnsi" w:hAnsiTheme="minorHAnsi"/>
          <w:bCs/>
        </w:rPr>
        <w:t xml:space="preserve"> and that it appears to be efficacious for people with severe chronic kidney disease and compensated cirrhosis. In particular it was noted that </w:t>
      </w:r>
      <w:r w:rsidR="00F17B06" w:rsidRPr="00521709">
        <w:rPr>
          <w:rFonts w:asciiTheme="minorHAnsi" w:hAnsiTheme="minorHAnsi"/>
        </w:rPr>
        <w:t xml:space="preserve">glecaprevir/pibrentasvir appears to be efficacious for patients who have received </w:t>
      </w:r>
      <w:r w:rsidR="00F17B06" w:rsidRPr="00521709">
        <w:rPr>
          <w:rFonts w:asciiTheme="minorHAnsi" w:hAnsiTheme="minorHAnsi"/>
          <w:bCs/>
        </w:rPr>
        <w:t xml:space="preserve">prior antiviral treatment experience – thus </w:t>
      </w:r>
      <w:r w:rsidR="00F17B06" w:rsidRPr="00521709">
        <w:rPr>
          <w:rFonts w:asciiTheme="minorHAnsi" w:hAnsiTheme="minorHAnsi"/>
        </w:rPr>
        <w:t xml:space="preserve">providing another treatment option for those patients who have previously been treated for HCV but not cured.  </w:t>
      </w:r>
      <w:r w:rsidR="00F17B06" w:rsidRPr="00521709">
        <w:rPr>
          <w:rFonts w:asciiTheme="minorHAnsi" w:hAnsiTheme="minorHAnsi"/>
          <w:bCs/>
        </w:rPr>
        <w:t>The PBAC noted that this input was supportive of the evidence provided in the submission</w:t>
      </w:r>
      <w:r w:rsidR="00F17B06" w:rsidRPr="00521709">
        <w:rPr>
          <w:rFonts w:asciiTheme="minorHAnsi" w:hAnsiTheme="minorHAnsi"/>
          <w:bCs/>
          <w:i/>
        </w:rPr>
        <w:t>.</w:t>
      </w:r>
    </w:p>
    <w:p w:rsidR="00D84934" w:rsidRPr="00521709" w:rsidRDefault="00D84934" w:rsidP="00937958">
      <w:pPr>
        <w:pStyle w:val="Heading2"/>
        <w:keepLines/>
        <w:spacing w:before="240" w:after="120"/>
        <w:rPr>
          <w:rFonts w:asciiTheme="minorHAnsi" w:eastAsiaTheme="majorEastAsia" w:hAnsiTheme="minorHAnsi" w:cstheme="majorBidi"/>
          <w:sz w:val="28"/>
          <w:szCs w:val="28"/>
          <w:lang w:eastAsia="en-US"/>
        </w:rPr>
      </w:pPr>
      <w:r w:rsidRPr="00521709">
        <w:rPr>
          <w:rFonts w:asciiTheme="minorHAnsi" w:eastAsiaTheme="majorEastAsia" w:hAnsiTheme="minorHAnsi" w:cstheme="majorBidi"/>
          <w:sz w:val="28"/>
          <w:szCs w:val="28"/>
          <w:lang w:eastAsia="en-US"/>
        </w:rPr>
        <w:t>Clinical trials</w:t>
      </w:r>
    </w:p>
    <w:p w:rsidR="00F86473" w:rsidRPr="00521709" w:rsidRDefault="00B65345" w:rsidP="00DE434F">
      <w:pPr>
        <w:pStyle w:val="ListParagraph"/>
        <w:widowControl/>
        <w:numPr>
          <w:ilvl w:val="1"/>
          <w:numId w:val="5"/>
        </w:numPr>
        <w:spacing w:after="120"/>
        <w:ind w:left="720"/>
        <w:contextualSpacing w:val="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No new data were presented in the minor submission. </w:t>
      </w:r>
      <w:r w:rsidR="009F4E46" w:rsidRPr="00521709">
        <w:rPr>
          <w:rFonts w:asciiTheme="minorHAnsi" w:eastAsiaTheme="minorHAnsi" w:hAnsiTheme="minorHAnsi" w:cstheme="minorBidi"/>
          <w:snapToGrid/>
          <w:sz w:val="24"/>
          <w:szCs w:val="22"/>
        </w:rPr>
        <w:t xml:space="preserve">The submission </w:t>
      </w:r>
      <w:r w:rsidR="005A0E70" w:rsidRPr="00521709">
        <w:rPr>
          <w:rFonts w:asciiTheme="minorHAnsi" w:eastAsiaTheme="minorHAnsi" w:hAnsiTheme="minorHAnsi" w:cstheme="minorBidi"/>
          <w:snapToGrid/>
          <w:sz w:val="24"/>
          <w:szCs w:val="22"/>
        </w:rPr>
        <w:t xml:space="preserve">referenced the </w:t>
      </w:r>
      <w:r w:rsidRPr="00521709">
        <w:rPr>
          <w:rFonts w:asciiTheme="minorHAnsi" w:eastAsiaTheme="minorHAnsi" w:hAnsiTheme="minorHAnsi" w:cstheme="minorBidi"/>
          <w:snapToGrid/>
          <w:sz w:val="24"/>
          <w:szCs w:val="22"/>
        </w:rPr>
        <w:t xml:space="preserve">MAGELLAN-1 </w:t>
      </w:r>
      <w:r w:rsidR="005A0E70" w:rsidRPr="00521709">
        <w:rPr>
          <w:rFonts w:asciiTheme="minorHAnsi" w:eastAsiaTheme="minorHAnsi" w:hAnsiTheme="minorHAnsi" w:cstheme="minorBidi"/>
          <w:snapToGrid/>
          <w:sz w:val="24"/>
          <w:szCs w:val="22"/>
        </w:rPr>
        <w:t xml:space="preserve">clinical trial presented in the major submission (see </w:t>
      </w:r>
      <w:r w:rsidR="00884E28" w:rsidRPr="00521709">
        <w:rPr>
          <w:rFonts w:asciiTheme="minorHAnsi" w:eastAsiaTheme="minorHAnsi" w:hAnsiTheme="minorHAnsi" w:cstheme="minorBidi"/>
          <w:snapToGrid/>
          <w:sz w:val="24"/>
          <w:szCs w:val="22"/>
        </w:rPr>
        <w:t>T</w:t>
      </w:r>
      <w:r w:rsidR="005A0E70" w:rsidRPr="00521709">
        <w:rPr>
          <w:rFonts w:asciiTheme="minorHAnsi" w:eastAsiaTheme="minorHAnsi" w:hAnsiTheme="minorHAnsi" w:cstheme="minorBidi"/>
          <w:snapToGrid/>
          <w:sz w:val="24"/>
          <w:szCs w:val="22"/>
        </w:rPr>
        <w:t>able</w:t>
      </w:r>
      <w:r w:rsidR="00884E28" w:rsidRPr="00521709">
        <w:rPr>
          <w:rFonts w:asciiTheme="minorHAnsi" w:eastAsiaTheme="minorHAnsi" w:hAnsiTheme="minorHAnsi" w:cstheme="minorBidi"/>
          <w:snapToGrid/>
          <w:sz w:val="24"/>
          <w:szCs w:val="22"/>
        </w:rPr>
        <w:t xml:space="preserve"> 2</w:t>
      </w:r>
      <w:r w:rsidR="005A0E70" w:rsidRPr="00521709">
        <w:rPr>
          <w:rFonts w:asciiTheme="minorHAnsi" w:eastAsiaTheme="minorHAnsi" w:hAnsiTheme="minorHAnsi" w:cstheme="minorBidi"/>
          <w:snapToGrid/>
          <w:sz w:val="24"/>
          <w:szCs w:val="22"/>
        </w:rPr>
        <w:t>)</w:t>
      </w:r>
      <w:r w:rsidR="009F4E46" w:rsidRPr="00521709">
        <w:rPr>
          <w:rFonts w:asciiTheme="minorHAnsi" w:eastAsiaTheme="minorHAnsi" w:hAnsiTheme="minorHAnsi" w:cstheme="minorBidi"/>
          <w:snapToGrid/>
          <w:sz w:val="24"/>
          <w:szCs w:val="22"/>
        </w:rPr>
        <w:t>:</w:t>
      </w:r>
    </w:p>
    <w:p w:rsidR="00376824" w:rsidRPr="00521709" w:rsidRDefault="00376824" w:rsidP="00376824">
      <w:pPr>
        <w:pStyle w:val="ListParagraph"/>
        <w:rPr>
          <w:rFonts w:ascii="Arial Narrow" w:hAnsi="Arial Narrow"/>
          <w:b/>
          <w:bCs/>
          <w:sz w:val="20"/>
          <w:szCs w:val="18"/>
        </w:rPr>
      </w:pPr>
    </w:p>
    <w:p w:rsidR="00621C60" w:rsidRPr="00521709" w:rsidRDefault="00621C60" w:rsidP="00621C60">
      <w:pPr>
        <w:pStyle w:val="Caption"/>
        <w:keepNext/>
      </w:pPr>
      <w:r w:rsidRPr="00521709">
        <w:t>Table 2</w:t>
      </w:r>
      <w:r w:rsidR="00884E28" w:rsidRPr="00521709">
        <w:t>:</w:t>
      </w:r>
      <w:r w:rsidRPr="00521709">
        <w:t xml:space="preserve"> Trials and associated reports presented in the re-submission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5760"/>
        <w:gridCol w:w="2240"/>
      </w:tblGrid>
      <w:tr w:rsidR="0076420C" w:rsidRPr="00521709" w:rsidTr="00D31150">
        <w:trPr>
          <w:cantSplit/>
          <w:trHeight w:val="539"/>
          <w:tblHeader/>
        </w:trPr>
        <w:tc>
          <w:tcPr>
            <w:tcW w:w="796" w:type="pct"/>
          </w:tcPr>
          <w:p w:rsidR="0076420C" w:rsidRPr="00521709" w:rsidRDefault="0076420C" w:rsidP="006670BE">
            <w:pPr>
              <w:pStyle w:val="NoSpacing"/>
              <w:spacing w:before="40" w:after="40"/>
              <w:jc w:val="left"/>
              <w:rPr>
                <w:rFonts w:ascii="Arial Narrow" w:hAnsi="Arial Narrow" w:cs="Arial"/>
                <w:b/>
                <w:sz w:val="20"/>
                <w:szCs w:val="20"/>
              </w:rPr>
            </w:pPr>
            <w:r w:rsidRPr="00521709">
              <w:rPr>
                <w:rFonts w:ascii="Arial Narrow" w:hAnsi="Arial Narrow" w:cs="Arial"/>
                <w:b/>
                <w:sz w:val="20"/>
                <w:szCs w:val="20"/>
              </w:rPr>
              <w:t>Trial ID</w:t>
            </w:r>
            <w:r w:rsidR="006670BE" w:rsidRPr="00521709">
              <w:rPr>
                <w:rFonts w:ascii="Arial Narrow" w:hAnsi="Arial Narrow" w:cs="Arial"/>
                <w:b/>
                <w:sz w:val="20"/>
                <w:szCs w:val="20"/>
              </w:rPr>
              <w:t>/First Author</w:t>
            </w:r>
          </w:p>
        </w:tc>
        <w:tc>
          <w:tcPr>
            <w:tcW w:w="3027" w:type="pct"/>
          </w:tcPr>
          <w:p w:rsidR="0076420C" w:rsidRPr="00521709" w:rsidRDefault="0076420C" w:rsidP="006670BE">
            <w:pPr>
              <w:keepNext/>
              <w:spacing w:before="40" w:after="40"/>
              <w:rPr>
                <w:rFonts w:ascii="Arial Narrow" w:hAnsi="Arial Narrow" w:cs="Arial"/>
                <w:b/>
                <w:sz w:val="20"/>
                <w:szCs w:val="20"/>
              </w:rPr>
            </w:pPr>
            <w:r w:rsidRPr="00521709">
              <w:rPr>
                <w:rFonts w:ascii="Arial Narrow" w:hAnsi="Arial Narrow" w:cs="Arial"/>
                <w:b/>
                <w:sz w:val="20"/>
                <w:szCs w:val="20"/>
              </w:rPr>
              <w:t>Protocol title/ Publication title</w:t>
            </w:r>
          </w:p>
        </w:tc>
        <w:tc>
          <w:tcPr>
            <w:tcW w:w="1177" w:type="pct"/>
          </w:tcPr>
          <w:p w:rsidR="0076420C" w:rsidRPr="00521709" w:rsidRDefault="0076420C" w:rsidP="006670BE">
            <w:pPr>
              <w:keepNext/>
              <w:spacing w:before="40" w:after="40"/>
              <w:rPr>
                <w:rFonts w:ascii="Arial Narrow" w:hAnsi="Arial Narrow" w:cs="Arial"/>
                <w:b/>
                <w:sz w:val="20"/>
                <w:szCs w:val="20"/>
              </w:rPr>
            </w:pPr>
            <w:r w:rsidRPr="00521709">
              <w:rPr>
                <w:rFonts w:ascii="Arial Narrow" w:hAnsi="Arial Narrow" w:cs="Arial"/>
                <w:b/>
                <w:sz w:val="20"/>
                <w:szCs w:val="20"/>
              </w:rPr>
              <w:t>Publication citation</w:t>
            </w:r>
          </w:p>
        </w:tc>
      </w:tr>
      <w:tr w:rsidR="0076420C" w:rsidRPr="00521709" w:rsidTr="00D31150">
        <w:trPr>
          <w:cantSplit/>
          <w:trHeight w:val="317"/>
        </w:trPr>
        <w:tc>
          <w:tcPr>
            <w:tcW w:w="5000" w:type="pct"/>
            <w:gridSpan w:val="3"/>
          </w:tcPr>
          <w:p w:rsidR="0076420C" w:rsidRPr="00521709" w:rsidRDefault="0076420C" w:rsidP="006670BE">
            <w:pPr>
              <w:pStyle w:val="NoSpacing"/>
              <w:spacing w:before="40" w:after="40"/>
              <w:rPr>
                <w:rFonts w:ascii="Arial Narrow" w:hAnsi="Arial Narrow" w:cs="Arial"/>
                <w:b/>
                <w:sz w:val="20"/>
                <w:szCs w:val="20"/>
              </w:rPr>
            </w:pPr>
            <w:r w:rsidRPr="00521709">
              <w:rPr>
                <w:rFonts w:ascii="Arial Narrow" w:hAnsi="Arial Narrow" w:cs="Arial"/>
                <w:b/>
                <w:sz w:val="20"/>
                <w:szCs w:val="20"/>
              </w:rPr>
              <w:t>Direct randomised trial</w:t>
            </w:r>
            <w:r w:rsidR="00B176C8" w:rsidRPr="00521709">
              <w:rPr>
                <w:rFonts w:ascii="Arial Narrow" w:hAnsi="Arial Narrow" w:cs="Arial"/>
                <w:b/>
                <w:sz w:val="20"/>
                <w:szCs w:val="20"/>
              </w:rPr>
              <w:t>(</w:t>
            </w:r>
            <w:r w:rsidRPr="00521709">
              <w:rPr>
                <w:rFonts w:ascii="Arial Narrow" w:hAnsi="Arial Narrow" w:cs="Arial"/>
                <w:b/>
                <w:sz w:val="20"/>
                <w:szCs w:val="20"/>
              </w:rPr>
              <w:t>s</w:t>
            </w:r>
            <w:r w:rsidR="00B176C8" w:rsidRPr="00521709">
              <w:rPr>
                <w:rFonts w:ascii="Arial Narrow" w:hAnsi="Arial Narrow" w:cs="Arial"/>
                <w:b/>
                <w:sz w:val="20"/>
                <w:szCs w:val="20"/>
              </w:rPr>
              <w:t>)</w:t>
            </w:r>
          </w:p>
        </w:tc>
      </w:tr>
      <w:tr w:rsidR="0076420C" w:rsidRPr="00521709" w:rsidTr="00D31150">
        <w:trPr>
          <w:cantSplit/>
          <w:trHeight w:val="317"/>
        </w:trPr>
        <w:tc>
          <w:tcPr>
            <w:tcW w:w="796" w:type="pct"/>
          </w:tcPr>
          <w:p w:rsidR="008954E7" w:rsidRPr="00521709" w:rsidRDefault="008954E7" w:rsidP="008954E7">
            <w:pPr>
              <w:rPr>
                <w:rFonts w:ascii="Arial Narrow" w:hAnsi="Arial Narrow" w:cs="Arial"/>
                <w:iCs/>
                <w:sz w:val="20"/>
                <w:szCs w:val="20"/>
                <w:lang w:eastAsia="en-US"/>
              </w:rPr>
            </w:pPr>
            <w:r w:rsidRPr="00521709">
              <w:rPr>
                <w:rFonts w:ascii="Arial Narrow" w:hAnsi="Arial Narrow" w:cs="Arial"/>
                <w:iCs/>
                <w:sz w:val="20"/>
                <w:szCs w:val="20"/>
                <w:lang w:eastAsia="en-US"/>
              </w:rPr>
              <w:t>MAGELLAN-1</w:t>
            </w:r>
          </w:p>
          <w:p w:rsidR="0076420C" w:rsidRPr="00521709" w:rsidRDefault="008954E7" w:rsidP="008954E7">
            <w:pPr>
              <w:pStyle w:val="NoSpacing"/>
              <w:rPr>
                <w:rFonts w:ascii="Arial Narrow" w:hAnsi="Arial Narrow" w:cs="Arial"/>
                <w:b/>
                <w:sz w:val="20"/>
                <w:szCs w:val="20"/>
              </w:rPr>
            </w:pPr>
            <w:r w:rsidRPr="00521709">
              <w:rPr>
                <w:rFonts w:ascii="Arial Narrow" w:hAnsi="Arial Narrow" w:cs="Arial"/>
                <w:iCs/>
                <w:snapToGrid w:val="0"/>
                <w:sz w:val="20"/>
                <w:szCs w:val="20"/>
                <w:lang w:eastAsia="en-US"/>
              </w:rPr>
              <w:t>(M15-410)</w:t>
            </w:r>
          </w:p>
        </w:tc>
        <w:tc>
          <w:tcPr>
            <w:tcW w:w="3027" w:type="pct"/>
          </w:tcPr>
          <w:p w:rsidR="008954E7" w:rsidRPr="00521709" w:rsidRDefault="008954E7" w:rsidP="008954E7">
            <w:pPr>
              <w:rPr>
                <w:rFonts w:ascii="Arial Narrow" w:hAnsi="Arial Narrow" w:cs="Arial"/>
                <w:sz w:val="20"/>
                <w:szCs w:val="20"/>
                <w:lang w:eastAsia="en-US"/>
              </w:rPr>
            </w:pPr>
            <w:r w:rsidRPr="00521709">
              <w:rPr>
                <w:rFonts w:ascii="Arial Narrow" w:hAnsi="Arial Narrow" w:cs="Arial"/>
                <w:sz w:val="20"/>
                <w:szCs w:val="20"/>
                <w:lang w:eastAsia="en-US"/>
              </w:rPr>
              <w:t>Internal study report:</w:t>
            </w:r>
          </w:p>
          <w:p w:rsidR="0076420C" w:rsidRPr="00521709" w:rsidRDefault="008954E7" w:rsidP="008954E7">
            <w:pPr>
              <w:keepNext/>
              <w:rPr>
                <w:rFonts w:ascii="Arial Narrow" w:hAnsi="Arial Narrow" w:cs="Arial"/>
                <w:b/>
                <w:sz w:val="20"/>
                <w:szCs w:val="20"/>
              </w:rPr>
            </w:pPr>
            <w:r w:rsidRPr="00521709">
              <w:rPr>
                <w:rFonts w:ascii="Arial Narrow" w:hAnsi="Arial Narrow" w:cs="Arial"/>
                <w:snapToGrid w:val="0"/>
                <w:sz w:val="20"/>
                <w:szCs w:val="20"/>
                <w:lang w:eastAsia="en-US"/>
              </w:rPr>
              <w:t>Trial report M15-410. A Randomised, Open-Label, Multicenter Study to Evaluate the Efficacy, Safety, and Pharmacokinetics of Co-Administration of ABT-493 and ABT-530 (or ABT-493/ABT-530) With and Without Ribavirin in Adults With Chronic Hepatitis C Virus (HCV) Infection Who Failed a Prior Direct-Acting Antiviral Agent (DAA)-Containing Therapy</w:t>
            </w:r>
          </w:p>
        </w:tc>
        <w:tc>
          <w:tcPr>
            <w:tcW w:w="1177" w:type="pct"/>
          </w:tcPr>
          <w:p w:rsidR="0076420C" w:rsidRPr="00521709" w:rsidRDefault="008954E7" w:rsidP="0062748A">
            <w:pPr>
              <w:keepNext/>
              <w:rPr>
                <w:rFonts w:ascii="Arial Narrow" w:hAnsi="Arial Narrow" w:cs="Arial"/>
                <w:sz w:val="20"/>
                <w:szCs w:val="20"/>
              </w:rPr>
            </w:pPr>
            <w:r w:rsidRPr="00521709">
              <w:rPr>
                <w:rFonts w:ascii="Arial Narrow" w:hAnsi="Arial Narrow" w:cs="Arial"/>
                <w:sz w:val="20"/>
                <w:szCs w:val="20"/>
              </w:rPr>
              <w:t>Date of report: 30/11/2016</w:t>
            </w:r>
          </w:p>
        </w:tc>
      </w:tr>
    </w:tbl>
    <w:p w:rsidR="0076420C" w:rsidRPr="00521709" w:rsidRDefault="0076420C" w:rsidP="004A71D1">
      <w:pPr>
        <w:pStyle w:val="tablenotes"/>
        <w:spacing w:after="120"/>
        <w:rPr>
          <w:rFonts w:ascii="Arial Narrow" w:hAnsi="Arial Narrow"/>
          <w:sz w:val="18"/>
          <w:szCs w:val="18"/>
        </w:rPr>
      </w:pPr>
      <w:r w:rsidRPr="00521709">
        <w:rPr>
          <w:rFonts w:ascii="Arial Narrow" w:hAnsi="Arial Narrow"/>
          <w:sz w:val="18"/>
          <w:szCs w:val="18"/>
        </w:rPr>
        <w:t xml:space="preserve">Source: </w:t>
      </w:r>
      <w:r w:rsidR="001C06CF">
        <w:rPr>
          <w:rFonts w:ascii="Arial Narrow" w:hAnsi="Arial Narrow"/>
          <w:sz w:val="18"/>
          <w:szCs w:val="18"/>
        </w:rPr>
        <w:t>Public Summary Document</w:t>
      </w:r>
      <w:r w:rsidR="003E4597" w:rsidRPr="00521709">
        <w:rPr>
          <w:rFonts w:ascii="Arial Narrow" w:hAnsi="Arial Narrow"/>
          <w:sz w:val="18"/>
          <w:szCs w:val="18"/>
        </w:rPr>
        <w:t xml:space="preserve"> – July 2017 PBAC</w:t>
      </w:r>
    </w:p>
    <w:p w:rsidR="0076420C" w:rsidRPr="00521709" w:rsidRDefault="0076420C" w:rsidP="0076420C">
      <w:pPr>
        <w:pStyle w:val="ListParagraph"/>
        <w:ind w:left="709"/>
        <w:rPr>
          <w:rFonts w:asciiTheme="minorHAnsi" w:hAnsiTheme="minorHAnsi"/>
          <w:szCs w:val="22"/>
        </w:rPr>
      </w:pPr>
    </w:p>
    <w:p w:rsidR="00A43EA9" w:rsidRPr="00521709" w:rsidRDefault="003E4597" w:rsidP="00DE434F">
      <w:pPr>
        <w:pStyle w:val="ListParagraph"/>
        <w:widowControl/>
        <w:numPr>
          <w:ilvl w:val="1"/>
          <w:numId w:val="5"/>
        </w:numPr>
        <w:spacing w:after="120"/>
        <w:ind w:left="720"/>
        <w:contextualSpacing w:val="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The </w:t>
      </w:r>
      <w:r w:rsidR="005A0E70" w:rsidRPr="00521709">
        <w:rPr>
          <w:rFonts w:asciiTheme="minorHAnsi" w:eastAsiaTheme="minorHAnsi" w:hAnsiTheme="minorHAnsi" w:cstheme="minorBidi"/>
          <w:snapToGrid/>
          <w:sz w:val="24"/>
          <w:szCs w:val="22"/>
        </w:rPr>
        <w:t xml:space="preserve">current </w:t>
      </w:r>
      <w:r w:rsidRPr="00521709">
        <w:rPr>
          <w:rFonts w:asciiTheme="minorHAnsi" w:eastAsiaTheme="minorHAnsi" w:hAnsiTheme="minorHAnsi" w:cstheme="minorBidi"/>
          <w:snapToGrid/>
          <w:sz w:val="24"/>
          <w:szCs w:val="22"/>
        </w:rPr>
        <w:t xml:space="preserve">submission </w:t>
      </w:r>
      <w:r w:rsidR="005A0E70" w:rsidRPr="00521709">
        <w:rPr>
          <w:rFonts w:asciiTheme="minorHAnsi" w:eastAsiaTheme="minorHAnsi" w:hAnsiTheme="minorHAnsi" w:cstheme="minorBidi"/>
          <w:snapToGrid/>
          <w:sz w:val="24"/>
          <w:szCs w:val="22"/>
        </w:rPr>
        <w:t>referenced</w:t>
      </w:r>
      <w:r w:rsidRPr="00521709">
        <w:rPr>
          <w:rFonts w:asciiTheme="minorHAnsi" w:eastAsiaTheme="minorHAnsi" w:hAnsiTheme="minorHAnsi" w:cstheme="minorBidi"/>
          <w:snapToGrid/>
          <w:sz w:val="24"/>
          <w:szCs w:val="22"/>
        </w:rPr>
        <w:t xml:space="preserve"> data from Arm E of the MAGELLAN study presented in the July 2017 major submission </w:t>
      </w:r>
      <w:r w:rsidR="00A53CE6" w:rsidRPr="00521709">
        <w:rPr>
          <w:rFonts w:asciiTheme="minorHAnsi" w:eastAsiaTheme="minorHAnsi" w:hAnsiTheme="minorHAnsi" w:cstheme="minorBidi"/>
          <w:snapToGrid/>
          <w:sz w:val="24"/>
          <w:szCs w:val="22"/>
        </w:rPr>
        <w:t>t</w:t>
      </w:r>
      <w:r w:rsidRPr="00521709">
        <w:rPr>
          <w:rFonts w:asciiTheme="minorHAnsi" w:eastAsiaTheme="minorHAnsi" w:hAnsiTheme="minorHAnsi" w:cstheme="minorBidi"/>
          <w:snapToGrid/>
          <w:sz w:val="24"/>
          <w:szCs w:val="22"/>
        </w:rPr>
        <w:t>o support of the efficacy of glecaprevir with pibrentasvir in NS5A experienced patients</w:t>
      </w:r>
      <w:r w:rsidR="005A0E70" w:rsidRPr="00521709">
        <w:rPr>
          <w:rFonts w:asciiTheme="minorHAnsi" w:eastAsiaTheme="minorHAnsi" w:hAnsiTheme="minorHAnsi" w:cstheme="minorBidi"/>
          <w:snapToGrid/>
          <w:sz w:val="24"/>
          <w:szCs w:val="22"/>
        </w:rPr>
        <w:t xml:space="preserve"> (see </w:t>
      </w:r>
      <w:r w:rsidR="00884E28" w:rsidRPr="00521709">
        <w:rPr>
          <w:rFonts w:asciiTheme="minorHAnsi" w:eastAsiaTheme="minorHAnsi" w:hAnsiTheme="minorHAnsi" w:cstheme="minorBidi"/>
          <w:snapToGrid/>
          <w:sz w:val="24"/>
          <w:szCs w:val="22"/>
        </w:rPr>
        <w:t>T</w:t>
      </w:r>
      <w:r w:rsidR="005A0E70" w:rsidRPr="00521709">
        <w:rPr>
          <w:rFonts w:asciiTheme="minorHAnsi" w:eastAsiaTheme="minorHAnsi" w:hAnsiTheme="minorHAnsi" w:cstheme="minorBidi"/>
          <w:snapToGrid/>
          <w:sz w:val="24"/>
          <w:szCs w:val="22"/>
        </w:rPr>
        <w:t>able</w:t>
      </w:r>
      <w:r w:rsidR="00884E28" w:rsidRPr="00521709">
        <w:rPr>
          <w:rFonts w:asciiTheme="minorHAnsi" w:eastAsiaTheme="minorHAnsi" w:hAnsiTheme="minorHAnsi" w:cstheme="minorBidi"/>
          <w:snapToGrid/>
          <w:sz w:val="24"/>
          <w:szCs w:val="22"/>
        </w:rPr>
        <w:t xml:space="preserve"> 3</w:t>
      </w:r>
      <w:r w:rsidR="005A0E70" w:rsidRPr="00521709">
        <w:rPr>
          <w:rFonts w:asciiTheme="minorHAnsi" w:eastAsiaTheme="minorHAnsi" w:hAnsiTheme="minorHAnsi" w:cstheme="minorBidi"/>
          <w:snapToGrid/>
          <w:sz w:val="24"/>
          <w:szCs w:val="22"/>
        </w:rPr>
        <w:t>):</w:t>
      </w:r>
    </w:p>
    <w:p w:rsidR="00764E17" w:rsidRPr="00764E17" w:rsidRDefault="00764E17" w:rsidP="00764E17">
      <w:pPr>
        <w:rPr>
          <w:lang w:eastAsia="en-US"/>
        </w:rPr>
      </w:pPr>
    </w:p>
    <w:p w:rsidR="00A43EA9" w:rsidRPr="00521709" w:rsidRDefault="00A43EA9" w:rsidP="00A43EA9">
      <w:pPr>
        <w:pStyle w:val="Caption"/>
        <w:keepNext/>
      </w:pPr>
      <w:r w:rsidRPr="00521709">
        <w:t xml:space="preserve">Table </w:t>
      </w:r>
      <w:r w:rsidR="00621C60" w:rsidRPr="00521709">
        <w:t>3</w:t>
      </w:r>
      <w:r w:rsidR="0005172B" w:rsidRPr="00521709">
        <w:t>:</w:t>
      </w:r>
      <w:r w:rsidRPr="00521709">
        <w:t xml:space="preserve"> Key features of the included evidence</w:t>
      </w:r>
    </w:p>
    <w:tbl>
      <w:tblPr>
        <w:tblW w:w="91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425"/>
        <w:gridCol w:w="1225"/>
        <w:gridCol w:w="854"/>
        <w:gridCol w:w="994"/>
        <w:gridCol w:w="1245"/>
        <w:gridCol w:w="1069"/>
        <w:gridCol w:w="1276"/>
        <w:gridCol w:w="784"/>
      </w:tblGrid>
      <w:tr w:rsidR="00A53CE6" w:rsidRPr="00521709" w:rsidTr="0005172B">
        <w:trPr>
          <w:cantSplit/>
          <w:trHeight w:val="191"/>
          <w:tblHeader/>
        </w:trPr>
        <w:tc>
          <w:tcPr>
            <w:tcW w:w="1276" w:type="dxa"/>
            <w:vMerge w:val="restart"/>
            <w:shd w:val="clear" w:color="auto" w:fill="auto"/>
            <w:vAlign w:val="center"/>
          </w:tcPr>
          <w:p w:rsidR="00A53CE6" w:rsidRPr="00521709" w:rsidRDefault="00A53CE6" w:rsidP="00A53CE6">
            <w:pPr>
              <w:keepLines/>
              <w:widowControl w:val="0"/>
              <w:jc w:val="both"/>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Trial</w:t>
            </w:r>
          </w:p>
        </w:tc>
        <w:tc>
          <w:tcPr>
            <w:tcW w:w="425" w:type="dxa"/>
            <w:vMerge w:val="restart"/>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N</w:t>
            </w:r>
          </w:p>
        </w:tc>
        <w:tc>
          <w:tcPr>
            <w:tcW w:w="1225" w:type="dxa"/>
            <w:vMerge w:val="restart"/>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Design/ duration</w:t>
            </w:r>
          </w:p>
        </w:tc>
        <w:tc>
          <w:tcPr>
            <w:tcW w:w="854" w:type="dxa"/>
            <w:vMerge w:val="restart"/>
            <w:shd w:val="clear" w:color="auto" w:fill="auto"/>
            <w:vAlign w:val="center"/>
          </w:tcPr>
          <w:p w:rsidR="00A53CE6" w:rsidRPr="00521709" w:rsidRDefault="00A53CE6" w:rsidP="00A53CE6">
            <w:pPr>
              <w:keepLines/>
              <w:widowControl w:val="0"/>
              <w:jc w:val="center"/>
              <w:rPr>
                <w:rFonts w:ascii="Arial Narrow" w:hAnsi="Arial Narrow" w:cs="Arial"/>
                <w:b/>
                <w:iCs/>
                <w:snapToGrid w:val="0"/>
                <w:sz w:val="20"/>
                <w:szCs w:val="20"/>
                <w:lang w:eastAsia="en-US"/>
              </w:rPr>
            </w:pPr>
            <w:r w:rsidRPr="00521709">
              <w:rPr>
                <w:rFonts w:ascii="Arial Narrow" w:hAnsi="Arial Narrow" w:cs="Arial"/>
                <w:b/>
                <w:iCs/>
                <w:snapToGrid w:val="0"/>
                <w:sz w:val="20"/>
                <w:szCs w:val="20"/>
                <w:lang w:eastAsia="en-US"/>
              </w:rPr>
              <w:t>Risk of bias</w:t>
            </w:r>
          </w:p>
        </w:tc>
        <w:tc>
          <w:tcPr>
            <w:tcW w:w="3308" w:type="dxa"/>
            <w:gridSpan w:val="3"/>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Patient population</w:t>
            </w:r>
          </w:p>
        </w:tc>
        <w:tc>
          <w:tcPr>
            <w:tcW w:w="1276" w:type="dxa"/>
            <w:vMerge w:val="restart"/>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Intervention</w:t>
            </w:r>
          </w:p>
        </w:tc>
        <w:tc>
          <w:tcPr>
            <w:tcW w:w="784" w:type="dxa"/>
            <w:vMerge w:val="restart"/>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Key outcome</w:t>
            </w:r>
          </w:p>
        </w:tc>
      </w:tr>
      <w:tr w:rsidR="00A53CE6" w:rsidRPr="00521709" w:rsidTr="0005172B">
        <w:trPr>
          <w:cantSplit/>
          <w:tblHeader/>
        </w:trPr>
        <w:tc>
          <w:tcPr>
            <w:tcW w:w="1276" w:type="dxa"/>
            <w:vMerge/>
            <w:shd w:val="clear" w:color="auto" w:fill="auto"/>
            <w:vAlign w:val="center"/>
          </w:tcPr>
          <w:p w:rsidR="00A53CE6" w:rsidRPr="00521709" w:rsidRDefault="00A53CE6" w:rsidP="00A53CE6">
            <w:pPr>
              <w:keepLines/>
              <w:widowControl w:val="0"/>
              <w:jc w:val="both"/>
              <w:rPr>
                <w:rFonts w:ascii="Arial Narrow" w:hAnsi="Arial Narrow" w:cs="Arial"/>
                <w:bCs/>
                <w:snapToGrid w:val="0"/>
                <w:sz w:val="20"/>
                <w:szCs w:val="20"/>
                <w:lang w:eastAsia="en-US"/>
              </w:rPr>
            </w:pPr>
          </w:p>
        </w:tc>
        <w:tc>
          <w:tcPr>
            <w:tcW w:w="425" w:type="dxa"/>
            <w:vMerge/>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p>
        </w:tc>
        <w:tc>
          <w:tcPr>
            <w:tcW w:w="1225" w:type="dxa"/>
            <w:vMerge/>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p>
        </w:tc>
        <w:tc>
          <w:tcPr>
            <w:tcW w:w="854" w:type="dxa"/>
            <w:vMerge/>
            <w:shd w:val="clear" w:color="auto" w:fill="auto"/>
            <w:vAlign w:val="center"/>
          </w:tcPr>
          <w:p w:rsidR="00A53CE6" w:rsidRPr="00521709" w:rsidRDefault="00A53CE6" w:rsidP="00A53CE6">
            <w:pPr>
              <w:keepLines/>
              <w:widowControl w:val="0"/>
              <w:jc w:val="center"/>
              <w:rPr>
                <w:rFonts w:ascii="Arial Narrow" w:hAnsi="Arial Narrow" w:cs="Arial"/>
                <w:bCs/>
                <w:iCs/>
                <w:snapToGrid w:val="0"/>
                <w:sz w:val="20"/>
                <w:szCs w:val="20"/>
                <w:lang w:eastAsia="en-US"/>
              </w:rPr>
            </w:pPr>
          </w:p>
        </w:tc>
        <w:tc>
          <w:tcPr>
            <w:tcW w:w="994" w:type="dxa"/>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HCV Gt</w:t>
            </w:r>
          </w:p>
        </w:tc>
        <w:tc>
          <w:tcPr>
            <w:tcW w:w="1245" w:type="dxa"/>
            <w:shd w:val="clear" w:color="auto" w:fill="auto"/>
            <w:vAlign w:val="center"/>
          </w:tcPr>
          <w:p w:rsidR="00A53CE6" w:rsidRPr="00521709" w:rsidRDefault="00A53CE6" w:rsidP="00A53CE6">
            <w:pPr>
              <w:keepLines/>
              <w:widowControl w:val="0"/>
              <w:jc w:val="center"/>
              <w:rPr>
                <w:rFonts w:ascii="Arial Narrow" w:hAnsi="Arial Narrow" w:cs="Arial"/>
                <w:bCs/>
                <w:iCs/>
                <w:snapToGrid w:val="0"/>
                <w:sz w:val="20"/>
                <w:szCs w:val="20"/>
                <w:lang w:eastAsia="en-US"/>
              </w:rPr>
            </w:pPr>
            <w:r w:rsidRPr="00521709">
              <w:rPr>
                <w:rFonts w:ascii="Arial Narrow" w:hAnsi="Arial Narrow" w:cs="Arial"/>
                <w:b/>
                <w:iCs/>
                <w:snapToGrid w:val="0"/>
                <w:sz w:val="20"/>
                <w:szCs w:val="16"/>
                <w:lang w:eastAsia="en-US"/>
              </w:rPr>
              <w:t>Cirrhosis</w:t>
            </w:r>
          </w:p>
        </w:tc>
        <w:tc>
          <w:tcPr>
            <w:tcW w:w="1069" w:type="dxa"/>
            <w:shd w:val="clear" w:color="auto" w:fill="auto"/>
            <w:vAlign w:val="center"/>
          </w:tcPr>
          <w:p w:rsidR="00A53CE6" w:rsidRPr="00521709" w:rsidRDefault="00A53CE6" w:rsidP="00A53CE6">
            <w:pPr>
              <w:keepLines/>
              <w:widowControl w:val="0"/>
              <w:jc w:val="center"/>
              <w:rPr>
                <w:rFonts w:ascii="Arial Narrow" w:hAnsi="Arial Narrow" w:cs="Arial"/>
                <w:b/>
                <w:snapToGrid w:val="0"/>
                <w:sz w:val="20"/>
                <w:szCs w:val="20"/>
                <w:lang w:eastAsia="en-US"/>
              </w:rPr>
            </w:pPr>
            <w:r w:rsidRPr="00521709">
              <w:rPr>
                <w:rFonts w:ascii="Arial Narrow" w:hAnsi="Arial Narrow" w:cs="Arial"/>
                <w:b/>
                <w:snapToGrid w:val="0"/>
                <w:sz w:val="20"/>
                <w:szCs w:val="20"/>
                <w:lang w:eastAsia="en-US"/>
              </w:rPr>
              <w:t>Tx history</w:t>
            </w:r>
          </w:p>
        </w:tc>
        <w:tc>
          <w:tcPr>
            <w:tcW w:w="1276" w:type="dxa"/>
            <w:vMerge/>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p>
        </w:tc>
        <w:tc>
          <w:tcPr>
            <w:tcW w:w="784" w:type="dxa"/>
            <w:vMerge/>
            <w:vAlign w:val="center"/>
          </w:tcPr>
          <w:p w:rsidR="00A53CE6" w:rsidRPr="00521709" w:rsidRDefault="00A53CE6" w:rsidP="00A53CE6">
            <w:pPr>
              <w:keepLines/>
              <w:widowControl w:val="0"/>
              <w:jc w:val="center"/>
              <w:rPr>
                <w:rFonts w:ascii="Arial Narrow" w:hAnsi="Arial Narrow" w:cs="Arial"/>
                <w:snapToGrid w:val="0"/>
                <w:sz w:val="20"/>
                <w:szCs w:val="20"/>
                <w:lang w:eastAsia="en-US"/>
              </w:rPr>
            </w:pPr>
          </w:p>
        </w:tc>
      </w:tr>
      <w:tr w:rsidR="00A53CE6" w:rsidRPr="00521709" w:rsidTr="0005172B">
        <w:trPr>
          <w:cantSplit/>
        </w:trPr>
        <w:tc>
          <w:tcPr>
            <w:tcW w:w="9148" w:type="dxa"/>
            <w:gridSpan w:val="9"/>
            <w:shd w:val="clear" w:color="auto" w:fill="auto"/>
            <w:vAlign w:val="center"/>
          </w:tcPr>
          <w:p w:rsidR="00A53CE6" w:rsidRPr="00521709" w:rsidRDefault="00A53CE6" w:rsidP="00A53CE6">
            <w:pPr>
              <w:keepLines/>
              <w:widowControl w:val="0"/>
              <w:jc w:val="both"/>
              <w:rPr>
                <w:rFonts w:ascii="Arial Narrow" w:hAnsi="Arial Narrow" w:cs="Arial"/>
                <w:snapToGrid w:val="0"/>
                <w:sz w:val="20"/>
                <w:szCs w:val="20"/>
                <w:lang w:eastAsia="en-US"/>
              </w:rPr>
            </w:pPr>
            <w:r w:rsidRPr="00521709">
              <w:rPr>
                <w:rFonts w:ascii="Arial Narrow" w:hAnsi="Arial Narrow" w:cs="Arial"/>
                <w:b/>
                <w:snapToGrid w:val="0"/>
                <w:sz w:val="20"/>
                <w:szCs w:val="20"/>
                <w:lang w:eastAsia="en-US"/>
              </w:rPr>
              <w:t>Studies for glecaprevir/pibrentasvir</w:t>
            </w:r>
          </w:p>
        </w:tc>
      </w:tr>
      <w:tr w:rsidR="00A53CE6" w:rsidRPr="00521709" w:rsidTr="0005172B">
        <w:trPr>
          <w:cantSplit/>
        </w:trPr>
        <w:tc>
          <w:tcPr>
            <w:tcW w:w="1276" w:type="dxa"/>
            <w:shd w:val="clear" w:color="auto" w:fill="auto"/>
            <w:vAlign w:val="center"/>
          </w:tcPr>
          <w:p w:rsidR="00A53CE6" w:rsidRPr="00521709" w:rsidRDefault="00A53CE6" w:rsidP="00A53CE6">
            <w:pPr>
              <w:keepLines/>
              <w:widowControl w:val="0"/>
              <w:jc w:val="both"/>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MAGELLAN-I</w:t>
            </w:r>
          </w:p>
        </w:tc>
        <w:tc>
          <w:tcPr>
            <w:tcW w:w="425"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47</w:t>
            </w:r>
          </w:p>
        </w:tc>
        <w:tc>
          <w:tcPr>
            <w:tcW w:w="1225"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R, OL, MC</w:t>
            </w:r>
            <w:r w:rsidRPr="00521709">
              <w:rPr>
                <w:rFonts w:ascii="Arial Narrow" w:hAnsi="Arial Narrow" w:cs="Arial"/>
                <w:bCs/>
                <w:snapToGrid w:val="0"/>
                <w:sz w:val="20"/>
                <w:szCs w:val="20"/>
                <w:lang w:eastAsia="en-US"/>
              </w:rPr>
              <w:br/>
              <w:t>24 weeks</w:t>
            </w:r>
          </w:p>
        </w:tc>
        <w:tc>
          <w:tcPr>
            <w:tcW w:w="854" w:type="dxa"/>
            <w:shd w:val="clear" w:color="auto" w:fill="auto"/>
            <w:vAlign w:val="center"/>
          </w:tcPr>
          <w:p w:rsidR="00A53CE6" w:rsidRPr="00521709" w:rsidRDefault="00A53CE6" w:rsidP="00A53CE6">
            <w:pPr>
              <w:keepLines/>
              <w:widowControl w:val="0"/>
              <w:jc w:val="center"/>
              <w:rPr>
                <w:rFonts w:ascii="Arial Narrow" w:hAnsi="Arial Narrow" w:cs="Arial"/>
                <w:bCs/>
                <w:iCs/>
                <w:snapToGrid w:val="0"/>
                <w:sz w:val="20"/>
                <w:szCs w:val="20"/>
                <w:lang w:eastAsia="en-US"/>
              </w:rPr>
            </w:pPr>
            <w:r w:rsidRPr="00521709">
              <w:rPr>
                <w:rFonts w:ascii="Arial Narrow" w:hAnsi="Arial Narrow" w:cs="Arial"/>
                <w:bCs/>
                <w:iCs/>
                <w:snapToGrid w:val="0"/>
                <w:sz w:val="20"/>
                <w:szCs w:val="20"/>
                <w:lang w:eastAsia="en-US"/>
              </w:rPr>
              <w:t>Low</w:t>
            </w:r>
          </w:p>
        </w:tc>
        <w:tc>
          <w:tcPr>
            <w:tcW w:w="994"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1,4</w:t>
            </w:r>
            <w:r w:rsidRPr="00521709">
              <w:rPr>
                <w:rFonts w:ascii="Arial Narrow" w:hAnsi="Arial Narrow" w:cs="Arial"/>
                <w:bCs/>
                <w:snapToGrid w:val="0"/>
                <w:sz w:val="20"/>
                <w:szCs w:val="20"/>
                <w:vertAlign w:val="superscript"/>
                <w:lang w:eastAsia="en-US"/>
              </w:rPr>
              <w:t>a</w:t>
            </w:r>
          </w:p>
        </w:tc>
        <w:tc>
          <w:tcPr>
            <w:tcW w:w="1245"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Non-cirrhotic &amp; compensated cirrhosis</w:t>
            </w:r>
          </w:p>
        </w:tc>
        <w:tc>
          <w:tcPr>
            <w:tcW w:w="1069"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Tx experienced (who failed a prior DAA)</w:t>
            </w:r>
          </w:p>
        </w:tc>
        <w:tc>
          <w:tcPr>
            <w:tcW w:w="1276" w:type="dxa"/>
            <w:shd w:val="clear" w:color="auto" w:fill="auto"/>
            <w:vAlign w:val="center"/>
          </w:tcPr>
          <w:p w:rsidR="00A53CE6" w:rsidRPr="00521709" w:rsidRDefault="00A53CE6" w:rsidP="00A53CE6">
            <w:pPr>
              <w:keepLines/>
              <w:widowControl w:val="0"/>
              <w:jc w:val="center"/>
              <w:rPr>
                <w:rFonts w:ascii="Arial Narrow" w:hAnsi="Arial Narrow" w:cs="Arial"/>
                <w:bCs/>
                <w:snapToGrid w:val="0"/>
                <w:sz w:val="20"/>
                <w:szCs w:val="20"/>
                <w:lang w:eastAsia="en-US"/>
              </w:rPr>
            </w:pPr>
            <w:r w:rsidRPr="00521709">
              <w:rPr>
                <w:rFonts w:ascii="Arial Narrow" w:hAnsi="Arial Narrow" w:cs="Arial"/>
                <w:bCs/>
                <w:snapToGrid w:val="0"/>
                <w:sz w:val="20"/>
                <w:szCs w:val="20"/>
                <w:lang w:eastAsia="en-US"/>
              </w:rPr>
              <w:t>GLE/PIB16</w:t>
            </w:r>
          </w:p>
        </w:tc>
        <w:tc>
          <w:tcPr>
            <w:tcW w:w="784" w:type="dxa"/>
            <w:vAlign w:val="center"/>
          </w:tcPr>
          <w:p w:rsidR="00A53CE6" w:rsidRPr="00521709" w:rsidRDefault="00A53CE6" w:rsidP="00A53CE6">
            <w:pPr>
              <w:keepLines/>
              <w:widowControl w:val="0"/>
              <w:jc w:val="center"/>
              <w:rPr>
                <w:rFonts w:ascii="Arial Narrow" w:hAnsi="Arial Narrow" w:cs="Arial"/>
                <w:snapToGrid w:val="0"/>
                <w:sz w:val="20"/>
                <w:szCs w:val="20"/>
                <w:lang w:eastAsia="en-US"/>
              </w:rPr>
            </w:pPr>
            <w:r w:rsidRPr="00521709">
              <w:rPr>
                <w:rFonts w:ascii="Arial Narrow" w:hAnsi="Arial Narrow" w:cs="Arial"/>
                <w:snapToGrid w:val="0"/>
                <w:sz w:val="20"/>
                <w:szCs w:val="20"/>
                <w:lang w:eastAsia="en-US"/>
              </w:rPr>
              <w:t>SVR12</w:t>
            </w:r>
          </w:p>
        </w:tc>
      </w:tr>
    </w:tbl>
    <w:p w:rsidR="005A0E70" w:rsidRPr="00521709" w:rsidRDefault="005A0E70" w:rsidP="00A53CE6">
      <w:pPr>
        <w:pStyle w:val="TableFooter"/>
        <w:ind w:left="-112"/>
      </w:pPr>
      <w:r w:rsidRPr="00521709">
        <w:t>Gt = genotype; MC = multi-centre; OL = open-label; R = randomised; Tx = treatment;</w:t>
      </w:r>
    </w:p>
    <w:p w:rsidR="00062724" w:rsidRPr="00521709" w:rsidRDefault="00062724" w:rsidP="00A53CE6">
      <w:pPr>
        <w:pStyle w:val="TableFooter"/>
        <w:ind w:left="-112"/>
      </w:pPr>
      <w:r w:rsidRPr="00521709">
        <w:t>SVR12 = sustained virological response at 12 weeks following the completion of treatment</w:t>
      </w:r>
    </w:p>
    <w:p w:rsidR="00A53CE6" w:rsidRPr="00521709" w:rsidRDefault="00A53CE6" w:rsidP="00A53CE6">
      <w:pPr>
        <w:pStyle w:val="TableFooter"/>
        <w:ind w:left="-112"/>
        <w:rPr>
          <w:rFonts w:asciiTheme="minorHAnsi" w:hAnsiTheme="minorHAnsi"/>
          <w:sz w:val="24"/>
          <w:szCs w:val="24"/>
        </w:rPr>
      </w:pPr>
      <w:r w:rsidRPr="00521709">
        <w:t xml:space="preserve">Source: </w:t>
      </w:r>
      <w:r w:rsidR="001C06CF">
        <w:rPr>
          <w:szCs w:val="18"/>
        </w:rPr>
        <w:t>Public Summary Document</w:t>
      </w:r>
      <w:r w:rsidR="001C06CF" w:rsidRPr="00521709">
        <w:rPr>
          <w:szCs w:val="18"/>
        </w:rPr>
        <w:t xml:space="preserve"> </w:t>
      </w:r>
      <w:r w:rsidRPr="00521709">
        <w:rPr>
          <w:szCs w:val="18"/>
        </w:rPr>
        <w:t>– July 2017 PBAC</w:t>
      </w:r>
    </w:p>
    <w:p w:rsidR="003E4597" w:rsidRPr="00521709" w:rsidRDefault="003E4597" w:rsidP="003E4597">
      <w:pPr>
        <w:pStyle w:val="ListParagraph"/>
        <w:widowControl/>
        <w:spacing w:before="120" w:after="160"/>
        <w:rPr>
          <w:rFonts w:asciiTheme="minorHAnsi" w:hAnsiTheme="minorHAnsi"/>
          <w:sz w:val="24"/>
          <w:szCs w:val="24"/>
        </w:rPr>
      </w:pPr>
    </w:p>
    <w:p w:rsidR="005128F5" w:rsidRPr="00521709" w:rsidRDefault="005A0E70" w:rsidP="009B1564">
      <w:pPr>
        <w:pStyle w:val="ListParagraph"/>
        <w:numPr>
          <w:ilvl w:val="1"/>
          <w:numId w:val="5"/>
        </w:numPr>
        <w:ind w:left="720"/>
        <w:rPr>
          <w:rFonts w:asciiTheme="minorHAnsi" w:hAnsiTheme="minorHAnsi"/>
        </w:rPr>
      </w:pPr>
      <w:r w:rsidRPr="00521709">
        <w:rPr>
          <w:rFonts w:asciiTheme="minorHAnsi" w:hAnsiTheme="minorHAnsi"/>
          <w:sz w:val="24"/>
          <w:szCs w:val="24"/>
        </w:rPr>
        <w:t xml:space="preserve">The MAGELLAN study recruited GT1 and GT4 DAA experienced patients. </w:t>
      </w:r>
      <w:r w:rsidR="00BF6E46" w:rsidRPr="00521709">
        <w:rPr>
          <w:rFonts w:asciiTheme="minorHAnsi" w:hAnsiTheme="minorHAnsi"/>
          <w:sz w:val="24"/>
          <w:szCs w:val="24"/>
        </w:rPr>
        <w:t xml:space="preserve">The SVR12 rate for Arm E of MAGELLAN-1 was 91.5% [95% CI 79.6, 97.6], based on </w:t>
      </w:r>
      <w:r w:rsidR="00CD1B3E">
        <w:rPr>
          <w:rFonts w:asciiTheme="minorHAnsi" w:hAnsiTheme="minorHAnsi"/>
          <w:sz w:val="24"/>
          <w:szCs w:val="24"/>
        </w:rPr>
        <w:t>44</w:t>
      </w:r>
      <w:r w:rsidR="00CD1B3E" w:rsidRPr="00521709">
        <w:rPr>
          <w:rFonts w:asciiTheme="minorHAnsi" w:hAnsiTheme="minorHAnsi"/>
          <w:sz w:val="24"/>
          <w:szCs w:val="24"/>
        </w:rPr>
        <w:t xml:space="preserve"> </w:t>
      </w:r>
      <w:r w:rsidR="00BF6E46" w:rsidRPr="00521709">
        <w:rPr>
          <w:rFonts w:asciiTheme="minorHAnsi" w:hAnsiTheme="minorHAnsi"/>
          <w:sz w:val="24"/>
          <w:szCs w:val="24"/>
        </w:rPr>
        <w:t xml:space="preserve">patients with genotype 1 and </w:t>
      </w:r>
      <w:r w:rsidR="001A2B79">
        <w:rPr>
          <w:rFonts w:asciiTheme="minorHAnsi" w:hAnsiTheme="minorHAnsi"/>
          <w:sz w:val="24"/>
          <w:szCs w:val="24"/>
        </w:rPr>
        <w:t>three</w:t>
      </w:r>
      <w:r w:rsidR="001A2B79" w:rsidRPr="00521709">
        <w:rPr>
          <w:rFonts w:asciiTheme="minorHAnsi" w:hAnsiTheme="minorHAnsi"/>
          <w:sz w:val="24"/>
          <w:szCs w:val="24"/>
        </w:rPr>
        <w:t xml:space="preserve"> </w:t>
      </w:r>
      <w:r w:rsidR="00BF6E46" w:rsidRPr="00521709">
        <w:rPr>
          <w:rFonts w:asciiTheme="minorHAnsi" w:hAnsiTheme="minorHAnsi"/>
          <w:sz w:val="24"/>
          <w:szCs w:val="24"/>
        </w:rPr>
        <w:t>patient</w:t>
      </w:r>
      <w:r w:rsidR="001A2B79">
        <w:rPr>
          <w:rFonts w:asciiTheme="minorHAnsi" w:hAnsiTheme="minorHAnsi"/>
          <w:sz w:val="24"/>
          <w:szCs w:val="24"/>
        </w:rPr>
        <w:t>s</w:t>
      </w:r>
      <w:r w:rsidR="00BF6E46" w:rsidRPr="00521709">
        <w:rPr>
          <w:rFonts w:asciiTheme="minorHAnsi" w:hAnsiTheme="minorHAnsi"/>
          <w:sz w:val="24"/>
          <w:szCs w:val="24"/>
        </w:rPr>
        <w:t xml:space="preserve"> with genotype 4 HCV who had </w:t>
      </w:r>
      <w:r w:rsidR="008E20F1" w:rsidRPr="00521709">
        <w:rPr>
          <w:rFonts w:asciiTheme="minorHAnsi" w:hAnsiTheme="minorHAnsi"/>
          <w:sz w:val="24"/>
          <w:szCs w:val="24"/>
        </w:rPr>
        <w:t xml:space="preserve">had </w:t>
      </w:r>
      <w:r w:rsidR="00BF6E46" w:rsidRPr="00521709">
        <w:rPr>
          <w:rFonts w:asciiTheme="minorHAnsi" w:hAnsiTheme="minorHAnsi"/>
          <w:sz w:val="24"/>
          <w:szCs w:val="24"/>
        </w:rPr>
        <w:t>prior treatment with a direct acting antiviral regimen for HCV (including 34 patients who were NS5A experienced</w:t>
      </w:r>
      <w:r w:rsidR="005128F5" w:rsidRPr="00521709">
        <w:rPr>
          <w:rFonts w:asciiTheme="minorHAnsi" w:hAnsiTheme="minorHAnsi"/>
          <w:sz w:val="24"/>
          <w:szCs w:val="24"/>
        </w:rPr>
        <w:t xml:space="preserve"> and 13 patients who were PI experienced</w:t>
      </w:r>
      <w:r w:rsidR="00BF6E46" w:rsidRPr="00521709">
        <w:rPr>
          <w:rFonts w:asciiTheme="minorHAnsi" w:hAnsiTheme="minorHAnsi"/>
          <w:sz w:val="24"/>
          <w:szCs w:val="24"/>
        </w:rPr>
        <w:t xml:space="preserve">). </w:t>
      </w:r>
      <w:r w:rsidR="005128F5" w:rsidRPr="00521709">
        <w:rPr>
          <w:rFonts w:asciiTheme="minorHAnsi" w:hAnsiTheme="minorHAnsi"/>
          <w:sz w:val="24"/>
          <w:szCs w:val="24"/>
        </w:rPr>
        <w:t xml:space="preserve"> The SVR 12 rate by prior treatment experience as reported in the submission is reproduced in Table 4 below.</w:t>
      </w:r>
    </w:p>
    <w:p w:rsidR="00621C60" w:rsidRPr="00521709" w:rsidRDefault="00621C60" w:rsidP="00621C60">
      <w:pPr>
        <w:pStyle w:val="Caption"/>
        <w:keepNext/>
      </w:pPr>
    </w:p>
    <w:p w:rsidR="00621C60" w:rsidRPr="00521709" w:rsidRDefault="00621C60" w:rsidP="00621C60">
      <w:pPr>
        <w:pStyle w:val="Caption"/>
        <w:keepNext/>
      </w:pPr>
      <w:r w:rsidRPr="00521709">
        <w:t>Table 4</w:t>
      </w:r>
      <w:r w:rsidR="00884E28" w:rsidRPr="00521709">
        <w:t>:</w:t>
      </w:r>
      <w:r w:rsidRPr="00521709">
        <w:t xml:space="preserve"> SVR12 rate by prior treatment experience for patients in study MAGELLAN-1 Arm E</w:t>
      </w:r>
    </w:p>
    <w:tbl>
      <w:tblPr>
        <w:tblStyle w:val="Summarybox4"/>
        <w:tblW w:w="4942" w:type="pct"/>
        <w:tblInd w:w="108" w:type="dxa"/>
        <w:tblLook w:val="04A0" w:firstRow="1" w:lastRow="0" w:firstColumn="1" w:lastColumn="0" w:noHBand="0" w:noVBand="1"/>
        <w:tblCaption w:val="Table 4 SVR12 rate by prior treatment experience for patients in study MAGELLAN-1 Arm E"/>
      </w:tblPr>
      <w:tblGrid>
        <w:gridCol w:w="4715"/>
        <w:gridCol w:w="4857"/>
      </w:tblGrid>
      <w:tr w:rsidR="00621C60" w:rsidRPr="00521709" w:rsidTr="000B59D6">
        <w:trPr>
          <w:tblHeader/>
        </w:trPr>
        <w:tc>
          <w:tcPr>
            <w:tcW w:w="2463" w:type="pct"/>
            <w:shd w:val="clear" w:color="auto" w:fill="auto"/>
          </w:tcPr>
          <w:p w:rsidR="00621C60" w:rsidRPr="00521709" w:rsidRDefault="00621C60" w:rsidP="00621C60">
            <w:pPr>
              <w:tabs>
                <w:tab w:val="left" w:pos="416"/>
                <w:tab w:val="left" w:pos="582"/>
              </w:tabs>
              <w:spacing w:before="20" w:after="20"/>
              <w:rPr>
                <w:rFonts w:ascii="Arial Narrow" w:hAnsi="Arial Narrow" w:cs="Arial"/>
                <w:b/>
                <w:sz w:val="20"/>
                <w:szCs w:val="20"/>
              </w:rPr>
            </w:pPr>
            <w:r w:rsidRPr="00521709">
              <w:rPr>
                <w:rFonts w:ascii="Arial Narrow" w:hAnsi="Arial Narrow" w:cs="Arial"/>
                <w:b/>
                <w:sz w:val="20"/>
                <w:szCs w:val="20"/>
              </w:rPr>
              <w:t xml:space="preserve">Treatment with prior DAA regimen class </w:t>
            </w:r>
          </w:p>
        </w:tc>
        <w:tc>
          <w:tcPr>
            <w:tcW w:w="2537" w:type="pct"/>
            <w:shd w:val="clear" w:color="auto" w:fill="auto"/>
          </w:tcPr>
          <w:p w:rsidR="00621C60" w:rsidRPr="00521709" w:rsidRDefault="00621C60" w:rsidP="00621C60">
            <w:pPr>
              <w:tabs>
                <w:tab w:val="left" w:pos="416"/>
                <w:tab w:val="left" w:pos="582"/>
              </w:tabs>
              <w:spacing w:before="20" w:after="20"/>
              <w:jc w:val="center"/>
              <w:rPr>
                <w:rFonts w:ascii="Arial Narrow" w:hAnsi="Arial Narrow" w:cs="Arial"/>
                <w:b/>
                <w:sz w:val="20"/>
                <w:szCs w:val="20"/>
              </w:rPr>
            </w:pPr>
            <w:r w:rsidRPr="00521709">
              <w:rPr>
                <w:rFonts w:ascii="Arial Narrow" w:hAnsi="Arial Narrow" w:cs="Arial"/>
                <w:b/>
                <w:sz w:val="20"/>
                <w:szCs w:val="20"/>
              </w:rPr>
              <w:t>SVR12 n/N (%)</w:t>
            </w:r>
          </w:p>
        </w:tc>
      </w:tr>
      <w:tr w:rsidR="00621C60" w:rsidRPr="00521709" w:rsidTr="00AD0EB1">
        <w:tc>
          <w:tcPr>
            <w:tcW w:w="2463" w:type="pct"/>
            <w:shd w:val="clear" w:color="auto" w:fill="auto"/>
          </w:tcPr>
          <w:p w:rsidR="00621C60" w:rsidRPr="00521709" w:rsidRDefault="00621C60" w:rsidP="00621C60">
            <w:pPr>
              <w:tabs>
                <w:tab w:val="left" w:pos="416"/>
                <w:tab w:val="left" w:pos="582"/>
              </w:tabs>
              <w:spacing w:before="20" w:after="20"/>
              <w:rPr>
                <w:rFonts w:ascii="Arial Narrow" w:hAnsi="Arial Narrow" w:cs="Arial"/>
                <w:sz w:val="20"/>
                <w:szCs w:val="20"/>
              </w:rPr>
            </w:pPr>
            <w:r w:rsidRPr="00521709">
              <w:rPr>
                <w:rFonts w:ascii="Arial Narrow" w:hAnsi="Arial Narrow" w:cs="Arial"/>
                <w:sz w:val="20"/>
                <w:szCs w:val="20"/>
              </w:rPr>
              <w:t xml:space="preserve">NS5A naïve and PI experienced </w:t>
            </w:r>
          </w:p>
        </w:tc>
        <w:tc>
          <w:tcPr>
            <w:tcW w:w="2537" w:type="pct"/>
            <w:shd w:val="clear" w:color="auto" w:fill="auto"/>
          </w:tcPr>
          <w:p w:rsidR="00621C60" w:rsidRPr="00521709" w:rsidRDefault="00621C60" w:rsidP="00621C60">
            <w:pPr>
              <w:tabs>
                <w:tab w:val="left" w:pos="416"/>
                <w:tab w:val="left" w:pos="582"/>
              </w:tabs>
              <w:spacing w:before="20" w:after="20"/>
              <w:jc w:val="center"/>
              <w:rPr>
                <w:rFonts w:ascii="Arial Narrow" w:hAnsi="Arial Narrow" w:cs="Arial"/>
                <w:sz w:val="20"/>
                <w:szCs w:val="20"/>
                <w:vertAlign w:val="superscript"/>
              </w:rPr>
            </w:pPr>
            <w:r w:rsidRPr="00521709">
              <w:rPr>
                <w:rFonts w:ascii="Arial Narrow" w:hAnsi="Arial Narrow" w:cs="Arial"/>
                <w:sz w:val="20"/>
                <w:szCs w:val="20"/>
              </w:rPr>
              <w:t>13/13 (100)</w:t>
            </w:r>
            <w:r w:rsidRPr="00521709">
              <w:rPr>
                <w:rFonts w:ascii="Arial Narrow" w:hAnsi="Arial Narrow" w:cs="Arial"/>
                <w:sz w:val="20"/>
                <w:szCs w:val="20"/>
                <w:vertAlign w:val="superscript"/>
              </w:rPr>
              <w:t>1</w:t>
            </w:r>
          </w:p>
        </w:tc>
      </w:tr>
      <w:tr w:rsidR="00621C60" w:rsidRPr="00521709" w:rsidTr="00AD0EB1">
        <w:tc>
          <w:tcPr>
            <w:tcW w:w="2463" w:type="pct"/>
            <w:shd w:val="clear" w:color="auto" w:fill="auto"/>
          </w:tcPr>
          <w:p w:rsidR="00621C60" w:rsidRPr="00521709" w:rsidRDefault="00621C60" w:rsidP="00621C60">
            <w:pPr>
              <w:tabs>
                <w:tab w:val="left" w:pos="416"/>
                <w:tab w:val="left" w:pos="582"/>
              </w:tabs>
              <w:spacing w:before="20" w:after="20"/>
              <w:rPr>
                <w:rFonts w:ascii="Arial Narrow" w:hAnsi="Arial Narrow" w:cs="Arial"/>
                <w:sz w:val="20"/>
                <w:szCs w:val="20"/>
              </w:rPr>
            </w:pPr>
            <w:r w:rsidRPr="00521709">
              <w:rPr>
                <w:rFonts w:ascii="Arial Narrow" w:hAnsi="Arial Narrow" w:cs="Arial"/>
                <w:sz w:val="20"/>
                <w:szCs w:val="20"/>
              </w:rPr>
              <w:t>NS5A experienced</w:t>
            </w:r>
          </w:p>
        </w:tc>
        <w:tc>
          <w:tcPr>
            <w:tcW w:w="2537" w:type="pct"/>
            <w:shd w:val="clear" w:color="auto" w:fill="auto"/>
          </w:tcPr>
          <w:p w:rsidR="00621C60" w:rsidRPr="00521709" w:rsidRDefault="00621C60" w:rsidP="00621C60">
            <w:pPr>
              <w:tabs>
                <w:tab w:val="left" w:pos="416"/>
                <w:tab w:val="left" w:pos="582"/>
              </w:tabs>
              <w:spacing w:before="20" w:after="20"/>
              <w:jc w:val="center"/>
              <w:rPr>
                <w:rFonts w:ascii="Arial Narrow" w:hAnsi="Arial Narrow" w:cs="Arial"/>
                <w:sz w:val="20"/>
                <w:szCs w:val="20"/>
              </w:rPr>
            </w:pPr>
            <w:r w:rsidRPr="00521709">
              <w:rPr>
                <w:rFonts w:ascii="Arial Narrow" w:hAnsi="Arial Narrow" w:cs="Arial"/>
                <w:sz w:val="20"/>
                <w:szCs w:val="20"/>
              </w:rPr>
              <w:t>30/34 (88.2)</w:t>
            </w:r>
          </w:p>
        </w:tc>
      </w:tr>
      <w:tr w:rsidR="00621C60" w:rsidRPr="00521709" w:rsidTr="0005172B">
        <w:tc>
          <w:tcPr>
            <w:tcW w:w="2463" w:type="pct"/>
          </w:tcPr>
          <w:p w:rsidR="00621C60" w:rsidRPr="00521709" w:rsidRDefault="00621C60" w:rsidP="00621C60">
            <w:pPr>
              <w:tabs>
                <w:tab w:val="left" w:pos="416"/>
                <w:tab w:val="left" w:pos="582"/>
              </w:tabs>
              <w:spacing w:before="20" w:after="20"/>
              <w:ind w:left="416"/>
              <w:rPr>
                <w:rFonts w:ascii="Arial Narrow" w:hAnsi="Arial Narrow" w:cs="Arial"/>
                <w:sz w:val="20"/>
                <w:szCs w:val="20"/>
              </w:rPr>
            </w:pPr>
            <w:r w:rsidRPr="00521709">
              <w:rPr>
                <w:rFonts w:ascii="Arial Narrow" w:hAnsi="Arial Narrow" w:cs="Arial"/>
                <w:sz w:val="20"/>
                <w:szCs w:val="20"/>
              </w:rPr>
              <w:t>NS5A and PI experienced</w:t>
            </w:r>
          </w:p>
        </w:tc>
        <w:tc>
          <w:tcPr>
            <w:tcW w:w="2537" w:type="pct"/>
          </w:tcPr>
          <w:p w:rsidR="00621C60" w:rsidRPr="00521709" w:rsidRDefault="00621C60" w:rsidP="00621C60">
            <w:pPr>
              <w:tabs>
                <w:tab w:val="left" w:pos="416"/>
                <w:tab w:val="left" w:pos="582"/>
              </w:tabs>
              <w:spacing w:before="20" w:after="20"/>
              <w:jc w:val="center"/>
              <w:rPr>
                <w:rFonts w:ascii="Arial Narrow" w:hAnsi="Arial Narrow" w:cs="Arial"/>
                <w:sz w:val="20"/>
                <w:szCs w:val="20"/>
              </w:rPr>
            </w:pPr>
            <w:r w:rsidRPr="00521709">
              <w:rPr>
                <w:rFonts w:ascii="Arial Narrow" w:hAnsi="Arial Narrow" w:cs="Arial"/>
                <w:sz w:val="20"/>
                <w:szCs w:val="20"/>
              </w:rPr>
              <w:t>13/16 (81.3)</w:t>
            </w:r>
          </w:p>
        </w:tc>
      </w:tr>
      <w:tr w:rsidR="00621C60" w:rsidRPr="00521709" w:rsidTr="0005172B">
        <w:tc>
          <w:tcPr>
            <w:tcW w:w="2463" w:type="pct"/>
          </w:tcPr>
          <w:p w:rsidR="00621C60" w:rsidRPr="00521709" w:rsidRDefault="00621C60" w:rsidP="00621C60">
            <w:pPr>
              <w:tabs>
                <w:tab w:val="left" w:pos="416"/>
                <w:tab w:val="left" w:pos="582"/>
              </w:tabs>
              <w:spacing w:before="20" w:after="20"/>
              <w:ind w:left="416"/>
              <w:rPr>
                <w:rFonts w:ascii="Arial Narrow" w:hAnsi="Arial Narrow" w:cs="Arial"/>
                <w:sz w:val="20"/>
                <w:szCs w:val="20"/>
              </w:rPr>
            </w:pPr>
            <w:r w:rsidRPr="00521709">
              <w:rPr>
                <w:rFonts w:ascii="Arial Narrow" w:hAnsi="Arial Narrow" w:cs="Arial"/>
                <w:sz w:val="20"/>
                <w:szCs w:val="20"/>
              </w:rPr>
              <w:t>NS5A and PI naïve</w:t>
            </w:r>
          </w:p>
        </w:tc>
        <w:tc>
          <w:tcPr>
            <w:tcW w:w="2537" w:type="pct"/>
          </w:tcPr>
          <w:p w:rsidR="00621C60" w:rsidRPr="00521709" w:rsidRDefault="00621C60" w:rsidP="00621C60">
            <w:pPr>
              <w:tabs>
                <w:tab w:val="left" w:pos="416"/>
                <w:tab w:val="left" w:pos="582"/>
              </w:tabs>
              <w:spacing w:before="20" w:after="20"/>
              <w:jc w:val="center"/>
              <w:rPr>
                <w:rFonts w:ascii="Arial Narrow" w:hAnsi="Arial Narrow" w:cs="Arial"/>
                <w:sz w:val="20"/>
                <w:szCs w:val="20"/>
              </w:rPr>
            </w:pPr>
            <w:r w:rsidRPr="00521709">
              <w:rPr>
                <w:rFonts w:ascii="Arial Narrow" w:hAnsi="Arial Narrow" w:cs="Arial"/>
                <w:sz w:val="20"/>
                <w:szCs w:val="20"/>
              </w:rPr>
              <w:t>17/18 (94.4)</w:t>
            </w:r>
          </w:p>
        </w:tc>
      </w:tr>
    </w:tbl>
    <w:p w:rsidR="009B1564" w:rsidRPr="00521709" w:rsidRDefault="009B1564" w:rsidP="009B1564">
      <w:pPr>
        <w:pStyle w:val="ListParagraph"/>
        <w:rPr>
          <w:rFonts w:asciiTheme="minorHAnsi" w:hAnsiTheme="minorHAnsi"/>
        </w:rPr>
      </w:pPr>
    </w:p>
    <w:p w:rsidR="00216747" w:rsidRPr="00521709" w:rsidRDefault="00A833AF" w:rsidP="009B1564">
      <w:pPr>
        <w:pStyle w:val="ListParagraph"/>
        <w:numPr>
          <w:ilvl w:val="1"/>
          <w:numId w:val="5"/>
        </w:numPr>
        <w:ind w:left="720"/>
        <w:rPr>
          <w:rFonts w:asciiTheme="minorHAnsi" w:hAnsiTheme="minorHAnsi"/>
          <w:sz w:val="24"/>
          <w:szCs w:val="24"/>
        </w:rPr>
      </w:pPr>
      <w:r>
        <w:rPr>
          <w:rFonts w:asciiTheme="minorHAnsi" w:hAnsiTheme="minorHAnsi"/>
          <w:noProof/>
          <w:color w:val="000000"/>
          <w:sz w:val="24"/>
          <w:szCs w:val="24"/>
          <w:highlight w:val="black"/>
        </w:rPr>
        <w:t>''''''''</w:t>
      </w:r>
      <w:r w:rsidR="00216747" w:rsidRPr="00521709">
        <w:rPr>
          <w:rFonts w:asciiTheme="minorHAnsi" w:hAnsiTheme="minorHAnsi"/>
          <w:sz w:val="24"/>
          <w:szCs w:val="24"/>
        </w:rPr>
        <w:t xml:space="preserve"> patients experienced virologic failure in the relevant arm (Arm E, 16 weeks duration of treatment) in MAGELLAN-1. All </w:t>
      </w:r>
      <w:r>
        <w:rPr>
          <w:rFonts w:asciiTheme="minorHAnsi" w:hAnsiTheme="minorHAnsi"/>
          <w:noProof/>
          <w:color w:val="000000"/>
          <w:sz w:val="24"/>
          <w:szCs w:val="24"/>
          <w:highlight w:val="black"/>
        </w:rPr>
        <w:t>'''''''''</w:t>
      </w:r>
      <w:r w:rsidR="00216747" w:rsidRPr="00521709">
        <w:rPr>
          <w:rFonts w:asciiTheme="minorHAnsi" w:hAnsiTheme="minorHAnsi"/>
          <w:sz w:val="24"/>
          <w:szCs w:val="24"/>
        </w:rPr>
        <w:t xml:space="preserve"> patients were NS5A inhibitor experienced and three were experienced with both an NS5A inhibitor and an NS3/4A protease inhibitor. </w:t>
      </w:r>
      <w:r>
        <w:rPr>
          <w:rFonts w:asciiTheme="minorHAnsi" w:hAnsiTheme="minorHAnsi"/>
          <w:noProof/>
          <w:color w:val="000000"/>
          <w:sz w:val="24"/>
          <w:szCs w:val="24"/>
          <w:highlight w:val="black"/>
        </w:rPr>
        <w:t>'''''''''''' '''' ''''''' ''''''''</w:t>
      </w:r>
      <w:r w:rsidR="00216747" w:rsidRPr="00521709">
        <w:rPr>
          <w:rFonts w:asciiTheme="minorHAnsi" w:hAnsiTheme="minorHAnsi"/>
          <w:sz w:val="24"/>
          <w:szCs w:val="24"/>
        </w:rPr>
        <w:t xml:space="preserve"> patients were IL28B genotype CT or TT, and the </w:t>
      </w:r>
      <w:r>
        <w:rPr>
          <w:rFonts w:asciiTheme="minorHAnsi" w:hAnsiTheme="minorHAnsi"/>
          <w:noProof/>
          <w:color w:val="000000"/>
          <w:sz w:val="24"/>
          <w:szCs w:val="24"/>
          <w:highlight w:val="black"/>
        </w:rPr>
        <w:t>''''''''''''</w:t>
      </w:r>
      <w:r w:rsidR="00216747" w:rsidRPr="00521709">
        <w:rPr>
          <w:rFonts w:asciiTheme="minorHAnsi" w:hAnsiTheme="minorHAnsi"/>
          <w:sz w:val="24"/>
          <w:szCs w:val="24"/>
        </w:rPr>
        <w:t xml:space="preserve"> was not determined. All failed patients had baseline polymorphisms in NS5A. </w:t>
      </w:r>
      <w:r>
        <w:rPr>
          <w:rFonts w:asciiTheme="minorHAnsi" w:hAnsiTheme="minorHAnsi"/>
          <w:noProof/>
          <w:color w:val="000000"/>
          <w:sz w:val="24"/>
          <w:szCs w:val="24"/>
          <w:highlight w:val="black"/>
        </w:rPr>
        <w:t>'''''''''' ''''' ''''''' ''''''''</w:t>
      </w:r>
      <w:r w:rsidR="00216747" w:rsidRPr="00521709">
        <w:rPr>
          <w:rFonts w:asciiTheme="minorHAnsi" w:hAnsiTheme="minorHAnsi"/>
          <w:sz w:val="24"/>
          <w:szCs w:val="24"/>
        </w:rPr>
        <w:t xml:space="preserve"> patients had cirrhosis. Prior failure of treatment with an NS5A inhibitor may have selected patients with poor prognostic features (such as IL28B non-CC, cirrhosis and NS5A resistant polymorphisms).</w:t>
      </w:r>
    </w:p>
    <w:p w:rsidR="00244BBD" w:rsidRPr="00521709" w:rsidRDefault="00244BBD" w:rsidP="00244BBD">
      <w:pPr>
        <w:pStyle w:val="ListParagraph"/>
        <w:rPr>
          <w:rFonts w:asciiTheme="minorHAnsi" w:hAnsiTheme="minorHAnsi"/>
          <w:sz w:val="24"/>
          <w:szCs w:val="24"/>
        </w:rPr>
      </w:pPr>
    </w:p>
    <w:p w:rsidR="005128F5" w:rsidRPr="00521709" w:rsidRDefault="00216747" w:rsidP="009B1564">
      <w:pPr>
        <w:pStyle w:val="ListParagraph"/>
        <w:numPr>
          <w:ilvl w:val="1"/>
          <w:numId w:val="5"/>
        </w:numPr>
        <w:ind w:left="720"/>
        <w:rPr>
          <w:rFonts w:asciiTheme="minorHAnsi" w:eastAsiaTheme="minorHAnsi" w:hAnsiTheme="minorHAnsi" w:cstheme="minorBidi"/>
          <w:snapToGrid/>
          <w:sz w:val="24"/>
          <w:szCs w:val="22"/>
        </w:rPr>
      </w:pPr>
      <w:r w:rsidRPr="00521709">
        <w:rPr>
          <w:rFonts w:asciiTheme="minorHAnsi" w:eastAsiaTheme="minorHAnsi" w:hAnsiTheme="minorHAnsi" w:cstheme="minorBidi"/>
          <w:snapToGrid/>
          <w:sz w:val="24"/>
          <w:szCs w:val="22"/>
        </w:rPr>
        <w:t xml:space="preserve">In Arm E of MAGELLAN-1, 94% of patients had genotype 1. </w:t>
      </w:r>
      <w:r w:rsidR="00045A33" w:rsidRPr="00521709">
        <w:rPr>
          <w:rFonts w:asciiTheme="minorHAnsi" w:eastAsiaTheme="minorHAnsi" w:hAnsiTheme="minorHAnsi" w:cstheme="minorBidi"/>
          <w:snapToGrid/>
          <w:sz w:val="24"/>
          <w:szCs w:val="22"/>
        </w:rPr>
        <w:t>T</w:t>
      </w:r>
      <w:r w:rsidRPr="00521709">
        <w:rPr>
          <w:rFonts w:asciiTheme="minorHAnsi" w:eastAsiaTheme="minorHAnsi" w:hAnsiTheme="minorHAnsi" w:cstheme="minorBidi"/>
          <w:snapToGrid/>
          <w:sz w:val="24"/>
          <w:szCs w:val="22"/>
        </w:rPr>
        <w:t>he c</w:t>
      </w:r>
      <w:r w:rsidR="008E574E" w:rsidRPr="00521709">
        <w:rPr>
          <w:rFonts w:asciiTheme="minorHAnsi" w:eastAsiaTheme="minorHAnsi" w:hAnsiTheme="minorHAnsi" w:cstheme="minorBidi"/>
          <w:snapToGrid/>
          <w:sz w:val="24"/>
          <w:szCs w:val="22"/>
        </w:rPr>
        <w:t xml:space="preserve">linical efficacy of glecaprevir with </w:t>
      </w:r>
      <w:r w:rsidRPr="00521709">
        <w:rPr>
          <w:rFonts w:asciiTheme="minorHAnsi" w:eastAsiaTheme="minorHAnsi" w:hAnsiTheme="minorHAnsi" w:cstheme="minorBidi"/>
          <w:snapToGrid/>
          <w:sz w:val="24"/>
          <w:szCs w:val="22"/>
        </w:rPr>
        <w:t xml:space="preserve">pibrentasvir in patients who have genotypes other than 1 is largely unknown.  </w:t>
      </w:r>
      <w:r w:rsidR="005128F5" w:rsidRPr="00521709">
        <w:rPr>
          <w:rFonts w:asciiTheme="minorHAnsi" w:eastAsiaTheme="minorHAnsi" w:hAnsiTheme="minorHAnsi" w:cstheme="minorBidi"/>
          <w:snapToGrid/>
          <w:sz w:val="24"/>
          <w:szCs w:val="22"/>
        </w:rPr>
        <w:t>The submission relies on in-vitro data to extrapolate the results</w:t>
      </w:r>
      <w:r w:rsidRPr="00521709">
        <w:rPr>
          <w:rFonts w:asciiTheme="minorHAnsi" w:eastAsiaTheme="minorHAnsi" w:hAnsiTheme="minorHAnsi" w:cstheme="minorBidi"/>
          <w:snapToGrid/>
          <w:sz w:val="24"/>
          <w:szCs w:val="22"/>
        </w:rPr>
        <w:t xml:space="preserve"> in GT1 and 4 patients</w:t>
      </w:r>
      <w:r w:rsidR="005128F5" w:rsidRPr="00521709">
        <w:rPr>
          <w:rFonts w:asciiTheme="minorHAnsi" w:eastAsiaTheme="minorHAnsi" w:hAnsiTheme="minorHAnsi" w:cstheme="minorBidi"/>
          <w:snapToGrid/>
          <w:sz w:val="24"/>
          <w:szCs w:val="22"/>
        </w:rPr>
        <w:t xml:space="preserve"> to patients with other genotypes. </w:t>
      </w:r>
    </w:p>
    <w:p w:rsidR="00216747" w:rsidRPr="00521709" w:rsidRDefault="00216747" w:rsidP="009B1564">
      <w:pPr>
        <w:pStyle w:val="ListParagraph"/>
        <w:rPr>
          <w:rFonts w:asciiTheme="minorHAnsi" w:eastAsiaTheme="minorHAnsi" w:hAnsiTheme="minorHAnsi" w:cstheme="minorBidi"/>
          <w:snapToGrid/>
          <w:sz w:val="24"/>
          <w:szCs w:val="22"/>
        </w:rPr>
      </w:pPr>
    </w:p>
    <w:p w:rsidR="00BF6E46" w:rsidRPr="00521709" w:rsidRDefault="005128F5" w:rsidP="009B1564">
      <w:pPr>
        <w:pStyle w:val="ListParagraph"/>
        <w:numPr>
          <w:ilvl w:val="1"/>
          <w:numId w:val="5"/>
        </w:numPr>
        <w:ind w:left="720"/>
        <w:rPr>
          <w:rFonts w:asciiTheme="minorHAnsi" w:hAnsiTheme="minorHAnsi"/>
          <w:sz w:val="24"/>
          <w:szCs w:val="24"/>
        </w:rPr>
      </w:pPr>
      <w:r w:rsidRPr="00521709">
        <w:rPr>
          <w:rFonts w:asciiTheme="minorHAnsi" w:eastAsiaTheme="minorHAnsi" w:hAnsiTheme="minorHAnsi" w:cstheme="minorBidi"/>
          <w:snapToGrid/>
          <w:sz w:val="24"/>
          <w:szCs w:val="22"/>
        </w:rPr>
        <w:t>On the basis of these data t</w:t>
      </w:r>
      <w:r w:rsidR="00BF6E46" w:rsidRPr="00521709">
        <w:rPr>
          <w:rFonts w:asciiTheme="minorHAnsi" w:eastAsiaTheme="minorHAnsi" w:hAnsiTheme="minorHAnsi" w:cstheme="minorBidi"/>
          <w:snapToGrid/>
          <w:sz w:val="24"/>
          <w:szCs w:val="22"/>
        </w:rPr>
        <w:t xml:space="preserve">he submission </w:t>
      </w:r>
      <w:r w:rsidR="00702CDF" w:rsidRPr="00521709">
        <w:rPr>
          <w:rFonts w:asciiTheme="minorHAnsi" w:eastAsiaTheme="minorHAnsi" w:hAnsiTheme="minorHAnsi" w:cstheme="minorBidi"/>
          <w:snapToGrid/>
          <w:sz w:val="24"/>
          <w:szCs w:val="22"/>
        </w:rPr>
        <w:t xml:space="preserve">claimed that glecaprevir with </w:t>
      </w:r>
      <w:r w:rsidR="00BF6E46" w:rsidRPr="00521709">
        <w:rPr>
          <w:rFonts w:asciiTheme="minorHAnsi" w:eastAsiaTheme="minorHAnsi" w:hAnsiTheme="minorHAnsi" w:cstheme="minorBidi"/>
          <w:snapToGrid/>
          <w:sz w:val="24"/>
          <w:szCs w:val="22"/>
        </w:rPr>
        <w:t xml:space="preserve">pibrentasvir </w:t>
      </w:r>
      <w:r w:rsidR="009279B0" w:rsidRPr="00521709">
        <w:rPr>
          <w:rFonts w:asciiTheme="minorHAnsi" w:eastAsiaTheme="minorHAnsi" w:hAnsiTheme="minorHAnsi" w:cstheme="minorBidi"/>
          <w:snapToGrid/>
          <w:sz w:val="24"/>
          <w:szCs w:val="22"/>
        </w:rPr>
        <w:t>is effective</w:t>
      </w:r>
      <w:r w:rsidR="00BF6E46" w:rsidRPr="00521709">
        <w:rPr>
          <w:rFonts w:asciiTheme="minorHAnsi" w:eastAsiaTheme="minorHAnsi" w:hAnsiTheme="minorHAnsi" w:cstheme="minorBidi"/>
          <w:snapToGrid/>
          <w:sz w:val="24"/>
          <w:szCs w:val="22"/>
        </w:rPr>
        <w:t xml:space="preserve"> in </w:t>
      </w:r>
      <w:r w:rsidRPr="00521709">
        <w:rPr>
          <w:rFonts w:asciiTheme="minorHAnsi" w:eastAsiaTheme="minorHAnsi" w:hAnsiTheme="minorHAnsi" w:cstheme="minorBidi"/>
          <w:snapToGrid/>
          <w:sz w:val="24"/>
          <w:szCs w:val="22"/>
        </w:rPr>
        <w:t>NS5A experienced patients</w:t>
      </w:r>
      <w:r w:rsidR="00BF6E46" w:rsidRPr="00521709">
        <w:rPr>
          <w:rFonts w:asciiTheme="minorHAnsi" w:eastAsiaTheme="minorHAnsi" w:hAnsiTheme="minorHAnsi" w:cstheme="minorBidi"/>
          <w:snapToGrid/>
          <w:sz w:val="24"/>
          <w:szCs w:val="22"/>
        </w:rPr>
        <w:t xml:space="preserve">. </w:t>
      </w:r>
    </w:p>
    <w:p w:rsidR="003C2FB5" w:rsidRPr="00521709" w:rsidRDefault="005A3173" w:rsidP="008306F3">
      <w:pPr>
        <w:pStyle w:val="Heading2"/>
        <w:keepLines/>
        <w:spacing w:before="240" w:after="120"/>
        <w:rPr>
          <w:rFonts w:asciiTheme="minorHAnsi" w:eastAsiaTheme="majorEastAsia" w:hAnsiTheme="minorHAnsi" w:cstheme="majorBidi"/>
          <w:sz w:val="28"/>
          <w:szCs w:val="28"/>
          <w:lang w:eastAsia="en-US"/>
        </w:rPr>
      </w:pPr>
      <w:r w:rsidRPr="00521709">
        <w:rPr>
          <w:rFonts w:asciiTheme="minorHAnsi" w:eastAsiaTheme="majorEastAsia" w:hAnsiTheme="minorHAnsi" w:cstheme="majorBidi"/>
          <w:sz w:val="28"/>
          <w:szCs w:val="28"/>
          <w:lang w:eastAsia="en-US"/>
        </w:rPr>
        <w:t>Clinical claim</w:t>
      </w:r>
    </w:p>
    <w:p w:rsidR="00216747" w:rsidRPr="00521709" w:rsidRDefault="00B65345" w:rsidP="009B1564">
      <w:pPr>
        <w:pStyle w:val="ListParagraph"/>
        <w:numPr>
          <w:ilvl w:val="1"/>
          <w:numId w:val="5"/>
        </w:numPr>
        <w:ind w:left="720"/>
        <w:rPr>
          <w:rFonts w:asciiTheme="minorHAnsi" w:hAnsiTheme="minorHAnsi"/>
          <w:sz w:val="24"/>
          <w:szCs w:val="24"/>
        </w:rPr>
      </w:pPr>
      <w:r w:rsidRPr="00521709">
        <w:rPr>
          <w:rFonts w:asciiTheme="minorHAnsi" w:hAnsiTheme="minorHAnsi"/>
          <w:sz w:val="24"/>
          <w:szCs w:val="24"/>
        </w:rPr>
        <w:t xml:space="preserve">The minor submission did not make a separate clinical claim for patients who have </w:t>
      </w:r>
      <w:r w:rsidRPr="00521709">
        <w:rPr>
          <w:rFonts w:asciiTheme="minorHAnsi" w:hAnsiTheme="minorHAnsi"/>
          <w:iCs/>
          <w:sz w:val="24"/>
          <w:szCs w:val="24"/>
        </w:rPr>
        <w:t>failed prior treatment with an NS5A inhibitor</w:t>
      </w:r>
      <w:r w:rsidR="0075243D" w:rsidRPr="00521709">
        <w:rPr>
          <w:rFonts w:asciiTheme="minorHAnsi" w:hAnsiTheme="minorHAnsi"/>
          <w:sz w:val="24"/>
          <w:szCs w:val="24"/>
        </w:rPr>
        <w:t xml:space="preserve">. </w:t>
      </w:r>
      <w:r w:rsidR="00884E28" w:rsidRPr="00521709">
        <w:rPr>
          <w:rFonts w:asciiTheme="minorHAnsi" w:hAnsiTheme="minorHAnsi"/>
          <w:sz w:val="24"/>
          <w:szCs w:val="24"/>
        </w:rPr>
        <w:t xml:space="preserve">The </w:t>
      </w:r>
      <w:r w:rsidRPr="00521709">
        <w:rPr>
          <w:rFonts w:asciiTheme="minorHAnsi" w:hAnsiTheme="minorHAnsi"/>
          <w:sz w:val="24"/>
          <w:szCs w:val="24"/>
        </w:rPr>
        <w:t xml:space="preserve">July 2017 major submission described glecaprevir/pibrentasvir as equivalent in terms of efficacy and safety compared with </w:t>
      </w:r>
      <w:r w:rsidR="00D16DDA" w:rsidRPr="00521709">
        <w:rPr>
          <w:rFonts w:asciiTheme="minorHAnsi" w:hAnsiTheme="minorHAnsi"/>
          <w:sz w:val="24"/>
          <w:szCs w:val="24"/>
        </w:rPr>
        <w:t>sofosbuvir/velpatasvir</w:t>
      </w:r>
      <w:r w:rsidR="00D16DDA" w:rsidRPr="00521709">
        <w:t xml:space="preserve"> </w:t>
      </w:r>
      <w:r w:rsidRPr="00521709">
        <w:rPr>
          <w:rFonts w:asciiTheme="minorHAnsi" w:hAnsiTheme="minorHAnsi"/>
          <w:sz w:val="24"/>
          <w:szCs w:val="24"/>
        </w:rPr>
        <w:t>in subjects across all CHC genotypes.</w:t>
      </w:r>
      <w:r w:rsidR="00884E28" w:rsidRPr="00521709">
        <w:rPr>
          <w:rFonts w:asciiTheme="minorHAnsi" w:hAnsiTheme="minorHAnsi"/>
          <w:sz w:val="24"/>
          <w:szCs w:val="24"/>
        </w:rPr>
        <w:t xml:space="preserve"> </w:t>
      </w:r>
    </w:p>
    <w:p w:rsidR="00FA2CB7" w:rsidRPr="00521709" w:rsidRDefault="00FA2CB7" w:rsidP="0005172B">
      <w:pPr>
        <w:pStyle w:val="ListParagraph"/>
        <w:rPr>
          <w:rFonts w:asciiTheme="minorHAnsi" w:hAnsiTheme="minorHAnsi"/>
          <w:sz w:val="24"/>
          <w:szCs w:val="24"/>
        </w:rPr>
      </w:pPr>
    </w:p>
    <w:p w:rsidR="00086016" w:rsidRPr="00521709" w:rsidRDefault="00526C58" w:rsidP="00086016">
      <w:pPr>
        <w:pStyle w:val="ListParagraph"/>
        <w:widowControl/>
        <w:numPr>
          <w:ilvl w:val="1"/>
          <w:numId w:val="5"/>
        </w:numPr>
        <w:spacing w:after="120"/>
        <w:ind w:left="720"/>
        <w:contextualSpacing w:val="0"/>
        <w:rPr>
          <w:rFonts w:asciiTheme="minorHAnsi" w:hAnsiTheme="minorHAnsi"/>
          <w:bCs/>
          <w:sz w:val="24"/>
          <w:szCs w:val="24"/>
        </w:rPr>
      </w:pPr>
      <w:r w:rsidRPr="00521709">
        <w:rPr>
          <w:rFonts w:asciiTheme="minorHAnsi" w:hAnsiTheme="minorHAnsi"/>
          <w:bCs/>
          <w:sz w:val="24"/>
          <w:szCs w:val="24"/>
        </w:rPr>
        <w:t>Based on the evidence provided in the minor submission t</w:t>
      </w:r>
      <w:r w:rsidR="00086016" w:rsidRPr="00521709">
        <w:rPr>
          <w:rFonts w:asciiTheme="minorHAnsi" w:hAnsiTheme="minorHAnsi"/>
          <w:bCs/>
          <w:sz w:val="24"/>
          <w:szCs w:val="24"/>
        </w:rPr>
        <w:t xml:space="preserve">he PBAC considered that </w:t>
      </w:r>
      <w:r w:rsidR="0059786A" w:rsidRPr="00521709">
        <w:rPr>
          <w:rFonts w:asciiTheme="minorHAnsi" w:hAnsiTheme="minorHAnsi"/>
          <w:sz w:val="24"/>
          <w:szCs w:val="24"/>
        </w:rPr>
        <w:t xml:space="preserve">glecaprevir/pibrentasvir has superior </w:t>
      </w:r>
      <w:r w:rsidR="0059786A" w:rsidRPr="00521709">
        <w:rPr>
          <w:rFonts w:asciiTheme="minorHAnsi" w:hAnsiTheme="minorHAnsi"/>
          <w:bCs/>
          <w:sz w:val="24"/>
          <w:szCs w:val="24"/>
        </w:rPr>
        <w:t>efficacy</w:t>
      </w:r>
      <w:r w:rsidR="0059786A" w:rsidRPr="00521709">
        <w:rPr>
          <w:rFonts w:asciiTheme="minorHAnsi" w:hAnsiTheme="minorHAnsi"/>
          <w:sz w:val="24"/>
          <w:szCs w:val="24"/>
        </w:rPr>
        <w:t xml:space="preserve"> and inferior safety when compared to no treatment; and is non-inferior in efficacy and safety when compared to other current listed DAA for chronic hepatitis </w:t>
      </w:r>
      <w:r w:rsidR="00086016" w:rsidRPr="00521709">
        <w:rPr>
          <w:rFonts w:asciiTheme="minorHAnsi" w:hAnsiTheme="minorHAnsi"/>
          <w:bCs/>
          <w:sz w:val="24"/>
          <w:szCs w:val="24"/>
        </w:rPr>
        <w:t>across all CHC genotypes for patients who are NS5A treatment experienced.</w:t>
      </w:r>
    </w:p>
    <w:p w:rsidR="005A3173" w:rsidRPr="00521709" w:rsidRDefault="005A3173" w:rsidP="00966D0D">
      <w:pPr>
        <w:pStyle w:val="Heading2"/>
        <w:keepLines/>
        <w:spacing w:before="240" w:after="120"/>
        <w:rPr>
          <w:rFonts w:asciiTheme="minorHAnsi" w:eastAsiaTheme="majorEastAsia" w:hAnsiTheme="minorHAnsi" w:cstheme="majorBidi"/>
          <w:sz w:val="28"/>
          <w:szCs w:val="28"/>
          <w:lang w:eastAsia="en-US"/>
        </w:rPr>
      </w:pPr>
      <w:r w:rsidRPr="00521709">
        <w:rPr>
          <w:rFonts w:asciiTheme="minorHAnsi" w:eastAsiaTheme="majorEastAsia" w:hAnsiTheme="minorHAnsi" w:cstheme="majorBidi"/>
          <w:sz w:val="28"/>
          <w:szCs w:val="28"/>
          <w:lang w:eastAsia="en-US"/>
        </w:rPr>
        <w:t>Economic analysis</w:t>
      </w:r>
    </w:p>
    <w:p w:rsidR="000A370C" w:rsidRPr="00521709" w:rsidRDefault="00827493" w:rsidP="009B1564">
      <w:pPr>
        <w:pStyle w:val="ListParagraph"/>
        <w:numPr>
          <w:ilvl w:val="1"/>
          <w:numId w:val="5"/>
        </w:numPr>
        <w:ind w:left="720"/>
        <w:rPr>
          <w:rFonts w:asciiTheme="minorHAnsi" w:hAnsiTheme="minorHAnsi"/>
          <w:sz w:val="24"/>
          <w:szCs w:val="24"/>
        </w:rPr>
      </w:pPr>
      <w:r w:rsidRPr="00521709">
        <w:rPr>
          <w:rFonts w:asciiTheme="minorHAnsi" w:hAnsiTheme="minorHAnsi"/>
          <w:sz w:val="24"/>
          <w:szCs w:val="24"/>
        </w:rPr>
        <w:t xml:space="preserve">The current submission states the paritaprevir, ritonavir and ombitasvir (Technivie®) model has previously been evaluated (November 2016 PBAC meeting) and has been used in the current submission </w:t>
      </w:r>
      <w:r w:rsidR="00706DCA" w:rsidRPr="00521709">
        <w:rPr>
          <w:rFonts w:asciiTheme="minorHAnsi" w:hAnsiTheme="minorHAnsi"/>
          <w:sz w:val="24"/>
          <w:szCs w:val="24"/>
        </w:rPr>
        <w:t xml:space="preserve">to demonstrate that glecaprevir with </w:t>
      </w:r>
      <w:r w:rsidRPr="00521709">
        <w:rPr>
          <w:rFonts w:asciiTheme="minorHAnsi" w:hAnsiTheme="minorHAnsi"/>
          <w:sz w:val="24"/>
          <w:szCs w:val="24"/>
        </w:rPr>
        <w:t xml:space="preserve">pibrentasvir is cost-effective in patients who have failed an NS5A inhibitor. </w:t>
      </w:r>
      <w:r w:rsidR="000A370C" w:rsidRPr="00521709">
        <w:rPr>
          <w:rFonts w:asciiTheme="minorHAnsi" w:hAnsiTheme="minorHAnsi"/>
          <w:i/>
          <w:sz w:val="24"/>
          <w:szCs w:val="24"/>
        </w:rPr>
        <w:t xml:space="preserve"> </w:t>
      </w:r>
      <w:r w:rsidR="000A370C" w:rsidRPr="00521709">
        <w:rPr>
          <w:rFonts w:asciiTheme="minorHAnsi" w:hAnsiTheme="minorHAnsi"/>
          <w:sz w:val="24"/>
          <w:szCs w:val="24"/>
        </w:rPr>
        <w:t>Although this submission relies on the economic model provided in the PBAC submission for Technivie</w:t>
      </w:r>
      <w:r w:rsidR="00780AC4" w:rsidRPr="00521709">
        <w:rPr>
          <w:rFonts w:asciiTheme="minorHAnsi" w:hAnsiTheme="minorHAnsi"/>
          <w:sz w:val="24"/>
          <w:szCs w:val="24"/>
        </w:rPr>
        <w:t>®</w:t>
      </w:r>
      <w:r w:rsidR="000A370C" w:rsidRPr="00521709">
        <w:rPr>
          <w:rFonts w:asciiTheme="minorHAnsi" w:hAnsiTheme="minorHAnsi"/>
          <w:sz w:val="24"/>
          <w:szCs w:val="24"/>
        </w:rPr>
        <w:t xml:space="preserve"> to support its claim that</w:t>
      </w:r>
      <w:r w:rsidR="000A370C" w:rsidRPr="00521709">
        <w:t xml:space="preserve"> </w:t>
      </w:r>
      <w:r w:rsidR="000A370C" w:rsidRPr="00521709">
        <w:rPr>
          <w:rFonts w:asciiTheme="minorHAnsi" w:hAnsiTheme="minorHAnsi"/>
          <w:sz w:val="24"/>
          <w:szCs w:val="24"/>
        </w:rPr>
        <w:t>glecaprevir with pibrentasvir is cost-effective in NS5A treatment experienced patients, the PBAC recommendation for Technivie</w:t>
      </w:r>
      <w:r w:rsidR="00780AC4" w:rsidRPr="00521709">
        <w:rPr>
          <w:rFonts w:asciiTheme="minorHAnsi" w:hAnsiTheme="minorHAnsi"/>
          <w:sz w:val="24"/>
          <w:szCs w:val="24"/>
        </w:rPr>
        <w:t>®</w:t>
      </w:r>
      <w:r w:rsidR="000A370C" w:rsidRPr="00521709">
        <w:rPr>
          <w:rFonts w:asciiTheme="minorHAnsi" w:hAnsiTheme="minorHAnsi"/>
          <w:sz w:val="24"/>
          <w:szCs w:val="24"/>
        </w:rPr>
        <w:t xml:space="preserve"> was made on a cost-minimisation basis with  grazoprevir with elbasvir (Zepatier®, MSD).   In other words, the PBAC has not previously accepted the Abbvie model as a basis for assessing the cost-effectiveness of chronic hepatitis C treatments.</w:t>
      </w:r>
    </w:p>
    <w:p w:rsidR="009B1564" w:rsidRPr="00521709" w:rsidRDefault="009B1564" w:rsidP="009B1564">
      <w:pPr>
        <w:pStyle w:val="ListParagraph"/>
        <w:rPr>
          <w:rFonts w:asciiTheme="minorHAnsi" w:hAnsiTheme="minorHAnsi"/>
          <w:sz w:val="24"/>
          <w:szCs w:val="24"/>
        </w:rPr>
      </w:pPr>
    </w:p>
    <w:p w:rsidR="000A370C" w:rsidRPr="00521709" w:rsidRDefault="000A370C" w:rsidP="009B1564">
      <w:pPr>
        <w:pStyle w:val="ListParagraph"/>
        <w:numPr>
          <w:ilvl w:val="1"/>
          <w:numId w:val="5"/>
        </w:numPr>
        <w:ind w:left="720"/>
        <w:rPr>
          <w:rFonts w:asciiTheme="minorHAnsi" w:hAnsiTheme="minorHAnsi"/>
          <w:sz w:val="24"/>
          <w:szCs w:val="24"/>
        </w:rPr>
      </w:pPr>
      <w:r w:rsidRPr="00521709">
        <w:rPr>
          <w:rFonts w:asciiTheme="minorHAnsi" w:hAnsiTheme="minorHAnsi"/>
          <w:sz w:val="24"/>
          <w:szCs w:val="24"/>
        </w:rPr>
        <w:t>However, the current submission requests the same price</w:t>
      </w:r>
      <w:r w:rsidR="00AC1E2B" w:rsidRPr="00521709">
        <w:rPr>
          <w:rFonts w:asciiTheme="minorHAnsi" w:hAnsiTheme="minorHAnsi"/>
          <w:sz w:val="24"/>
          <w:szCs w:val="24"/>
        </w:rPr>
        <w:t xml:space="preserve"> per course</w:t>
      </w:r>
      <w:r w:rsidRPr="00521709">
        <w:rPr>
          <w:rFonts w:asciiTheme="minorHAnsi" w:hAnsiTheme="minorHAnsi"/>
          <w:sz w:val="24"/>
          <w:szCs w:val="24"/>
        </w:rPr>
        <w:t xml:space="preserve"> for glecaprevir with pibrentasvir</w:t>
      </w:r>
      <w:r w:rsidR="00AC1E2B" w:rsidRPr="00521709">
        <w:rPr>
          <w:rFonts w:asciiTheme="minorHAnsi" w:hAnsiTheme="minorHAnsi"/>
          <w:sz w:val="24"/>
          <w:szCs w:val="24"/>
        </w:rPr>
        <w:t xml:space="preserve"> in NS5A treatment experienced patients as for glecaprevir with pibrentasvir in other genotypes, and as for sofosbuvir with velpatasvir (Epclusa®, Gilead).</w:t>
      </w:r>
    </w:p>
    <w:p w:rsidR="009B1564" w:rsidRPr="00521709" w:rsidRDefault="009B1564" w:rsidP="007C65CC">
      <w:pPr>
        <w:pStyle w:val="ListParagraph"/>
        <w:rPr>
          <w:rFonts w:asciiTheme="minorHAnsi" w:hAnsiTheme="minorHAnsi"/>
          <w:sz w:val="24"/>
          <w:szCs w:val="24"/>
        </w:rPr>
      </w:pPr>
    </w:p>
    <w:p w:rsidR="00D10BEF" w:rsidRPr="00521709" w:rsidRDefault="00D10BEF" w:rsidP="007C65CC">
      <w:pPr>
        <w:pStyle w:val="ListParagraph"/>
        <w:numPr>
          <w:ilvl w:val="1"/>
          <w:numId w:val="5"/>
        </w:numPr>
        <w:ind w:left="720"/>
        <w:rPr>
          <w:rFonts w:asciiTheme="minorHAnsi" w:hAnsiTheme="minorHAnsi"/>
          <w:sz w:val="24"/>
          <w:szCs w:val="24"/>
        </w:rPr>
      </w:pPr>
      <w:r w:rsidRPr="00521709">
        <w:rPr>
          <w:rFonts w:asciiTheme="minorHAnsi" w:hAnsiTheme="minorHAnsi"/>
          <w:sz w:val="24"/>
          <w:szCs w:val="24"/>
        </w:rPr>
        <w:t xml:space="preserve">In the previous major submission considered by PBAC in July 2017, the submission </w:t>
      </w:r>
      <w:r w:rsidR="00AC1E2B" w:rsidRPr="00521709">
        <w:rPr>
          <w:rFonts w:asciiTheme="minorHAnsi" w:hAnsiTheme="minorHAnsi"/>
          <w:sz w:val="24"/>
          <w:szCs w:val="24"/>
        </w:rPr>
        <w:t xml:space="preserve">also </w:t>
      </w:r>
      <w:r w:rsidRPr="00521709">
        <w:rPr>
          <w:rFonts w:asciiTheme="minorHAnsi" w:hAnsiTheme="minorHAnsi"/>
          <w:sz w:val="24"/>
          <w:szCs w:val="24"/>
        </w:rPr>
        <w:t xml:space="preserve">presented a cost-minimisation analysis against </w:t>
      </w:r>
      <w:r w:rsidR="00102E28" w:rsidRPr="00521709">
        <w:rPr>
          <w:rFonts w:asciiTheme="minorHAnsi" w:hAnsiTheme="minorHAnsi"/>
          <w:sz w:val="24"/>
          <w:szCs w:val="24"/>
        </w:rPr>
        <w:t>sofosbuvir/velpatasvir</w:t>
      </w:r>
      <w:r w:rsidR="00AC1E2B" w:rsidRPr="00521709">
        <w:rPr>
          <w:rFonts w:asciiTheme="minorHAnsi" w:hAnsiTheme="minorHAnsi"/>
          <w:sz w:val="24"/>
          <w:szCs w:val="24"/>
        </w:rPr>
        <w:t>.</w:t>
      </w:r>
      <w:r w:rsidR="00EC6AD2" w:rsidRPr="00521709">
        <w:rPr>
          <w:rFonts w:asciiTheme="minorHAnsi" w:hAnsiTheme="minorHAnsi"/>
          <w:sz w:val="24"/>
          <w:szCs w:val="24"/>
        </w:rPr>
        <w:t xml:space="preserve"> </w:t>
      </w:r>
    </w:p>
    <w:p w:rsidR="007C65CC" w:rsidRPr="00521709" w:rsidRDefault="007C65CC" w:rsidP="007C65CC">
      <w:pPr>
        <w:pStyle w:val="ListParagraph"/>
        <w:rPr>
          <w:rFonts w:asciiTheme="minorHAnsi" w:hAnsiTheme="minorHAnsi"/>
          <w:sz w:val="24"/>
          <w:szCs w:val="24"/>
        </w:rPr>
      </w:pPr>
    </w:p>
    <w:p w:rsidR="009A34D1" w:rsidRPr="00521709" w:rsidRDefault="00C50026" w:rsidP="007C65CC">
      <w:pPr>
        <w:pStyle w:val="ListParagraph"/>
        <w:numPr>
          <w:ilvl w:val="1"/>
          <w:numId w:val="5"/>
        </w:numPr>
        <w:ind w:left="720"/>
        <w:rPr>
          <w:rFonts w:asciiTheme="minorHAnsi" w:hAnsiTheme="minorHAnsi"/>
          <w:sz w:val="24"/>
          <w:szCs w:val="24"/>
        </w:rPr>
      </w:pPr>
      <w:r w:rsidRPr="00521709">
        <w:rPr>
          <w:rFonts w:asciiTheme="minorHAnsi" w:hAnsiTheme="minorHAnsi"/>
          <w:sz w:val="24"/>
          <w:szCs w:val="24"/>
        </w:rPr>
        <w:t>The major submission of July 2017 proposed an indicative</w:t>
      </w:r>
      <w:r w:rsidR="00D455DF" w:rsidRPr="00521709">
        <w:rPr>
          <w:rFonts w:asciiTheme="minorHAnsi" w:hAnsiTheme="minorHAnsi"/>
          <w:sz w:val="24"/>
          <w:szCs w:val="24"/>
        </w:rPr>
        <w:t xml:space="preserve"> effective</w:t>
      </w:r>
      <w:r w:rsidRPr="00521709">
        <w:rPr>
          <w:rFonts w:asciiTheme="minorHAnsi" w:hAnsiTheme="minorHAnsi"/>
          <w:sz w:val="24"/>
          <w:szCs w:val="24"/>
        </w:rPr>
        <w:t xml:space="preserve"> price of $</w:t>
      </w:r>
      <w:r w:rsidR="00A833AF">
        <w:rPr>
          <w:rFonts w:asciiTheme="minorHAnsi" w:hAnsiTheme="minorHAnsi"/>
          <w:noProof/>
          <w:color w:val="000000"/>
          <w:sz w:val="24"/>
          <w:szCs w:val="24"/>
          <w:highlight w:val="black"/>
        </w:rPr>
        <w:t>''''''''''''</w:t>
      </w:r>
      <w:r w:rsidRPr="00521709">
        <w:rPr>
          <w:rFonts w:asciiTheme="minorHAnsi" w:hAnsiTheme="minorHAnsi"/>
          <w:sz w:val="24"/>
          <w:szCs w:val="24"/>
        </w:rPr>
        <w:t xml:space="preserve"> per patient per course, based on the published price of sofosbuvir/velpatasvir. The minor submission requested t</w:t>
      </w:r>
      <w:r w:rsidR="00706DCA" w:rsidRPr="00521709">
        <w:rPr>
          <w:rFonts w:asciiTheme="minorHAnsi" w:hAnsiTheme="minorHAnsi"/>
          <w:sz w:val="24"/>
          <w:szCs w:val="24"/>
        </w:rPr>
        <w:t xml:space="preserve">he price of glecaprevir with </w:t>
      </w:r>
      <w:r w:rsidRPr="00521709">
        <w:rPr>
          <w:rFonts w:asciiTheme="minorHAnsi" w:hAnsiTheme="minorHAnsi"/>
          <w:sz w:val="24"/>
          <w:szCs w:val="24"/>
        </w:rPr>
        <w:t>pibrentasvir per patient per course for the NS5A experienced population be the same as that for NS5A naïve patients and propose</w:t>
      </w:r>
      <w:r w:rsidR="00DB640B" w:rsidRPr="00521709">
        <w:rPr>
          <w:rFonts w:asciiTheme="minorHAnsi" w:hAnsiTheme="minorHAnsi"/>
          <w:sz w:val="24"/>
          <w:szCs w:val="24"/>
        </w:rPr>
        <w:t>d</w:t>
      </w:r>
      <w:r w:rsidRPr="00521709">
        <w:rPr>
          <w:rFonts w:asciiTheme="minorHAnsi" w:hAnsiTheme="minorHAnsi"/>
          <w:sz w:val="24"/>
          <w:szCs w:val="24"/>
        </w:rPr>
        <w:t xml:space="preserve"> a</w:t>
      </w:r>
      <w:r w:rsidR="00D455DF" w:rsidRPr="00521709">
        <w:rPr>
          <w:rFonts w:asciiTheme="minorHAnsi" w:hAnsiTheme="minorHAnsi"/>
          <w:sz w:val="24"/>
          <w:szCs w:val="24"/>
        </w:rPr>
        <w:t>n effective</w:t>
      </w:r>
      <w:r w:rsidRPr="00521709">
        <w:rPr>
          <w:rFonts w:asciiTheme="minorHAnsi" w:hAnsiTheme="minorHAnsi"/>
          <w:sz w:val="24"/>
          <w:szCs w:val="24"/>
        </w:rPr>
        <w:t xml:space="preserve"> price of $</w:t>
      </w:r>
      <w:r w:rsidR="00A833AF">
        <w:rPr>
          <w:rFonts w:asciiTheme="minorHAnsi" w:hAnsiTheme="minorHAnsi"/>
          <w:noProof/>
          <w:color w:val="000000"/>
          <w:sz w:val="24"/>
          <w:szCs w:val="24"/>
          <w:highlight w:val="black"/>
        </w:rPr>
        <w:t>''''''''''''''</w:t>
      </w:r>
      <w:r w:rsidRPr="00521709">
        <w:rPr>
          <w:rFonts w:asciiTheme="minorHAnsi" w:hAnsiTheme="minorHAnsi"/>
          <w:sz w:val="24"/>
          <w:szCs w:val="24"/>
        </w:rPr>
        <w:t xml:space="preserve"> for 16 weeks of therapy.</w:t>
      </w:r>
    </w:p>
    <w:p w:rsidR="00C50026" w:rsidRPr="00521709" w:rsidRDefault="00C50026" w:rsidP="00C50026">
      <w:pPr>
        <w:pStyle w:val="Heading2"/>
        <w:keepLines/>
        <w:spacing w:before="240" w:after="120"/>
        <w:rPr>
          <w:rFonts w:asciiTheme="minorHAnsi" w:eastAsiaTheme="majorEastAsia" w:hAnsiTheme="minorHAnsi" w:cstheme="majorBidi"/>
          <w:sz w:val="28"/>
          <w:szCs w:val="28"/>
          <w:lang w:eastAsia="en-US"/>
        </w:rPr>
      </w:pPr>
      <w:r w:rsidRPr="00521709">
        <w:rPr>
          <w:rFonts w:asciiTheme="minorHAnsi" w:eastAsiaTheme="majorEastAsia" w:hAnsiTheme="minorHAnsi" w:cstheme="majorBidi"/>
          <w:sz w:val="28"/>
          <w:szCs w:val="28"/>
          <w:lang w:eastAsia="en-US"/>
        </w:rPr>
        <w:t>Estimated PBS usage &amp; financial implications</w:t>
      </w:r>
    </w:p>
    <w:p w:rsidR="007C65CC" w:rsidRPr="00521709" w:rsidRDefault="007C65CC" w:rsidP="007C65CC">
      <w:pPr>
        <w:pStyle w:val="ListParagraph"/>
        <w:rPr>
          <w:rFonts w:asciiTheme="minorHAnsi" w:hAnsiTheme="minorHAnsi"/>
          <w:sz w:val="24"/>
          <w:szCs w:val="24"/>
          <w:highlight w:val="yellow"/>
        </w:rPr>
      </w:pPr>
    </w:p>
    <w:p w:rsidR="00563B79" w:rsidRPr="00521709" w:rsidRDefault="00563B79" w:rsidP="0005172B">
      <w:pPr>
        <w:pStyle w:val="ListParagraph"/>
        <w:numPr>
          <w:ilvl w:val="1"/>
          <w:numId w:val="5"/>
        </w:numPr>
        <w:ind w:left="709" w:hanging="709"/>
        <w:rPr>
          <w:rFonts w:asciiTheme="minorHAnsi" w:hAnsiTheme="minorHAnsi"/>
          <w:sz w:val="24"/>
          <w:szCs w:val="24"/>
        </w:rPr>
      </w:pPr>
      <w:r w:rsidRPr="00521709">
        <w:rPr>
          <w:rFonts w:asciiTheme="minorHAnsi" w:hAnsiTheme="minorHAnsi"/>
          <w:sz w:val="24"/>
          <w:szCs w:val="24"/>
        </w:rPr>
        <w:t xml:space="preserve">The current restrictions for the DAA for chronic hepatitis C do not preclude retreatment for patients who have failed to respond to the first DAA regimen used.  </w:t>
      </w:r>
      <w:r w:rsidR="00B71017" w:rsidRPr="00521709">
        <w:rPr>
          <w:rFonts w:asciiTheme="minorHAnsi" w:hAnsiTheme="minorHAnsi"/>
          <w:sz w:val="24"/>
          <w:szCs w:val="24"/>
        </w:rPr>
        <w:t>The PBAC reiterated its recommendation, from the consideration of the major submission in July 2017,</w:t>
      </w:r>
      <w:r w:rsidR="00B71017" w:rsidRPr="00521709">
        <w:rPr>
          <w:rFonts w:asciiTheme="minorHAnsi" w:hAnsiTheme="minorHAnsi"/>
          <w:bCs/>
          <w:sz w:val="24"/>
          <w:szCs w:val="24"/>
        </w:rPr>
        <w:t xml:space="preserve"> that </w:t>
      </w:r>
      <w:r w:rsidR="00B71017" w:rsidRPr="00521709">
        <w:rPr>
          <w:rFonts w:asciiTheme="minorHAnsi" w:hAnsiTheme="minorHAnsi"/>
          <w:sz w:val="24"/>
          <w:szCs w:val="24"/>
        </w:rPr>
        <w:t xml:space="preserve">glecaprevir/pibrentasvir </w:t>
      </w:r>
      <w:r w:rsidR="00B71017" w:rsidRPr="00521709">
        <w:rPr>
          <w:rFonts w:asciiTheme="minorHAnsi" w:hAnsiTheme="minorHAnsi"/>
          <w:bCs/>
          <w:sz w:val="24"/>
          <w:szCs w:val="24"/>
        </w:rPr>
        <w:t>enter the Risk Sharing Arrangement (RSA) currently in place for other drugs used for the treatment of CHC, and be subject to the same subsidisation caps and rebate arrangements.</w:t>
      </w:r>
      <w:r w:rsidR="007A4A62" w:rsidRPr="00521709">
        <w:rPr>
          <w:rFonts w:asciiTheme="minorHAnsi" w:hAnsiTheme="minorHAnsi"/>
          <w:bCs/>
          <w:sz w:val="24"/>
          <w:szCs w:val="24"/>
        </w:rPr>
        <w:t xml:space="preserve">  The PBAC considered that the listing of glecaprevir/pibrentasvir for NS5A experienced patients </w:t>
      </w:r>
      <w:r w:rsidR="00FA2CB7" w:rsidRPr="00521709">
        <w:rPr>
          <w:rFonts w:asciiTheme="minorHAnsi" w:hAnsiTheme="minorHAnsi"/>
          <w:bCs/>
          <w:sz w:val="24"/>
          <w:szCs w:val="24"/>
        </w:rPr>
        <w:t>will not</w:t>
      </w:r>
      <w:r w:rsidR="007A4A62" w:rsidRPr="00521709">
        <w:rPr>
          <w:rFonts w:asciiTheme="minorHAnsi" w:hAnsiTheme="minorHAnsi"/>
          <w:bCs/>
          <w:sz w:val="24"/>
          <w:szCs w:val="24"/>
        </w:rPr>
        <w:t xml:space="preserve"> increase the cost to the Government as these patients can be treated under the current listings.</w:t>
      </w:r>
    </w:p>
    <w:p w:rsidR="00C50026" w:rsidRPr="00521709" w:rsidRDefault="00C50026" w:rsidP="00C50026">
      <w:pPr>
        <w:pStyle w:val="ListParagraph"/>
        <w:spacing w:after="120"/>
        <w:ind w:left="709"/>
        <w:contextualSpacing w:val="0"/>
        <w:rPr>
          <w:rFonts w:asciiTheme="minorHAnsi" w:hAnsiTheme="minorHAnsi"/>
          <w:sz w:val="24"/>
          <w:szCs w:val="24"/>
        </w:rPr>
      </w:pPr>
    </w:p>
    <w:p w:rsidR="00C50026" w:rsidRPr="00521709" w:rsidRDefault="003E2DF2" w:rsidP="00CC2580">
      <w:pPr>
        <w:ind w:left="709"/>
        <w:contextualSpacing/>
        <w:jc w:val="both"/>
        <w:rPr>
          <w:rFonts w:asciiTheme="minorHAnsi" w:hAnsiTheme="minorHAnsi"/>
        </w:rPr>
      </w:pPr>
      <w:r w:rsidRPr="00521709">
        <w:rPr>
          <w:rFonts w:asciiTheme="minorHAnsi" w:hAnsiTheme="minorHAnsi"/>
          <w:i/>
        </w:rPr>
        <w:t>For more detail on PBAC’s view, see section 7 PBAC outcome.</w:t>
      </w:r>
    </w:p>
    <w:p w:rsidR="00CC2580" w:rsidRPr="00521709" w:rsidRDefault="00CC2580" w:rsidP="00B422E6">
      <w:pPr>
        <w:widowControl w:val="0"/>
        <w:numPr>
          <w:ilvl w:val="0"/>
          <w:numId w:val="5"/>
        </w:numPr>
        <w:spacing w:before="240" w:after="120"/>
        <w:jc w:val="both"/>
        <w:outlineLvl w:val="0"/>
        <w:rPr>
          <w:rFonts w:asciiTheme="minorHAnsi" w:hAnsiTheme="minorHAnsi" w:cs="Arial"/>
          <w:b/>
          <w:bCs/>
          <w:snapToGrid w:val="0"/>
          <w:sz w:val="32"/>
          <w:lang w:eastAsia="en-US"/>
        </w:rPr>
      </w:pPr>
      <w:r w:rsidRPr="00521709">
        <w:rPr>
          <w:rFonts w:asciiTheme="minorHAnsi" w:hAnsiTheme="minorHAnsi" w:cs="Arial"/>
          <w:b/>
          <w:bCs/>
          <w:snapToGrid w:val="0"/>
          <w:sz w:val="32"/>
          <w:lang w:eastAsia="en-US"/>
        </w:rPr>
        <w:t>PBAC Outcome</w:t>
      </w:r>
    </w:p>
    <w:p w:rsidR="006E0F53" w:rsidRPr="00521709" w:rsidRDefault="00B04EEB" w:rsidP="009A3A69">
      <w:pPr>
        <w:widowControl w:val="0"/>
        <w:numPr>
          <w:ilvl w:val="1"/>
          <w:numId w:val="5"/>
        </w:numPr>
        <w:ind w:left="720"/>
        <w:jc w:val="both"/>
        <w:rPr>
          <w:rFonts w:asciiTheme="minorHAnsi" w:hAnsiTheme="minorHAnsi"/>
          <w:bCs/>
        </w:rPr>
      </w:pPr>
      <w:r w:rsidRPr="00521709">
        <w:rPr>
          <w:rFonts w:asciiTheme="minorHAnsi" w:hAnsiTheme="minorHAnsi"/>
          <w:bCs/>
        </w:rPr>
        <w:t>The PBAC, recalling it had deferred the major submission from July 2017 pending the provision of the relevant TGA delegate’s overview</w:t>
      </w:r>
      <w:r w:rsidR="007A4A62" w:rsidRPr="00521709">
        <w:rPr>
          <w:rFonts w:asciiTheme="minorHAnsi" w:hAnsiTheme="minorHAnsi"/>
          <w:bCs/>
        </w:rPr>
        <w:t xml:space="preserve"> </w:t>
      </w:r>
      <w:r w:rsidR="000B417A" w:rsidRPr="00521709">
        <w:rPr>
          <w:rFonts w:asciiTheme="minorHAnsi" w:hAnsiTheme="minorHAnsi"/>
          <w:bCs/>
        </w:rPr>
        <w:t xml:space="preserve">- </w:t>
      </w:r>
      <w:r w:rsidR="007A4A62" w:rsidRPr="00521709">
        <w:rPr>
          <w:rFonts w:asciiTheme="minorHAnsi" w:hAnsiTheme="minorHAnsi"/>
          <w:bCs/>
        </w:rPr>
        <w:t>which has now been received</w:t>
      </w:r>
      <w:r w:rsidRPr="00521709">
        <w:rPr>
          <w:rFonts w:asciiTheme="minorHAnsi" w:hAnsiTheme="minorHAnsi"/>
          <w:bCs/>
        </w:rPr>
        <w:t xml:space="preserve">, </w:t>
      </w:r>
      <w:r w:rsidR="00B71017" w:rsidRPr="00521709">
        <w:rPr>
          <w:rFonts w:asciiTheme="minorHAnsi" w:hAnsiTheme="minorHAnsi"/>
          <w:bCs/>
        </w:rPr>
        <w:t xml:space="preserve">recommended </w:t>
      </w:r>
      <w:r w:rsidR="006E0F53" w:rsidRPr="00521709">
        <w:rPr>
          <w:rFonts w:asciiTheme="minorHAnsi" w:hAnsiTheme="minorHAnsi"/>
          <w:bCs/>
        </w:rPr>
        <w:t xml:space="preserve">the Authority Required General Schedule and Section 100 listing of glecaprevir with pibrentasvir for the treatment of chronic hepatitis C infection for </w:t>
      </w:r>
      <w:r w:rsidRPr="00521709">
        <w:rPr>
          <w:rFonts w:asciiTheme="minorHAnsi" w:hAnsiTheme="minorHAnsi"/>
          <w:bCs/>
        </w:rPr>
        <w:t xml:space="preserve">treatment naïve and </w:t>
      </w:r>
      <w:r w:rsidR="00FE6368" w:rsidRPr="00521709">
        <w:rPr>
          <w:rFonts w:asciiTheme="minorHAnsi" w:hAnsiTheme="minorHAnsi"/>
          <w:bCs/>
        </w:rPr>
        <w:t xml:space="preserve">treatment experienced </w:t>
      </w:r>
      <w:r w:rsidR="006E0F53" w:rsidRPr="00521709">
        <w:rPr>
          <w:rFonts w:asciiTheme="minorHAnsi" w:hAnsiTheme="minorHAnsi"/>
          <w:bCs/>
        </w:rPr>
        <w:t>patients</w:t>
      </w:r>
      <w:r w:rsidRPr="00521709">
        <w:rPr>
          <w:rFonts w:asciiTheme="minorHAnsi" w:hAnsiTheme="minorHAnsi"/>
          <w:bCs/>
        </w:rPr>
        <w:t xml:space="preserve"> (including those with prior NS5A treatment)</w:t>
      </w:r>
      <w:r w:rsidR="006E0F53" w:rsidRPr="00521709">
        <w:rPr>
          <w:rFonts w:asciiTheme="minorHAnsi" w:hAnsiTheme="minorHAnsi"/>
          <w:bCs/>
        </w:rPr>
        <w:t xml:space="preserve"> with genotypes 1-6, with or without cirrhosis</w:t>
      </w:r>
      <w:r w:rsidR="007A4A62" w:rsidRPr="00521709">
        <w:rPr>
          <w:rFonts w:asciiTheme="minorHAnsi" w:hAnsiTheme="minorHAnsi"/>
          <w:bCs/>
        </w:rPr>
        <w:t>.</w:t>
      </w:r>
    </w:p>
    <w:p w:rsidR="006E0F53" w:rsidRPr="00521709" w:rsidRDefault="006E0F53" w:rsidP="006E0F53">
      <w:pPr>
        <w:widowControl w:val="0"/>
        <w:ind w:left="720"/>
        <w:jc w:val="both"/>
        <w:rPr>
          <w:rFonts w:asciiTheme="minorHAnsi" w:hAnsiTheme="minorHAnsi"/>
          <w:bCs/>
        </w:rPr>
      </w:pPr>
    </w:p>
    <w:p w:rsidR="006E0F53" w:rsidRPr="00521709" w:rsidRDefault="006E0F53" w:rsidP="006E0F53">
      <w:pPr>
        <w:pStyle w:val="ListParagraph"/>
        <w:numPr>
          <w:ilvl w:val="1"/>
          <w:numId w:val="5"/>
        </w:numPr>
        <w:ind w:left="720"/>
        <w:rPr>
          <w:rFonts w:asciiTheme="minorHAnsi" w:hAnsiTheme="minorHAnsi"/>
          <w:bCs/>
          <w:sz w:val="24"/>
          <w:szCs w:val="24"/>
        </w:rPr>
      </w:pPr>
      <w:r w:rsidRPr="00521709">
        <w:rPr>
          <w:rFonts w:asciiTheme="minorHAnsi" w:hAnsiTheme="minorHAnsi"/>
          <w:bCs/>
          <w:sz w:val="24"/>
          <w:szCs w:val="24"/>
        </w:rPr>
        <w:t xml:space="preserve">The PBAC </w:t>
      </w:r>
      <w:r w:rsidR="00FD6DF8" w:rsidRPr="00521709">
        <w:rPr>
          <w:rFonts w:asciiTheme="minorHAnsi" w:hAnsiTheme="minorHAnsi"/>
          <w:bCs/>
          <w:sz w:val="24"/>
          <w:szCs w:val="24"/>
        </w:rPr>
        <w:t>re</w:t>
      </w:r>
      <w:r w:rsidR="007A4A62" w:rsidRPr="00521709">
        <w:rPr>
          <w:rFonts w:asciiTheme="minorHAnsi" w:hAnsiTheme="minorHAnsi"/>
          <w:bCs/>
          <w:sz w:val="24"/>
          <w:szCs w:val="24"/>
        </w:rPr>
        <w:t>iterated</w:t>
      </w:r>
      <w:r w:rsidR="00FD6DF8" w:rsidRPr="00521709">
        <w:rPr>
          <w:rFonts w:asciiTheme="minorHAnsi" w:hAnsiTheme="minorHAnsi"/>
          <w:bCs/>
          <w:sz w:val="24"/>
          <w:szCs w:val="24"/>
        </w:rPr>
        <w:t xml:space="preserve"> </w:t>
      </w:r>
      <w:r w:rsidR="007A4A62" w:rsidRPr="00521709">
        <w:rPr>
          <w:rFonts w:asciiTheme="minorHAnsi" w:hAnsiTheme="minorHAnsi"/>
          <w:bCs/>
          <w:sz w:val="24"/>
          <w:szCs w:val="24"/>
        </w:rPr>
        <w:t xml:space="preserve">its </w:t>
      </w:r>
      <w:r w:rsidR="00FD6DF8" w:rsidRPr="00521709">
        <w:rPr>
          <w:rFonts w:asciiTheme="minorHAnsi" w:hAnsiTheme="minorHAnsi"/>
          <w:bCs/>
          <w:sz w:val="24"/>
          <w:szCs w:val="24"/>
        </w:rPr>
        <w:t>July 2017</w:t>
      </w:r>
      <w:r w:rsidR="007A4A62" w:rsidRPr="00521709">
        <w:rPr>
          <w:rFonts w:asciiTheme="minorHAnsi" w:hAnsiTheme="minorHAnsi"/>
          <w:bCs/>
          <w:sz w:val="24"/>
          <w:szCs w:val="24"/>
        </w:rPr>
        <w:t xml:space="preserve"> advice</w:t>
      </w:r>
      <w:r w:rsidR="00FD6DF8" w:rsidRPr="00521709">
        <w:rPr>
          <w:rFonts w:asciiTheme="minorHAnsi" w:hAnsiTheme="minorHAnsi"/>
          <w:bCs/>
          <w:sz w:val="24"/>
          <w:szCs w:val="24"/>
        </w:rPr>
        <w:t xml:space="preserve"> </w:t>
      </w:r>
      <w:r w:rsidRPr="00521709">
        <w:rPr>
          <w:rFonts w:asciiTheme="minorHAnsi" w:hAnsiTheme="minorHAnsi"/>
          <w:bCs/>
          <w:sz w:val="24"/>
          <w:szCs w:val="24"/>
        </w:rPr>
        <w:t>that the PBS restriction should be consistent with other DAA drugs listed in the General Statement for Drugs for the Treatment of Hepatitis C (</w:t>
      </w:r>
      <w:r w:rsidRPr="00521709">
        <w:rPr>
          <w:rFonts w:asciiTheme="minorHAnsi" w:hAnsiTheme="minorHAnsi"/>
          <w:bCs/>
          <w:i/>
          <w:sz w:val="24"/>
          <w:szCs w:val="24"/>
        </w:rPr>
        <w:t>General Statement</w:t>
      </w:r>
      <w:r w:rsidRPr="00521709">
        <w:rPr>
          <w:rFonts w:asciiTheme="minorHAnsi" w:hAnsiTheme="minorHAnsi"/>
          <w:bCs/>
          <w:sz w:val="24"/>
          <w:szCs w:val="24"/>
        </w:rPr>
        <w:t>)</w:t>
      </w:r>
      <w:r w:rsidR="009A3A69" w:rsidRPr="00521709">
        <w:rPr>
          <w:rFonts w:asciiTheme="minorHAnsi" w:hAnsiTheme="minorHAnsi"/>
          <w:bCs/>
          <w:sz w:val="24"/>
          <w:szCs w:val="24"/>
        </w:rPr>
        <w:t xml:space="preserve"> and that</w:t>
      </w:r>
      <w:r w:rsidRPr="00521709">
        <w:rPr>
          <w:rFonts w:asciiTheme="minorHAnsi" w:hAnsiTheme="minorHAnsi"/>
          <w:bCs/>
          <w:sz w:val="24"/>
          <w:szCs w:val="24"/>
        </w:rPr>
        <w:t xml:space="preserve"> </w:t>
      </w:r>
      <w:r w:rsidR="00FD6DF8" w:rsidRPr="00521709">
        <w:rPr>
          <w:rFonts w:asciiTheme="minorHAnsi" w:hAnsiTheme="minorHAnsi"/>
          <w:bCs/>
          <w:sz w:val="24"/>
          <w:szCs w:val="24"/>
        </w:rPr>
        <w:t xml:space="preserve">the exact restriction </w:t>
      </w:r>
      <w:r w:rsidR="009A3A69" w:rsidRPr="00521709">
        <w:rPr>
          <w:rFonts w:asciiTheme="minorHAnsi" w:hAnsiTheme="minorHAnsi"/>
          <w:bCs/>
          <w:sz w:val="24"/>
          <w:szCs w:val="24"/>
        </w:rPr>
        <w:t xml:space="preserve">wording </w:t>
      </w:r>
      <w:r w:rsidR="00FD6DF8" w:rsidRPr="00521709">
        <w:rPr>
          <w:rFonts w:asciiTheme="minorHAnsi" w:hAnsiTheme="minorHAnsi"/>
          <w:bCs/>
          <w:sz w:val="24"/>
          <w:szCs w:val="24"/>
        </w:rPr>
        <w:t xml:space="preserve">would need to be </w:t>
      </w:r>
      <w:r w:rsidR="009A3A69" w:rsidRPr="00521709">
        <w:rPr>
          <w:rFonts w:asciiTheme="minorHAnsi" w:hAnsiTheme="minorHAnsi"/>
          <w:bCs/>
          <w:sz w:val="24"/>
          <w:szCs w:val="24"/>
        </w:rPr>
        <w:t>finalised</w:t>
      </w:r>
      <w:r w:rsidR="00FD6DF8" w:rsidRPr="00521709">
        <w:rPr>
          <w:rFonts w:asciiTheme="minorHAnsi" w:hAnsiTheme="minorHAnsi"/>
          <w:bCs/>
          <w:sz w:val="24"/>
          <w:szCs w:val="24"/>
        </w:rPr>
        <w:t xml:space="preserve"> </w:t>
      </w:r>
      <w:r w:rsidR="009A3A69" w:rsidRPr="00521709">
        <w:rPr>
          <w:rFonts w:asciiTheme="minorHAnsi" w:hAnsiTheme="minorHAnsi"/>
          <w:bCs/>
          <w:sz w:val="24"/>
          <w:szCs w:val="24"/>
        </w:rPr>
        <w:t xml:space="preserve">following </w:t>
      </w:r>
      <w:r w:rsidR="00FD6DF8" w:rsidRPr="00521709">
        <w:rPr>
          <w:rFonts w:asciiTheme="minorHAnsi" w:hAnsiTheme="minorHAnsi"/>
          <w:bCs/>
          <w:sz w:val="24"/>
          <w:szCs w:val="24"/>
        </w:rPr>
        <w:t xml:space="preserve">TGA registration of the drug. The PBAC considered the addition of a footnote </w:t>
      </w:r>
      <w:r w:rsidR="000043A3" w:rsidRPr="00521709">
        <w:rPr>
          <w:rFonts w:asciiTheme="minorHAnsi" w:hAnsiTheme="minorHAnsi"/>
          <w:bCs/>
          <w:sz w:val="24"/>
          <w:szCs w:val="24"/>
        </w:rPr>
        <w:t xml:space="preserve">in the </w:t>
      </w:r>
      <w:r w:rsidR="00521709" w:rsidRPr="00EF7FEF">
        <w:rPr>
          <w:rFonts w:asciiTheme="minorHAnsi" w:hAnsiTheme="minorHAnsi"/>
          <w:bCs/>
          <w:i/>
          <w:sz w:val="24"/>
          <w:szCs w:val="24"/>
        </w:rPr>
        <w:t>General Statement</w:t>
      </w:r>
      <w:r w:rsidR="00521709" w:rsidRPr="00521709">
        <w:rPr>
          <w:rFonts w:asciiTheme="minorHAnsi" w:hAnsiTheme="minorHAnsi"/>
          <w:bCs/>
          <w:sz w:val="24"/>
          <w:szCs w:val="24"/>
        </w:rPr>
        <w:t xml:space="preserve"> </w:t>
      </w:r>
      <w:r w:rsidR="000043A3" w:rsidRPr="00521709">
        <w:rPr>
          <w:rFonts w:asciiTheme="minorHAnsi" w:hAnsiTheme="minorHAnsi"/>
          <w:bCs/>
          <w:sz w:val="24"/>
          <w:szCs w:val="24"/>
        </w:rPr>
        <w:t xml:space="preserve">to be appropriate for NS5A treatment experienced patients requiring treatment for 16 weeks. </w:t>
      </w:r>
      <w:r w:rsidR="00DD168C" w:rsidRPr="00521709">
        <w:rPr>
          <w:rFonts w:asciiTheme="minorHAnsi" w:hAnsiTheme="minorHAnsi"/>
          <w:bCs/>
          <w:sz w:val="24"/>
          <w:szCs w:val="24"/>
        </w:rPr>
        <w:t>For NS5A treatment</w:t>
      </w:r>
      <w:r w:rsidR="000258BC" w:rsidRPr="00521709">
        <w:rPr>
          <w:rFonts w:asciiTheme="minorHAnsi" w:hAnsiTheme="minorHAnsi"/>
          <w:bCs/>
          <w:sz w:val="24"/>
          <w:szCs w:val="24"/>
        </w:rPr>
        <w:t xml:space="preserve"> naïve patients the PBAC reiter</w:t>
      </w:r>
      <w:r w:rsidR="00DD168C" w:rsidRPr="00521709">
        <w:rPr>
          <w:rFonts w:asciiTheme="minorHAnsi" w:hAnsiTheme="minorHAnsi"/>
          <w:bCs/>
          <w:sz w:val="24"/>
          <w:szCs w:val="24"/>
        </w:rPr>
        <w:t xml:space="preserve">ated that </w:t>
      </w:r>
      <w:r w:rsidRPr="00521709">
        <w:rPr>
          <w:rFonts w:asciiTheme="minorHAnsi" w:hAnsiTheme="minorHAnsi"/>
          <w:bCs/>
          <w:sz w:val="24"/>
          <w:szCs w:val="24"/>
        </w:rPr>
        <w:t>the maximum quantity should provide for one pack, and three repeats, allowing for up to 16 weeks treatment duration.</w:t>
      </w:r>
    </w:p>
    <w:p w:rsidR="006E0F53" w:rsidRPr="00521709" w:rsidRDefault="006E0F53" w:rsidP="006E0F53">
      <w:pPr>
        <w:pStyle w:val="ListParagraph"/>
        <w:rPr>
          <w:rFonts w:asciiTheme="minorHAnsi" w:hAnsiTheme="minorHAnsi"/>
          <w:bCs/>
          <w:sz w:val="24"/>
          <w:szCs w:val="24"/>
        </w:rPr>
      </w:pPr>
    </w:p>
    <w:p w:rsidR="00DD168C" w:rsidRPr="00521709" w:rsidRDefault="00DD168C" w:rsidP="00DD168C">
      <w:pPr>
        <w:pStyle w:val="ListParagraph"/>
        <w:widowControl/>
        <w:numPr>
          <w:ilvl w:val="1"/>
          <w:numId w:val="5"/>
        </w:numPr>
        <w:spacing w:after="120"/>
        <w:ind w:left="720"/>
        <w:contextualSpacing w:val="0"/>
        <w:rPr>
          <w:rFonts w:asciiTheme="minorHAnsi" w:hAnsiTheme="minorHAnsi"/>
          <w:bCs/>
          <w:sz w:val="24"/>
          <w:szCs w:val="24"/>
        </w:rPr>
      </w:pPr>
      <w:r w:rsidRPr="00521709">
        <w:rPr>
          <w:rFonts w:asciiTheme="minorHAnsi" w:hAnsiTheme="minorHAnsi"/>
          <w:bCs/>
          <w:sz w:val="24"/>
          <w:szCs w:val="24"/>
        </w:rPr>
        <w:t>Based on the evidence provided in the minor submission</w:t>
      </w:r>
      <w:r w:rsidR="00D07201" w:rsidRPr="00521709">
        <w:rPr>
          <w:rFonts w:asciiTheme="minorHAnsi" w:hAnsiTheme="minorHAnsi"/>
          <w:bCs/>
          <w:sz w:val="24"/>
          <w:szCs w:val="24"/>
        </w:rPr>
        <w:t>,</w:t>
      </w:r>
      <w:r w:rsidRPr="00521709">
        <w:rPr>
          <w:rFonts w:asciiTheme="minorHAnsi" w:hAnsiTheme="minorHAnsi"/>
          <w:bCs/>
          <w:sz w:val="24"/>
          <w:szCs w:val="24"/>
        </w:rPr>
        <w:t xml:space="preserve"> the PBAC considered that </w:t>
      </w:r>
      <w:r w:rsidRPr="00521709">
        <w:rPr>
          <w:rFonts w:asciiTheme="minorHAnsi" w:hAnsiTheme="minorHAnsi"/>
          <w:sz w:val="24"/>
          <w:szCs w:val="24"/>
        </w:rPr>
        <w:t>glecaprevir</w:t>
      </w:r>
      <w:r w:rsidR="00D07201" w:rsidRPr="00521709">
        <w:rPr>
          <w:rFonts w:asciiTheme="minorHAnsi" w:hAnsiTheme="minorHAnsi"/>
          <w:sz w:val="24"/>
          <w:szCs w:val="24"/>
        </w:rPr>
        <w:t xml:space="preserve"> with </w:t>
      </w:r>
      <w:r w:rsidRPr="00521709">
        <w:rPr>
          <w:rFonts w:asciiTheme="minorHAnsi" w:hAnsiTheme="minorHAnsi"/>
          <w:sz w:val="24"/>
          <w:szCs w:val="24"/>
        </w:rPr>
        <w:t xml:space="preserve">pibrentasvir has superior </w:t>
      </w:r>
      <w:r w:rsidRPr="00521709">
        <w:rPr>
          <w:rFonts w:asciiTheme="minorHAnsi" w:hAnsiTheme="minorHAnsi"/>
          <w:bCs/>
          <w:sz w:val="24"/>
          <w:szCs w:val="24"/>
        </w:rPr>
        <w:t>efficacy</w:t>
      </w:r>
      <w:r w:rsidRPr="00521709">
        <w:rPr>
          <w:rFonts w:asciiTheme="minorHAnsi" w:hAnsiTheme="minorHAnsi"/>
          <w:sz w:val="24"/>
          <w:szCs w:val="24"/>
        </w:rPr>
        <w:t xml:space="preserve"> and inferior safety when compared to no treatment; and is non-inferior in efficacy and safety when compared to other current listed DAA for chronic hepatitis </w:t>
      </w:r>
      <w:r w:rsidRPr="00521709">
        <w:rPr>
          <w:rFonts w:asciiTheme="minorHAnsi" w:hAnsiTheme="minorHAnsi"/>
          <w:bCs/>
          <w:sz w:val="24"/>
          <w:szCs w:val="24"/>
        </w:rPr>
        <w:t>across all CHC genotypes for patients who are NS5A treatment experienced.</w:t>
      </w:r>
    </w:p>
    <w:p w:rsidR="006E0F53" w:rsidRPr="00521709" w:rsidRDefault="006E0F53" w:rsidP="006E0F53">
      <w:pPr>
        <w:rPr>
          <w:rFonts w:asciiTheme="minorHAnsi" w:hAnsiTheme="minorHAnsi"/>
          <w:bCs/>
        </w:rPr>
      </w:pPr>
    </w:p>
    <w:p w:rsidR="006E0F53" w:rsidRDefault="00387B5B" w:rsidP="006E0F53">
      <w:pPr>
        <w:widowControl w:val="0"/>
        <w:numPr>
          <w:ilvl w:val="1"/>
          <w:numId w:val="5"/>
        </w:numPr>
        <w:ind w:left="720"/>
        <w:contextualSpacing/>
        <w:jc w:val="both"/>
        <w:rPr>
          <w:rFonts w:asciiTheme="minorHAnsi" w:hAnsiTheme="minorHAnsi" w:cs="Arial"/>
          <w:bCs/>
          <w:snapToGrid w:val="0"/>
          <w:lang w:eastAsia="en-US"/>
        </w:rPr>
      </w:pPr>
      <w:r w:rsidRPr="00521709">
        <w:rPr>
          <w:rFonts w:asciiTheme="minorHAnsi" w:hAnsiTheme="minorHAnsi" w:cs="Arial"/>
          <w:bCs/>
          <w:snapToGrid w:val="0"/>
          <w:lang w:eastAsia="en-US"/>
        </w:rPr>
        <w:t xml:space="preserve">The PBAC considered that the request </w:t>
      </w:r>
      <w:r w:rsidR="007A4A62" w:rsidRPr="00521709">
        <w:rPr>
          <w:rFonts w:asciiTheme="minorHAnsi" w:hAnsiTheme="minorHAnsi" w:cs="Arial"/>
          <w:bCs/>
          <w:snapToGrid w:val="0"/>
          <w:lang w:eastAsia="en-US"/>
        </w:rPr>
        <w:t>for the</w:t>
      </w:r>
      <w:r w:rsidRPr="00521709">
        <w:rPr>
          <w:rFonts w:asciiTheme="minorHAnsi" w:hAnsiTheme="minorHAnsi" w:cs="Arial"/>
          <w:bCs/>
          <w:snapToGrid w:val="0"/>
          <w:lang w:eastAsia="en-US"/>
        </w:rPr>
        <w:t xml:space="preserve"> </w:t>
      </w:r>
      <w:r w:rsidRPr="00521709">
        <w:rPr>
          <w:rFonts w:asciiTheme="minorHAnsi" w:hAnsiTheme="minorHAnsi"/>
        </w:rPr>
        <w:t>same price per course for glecaprevir with pibrentasvir in NS5A treatment experienced patients as for glecaprevir with pibrentasvir in other genotypes</w:t>
      </w:r>
      <w:r w:rsidRPr="00521709">
        <w:rPr>
          <w:rFonts w:asciiTheme="minorHAnsi" w:hAnsiTheme="minorHAnsi" w:cs="Arial"/>
          <w:bCs/>
          <w:snapToGrid w:val="0"/>
          <w:lang w:eastAsia="en-US"/>
        </w:rPr>
        <w:t xml:space="preserve"> was reasonable. </w:t>
      </w:r>
      <w:r w:rsidR="008C4DBC" w:rsidRPr="00521709">
        <w:rPr>
          <w:rFonts w:asciiTheme="minorHAnsi" w:hAnsiTheme="minorHAnsi" w:cs="Arial"/>
          <w:bCs/>
          <w:snapToGrid w:val="0"/>
          <w:lang w:eastAsia="en-US"/>
        </w:rPr>
        <w:t xml:space="preserve">The PBAC noted the previous major submission from July 2017 presented a cost-minimisation analysis against </w:t>
      </w:r>
      <w:r w:rsidR="008C4DBC" w:rsidRPr="00521709">
        <w:rPr>
          <w:rFonts w:asciiTheme="minorHAnsi" w:hAnsiTheme="minorHAnsi" w:cs="Arial"/>
          <w:snapToGrid w:val="0"/>
          <w:szCs w:val="20"/>
          <w:lang w:eastAsia="en-US"/>
        </w:rPr>
        <w:t>sofosbuvir</w:t>
      </w:r>
      <w:r w:rsidR="00D07201" w:rsidRPr="00521709">
        <w:rPr>
          <w:rFonts w:asciiTheme="minorHAnsi" w:hAnsiTheme="minorHAnsi" w:cs="Arial"/>
          <w:snapToGrid w:val="0"/>
          <w:szCs w:val="20"/>
          <w:lang w:eastAsia="en-US"/>
        </w:rPr>
        <w:t xml:space="preserve"> with </w:t>
      </w:r>
      <w:r w:rsidR="008C4DBC" w:rsidRPr="00521709">
        <w:rPr>
          <w:rFonts w:asciiTheme="minorHAnsi" w:hAnsiTheme="minorHAnsi" w:cs="Arial"/>
          <w:snapToGrid w:val="0"/>
          <w:szCs w:val="20"/>
          <w:lang w:eastAsia="en-US"/>
        </w:rPr>
        <w:t>velpatasvir</w:t>
      </w:r>
      <w:r w:rsidRPr="00521709">
        <w:rPr>
          <w:rFonts w:asciiTheme="minorHAnsi" w:hAnsiTheme="minorHAnsi" w:cs="Arial"/>
          <w:snapToGrid w:val="0"/>
          <w:szCs w:val="20"/>
          <w:lang w:eastAsia="en-US"/>
        </w:rPr>
        <w:t xml:space="preserve"> with a proxy price of $</w:t>
      </w:r>
      <w:r w:rsidR="00A833AF">
        <w:rPr>
          <w:rFonts w:asciiTheme="minorHAnsi" w:hAnsiTheme="minorHAnsi" w:cs="Arial"/>
          <w:noProof/>
          <w:snapToGrid w:val="0"/>
          <w:color w:val="000000"/>
          <w:szCs w:val="20"/>
          <w:highlight w:val="black"/>
          <w:lang w:eastAsia="en-US"/>
        </w:rPr>
        <w:t>'''''''''''''</w:t>
      </w:r>
      <w:r w:rsidRPr="00521709">
        <w:rPr>
          <w:rFonts w:asciiTheme="minorHAnsi" w:hAnsiTheme="minorHAnsi" w:cs="Arial"/>
          <w:snapToGrid w:val="0"/>
          <w:szCs w:val="20"/>
          <w:lang w:eastAsia="en-US"/>
        </w:rPr>
        <w:t xml:space="preserve"> per course</w:t>
      </w:r>
      <w:r w:rsidR="008C4DBC" w:rsidRPr="00521709">
        <w:rPr>
          <w:rFonts w:asciiTheme="minorHAnsi" w:hAnsiTheme="minorHAnsi" w:cs="Arial"/>
          <w:snapToGrid w:val="0"/>
          <w:szCs w:val="20"/>
          <w:lang w:eastAsia="en-US"/>
        </w:rPr>
        <w:t>. At that time</w:t>
      </w:r>
      <w:r w:rsidR="0005172B" w:rsidRPr="00521709">
        <w:rPr>
          <w:rFonts w:asciiTheme="minorHAnsi" w:hAnsiTheme="minorHAnsi" w:cs="Arial"/>
          <w:snapToGrid w:val="0"/>
          <w:szCs w:val="20"/>
          <w:lang w:eastAsia="en-US"/>
        </w:rPr>
        <w:t xml:space="preserve"> </w:t>
      </w:r>
      <w:r w:rsidR="008C4DBC" w:rsidRPr="00521709">
        <w:rPr>
          <w:rFonts w:asciiTheme="minorHAnsi" w:hAnsiTheme="minorHAnsi" w:cs="Arial"/>
          <w:bCs/>
          <w:snapToGrid w:val="0"/>
          <w:lang w:eastAsia="en-US"/>
        </w:rPr>
        <w:t>t</w:t>
      </w:r>
      <w:r w:rsidR="006E0F53" w:rsidRPr="00521709">
        <w:rPr>
          <w:rFonts w:asciiTheme="minorHAnsi" w:hAnsiTheme="minorHAnsi" w:cs="Arial"/>
          <w:bCs/>
          <w:snapToGrid w:val="0"/>
          <w:lang w:eastAsia="en-US"/>
        </w:rPr>
        <w:t>he PBAC accepted</w:t>
      </w:r>
      <w:r w:rsidR="0005172B" w:rsidRPr="00521709">
        <w:rPr>
          <w:rFonts w:asciiTheme="minorHAnsi" w:hAnsiTheme="minorHAnsi" w:cs="Arial"/>
          <w:bCs/>
          <w:snapToGrid w:val="0"/>
          <w:lang w:eastAsia="en-US"/>
        </w:rPr>
        <w:t xml:space="preserve"> that cost</w:t>
      </w:r>
      <w:r w:rsidR="0005172B" w:rsidRPr="00521709">
        <w:rPr>
          <w:rFonts w:asciiTheme="minorHAnsi" w:hAnsiTheme="minorHAnsi" w:cs="Arial"/>
          <w:bCs/>
          <w:snapToGrid w:val="0"/>
          <w:lang w:eastAsia="en-US"/>
        </w:rPr>
        <w:noBreakHyphen/>
      </w:r>
      <w:r w:rsidR="006E0F53" w:rsidRPr="00521709">
        <w:rPr>
          <w:rFonts w:asciiTheme="minorHAnsi" w:hAnsiTheme="minorHAnsi" w:cs="Arial"/>
          <w:bCs/>
          <w:snapToGrid w:val="0"/>
          <w:lang w:eastAsia="en-US"/>
        </w:rPr>
        <w:t>minimisation against sofosbuvir</w:t>
      </w:r>
      <w:r w:rsidR="00D07201" w:rsidRPr="00521709">
        <w:rPr>
          <w:rFonts w:asciiTheme="minorHAnsi" w:hAnsiTheme="minorHAnsi" w:cs="Arial"/>
          <w:bCs/>
          <w:snapToGrid w:val="0"/>
          <w:lang w:eastAsia="en-US"/>
        </w:rPr>
        <w:t xml:space="preserve"> with </w:t>
      </w:r>
      <w:r w:rsidR="006E0F53" w:rsidRPr="00521709">
        <w:rPr>
          <w:rFonts w:asciiTheme="minorHAnsi" w:hAnsiTheme="minorHAnsi" w:cs="Arial"/>
          <w:bCs/>
          <w:snapToGrid w:val="0"/>
          <w:lang w:eastAsia="en-US"/>
        </w:rPr>
        <w:t xml:space="preserve">velpatasvir was appropriate and noted that </w:t>
      </w:r>
      <w:r w:rsidR="006E0F53" w:rsidRPr="00521709">
        <w:rPr>
          <w:rFonts w:asciiTheme="minorHAnsi" w:hAnsiTheme="minorHAnsi" w:cs="Arial"/>
          <w:snapToGrid w:val="0"/>
          <w:szCs w:val="20"/>
          <w:lang w:eastAsia="en-US"/>
        </w:rPr>
        <w:t>final cost-minimisation calculations would need to be undertaken once the TGA recommended dosing regimens for each of the sub-populations are known.</w:t>
      </w:r>
      <w:r w:rsidR="006E0F53" w:rsidRPr="00521709">
        <w:rPr>
          <w:rFonts w:asciiTheme="minorHAnsi" w:hAnsiTheme="minorHAnsi" w:cs="Arial"/>
          <w:bCs/>
          <w:snapToGrid w:val="0"/>
          <w:lang w:eastAsia="en-US"/>
        </w:rPr>
        <w:t xml:space="preserve"> </w:t>
      </w:r>
    </w:p>
    <w:p w:rsidR="000B59D6" w:rsidRPr="000B59D6" w:rsidRDefault="000B59D6" w:rsidP="000B59D6">
      <w:pPr>
        <w:widowControl w:val="0"/>
        <w:contextualSpacing/>
        <w:jc w:val="both"/>
        <w:rPr>
          <w:rFonts w:asciiTheme="minorHAnsi" w:hAnsiTheme="minorHAnsi" w:cs="Arial"/>
          <w:bCs/>
          <w:snapToGrid w:val="0"/>
          <w:lang w:eastAsia="en-US"/>
        </w:rPr>
      </w:pPr>
    </w:p>
    <w:p w:rsidR="006E0F53" w:rsidRPr="00521709" w:rsidRDefault="006E0F53" w:rsidP="009453B5">
      <w:pPr>
        <w:widowControl w:val="0"/>
        <w:numPr>
          <w:ilvl w:val="1"/>
          <w:numId w:val="5"/>
        </w:numPr>
        <w:ind w:left="720"/>
        <w:contextualSpacing/>
        <w:jc w:val="both"/>
        <w:rPr>
          <w:rFonts w:asciiTheme="minorHAnsi" w:hAnsiTheme="minorHAnsi" w:cs="Arial"/>
          <w:bCs/>
          <w:snapToGrid w:val="0"/>
          <w:lang w:eastAsia="en-US"/>
        </w:rPr>
      </w:pPr>
      <w:r w:rsidRPr="00521709">
        <w:rPr>
          <w:rFonts w:asciiTheme="minorHAnsi" w:hAnsiTheme="minorHAnsi" w:cs="Arial"/>
          <w:bCs/>
          <w:snapToGrid w:val="0"/>
          <w:lang w:eastAsia="en-US"/>
        </w:rPr>
        <w:t xml:space="preserve">The PBAC </w:t>
      </w:r>
      <w:r w:rsidR="00093AD4" w:rsidRPr="00521709">
        <w:rPr>
          <w:rFonts w:asciiTheme="minorHAnsi" w:hAnsiTheme="minorHAnsi" w:cs="Arial"/>
          <w:bCs/>
          <w:snapToGrid w:val="0"/>
          <w:lang w:eastAsia="en-US"/>
        </w:rPr>
        <w:t xml:space="preserve">recalled </w:t>
      </w:r>
      <w:r w:rsidRPr="00521709">
        <w:rPr>
          <w:rFonts w:asciiTheme="minorHAnsi" w:hAnsiTheme="minorHAnsi" w:cs="Arial"/>
          <w:bCs/>
          <w:snapToGrid w:val="0"/>
          <w:lang w:eastAsia="en-US"/>
        </w:rPr>
        <w:t>that the availability of this regimen would likely have a considerable impact on prescribing choices for HCV treatment in Australia</w:t>
      </w:r>
      <w:r w:rsidR="005A4D07" w:rsidRPr="00521709">
        <w:rPr>
          <w:rFonts w:asciiTheme="minorHAnsi" w:hAnsiTheme="minorHAnsi" w:cs="Arial"/>
          <w:bCs/>
          <w:snapToGrid w:val="0"/>
          <w:lang w:eastAsia="en-US"/>
        </w:rPr>
        <w:t>. However, the committee considered that the listing of glecaprevir</w:t>
      </w:r>
      <w:r w:rsidR="00D07201" w:rsidRPr="00521709">
        <w:rPr>
          <w:rFonts w:asciiTheme="minorHAnsi" w:hAnsiTheme="minorHAnsi" w:cs="Arial"/>
          <w:bCs/>
          <w:snapToGrid w:val="0"/>
          <w:lang w:eastAsia="en-US"/>
        </w:rPr>
        <w:t xml:space="preserve"> with </w:t>
      </w:r>
      <w:r w:rsidR="005A4D07" w:rsidRPr="00521709">
        <w:rPr>
          <w:rFonts w:asciiTheme="minorHAnsi" w:hAnsiTheme="minorHAnsi" w:cs="Arial"/>
          <w:bCs/>
          <w:snapToGrid w:val="0"/>
          <w:lang w:eastAsia="en-US"/>
        </w:rPr>
        <w:t xml:space="preserve">pibrentasvir </w:t>
      </w:r>
      <w:r w:rsidR="00FA2CB7" w:rsidRPr="00521709">
        <w:rPr>
          <w:rFonts w:asciiTheme="minorHAnsi" w:hAnsiTheme="minorHAnsi" w:cs="Arial"/>
          <w:bCs/>
          <w:snapToGrid w:val="0"/>
          <w:lang w:eastAsia="en-US"/>
        </w:rPr>
        <w:t xml:space="preserve">will not </w:t>
      </w:r>
      <w:r w:rsidR="005A4D07" w:rsidRPr="00521709">
        <w:rPr>
          <w:rFonts w:asciiTheme="minorHAnsi" w:hAnsiTheme="minorHAnsi" w:cs="Arial"/>
          <w:bCs/>
          <w:snapToGrid w:val="0"/>
          <w:lang w:eastAsia="en-US"/>
        </w:rPr>
        <w:t>increase the cost to the Government as</w:t>
      </w:r>
      <w:r w:rsidR="007A4A62" w:rsidRPr="00521709">
        <w:rPr>
          <w:rFonts w:asciiTheme="minorHAnsi" w:hAnsiTheme="minorHAnsi" w:cs="Arial"/>
          <w:bCs/>
          <w:snapToGrid w:val="0"/>
          <w:lang w:eastAsia="en-US"/>
        </w:rPr>
        <w:t xml:space="preserve"> the patients</w:t>
      </w:r>
      <w:r w:rsidR="00D07201" w:rsidRPr="00521709">
        <w:rPr>
          <w:rFonts w:asciiTheme="minorHAnsi" w:hAnsiTheme="minorHAnsi" w:cs="Arial"/>
          <w:bCs/>
          <w:snapToGrid w:val="0"/>
          <w:lang w:eastAsia="en-US"/>
        </w:rPr>
        <w:t xml:space="preserve"> that will be treated with this regimen</w:t>
      </w:r>
      <w:r w:rsidR="007A4A62" w:rsidRPr="00521709">
        <w:rPr>
          <w:rFonts w:asciiTheme="minorHAnsi" w:hAnsiTheme="minorHAnsi" w:cs="Arial"/>
          <w:bCs/>
          <w:snapToGrid w:val="0"/>
          <w:lang w:eastAsia="en-US"/>
        </w:rPr>
        <w:t xml:space="preserve"> can be treated under the current listings and</w:t>
      </w:r>
      <w:r w:rsidR="005A4D07" w:rsidRPr="00521709">
        <w:rPr>
          <w:rFonts w:asciiTheme="minorHAnsi" w:hAnsiTheme="minorHAnsi" w:cs="Arial"/>
          <w:bCs/>
          <w:snapToGrid w:val="0"/>
          <w:lang w:eastAsia="en-US"/>
        </w:rPr>
        <w:t xml:space="preserve"> the costs incurred by these patients will</w:t>
      </w:r>
      <w:r w:rsidR="00D07201" w:rsidRPr="00521709">
        <w:rPr>
          <w:rFonts w:asciiTheme="minorHAnsi" w:hAnsiTheme="minorHAnsi" w:cs="Arial"/>
          <w:bCs/>
          <w:snapToGrid w:val="0"/>
          <w:lang w:eastAsia="en-US"/>
        </w:rPr>
        <w:t xml:space="preserve"> therefore</w:t>
      </w:r>
      <w:r w:rsidR="005A4D07" w:rsidRPr="00521709">
        <w:rPr>
          <w:rFonts w:asciiTheme="minorHAnsi" w:hAnsiTheme="minorHAnsi" w:cs="Arial"/>
          <w:bCs/>
          <w:snapToGrid w:val="0"/>
          <w:lang w:eastAsia="en-US"/>
        </w:rPr>
        <w:t xml:space="preserve"> be managed by the existing</w:t>
      </w:r>
      <w:r w:rsidR="00AD46BA" w:rsidRPr="00521709">
        <w:rPr>
          <w:rFonts w:asciiTheme="minorHAnsi" w:hAnsiTheme="minorHAnsi" w:cs="Arial"/>
          <w:bCs/>
          <w:snapToGrid w:val="0"/>
          <w:lang w:eastAsia="en-US"/>
        </w:rPr>
        <w:t xml:space="preserve"> </w:t>
      </w:r>
      <w:r w:rsidR="005A4D07" w:rsidRPr="00521709">
        <w:rPr>
          <w:rFonts w:asciiTheme="minorHAnsi" w:hAnsiTheme="minorHAnsi" w:cs="Arial"/>
          <w:bCs/>
          <w:snapToGrid w:val="0"/>
          <w:lang w:eastAsia="en-US"/>
        </w:rPr>
        <w:t xml:space="preserve">market subsidisation caps. </w:t>
      </w:r>
    </w:p>
    <w:p w:rsidR="006E0F53" w:rsidRPr="00521709" w:rsidRDefault="006E0F53" w:rsidP="006E0F53">
      <w:pPr>
        <w:widowControl w:val="0"/>
        <w:jc w:val="both"/>
        <w:rPr>
          <w:rFonts w:asciiTheme="minorHAnsi" w:hAnsiTheme="minorHAnsi" w:cs="Arial"/>
          <w:bCs/>
          <w:snapToGrid w:val="0"/>
          <w:lang w:eastAsia="en-US"/>
        </w:rPr>
      </w:pPr>
    </w:p>
    <w:p w:rsidR="006E0F53" w:rsidRPr="00521709" w:rsidRDefault="006E0F53" w:rsidP="006E0F53">
      <w:pPr>
        <w:widowControl w:val="0"/>
        <w:numPr>
          <w:ilvl w:val="1"/>
          <w:numId w:val="5"/>
        </w:numPr>
        <w:ind w:left="720"/>
        <w:contextualSpacing/>
        <w:jc w:val="both"/>
        <w:rPr>
          <w:rFonts w:asciiTheme="minorHAnsi" w:hAnsiTheme="minorHAnsi" w:cs="Arial"/>
          <w:bCs/>
          <w:snapToGrid w:val="0"/>
          <w:lang w:eastAsia="en-US"/>
        </w:rPr>
      </w:pPr>
      <w:r w:rsidRPr="00521709">
        <w:rPr>
          <w:rFonts w:asciiTheme="minorHAnsi" w:hAnsiTheme="minorHAnsi" w:cs="Arial"/>
          <w:bCs/>
          <w:snapToGrid w:val="0"/>
          <w:lang w:eastAsia="en-US"/>
        </w:rPr>
        <w:t>The PBAC recommend</w:t>
      </w:r>
      <w:r w:rsidR="00DD168C" w:rsidRPr="00521709">
        <w:rPr>
          <w:rFonts w:asciiTheme="minorHAnsi" w:hAnsiTheme="minorHAnsi" w:cs="Arial"/>
          <w:bCs/>
          <w:snapToGrid w:val="0"/>
          <w:lang w:eastAsia="en-US"/>
        </w:rPr>
        <w:t>ed</w:t>
      </w:r>
      <w:r w:rsidRPr="00521709">
        <w:rPr>
          <w:rFonts w:asciiTheme="minorHAnsi" w:hAnsiTheme="minorHAnsi" w:cs="Arial"/>
          <w:bCs/>
          <w:snapToGrid w:val="0"/>
          <w:lang w:eastAsia="en-US"/>
        </w:rPr>
        <w:t xml:space="preserve"> that, under s101(3BA) of the </w:t>
      </w:r>
      <w:r w:rsidRPr="00521709">
        <w:rPr>
          <w:rFonts w:asciiTheme="minorHAnsi" w:hAnsiTheme="minorHAnsi" w:cs="Arial"/>
          <w:bCs/>
          <w:i/>
          <w:snapToGrid w:val="0"/>
          <w:lang w:eastAsia="en-US"/>
        </w:rPr>
        <w:t xml:space="preserve">National Health Act 1953, </w:t>
      </w:r>
      <w:r w:rsidR="004469F9" w:rsidRPr="00521709">
        <w:rPr>
          <w:rFonts w:asciiTheme="minorHAnsi" w:hAnsiTheme="minorHAnsi" w:cs="Arial"/>
          <w:bCs/>
          <w:snapToGrid w:val="0"/>
          <w:lang w:eastAsia="en-US"/>
        </w:rPr>
        <w:t xml:space="preserve">glecaprevir with </w:t>
      </w:r>
      <w:r w:rsidRPr="00521709">
        <w:rPr>
          <w:rFonts w:asciiTheme="minorHAnsi" w:hAnsiTheme="minorHAnsi" w:cs="Arial"/>
          <w:bCs/>
          <w:snapToGrid w:val="0"/>
          <w:lang w:eastAsia="en-US"/>
        </w:rPr>
        <w:t xml:space="preserve">pibrentasvir should be treated as interchangeable on an individual patient basis with </w:t>
      </w:r>
      <w:r w:rsidR="004469F9" w:rsidRPr="00521709">
        <w:rPr>
          <w:rFonts w:asciiTheme="minorHAnsi" w:hAnsiTheme="minorHAnsi" w:cs="Arial"/>
          <w:iCs/>
          <w:snapToGrid w:val="0"/>
          <w:lang w:eastAsia="en-US"/>
        </w:rPr>
        <w:t xml:space="preserve">sofosbuvir with </w:t>
      </w:r>
      <w:r w:rsidRPr="00521709">
        <w:rPr>
          <w:rFonts w:asciiTheme="minorHAnsi" w:hAnsiTheme="minorHAnsi" w:cs="Arial"/>
          <w:iCs/>
          <w:snapToGrid w:val="0"/>
          <w:lang w:eastAsia="en-US"/>
        </w:rPr>
        <w:t xml:space="preserve">velpatasvir and, by extension, the other medicines that PBAC considered </w:t>
      </w:r>
      <w:r w:rsidR="004469F9" w:rsidRPr="00521709">
        <w:rPr>
          <w:rFonts w:asciiTheme="minorHAnsi" w:hAnsiTheme="minorHAnsi" w:cs="Arial"/>
          <w:iCs/>
          <w:snapToGrid w:val="0"/>
          <w:lang w:eastAsia="en-US"/>
        </w:rPr>
        <w:t xml:space="preserve">interchangeable with sofosbuvir with </w:t>
      </w:r>
      <w:r w:rsidRPr="00521709">
        <w:rPr>
          <w:rFonts w:asciiTheme="minorHAnsi" w:hAnsiTheme="minorHAnsi" w:cs="Arial"/>
          <w:iCs/>
          <w:snapToGrid w:val="0"/>
          <w:lang w:eastAsia="en-US"/>
        </w:rPr>
        <w:t>velpatasvir at its November 2016 meeting.</w:t>
      </w:r>
    </w:p>
    <w:p w:rsidR="006E0F53" w:rsidRPr="00521709" w:rsidRDefault="006E0F53" w:rsidP="006E0F53">
      <w:pPr>
        <w:widowControl w:val="0"/>
        <w:contextualSpacing/>
        <w:jc w:val="both"/>
        <w:rPr>
          <w:rFonts w:asciiTheme="minorHAnsi" w:hAnsiTheme="minorHAnsi" w:cs="Arial"/>
          <w:iCs/>
          <w:snapToGrid w:val="0"/>
          <w:lang w:eastAsia="en-US"/>
        </w:rPr>
      </w:pPr>
    </w:p>
    <w:p w:rsidR="006E0F53" w:rsidRPr="00521709" w:rsidRDefault="006E0F53" w:rsidP="006E0F53">
      <w:pPr>
        <w:widowControl w:val="0"/>
        <w:numPr>
          <w:ilvl w:val="1"/>
          <w:numId w:val="5"/>
        </w:numPr>
        <w:ind w:left="720"/>
        <w:jc w:val="both"/>
        <w:rPr>
          <w:rFonts w:asciiTheme="minorHAnsi" w:hAnsiTheme="minorHAnsi" w:cs="Arial"/>
          <w:bCs/>
          <w:snapToGrid w:val="0"/>
          <w:lang w:eastAsia="en-US"/>
        </w:rPr>
      </w:pPr>
      <w:r w:rsidRPr="00521709">
        <w:rPr>
          <w:rFonts w:asciiTheme="minorHAnsi" w:hAnsiTheme="minorHAnsi" w:cs="Arial"/>
          <w:bCs/>
          <w:snapToGrid w:val="0"/>
          <w:lang w:eastAsia="en-US"/>
        </w:rPr>
        <w:t xml:space="preserve">The PBAC </w:t>
      </w:r>
      <w:r w:rsidR="00DD168C" w:rsidRPr="00521709">
        <w:rPr>
          <w:rFonts w:asciiTheme="minorHAnsi" w:hAnsiTheme="minorHAnsi" w:cs="Arial"/>
          <w:bCs/>
          <w:snapToGrid w:val="0"/>
          <w:lang w:eastAsia="en-US"/>
        </w:rPr>
        <w:t>recommended</w:t>
      </w:r>
      <w:r w:rsidRPr="00521709">
        <w:rPr>
          <w:rFonts w:asciiTheme="minorHAnsi" w:hAnsiTheme="minorHAnsi" w:cs="Arial"/>
          <w:bCs/>
          <w:snapToGrid w:val="0"/>
          <w:lang w:eastAsia="en-US"/>
        </w:rPr>
        <w:t xml:space="preserve"> </w:t>
      </w:r>
      <w:r w:rsidR="004469F9" w:rsidRPr="00521709">
        <w:rPr>
          <w:rFonts w:asciiTheme="minorHAnsi" w:hAnsiTheme="minorHAnsi" w:cs="Arial"/>
          <w:bCs/>
          <w:snapToGrid w:val="0"/>
          <w:lang w:eastAsia="en-US"/>
        </w:rPr>
        <w:t xml:space="preserve">that glecaprevir with </w:t>
      </w:r>
      <w:r w:rsidRPr="00521709">
        <w:rPr>
          <w:rFonts w:asciiTheme="minorHAnsi" w:hAnsiTheme="minorHAnsi" w:cs="Arial"/>
          <w:bCs/>
          <w:snapToGrid w:val="0"/>
          <w:lang w:eastAsia="en-US"/>
        </w:rPr>
        <w:t xml:space="preserve">pibrentasvir should have the same nurse practitioner prescribing arrangements as other HCV treatments listed under the </w:t>
      </w:r>
      <w:r w:rsidRPr="00521709">
        <w:rPr>
          <w:rFonts w:asciiTheme="minorHAnsi" w:hAnsiTheme="minorHAnsi" w:cs="Arial"/>
          <w:bCs/>
          <w:i/>
          <w:snapToGrid w:val="0"/>
          <w:lang w:eastAsia="en-US"/>
        </w:rPr>
        <w:t>General Statement</w:t>
      </w:r>
      <w:r w:rsidRPr="00521709">
        <w:rPr>
          <w:rFonts w:asciiTheme="minorHAnsi" w:hAnsiTheme="minorHAnsi" w:cs="Arial"/>
          <w:bCs/>
          <w:snapToGrid w:val="0"/>
          <w:lang w:eastAsia="en-US"/>
        </w:rPr>
        <w:t xml:space="preserve">.  Currently HCV treatments under the </w:t>
      </w:r>
      <w:r w:rsidRPr="00521709">
        <w:rPr>
          <w:rFonts w:asciiTheme="minorHAnsi" w:hAnsiTheme="minorHAnsi" w:cs="Arial"/>
          <w:bCs/>
          <w:i/>
          <w:snapToGrid w:val="0"/>
          <w:lang w:eastAsia="en-US"/>
        </w:rPr>
        <w:t xml:space="preserve">General Statement </w:t>
      </w:r>
      <w:r w:rsidRPr="00521709">
        <w:rPr>
          <w:rFonts w:asciiTheme="minorHAnsi" w:hAnsiTheme="minorHAnsi" w:cs="Arial"/>
          <w:bCs/>
          <w:snapToGrid w:val="0"/>
          <w:lang w:eastAsia="en-US"/>
        </w:rPr>
        <w:t xml:space="preserve">are </w:t>
      </w:r>
      <w:r w:rsidRPr="00521709">
        <w:rPr>
          <w:rFonts w:asciiTheme="minorHAnsi" w:hAnsiTheme="minorHAnsi" w:cs="Arial"/>
          <w:snapToGrid w:val="0"/>
          <w:color w:val="222222"/>
          <w:shd w:val="clear" w:color="auto" w:fill="FFFFFF"/>
          <w:lang w:eastAsia="en-US"/>
        </w:rPr>
        <w:t>listed for prescribing by authorised nurse practitioners under the General Schedule only. Medicines for the treatment of hepatitis C are not listed for prescribing by authorised nurse practitioners under the S100 Highly Specialised Drugs Program.</w:t>
      </w:r>
    </w:p>
    <w:p w:rsidR="006E0F53" w:rsidRPr="00521709" w:rsidRDefault="006E0F53" w:rsidP="006E0F53">
      <w:pPr>
        <w:rPr>
          <w:rFonts w:asciiTheme="minorHAnsi" w:hAnsiTheme="minorHAnsi" w:cs="Arial"/>
          <w:bCs/>
          <w:snapToGrid w:val="0"/>
          <w:lang w:eastAsia="en-US"/>
        </w:rPr>
      </w:pPr>
    </w:p>
    <w:p w:rsidR="006E0F53" w:rsidRPr="00521709" w:rsidRDefault="006E0F53" w:rsidP="006E0F53">
      <w:pPr>
        <w:widowControl w:val="0"/>
        <w:numPr>
          <w:ilvl w:val="1"/>
          <w:numId w:val="5"/>
        </w:numPr>
        <w:ind w:left="720"/>
        <w:jc w:val="both"/>
        <w:rPr>
          <w:rFonts w:asciiTheme="minorHAnsi" w:hAnsiTheme="minorHAnsi" w:cs="Arial"/>
          <w:bCs/>
          <w:snapToGrid w:val="0"/>
          <w:lang w:eastAsia="en-US"/>
        </w:rPr>
      </w:pPr>
      <w:r w:rsidRPr="00521709">
        <w:rPr>
          <w:rFonts w:asciiTheme="minorHAnsi" w:hAnsiTheme="minorHAnsi" w:cs="Arial"/>
          <w:bCs/>
          <w:snapToGrid w:val="0"/>
          <w:lang w:eastAsia="en-US"/>
        </w:rPr>
        <w:t>The PBAC recommend</w:t>
      </w:r>
      <w:r w:rsidR="00DD168C" w:rsidRPr="00521709">
        <w:rPr>
          <w:rFonts w:asciiTheme="minorHAnsi" w:hAnsiTheme="minorHAnsi" w:cs="Arial"/>
          <w:bCs/>
          <w:snapToGrid w:val="0"/>
          <w:lang w:eastAsia="en-US"/>
        </w:rPr>
        <w:t>ed</w:t>
      </w:r>
      <w:r w:rsidRPr="00521709">
        <w:rPr>
          <w:rFonts w:asciiTheme="minorHAnsi" w:hAnsiTheme="minorHAnsi" w:cs="Arial"/>
          <w:bCs/>
          <w:snapToGrid w:val="0"/>
          <w:lang w:eastAsia="en-US"/>
        </w:rPr>
        <w:t xml:space="preserve"> that the Early Supply Rule should apply.</w:t>
      </w:r>
    </w:p>
    <w:p w:rsidR="00CC2580" w:rsidRPr="00521709" w:rsidRDefault="00CC2580" w:rsidP="00CC2580">
      <w:pPr>
        <w:spacing w:before="240" w:after="120"/>
        <w:jc w:val="both"/>
        <w:rPr>
          <w:rFonts w:asciiTheme="minorHAnsi" w:hAnsiTheme="minorHAnsi" w:cs="Arial"/>
          <w:b/>
          <w:bCs/>
          <w:snapToGrid w:val="0"/>
          <w:lang w:eastAsia="en-US"/>
        </w:rPr>
      </w:pPr>
      <w:r w:rsidRPr="00521709">
        <w:rPr>
          <w:rFonts w:asciiTheme="minorHAnsi" w:hAnsiTheme="minorHAnsi" w:cs="Arial"/>
          <w:b/>
          <w:bCs/>
          <w:snapToGrid w:val="0"/>
          <w:lang w:eastAsia="en-US"/>
        </w:rPr>
        <w:t>Outcome:</w:t>
      </w:r>
    </w:p>
    <w:p w:rsidR="00CC2580" w:rsidRPr="00521709" w:rsidRDefault="00DD168C" w:rsidP="00CC2580">
      <w:pPr>
        <w:spacing w:after="120"/>
        <w:jc w:val="both"/>
        <w:rPr>
          <w:rFonts w:asciiTheme="minorHAnsi" w:hAnsiTheme="minorHAnsi" w:cs="Arial"/>
          <w:bCs/>
          <w:snapToGrid w:val="0"/>
          <w:highlight w:val="yellow"/>
          <w:lang w:eastAsia="en-US"/>
        </w:rPr>
      </w:pPr>
      <w:r w:rsidRPr="00521709">
        <w:rPr>
          <w:rFonts w:asciiTheme="minorHAnsi" w:hAnsiTheme="minorHAnsi" w:cs="Arial"/>
          <w:bCs/>
          <w:snapToGrid w:val="0"/>
          <w:lang w:eastAsia="en-US"/>
        </w:rPr>
        <w:t>Recommended</w:t>
      </w:r>
    </w:p>
    <w:p w:rsidR="00F06EA1" w:rsidRPr="00521709" w:rsidRDefault="00F06EA1" w:rsidP="00B422E6">
      <w:pPr>
        <w:widowControl w:val="0"/>
        <w:numPr>
          <w:ilvl w:val="0"/>
          <w:numId w:val="5"/>
        </w:numPr>
        <w:jc w:val="both"/>
        <w:outlineLvl w:val="0"/>
        <w:rPr>
          <w:rFonts w:asciiTheme="minorHAnsi" w:hAnsiTheme="minorHAnsi" w:cs="Arial"/>
          <w:b/>
          <w:bCs/>
          <w:snapToGrid w:val="0"/>
          <w:sz w:val="32"/>
        </w:rPr>
      </w:pPr>
      <w:r w:rsidRPr="00521709">
        <w:rPr>
          <w:rFonts w:asciiTheme="minorHAnsi" w:hAnsiTheme="minorHAnsi" w:cs="Arial"/>
          <w:b/>
          <w:bCs/>
          <w:snapToGrid w:val="0"/>
          <w:sz w:val="32"/>
        </w:rPr>
        <w:t>Recommended listing</w:t>
      </w:r>
    </w:p>
    <w:p w:rsidR="00F06EA1" w:rsidRPr="00521709" w:rsidRDefault="00F06EA1" w:rsidP="00F06EA1">
      <w:pPr>
        <w:jc w:val="both"/>
        <w:rPr>
          <w:rFonts w:asciiTheme="minorHAnsi" w:hAnsiTheme="minorHAnsi" w:cs="Arial"/>
          <w:b/>
          <w:bCs/>
          <w:i/>
          <w:snapToGrid w:val="0"/>
        </w:rPr>
      </w:pPr>
    </w:p>
    <w:p w:rsidR="00F06EA1" w:rsidRPr="00521709" w:rsidRDefault="00E343B2" w:rsidP="00F06EA1">
      <w:pPr>
        <w:widowControl w:val="0"/>
        <w:numPr>
          <w:ilvl w:val="1"/>
          <w:numId w:val="5"/>
        </w:numPr>
        <w:ind w:left="720"/>
        <w:contextualSpacing/>
        <w:jc w:val="both"/>
        <w:rPr>
          <w:rFonts w:asciiTheme="minorHAnsi" w:hAnsiTheme="minorHAnsi" w:cs="Arial"/>
          <w:b/>
          <w:bCs/>
          <w:snapToGrid w:val="0"/>
        </w:rPr>
      </w:pPr>
      <w:r>
        <w:rPr>
          <w:rFonts w:asciiTheme="minorHAnsi" w:hAnsiTheme="minorHAnsi" w:cs="Arial"/>
          <w:bCs/>
          <w:snapToGrid w:val="0"/>
        </w:rPr>
        <w:t xml:space="preserve">Add new item: </w:t>
      </w:r>
    </w:p>
    <w:p w:rsidR="00F06EA1" w:rsidRPr="00521709" w:rsidRDefault="00F06EA1" w:rsidP="00B422E6">
      <w:pPr>
        <w:pStyle w:val="PBACHeading1"/>
        <w:numPr>
          <w:ilvl w:val="0"/>
          <w:numId w:val="0"/>
        </w:numPr>
        <w:ind w:left="720" w:hanging="720"/>
        <w:outlineLvl w:val="9"/>
      </w:pPr>
    </w:p>
    <w:p w:rsidR="00EF7FEF" w:rsidRPr="00357BF9" w:rsidRDefault="00EF7FEF" w:rsidP="00EF7FEF">
      <w:pPr>
        <w:tabs>
          <w:tab w:val="left" w:pos="709"/>
        </w:tabs>
        <w:ind w:left="680"/>
        <w:rPr>
          <w:rFonts w:asciiTheme="minorHAnsi" w:hAnsiTheme="minorHAnsi"/>
          <w:highlight w:val="yellow"/>
        </w:rPr>
      </w:pPr>
      <w:r w:rsidRPr="00357BF9">
        <w:rPr>
          <w:rFonts w:asciiTheme="minorHAnsi" w:hAnsiTheme="minorHAnsi"/>
        </w:rPr>
        <w:t>A</w:t>
      </w:r>
      <w:r w:rsidRPr="00357BF9">
        <w:rPr>
          <w:rFonts w:asciiTheme="minorHAnsi" w:hAnsiTheme="minorHAnsi" w:cs="Arial"/>
        </w:rPr>
        <w:t xml:space="preserve">dditions </w:t>
      </w:r>
      <w:r w:rsidRPr="00357BF9">
        <w:rPr>
          <w:rFonts w:asciiTheme="minorHAnsi" w:hAnsiTheme="minorHAnsi"/>
        </w:rPr>
        <w:t xml:space="preserve">to </w:t>
      </w:r>
      <w:r w:rsidRPr="00357BF9">
        <w:rPr>
          <w:rFonts w:asciiTheme="minorHAnsi" w:hAnsiTheme="minorHAnsi" w:cs="Arial"/>
        </w:rPr>
        <w:t>the requested listing are added in italics and deletions are crossed out with strikethrough.</w:t>
      </w:r>
      <w:r w:rsidRPr="00357BF9">
        <w:rPr>
          <w:rFonts w:asciiTheme="minorHAnsi" w:hAnsiTheme="minorHAnsi"/>
        </w:rPr>
        <w:t xml:space="preserve"> The restriction, including</w:t>
      </w:r>
      <w:r w:rsidRPr="00357BF9">
        <w:rPr>
          <w:rFonts w:asciiTheme="minorHAnsi" w:hAnsiTheme="minorHAnsi"/>
          <w:i/>
        </w:rPr>
        <w:t xml:space="preserve"> </w:t>
      </w:r>
      <w:r>
        <w:rPr>
          <w:rFonts w:asciiTheme="minorHAnsi" w:hAnsiTheme="minorHAnsi"/>
        </w:rPr>
        <w:t>a</w:t>
      </w:r>
      <w:r w:rsidRPr="00357BF9">
        <w:rPr>
          <w:rFonts w:asciiTheme="minorHAnsi" w:hAnsiTheme="minorHAnsi"/>
        </w:rPr>
        <w:t xml:space="preserve">dditions to the </w:t>
      </w:r>
      <w:r w:rsidRPr="00357BF9">
        <w:rPr>
          <w:rFonts w:asciiTheme="minorHAnsi" w:hAnsiTheme="minorHAnsi"/>
          <w:i/>
        </w:rPr>
        <w:t>General Statement for Drugs for the Treatment of Hepatitis C</w:t>
      </w:r>
      <w:r w:rsidRPr="00357BF9">
        <w:rPr>
          <w:rFonts w:asciiTheme="minorHAnsi" w:hAnsiTheme="minorHAnsi"/>
        </w:rPr>
        <w:t xml:space="preserve"> will be finalised following TGA registration.</w:t>
      </w:r>
    </w:p>
    <w:p w:rsidR="00EF7FEF" w:rsidRPr="00844B1A" w:rsidRDefault="00EF7FEF" w:rsidP="00B422E6">
      <w:pPr>
        <w:pStyle w:val="PBACHeading1"/>
        <w:numPr>
          <w:ilvl w:val="0"/>
          <w:numId w:val="0"/>
        </w:numPr>
        <w:outlineLvl w:val="9"/>
        <w:rPr>
          <w:rFonts w:asciiTheme="minorHAnsi" w:hAnsiTheme="minorHAnsi"/>
          <w:b w:val="0"/>
          <w:i/>
          <w:sz w:val="24"/>
          <w:szCs w:val="24"/>
          <w:lang w:val="en-GB"/>
        </w:rPr>
      </w:pPr>
    </w:p>
    <w:tbl>
      <w:tblPr>
        <w:tblW w:w="4909" w:type="pct"/>
        <w:tblInd w:w="170" w:type="dxa"/>
        <w:tblCellMar>
          <w:left w:w="28" w:type="dxa"/>
          <w:right w:w="28" w:type="dxa"/>
        </w:tblCellMar>
        <w:tblLook w:val="04A0" w:firstRow="1" w:lastRow="0" w:firstColumn="1" w:lastColumn="0" w:noHBand="0" w:noVBand="1"/>
      </w:tblPr>
      <w:tblGrid>
        <w:gridCol w:w="2260"/>
        <w:gridCol w:w="238"/>
        <w:gridCol w:w="756"/>
        <w:gridCol w:w="709"/>
        <w:gridCol w:w="711"/>
        <w:gridCol w:w="140"/>
        <w:gridCol w:w="3146"/>
        <w:gridCol w:w="1391"/>
      </w:tblGrid>
      <w:tr w:rsidR="00EF7FEF" w:rsidRPr="004F5586" w:rsidTr="00EF7FEF">
        <w:trPr>
          <w:cantSplit/>
          <w:trHeight w:val="20"/>
        </w:trPr>
        <w:tc>
          <w:tcPr>
            <w:tcW w:w="1336" w:type="pct"/>
            <w:gridSpan w:val="2"/>
            <w:tcBorders>
              <w:bottom w:val="single" w:sz="4" w:space="0" w:color="auto"/>
            </w:tcBorders>
            <w:hideMark/>
          </w:tcPr>
          <w:p w:rsidR="00EF7FEF" w:rsidRPr="004F5586" w:rsidRDefault="00EF7FEF" w:rsidP="00EF7FEF">
            <w:pPr>
              <w:keepNext/>
              <w:rPr>
                <w:rFonts w:ascii="Arial Narrow" w:hAnsi="Arial Narrow"/>
                <w:b/>
                <w:sz w:val="20"/>
              </w:rPr>
            </w:pPr>
            <w:r w:rsidRPr="004F5586">
              <w:rPr>
                <w:rFonts w:ascii="Arial Narrow" w:hAnsi="Arial Narrow"/>
                <w:b/>
                <w:sz w:val="20"/>
              </w:rPr>
              <w:t>Name, Restriction,</w:t>
            </w:r>
          </w:p>
          <w:p w:rsidR="00EF7FEF" w:rsidRPr="004F5586" w:rsidRDefault="00EF7FEF" w:rsidP="00EF7FEF">
            <w:pPr>
              <w:keepNext/>
              <w:rPr>
                <w:rFonts w:ascii="Arial Narrow" w:hAnsi="Arial Narrow"/>
                <w:b/>
                <w:sz w:val="20"/>
              </w:rPr>
            </w:pPr>
            <w:r w:rsidRPr="004F5586">
              <w:rPr>
                <w:rFonts w:ascii="Arial Narrow" w:hAnsi="Arial Narrow"/>
                <w:b/>
                <w:sz w:val="20"/>
              </w:rPr>
              <w:t>Manner of administration and form</w:t>
            </w:r>
          </w:p>
        </w:tc>
        <w:tc>
          <w:tcPr>
            <w:tcW w:w="404" w:type="pct"/>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Max qty packs</w:t>
            </w:r>
          </w:p>
        </w:tc>
        <w:tc>
          <w:tcPr>
            <w:tcW w:w="379" w:type="pct"/>
            <w:tcBorders>
              <w:bottom w:val="single" w:sz="4" w:space="0" w:color="auto"/>
            </w:tcBorders>
          </w:tcPr>
          <w:p w:rsidR="00EF7FEF" w:rsidRPr="004F5586" w:rsidRDefault="00EF7FEF" w:rsidP="00EF7FEF">
            <w:pPr>
              <w:keepNext/>
              <w:jc w:val="center"/>
              <w:rPr>
                <w:rFonts w:ascii="Arial Narrow" w:hAnsi="Arial Narrow"/>
                <w:b/>
                <w:sz w:val="20"/>
              </w:rPr>
            </w:pPr>
            <w:r w:rsidRPr="004F5586">
              <w:rPr>
                <w:rFonts w:ascii="Arial Narrow" w:hAnsi="Arial Narrow"/>
                <w:b/>
                <w:sz w:val="20"/>
              </w:rPr>
              <w:t>Max qty units</w:t>
            </w:r>
          </w:p>
        </w:tc>
        <w:tc>
          <w:tcPr>
            <w:tcW w:w="380" w:type="pct"/>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№.of</w:t>
            </w:r>
          </w:p>
          <w:p w:rsidR="00EF7FEF" w:rsidRPr="004F5586" w:rsidRDefault="00EF7FEF" w:rsidP="00EF7FEF">
            <w:pPr>
              <w:keepNext/>
              <w:jc w:val="center"/>
              <w:rPr>
                <w:rFonts w:ascii="Arial Narrow" w:hAnsi="Arial Narrow"/>
                <w:b/>
                <w:sz w:val="20"/>
              </w:rPr>
            </w:pPr>
            <w:r w:rsidRPr="004F5586">
              <w:rPr>
                <w:rFonts w:ascii="Arial Narrow" w:hAnsi="Arial Narrow"/>
                <w:b/>
                <w:sz w:val="20"/>
              </w:rPr>
              <w:t>Rpts</w:t>
            </w:r>
          </w:p>
        </w:tc>
        <w:tc>
          <w:tcPr>
            <w:tcW w:w="75" w:type="pct"/>
            <w:tcBorders>
              <w:bottom w:val="single" w:sz="4" w:space="0" w:color="auto"/>
            </w:tcBorders>
            <w:hideMark/>
          </w:tcPr>
          <w:p w:rsidR="00EF7FEF" w:rsidRPr="004F5586" w:rsidRDefault="00EF7FEF" w:rsidP="00EF7FEF">
            <w:pPr>
              <w:keepNext/>
              <w:jc w:val="center"/>
              <w:rPr>
                <w:rFonts w:ascii="Arial Narrow" w:hAnsi="Arial Narrow"/>
                <w:b/>
                <w:sz w:val="20"/>
              </w:rPr>
            </w:pPr>
          </w:p>
        </w:tc>
        <w:tc>
          <w:tcPr>
            <w:tcW w:w="2426" w:type="pct"/>
            <w:gridSpan w:val="2"/>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Proprietary Name and Manufacturer</w:t>
            </w:r>
          </w:p>
        </w:tc>
      </w:tr>
      <w:tr w:rsidR="00EF7FEF" w:rsidRPr="004F5586" w:rsidTr="00EF7FEF">
        <w:trPr>
          <w:cantSplit/>
          <w:trHeight w:val="20"/>
        </w:trPr>
        <w:tc>
          <w:tcPr>
            <w:tcW w:w="1336" w:type="pct"/>
            <w:gridSpan w:val="2"/>
            <w:tcBorders>
              <w:top w:val="single" w:sz="4" w:space="0" w:color="auto"/>
              <w:bottom w:val="single" w:sz="4" w:space="0" w:color="auto"/>
            </w:tcBorders>
            <w:vAlign w:val="center"/>
            <w:hideMark/>
          </w:tcPr>
          <w:p w:rsidR="00EF7FEF" w:rsidRPr="004F5586" w:rsidRDefault="00EF7FEF" w:rsidP="00EF7FEF">
            <w:pPr>
              <w:keepNext/>
              <w:rPr>
                <w:rFonts w:ascii="Arial Narrow" w:hAnsi="Arial Narrow"/>
                <w:sz w:val="20"/>
              </w:rPr>
            </w:pPr>
            <w:r w:rsidRPr="004F5586">
              <w:rPr>
                <w:rFonts w:ascii="Arial Narrow" w:hAnsi="Arial Narrow"/>
                <w:smallCaps/>
                <w:sz w:val="20"/>
              </w:rPr>
              <w:t>Glecaprevir/pibrentasvir</w:t>
            </w:r>
          </w:p>
          <w:p w:rsidR="00EF7FEF" w:rsidRPr="004F5586" w:rsidRDefault="00EF7FEF" w:rsidP="00EF7FEF">
            <w:pPr>
              <w:keepNext/>
              <w:rPr>
                <w:rFonts w:ascii="Arial Narrow" w:hAnsi="Arial Narrow"/>
                <w:sz w:val="20"/>
              </w:rPr>
            </w:pPr>
            <w:r w:rsidRPr="004F5586">
              <w:rPr>
                <w:rFonts w:ascii="Arial Narrow" w:hAnsi="Arial Narrow"/>
                <w:sz w:val="20"/>
              </w:rPr>
              <w:t>Tablet 100</w:t>
            </w:r>
            <w:r>
              <w:rPr>
                <w:rFonts w:ascii="Arial Narrow" w:hAnsi="Arial Narrow"/>
                <w:sz w:val="20"/>
              </w:rPr>
              <w:t> </w:t>
            </w:r>
            <w:r w:rsidRPr="004F5586">
              <w:rPr>
                <w:rFonts w:ascii="Arial Narrow" w:hAnsi="Arial Narrow"/>
                <w:sz w:val="20"/>
              </w:rPr>
              <w:t>mg/40</w:t>
            </w:r>
            <w:r>
              <w:rPr>
                <w:rFonts w:ascii="Arial Narrow" w:hAnsi="Arial Narrow"/>
                <w:sz w:val="20"/>
              </w:rPr>
              <w:t> </w:t>
            </w:r>
            <w:r w:rsidRPr="004F5586">
              <w:rPr>
                <w:rFonts w:ascii="Arial Narrow" w:hAnsi="Arial Narrow"/>
                <w:sz w:val="20"/>
              </w:rPr>
              <w:t>mg, 84</w:t>
            </w:r>
          </w:p>
        </w:tc>
        <w:tc>
          <w:tcPr>
            <w:tcW w:w="404"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1</w:t>
            </w:r>
          </w:p>
        </w:tc>
        <w:tc>
          <w:tcPr>
            <w:tcW w:w="379"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84</w:t>
            </w:r>
          </w:p>
        </w:tc>
        <w:tc>
          <w:tcPr>
            <w:tcW w:w="380"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3</w:t>
            </w:r>
          </w:p>
        </w:tc>
        <w:tc>
          <w:tcPr>
            <w:tcW w:w="75"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p>
        </w:tc>
        <w:tc>
          <w:tcPr>
            <w:tcW w:w="1682" w:type="pct"/>
            <w:tcBorders>
              <w:top w:val="single" w:sz="4" w:space="0" w:color="auto"/>
              <w:bottom w:val="single" w:sz="4" w:space="0" w:color="auto"/>
            </w:tcBorders>
            <w:vAlign w:val="center"/>
            <w:hideMark/>
          </w:tcPr>
          <w:p w:rsidR="00EF7FEF" w:rsidRPr="0055625E" w:rsidRDefault="00EF7FEF" w:rsidP="00EF7FEF">
            <w:pPr>
              <w:keepNext/>
              <w:jc w:val="center"/>
              <w:rPr>
                <w:rFonts w:ascii="Arial Narrow" w:hAnsi="Arial Narrow"/>
                <w:sz w:val="20"/>
                <w:szCs w:val="20"/>
              </w:rPr>
            </w:pPr>
            <w:r w:rsidRPr="0055625E">
              <w:rPr>
                <w:rFonts w:ascii="Arial Narrow" w:hAnsi="Arial Narrow"/>
                <w:sz w:val="20"/>
                <w:szCs w:val="20"/>
              </w:rPr>
              <w:t>Maviret</w:t>
            </w:r>
            <w:r w:rsidRPr="0055625E">
              <w:rPr>
                <w:rFonts w:ascii="Arial Narrow" w:hAnsi="Arial Narrow"/>
                <w:sz w:val="20"/>
                <w:szCs w:val="20"/>
                <w:vertAlign w:val="superscript"/>
              </w:rPr>
              <w:t>®</w:t>
            </w:r>
          </w:p>
        </w:tc>
        <w:tc>
          <w:tcPr>
            <w:tcW w:w="744" w:type="pct"/>
            <w:tcBorders>
              <w:top w:val="single" w:sz="4" w:space="0" w:color="auto"/>
              <w:bottom w:val="single" w:sz="4" w:space="0" w:color="auto"/>
            </w:tcBorders>
            <w:vAlign w:val="center"/>
            <w:hideMark/>
          </w:tcPr>
          <w:p w:rsidR="00EF7FEF" w:rsidRPr="004F5586" w:rsidRDefault="00EF7FEF" w:rsidP="00EF7FEF">
            <w:pPr>
              <w:keepNext/>
              <w:jc w:val="center"/>
              <w:rPr>
                <w:rFonts w:ascii="Arial Narrow" w:hAnsi="Arial Narrow"/>
                <w:sz w:val="20"/>
              </w:rPr>
            </w:pPr>
            <w:r w:rsidRPr="004F5586">
              <w:rPr>
                <w:rFonts w:ascii="Arial Narrow" w:hAnsi="Arial Narrow"/>
                <w:sz w:val="20"/>
              </w:rPr>
              <w:t>AbbVie Pty Ltd</w:t>
            </w:r>
          </w:p>
        </w:tc>
      </w:tr>
      <w:tr w:rsidR="00EF7FEF" w:rsidRPr="004F5586" w:rsidTr="00EF7FEF">
        <w:tblPrEx>
          <w:tblLook w:val="0000" w:firstRow="0" w:lastRow="0" w:firstColumn="0" w:lastColumn="0" w:noHBand="0" w:noVBand="0"/>
        </w:tblPrEx>
        <w:trPr>
          <w:cantSplit/>
          <w:trHeight w:val="345"/>
        </w:trPr>
        <w:tc>
          <w:tcPr>
            <w:tcW w:w="1209" w:type="pct"/>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b/>
                <w:sz w:val="20"/>
              </w:rPr>
            </w:pPr>
            <w:r w:rsidRPr="004F5586">
              <w:rPr>
                <w:rFonts w:ascii="Arial Narrow" w:hAnsi="Arial Narrow"/>
                <w:b/>
                <w:sz w:val="20"/>
              </w:rPr>
              <w:t>Category/ Program</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z w:val="20"/>
              </w:rPr>
            </w:pPr>
            <w:r w:rsidRPr="00260CE3">
              <w:rPr>
                <w:rFonts w:ascii="Arial Narrow" w:hAnsi="Arial Narrow"/>
                <w:sz w:val="20"/>
              </w:rPr>
              <w:t>GENERAL – General Schedule (Code GE)</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Prescriber type</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1" w:name="Check3"/>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bookmarkEnd w:id="1"/>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Severity:</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Chronic</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Condition:</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844B1A">
              <w:rPr>
                <w:rFonts w:ascii="Arial Narrow" w:hAnsi="Arial Narrow"/>
                <w:strike/>
                <w:sz w:val="20"/>
              </w:rPr>
              <w:t>HCV</w:t>
            </w:r>
            <w:r>
              <w:rPr>
                <w:rFonts w:ascii="Arial Narrow" w:hAnsi="Arial Narrow"/>
                <w:sz w:val="20"/>
              </w:rPr>
              <w:t xml:space="preserve"> </w:t>
            </w:r>
            <w:r w:rsidRPr="00844B1A">
              <w:rPr>
                <w:rFonts w:ascii="Arial Narrow" w:hAnsi="Arial Narrow"/>
                <w:i/>
                <w:sz w:val="20"/>
              </w:rPr>
              <w:t>Hepatitis C</w:t>
            </w:r>
            <w:r w:rsidRPr="004F5586">
              <w:rPr>
                <w:rFonts w:ascii="Arial Narrow" w:hAnsi="Arial Narrow"/>
                <w:sz w:val="20"/>
              </w:rPr>
              <w:t xml:space="preserve"> infection</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PBS Indication:</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 xml:space="preserve">Chronic </w:t>
            </w:r>
            <w:r w:rsidRPr="00844B1A">
              <w:rPr>
                <w:rFonts w:ascii="Arial Narrow" w:hAnsi="Arial Narrow"/>
                <w:strike/>
                <w:sz w:val="20"/>
              </w:rPr>
              <w:t>HCV</w:t>
            </w:r>
            <w:r w:rsidRPr="00844B1A">
              <w:rPr>
                <w:rFonts w:ascii="Arial Narrow" w:hAnsi="Arial Narrow"/>
                <w:sz w:val="20"/>
              </w:rPr>
              <w:t xml:space="preserve"> </w:t>
            </w:r>
            <w:r w:rsidRPr="00844B1A">
              <w:rPr>
                <w:rFonts w:ascii="Arial Narrow" w:hAnsi="Arial Narrow"/>
                <w:i/>
                <w:sz w:val="20"/>
              </w:rPr>
              <w:t>Hepatitis C</w:t>
            </w:r>
            <w:r w:rsidRPr="00844B1A">
              <w:rPr>
                <w:rFonts w:ascii="Arial Narrow" w:hAnsi="Arial Narrow"/>
                <w:sz w:val="20"/>
              </w:rPr>
              <w:t xml:space="preserve"> </w:t>
            </w:r>
            <w:r w:rsidRPr="004F5586">
              <w:rPr>
                <w:rFonts w:ascii="Arial Narrow" w:hAnsi="Arial Narrow"/>
                <w:sz w:val="20"/>
              </w:rPr>
              <w:t>infection</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b/>
                <w:sz w:val="20"/>
              </w:rPr>
              <w:t>Restriction:</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EF7FEF" w:rsidRPr="004F5586" w:rsidRDefault="00EF7FEF" w:rsidP="00EF7FE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Telephone</w:t>
            </w:r>
          </w:p>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EF7FEF" w:rsidRPr="004F5586" w:rsidRDefault="00EF7FEF" w:rsidP="00EF7FE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Electronic</w:t>
            </w:r>
          </w:p>
          <w:p w:rsidR="00EF7FEF" w:rsidRPr="004F5586" w:rsidRDefault="00EF7FEF" w:rsidP="00EF7FEF">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2" w:name="Check5"/>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bookmarkEnd w:id="2"/>
            <w:r w:rsidRPr="004F5586">
              <w:rPr>
                <w:rFonts w:ascii="Arial Narrow" w:hAnsi="Arial Narrow"/>
                <w:sz w:val="20"/>
              </w:rPr>
              <w:t>Streamlined</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b/>
                <w:strike/>
                <w:sz w:val="20"/>
              </w:rPr>
              <w:t>Treatment criteria:</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strike/>
                <w:sz w:val="20"/>
              </w:rPr>
              <w:t>Must be treated by a medical practitioner experienced in the treatment of chronic hepatitis C infection; or in consultation with a gastroenterologist, hepatologist or infectious diseases physician experienced in the treatment of chronic hepatitis C infection.</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b/>
                <w:sz w:val="20"/>
              </w:rPr>
              <w:t>Clinical criteria:</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EF7FEF" w:rsidRPr="004F5586" w:rsidRDefault="00EF7FEF" w:rsidP="00EF7FEF">
            <w:pPr>
              <w:rPr>
                <w:rFonts w:ascii="Arial Narrow" w:hAnsi="Arial Narrow"/>
                <w:sz w:val="20"/>
              </w:rPr>
            </w:pPr>
            <w:r w:rsidRPr="004F5586">
              <w:rPr>
                <w:rFonts w:ascii="Arial Narrow" w:hAnsi="Arial Narrow"/>
                <w:sz w:val="20"/>
              </w:rPr>
              <w:t>AND</w:t>
            </w:r>
          </w:p>
          <w:p w:rsidR="00EF7FEF" w:rsidRPr="004F5586" w:rsidRDefault="00EF7FEF" w:rsidP="00EF7FEF">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EF7FEF" w:rsidRPr="004F5586" w:rsidRDefault="00EF7FEF" w:rsidP="00EF7FEF">
            <w:pPr>
              <w:rPr>
                <w:rFonts w:ascii="Arial Narrow" w:hAnsi="Arial Narrow"/>
                <w:sz w:val="20"/>
              </w:rPr>
            </w:pPr>
            <w:r w:rsidRPr="004F5586">
              <w:rPr>
                <w:rFonts w:ascii="Arial Narrow" w:hAnsi="Arial Narrow"/>
                <w:sz w:val="20"/>
              </w:rPr>
              <w:t>AND</w:t>
            </w:r>
          </w:p>
          <w:p w:rsidR="00EF7FEF" w:rsidRPr="004F5586" w:rsidRDefault="00EF7FEF" w:rsidP="00EF7FEF">
            <w:pPr>
              <w:rPr>
                <w:rFonts w:ascii="Arial Narrow" w:hAnsi="Arial Narrow"/>
                <w:sz w:val="20"/>
              </w:rPr>
            </w:pPr>
            <w:r w:rsidRPr="004F5586">
              <w:rPr>
                <w:rFonts w:ascii="Arial Narrow" w:hAnsi="Arial Narrow"/>
                <w:sz w:val="20"/>
              </w:rPr>
              <w:t>The treatment must be limited to a maximum duration of 16 weeks.</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b/>
                <w:strike/>
                <w:sz w:val="20"/>
              </w:rPr>
              <w:t>Population criteria:</w:t>
            </w:r>
          </w:p>
        </w:tc>
        <w:tc>
          <w:tcPr>
            <w:tcW w:w="3791" w:type="pct"/>
            <w:gridSpan w:val="7"/>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strike/>
                <w:sz w:val="20"/>
              </w:rPr>
              <w:t>Patient must be aged 18 years or older.</w:t>
            </w:r>
          </w:p>
        </w:tc>
      </w:tr>
      <w:tr w:rsidR="00EF7FEF" w:rsidRPr="004F5586" w:rsidTr="00EF7FEF">
        <w:tblPrEx>
          <w:tblLook w:val="0000" w:firstRow="0" w:lastRow="0" w:firstColumn="0" w:lastColumn="0" w:noHBand="0" w:noVBand="0"/>
        </w:tblPrEx>
        <w:trPr>
          <w:cantSplit/>
          <w:trHeight w:val="20"/>
        </w:trPr>
        <w:tc>
          <w:tcPr>
            <w:tcW w:w="1209" w:type="pct"/>
            <w:tcBorders>
              <w:top w:val="single" w:sz="4" w:space="0" w:color="auto"/>
              <w:left w:val="single" w:sz="4" w:space="0" w:color="auto"/>
              <w:bottom w:val="single" w:sz="4" w:space="0" w:color="auto"/>
              <w:right w:val="single" w:sz="4" w:space="0" w:color="auto"/>
            </w:tcBorders>
          </w:tcPr>
          <w:p w:rsidR="00EF7FEF" w:rsidRPr="00172C40" w:rsidRDefault="00EF7FEF" w:rsidP="00EF7FEF">
            <w:pPr>
              <w:rPr>
                <w:rFonts w:ascii="Arial Narrow" w:hAnsi="Arial Narrow"/>
                <w:b/>
                <w:sz w:val="20"/>
              </w:rPr>
            </w:pPr>
            <w:r w:rsidRPr="00172C40">
              <w:rPr>
                <w:rFonts w:ascii="Arial Narrow" w:hAnsi="Arial Narrow"/>
                <w:b/>
                <w:sz w:val="20"/>
              </w:rPr>
              <w:t>Administrative Advice</w:t>
            </w:r>
          </w:p>
          <w:p w:rsidR="00EF7FEF" w:rsidRPr="00172C40" w:rsidRDefault="00EF7FEF" w:rsidP="00EF7FEF">
            <w:pPr>
              <w:rPr>
                <w:rFonts w:ascii="Arial Narrow" w:hAnsi="Arial Narrow"/>
                <w:i/>
                <w:sz w:val="20"/>
              </w:rPr>
            </w:pPr>
          </w:p>
        </w:tc>
        <w:tc>
          <w:tcPr>
            <w:tcW w:w="3791" w:type="pct"/>
            <w:gridSpan w:val="7"/>
            <w:tcBorders>
              <w:top w:val="single" w:sz="4" w:space="0" w:color="auto"/>
              <w:left w:val="single" w:sz="4" w:space="0" w:color="auto"/>
              <w:bottom w:val="single" w:sz="4" w:space="0" w:color="auto"/>
              <w:right w:val="single" w:sz="4" w:space="0" w:color="auto"/>
            </w:tcBorders>
          </w:tcPr>
          <w:p w:rsidR="00EF7FEF" w:rsidRPr="00844B1A" w:rsidRDefault="00EF7FEF" w:rsidP="00EF7FEF">
            <w:pPr>
              <w:rPr>
                <w:rFonts w:ascii="Arial Narrow" w:hAnsi="Arial Narrow"/>
                <w:i/>
                <w:sz w:val="20"/>
              </w:rPr>
            </w:pPr>
            <w:r w:rsidRPr="00844B1A">
              <w:rPr>
                <w:rFonts w:ascii="Arial Narrow" w:hAnsi="Arial Narrow"/>
                <w:i/>
                <w:sz w:val="20"/>
              </w:rPr>
              <w:t>No increase in the maximum quantity or number of units may be authorised.</w:t>
            </w:r>
          </w:p>
          <w:p w:rsidR="00EF7FEF" w:rsidRPr="00844B1A" w:rsidRDefault="00EF7FEF" w:rsidP="00EF7FEF">
            <w:pPr>
              <w:tabs>
                <w:tab w:val="left" w:pos="571"/>
              </w:tabs>
              <w:rPr>
                <w:rFonts w:ascii="Arial Narrow" w:hAnsi="Arial Narrow"/>
                <w:i/>
                <w:sz w:val="20"/>
              </w:rPr>
            </w:pPr>
            <w:r w:rsidRPr="00844B1A">
              <w:rPr>
                <w:rFonts w:ascii="Arial Narrow" w:hAnsi="Arial Narrow"/>
                <w:i/>
                <w:sz w:val="20"/>
              </w:rPr>
              <w:t>No increase in the maximum number of repeats may be authorised.</w:t>
            </w:r>
          </w:p>
          <w:p w:rsidR="00EF7FEF" w:rsidRPr="00172C40" w:rsidRDefault="00EF7FEF" w:rsidP="00EF7FEF">
            <w:pPr>
              <w:tabs>
                <w:tab w:val="left" w:pos="571"/>
              </w:tabs>
              <w:rPr>
                <w:rFonts w:ascii="Arial Narrow" w:hAnsi="Arial Narrow"/>
                <w:sz w:val="20"/>
              </w:rPr>
            </w:pPr>
            <w:r w:rsidRPr="00844B1A">
              <w:rPr>
                <w:rFonts w:ascii="Arial Narrow" w:hAnsi="Arial Narrow"/>
                <w:i/>
                <w:sz w:val="20"/>
              </w:rPr>
              <w:t>Special Pricing Arrangements apply.</w:t>
            </w:r>
          </w:p>
        </w:tc>
      </w:tr>
    </w:tbl>
    <w:p w:rsidR="00EF7FEF" w:rsidRPr="000C6CD6" w:rsidRDefault="00EF7FEF" w:rsidP="00B422E6">
      <w:pPr>
        <w:pStyle w:val="PBACHeading1"/>
        <w:numPr>
          <w:ilvl w:val="0"/>
          <w:numId w:val="0"/>
        </w:numPr>
        <w:ind w:left="720" w:hanging="720"/>
        <w:outlineLvl w:val="9"/>
        <w:rPr>
          <w:lang w:val="en-GB"/>
        </w:rPr>
      </w:pPr>
    </w:p>
    <w:p w:rsidR="00DD16A6" w:rsidRDefault="00DD16A6">
      <w:r>
        <w:br w:type="page"/>
      </w:r>
    </w:p>
    <w:tbl>
      <w:tblPr>
        <w:tblW w:w="4909" w:type="pct"/>
        <w:tblInd w:w="170" w:type="dxa"/>
        <w:tblCellMar>
          <w:left w:w="28" w:type="dxa"/>
          <w:right w:w="28" w:type="dxa"/>
        </w:tblCellMar>
        <w:tblLook w:val="04A0" w:firstRow="1" w:lastRow="0" w:firstColumn="1" w:lastColumn="0" w:noHBand="0" w:noVBand="1"/>
      </w:tblPr>
      <w:tblGrid>
        <w:gridCol w:w="2259"/>
        <w:gridCol w:w="239"/>
        <w:gridCol w:w="756"/>
        <w:gridCol w:w="709"/>
        <w:gridCol w:w="711"/>
        <w:gridCol w:w="140"/>
        <w:gridCol w:w="3146"/>
        <w:gridCol w:w="1391"/>
      </w:tblGrid>
      <w:tr w:rsidR="00EF7FEF" w:rsidRPr="004F5586" w:rsidTr="00EF7FEF">
        <w:trPr>
          <w:cantSplit/>
          <w:trHeight w:val="20"/>
        </w:trPr>
        <w:tc>
          <w:tcPr>
            <w:tcW w:w="1336" w:type="pct"/>
            <w:gridSpan w:val="2"/>
            <w:tcBorders>
              <w:bottom w:val="single" w:sz="4" w:space="0" w:color="auto"/>
            </w:tcBorders>
            <w:hideMark/>
          </w:tcPr>
          <w:p w:rsidR="00EF7FEF" w:rsidRPr="004F5586" w:rsidRDefault="00EF7FEF" w:rsidP="00EF7FEF">
            <w:pPr>
              <w:keepNext/>
              <w:rPr>
                <w:rFonts w:ascii="Arial Narrow" w:hAnsi="Arial Narrow"/>
                <w:b/>
                <w:sz w:val="20"/>
              </w:rPr>
            </w:pPr>
            <w:r w:rsidRPr="004F5586">
              <w:rPr>
                <w:rFonts w:ascii="Arial Narrow" w:hAnsi="Arial Narrow"/>
                <w:b/>
                <w:sz w:val="20"/>
              </w:rPr>
              <w:t>Name, Restriction,</w:t>
            </w:r>
          </w:p>
          <w:p w:rsidR="00EF7FEF" w:rsidRPr="004F5586" w:rsidRDefault="00EF7FEF" w:rsidP="00EF7FEF">
            <w:pPr>
              <w:keepNext/>
              <w:rPr>
                <w:rFonts w:ascii="Arial Narrow" w:hAnsi="Arial Narrow"/>
                <w:b/>
                <w:sz w:val="20"/>
              </w:rPr>
            </w:pPr>
            <w:r w:rsidRPr="004F5586">
              <w:rPr>
                <w:rFonts w:ascii="Arial Narrow" w:hAnsi="Arial Narrow"/>
                <w:b/>
                <w:sz w:val="20"/>
              </w:rPr>
              <w:t>Manner of administration and form</w:t>
            </w:r>
          </w:p>
        </w:tc>
        <w:tc>
          <w:tcPr>
            <w:tcW w:w="404" w:type="pct"/>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Max qty packs</w:t>
            </w:r>
          </w:p>
        </w:tc>
        <w:tc>
          <w:tcPr>
            <w:tcW w:w="379" w:type="pct"/>
            <w:tcBorders>
              <w:bottom w:val="single" w:sz="4" w:space="0" w:color="auto"/>
            </w:tcBorders>
          </w:tcPr>
          <w:p w:rsidR="00EF7FEF" w:rsidRPr="004F5586" w:rsidRDefault="00EF7FEF" w:rsidP="00EF7FEF">
            <w:pPr>
              <w:keepNext/>
              <w:jc w:val="center"/>
              <w:rPr>
                <w:rFonts w:ascii="Arial Narrow" w:hAnsi="Arial Narrow"/>
                <w:b/>
                <w:sz w:val="20"/>
              </w:rPr>
            </w:pPr>
            <w:r w:rsidRPr="004F5586">
              <w:rPr>
                <w:rFonts w:ascii="Arial Narrow" w:hAnsi="Arial Narrow"/>
                <w:b/>
                <w:sz w:val="20"/>
              </w:rPr>
              <w:t>Max qty units</w:t>
            </w:r>
          </w:p>
        </w:tc>
        <w:tc>
          <w:tcPr>
            <w:tcW w:w="380" w:type="pct"/>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№.of</w:t>
            </w:r>
          </w:p>
          <w:p w:rsidR="00EF7FEF" w:rsidRPr="004F5586" w:rsidRDefault="00EF7FEF" w:rsidP="00EF7FEF">
            <w:pPr>
              <w:keepNext/>
              <w:jc w:val="center"/>
              <w:rPr>
                <w:rFonts w:ascii="Arial Narrow" w:hAnsi="Arial Narrow"/>
                <w:b/>
                <w:sz w:val="20"/>
              </w:rPr>
            </w:pPr>
            <w:r w:rsidRPr="004F5586">
              <w:rPr>
                <w:rFonts w:ascii="Arial Narrow" w:hAnsi="Arial Narrow"/>
                <w:b/>
                <w:sz w:val="20"/>
              </w:rPr>
              <w:t>Rpts</w:t>
            </w:r>
          </w:p>
        </w:tc>
        <w:tc>
          <w:tcPr>
            <w:tcW w:w="75" w:type="pct"/>
            <w:tcBorders>
              <w:bottom w:val="single" w:sz="4" w:space="0" w:color="auto"/>
            </w:tcBorders>
            <w:hideMark/>
          </w:tcPr>
          <w:p w:rsidR="00EF7FEF" w:rsidRPr="004F5586" w:rsidRDefault="00EF7FEF" w:rsidP="00EF7FEF">
            <w:pPr>
              <w:keepNext/>
              <w:jc w:val="center"/>
              <w:rPr>
                <w:rFonts w:ascii="Arial Narrow" w:hAnsi="Arial Narrow"/>
                <w:b/>
                <w:sz w:val="20"/>
              </w:rPr>
            </w:pPr>
          </w:p>
        </w:tc>
        <w:tc>
          <w:tcPr>
            <w:tcW w:w="2426" w:type="pct"/>
            <w:gridSpan w:val="2"/>
            <w:tcBorders>
              <w:bottom w:val="single" w:sz="4" w:space="0" w:color="auto"/>
            </w:tcBorders>
            <w:hideMark/>
          </w:tcPr>
          <w:p w:rsidR="00EF7FEF" w:rsidRPr="004F5586" w:rsidRDefault="00EF7FEF" w:rsidP="00EF7FEF">
            <w:pPr>
              <w:keepNext/>
              <w:jc w:val="center"/>
              <w:rPr>
                <w:rFonts w:ascii="Arial Narrow" w:hAnsi="Arial Narrow"/>
                <w:b/>
                <w:sz w:val="20"/>
              </w:rPr>
            </w:pPr>
            <w:r w:rsidRPr="004F5586">
              <w:rPr>
                <w:rFonts w:ascii="Arial Narrow" w:hAnsi="Arial Narrow"/>
                <w:b/>
                <w:sz w:val="20"/>
              </w:rPr>
              <w:t>Proprietary Name and Manufacturer</w:t>
            </w:r>
          </w:p>
        </w:tc>
      </w:tr>
      <w:tr w:rsidR="00EF7FEF" w:rsidRPr="004F5586" w:rsidTr="00EF7FEF">
        <w:trPr>
          <w:cantSplit/>
          <w:trHeight w:val="20"/>
        </w:trPr>
        <w:tc>
          <w:tcPr>
            <w:tcW w:w="1336" w:type="pct"/>
            <w:gridSpan w:val="2"/>
            <w:tcBorders>
              <w:top w:val="single" w:sz="4" w:space="0" w:color="auto"/>
              <w:bottom w:val="single" w:sz="4" w:space="0" w:color="auto"/>
            </w:tcBorders>
            <w:vAlign w:val="center"/>
            <w:hideMark/>
          </w:tcPr>
          <w:p w:rsidR="00EF7FEF" w:rsidRPr="004F5586" w:rsidRDefault="00EF7FEF" w:rsidP="00EF7FEF">
            <w:pPr>
              <w:keepNext/>
              <w:rPr>
                <w:rFonts w:ascii="Arial Narrow" w:hAnsi="Arial Narrow"/>
                <w:sz w:val="20"/>
              </w:rPr>
            </w:pPr>
            <w:r w:rsidRPr="004F5586">
              <w:rPr>
                <w:rFonts w:ascii="Arial Narrow" w:hAnsi="Arial Narrow"/>
                <w:smallCaps/>
                <w:sz w:val="20"/>
              </w:rPr>
              <w:t>Glecaprevir/pibrentasvir</w:t>
            </w:r>
          </w:p>
          <w:p w:rsidR="00EF7FEF" w:rsidRPr="004F5586" w:rsidRDefault="00EF7FEF" w:rsidP="00EF7FEF">
            <w:pPr>
              <w:keepNext/>
              <w:rPr>
                <w:rFonts w:ascii="Arial Narrow" w:hAnsi="Arial Narrow"/>
                <w:sz w:val="20"/>
              </w:rPr>
            </w:pPr>
            <w:r w:rsidRPr="004F5586">
              <w:rPr>
                <w:rFonts w:ascii="Arial Narrow" w:hAnsi="Arial Narrow"/>
                <w:sz w:val="20"/>
              </w:rPr>
              <w:t>Tablet 100</w:t>
            </w:r>
            <w:r>
              <w:rPr>
                <w:rFonts w:ascii="Arial Narrow" w:hAnsi="Arial Narrow"/>
                <w:sz w:val="20"/>
              </w:rPr>
              <w:t> </w:t>
            </w:r>
            <w:r w:rsidRPr="004F5586">
              <w:rPr>
                <w:rFonts w:ascii="Arial Narrow" w:hAnsi="Arial Narrow"/>
                <w:sz w:val="20"/>
              </w:rPr>
              <w:t>mg/40</w:t>
            </w:r>
            <w:r>
              <w:rPr>
                <w:rFonts w:ascii="Arial Narrow" w:hAnsi="Arial Narrow"/>
                <w:sz w:val="20"/>
              </w:rPr>
              <w:t> </w:t>
            </w:r>
            <w:r w:rsidRPr="004F5586">
              <w:rPr>
                <w:rFonts w:ascii="Arial Narrow" w:hAnsi="Arial Narrow"/>
                <w:sz w:val="20"/>
              </w:rPr>
              <w:t>mg, 84</w:t>
            </w:r>
          </w:p>
        </w:tc>
        <w:tc>
          <w:tcPr>
            <w:tcW w:w="404"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1</w:t>
            </w:r>
          </w:p>
        </w:tc>
        <w:tc>
          <w:tcPr>
            <w:tcW w:w="379"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84</w:t>
            </w:r>
          </w:p>
        </w:tc>
        <w:tc>
          <w:tcPr>
            <w:tcW w:w="380"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r w:rsidRPr="004F5586">
              <w:rPr>
                <w:rFonts w:ascii="Arial Narrow" w:hAnsi="Arial Narrow"/>
                <w:sz w:val="20"/>
              </w:rPr>
              <w:t>3</w:t>
            </w:r>
          </w:p>
        </w:tc>
        <w:tc>
          <w:tcPr>
            <w:tcW w:w="75" w:type="pct"/>
            <w:tcBorders>
              <w:top w:val="single" w:sz="4" w:space="0" w:color="auto"/>
              <w:bottom w:val="single" w:sz="4" w:space="0" w:color="auto"/>
            </w:tcBorders>
            <w:vAlign w:val="center"/>
          </w:tcPr>
          <w:p w:rsidR="00EF7FEF" w:rsidRPr="004F5586" w:rsidRDefault="00EF7FEF" w:rsidP="00EF7FEF">
            <w:pPr>
              <w:keepNext/>
              <w:jc w:val="center"/>
              <w:rPr>
                <w:rFonts w:ascii="Arial Narrow" w:hAnsi="Arial Narrow"/>
                <w:sz w:val="20"/>
              </w:rPr>
            </w:pPr>
          </w:p>
        </w:tc>
        <w:tc>
          <w:tcPr>
            <w:tcW w:w="1682" w:type="pct"/>
            <w:tcBorders>
              <w:top w:val="single" w:sz="4" w:space="0" w:color="auto"/>
              <w:bottom w:val="single" w:sz="4" w:space="0" w:color="auto"/>
            </w:tcBorders>
            <w:vAlign w:val="center"/>
            <w:hideMark/>
          </w:tcPr>
          <w:p w:rsidR="00EF7FEF" w:rsidRPr="0055625E" w:rsidRDefault="00EF7FEF" w:rsidP="00EF7FEF">
            <w:pPr>
              <w:keepNext/>
              <w:jc w:val="center"/>
              <w:rPr>
                <w:rFonts w:ascii="Arial Narrow" w:hAnsi="Arial Narrow"/>
                <w:sz w:val="20"/>
                <w:szCs w:val="20"/>
              </w:rPr>
            </w:pPr>
            <w:r w:rsidRPr="0055625E">
              <w:rPr>
                <w:rFonts w:ascii="Arial Narrow" w:hAnsi="Arial Narrow"/>
                <w:sz w:val="20"/>
                <w:szCs w:val="20"/>
              </w:rPr>
              <w:t>Maviret</w:t>
            </w:r>
            <w:r w:rsidRPr="0055625E">
              <w:rPr>
                <w:rFonts w:ascii="Arial Narrow" w:hAnsi="Arial Narrow"/>
                <w:sz w:val="20"/>
                <w:szCs w:val="20"/>
                <w:vertAlign w:val="superscript"/>
              </w:rPr>
              <w:t>®</w:t>
            </w:r>
          </w:p>
        </w:tc>
        <w:tc>
          <w:tcPr>
            <w:tcW w:w="744" w:type="pct"/>
            <w:tcBorders>
              <w:top w:val="single" w:sz="4" w:space="0" w:color="auto"/>
              <w:bottom w:val="single" w:sz="4" w:space="0" w:color="auto"/>
            </w:tcBorders>
            <w:vAlign w:val="center"/>
            <w:hideMark/>
          </w:tcPr>
          <w:p w:rsidR="00EF7FEF" w:rsidRPr="004F5586" w:rsidRDefault="00EF7FEF" w:rsidP="00EF7FEF">
            <w:pPr>
              <w:keepNext/>
              <w:jc w:val="center"/>
              <w:rPr>
                <w:rFonts w:ascii="Arial Narrow" w:hAnsi="Arial Narrow"/>
                <w:sz w:val="20"/>
              </w:rPr>
            </w:pPr>
            <w:r w:rsidRPr="004F5586">
              <w:rPr>
                <w:rFonts w:ascii="Arial Narrow" w:hAnsi="Arial Narrow"/>
                <w:sz w:val="20"/>
              </w:rPr>
              <w:t>AbbVie Pty Ltd</w:t>
            </w:r>
          </w:p>
        </w:tc>
      </w:tr>
      <w:tr w:rsidR="00EF7FEF" w:rsidRPr="004F5586" w:rsidTr="00DD16A6">
        <w:tblPrEx>
          <w:tblLook w:val="0000" w:firstRow="0" w:lastRow="0" w:firstColumn="0" w:lastColumn="0" w:noHBand="0" w:noVBand="0"/>
        </w:tblPrEx>
        <w:trPr>
          <w:cantSplit/>
          <w:trHeight w:val="57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Category/ Program</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260CE3">
              <w:rPr>
                <w:rFonts w:ascii="Arial Narrow" w:hAnsi="Arial Narrow"/>
                <w:sz w:val="20"/>
              </w:rPr>
              <w:t>Section 100 – Highly Specialised Drugs Program</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Prescriber type</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Dental  </w:t>
            </w:r>
            <w:r w:rsidRPr="004F5586">
              <w:rPr>
                <w:rFonts w:ascii="Arial Narrow" w:hAnsi="Arial Narrow"/>
                <w:sz w:val="20"/>
              </w:rPr>
              <w:fldChar w:fldCharType="begin">
                <w:ffData>
                  <w:name w:val=""/>
                  <w:enabled/>
                  <w:calcOnExit w:val="0"/>
                  <w:checkBox>
                    <w:sizeAuto/>
                    <w:default w:val="1"/>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 xml:space="preserve">Nurse practitioners  </w:t>
            </w: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 xml:space="preserve">Optometrists </w:t>
            </w:r>
            <w:r w:rsidRPr="004F5586">
              <w:rPr>
                <w:rFonts w:ascii="Arial Narrow" w:hAnsi="Arial Narrow"/>
                <w:sz w:val="20"/>
              </w:rPr>
              <w:fldChar w:fldCharType="begin">
                <w:ffData>
                  <w:name w:val="Check5"/>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Midwives</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Severity:</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Chronic</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Condition:</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844B1A">
              <w:rPr>
                <w:rFonts w:ascii="Arial Narrow" w:hAnsi="Arial Narrow"/>
                <w:strike/>
                <w:sz w:val="20"/>
              </w:rPr>
              <w:t>HCV</w:t>
            </w:r>
            <w:r>
              <w:rPr>
                <w:rFonts w:ascii="Arial Narrow" w:hAnsi="Arial Narrow"/>
                <w:sz w:val="20"/>
              </w:rPr>
              <w:t xml:space="preserve"> </w:t>
            </w:r>
            <w:r w:rsidRPr="00844B1A">
              <w:rPr>
                <w:rFonts w:ascii="Arial Narrow" w:hAnsi="Arial Narrow"/>
                <w:i/>
                <w:sz w:val="20"/>
              </w:rPr>
              <w:t>Hepatitis C</w:t>
            </w:r>
            <w:r w:rsidRPr="004F5586">
              <w:rPr>
                <w:rFonts w:ascii="Arial Narrow" w:hAnsi="Arial Narrow"/>
                <w:sz w:val="20"/>
              </w:rPr>
              <w:t xml:space="preserve"> infection</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b/>
                <w:sz w:val="20"/>
              </w:rPr>
            </w:pPr>
            <w:r w:rsidRPr="004F5586">
              <w:rPr>
                <w:rFonts w:ascii="Arial Narrow" w:hAnsi="Arial Narrow"/>
                <w:b/>
                <w:sz w:val="20"/>
              </w:rPr>
              <w:t>PBS Indication:</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 xml:space="preserve">Chronic </w:t>
            </w:r>
            <w:r w:rsidRPr="00844B1A">
              <w:rPr>
                <w:rFonts w:ascii="Arial Narrow" w:hAnsi="Arial Narrow"/>
                <w:strike/>
                <w:sz w:val="20"/>
              </w:rPr>
              <w:t>HCV</w:t>
            </w:r>
            <w:r w:rsidRPr="00844B1A">
              <w:rPr>
                <w:rFonts w:ascii="Arial Narrow" w:hAnsi="Arial Narrow"/>
                <w:sz w:val="20"/>
              </w:rPr>
              <w:t xml:space="preserve"> </w:t>
            </w:r>
            <w:r w:rsidRPr="00844B1A">
              <w:rPr>
                <w:rFonts w:ascii="Arial Narrow" w:hAnsi="Arial Narrow"/>
                <w:i/>
                <w:sz w:val="20"/>
              </w:rPr>
              <w:t>Hepatitis C</w:t>
            </w:r>
            <w:r w:rsidRPr="00844B1A">
              <w:rPr>
                <w:rFonts w:ascii="Arial Narrow" w:hAnsi="Arial Narrow"/>
                <w:sz w:val="20"/>
              </w:rPr>
              <w:t xml:space="preserve"> </w:t>
            </w:r>
            <w:r w:rsidRPr="004F5586">
              <w:rPr>
                <w:rFonts w:ascii="Arial Narrow" w:hAnsi="Arial Narrow"/>
                <w:sz w:val="20"/>
              </w:rPr>
              <w:t>infection</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b/>
                <w:sz w:val="20"/>
              </w:rPr>
              <w:t>Restriction:</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Check1"/>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Restricted benefit</w:t>
            </w:r>
          </w:p>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In Writing</w:t>
            </w:r>
          </w:p>
          <w:p w:rsidR="00EF7FEF" w:rsidRPr="004F5586" w:rsidRDefault="00EF7FEF" w:rsidP="00EF7FE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Telephone</w:t>
            </w:r>
          </w:p>
          <w:p w:rsidR="00EF7FEF" w:rsidRPr="004F5586" w:rsidRDefault="00EF7FEF" w:rsidP="00EF7FEF">
            <w:pPr>
              <w:rPr>
                <w:rFonts w:ascii="Arial Narrow" w:hAnsi="Arial Narrow"/>
                <w:sz w:val="20"/>
              </w:rPr>
            </w:pPr>
            <w:r w:rsidRPr="004F5586">
              <w:rPr>
                <w:rFonts w:ascii="Arial Narrow" w:hAnsi="Arial Narrow"/>
                <w:sz w:val="20"/>
              </w:rPr>
              <w:fldChar w:fldCharType="begin">
                <w:ffData>
                  <w:name w:val=""/>
                  <w:enabled/>
                  <w:calcOnExit w:val="0"/>
                  <w:checkBox>
                    <w:sizeAuto/>
                    <w:default w:val="0"/>
                  </w:checkBox>
                </w:ffData>
              </w:fldChar>
            </w:r>
            <w:r w:rsidRPr="004F5586">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sidRPr="004F5586">
              <w:rPr>
                <w:rFonts w:ascii="Arial Narrow" w:hAnsi="Arial Narrow"/>
                <w:sz w:val="20"/>
              </w:rPr>
              <w:fldChar w:fldCharType="end"/>
            </w:r>
            <w:r w:rsidRPr="004F5586">
              <w:rPr>
                <w:rFonts w:ascii="Arial Narrow" w:hAnsi="Arial Narrow"/>
                <w:sz w:val="20"/>
              </w:rPr>
              <w:t>Authority Required – Emergency</w:t>
            </w:r>
          </w:p>
          <w:p w:rsidR="00EF7FEF" w:rsidRPr="004F5586" w:rsidRDefault="00EF7FEF" w:rsidP="00EF7FE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Authority Required - Electronic</w:t>
            </w:r>
          </w:p>
          <w:p w:rsidR="00EF7FEF" w:rsidRPr="004F5586" w:rsidRDefault="00EF7FEF" w:rsidP="00EF7FEF">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A833AF">
              <w:rPr>
                <w:rFonts w:ascii="Arial Narrow" w:hAnsi="Arial Narrow"/>
                <w:sz w:val="20"/>
              </w:rPr>
            </w:r>
            <w:r w:rsidR="00A833AF">
              <w:rPr>
                <w:rFonts w:ascii="Arial Narrow" w:hAnsi="Arial Narrow"/>
                <w:sz w:val="20"/>
              </w:rPr>
              <w:fldChar w:fldCharType="separate"/>
            </w:r>
            <w:r>
              <w:rPr>
                <w:rFonts w:ascii="Arial Narrow" w:hAnsi="Arial Narrow"/>
                <w:sz w:val="20"/>
              </w:rPr>
              <w:fldChar w:fldCharType="end"/>
            </w:r>
            <w:r w:rsidRPr="004F5586">
              <w:rPr>
                <w:rFonts w:ascii="Arial Narrow" w:hAnsi="Arial Narrow"/>
                <w:sz w:val="20"/>
              </w:rPr>
              <w:t>Streamlined</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b/>
                <w:strike/>
                <w:sz w:val="20"/>
              </w:rPr>
              <w:t>Treatment criteria:</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strike/>
                <w:sz w:val="20"/>
              </w:rPr>
              <w:t>Must be treated by a medical practitioner experienced in the treatment of chronic hepatitis C infection; or in consultation with a gastroenterologist, hepatologist or infectious diseases physician experienced in the treatment of chronic hepatitis C infection.</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b/>
                <w:sz w:val="20"/>
              </w:rPr>
              <w:t>Clinical criteria:</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4F5586" w:rsidRDefault="00EF7FEF" w:rsidP="00EF7FEF">
            <w:pPr>
              <w:rPr>
                <w:rFonts w:ascii="Arial Narrow" w:hAnsi="Arial Narrow"/>
                <w:sz w:val="20"/>
              </w:rPr>
            </w:pPr>
            <w:r w:rsidRPr="004F5586">
              <w:rPr>
                <w:rFonts w:ascii="Arial Narrow" w:hAnsi="Arial Narrow"/>
                <w:sz w:val="20"/>
              </w:rPr>
              <w:t>Patient must meet the criteria set out in the General Statement for Drugs for the Treatment of Hepatitis C;</w:t>
            </w:r>
          </w:p>
          <w:p w:rsidR="00EF7FEF" w:rsidRPr="004F5586" w:rsidRDefault="00EF7FEF" w:rsidP="00EF7FEF">
            <w:pPr>
              <w:rPr>
                <w:rFonts w:ascii="Arial Narrow" w:hAnsi="Arial Narrow"/>
                <w:sz w:val="20"/>
              </w:rPr>
            </w:pPr>
            <w:r w:rsidRPr="004F5586">
              <w:rPr>
                <w:rFonts w:ascii="Arial Narrow" w:hAnsi="Arial Narrow"/>
                <w:sz w:val="20"/>
              </w:rPr>
              <w:t>AND</w:t>
            </w:r>
          </w:p>
          <w:p w:rsidR="00EF7FEF" w:rsidRPr="004F5586" w:rsidRDefault="00EF7FEF" w:rsidP="00EF7FEF">
            <w:pPr>
              <w:rPr>
                <w:rFonts w:ascii="Arial Narrow" w:hAnsi="Arial Narrow"/>
                <w:sz w:val="20"/>
              </w:rPr>
            </w:pPr>
            <w:r w:rsidRPr="004F5586">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EF7FEF" w:rsidRPr="004F5586" w:rsidRDefault="00EF7FEF" w:rsidP="00EF7FEF">
            <w:pPr>
              <w:rPr>
                <w:rFonts w:ascii="Arial Narrow" w:hAnsi="Arial Narrow"/>
                <w:sz w:val="20"/>
              </w:rPr>
            </w:pPr>
            <w:r w:rsidRPr="004F5586">
              <w:rPr>
                <w:rFonts w:ascii="Arial Narrow" w:hAnsi="Arial Narrow"/>
                <w:sz w:val="20"/>
              </w:rPr>
              <w:t>AND</w:t>
            </w:r>
          </w:p>
          <w:p w:rsidR="00EF7FEF" w:rsidRPr="004F5586" w:rsidRDefault="00EF7FEF" w:rsidP="00EF7FEF">
            <w:pPr>
              <w:rPr>
                <w:rFonts w:ascii="Arial Narrow" w:hAnsi="Arial Narrow"/>
                <w:sz w:val="20"/>
              </w:rPr>
            </w:pPr>
            <w:r w:rsidRPr="004F5586">
              <w:rPr>
                <w:rFonts w:ascii="Arial Narrow" w:hAnsi="Arial Narrow"/>
                <w:sz w:val="20"/>
              </w:rPr>
              <w:t>The treatment must be limited to a maximum duration of 16 weeks.</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b/>
                <w:strike/>
                <w:sz w:val="20"/>
              </w:rPr>
              <w:t>Population criteria:</w:t>
            </w:r>
          </w:p>
        </w:tc>
        <w:tc>
          <w:tcPr>
            <w:tcW w:w="3792" w:type="pct"/>
            <w:gridSpan w:val="7"/>
            <w:tcBorders>
              <w:top w:val="single" w:sz="4" w:space="0" w:color="auto"/>
              <w:left w:val="single" w:sz="4" w:space="0" w:color="auto"/>
              <w:bottom w:val="single" w:sz="4" w:space="0" w:color="auto"/>
              <w:right w:val="single" w:sz="4" w:space="0" w:color="auto"/>
            </w:tcBorders>
          </w:tcPr>
          <w:p w:rsidR="00EF7FEF" w:rsidRPr="00E60BEE" w:rsidRDefault="00EF7FEF" w:rsidP="00EF7FEF">
            <w:pPr>
              <w:rPr>
                <w:rFonts w:ascii="Arial Narrow" w:hAnsi="Arial Narrow"/>
                <w:strike/>
                <w:sz w:val="20"/>
              </w:rPr>
            </w:pPr>
            <w:r w:rsidRPr="00E60BEE">
              <w:rPr>
                <w:rFonts w:ascii="Arial Narrow" w:hAnsi="Arial Narrow"/>
                <w:strike/>
                <w:sz w:val="20"/>
              </w:rPr>
              <w:t>Patient must be aged 18 years or older.</w:t>
            </w:r>
          </w:p>
        </w:tc>
      </w:tr>
      <w:tr w:rsidR="00EF7FEF" w:rsidRPr="004F5586" w:rsidTr="00DD16A6">
        <w:tblPrEx>
          <w:tblLook w:val="0000" w:firstRow="0" w:lastRow="0" w:firstColumn="0" w:lastColumn="0" w:noHBand="0" w:noVBand="0"/>
        </w:tblPrEx>
        <w:trPr>
          <w:cantSplit/>
          <w:trHeight w:val="20"/>
        </w:trPr>
        <w:tc>
          <w:tcPr>
            <w:tcW w:w="1208" w:type="pct"/>
            <w:tcBorders>
              <w:top w:val="single" w:sz="4" w:space="0" w:color="auto"/>
              <w:left w:val="single" w:sz="4" w:space="0" w:color="auto"/>
              <w:bottom w:val="single" w:sz="4" w:space="0" w:color="auto"/>
              <w:right w:val="single" w:sz="4" w:space="0" w:color="auto"/>
            </w:tcBorders>
          </w:tcPr>
          <w:p w:rsidR="00EF7FEF" w:rsidRPr="00172C40" w:rsidRDefault="00EF7FEF" w:rsidP="00EF7FEF">
            <w:pPr>
              <w:rPr>
                <w:rFonts w:ascii="Arial Narrow" w:hAnsi="Arial Narrow"/>
                <w:b/>
                <w:sz w:val="20"/>
              </w:rPr>
            </w:pPr>
            <w:r w:rsidRPr="00172C40">
              <w:rPr>
                <w:rFonts w:ascii="Arial Narrow" w:hAnsi="Arial Narrow"/>
                <w:b/>
                <w:sz w:val="20"/>
              </w:rPr>
              <w:t>Administrative Advice</w:t>
            </w:r>
          </w:p>
          <w:p w:rsidR="00EF7FEF" w:rsidRPr="00172C40" w:rsidRDefault="00EF7FEF" w:rsidP="00EF7FEF">
            <w:pPr>
              <w:rPr>
                <w:rFonts w:ascii="Arial Narrow" w:hAnsi="Arial Narrow"/>
                <w:i/>
                <w:sz w:val="20"/>
              </w:rPr>
            </w:pPr>
          </w:p>
        </w:tc>
        <w:tc>
          <w:tcPr>
            <w:tcW w:w="3792" w:type="pct"/>
            <w:gridSpan w:val="7"/>
            <w:tcBorders>
              <w:top w:val="single" w:sz="4" w:space="0" w:color="auto"/>
              <w:left w:val="single" w:sz="4" w:space="0" w:color="auto"/>
              <w:bottom w:val="single" w:sz="4" w:space="0" w:color="auto"/>
              <w:right w:val="single" w:sz="4" w:space="0" w:color="auto"/>
            </w:tcBorders>
          </w:tcPr>
          <w:p w:rsidR="00EF7FEF" w:rsidRPr="00844B1A" w:rsidRDefault="00EF7FEF" w:rsidP="00EF7FEF">
            <w:pPr>
              <w:rPr>
                <w:rFonts w:ascii="Arial Narrow" w:hAnsi="Arial Narrow"/>
                <w:i/>
                <w:sz w:val="20"/>
              </w:rPr>
            </w:pPr>
            <w:r w:rsidRPr="00844B1A">
              <w:rPr>
                <w:rFonts w:ascii="Arial Narrow" w:hAnsi="Arial Narrow"/>
                <w:i/>
                <w:sz w:val="20"/>
              </w:rPr>
              <w:t>No increase in the maximum quantity or number of units may be authorised.</w:t>
            </w:r>
          </w:p>
          <w:p w:rsidR="00EF7FEF" w:rsidRPr="00844B1A" w:rsidRDefault="00EF7FEF" w:rsidP="00EF7FEF">
            <w:pPr>
              <w:tabs>
                <w:tab w:val="left" w:pos="571"/>
              </w:tabs>
              <w:rPr>
                <w:rFonts w:ascii="Arial Narrow" w:hAnsi="Arial Narrow"/>
                <w:i/>
                <w:sz w:val="20"/>
              </w:rPr>
            </w:pPr>
            <w:r w:rsidRPr="00844B1A">
              <w:rPr>
                <w:rFonts w:ascii="Arial Narrow" w:hAnsi="Arial Narrow"/>
                <w:i/>
                <w:sz w:val="20"/>
              </w:rPr>
              <w:t>No increase in the maximum number of repeats may be authorised.</w:t>
            </w:r>
          </w:p>
          <w:p w:rsidR="00EF7FEF" w:rsidRPr="00172C40" w:rsidRDefault="00EF7FEF" w:rsidP="00EF7FEF">
            <w:pPr>
              <w:tabs>
                <w:tab w:val="left" w:pos="571"/>
              </w:tabs>
              <w:rPr>
                <w:rFonts w:ascii="Arial Narrow" w:hAnsi="Arial Narrow"/>
                <w:sz w:val="20"/>
              </w:rPr>
            </w:pPr>
            <w:r w:rsidRPr="00844B1A">
              <w:rPr>
                <w:rFonts w:ascii="Arial Narrow" w:hAnsi="Arial Narrow"/>
                <w:i/>
                <w:sz w:val="20"/>
              </w:rPr>
              <w:t>Special Pricing Arrangements apply.</w:t>
            </w:r>
          </w:p>
        </w:tc>
      </w:tr>
    </w:tbl>
    <w:p w:rsidR="00EF7FEF" w:rsidRDefault="00EF7FEF" w:rsidP="00EF7FEF"/>
    <w:p w:rsidR="00DD16A6" w:rsidRDefault="00DD16A6">
      <w:pPr>
        <w:rPr>
          <w:rFonts w:asciiTheme="minorHAnsi" w:hAnsiTheme="minorHAnsi" w:cs="Arial"/>
          <w:b/>
          <w:color w:val="000000"/>
          <w:kern w:val="36"/>
          <w:sz w:val="28"/>
          <w:szCs w:val="28"/>
        </w:rPr>
      </w:pPr>
      <w:r>
        <w:rPr>
          <w:rFonts w:asciiTheme="minorHAnsi" w:hAnsiTheme="minorHAnsi" w:cs="Arial"/>
          <w:b/>
          <w:color w:val="000000"/>
          <w:kern w:val="36"/>
          <w:sz w:val="28"/>
          <w:szCs w:val="28"/>
        </w:rPr>
        <w:br w:type="page"/>
      </w:r>
    </w:p>
    <w:p w:rsidR="00EF7FEF" w:rsidRPr="00357BF9" w:rsidRDefault="00EF7FEF" w:rsidP="00EF7FEF">
      <w:pPr>
        <w:spacing w:before="120" w:after="120"/>
        <w:outlineLvl w:val="0"/>
        <w:rPr>
          <w:rFonts w:asciiTheme="minorHAnsi" w:hAnsiTheme="minorHAnsi" w:cs="Arial"/>
          <w:b/>
          <w:color w:val="000000"/>
          <w:kern w:val="36"/>
          <w:sz w:val="28"/>
          <w:szCs w:val="28"/>
        </w:rPr>
      </w:pPr>
      <w:r w:rsidRPr="00357BF9">
        <w:rPr>
          <w:rFonts w:asciiTheme="minorHAnsi" w:hAnsiTheme="minorHAnsi" w:cs="Arial"/>
          <w:b/>
          <w:color w:val="000000"/>
          <w:kern w:val="36"/>
          <w:sz w:val="28"/>
          <w:szCs w:val="28"/>
        </w:rPr>
        <w:t>General Statement for Drugs for the Treatment of Hepatitis C</w:t>
      </w:r>
    </w:p>
    <w:p w:rsidR="00EF7FEF" w:rsidRPr="00357BF9" w:rsidRDefault="00EF7FEF" w:rsidP="00EF7FEF">
      <w:pPr>
        <w:spacing w:before="120" w:after="120" w:line="300" w:lineRule="atLeast"/>
        <w:rPr>
          <w:rFonts w:asciiTheme="minorHAnsi" w:hAnsiTheme="minorHAnsi"/>
          <w:color w:val="222222"/>
        </w:rPr>
      </w:pPr>
      <w:r w:rsidRPr="00357BF9">
        <w:rPr>
          <w:rFonts w:asciiTheme="minorHAnsi" w:hAnsiTheme="minorHAnsi"/>
          <w:color w:val="222222"/>
        </w:rPr>
        <w:t>Use the following criteria to determine patient eligibility for subsidisation under the PBS for hepatitis C treating agents.</w:t>
      </w:r>
    </w:p>
    <w:p w:rsidR="00EF7FEF" w:rsidRPr="00357BF9" w:rsidRDefault="00EF7FEF" w:rsidP="00EF7FEF">
      <w:pPr>
        <w:spacing w:before="120" w:after="120" w:line="300" w:lineRule="atLeast"/>
        <w:rPr>
          <w:rFonts w:asciiTheme="minorHAnsi" w:hAnsiTheme="minorHAnsi"/>
          <w:color w:val="222222"/>
        </w:rPr>
      </w:pPr>
      <w:r w:rsidRPr="00357BF9">
        <w:rPr>
          <w:rFonts w:asciiTheme="minorHAnsi" w:hAnsiTheme="minorHAnsi"/>
          <w:color w:val="222222"/>
        </w:rPr>
        <w:t>By writing a PBS prescription, the prescriber is certifying the patient satisfies the qualifying criteria set out below and the use in accordance with the registered indications which differ between agents in this class – refer to the current Product Information for details.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18"/>
      </w:tblGrid>
      <w:tr w:rsidR="00EF7FEF" w:rsidRPr="00357BF9" w:rsidTr="00EF7FEF">
        <w:trPr>
          <w:trHeight w:val="683"/>
        </w:trPr>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tabs>
                <w:tab w:val="left" w:pos="5633"/>
              </w:tabs>
              <w:spacing w:after="120"/>
              <w:rPr>
                <w:rFonts w:ascii="Arial Narrow" w:hAnsi="Arial Narrow" w:cs="Arial"/>
                <w:color w:val="222222"/>
                <w:sz w:val="20"/>
                <w:szCs w:val="20"/>
              </w:rPr>
            </w:pPr>
            <w:r w:rsidRPr="00357BF9">
              <w:rPr>
                <w:rFonts w:ascii="Arial Narrow" w:hAnsi="Arial Narrow" w:cs="Arial"/>
                <w:b/>
                <w:bCs/>
                <w:color w:val="222222"/>
                <w:sz w:val="20"/>
                <w:szCs w:val="20"/>
                <w:bdr w:val="none" w:sz="0" w:space="0" w:color="auto" w:frame="1"/>
              </w:rPr>
              <w:t>Population criteria:</w:t>
            </w:r>
            <w:r w:rsidRPr="00357BF9">
              <w:rPr>
                <w:rFonts w:ascii="Arial Narrow" w:hAnsi="Arial Narrow" w:cs="Arial"/>
                <w:b/>
                <w:bCs/>
                <w:color w:val="222222"/>
                <w:sz w:val="20"/>
                <w:szCs w:val="20"/>
                <w:bdr w:val="none" w:sz="0" w:space="0" w:color="auto" w:frame="1"/>
              </w:rPr>
              <w:tab/>
            </w:r>
          </w:p>
          <w:p w:rsidR="00EF7FEF" w:rsidRPr="00357BF9" w:rsidRDefault="00EF7FEF" w:rsidP="00EF7FEF">
            <w:pPr>
              <w:spacing w:after="120"/>
              <w:rPr>
                <w:rFonts w:ascii="Arial Narrow" w:hAnsi="Arial Narrow" w:cs="Arial"/>
                <w:color w:val="222222"/>
                <w:sz w:val="20"/>
                <w:szCs w:val="20"/>
              </w:rPr>
            </w:pPr>
            <w:r w:rsidRPr="00357BF9">
              <w:rPr>
                <w:rFonts w:ascii="Arial Narrow" w:hAnsi="Arial Narrow" w:cs="Arial"/>
                <w:color w:val="222222"/>
                <w:sz w:val="20"/>
                <w:szCs w:val="20"/>
              </w:rPr>
              <w:t>Patient must be aged 18 years or older.</w:t>
            </w:r>
          </w:p>
        </w:tc>
      </w:tr>
      <w:tr w:rsidR="00EF7FEF" w:rsidRPr="00357BF9" w:rsidTr="00EF7FEF">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after="120"/>
              <w:rPr>
                <w:rFonts w:ascii="Arial Narrow" w:hAnsi="Arial Narrow" w:cs="Arial"/>
                <w:color w:val="222222"/>
                <w:sz w:val="20"/>
                <w:szCs w:val="20"/>
              </w:rPr>
            </w:pPr>
            <w:r w:rsidRPr="00357BF9">
              <w:rPr>
                <w:rFonts w:ascii="Arial Narrow" w:hAnsi="Arial Narrow" w:cs="Arial"/>
                <w:b/>
                <w:bCs/>
                <w:color w:val="222222"/>
                <w:sz w:val="20"/>
                <w:szCs w:val="20"/>
                <w:bdr w:val="none" w:sz="0" w:space="0" w:color="auto" w:frame="1"/>
              </w:rPr>
              <w:t>Treatment criteria:</w:t>
            </w:r>
          </w:p>
          <w:p w:rsidR="00EF7FEF" w:rsidRPr="00357BF9" w:rsidRDefault="00EF7FEF" w:rsidP="00EF7FEF">
            <w:pPr>
              <w:spacing w:after="120"/>
              <w:rPr>
                <w:rFonts w:ascii="Arial Narrow" w:hAnsi="Arial Narrow" w:cs="Arial"/>
                <w:color w:val="222222"/>
                <w:sz w:val="20"/>
                <w:szCs w:val="20"/>
              </w:rPr>
            </w:pPr>
            <w:r w:rsidRPr="00357BF9">
              <w:rPr>
                <w:rFonts w:ascii="Arial Narrow" w:hAnsi="Arial Narrow" w:cs="Arial"/>
                <w:color w:val="222222"/>
                <w:sz w:val="20"/>
                <w:szCs w:val="20"/>
              </w:rPr>
              <w:t>Must be treated by a medical practitioner or an authorised nurse practitioner</w:t>
            </w:r>
            <w:r w:rsidRPr="00357BF9">
              <w:rPr>
                <w:rFonts w:ascii="Arial Narrow" w:hAnsi="Arial Narrow" w:cs="Arial"/>
                <w:color w:val="1157AD"/>
                <w:sz w:val="20"/>
                <w:szCs w:val="20"/>
                <w:u w:val="single"/>
                <w:bdr w:val="none" w:sz="0" w:space="0" w:color="auto" w:frame="1"/>
              </w:rPr>
              <w:t>[</w:t>
            </w:r>
            <w:r>
              <w:rPr>
                <w:rFonts w:ascii="Arial Narrow" w:hAnsi="Arial Narrow" w:cs="Arial"/>
                <w:color w:val="1157AD"/>
                <w:sz w:val="20"/>
                <w:szCs w:val="20"/>
                <w:u w:val="single"/>
                <w:bdr w:val="none" w:sz="0" w:space="0" w:color="auto" w:frame="1"/>
              </w:rPr>
              <w:t>1</w:t>
            </w:r>
            <w:r w:rsidRPr="00357BF9">
              <w:rPr>
                <w:rFonts w:ascii="Arial Narrow" w:hAnsi="Arial Narrow" w:cs="Arial"/>
                <w:color w:val="1157AD"/>
                <w:sz w:val="20"/>
                <w:szCs w:val="20"/>
                <w:u w:val="single"/>
                <w:bdr w:val="none" w:sz="0" w:space="0" w:color="auto" w:frame="1"/>
              </w:rPr>
              <w:t>]</w:t>
            </w:r>
            <w:r w:rsidRPr="00357BF9">
              <w:rPr>
                <w:rFonts w:ascii="Arial Narrow" w:hAnsi="Arial Narrow" w:cs="Arial"/>
                <w:color w:val="222222"/>
                <w:sz w:val="20"/>
                <w:szCs w:val="20"/>
              </w:rPr>
              <w:t> experienced in the treatment of chronic hepatitis C infection; or in consultation with a gastroenterologist, hepatologist or infectious diseases physician experienced in the treatment of chronic hepatitis C infection.</w:t>
            </w:r>
          </w:p>
        </w:tc>
      </w:tr>
      <w:tr w:rsidR="00EF7FEF" w:rsidRPr="00357BF9" w:rsidTr="00EF7FEF">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after="120"/>
              <w:rPr>
                <w:rFonts w:ascii="Arial Narrow" w:hAnsi="Arial Narrow" w:cs="Arial"/>
                <w:color w:val="222222"/>
                <w:sz w:val="20"/>
                <w:szCs w:val="20"/>
              </w:rPr>
            </w:pPr>
            <w:r w:rsidRPr="00357BF9">
              <w:rPr>
                <w:rFonts w:ascii="Arial Narrow" w:hAnsi="Arial Narrow" w:cs="Arial"/>
                <w:color w:val="222222"/>
                <w:sz w:val="20"/>
                <w:szCs w:val="20"/>
              </w:rPr>
              <w:t>The following information must be provided at the time of application:</w:t>
            </w:r>
            <w:r w:rsidRPr="00357BF9">
              <w:rPr>
                <w:rFonts w:ascii="Arial Narrow" w:hAnsi="Arial Narrow" w:cs="Arial"/>
                <w:color w:val="222222"/>
                <w:sz w:val="20"/>
                <w:szCs w:val="20"/>
              </w:rPr>
              <w:br/>
              <w:t>a) the hepatitis C virus genotype; and</w:t>
            </w:r>
            <w:r w:rsidRPr="00357BF9">
              <w:rPr>
                <w:rFonts w:ascii="Arial Narrow" w:hAnsi="Arial Narrow" w:cs="Arial"/>
                <w:color w:val="222222"/>
                <w:sz w:val="20"/>
                <w:szCs w:val="20"/>
              </w:rPr>
              <w:br/>
              <w:t>b) the patient’s cirrhotic status (non-cirrhotic or cirrhotic)</w:t>
            </w:r>
          </w:p>
          <w:p w:rsidR="00EF7FEF" w:rsidRPr="00357BF9" w:rsidRDefault="00EF7FEF" w:rsidP="00EF7FEF">
            <w:pPr>
              <w:spacing w:after="120"/>
              <w:rPr>
                <w:rFonts w:ascii="Arial Narrow" w:hAnsi="Arial Narrow" w:cs="Arial"/>
                <w:color w:val="222222"/>
                <w:sz w:val="20"/>
                <w:szCs w:val="20"/>
              </w:rPr>
            </w:pPr>
            <w:r w:rsidRPr="00357BF9">
              <w:rPr>
                <w:rFonts w:ascii="Arial Narrow" w:hAnsi="Arial Narrow" w:cs="Arial"/>
                <w:color w:val="222222"/>
                <w:sz w:val="20"/>
                <w:szCs w:val="20"/>
              </w:rPr>
              <w:t>The following information must be documented in the patient’s medical records:</w:t>
            </w:r>
            <w:r w:rsidRPr="00357BF9">
              <w:rPr>
                <w:rFonts w:ascii="Arial Narrow" w:hAnsi="Arial Narrow" w:cs="Arial"/>
                <w:color w:val="222222"/>
                <w:sz w:val="20"/>
                <w:szCs w:val="20"/>
              </w:rPr>
              <w:br/>
              <w:t>a) evidence of chronic hepatitis C infection (repeatedly antibody to hepatitis C virus (anti-HCV) positive and hepatitis C virus ribonucleic acid (HCV RNA) positive); and</w:t>
            </w:r>
            <w:r w:rsidRPr="00357BF9">
              <w:rPr>
                <w:rFonts w:ascii="Arial Narrow" w:hAnsi="Arial Narrow" w:cs="Arial"/>
                <w:color w:val="222222"/>
                <w:sz w:val="20"/>
                <w:szCs w:val="20"/>
              </w:rPr>
              <w:br/>
              <w:t>b) evidence of the hepatitis C virus genotype</w:t>
            </w:r>
          </w:p>
        </w:tc>
      </w:tr>
    </w:tbl>
    <w:p w:rsidR="00EF7FEF" w:rsidRPr="00357BF9" w:rsidRDefault="00EF7FEF" w:rsidP="00EF7FEF">
      <w:pPr>
        <w:spacing w:before="240" w:after="240" w:line="300" w:lineRule="atLeast"/>
        <w:rPr>
          <w:rFonts w:asciiTheme="minorHAnsi" w:hAnsiTheme="minorHAnsi"/>
          <w:color w:val="222222"/>
        </w:rPr>
      </w:pPr>
      <w:r w:rsidRPr="00357BF9">
        <w:rPr>
          <w:rFonts w:asciiTheme="minorHAnsi" w:hAnsiTheme="minorHAnsi"/>
          <w:color w:val="222222"/>
        </w:rPr>
        <w:t>The following matrices identify the regimens which are available for PBS prescription for eligible patients, based on the hepatitis C virus genotype and treatment history.</w:t>
      </w:r>
    </w:p>
    <w:p w:rsidR="00EF7FEF" w:rsidRPr="00357BF9" w:rsidRDefault="00EF7FEF" w:rsidP="00EF7FEF">
      <w:pPr>
        <w:spacing w:after="120"/>
        <w:outlineLvl w:val="1"/>
        <w:rPr>
          <w:rFonts w:asciiTheme="minorHAnsi" w:hAnsiTheme="minorHAnsi" w:cs="Arial"/>
          <w:b/>
          <w:color w:val="000000"/>
          <w:sz w:val="28"/>
          <w:szCs w:val="28"/>
        </w:rPr>
      </w:pPr>
      <w:r w:rsidRPr="00357BF9">
        <w:rPr>
          <w:rFonts w:asciiTheme="minorHAnsi" w:hAnsiTheme="minorHAnsi" w:cs="Arial"/>
          <w:b/>
          <w:color w:val="000000"/>
          <w:sz w:val="28"/>
          <w:szCs w:val="28"/>
        </w:rPr>
        <w:t>Hepatitis C - Non-cirrhotic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4355"/>
        <w:gridCol w:w="4356"/>
      </w:tblGrid>
      <w:tr w:rsidR="00EF7FEF" w:rsidRPr="00357BF9" w:rsidTr="00EF7FEF">
        <w:trPr>
          <w:tblHeader/>
        </w:trPr>
        <w:tc>
          <w:tcPr>
            <w:tcW w:w="523"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 </w:t>
            </w:r>
          </w:p>
        </w:tc>
        <w:tc>
          <w:tcPr>
            <w:tcW w:w="2238"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naïve</w:t>
            </w:r>
          </w:p>
        </w:tc>
        <w:tc>
          <w:tcPr>
            <w:tcW w:w="2238"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experienced</w:t>
            </w:r>
          </w:p>
        </w:tc>
      </w:tr>
      <w:tr w:rsidR="00EF7FEF" w:rsidRPr="00357BF9" w:rsidTr="00EF7FEF">
        <w:tc>
          <w:tcPr>
            <w:tcW w:w="523"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1</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LEDIPASVIR + SOFOSBUVIR</w:t>
            </w:r>
            <w:r w:rsidRPr="00357BF9">
              <w:rPr>
                <w:rFonts w:ascii="Arial Narrow" w:hAnsi="Arial Narrow"/>
                <w:color w:val="222222"/>
                <w:sz w:val="20"/>
                <w:szCs w:val="20"/>
              </w:rPr>
              <w:br/>
              <w:t>[8 or 12 weeks] </w:t>
            </w:r>
            <w:r w:rsidRPr="00357BF9">
              <w:rPr>
                <w:rFonts w:ascii="Arial Narrow" w:hAnsi="Arial Narrow"/>
                <w:color w:val="1157AD"/>
                <w:sz w:val="20"/>
                <w:szCs w:val="20"/>
                <w:u w:val="single"/>
                <w:bdr w:val="none" w:sz="0" w:space="0" w:color="auto" w:frame="1"/>
              </w:rPr>
              <w:t>[2]</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w:t>
            </w:r>
            <w:r w:rsidRPr="00357BF9">
              <w:rPr>
                <w:rFonts w:ascii="Arial Narrow" w:hAnsi="Arial Narrow"/>
                <w:color w:val="222222"/>
                <w:sz w:val="20"/>
                <w:szCs w:val="20"/>
              </w:rPr>
              <w:br/>
              <w:t>[12 weeks] </w:t>
            </w:r>
            <w:r w:rsidRPr="00357BF9">
              <w:rPr>
                <w:rFonts w:ascii="Arial Narrow" w:hAnsi="Arial Narrow"/>
                <w:color w:val="1157AD"/>
                <w:sz w:val="20"/>
                <w:szCs w:val="20"/>
                <w:u w:val="single"/>
                <w:bdr w:val="none" w:sz="0" w:space="0" w:color="auto" w:frame="1"/>
              </w:rPr>
              <w:t>[3]</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 (&amp;) RBV</w:t>
            </w:r>
            <w:r w:rsidRPr="00357BF9">
              <w:rPr>
                <w:rFonts w:ascii="Arial Narrow" w:hAnsi="Arial Narrow"/>
                <w:color w:val="222222"/>
                <w:sz w:val="20"/>
                <w:szCs w:val="20"/>
              </w:rPr>
              <w:br/>
              <w:t>[12 weeks] </w:t>
            </w:r>
            <w:r w:rsidRPr="00357BF9">
              <w:rPr>
                <w:rFonts w:ascii="Arial Narrow" w:hAnsi="Arial Narrow"/>
                <w:color w:val="1157AD"/>
                <w:sz w:val="20"/>
                <w:szCs w:val="20"/>
                <w:u w:val="single"/>
                <w:bdr w:val="none" w:sz="0" w:space="0" w:color="auto" w:frame="1"/>
              </w:rPr>
              <w:t>[4]</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FF0000"/>
                <w:sz w:val="20"/>
                <w:szCs w:val="20"/>
              </w:rPr>
            </w:pPr>
            <w:r w:rsidRPr="00357BF9">
              <w:rPr>
                <w:rFonts w:ascii="Arial Narrow" w:hAnsi="Arial Narrow"/>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[8 weeks]</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LEDIPASVIR + SOFOSBUVIR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[12 or 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w:t>
            </w:r>
            <w:r w:rsidRPr="00357BF9">
              <w:rPr>
                <w:rFonts w:ascii="Arial Narrow" w:hAnsi="Arial Narrow"/>
                <w:color w:val="222222"/>
                <w:sz w:val="20"/>
                <w:szCs w:val="20"/>
              </w:rPr>
              <w:br/>
              <w:t>[12 weeks] </w:t>
            </w:r>
            <w:r w:rsidRPr="00357BF9">
              <w:rPr>
                <w:rFonts w:ascii="Arial Narrow" w:hAnsi="Arial Narrow"/>
                <w:color w:val="1157AD"/>
                <w:sz w:val="20"/>
                <w:szCs w:val="20"/>
                <w:u w:val="single"/>
                <w:bdr w:val="none" w:sz="0" w:space="0" w:color="auto" w:frame="1"/>
              </w:rPr>
              <w:t>[3]</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 (&amp;) RBV</w:t>
            </w:r>
            <w:r w:rsidRPr="00357BF9">
              <w:rPr>
                <w:rFonts w:ascii="Arial Narrow" w:hAnsi="Arial Narrow"/>
                <w:color w:val="222222"/>
                <w:sz w:val="20"/>
                <w:szCs w:val="20"/>
              </w:rPr>
              <w:br/>
              <w:t>[12 weeks] </w:t>
            </w:r>
            <w:r w:rsidRPr="00357BF9">
              <w:rPr>
                <w:rFonts w:ascii="Arial Narrow" w:hAnsi="Arial Narrow"/>
                <w:color w:val="1157AD"/>
                <w:sz w:val="20"/>
                <w:szCs w:val="20"/>
                <w:u w:val="single"/>
                <w:bdr w:val="none" w:sz="0" w:space="0" w:color="auto" w:frame="1"/>
              </w:rPr>
              <w:t>[4]</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[16 weeks] </w:t>
            </w:r>
            <w:r w:rsidRPr="00357BF9">
              <w:rPr>
                <w:rFonts w:ascii="Arial Narrow" w:hAnsi="Arial Narrow"/>
                <w:color w:val="1157AD"/>
                <w:sz w:val="20"/>
                <w:szCs w:val="20"/>
                <w:u w:val="single"/>
                <w:bdr w:val="none" w:sz="0" w:space="0" w:color="auto" w:frame="1"/>
              </w:rPr>
              <w:t>[5]</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 xml:space="preserve">[8 </w:t>
            </w:r>
            <w:r>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Pr>
                <w:rFonts w:ascii="Arial Narrow" w:eastAsia="Calibri" w:hAnsi="Arial Narrow" w:cs="Arial"/>
                <w:i/>
                <w:iCs/>
                <w:color w:val="FF0000"/>
                <w:sz w:val="20"/>
                <w:szCs w:val="20"/>
                <w:lang w:eastAsia="en-US"/>
              </w:rPr>
              <w:t>[6]</w:t>
            </w:r>
          </w:p>
        </w:tc>
      </w:tr>
      <w:tr w:rsidR="00EF7FEF" w:rsidRPr="00357BF9" w:rsidTr="00EF7FEF">
        <w:tc>
          <w:tcPr>
            <w:tcW w:w="523"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2</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FF0000"/>
                <w:sz w:val="20"/>
                <w:szCs w:val="20"/>
              </w:rPr>
            </w:pPr>
            <w:r w:rsidRPr="00357BF9">
              <w:rPr>
                <w:rFonts w:ascii="Arial Narrow" w:hAnsi="Arial Narrow"/>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[8 weeks]</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 xml:space="preserve">[8 </w:t>
            </w:r>
            <w:r>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Pr="00EF7FEF">
              <w:rPr>
                <w:rFonts w:ascii="Arial Narrow" w:eastAsia="Calibri" w:hAnsi="Arial Narrow" w:cs="Arial"/>
                <w:i/>
                <w:iCs/>
                <w:color w:val="FF0000"/>
                <w:sz w:val="20"/>
                <w:szCs w:val="20"/>
                <w:lang w:eastAsia="en-US"/>
              </w:rPr>
              <w:t>[6]</w:t>
            </w:r>
          </w:p>
        </w:tc>
      </w:tr>
      <w:tr w:rsidR="00EF7FEF" w:rsidRPr="00357BF9" w:rsidTr="00EF7FEF">
        <w:tc>
          <w:tcPr>
            <w:tcW w:w="523"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3</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FF0000"/>
                <w:sz w:val="20"/>
                <w:szCs w:val="20"/>
              </w:rPr>
            </w:pPr>
            <w:r w:rsidRPr="00357BF9">
              <w:rPr>
                <w:rFonts w:ascii="Arial Narrow" w:hAnsi="Arial Narrow"/>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[8 weeks]</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sidRPr="00357BF9">
              <w:rPr>
                <w:rFonts w:ascii="Arial Narrow" w:eastAsia="Calibri" w:hAnsi="Arial Narrow" w:cs="Arial"/>
                <w:i/>
                <w:iCs/>
                <w:color w:val="FF0000"/>
                <w:sz w:val="20"/>
                <w:szCs w:val="20"/>
                <w:lang w:eastAsia="en-US"/>
              </w:rPr>
              <w:t xml:space="preserve">[8 </w:t>
            </w:r>
            <w:r>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Pr>
                <w:rFonts w:ascii="Arial Narrow" w:hAnsi="Arial Narrow"/>
                <w:i/>
                <w:color w:val="FF0000"/>
                <w:sz w:val="20"/>
                <w:szCs w:val="20"/>
                <w:u w:val="single"/>
                <w:bdr w:val="none" w:sz="0" w:space="0" w:color="auto" w:frame="1"/>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23"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4</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FF0000"/>
                <w:sz w:val="20"/>
                <w:szCs w:val="20"/>
              </w:rPr>
            </w:pPr>
            <w:r w:rsidRPr="00357BF9">
              <w:rPr>
                <w:rFonts w:ascii="Arial Narrow" w:hAnsi="Arial Narrow"/>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[8 weeks]</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[16 weeks] </w:t>
            </w:r>
            <w:r w:rsidRPr="00357BF9">
              <w:rPr>
                <w:rFonts w:ascii="Arial Narrow" w:hAnsi="Arial Narrow"/>
                <w:color w:val="1157AD"/>
                <w:sz w:val="20"/>
                <w:szCs w:val="20"/>
                <w:u w:val="single"/>
                <w:bdr w:val="none" w:sz="0" w:space="0" w:color="auto" w:frame="1"/>
              </w:rPr>
              <w:t>[5]</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sidRPr="00357BF9">
              <w:rPr>
                <w:rFonts w:ascii="Arial Narrow" w:eastAsia="Calibri" w:hAnsi="Arial Narrow" w:cs="Arial"/>
                <w:i/>
                <w:iCs/>
                <w:color w:val="FF0000"/>
                <w:sz w:val="20"/>
                <w:szCs w:val="20"/>
                <w:lang w:eastAsia="en-US"/>
              </w:rPr>
              <w:t>[8</w:t>
            </w:r>
            <w:r>
              <w:rPr>
                <w:rFonts w:ascii="Arial Narrow" w:eastAsia="Calibri" w:hAnsi="Arial Narrow" w:cs="Arial"/>
                <w:i/>
                <w:iCs/>
                <w:color w:val="FF0000"/>
                <w:sz w:val="20"/>
                <w:szCs w:val="20"/>
                <w:lang w:eastAsia="en-US"/>
              </w:rPr>
              <w:t xml:space="preserve"> or 16</w:t>
            </w:r>
            <w:r w:rsidRPr="00357BF9">
              <w:rPr>
                <w:rFonts w:ascii="Arial Narrow" w:eastAsia="Calibri" w:hAnsi="Arial Narrow" w:cs="Arial"/>
                <w:i/>
                <w:iCs/>
                <w:color w:val="FF0000"/>
                <w:sz w:val="20"/>
                <w:szCs w:val="20"/>
                <w:lang w:eastAsia="en-US"/>
              </w:rPr>
              <w:t xml:space="preserve"> weeks]</w:t>
            </w:r>
            <w:r>
              <w:rPr>
                <w:rFonts w:ascii="Arial Narrow" w:hAnsi="Arial Narrow"/>
                <w:i/>
                <w:color w:val="FF0000"/>
                <w:sz w:val="20"/>
                <w:szCs w:val="20"/>
                <w:u w:val="single"/>
                <w:bdr w:val="none" w:sz="0" w:space="0" w:color="auto" w:frame="1"/>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23"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5 &amp; 6</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FF0000"/>
                <w:sz w:val="20"/>
                <w:szCs w:val="20"/>
              </w:rPr>
            </w:pPr>
            <w:r w:rsidRPr="00357BF9">
              <w:rPr>
                <w:rFonts w:ascii="Arial Narrow" w:hAnsi="Arial Narrow"/>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eastAsia="Calibri" w:hAnsi="Arial Narrow" w:cs="Arial"/>
                <w:i/>
                <w:iCs/>
                <w:color w:val="FF0000"/>
                <w:sz w:val="20"/>
                <w:szCs w:val="20"/>
                <w:lang w:eastAsia="en-US"/>
              </w:rPr>
              <w:t>[8 weeks]</w:t>
            </w:r>
          </w:p>
        </w:tc>
        <w:tc>
          <w:tcPr>
            <w:tcW w:w="223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sidRPr="00357BF9">
              <w:rPr>
                <w:rFonts w:ascii="Arial Narrow" w:eastAsia="Calibri" w:hAnsi="Arial Narrow" w:cs="Arial"/>
                <w:i/>
                <w:iCs/>
                <w:color w:val="FF0000"/>
                <w:sz w:val="20"/>
                <w:szCs w:val="20"/>
                <w:lang w:eastAsia="en-US"/>
              </w:rPr>
              <w:t xml:space="preserve">[8 </w:t>
            </w:r>
            <w:r>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Pr>
                <w:rFonts w:ascii="Arial Narrow" w:hAnsi="Arial Narrow"/>
                <w:i/>
                <w:color w:val="FF0000"/>
                <w:sz w:val="20"/>
                <w:szCs w:val="20"/>
                <w:u w:val="single"/>
                <w:bdr w:val="none" w:sz="0" w:space="0" w:color="auto" w:frame="1"/>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bl>
    <w:p w:rsidR="00EF7FEF" w:rsidRPr="00357BF9" w:rsidRDefault="00EF7FEF" w:rsidP="00B422E6">
      <w:pPr>
        <w:spacing w:after="120"/>
        <w:rPr>
          <w:rFonts w:ascii="Arial Narrow" w:hAnsi="Arial Narrow" w:cs="Arial"/>
          <w:color w:val="000000"/>
          <w:sz w:val="18"/>
          <w:szCs w:val="18"/>
        </w:rPr>
      </w:pPr>
      <w:r w:rsidRPr="00357BF9">
        <w:rPr>
          <w:rFonts w:ascii="Arial Narrow" w:hAnsi="Arial Narrow" w:cs="Arial"/>
          <w:color w:val="000000"/>
          <w:sz w:val="18"/>
          <w:szCs w:val="18"/>
        </w:rPr>
        <w:t>KEY</w:t>
      </w:r>
    </w:p>
    <w:p w:rsidR="00EF7FEF" w:rsidRPr="00357BF9" w:rsidRDefault="00EF7FEF" w:rsidP="00EF7FEF">
      <w:pPr>
        <w:numPr>
          <w:ilvl w:val="0"/>
          <w:numId w:val="25"/>
        </w:numPr>
        <w:spacing w:after="120"/>
        <w:ind w:left="600" w:right="150"/>
        <w:rPr>
          <w:rFonts w:ascii="Arial Narrow" w:hAnsi="Arial Narrow"/>
          <w:sz w:val="18"/>
          <w:szCs w:val="18"/>
        </w:rPr>
      </w:pPr>
      <w:r w:rsidRPr="00357BF9">
        <w:rPr>
          <w:rFonts w:ascii="Arial Narrow" w:hAnsi="Arial Narrow"/>
          <w:sz w:val="18"/>
          <w:szCs w:val="18"/>
        </w:rPr>
        <w:t>PEG-IFN- peginterferon alfa-2a</w:t>
      </w:r>
    </w:p>
    <w:p w:rsidR="00EF7FEF" w:rsidRPr="00357BF9" w:rsidRDefault="00EF7FEF" w:rsidP="00EF7FEF">
      <w:pPr>
        <w:numPr>
          <w:ilvl w:val="0"/>
          <w:numId w:val="25"/>
        </w:numPr>
        <w:spacing w:after="120"/>
        <w:ind w:left="600" w:right="150"/>
        <w:rPr>
          <w:rFonts w:ascii="Arial Narrow" w:hAnsi="Arial Narrow"/>
          <w:sz w:val="18"/>
          <w:szCs w:val="18"/>
        </w:rPr>
      </w:pPr>
      <w:r w:rsidRPr="00357BF9">
        <w:rPr>
          <w:rFonts w:ascii="Arial Narrow" w:hAnsi="Arial Narrow"/>
          <w:sz w:val="18"/>
          <w:szCs w:val="18"/>
        </w:rPr>
        <w:t>RBV - ribavirin</w:t>
      </w:r>
    </w:p>
    <w:p w:rsidR="00DD16A6" w:rsidRDefault="00EF7FEF" w:rsidP="00EF7FEF">
      <w:pPr>
        <w:spacing w:before="240" w:after="240" w:line="300" w:lineRule="atLeast"/>
        <w:rPr>
          <w:color w:val="222222"/>
        </w:rPr>
      </w:pPr>
      <w:r w:rsidRPr="00357BF9">
        <w:rPr>
          <w:color w:val="222222"/>
        </w:rPr>
        <w:t> </w:t>
      </w:r>
    </w:p>
    <w:p w:rsidR="00DD16A6" w:rsidRDefault="00DD16A6" w:rsidP="00DD16A6">
      <w:r>
        <w:br w:type="page"/>
      </w:r>
    </w:p>
    <w:p w:rsidR="00EF7FEF" w:rsidRPr="00357BF9" w:rsidRDefault="00EF7FEF" w:rsidP="00EF7FEF">
      <w:pPr>
        <w:spacing w:before="240" w:after="240" w:line="300" w:lineRule="atLeast"/>
        <w:rPr>
          <w:color w:val="222222"/>
        </w:rPr>
      </w:pPr>
    </w:p>
    <w:p w:rsidR="00EF7FEF" w:rsidRPr="00357BF9" w:rsidRDefault="00EF7FEF" w:rsidP="00EF7FEF">
      <w:pPr>
        <w:spacing w:after="120"/>
        <w:outlineLvl w:val="1"/>
        <w:rPr>
          <w:rFonts w:asciiTheme="minorHAnsi" w:hAnsiTheme="minorHAnsi" w:cs="Arial"/>
          <w:b/>
          <w:color w:val="000000"/>
          <w:sz w:val="28"/>
          <w:szCs w:val="28"/>
        </w:rPr>
      </w:pPr>
      <w:r w:rsidRPr="00357BF9">
        <w:rPr>
          <w:rFonts w:asciiTheme="minorHAnsi" w:hAnsiTheme="minorHAnsi" w:cs="Arial"/>
          <w:b/>
          <w:color w:val="000000"/>
          <w:sz w:val="28"/>
          <w:szCs w:val="28"/>
        </w:rPr>
        <w:t>Hepatitis C – 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7"/>
        <w:gridCol w:w="4355"/>
        <w:gridCol w:w="4356"/>
      </w:tblGrid>
      <w:tr w:rsidR="00EF7FEF" w:rsidRPr="00357BF9" w:rsidTr="00EF7FEF">
        <w:trPr>
          <w:tblHeader/>
        </w:trPr>
        <w:tc>
          <w:tcPr>
            <w:tcW w:w="518"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 </w:t>
            </w:r>
          </w:p>
        </w:tc>
        <w:tc>
          <w:tcPr>
            <w:tcW w:w="224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before="240" w:after="240" w:line="300" w:lineRule="atLeast"/>
              <w:rPr>
                <w:rFonts w:ascii="Arial Narrow" w:hAnsi="Arial Narrow"/>
                <w:b/>
                <w:bCs/>
                <w:color w:val="222222"/>
                <w:sz w:val="20"/>
                <w:szCs w:val="20"/>
              </w:rPr>
            </w:pPr>
            <w:r w:rsidRPr="00357BF9">
              <w:rPr>
                <w:rFonts w:ascii="Arial Narrow" w:hAnsi="Arial Narrow"/>
                <w:b/>
                <w:bCs/>
                <w:color w:val="222222"/>
                <w:sz w:val="20"/>
                <w:szCs w:val="20"/>
              </w:rPr>
              <w:t>Treatment naïve</w:t>
            </w:r>
          </w:p>
        </w:tc>
        <w:tc>
          <w:tcPr>
            <w:tcW w:w="224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hideMark/>
          </w:tcPr>
          <w:p w:rsidR="00EF7FEF" w:rsidRPr="00357BF9" w:rsidRDefault="00EF7FEF" w:rsidP="00EF7FEF">
            <w:pPr>
              <w:spacing w:line="300" w:lineRule="atLeast"/>
              <w:rPr>
                <w:rFonts w:ascii="Arial Narrow" w:hAnsi="Arial Narrow"/>
                <w:b/>
                <w:bCs/>
                <w:color w:val="222222"/>
                <w:sz w:val="20"/>
                <w:szCs w:val="20"/>
              </w:rPr>
            </w:pPr>
            <w:r w:rsidRPr="00357BF9">
              <w:rPr>
                <w:rFonts w:ascii="Arial Narrow" w:hAnsi="Arial Narrow"/>
                <w:b/>
                <w:bCs/>
                <w:color w:val="222222"/>
                <w:sz w:val="20"/>
                <w:szCs w:val="20"/>
              </w:rPr>
              <w:t>Treatment experienced</w:t>
            </w:r>
          </w:p>
        </w:tc>
      </w:tr>
      <w:tr w:rsidR="00EF7FEF" w:rsidRPr="00357BF9" w:rsidTr="00EF7FEF">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1</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LEDIPASVIR + SOFOSBUVIR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 (&amp;) 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85702C" w:rsidRDefault="00EF7FEF" w:rsidP="00EF7FEF">
            <w:pPr>
              <w:spacing w:after="240" w:line="300" w:lineRule="atLeast"/>
              <w:rPr>
                <w:rFonts w:ascii="Arial Narrow" w:hAnsi="Arial Narrow"/>
                <w:i/>
                <w:color w:val="FF0000"/>
                <w:sz w:val="20"/>
                <w:szCs w:val="20"/>
              </w:rPr>
            </w:pPr>
            <w:r w:rsidRPr="0085702C">
              <w:rPr>
                <w:rFonts w:ascii="Arial Narrow" w:hAnsi="Arial Narrow"/>
                <w:i/>
                <w:color w:val="FF0000"/>
                <w:sz w:val="20"/>
                <w:szCs w:val="20"/>
              </w:rPr>
              <w:t>OR</w:t>
            </w:r>
          </w:p>
          <w:p w:rsidR="00EF7FEF" w:rsidRPr="0085702C" w:rsidRDefault="00EF7FEF" w:rsidP="00EF7FEF">
            <w:pPr>
              <w:keepNext/>
              <w:widowControl w:val="0"/>
              <w:spacing w:before="40"/>
              <w:rPr>
                <w:rFonts w:ascii="Arial Narrow" w:eastAsia="Calibri" w:hAnsi="Arial Narrow" w:cs="Arial"/>
                <w:b/>
                <w:i/>
                <w:iCs/>
                <w:color w:val="FF0000"/>
                <w:sz w:val="20"/>
                <w:szCs w:val="20"/>
                <w:lang w:eastAsia="en-US"/>
              </w:rPr>
            </w:pPr>
            <w:r w:rsidRPr="0085702C">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85702C">
              <w:rPr>
                <w:rFonts w:ascii="Arial Narrow" w:eastAsia="Calibri" w:hAnsi="Arial Narrow" w:cs="Arial"/>
                <w:i/>
                <w:iCs/>
                <w:color w:val="FF0000"/>
                <w:sz w:val="20"/>
                <w:szCs w:val="20"/>
                <w:lang w:eastAsia="en-US"/>
              </w:rPr>
              <w:t>[12 weeks]</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LEDIPASVIR + SOFOSBUVIR</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PARITAPREVIR + RITONAVIR + OMBITASVIR (&amp;) DASABUVIR (&amp;) RBV</w:t>
            </w:r>
            <w:r w:rsidRPr="00357BF9">
              <w:rPr>
                <w:rFonts w:ascii="Arial Narrow" w:hAnsi="Arial Narrow"/>
                <w:color w:val="222222"/>
                <w:sz w:val="20"/>
                <w:szCs w:val="20"/>
              </w:rPr>
              <w:br/>
              <w:t>[12 or 24 weeks] </w:t>
            </w:r>
            <w:r>
              <w:rPr>
                <w:rFonts w:ascii="Arial Narrow" w:hAnsi="Arial Narrow"/>
                <w:color w:val="1157AD"/>
                <w:sz w:val="20"/>
                <w:szCs w:val="20"/>
                <w:u w:val="single"/>
                <w:bdr w:val="none" w:sz="0" w:space="0" w:color="auto" w:frame="1"/>
              </w:rPr>
              <w:t>[8]</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[16 weeks] </w:t>
            </w:r>
            <w:r w:rsidRPr="00357BF9">
              <w:rPr>
                <w:rFonts w:ascii="Arial Narrow" w:hAnsi="Arial Narrow"/>
                <w:color w:val="1157AD"/>
                <w:sz w:val="20"/>
                <w:szCs w:val="20"/>
                <w:u w:val="single"/>
                <w:bdr w:val="none" w:sz="0" w:space="0" w:color="auto" w:frame="1"/>
              </w:rPr>
              <w:t>[5]</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Pr>
                <w:rFonts w:ascii="Arial Narrow" w:eastAsia="Calibri" w:hAnsi="Arial Narrow" w:cs="Arial"/>
                <w:i/>
                <w:iCs/>
                <w:color w:val="FF0000"/>
                <w:sz w:val="20"/>
                <w:szCs w:val="20"/>
                <w:lang w:eastAsia="en-US"/>
              </w:rPr>
              <w:t>[12</w:t>
            </w:r>
            <w:r w:rsidRPr="00357BF9">
              <w:rPr>
                <w:rFonts w:ascii="Arial Narrow" w:eastAsia="Calibri" w:hAnsi="Arial Narrow" w:cs="Arial"/>
                <w:i/>
                <w:iCs/>
                <w:color w:val="FF0000"/>
                <w:sz w:val="20"/>
                <w:szCs w:val="20"/>
                <w:lang w:eastAsia="en-US"/>
              </w:rPr>
              <w:t xml:space="preserve"> </w:t>
            </w:r>
            <w:r>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Pr="00EF7FEF">
              <w:rPr>
                <w:rFonts w:ascii="Arial Narrow" w:eastAsia="Calibri" w:hAnsi="Arial Narrow" w:cs="Arial"/>
                <w:i/>
                <w:iCs/>
                <w:color w:val="FF0000"/>
                <w:sz w:val="20"/>
                <w:szCs w:val="20"/>
                <w:lang w:eastAsia="en-US"/>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2</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85702C" w:rsidRDefault="00EF7FEF" w:rsidP="00EF7FEF">
            <w:pPr>
              <w:spacing w:after="240" w:line="300" w:lineRule="atLeast"/>
              <w:rPr>
                <w:rFonts w:ascii="Arial Narrow" w:hAnsi="Arial Narrow"/>
                <w:i/>
                <w:color w:val="FF0000"/>
                <w:sz w:val="20"/>
                <w:szCs w:val="20"/>
              </w:rPr>
            </w:pPr>
            <w:r w:rsidRPr="0085702C">
              <w:rPr>
                <w:rFonts w:ascii="Arial Narrow" w:hAnsi="Arial Narrow"/>
                <w:i/>
                <w:color w:val="FF0000"/>
                <w:sz w:val="20"/>
                <w:szCs w:val="20"/>
              </w:rPr>
              <w:t>OR</w:t>
            </w:r>
          </w:p>
          <w:p w:rsidR="00EF7FEF" w:rsidRPr="0085702C" w:rsidRDefault="00EF7FEF" w:rsidP="00EF7FEF">
            <w:pPr>
              <w:keepNext/>
              <w:widowControl w:val="0"/>
              <w:spacing w:before="40"/>
              <w:rPr>
                <w:rFonts w:ascii="Arial Narrow" w:eastAsia="Calibri" w:hAnsi="Arial Narrow" w:cs="Arial"/>
                <w:b/>
                <w:i/>
                <w:iCs/>
                <w:color w:val="FF0000"/>
                <w:sz w:val="20"/>
                <w:szCs w:val="20"/>
                <w:lang w:eastAsia="en-US"/>
              </w:rPr>
            </w:pPr>
            <w:r w:rsidRPr="0085702C">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85702C">
              <w:rPr>
                <w:rFonts w:ascii="Arial Narrow" w:eastAsia="Calibri" w:hAnsi="Arial Narrow" w:cs="Arial"/>
                <w:i/>
                <w:iCs/>
                <w:color w:val="FF0000"/>
                <w:sz w:val="20"/>
                <w:szCs w:val="20"/>
                <w:lang w:eastAsia="en-US"/>
              </w:rPr>
              <w:t>[12 weeks]</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Pr>
                <w:rFonts w:ascii="Arial Narrow" w:eastAsia="Calibri" w:hAnsi="Arial Narrow" w:cs="Arial"/>
                <w:i/>
                <w:iCs/>
                <w:color w:val="FF0000"/>
                <w:sz w:val="20"/>
                <w:szCs w:val="20"/>
                <w:lang w:eastAsia="en-US"/>
              </w:rPr>
              <w:t>[12</w:t>
            </w:r>
            <w:r w:rsidRPr="00357BF9">
              <w:rPr>
                <w:rFonts w:ascii="Arial Narrow" w:eastAsia="Calibri" w:hAnsi="Arial Narrow" w:cs="Arial"/>
                <w:i/>
                <w:iCs/>
                <w:color w:val="FF0000"/>
                <w:sz w:val="20"/>
                <w:szCs w:val="20"/>
                <w:lang w:eastAsia="en-US"/>
              </w:rPr>
              <w:t xml:space="preserve"> </w:t>
            </w:r>
            <w:r w:rsidR="00E343B2">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00E343B2" w:rsidRPr="00E343B2">
              <w:rPr>
                <w:rFonts w:ascii="Arial Narrow" w:eastAsia="Calibri" w:hAnsi="Arial Narrow" w:cs="Arial"/>
                <w:i/>
                <w:iCs/>
                <w:color w:val="FF0000"/>
                <w:sz w:val="20"/>
                <w:szCs w:val="20"/>
                <w:lang w:eastAsia="en-US"/>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3</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or 24 weeks] </w:t>
            </w:r>
            <w:r>
              <w:rPr>
                <w:rFonts w:ascii="Arial Narrow" w:hAnsi="Arial Narrow"/>
                <w:color w:val="1157AD"/>
                <w:sz w:val="20"/>
                <w:szCs w:val="20"/>
                <w:u w:val="single"/>
                <w:bdr w:val="none" w:sz="0" w:space="0" w:color="auto" w:frame="1"/>
              </w:rPr>
              <w:t>[9]</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[7][10]</w:t>
            </w:r>
          </w:p>
          <w:p w:rsidR="00EF7FEF" w:rsidRPr="0085702C" w:rsidRDefault="00EF7FEF" w:rsidP="00EF7FEF">
            <w:pPr>
              <w:spacing w:after="240" w:line="300" w:lineRule="atLeast"/>
              <w:rPr>
                <w:rFonts w:ascii="Arial Narrow" w:hAnsi="Arial Narrow"/>
                <w:i/>
                <w:color w:val="FF0000"/>
                <w:sz w:val="20"/>
                <w:szCs w:val="20"/>
              </w:rPr>
            </w:pPr>
            <w:r w:rsidRPr="0085702C">
              <w:rPr>
                <w:rFonts w:ascii="Arial Narrow" w:hAnsi="Arial Narrow"/>
                <w:i/>
                <w:color w:val="FF0000"/>
                <w:sz w:val="20"/>
                <w:szCs w:val="20"/>
              </w:rPr>
              <w:t>OR</w:t>
            </w:r>
          </w:p>
          <w:p w:rsidR="00EF7FEF" w:rsidRPr="0085702C" w:rsidRDefault="00EF7FEF" w:rsidP="00EF7FEF">
            <w:pPr>
              <w:keepNext/>
              <w:widowControl w:val="0"/>
              <w:spacing w:before="40"/>
              <w:rPr>
                <w:rFonts w:ascii="Arial Narrow" w:eastAsia="Calibri" w:hAnsi="Arial Narrow" w:cs="Arial"/>
                <w:b/>
                <w:i/>
                <w:iCs/>
                <w:color w:val="FF0000"/>
                <w:sz w:val="20"/>
                <w:szCs w:val="20"/>
                <w:lang w:eastAsia="en-US"/>
              </w:rPr>
            </w:pPr>
            <w:r w:rsidRPr="0085702C">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85702C">
              <w:rPr>
                <w:rFonts w:ascii="Arial Narrow" w:eastAsia="Calibri" w:hAnsi="Arial Narrow" w:cs="Arial"/>
                <w:i/>
                <w:iCs/>
                <w:color w:val="FF0000"/>
                <w:sz w:val="20"/>
                <w:szCs w:val="20"/>
                <w:lang w:eastAsia="en-US"/>
              </w:rPr>
              <w:t>[12 weeks]</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[24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DACLATASVIR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or 24 weeks] </w:t>
            </w:r>
            <w:r>
              <w:rPr>
                <w:rFonts w:ascii="Arial Narrow" w:hAnsi="Arial Narrow"/>
                <w:color w:val="1157AD"/>
                <w:sz w:val="20"/>
                <w:szCs w:val="20"/>
                <w:u w:val="single"/>
                <w:bdr w:val="none" w:sz="0" w:space="0" w:color="auto" w:frame="1"/>
              </w:rPr>
              <w:t>[9]</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[7][10]</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Pr>
                <w:rFonts w:ascii="Arial Narrow" w:eastAsia="Calibri" w:hAnsi="Arial Narrow" w:cs="Arial"/>
                <w:i/>
                <w:iCs/>
                <w:color w:val="FF0000"/>
                <w:sz w:val="20"/>
                <w:szCs w:val="20"/>
                <w:lang w:eastAsia="en-US"/>
              </w:rPr>
              <w:t>[12</w:t>
            </w:r>
            <w:r w:rsidRPr="00357BF9">
              <w:rPr>
                <w:rFonts w:ascii="Arial Narrow" w:eastAsia="Calibri" w:hAnsi="Arial Narrow" w:cs="Arial"/>
                <w:i/>
                <w:iCs/>
                <w:color w:val="FF0000"/>
                <w:sz w:val="20"/>
                <w:szCs w:val="20"/>
                <w:lang w:eastAsia="en-US"/>
              </w:rPr>
              <w:t xml:space="preserve"> </w:t>
            </w:r>
            <w:r w:rsidR="00E343B2">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00E343B2" w:rsidRPr="00E343B2">
              <w:rPr>
                <w:rFonts w:ascii="Arial Narrow" w:eastAsia="Calibri" w:hAnsi="Arial Narrow" w:cs="Arial"/>
                <w:i/>
                <w:iCs/>
                <w:color w:val="FF0000"/>
                <w:sz w:val="20"/>
                <w:szCs w:val="20"/>
                <w:lang w:eastAsia="en-US"/>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4</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85702C" w:rsidRDefault="00EF7FEF" w:rsidP="00EF7FEF">
            <w:pPr>
              <w:spacing w:after="240" w:line="300" w:lineRule="atLeast"/>
              <w:rPr>
                <w:rFonts w:ascii="Arial Narrow" w:hAnsi="Arial Narrow"/>
                <w:i/>
                <w:color w:val="FF0000"/>
                <w:sz w:val="20"/>
                <w:szCs w:val="20"/>
              </w:rPr>
            </w:pPr>
            <w:r w:rsidRPr="0085702C">
              <w:rPr>
                <w:rFonts w:ascii="Arial Narrow" w:hAnsi="Arial Narrow"/>
                <w:i/>
                <w:color w:val="FF0000"/>
                <w:sz w:val="20"/>
                <w:szCs w:val="20"/>
              </w:rPr>
              <w:t>OR</w:t>
            </w:r>
          </w:p>
          <w:p w:rsidR="00EF7FEF" w:rsidRPr="0085702C" w:rsidRDefault="00EF7FEF" w:rsidP="00EF7FEF">
            <w:pPr>
              <w:keepNext/>
              <w:widowControl w:val="0"/>
              <w:spacing w:before="40"/>
              <w:rPr>
                <w:rFonts w:ascii="Arial Narrow" w:eastAsia="Calibri" w:hAnsi="Arial Narrow" w:cs="Arial"/>
                <w:b/>
                <w:i/>
                <w:iCs/>
                <w:color w:val="FF0000"/>
                <w:sz w:val="20"/>
                <w:szCs w:val="20"/>
                <w:lang w:eastAsia="en-US"/>
              </w:rPr>
            </w:pPr>
            <w:r w:rsidRPr="0085702C">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85702C">
              <w:rPr>
                <w:rFonts w:ascii="Arial Narrow" w:eastAsia="Calibri" w:hAnsi="Arial Narrow" w:cs="Arial"/>
                <w:i/>
                <w:iCs/>
                <w:color w:val="FF0000"/>
                <w:sz w:val="20"/>
                <w:szCs w:val="20"/>
                <w:lang w:eastAsia="en-US"/>
              </w:rPr>
              <w:t>[12 weeks]</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GRAZOPREVIR + ELBASVIR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[16 weeks] </w:t>
            </w:r>
            <w:r w:rsidRPr="00357BF9">
              <w:rPr>
                <w:rFonts w:ascii="Arial Narrow" w:hAnsi="Arial Narrow"/>
                <w:color w:val="1157AD"/>
                <w:sz w:val="20"/>
                <w:szCs w:val="20"/>
                <w:u w:val="single"/>
                <w:bdr w:val="none" w:sz="0" w:space="0" w:color="auto" w:frame="1"/>
              </w:rPr>
              <w:t>[5]</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Pr>
                <w:rFonts w:ascii="Arial Narrow" w:eastAsia="Calibri" w:hAnsi="Arial Narrow" w:cs="Arial"/>
                <w:i/>
                <w:iCs/>
                <w:color w:val="FF0000"/>
                <w:sz w:val="20"/>
                <w:szCs w:val="20"/>
                <w:lang w:eastAsia="en-US"/>
              </w:rPr>
              <w:t>[12</w:t>
            </w:r>
            <w:r w:rsidRPr="00357BF9">
              <w:rPr>
                <w:rFonts w:ascii="Arial Narrow" w:eastAsia="Calibri" w:hAnsi="Arial Narrow" w:cs="Arial"/>
                <w:i/>
                <w:iCs/>
                <w:color w:val="FF0000"/>
                <w:sz w:val="20"/>
                <w:szCs w:val="20"/>
                <w:lang w:eastAsia="en-US"/>
              </w:rPr>
              <w:t xml:space="preserve"> </w:t>
            </w:r>
            <w:r w:rsidR="00E343B2">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00E343B2" w:rsidRPr="00E343B2">
              <w:rPr>
                <w:rFonts w:ascii="Arial Narrow" w:eastAsia="Calibri" w:hAnsi="Arial Narrow" w:cs="Arial"/>
                <w:i/>
                <w:iCs/>
                <w:color w:val="FF0000"/>
                <w:sz w:val="20"/>
                <w:szCs w:val="20"/>
                <w:lang w:eastAsia="en-US"/>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r w:rsidR="00EF7FEF" w:rsidRPr="00357BF9" w:rsidTr="00EF7FEF">
        <w:tc>
          <w:tcPr>
            <w:tcW w:w="518" w:type="pct"/>
            <w:tcBorders>
              <w:top w:val="outset" w:sz="6" w:space="0" w:color="auto"/>
              <w:left w:val="outset" w:sz="6" w:space="0" w:color="auto"/>
              <w:bottom w:val="outset" w:sz="6" w:space="0" w:color="auto"/>
              <w:right w:val="outset" w:sz="6" w:space="0" w:color="auto"/>
            </w:tcBorders>
            <w:shd w:val="clear" w:color="auto" w:fill="E8F3FA"/>
            <w:tcMar>
              <w:top w:w="150" w:type="dxa"/>
              <w:left w:w="150" w:type="dxa"/>
              <w:bottom w:w="150" w:type="dxa"/>
              <w:right w:w="150" w:type="dxa"/>
            </w:tcMar>
            <w:vAlign w:val="center"/>
            <w:hideMark/>
          </w:tcPr>
          <w:p w:rsidR="00EF7FEF" w:rsidRPr="00357BF9" w:rsidRDefault="00EF7FEF" w:rsidP="00EF7FEF">
            <w:pPr>
              <w:spacing w:before="240" w:after="240" w:line="300" w:lineRule="atLeast"/>
              <w:jc w:val="center"/>
              <w:rPr>
                <w:rFonts w:ascii="Arial Narrow" w:hAnsi="Arial Narrow"/>
                <w:b/>
                <w:bCs/>
                <w:color w:val="222222"/>
                <w:sz w:val="20"/>
                <w:szCs w:val="20"/>
              </w:rPr>
            </w:pPr>
            <w:r w:rsidRPr="00357BF9">
              <w:rPr>
                <w:rFonts w:ascii="Arial Narrow" w:hAnsi="Arial Narrow"/>
                <w:b/>
                <w:bCs/>
                <w:color w:val="222222"/>
                <w:sz w:val="20"/>
                <w:szCs w:val="20"/>
                <w:bdr w:val="none" w:sz="0" w:space="0" w:color="auto" w:frame="1"/>
              </w:rPr>
              <w:t>Genotype 5 &amp; 6</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85702C" w:rsidRDefault="00EF7FEF" w:rsidP="00EF7FEF">
            <w:pPr>
              <w:spacing w:after="240" w:line="300" w:lineRule="atLeast"/>
              <w:rPr>
                <w:rFonts w:ascii="Arial Narrow" w:hAnsi="Arial Narrow"/>
                <w:i/>
                <w:color w:val="FF0000"/>
                <w:sz w:val="20"/>
                <w:szCs w:val="20"/>
              </w:rPr>
            </w:pPr>
            <w:r w:rsidRPr="0085702C">
              <w:rPr>
                <w:rFonts w:ascii="Arial Narrow" w:hAnsi="Arial Narrow"/>
                <w:i/>
                <w:color w:val="FF0000"/>
                <w:sz w:val="20"/>
                <w:szCs w:val="20"/>
              </w:rPr>
              <w:t>OR</w:t>
            </w:r>
          </w:p>
          <w:p w:rsidR="00EF7FEF" w:rsidRPr="0085702C" w:rsidRDefault="00EF7FEF" w:rsidP="00EF7FEF">
            <w:pPr>
              <w:keepNext/>
              <w:widowControl w:val="0"/>
              <w:spacing w:before="40"/>
              <w:rPr>
                <w:rFonts w:ascii="Arial Narrow" w:eastAsia="Calibri" w:hAnsi="Arial Narrow" w:cs="Arial"/>
                <w:b/>
                <w:i/>
                <w:iCs/>
                <w:color w:val="FF0000"/>
                <w:sz w:val="20"/>
                <w:szCs w:val="20"/>
                <w:lang w:eastAsia="en-US"/>
              </w:rPr>
            </w:pPr>
            <w:r w:rsidRPr="0085702C">
              <w:rPr>
                <w:rFonts w:ascii="Arial Narrow" w:eastAsia="Calibri" w:hAnsi="Arial Narrow" w:cs="Arial"/>
                <w:b/>
                <w:i/>
                <w:iCs/>
                <w:color w:val="FF0000"/>
                <w:sz w:val="20"/>
                <w:szCs w:val="20"/>
                <w:lang w:eastAsia="en-US"/>
              </w:rPr>
              <w:t>GLECAPREVIR + PIBRENTASVIR</w:t>
            </w:r>
          </w:p>
          <w:p w:rsidR="00EF7FEF" w:rsidRPr="00357BF9" w:rsidRDefault="00EF7FEF" w:rsidP="00EF7FEF">
            <w:pPr>
              <w:spacing w:after="240" w:line="300" w:lineRule="atLeast"/>
              <w:rPr>
                <w:rFonts w:ascii="Arial Narrow" w:hAnsi="Arial Narrow"/>
                <w:color w:val="222222"/>
                <w:sz w:val="20"/>
                <w:szCs w:val="20"/>
              </w:rPr>
            </w:pPr>
            <w:r w:rsidRPr="0085702C">
              <w:rPr>
                <w:rFonts w:ascii="Arial Narrow" w:eastAsia="Calibri" w:hAnsi="Arial Narrow" w:cs="Arial"/>
                <w:i/>
                <w:iCs/>
                <w:color w:val="FF0000"/>
                <w:sz w:val="20"/>
                <w:szCs w:val="20"/>
                <w:lang w:eastAsia="en-US"/>
              </w:rPr>
              <w:t>[12 weeks]</w:t>
            </w:r>
          </w:p>
        </w:tc>
        <w:tc>
          <w:tcPr>
            <w:tcW w:w="22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F7FEF" w:rsidRPr="00357BF9" w:rsidRDefault="00EF7FEF" w:rsidP="00EF7FEF">
            <w:pPr>
              <w:spacing w:before="240"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PEG-IFN</w:t>
            </w:r>
            <w:r w:rsidRPr="00357BF9">
              <w:rPr>
                <w:rFonts w:ascii="Arial Narrow" w:hAnsi="Arial Narrow"/>
                <w:color w:val="222222"/>
                <w:sz w:val="20"/>
                <w:szCs w:val="20"/>
              </w:rPr>
              <w:t> and </w:t>
            </w:r>
            <w:r w:rsidRPr="00357BF9">
              <w:rPr>
                <w:rFonts w:ascii="Arial Narrow" w:hAnsi="Arial Narrow"/>
                <w:b/>
                <w:bCs/>
                <w:color w:val="222222"/>
                <w:sz w:val="20"/>
                <w:szCs w:val="20"/>
                <w:bdr w:val="none" w:sz="0" w:space="0" w:color="auto" w:frame="1"/>
              </w:rPr>
              <w:t>RBV</w:t>
            </w:r>
            <w:r w:rsidRPr="00357BF9">
              <w:rPr>
                <w:rFonts w:ascii="Arial Narrow" w:hAnsi="Arial Narrow"/>
                <w:color w:val="222222"/>
                <w:sz w:val="20"/>
                <w:szCs w:val="20"/>
              </w:rPr>
              <w:br/>
              <w:t>[12 weeks]</w:t>
            </w:r>
          </w:p>
          <w:p w:rsidR="00EF7FEF" w:rsidRPr="00357BF9" w:rsidRDefault="00EF7FEF" w:rsidP="00EF7FEF">
            <w:pPr>
              <w:spacing w:after="240" w:line="300" w:lineRule="atLeast"/>
              <w:rPr>
                <w:rFonts w:ascii="Arial Narrow" w:hAnsi="Arial Narrow"/>
                <w:color w:val="222222"/>
                <w:sz w:val="20"/>
                <w:szCs w:val="20"/>
              </w:rPr>
            </w:pPr>
            <w:r w:rsidRPr="00357BF9">
              <w:rPr>
                <w:rFonts w:ascii="Arial Narrow" w:hAnsi="Arial Narrow"/>
                <w:color w:val="222222"/>
                <w:sz w:val="20"/>
                <w:szCs w:val="20"/>
              </w:rPr>
              <w:t>OR</w:t>
            </w:r>
          </w:p>
          <w:p w:rsidR="00EF7FEF" w:rsidRDefault="00EF7FEF" w:rsidP="00EF7FEF">
            <w:pPr>
              <w:spacing w:after="240" w:line="300" w:lineRule="atLeast"/>
              <w:rPr>
                <w:rFonts w:ascii="Arial Narrow" w:hAnsi="Arial Narrow"/>
                <w:color w:val="222222"/>
                <w:sz w:val="20"/>
                <w:szCs w:val="20"/>
              </w:rPr>
            </w:pPr>
            <w:r w:rsidRPr="00357BF9">
              <w:rPr>
                <w:rFonts w:ascii="Arial Narrow" w:hAnsi="Arial Narrow"/>
                <w:b/>
                <w:bCs/>
                <w:color w:val="222222"/>
                <w:sz w:val="20"/>
                <w:szCs w:val="20"/>
                <w:bdr w:val="none" w:sz="0" w:space="0" w:color="auto" w:frame="1"/>
              </w:rPr>
              <w:t>SOFOSBUVIR + VELPATASVIR</w:t>
            </w:r>
            <w:r w:rsidRPr="00357BF9">
              <w:rPr>
                <w:rFonts w:ascii="Arial Narrow" w:hAnsi="Arial Narrow"/>
                <w:color w:val="222222"/>
                <w:sz w:val="20"/>
                <w:szCs w:val="20"/>
              </w:rPr>
              <w:br/>
              <w:t>[12 weeks]</w:t>
            </w:r>
            <w:r>
              <w:rPr>
                <w:rFonts w:ascii="Arial Narrow" w:hAnsi="Arial Narrow"/>
                <w:color w:val="1157AD"/>
                <w:sz w:val="20"/>
                <w:szCs w:val="20"/>
                <w:u w:val="single"/>
                <w:bdr w:val="none" w:sz="0" w:space="0" w:color="auto" w:frame="1"/>
              </w:rPr>
              <w:t>[7]</w:t>
            </w:r>
          </w:p>
          <w:p w:rsidR="00EF7FEF" w:rsidRPr="00357BF9" w:rsidRDefault="00EF7FEF" w:rsidP="00EF7FEF">
            <w:pPr>
              <w:spacing w:after="240" w:line="300" w:lineRule="atLeast"/>
              <w:rPr>
                <w:rFonts w:ascii="Arial Narrow" w:hAnsi="Arial Narrow"/>
                <w:i/>
                <w:color w:val="FF0000"/>
                <w:sz w:val="20"/>
                <w:szCs w:val="20"/>
              </w:rPr>
            </w:pPr>
            <w:r w:rsidRPr="00357BF9">
              <w:rPr>
                <w:rFonts w:ascii="Arial Narrow" w:hAnsi="Arial Narrow"/>
                <w:i/>
                <w:color w:val="FF0000"/>
                <w:sz w:val="20"/>
                <w:szCs w:val="20"/>
              </w:rPr>
              <w:t>OR</w:t>
            </w:r>
          </w:p>
          <w:p w:rsidR="00EF7FEF" w:rsidRPr="00357BF9" w:rsidRDefault="00EF7FEF" w:rsidP="00EF7FEF">
            <w:pPr>
              <w:keepNext/>
              <w:widowControl w:val="0"/>
              <w:spacing w:before="40"/>
              <w:rPr>
                <w:rFonts w:ascii="Arial Narrow" w:eastAsia="Calibri" w:hAnsi="Arial Narrow" w:cs="Arial"/>
                <w:b/>
                <w:i/>
                <w:iCs/>
                <w:color w:val="FF0000"/>
                <w:sz w:val="20"/>
                <w:szCs w:val="20"/>
                <w:lang w:eastAsia="en-US"/>
              </w:rPr>
            </w:pPr>
            <w:r w:rsidRPr="00357BF9">
              <w:rPr>
                <w:rFonts w:ascii="Arial Narrow" w:eastAsia="Calibri" w:hAnsi="Arial Narrow" w:cs="Arial"/>
                <w:b/>
                <w:i/>
                <w:iCs/>
                <w:color w:val="FF0000"/>
                <w:sz w:val="20"/>
                <w:szCs w:val="20"/>
                <w:lang w:eastAsia="en-US"/>
              </w:rPr>
              <w:t>GLECAPREVIR + PIBRENTASVIR</w:t>
            </w:r>
          </w:p>
          <w:p w:rsidR="00EF7FEF" w:rsidRDefault="00EF7FEF" w:rsidP="00EF7FEF">
            <w:pPr>
              <w:keepNext/>
              <w:widowControl w:val="0"/>
              <w:spacing w:before="40"/>
              <w:rPr>
                <w:rFonts w:ascii="Arial Narrow" w:eastAsia="Calibri" w:hAnsi="Arial Narrow" w:cs="Arial"/>
                <w:i/>
                <w:iCs/>
                <w:color w:val="FF0000"/>
                <w:sz w:val="20"/>
                <w:szCs w:val="20"/>
                <w:lang w:eastAsia="en-US"/>
              </w:rPr>
            </w:pPr>
            <w:r>
              <w:rPr>
                <w:rFonts w:ascii="Arial Narrow" w:eastAsia="Calibri" w:hAnsi="Arial Narrow" w:cs="Arial"/>
                <w:i/>
                <w:iCs/>
                <w:color w:val="FF0000"/>
                <w:sz w:val="20"/>
                <w:szCs w:val="20"/>
                <w:lang w:eastAsia="en-US"/>
              </w:rPr>
              <w:t>[12</w:t>
            </w:r>
            <w:r w:rsidRPr="00357BF9">
              <w:rPr>
                <w:rFonts w:ascii="Arial Narrow" w:eastAsia="Calibri" w:hAnsi="Arial Narrow" w:cs="Arial"/>
                <w:i/>
                <w:iCs/>
                <w:color w:val="FF0000"/>
                <w:sz w:val="20"/>
                <w:szCs w:val="20"/>
                <w:lang w:eastAsia="en-US"/>
              </w:rPr>
              <w:t xml:space="preserve"> </w:t>
            </w:r>
            <w:r w:rsidR="00E343B2">
              <w:rPr>
                <w:rFonts w:ascii="Arial Narrow" w:eastAsia="Calibri" w:hAnsi="Arial Narrow" w:cs="Arial"/>
                <w:i/>
                <w:iCs/>
                <w:color w:val="FF0000"/>
                <w:sz w:val="20"/>
                <w:szCs w:val="20"/>
                <w:lang w:eastAsia="en-US"/>
              </w:rPr>
              <w:t xml:space="preserve">or 16 </w:t>
            </w:r>
            <w:r w:rsidRPr="00357BF9">
              <w:rPr>
                <w:rFonts w:ascii="Arial Narrow" w:eastAsia="Calibri" w:hAnsi="Arial Narrow" w:cs="Arial"/>
                <w:i/>
                <w:iCs/>
                <w:color w:val="FF0000"/>
                <w:sz w:val="20"/>
                <w:szCs w:val="20"/>
                <w:lang w:eastAsia="en-US"/>
              </w:rPr>
              <w:t>weeks]</w:t>
            </w:r>
            <w:r w:rsidR="00E343B2" w:rsidRPr="00E343B2">
              <w:rPr>
                <w:rFonts w:ascii="Arial Narrow" w:eastAsia="Calibri" w:hAnsi="Arial Narrow" w:cs="Arial"/>
                <w:i/>
                <w:iCs/>
                <w:color w:val="FF0000"/>
                <w:sz w:val="20"/>
                <w:szCs w:val="20"/>
                <w:lang w:eastAsia="en-US"/>
              </w:rPr>
              <w:t>[6]</w:t>
            </w:r>
          </w:p>
          <w:p w:rsidR="00EF7FEF" w:rsidRPr="00357BF9" w:rsidRDefault="00EF7FEF" w:rsidP="00EF7FEF">
            <w:pPr>
              <w:keepNext/>
              <w:widowControl w:val="0"/>
              <w:spacing w:before="40"/>
              <w:rPr>
                <w:rFonts w:ascii="Arial Narrow" w:eastAsia="Calibri" w:hAnsi="Arial Narrow" w:cs="Arial"/>
                <w:i/>
                <w:iCs/>
                <w:color w:val="FF0000"/>
                <w:sz w:val="20"/>
                <w:szCs w:val="20"/>
                <w:lang w:eastAsia="en-US"/>
              </w:rPr>
            </w:pPr>
          </w:p>
          <w:p w:rsidR="00EF7FEF" w:rsidRPr="00357BF9" w:rsidRDefault="00EF7FEF" w:rsidP="00EF7FEF">
            <w:pPr>
              <w:spacing w:after="240" w:line="300" w:lineRule="atLeast"/>
              <w:rPr>
                <w:rFonts w:ascii="Arial Narrow" w:hAnsi="Arial Narrow"/>
                <w:color w:val="222222"/>
                <w:sz w:val="20"/>
                <w:szCs w:val="20"/>
              </w:rPr>
            </w:pPr>
          </w:p>
        </w:tc>
      </w:tr>
    </w:tbl>
    <w:p w:rsidR="00EF7FEF" w:rsidRPr="00357BF9" w:rsidRDefault="00EF7FEF" w:rsidP="00B422E6">
      <w:pPr>
        <w:spacing w:after="120"/>
        <w:rPr>
          <w:rFonts w:ascii="Arial Narrow" w:hAnsi="Arial Narrow" w:cs="Arial"/>
          <w:color w:val="000000"/>
          <w:sz w:val="18"/>
          <w:szCs w:val="18"/>
        </w:rPr>
      </w:pPr>
      <w:r w:rsidRPr="00357BF9">
        <w:rPr>
          <w:rFonts w:ascii="Arial Narrow" w:hAnsi="Arial Narrow" w:cs="Arial"/>
          <w:color w:val="000000"/>
          <w:sz w:val="18"/>
          <w:szCs w:val="18"/>
        </w:rPr>
        <w:t>KEY</w:t>
      </w:r>
    </w:p>
    <w:p w:rsidR="00EF7FEF" w:rsidRPr="00357BF9" w:rsidRDefault="00EF7FEF" w:rsidP="00EF7FEF">
      <w:pPr>
        <w:numPr>
          <w:ilvl w:val="0"/>
          <w:numId w:val="26"/>
        </w:numPr>
        <w:spacing w:after="120"/>
        <w:ind w:left="600" w:right="150"/>
        <w:rPr>
          <w:rFonts w:ascii="Arial Narrow" w:hAnsi="Arial Narrow"/>
          <w:sz w:val="18"/>
          <w:szCs w:val="18"/>
        </w:rPr>
      </w:pPr>
      <w:r w:rsidRPr="00357BF9">
        <w:rPr>
          <w:rFonts w:ascii="Arial Narrow" w:hAnsi="Arial Narrow"/>
          <w:sz w:val="18"/>
          <w:szCs w:val="18"/>
        </w:rPr>
        <w:t>PEG-IFN - peginterferon alfa-2a</w:t>
      </w:r>
    </w:p>
    <w:p w:rsidR="00EF7FEF" w:rsidRPr="00357BF9" w:rsidRDefault="00EF7FEF" w:rsidP="00EF7FEF">
      <w:pPr>
        <w:numPr>
          <w:ilvl w:val="0"/>
          <w:numId w:val="26"/>
        </w:numPr>
        <w:spacing w:after="120"/>
        <w:ind w:left="600" w:right="150"/>
        <w:rPr>
          <w:rFonts w:ascii="Arial Narrow" w:hAnsi="Arial Narrow"/>
          <w:sz w:val="18"/>
          <w:szCs w:val="18"/>
        </w:rPr>
      </w:pPr>
      <w:r w:rsidRPr="00357BF9">
        <w:rPr>
          <w:rFonts w:ascii="Arial Narrow" w:hAnsi="Arial Narrow"/>
          <w:sz w:val="18"/>
          <w:szCs w:val="18"/>
        </w:rPr>
        <w:t>RBV – ribavirin</w:t>
      </w:r>
    </w:p>
    <w:p w:rsidR="00EF7FEF" w:rsidRPr="00357BF9" w:rsidRDefault="00EF7FEF" w:rsidP="00EF7FEF">
      <w:pPr>
        <w:spacing w:after="120"/>
        <w:rPr>
          <w:rFonts w:ascii="Arial Narrow" w:hAnsi="Arial Narrow"/>
          <w:color w:val="222222"/>
          <w:sz w:val="18"/>
          <w:szCs w:val="18"/>
        </w:rPr>
      </w:pPr>
      <w:bookmarkStart w:id="3" w:name="ft1"/>
      <w:r w:rsidRPr="00357BF9">
        <w:rPr>
          <w:rFonts w:ascii="Arial Narrow" w:hAnsi="Arial Narrow"/>
          <w:color w:val="1157AD"/>
          <w:sz w:val="18"/>
          <w:szCs w:val="18"/>
          <w:u w:val="single"/>
        </w:rPr>
        <w:t>[1]</w:t>
      </w:r>
      <w:bookmarkEnd w:id="3"/>
      <w:r w:rsidRPr="00357BF9">
        <w:rPr>
          <w:rFonts w:ascii="Arial Narrow" w:hAnsi="Arial Narrow"/>
          <w:color w:val="222222"/>
          <w:sz w:val="18"/>
          <w:szCs w:val="18"/>
        </w:rPr>
        <w:t> Medicines for the treatment of hepatitis C are listed for prescribing by authorised nurse practitioners under the General Schedule only. Medicines for the treatment of hepatitis C are not listed for prescribing by authorised nurse practitioners under the S100 Highly Specialised Drugs Program.</w:t>
      </w:r>
    </w:p>
    <w:p w:rsidR="00EF7FEF" w:rsidRPr="00357BF9" w:rsidRDefault="00EF7FEF" w:rsidP="00EF7FEF">
      <w:pPr>
        <w:spacing w:after="120"/>
        <w:rPr>
          <w:rFonts w:ascii="Arial Narrow" w:hAnsi="Arial Narrow"/>
          <w:color w:val="222222"/>
          <w:sz w:val="18"/>
          <w:szCs w:val="18"/>
        </w:rPr>
      </w:pPr>
      <w:bookmarkStart w:id="4" w:name="ft2"/>
      <w:r w:rsidRPr="00357BF9">
        <w:rPr>
          <w:rFonts w:ascii="Arial Narrow" w:hAnsi="Arial Narrow"/>
          <w:color w:val="1157AD"/>
          <w:sz w:val="18"/>
          <w:szCs w:val="18"/>
          <w:u w:val="single"/>
        </w:rPr>
        <w:t>[2]</w:t>
      </w:r>
      <w:bookmarkEnd w:id="4"/>
      <w:r w:rsidRPr="00357BF9">
        <w:rPr>
          <w:rFonts w:ascii="Arial Narrow" w:hAnsi="Arial Narrow"/>
          <w:color w:val="222222"/>
          <w:sz w:val="18"/>
          <w:szCs w:val="18"/>
        </w:rPr>
        <w:t>[LEDIPASVIR + SOFOSBUVIR] for treatment-naïve, non-cirrhotic patients:</w:t>
      </w:r>
    </w:p>
    <w:p w:rsidR="00EF7FEF" w:rsidRPr="00357BF9" w:rsidRDefault="00EF7FEF" w:rsidP="00EF7FEF">
      <w:pPr>
        <w:numPr>
          <w:ilvl w:val="0"/>
          <w:numId w:val="27"/>
        </w:numPr>
        <w:spacing w:after="120"/>
        <w:ind w:left="600" w:right="150"/>
        <w:rPr>
          <w:rFonts w:ascii="Arial Narrow" w:hAnsi="Arial Narrow"/>
          <w:sz w:val="18"/>
          <w:szCs w:val="18"/>
        </w:rPr>
      </w:pPr>
      <w:r w:rsidRPr="00357BF9">
        <w:rPr>
          <w:rFonts w:ascii="Arial Narrow" w:hAnsi="Arial Narrow"/>
          <w:sz w:val="18"/>
          <w:szCs w:val="18"/>
        </w:rPr>
        <w:t>consider treatment for 8 weeks where pre-treatment HCV RNA is less than 6 million IU/mL;</w:t>
      </w:r>
    </w:p>
    <w:p w:rsidR="00EF7FEF" w:rsidRPr="00357BF9" w:rsidRDefault="00EF7FEF" w:rsidP="00EF7FEF">
      <w:pPr>
        <w:numPr>
          <w:ilvl w:val="0"/>
          <w:numId w:val="27"/>
        </w:numPr>
        <w:spacing w:after="120"/>
        <w:ind w:left="600" w:right="150"/>
        <w:rPr>
          <w:rFonts w:ascii="Arial Narrow" w:hAnsi="Arial Narrow"/>
          <w:sz w:val="18"/>
          <w:szCs w:val="18"/>
        </w:rPr>
      </w:pPr>
      <w:r w:rsidRPr="00357BF9">
        <w:rPr>
          <w:rFonts w:ascii="Arial Narrow" w:hAnsi="Arial Narrow"/>
          <w:sz w:val="18"/>
          <w:szCs w:val="18"/>
        </w:rPr>
        <w:t>otherwise treatment for 12 weeks where pre-treatment HCV RNA is 6 million IU/mL or greater.</w:t>
      </w:r>
    </w:p>
    <w:p w:rsidR="00EF7FEF" w:rsidRPr="00357BF9" w:rsidRDefault="00EF7FEF" w:rsidP="00EF7FEF">
      <w:pPr>
        <w:spacing w:after="120"/>
        <w:rPr>
          <w:rFonts w:ascii="Arial Narrow" w:hAnsi="Arial Narrow"/>
          <w:color w:val="222222"/>
          <w:sz w:val="18"/>
          <w:szCs w:val="18"/>
        </w:rPr>
      </w:pPr>
      <w:bookmarkStart w:id="5" w:name="ft3"/>
      <w:r w:rsidRPr="00357BF9">
        <w:rPr>
          <w:rFonts w:ascii="Arial Narrow" w:hAnsi="Arial Narrow"/>
          <w:color w:val="1157AD"/>
          <w:sz w:val="18"/>
          <w:szCs w:val="18"/>
          <w:u w:val="single"/>
        </w:rPr>
        <w:t>[3]</w:t>
      </w:r>
      <w:bookmarkEnd w:id="5"/>
      <w:r w:rsidRPr="00357BF9">
        <w:rPr>
          <w:rFonts w:ascii="Arial Narrow" w:hAnsi="Arial Narrow"/>
          <w:color w:val="222222"/>
          <w:sz w:val="18"/>
          <w:szCs w:val="18"/>
        </w:rPr>
        <w:t>[PARITAPREVIR + RITONAVIR + OMBITASVIR (&amp;) DASABUVIR] for treatment-naïve and treatment experienced, non-cirrhotic patients, treatment for 12 weeks in patients with genotype 1b HCV.</w:t>
      </w:r>
    </w:p>
    <w:p w:rsidR="00EF7FEF" w:rsidRPr="00357BF9" w:rsidRDefault="00EF7FEF" w:rsidP="00EF7FEF">
      <w:pPr>
        <w:spacing w:after="120"/>
        <w:rPr>
          <w:rFonts w:ascii="Arial Narrow" w:hAnsi="Arial Narrow"/>
          <w:color w:val="222222"/>
          <w:sz w:val="18"/>
          <w:szCs w:val="18"/>
        </w:rPr>
      </w:pPr>
      <w:bookmarkStart w:id="6" w:name="ft4"/>
      <w:r w:rsidRPr="00357BF9">
        <w:rPr>
          <w:rFonts w:ascii="Arial Narrow" w:hAnsi="Arial Narrow"/>
          <w:color w:val="1157AD"/>
          <w:sz w:val="18"/>
          <w:szCs w:val="18"/>
          <w:u w:val="single"/>
        </w:rPr>
        <w:t>[4]</w:t>
      </w:r>
      <w:bookmarkEnd w:id="6"/>
      <w:r w:rsidRPr="00357BF9">
        <w:rPr>
          <w:rFonts w:ascii="Arial Narrow" w:hAnsi="Arial Narrow"/>
          <w:color w:val="222222"/>
          <w:sz w:val="18"/>
          <w:szCs w:val="18"/>
        </w:rPr>
        <w:t>  [PARITAPREVIR + RITONAVIR + OMBITASVIR (&amp;) DASABUVIR (&amp;) RBV] for treatment-naïve and treatment experienced, non-cirrhotic patients, treatment for 12 weeks in patients with genotype 1a HCV. </w:t>
      </w:r>
    </w:p>
    <w:p w:rsidR="00EF7FEF" w:rsidRDefault="00EF7FEF" w:rsidP="00EF7FEF">
      <w:pPr>
        <w:spacing w:after="120"/>
        <w:rPr>
          <w:rFonts w:ascii="Arial Narrow" w:hAnsi="Arial Narrow"/>
          <w:color w:val="222222"/>
          <w:sz w:val="18"/>
          <w:szCs w:val="18"/>
        </w:rPr>
      </w:pPr>
      <w:bookmarkStart w:id="7" w:name="ft5"/>
      <w:r w:rsidRPr="00357BF9">
        <w:rPr>
          <w:rFonts w:ascii="Arial Narrow" w:hAnsi="Arial Narrow"/>
          <w:color w:val="1157AD"/>
          <w:sz w:val="18"/>
          <w:szCs w:val="18"/>
          <w:u w:val="single"/>
        </w:rPr>
        <w:t>[5]</w:t>
      </w:r>
      <w:bookmarkEnd w:id="7"/>
      <w:r w:rsidRPr="00357BF9">
        <w:rPr>
          <w:rFonts w:ascii="Arial Narrow" w:hAnsi="Arial Narrow"/>
          <w:color w:val="222222"/>
          <w:sz w:val="18"/>
          <w:szCs w:val="18"/>
        </w:rPr>
        <w:t> [GRAZOPREVIR + ELBASVIR and RBV] for treatment-experienced, non-cirrhotic and cirrhotic patients, treatment for 16 weeks in patients with genotype 1a or 4 HCV who have experienced on-treatment virologic failure to prior treatment. </w:t>
      </w:r>
    </w:p>
    <w:p w:rsidR="00E343B2" w:rsidRPr="00357BF9" w:rsidRDefault="00E343B2" w:rsidP="00EF7FEF">
      <w:pPr>
        <w:spacing w:after="120"/>
        <w:rPr>
          <w:rFonts w:ascii="Arial Narrow" w:hAnsi="Arial Narrow"/>
          <w:color w:val="222222"/>
          <w:sz w:val="18"/>
          <w:szCs w:val="18"/>
        </w:rPr>
      </w:pPr>
      <w:r>
        <w:rPr>
          <w:rFonts w:ascii="Arial Narrow" w:hAnsi="Arial Narrow"/>
          <w:i/>
          <w:color w:val="FF0000"/>
          <w:sz w:val="18"/>
          <w:szCs w:val="18"/>
          <w:u w:val="single"/>
          <w:bdr w:val="none" w:sz="0" w:space="0" w:color="auto" w:frame="1"/>
        </w:rPr>
        <w:t>[6]</w:t>
      </w:r>
      <w:r w:rsidRPr="005E729B">
        <w:rPr>
          <w:rFonts w:ascii="Arial Narrow" w:hAnsi="Arial Narrow"/>
          <w:i/>
          <w:color w:val="FF0000"/>
          <w:sz w:val="18"/>
          <w:szCs w:val="18"/>
        </w:rPr>
        <w:t xml:space="preserve"> </w:t>
      </w:r>
      <w:r w:rsidRPr="005E729B">
        <w:rPr>
          <w:rFonts w:ascii="Arial Narrow" w:hAnsi="Arial Narrow"/>
          <w:b/>
          <w:bCs/>
          <w:sz w:val="18"/>
          <w:szCs w:val="18"/>
          <w:vertAlign w:val="superscript"/>
          <w:lang w:eastAsia="en-US"/>
        </w:rPr>
        <w:t xml:space="preserve"> </w:t>
      </w:r>
      <w:r w:rsidRPr="005E729B">
        <w:rPr>
          <w:rFonts w:ascii="Arial Narrow" w:hAnsi="Arial Narrow"/>
          <w:bCs/>
          <w:i/>
          <w:color w:val="FF0000"/>
          <w:sz w:val="18"/>
          <w:szCs w:val="18"/>
          <w:lang w:eastAsia="en-US"/>
        </w:rPr>
        <w:t>[</w:t>
      </w:r>
      <w:r w:rsidRPr="005E729B">
        <w:rPr>
          <w:rFonts w:ascii="Arial Narrow" w:eastAsia="Calibri" w:hAnsi="Arial Narrow" w:cs="Arial"/>
          <w:i/>
          <w:iCs/>
          <w:color w:val="FF0000"/>
          <w:sz w:val="18"/>
          <w:szCs w:val="18"/>
          <w:lang w:eastAsia="en-US"/>
        </w:rPr>
        <w:t xml:space="preserve">GLECAPREVIR + PIBRENTASVIR] </w:t>
      </w:r>
      <w:r w:rsidRPr="005E729B">
        <w:rPr>
          <w:rFonts w:ascii="Arial Narrow" w:hAnsi="Arial Narrow"/>
          <w:bCs/>
          <w:i/>
          <w:color w:val="FF0000"/>
          <w:sz w:val="18"/>
          <w:szCs w:val="18"/>
          <w:lang w:eastAsia="en-US"/>
        </w:rPr>
        <w:t xml:space="preserve">for treatment experienced </w:t>
      </w:r>
      <w:r>
        <w:rPr>
          <w:rFonts w:ascii="Arial Narrow" w:hAnsi="Arial Narrow"/>
          <w:bCs/>
          <w:i/>
          <w:color w:val="FF0000"/>
          <w:sz w:val="18"/>
          <w:szCs w:val="18"/>
          <w:lang w:eastAsia="en-US"/>
        </w:rPr>
        <w:t xml:space="preserve">patients with genotype 3 HCV </w:t>
      </w:r>
      <w:r w:rsidRPr="005E729B">
        <w:rPr>
          <w:rFonts w:ascii="Arial Narrow" w:hAnsi="Arial Narrow"/>
          <w:bCs/>
          <w:i/>
          <w:color w:val="FF0000"/>
          <w:sz w:val="18"/>
          <w:szCs w:val="18"/>
          <w:lang w:eastAsia="en-US"/>
        </w:rPr>
        <w:t>and patients who have failed an NS5A inhibitor, treatment is for 16 weeks.</w:t>
      </w:r>
    </w:p>
    <w:p w:rsidR="00EF7FEF" w:rsidRPr="00357BF9" w:rsidRDefault="00EF7FEF" w:rsidP="00EF7FEF">
      <w:pPr>
        <w:spacing w:after="120"/>
        <w:rPr>
          <w:rFonts w:ascii="Arial Narrow" w:hAnsi="Arial Narrow"/>
          <w:color w:val="222222"/>
          <w:sz w:val="18"/>
          <w:szCs w:val="18"/>
        </w:rPr>
      </w:pPr>
      <w:r>
        <w:rPr>
          <w:rFonts w:ascii="Arial Narrow" w:hAnsi="Arial Narrow"/>
          <w:color w:val="1157AD"/>
          <w:sz w:val="18"/>
          <w:szCs w:val="18"/>
          <w:u w:val="single"/>
        </w:rPr>
        <w:t>[7]</w:t>
      </w:r>
      <w:r w:rsidRPr="00357BF9">
        <w:rPr>
          <w:rFonts w:ascii="Arial Narrow" w:hAnsi="Arial Narrow"/>
          <w:color w:val="222222"/>
          <w:sz w:val="18"/>
          <w:szCs w:val="18"/>
        </w:rPr>
        <w:t>[SOFOSBUVIR + VELPATASVIR] for patients with decompensated cirrhosis:</w:t>
      </w:r>
    </w:p>
    <w:p w:rsidR="00EF7FEF" w:rsidRPr="00357BF9" w:rsidRDefault="00EF7FEF" w:rsidP="00EF7FEF">
      <w:pPr>
        <w:numPr>
          <w:ilvl w:val="0"/>
          <w:numId w:val="28"/>
        </w:numPr>
        <w:spacing w:after="120"/>
        <w:ind w:left="600" w:right="150"/>
        <w:rPr>
          <w:rFonts w:ascii="Arial Narrow" w:hAnsi="Arial Narrow"/>
          <w:sz w:val="18"/>
          <w:szCs w:val="18"/>
        </w:rPr>
      </w:pPr>
      <w:r w:rsidRPr="00357BF9">
        <w:rPr>
          <w:rFonts w:ascii="Arial Narrow" w:hAnsi="Arial Narrow"/>
          <w:sz w:val="18"/>
          <w:szCs w:val="18"/>
        </w:rPr>
        <w:t>Use in combination with ribavirin.</w:t>
      </w:r>
    </w:p>
    <w:p w:rsidR="00EF7FEF" w:rsidRPr="00357BF9" w:rsidRDefault="00EF7FEF" w:rsidP="00EF7FEF">
      <w:pPr>
        <w:spacing w:after="120"/>
        <w:rPr>
          <w:rFonts w:ascii="Arial Narrow" w:hAnsi="Arial Narrow"/>
          <w:color w:val="222222"/>
          <w:sz w:val="18"/>
          <w:szCs w:val="18"/>
        </w:rPr>
      </w:pPr>
      <w:r>
        <w:rPr>
          <w:rFonts w:ascii="Arial Narrow" w:hAnsi="Arial Narrow"/>
          <w:color w:val="1157AD"/>
          <w:sz w:val="18"/>
          <w:szCs w:val="18"/>
          <w:u w:val="single"/>
        </w:rPr>
        <w:t>[8]</w:t>
      </w:r>
      <w:r w:rsidRPr="00357BF9">
        <w:rPr>
          <w:rFonts w:ascii="Arial Narrow" w:hAnsi="Arial Narrow"/>
          <w:color w:val="222222"/>
          <w:sz w:val="18"/>
          <w:szCs w:val="18"/>
        </w:rPr>
        <w:t> [PARITAPREVIR + RITONAVIR + OMBITASVIR (&amp;) DASABUVIR (&amp;) RBV] for treatment-experienced, cirrhotic patients:</w:t>
      </w:r>
    </w:p>
    <w:p w:rsidR="00EF7FEF" w:rsidRPr="00357BF9" w:rsidRDefault="00EF7FEF" w:rsidP="00EF7FEF">
      <w:pPr>
        <w:numPr>
          <w:ilvl w:val="0"/>
          <w:numId w:val="29"/>
        </w:numPr>
        <w:spacing w:after="120"/>
        <w:ind w:left="600" w:right="150"/>
        <w:rPr>
          <w:rFonts w:ascii="Arial Narrow" w:hAnsi="Arial Narrow"/>
          <w:sz w:val="18"/>
          <w:szCs w:val="18"/>
        </w:rPr>
      </w:pPr>
      <w:r w:rsidRPr="00357BF9">
        <w:rPr>
          <w:rFonts w:ascii="Arial Narrow" w:hAnsi="Arial Narrow"/>
          <w:sz w:val="18"/>
          <w:szCs w:val="18"/>
        </w:rPr>
        <w:t>consider treatment for 12 weeks in patients with genotype 1a HCV (except prior null responders to PEG-IFN and RBV) and genotype 1b HCV; or</w:t>
      </w:r>
    </w:p>
    <w:p w:rsidR="00EF7FEF" w:rsidRPr="00357BF9" w:rsidRDefault="00EF7FEF" w:rsidP="00EF7FEF">
      <w:pPr>
        <w:numPr>
          <w:ilvl w:val="0"/>
          <w:numId w:val="29"/>
        </w:numPr>
        <w:spacing w:after="120"/>
        <w:ind w:left="600" w:right="150"/>
        <w:rPr>
          <w:rFonts w:ascii="Arial Narrow" w:hAnsi="Arial Narrow"/>
          <w:sz w:val="18"/>
          <w:szCs w:val="18"/>
        </w:rPr>
      </w:pPr>
      <w:r w:rsidRPr="00357BF9">
        <w:rPr>
          <w:rFonts w:ascii="Arial Narrow" w:hAnsi="Arial Narrow"/>
          <w:sz w:val="18"/>
          <w:szCs w:val="18"/>
        </w:rPr>
        <w:t>consider treatment for 24 weeks in patients with genotype 1a HCV who have had a previous null response to PEG-IFN and RBV.</w:t>
      </w:r>
    </w:p>
    <w:p w:rsidR="00EF7FEF" w:rsidRPr="00357BF9" w:rsidRDefault="00EF7FEF" w:rsidP="00EF7FEF">
      <w:pPr>
        <w:spacing w:after="120"/>
        <w:rPr>
          <w:rFonts w:ascii="Arial Narrow" w:hAnsi="Arial Narrow"/>
          <w:color w:val="222222"/>
          <w:sz w:val="18"/>
          <w:szCs w:val="18"/>
        </w:rPr>
      </w:pPr>
      <w:r>
        <w:rPr>
          <w:rFonts w:ascii="Arial Narrow" w:hAnsi="Arial Narrow"/>
          <w:color w:val="1157AD"/>
          <w:sz w:val="18"/>
          <w:szCs w:val="18"/>
          <w:u w:val="single"/>
        </w:rPr>
        <w:t>[9]</w:t>
      </w:r>
      <w:r w:rsidRPr="00357BF9">
        <w:rPr>
          <w:rFonts w:ascii="Arial Narrow" w:hAnsi="Arial Narrow"/>
          <w:color w:val="222222"/>
          <w:sz w:val="18"/>
          <w:szCs w:val="18"/>
        </w:rPr>
        <w:t> Consider a 24 week regimen of [DACLATASVIR and SOFOSBUVIR and RBV] for cirrhotic patients where clinically appropriate.</w:t>
      </w:r>
    </w:p>
    <w:p w:rsidR="00EF7FEF" w:rsidRPr="00357BF9" w:rsidRDefault="00EF7FEF" w:rsidP="00EF7FEF">
      <w:pPr>
        <w:spacing w:after="120"/>
        <w:rPr>
          <w:rFonts w:ascii="Arial Narrow" w:hAnsi="Arial Narrow"/>
          <w:color w:val="222222"/>
          <w:sz w:val="18"/>
          <w:szCs w:val="18"/>
        </w:rPr>
      </w:pPr>
      <w:r>
        <w:rPr>
          <w:rFonts w:ascii="Arial Narrow" w:hAnsi="Arial Narrow"/>
          <w:color w:val="1157AD"/>
          <w:sz w:val="18"/>
          <w:szCs w:val="18"/>
          <w:u w:val="single"/>
        </w:rPr>
        <w:t>[10]</w:t>
      </w:r>
      <w:r w:rsidRPr="00357BF9">
        <w:rPr>
          <w:rFonts w:ascii="Arial Narrow" w:hAnsi="Arial Narrow"/>
          <w:color w:val="222222"/>
          <w:sz w:val="18"/>
          <w:szCs w:val="18"/>
        </w:rPr>
        <w:t>[SOFOSBUVIR + VELPATASVIR] for patients with genotype 3 infection with compensated cirrhosis:</w:t>
      </w:r>
    </w:p>
    <w:p w:rsidR="00EF7FEF" w:rsidRPr="00357BF9" w:rsidRDefault="00EF7FEF" w:rsidP="00EF7FEF">
      <w:pPr>
        <w:numPr>
          <w:ilvl w:val="0"/>
          <w:numId w:val="30"/>
        </w:numPr>
        <w:spacing w:after="120"/>
        <w:ind w:left="600" w:right="150"/>
        <w:rPr>
          <w:rFonts w:ascii="Arial Narrow" w:hAnsi="Arial Narrow"/>
          <w:sz w:val="18"/>
          <w:szCs w:val="18"/>
        </w:rPr>
      </w:pPr>
      <w:r w:rsidRPr="00357BF9">
        <w:rPr>
          <w:rFonts w:ascii="Arial Narrow" w:hAnsi="Arial Narrow"/>
          <w:sz w:val="18"/>
          <w:szCs w:val="18"/>
        </w:rPr>
        <w:t>Consider addition of ribavirin.</w:t>
      </w:r>
    </w:p>
    <w:p w:rsidR="00B422E6" w:rsidRPr="00B422E6" w:rsidRDefault="00B422E6" w:rsidP="00B422E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422E6">
        <w:rPr>
          <w:rFonts w:asciiTheme="minorHAnsi" w:hAnsiTheme="minorHAnsi"/>
          <w:sz w:val="32"/>
          <w:szCs w:val="32"/>
        </w:rPr>
        <w:t>Context for Decision</w:t>
      </w:r>
    </w:p>
    <w:p w:rsidR="00B422E6" w:rsidRPr="00B422E6" w:rsidRDefault="00B422E6" w:rsidP="00B422E6">
      <w:pPr>
        <w:spacing w:before="120" w:after="120"/>
        <w:rPr>
          <w:rFonts w:ascii="Calibri" w:eastAsia="Calibri" w:hAnsi="Calibri" w:cs="Arial"/>
          <w:szCs w:val="22"/>
          <w:lang w:eastAsia="en-US"/>
        </w:rPr>
      </w:pPr>
      <w:r w:rsidRPr="00B422E6">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422E6" w:rsidRPr="00B422E6" w:rsidRDefault="00B422E6" w:rsidP="00B422E6">
      <w:pPr>
        <w:keepNext/>
        <w:keepLines/>
        <w:numPr>
          <w:ilvl w:val="0"/>
          <w:numId w:val="5"/>
        </w:numPr>
        <w:spacing w:before="240" w:after="120"/>
        <w:ind w:left="709" w:hanging="709"/>
        <w:outlineLvl w:val="0"/>
        <w:rPr>
          <w:rFonts w:ascii="Calibri" w:hAnsi="Calibri"/>
          <w:b/>
          <w:sz w:val="32"/>
          <w:szCs w:val="32"/>
          <w:lang w:eastAsia="en-US"/>
        </w:rPr>
      </w:pPr>
      <w:r w:rsidRPr="00B422E6">
        <w:rPr>
          <w:rFonts w:ascii="Calibri" w:hAnsi="Calibri"/>
          <w:b/>
          <w:sz w:val="32"/>
          <w:szCs w:val="32"/>
          <w:lang w:eastAsia="en-US"/>
        </w:rPr>
        <w:t>Sponsor’s Comment</w:t>
      </w:r>
    </w:p>
    <w:p w:rsidR="009F79B8" w:rsidRPr="00DB57E8" w:rsidRDefault="009F79B8" w:rsidP="009F79B8">
      <w:pPr>
        <w:spacing w:before="120" w:after="160"/>
        <w:jc w:val="both"/>
        <w:rPr>
          <w:rFonts w:ascii="Calibri" w:eastAsia="Calibri" w:hAnsi="Calibri" w:cs="Arial"/>
          <w:snapToGrid w:val="0"/>
          <w:szCs w:val="20"/>
          <w:lang w:eastAsia="en-US"/>
        </w:rPr>
      </w:pPr>
      <w:r w:rsidRPr="00DB57E8">
        <w:rPr>
          <w:rFonts w:ascii="Calibri" w:eastAsia="Calibri" w:hAnsi="Calibri" w:cs="Arial"/>
          <w:snapToGrid w:val="0"/>
          <w:szCs w:val="20"/>
          <w:lang w:eastAsia="en-US"/>
        </w:rPr>
        <w:t xml:space="preserve">AbbVie welcomes the PBAC recommendation </w:t>
      </w:r>
      <w:r>
        <w:rPr>
          <w:rFonts w:ascii="Calibri" w:eastAsia="Calibri" w:hAnsi="Calibri" w:cs="Arial"/>
          <w:snapToGrid w:val="0"/>
          <w:szCs w:val="20"/>
          <w:lang w:eastAsia="en-US"/>
        </w:rPr>
        <w:t>to extend</w:t>
      </w:r>
      <w:r w:rsidRPr="00DB57E8">
        <w:rPr>
          <w:rFonts w:ascii="Calibri" w:eastAsia="Calibri" w:hAnsi="Calibri" w:cs="Arial"/>
          <w:snapToGrid w:val="0"/>
          <w:szCs w:val="20"/>
          <w:lang w:eastAsia="en-US"/>
        </w:rPr>
        <w:t xml:space="preserve"> the PBS listing of Maviret </w:t>
      </w:r>
      <w:r>
        <w:rPr>
          <w:rFonts w:ascii="Calibri" w:eastAsia="Calibri" w:hAnsi="Calibri" w:cs="Arial"/>
          <w:snapToGrid w:val="0"/>
          <w:szCs w:val="20"/>
          <w:lang w:eastAsia="en-US"/>
        </w:rPr>
        <w:t xml:space="preserve">to include patients with </w:t>
      </w:r>
      <w:r w:rsidRPr="00DB57E8">
        <w:rPr>
          <w:rFonts w:ascii="Calibri" w:eastAsia="Calibri" w:hAnsi="Calibri" w:cs="Arial"/>
          <w:snapToGrid w:val="0"/>
          <w:szCs w:val="20"/>
          <w:lang w:eastAsia="en-US"/>
        </w:rPr>
        <w:t>HCV</w:t>
      </w:r>
      <w:r>
        <w:rPr>
          <w:rFonts w:ascii="Calibri" w:eastAsia="Calibri" w:hAnsi="Calibri" w:cs="Arial"/>
          <w:snapToGrid w:val="0"/>
          <w:szCs w:val="20"/>
          <w:lang w:eastAsia="en-US"/>
        </w:rPr>
        <w:t xml:space="preserve">, </w:t>
      </w:r>
      <w:r w:rsidRPr="00DB57E8">
        <w:rPr>
          <w:rFonts w:ascii="Calibri" w:eastAsia="Calibri" w:hAnsi="Calibri" w:cs="Arial"/>
          <w:snapToGrid w:val="0"/>
          <w:szCs w:val="20"/>
          <w:lang w:eastAsia="en-US"/>
        </w:rPr>
        <w:t>previously treated with an NS5A containing regimen.</w:t>
      </w:r>
    </w:p>
    <w:p w:rsidR="00F64CC1" w:rsidRPr="00521709" w:rsidRDefault="00F64CC1" w:rsidP="00C02299">
      <w:pPr>
        <w:jc w:val="both"/>
        <w:rPr>
          <w:rFonts w:asciiTheme="minorHAnsi" w:hAnsiTheme="minorHAnsi"/>
          <w:sz w:val="22"/>
          <w:szCs w:val="22"/>
        </w:rPr>
      </w:pPr>
    </w:p>
    <w:sectPr w:rsidR="00F64CC1" w:rsidRPr="00521709" w:rsidSect="00B422E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998" w:header="709"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AF" w:rsidRDefault="00A833AF">
      <w:r>
        <w:separator/>
      </w:r>
    </w:p>
    <w:p w:rsidR="00A833AF" w:rsidRDefault="00A833AF"/>
  </w:endnote>
  <w:endnote w:type="continuationSeparator" w:id="0">
    <w:p w:rsidR="00A833AF" w:rsidRDefault="00A833AF">
      <w:r>
        <w:continuationSeparator/>
      </w:r>
    </w:p>
    <w:p w:rsidR="00A833AF" w:rsidRDefault="00A83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AF" w:rsidRDefault="00A83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07950"/>
      <w:docPartObj>
        <w:docPartGallery w:val="Page Numbers (Bottom of Page)"/>
        <w:docPartUnique/>
      </w:docPartObj>
    </w:sdtPr>
    <w:sdtEndPr>
      <w:rPr>
        <w:noProof/>
      </w:rPr>
    </w:sdtEndPr>
    <w:sdtContent>
      <w:p w:rsidR="00BA6377" w:rsidRDefault="00BA6377">
        <w:pPr>
          <w:pStyle w:val="Footer"/>
          <w:jc w:val="center"/>
        </w:pPr>
        <w:r>
          <w:fldChar w:fldCharType="begin"/>
        </w:r>
        <w:r>
          <w:instrText xml:space="preserve"> PAGE   \* MERGEFORMAT </w:instrText>
        </w:r>
        <w:r>
          <w:fldChar w:fldCharType="separate"/>
        </w:r>
        <w:r w:rsidR="00A833AF">
          <w:rPr>
            <w:noProof/>
          </w:rPr>
          <w:t>1</w:t>
        </w:r>
        <w:r>
          <w:rPr>
            <w:noProof/>
          </w:rPr>
          <w:fldChar w:fldCharType="end"/>
        </w:r>
      </w:p>
    </w:sdtContent>
  </w:sdt>
  <w:p w:rsidR="00BA6377" w:rsidRDefault="00BA6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AF" w:rsidRDefault="00A83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AF" w:rsidRDefault="00A833AF">
      <w:r>
        <w:separator/>
      </w:r>
    </w:p>
    <w:p w:rsidR="00A833AF" w:rsidRDefault="00A833AF"/>
  </w:footnote>
  <w:footnote w:type="continuationSeparator" w:id="0">
    <w:p w:rsidR="00A833AF" w:rsidRDefault="00A833AF">
      <w:r>
        <w:continuationSeparator/>
      </w:r>
    </w:p>
    <w:p w:rsidR="00A833AF" w:rsidRDefault="00A83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AF" w:rsidRDefault="00A83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77" w:rsidRPr="003E2DF2" w:rsidRDefault="00BA6377" w:rsidP="0005172B">
    <w:pPr>
      <w:tabs>
        <w:tab w:val="center" w:pos="4153"/>
        <w:tab w:val="right" w:pos="8306"/>
      </w:tabs>
      <w:ind w:left="357"/>
      <w:jc w:val="center"/>
      <w:rPr>
        <w:rFonts w:asciiTheme="minorHAnsi" w:hAnsiTheme="minorHAnsi" w:cs="Arial"/>
        <w:i/>
        <w:color w:val="808080"/>
        <w:sz w:val="22"/>
        <w:lang w:eastAsia="en-US"/>
      </w:rPr>
    </w:pPr>
    <w:r>
      <w:rPr>
        <w:rFonts w:asciiTheme="minorHAnsi" w:hAnsiTheme="minorHAnsi" w:cs="Arial"/>
        <w:i/>
        <w:color w:val="808080"/>
        <w:sz w:val="22"/>
        <w:lang w:eastAsia="en-US"/>
      </w:rPr>
      <w:t>Public Summary Document</w:t>
    </w:r>
    <w:r w:rsidRPr="003E2DF2">
      <w:rPr>
        <w:rFonts w:asciiTheme="minorHAnsi" w:hAnsiTheme="minorHAnsi" w:cs="Arial"/>
        <w:i/>
        <w:color w:val="808080"/>
        <w:sz w:val="22"/>
        <w:lang w:eastAsia="en-US"/>
      </w:rPr>
      <w:t xml:space="preserve"> – </w:t>
    </w:r>
    <w:r>
      <w:rPr>
        <w:rFonts w:asciiTheme="minorHAnsi" w:hAnsiTheme="minorHAnsi" w:cs="Arial"/>
        <w:i/>
        <w:color w:val="808080"/>
        <w:sz w:val="22"/>
        <w:lang w:eastAsia="en-US"/>
      </w:rPr>
      <w:t>November 2017</w:t>
    </w:r>
    <w:r w:rsidRPr="003E2DF2">
      <w:rPr>
        <w:rFonts w:asciiTheme="minorHAnsi" w:hAnsiTheme="minorHAnsi" w:cs="Arial"/>
        <w:i/>
        <w:color w:val="808080"/>
        <w:sz w:val="22"/>
        <w:lang w:eastAsia="en-US"/>
      </w:rPr>
      <w:t xml:space="preserve"> PBAC Meeting</w:t>
    </w:r>
  </w:p>
  <w:p w:rsidR="00BA6377" w:rsidRDefault="00BA6377" w:rsidP="0005172B">
    <w:pPr>
      <w:tabs>
        <w:tab w:val="center" w:pos="4153"/>
        <w:tab w:val="right" w:pos="8306"/>
      </w:tabs>
      <w:ind w:left="357"/>
      <w:jc w:val="center"/>
      <w:rPr>
        <w:rFonts w:asciiTheme="minorHAnsi" w:hAnsiTheme="minorHAnsi" w:cs="Arial"/>
        <w:i/>
        <w:color w:val="808080"/>
        <w:sz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AF" w:rsidRDefault="00A83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7762AD"/>
    <w:multiLevelType w:val="multilevel"/>
    <w:tmpl w:val="C5E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784B19"/>
    <w:multiLevelType w:val="multilevel"/>
    <w:tmpl w:val="7A8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C4171E"/>
    <w:multiLevelType w:val="hybridMultilevel"/>
    <w:tmpl w:val="3E00F138"/>
    <w:lvl w:ilvl="0" w:tplc="3956E17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5424C"/>
    <w:multiLevelType w:val="multilevel"/>
    <w:tmpl w:val="5A06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15C7797"/>
    <w:multiLevelType w:val="multilevel"/>
    <w:tmpl w:val="791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5D2904"/>
    <w:multiLevelType w:val="multilevel"/>
    <w:tmpl w:val="6CD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32645C"/>
    <w:multiLevelType w:val="multilevel"/>
    <w:tmpl w:val="DF3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A71417"/>
    <w:multiLevelType w:val="hybridMultilevel"/>
    <w:tmpl w:val="D6CCCDB4"/>
    <w:lvl w:ilvl="0" w:tplc="3956E17E">
      <w:start w:val="1"/>
      <w:numFmt w:val="decimal"/>
      <w:lvlText w:val="%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784D033C"/>
    <w:multiLevelType w:val="multilevel"/>
    <w:tmpl w:val="2D069E70"/>
    <w:lvl w:ilvl="0">
      <w:start w:val="1"/>
      <w:numFmt w:val="decimal"/>
      <w:pStyle w:val="PBACHeading1"/>
      <w:lvlText w:val="%1"/>
      <w:lvlJc w:val="left"/>
      <w:pPr>
        <w:ind w:left="720" w:hanging="720"/>
      </w:pPr>
      <w:rPr>
        <w:rFonts w:hint="default"/>
        <w:b/>
      </w:rPr>
    </w:lvl>
    <w:lvl w:ilvl="1">
      <w:start w:val="1"/>
      <w:numFmt w:val="decimal"/>
      <w:lvlText w:val="%1.%2"/>
      <w:lvlJc w:val="left"/>
      <w:pPr>
        <w:ind w:left="1146"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D26193"/>
    <w:multiLevelType w:val="hybridMultilevel"/>
    <w:tmpl w:val="1002582E"/>
    <w:lvl w:ilvl="0" w:tplc="CB68E1FA">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8"/>
  </w:num>
  <w:num w:numId="5">
    <w:abstractNumId w:val="25"/>
  </w:num>
  <w:num w:numId="6">
    <w:abstractNumId w:val="8"/>
  </w:num>
  <w:num w:numId="7">
    <w:abstractNumId w:val="16"/>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5"/>
  </w:num>
  <w:num w:numId="15">
    <w:abstractNumId w:val="26"/>
  </w:num>
  <w:num w:numId="16">
    <w:abstractNumId w:val="1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22"/>
  </w:num>
  <w:num w:numId="22">
    <w:abstractNumId w:val="6"/>
  </w:num>
  <w:num w:numId="23">
    <w:abstractNumId w:val="2"/>
  </w:num>
  <w:num w:numId="24">
    <w:abstractNumId w:val="10"/>
  </w:num>
  <w:num w:numId="25">
    <w:abstractNumId w:val="20"/>
  </w:num>
  <w:num w:numId="26">
    <w:abstractNumId w:val="11"/>
  </w:num>
  <w:num w:numId="27">
    <w:abstractNumId w:val="23"/>
  </w:num>
  <w:num w:numId="28">
    <w:abstractNumId w:val="17"/>
  </w:num>
  <w:num w:numId="29">
    <w:abstractNumId w:val="19"/>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43A3"/>
    <w:rsid w:val="0002464A"/>
    <w:rsid w:val="000258BC"/>
    <w:rsid w:val="0003106B"/>
    <w:rsid w:val="000421A1"/>
    <w:rsid w:val="0004240E"/>
    <w:rsid w:val="000442D1"/>
    <w:rsid w:val="00045A33"/>
    <w:rsid w:val="00045E26"/>
    <w:rsid w:val="000514B5"/>
    <w:rsid w:val="0005172B"/>
    <w:rsid w:val="00051923"/>
    <w:rsid w:val="00057571"/>
    <w:rsid w:val="00060E64"/>
    <w:rsid w:val="00062724"/>
    <w:rsid w:val="00066755"/>
    <w:rsid w:val="00076292"/>
    <w:rsid w:val="00077143"/>
    <w:rsid w:val="00082169"/>
    <w:rsid w:val="00086016"/>
    <w:rsid w:val="00087833"/>
    <w:rsid w:val="00093AD4"/>
    <w:rsid w:val="000969AD"/>
    <w:rsid w:val="000A370C"/>
    <w:rsid w:val="000B417A"/>
    <w:rsid w:val="000B558D"/>
    <w:rsid w:val="000B59D6"/>
    <w:rsid w:val="000C6996"/>
    <w:rsid w:val="000D23BA"/>
    <w:rsid w:val="000E681E"/>
    <w:rsid w:val="000F0003"/>
    <w:rsid w:val="000F4E6A"/>
    <w:rsid w:val="000F5F8F"/>
    <w:rsid w:val="00102E28"/>
    <w:rsid w:val="00104227"/>
    <w:rsid w:val="001107BF"/>
    <w:rsid w:val="00122C31"/>
    <w:rsid w:val="0012417C"/>
    <w:rsid w:val="00142395"/>
    <w:rsid w:val="00142714"/>
    <w:rsid w:val="001452ED"/>
    <w:rsid w:val="00160997"/>
    <w:rsid w:val="00163329"/>
    <w:rsid w:val="0016439F"/>
    <w:rsid w:val="00164623"/>
    <w:rsid w:val="00165B64"/>
    <w:rsid w:val="0017630D"/>
    <w:rsid w:val="001830CE"/>
    <w:rsid w:val="00185AFA"/>
    <w:rsid w:val="0018643B"/>
    <w:rsid w:val="00196307"/>
    <w:rsid w:val="001A2B79"/>
    <w:rsid w:val="001A33EA"/>
    <w:rsid w:val="001B017F"/>
    <w:rsid w:val="001B2BBC"/>
    <w:rsid w:val="001B4BB5"/>
    <w:rsid w:val="001B5129"/>
    <w:rsid w:val="001C06CF"/>
    <w:rsid w:val="001C1195"/>
    <w:rsid w:val="001D5A83"/>
    <w:rsid w:val="001E0E9E"/>
    <w:rsid w:val="001F1850"/>
    <w:rsid w:val="00203FAC"/>
    <w:rsid w:val="00213CFB"/>
    <w:rsid w:val="00216747"/>
    <w:rsid w:val="00217BE1"/>
    <w:rsid w:val="00241A5F"/>
    <w:rsid w:val="00243E0D"/>
    <w:rsid w:val="00244BBD"/>
    <w:rsid w:val="00246897"/>
    <w:rsid w:val="0025435B"/>
    <w:rsid w:val="002609ED"/>
    <w:rsid w:val="00271BA1"/>
    <w:rsid w:val="002762FA"/>
    <w:rsid w:val="00277505"/>
    <w:rsid w:val="0029458F"/>
    <w:rsid w:val="002A104C"/>
    <w:rsid w:val="002A4960"/>
    <w:rsid w:val="002B1AE6"/>
    <w:rsid w:val="002B2DE8"/>
    <w:rsid w:val="002B30F8"/>
    <w:rsid w:val="002B4BE7"/>
    <w:rsid w:val="002B5596"/>
    <w:rsid w:val="002C212F"/>
    <w:rsid w:val="002D4543"/>
    <w:rsid w:val="002D6B65"/>
    <w:rsid w:val="002E3153"/>
    <w:rsid w:val="002E72CA"/>
    <w:rsid w:val="00300AD6"/>
    <w:rsid w:val="00317C6C"/>
    <w:rsid w:val="00326E79"/>
    <w:rsid w:val="00333162"/>
    <w:rsid w:val="0033518A"/>
    <w:rsid w:val="003367EF"/>
    <w:rsid w:val="00341AE4"/>
    <w:rsid w:val="003476DC"/>
    <w:rsid w:val="00360D6E"/>
    <w:rsid w:val="003647BA"/>
    <w:rsid w:val="00376824"/>
    <w:rsid w:val="003872CF"/>
    <w:rsid w:val="00387B5B"/>
    <w:rsid w:val="00387B7E"/>
    <w:rsid w:val="003922CA"/>
    <w:rsid w:val="0039782C"/>
    <w:rsid w:val="003A5B4A"/>
    <w:rsid w:val="003B23C5"/>
    <w:rsid w:val="003B2A75"/>
    <w:rsid w:val="003B396C"/>
    <w:rsid w:val="003B6124"/>
    <w:rsid w:val="003C2FB5"/>
    <w:rsid w:val="003D2840"/>
    <w:rsid w:val="003D4AC4"/>
    <w:rsid w:val="003D63B7"/>
    <w:rsid w:val="003E0EDC"/>
    <w:rsid w:val="003E2DF2"/>
    <w:rsid w:val="003E4597"/>
    <w:rsid w:val="003E468B"/>
    <w:rsid w:val="003F3228"/>
    <w:rsid w:val="003F5C8C"/>
    <w:rsid w:val="00422555"/>
    <w:rsid w:val="004252EC"/>
    <w:rsid w:val="00434EA8"/>
    <w:rsid w:val="00445A6B"/>
    <w:rsid w:val="004465BD"/>
    <w:rsid w:val="004469F9"/>
    <w:rsid w:val="00452AA0"/>
    <w:rsid w:val="00461CCF"/>
    <w:rsid w:val="00466ADA"/>
    <w:rsid w:val="00476245"/>
    <w:rsid w:val="00483035"/>
    <w:rsid w:val="00485940"/>
    <w:rsid w:val="00492AF2"/>
    <w:rsid w:val="004A2484"/>
    <w:rsid w:val="004A501F"/>
    <w:rsid w:val="004A5A85"/>
    <w:rsid w:val="004A71D1"/>
    <w:rsid w:val="004B5640"/>
    <w:rsid w:val="004C1BD7"/>
    <w:rsid w:val="004C31FE"/>
    <w:rsid w:val="004C691D"/>
    <w:rsid w:val="004C6C07"/>
    <w:rsid w:val="004E135B"/>
    <w:rsid w:val="004E692D"/>
    <w:rsid w:val="00501554"/>
    <w:rsid w:val="005128F5"/>
    <w:rsid w:val="00514CD7"/>
    <w:rsid w:val="00521709"/>
    <w:rsid w:val="00526C58"/>
    <w:rsid w:val="005319B2"/>
    <w:rsid w:val="00532402"/>
    <w:rsid w:val="00532C74"/>
    <w:rsid w:val="00534E2E"/>
    <w:rsid w:val="00544552"/>
    <w:rsid w:val="00563B79"/>
    <w:rsid w:val="00577C4D"/>
    <w:rsid w:val="00581932"/>
    <w:rsid w:val="005963BB"/>
    <w:rsid w:val="0059786A"/>
    <w:rsid w:val="005A0E70"/>
    <w:rsid w:val="005A3173"/>
    <w:rsid w:val="005A3223"/>
    <w:rsid w:val="005A3DA3"/>
    <w:rsid w:val="005A4D07"/>
    <w:rsid w:val="005A52C4"/>
    <w:rsid w:val="005D03AB"/>
    <w:rsid w:val="005D5017"/>
    <w:rsid w:val="005E1333"/>
    <w:rsid w:val="005F6FDF"/>
    <w:rsid w:val="00600106"/>
    <w:rsid w:val="00601A91"/>
    <w:rsid w:val="00602BA3"/>
    <w:rsid w:val="00605877"/>
    <w:rsid w:val="00612E34"/>
    <w:rsid w:val="00614159"/>
    <w:rsid w:val="00617C00"/>
    <w:rsid w:val="00621C60"/>
    <w:rsid w:val="006263BF"/>
    <w:rsid w:val="0062748A"/>
    <w:rsid w:val="00630A2C"/>
    <w:rsid w:val="0063682E"/>
    <w:rsid w:val="006436CD"/>
    <w:rsid w:val="00651169"/>
    <w:rsid w:val="00653D69"/>
    <w:rsid w:val="00661FD7"/>
    <w:rsid w:val="006670BE"/>
    <w:rsid w:val="00670A76"/>
    <w:rsid w:val="006711AA"/>
    <w:rsid w:val="00672B57"/>
    <w:rsid w:val="00675622"/>
    <w:rsid w:val="006906DB"/>
    <w:rsid w:val="00691E6C"/>
    <w:rsid w:val="00696129"/>
    <w:rsid w:val="00697CF2"/>
    <w:rsid w:val="006A12A5"/>
    <w:rsid w:val="006B0D94"/>
    <w:rsid w:val="006B485D"/>
    <w:rsid w:val="006C708E"/>
    <w:rsid w:val="006D567D"/>
    <w:rsid w:val="006D6EC7"/>
    <w:rsid w:val="006E0F53"/>
    <w:rsid w:val="006E4934"/>
    <w:rsid w:val="006E613F"/>
    <w:rsid w:val="006F5125"/>
    <w:rsid w:val="00702B6F"/>
    <w:rsid w:val="00702CDF"/>
    <w:rsid w:val="0070654D"/>
    <w:rsid w:val="00706DCA"/>
    <w:rsid w:val="0071340B"/>
    <w:rsid w:val="007174BB"/>
    <w:rsid w:val="0072025D"/>
    <w:rsid w:val="007353D3"/>
    <w:rsid w:val="0074054F"/>
    <w:rsid w:val="0075243D"/>
    <w:rsid w:val="0076420C"/>
    <w:rsid w:val="00764E17"/>
    <w:rsid w:val="00770269"/>
    <w:rsid w:val="007753C2"/>
    <w:rsid w:val="00780AC4"/>
    <w:rsid w:val="00780CC5"/>
    <w:rsid w:val="007838B8"/>
    <w:rsid w:val="007A4A62"/>
    <w:rsid w:val="007C0F57"/>
    <w:rsid w:val="007C40B6"/>
    <w:rsid w:val="007C65CC"/>
    <w:rsid w:val="007C729F"/>
    <w:rsid w:val="007E1D28"/>
    <w:rsid w:val="007E3111"/>
    <w:rsid w:val="007E45DE"/>
    <w:rsid w:val="007F2641"/>
    <w:rsid w:val="007F7C36"/>
    <w:rsid w:val="00806796"/>
    <w:rsid w:val="008151D6"/>
    <w:rsid w:val="00826F6D"/>
    <w:rsid w:val="00827493"/>
    <w:rsid w:val="008306F3"/>
    <w:rsid w:val="00832A34"/>
    <w:rsid w:val="00834343"/>
    <w:rsid w:val="00856DDD"/>
    <w:rsid w:val="0086296A"/>
    <w:rsid w:val="00863E68"/>
    <w:rsid w:val="0087280A"/>
    <w:rsid w:val="00882085"/>
    <w:rsid w:val="00883188"/>
    <w:rsid w:val="00884E28"/>
    <w:rsid w:val="008954E7"/>
    <w:rsid w:val="00897D58"/>
    <w:rsid w:val="00897F22"/>
    <w:rsid w:val="008A1956"/>
    <w:rsid w:val="008A4937"/>
    <w:rsid w:val="008A50F1"/>
    <w:rsid w:val="008B6519"/>
    <w:rsid w:val="008C18BB"/>
    <w:rsid w:val="008C4DBC"/>
    <w:rsid w:val="008D16AA"/>
    <w:rsid w:val="008D1B5C"/>
    <w:rsid w:val="008D3C82"/>
    <w:rsid w:val="008D447E"/>
    <w:rsid w:val="008D5438"/>
    <w:rsid w:val="008D7A41"/>
    <w:rsid w:val="008E20F1"/>
    <w:rsid w:val="008E3680"/>
    <w:rsid w:val="008E4676"/>
    <w:rsid w:val="008E574E"/>
    <w:rsid w:val="008E5870"/>
    <w:rsid w:val="008F1434"/>
    <w:rsid w:val="008F7355"/>
    <w:rsid w:val="008F76E2"/>
    <w:rsid w:val="008F7E5A"/>
    <w:rsid w:val="00904081"/>
    <w:rsid w:val="009067B7"/>
    <w:rsid w:val="009279B0"/>
    <w:rsid w:val="00930937"/>
    <w:rsid w:val="00933E6C"/>
    <w:rsid w:val="00937958"/>
    <w:rsid w:val="00937A45"/>
    <w:rsid w:val="0094203F"/>
    <w:rsid w:val="00942160"/>
    <w:rsid w:val="009453B5"/>
    <w:rsid w:val="0095146F"/>
    <w:rsid w:val="00954DFC"/>
    <w:rsid w:val="0095636A"/>
    <w:rsid w:val="009602C5"/>
    <w:rsid w:val="00962223"/>
    <w:rsid w:val="00966D0D"/>
    <w:rsid w:val="00971D8A"/>
    <w:rsid w:val="00974C21"/>
    <w:rsid w:val="00984823"/>
    <w:rsid w:val="009A34D1"/>
    <w:rsid w:val="009A3A69"/>
    <w:rsid w:val="009B0F67"/>
    <w:rsid w:val="009B1564"/>
    <w:rsid w:val="009B6A59"/>
    <w:rsid w:val="009B79BC"/>
    <w:rsid w:val="009C703C"/>
    <w:rsid w:val="009D3CAA"/>
    <w:rsid w:val="009E46D5"/>
    <w:rsid w:val="009F4E46"/>
    <w:rsid w:val="009F5B65"/>
    <w:rsid w:val="009F5F2E"/>
    <w:rsid w:val="009F79B8"/>
    <w:rsid w:val="00A02BDF"/>
    <w:rsid w:val="00A06225"/>
    <w:rsid w:val="00A124F2"/>
    <w:rsid w:val="00A128E6"/>
    <w:rsid w:val="00A153AF"/>
    <w:rsid w:val="00A20946"/>
    <w:rsid w:val="00A34E6C"/>
    <w:rsid w:val="00A37C8D"/>
    <w:rsid w:val="00A43EA9"/>
    <w:rsid w:val="00A5273B"/>
    <w:rsid w:val="00A53A9D"/>
    <w:rsid w:val="00A53CE6"/>
    <w:rsid w:val="00A55FEE"/>
    <w:rsid w:val="00A62C1A"/>
    <w:rsid w:val="00A6426D"/>
    <w:rsid w:val="00A665C1"/>
    <w:rsid w:val="00A67F2D"/>
    <w:rsid w:val="00A70622"/>
    <w:rsid w:val="00A70977"/>
    <w:rsid w:val="00A77613"/>
    <w:rsid w:val="00A833AF"/>
    <w:rsid w:val="00A8390C"/>
    <w:rsid w:val="00A85A86"/>
    <w:rsid w:val="00A928BD"/>
    <w:rsid w:val="00AA4D1C"/>
    <w:rsid w:val="00AA55AF"/>
    <w:rsid w:val="00AA66D7"/>
    <w:rsid w:val="00AC193C"/>
    <w:rsid w:val="00AC1E2B"/>
    <w:rsid w:val="00AC5206"/>
    <w:rsid w:val="00AD0EB1"/>
    <w:rsid w:val="00AD46BA"/>
    <w:rsid w:val="00AE11A5"/>
    <w:rsid w:val="00AE13E2"/>
    <w:rsid w:val="00AE22D3"/>
    <w:rsid w:val="00AF62DF"/>
    <w:rsid w:val="00AF68CC"/>
    <w:rsid w:val="00B04673"/>
    <w:rsid w:val="00B04EEB"/>
    <w:rsid w:val="00B1059E"/>
    <w:rsid w:val="00B15BF8"/>
    <w:rsid w:val="00B176C8"/>
    <w:rsid w:val="00B205AA"/>
    <w:rsid w:val="00B22E84"/>
    <w:rsid w:val="00B2420E"/>
    <w:rsid w:val="00B25F75"/>
    <w:rsid w:val="00B26B3F"/>
    <w:rsid w:val="00B30C10"/>
    <w:rsid w:val="00B33628"/>
    <w:rsid w:val="00B422E6"/>
    <w:rsid w:val="00B42D36"/>
    <w:rsid w:val="00B43E90"/>
    <w:rsid w:val="00B467DC"/>
    <w:rsid w:val="00B50655"/>
    <w:rsid w:val="00B55736"/>
    <w:rsid w:val="00B56118"/>
    <w:rsid w:val="00B61990"/>
    <w:rsid w:val="00B64845"/>
    <w:rsid w:val="00B65345"/>
    <w:rsid w:val="00B6773F"/>
    <w:rsid w:val="00B71017"/>
    <w:rsid w:val="00B80183"/>
    <w:rsid w:val="00B801BA"/>
    <w:rsid w:val="00B84D5C"/>
    <w:rsid w:val="00BA6377"/>
    <w:rsid w:val="00BB69F5"/>
    <w:rsid w:val="00BB7EC3"/>
    <w:rsid w:val="00BC4216"/>
    <w:rsid w:val="00BC4B9A"/>
    <w:rsid w:val="00BD784C"/>
    <w:rsid w:val="00BF3DCB"/>
    <w:rsid w:val="00BF4CB6"/>
    <w:rsid w:val="00BF5D78"/>
    <w:rsid w:val="00BF6E46"/>
    <w:rsid w:val="00C00C61"/>
    <w:rsid w:val="00C00DA7"/>
    <w:rsid w:val="00C00F30"/>
    <w:rsid w:val="00C02299"/>
    <w:rsid w:val="00C12768"/>
    <w:rsid w:val="00C14B00"/>
    <w:rsid w:val="00C27B58"/>
    <w:rsid w:val="00C35996"/>
    <w:rsid w:val="00C431FA"/>
    <w:rsid w:val="00C4747E"/>
    <w:rsid w:val="00C47BA9"/>
    <w:rsid w:val="00C50026"/>
    <w:rsid w:val="00C5342C"/>
    <w:rsid w:val="00C603D4"/>
    <w:rsid w:val="00C6256A"/>
    <w:rsid w:val="00C67CC9"/>
    <w:rsid w:val="00C77891"/>
    <w:rsid w:val="00C90631"/>
    <w:rsid w:val="00C91449"/>
    <w:rsid w:val="00C92D10"/>
    <w:rsid w:val="00CA18C8"/>
    <w:rsid w:val="00CB5D04"/>
    <w:rsid w:val="00CC2580"/>
    <w:rsid w:val="00CC60CA"/>
    <w:rsid w:val="00CD1B3E"/>
    <w:rsid w:val="00CE10C4"/>
    <w:rsid w:val="00CE250B"/>
    <w:rsid w:val="00CE27B5"/>
    <w:rsid w:val="00CE7720"/>
    <w:rsid w:val="00CF1988"/>
    <w:rsid w:val="00D0321E"/>
    <w:rsid w:val="00D07201"/>
    <w:rsid w:val="00D10BEF"/>
    <w:rsid w:val="00D1455A"/>
    <w:rsid w:val="00D16DDA"/>
    <w:rsid w:val="00D31150"/>
    <w:rsid w:val="00D3138B"/>
    <w:rsid w:val="00D3280C"/>
    <w:rsid w:val="00D3406A"/>
    <w:rsid w:val="00D455DF"/>
    <w:rsid w:val="00D4572C"/>
    <w:rsid w:val="00D469B2"/>
    <w:rsid w:val="00D7347C"/>
    <w:rsid w:val="00D73EA3"/>
    <w:rsid w:val="00D741EB"/>
    <w:rsid w:val="00D83605"/>
    <w:rsid w:val="00D84934"/>
    <w:rsid w:val="00D8776B"/>
    <w:rsid w:val="00D91271"/>
    <w:rsid w:val="00DA2CB5"/>
    <w:rsid w:val="00DA4BAC"/>
    <w:rsid w:val="00DA5741"/>
    <w:rsid w:val="00DB640B"/>
    <w:rsid w:val="00DB65A9"/>
    <w:rsid w:val="00DD168C"/>
    <w:rsid w:val="00DD16A6"/>
    <w:rsid w:val="00DD6CC5"/>
    <w:rsid w:val="00DE434F"/>
    <w:rsid w:val="00DE6617"/>
    <w:rsid w:val="00DE6D27"/>
    <w:rsid w:val="00DF217D"/>
    <w:rsid w:val="00DF26A7"/>
    <w:rsid w:val="00DF7DB4"/>
    <w:rsid w:val="00E112A5"/>
    <w:rsid w:val="00E15627"/>
    <w:rsid w:val="00E164B3"/>
    <w:rsid w:val="00E16910"/>
    <w:rsid w:val="00E343B2"/>
    <w:rsid w:val="00E42BDB"/>
    <w:rsid w:val="00E57EEB"/>
    <w:rsid w:val="00E62D94"/>
    <w:rsid w:val="00E65E54"/>
    <w:rsid w:val="00E80155"/>
    <w:rsid w:val="00E848C0"/>
    <w:rsid w:val="00E91B96"/>
    <w:rsid w:val="00E93C41"/>
    <w:rsid w:val="00E941A1"/>
    <w:rsid w:val="00E95400"/>
    <w:rsid w:val="00E95CE3"/>
    <w:rsid w:val="00E962E5"/>
    <w:rsid w:val="00EA2825"/>
    <w:rsid w:val="00EB0B63"/>
    <w:rsid w:val="00EB5088"/>
    <w:rsid w:val="00EC6124"/>
    <w:rsid w:val="00EC6AD2"/>
    <w:rsid w:val="00ED1644"/>
    <w:rsid w:val="00ED2593"/>
    <w:rsid w:val="00ED2BA0"/>
    <w:rsid w:val="00ED7D9C"/>
    <w:rsid w:val="00EF1D17"/>
    <w:rsid w:val="00EF44A0"/>
    <w:rsid w:val="00EF4FED"/>
    <w:rsid w:val="00EF7FEF"/>
    <w:rsid w:val="00F050BD"/>
    <w:rsid w:val="00F05657"/>
    <w:rsid w:val="00F06EA1"/>
    <w:rsid w:val="00F17B06"/>
    <w:rsid w:val="00F25578"/>
    <w:rsid w:val="00F258E5"/>
    <w:rsid w:val="00F300BC"/>
    <w:rsid w:val="00F3334E"/>
    <w:rsid w:val="00F36CCB"/>
    <w:rsid w:val="00F374E5"/>
    <w:rsid w:val="00F4358D"/>
    <w:rsid w:val="00F43AF2"/>
    <w:rsid w:val="00F50EC4"/>
    <w:rsid w:val="00F550CF"/>
    <w:rsid w:val="00F57A6D"/>
    <w:rsid w:val="00F638CC"/>
    <w:rsid w:val="00F64CC1"/>
    <w:rsid w:val="00F66FEC"/>
    <w:rsid w:val="00F72317"/>
    <w:rsid w:val="00F80475"/>
    <w:rsid w:val="00F8247A"/>
    <w:rsid w:val="00F86473"/>
    <w:rsid w:val="00F900D9"/>
    <w:rsid w:val="00F9629A"/>
    <w:rsid w:val="00F97EFC"/>
    <w:rsid w:val="00FA2CB7"/>
    <w:rsid w:val="00FA5883"/>
    <w:rsid w:val="00FA6055"/>
    <w:rsid w:val="00FB322F"/>
    <w:rsid w:val="00FB3C11"/>
    <w:rsid w:val="00FB442F"/>
    <w:rsid w:val="00FC0AC1"/>
    <w:rsid w:val="00FC1929"/>
    <w:rsid w:val="00FC5B46"/>
    <w:rsid w:val="00FC6339"/>
    <w:rsid w:val="00FC7AAB"/>
    <w:rsid w:val="00FD6D8E"/>
    <w:rsid w:val="00FD6DF8"/>
    <w:rsid w:val="00FD6E89"/>
    <w:rsid w:val="00FE0E94"/>
    <w:rsid w:val="00FE6368"/>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DA5741"/>
    <w:rPr>
      <w:sz w:val="24"/>
      <w:szCs w:val="24"/>
    </w:rPr>
  </w:style>
  <w:style w:type="table" w:customStyle="1" w:styleId="Summarybox1">
    <w:name w:val="Summary box1"/>
    <w:basedOn w:val="TableNormal"/>
    <w:next w:val="TableGrid"/>
    <w:uiPriority w:val="59"/>
    <w:rsid w:val="00DA574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A53CE6"/>
    <w:pPr>
      <w:widowControl w:val="0"/>
      <w:jc w:val="both"/>
    </w:pPr>
    <w:rPr>
      <w:rFonts w:ascii="Arial Narrow" w:hAnsi="Arial Narrow" w:cs="Arial"/>
      <w:b/>
      <w:bCs/>
      <w:snapToGrid w:val="0"/>
      <w:sz w:val="20"/>
      <w:szCs w:val="18"/>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7"/>
    <w:rsid w:val="00A53CE6"/>
    <w:rPr>
      <w:rFonts w:ascii="Arial Narrow" w:hAnsi="Arial Narrow" w:cs="Arial"/>
      <w:b/>
      <w:bCs/>
      <w:snapToGrid w:val="0"/>
      <w:szCs w:val="18"/>
      <w:lang w:eastAsia="en-US"/>
    </w:rPr>
  </w:style>
  <w:style w:type="paragraph" w:customStyle="1" w:styleId="TableFooter">
    <w:name w:val="Table Footer"/>
    <w:basedOn w:val="Normal"/>
    <w:link w:val="TableFooterChar"/>
    <w:uiPriority w:val="4"/>
    <w:qFormat/>
    <w:rsid w:val="00A53CE6"/>
    <w:pPr>
      <w:widowControl w:val="0"/>
      <w:jc w:val="both"/>
    </w:pPr>
    <w:rPr>
      <w:rFonts w:ascii="Arial Narrow" w:hAnsi="Arial Narrow" w:cs="Arial"/>
      <w:snapToGrid w:val="0"/>
      <w:sz w:val="18"/>
      <w:szCs w:val="20"/>
      <w:lang w:eastAsia="en-US"/>
    </w:rPr>
  </w:style>
  <w:style w:type="character" w:customStyle="1" w:styleId="TableFooterChar">
    <w:name w:val="Table Footer Char"/>
    <w:link w:val="TableFooter"/>
    <w:uiPriority w:val="4"/>
    <w:rsid w:val="00A53CE6"/>
    <w:rPr>
      <w:rFonts w:ascii="Arial Narrow" w:hAnsi="Arial Narrow" w:cs="Arial"/>
      <w:snapToGrid w:val="0"/>
      <w:sz w:val="18"/>
      <w:lang w:eastAsia="en-US"/>
    </w:rPr>
  </w:style>
  <w:style w:type="table" w:customStyle="1" w:styleId="Summarybox2">
    <w:name w:val="Summary box2"/>
    <w:basedOn w:val="TableNormal"/>
    <w:next w:val="TableGrid"/>
    <w:uiPriority w:val="59"/>
    <w:rsid w:val="00B619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B619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621C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DA5741"/>
    <w:rPr>
      <w:sz w:val="24"/>
      <w:szCs w:val="24"/>
    </w:rPr>
  </w:style>
  <w:style w:type="table" w:customStyle="1" w:styleId="Summarybox1">
    <w:name w:val="Summary box1"/>
    <w:basedOn w:val="TableNormal"/>
    <w:next w:val="TableGrid"/>
    <w:uiPriority w:val="59"/>
    <w:rsid w:val="00DA574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A53CE6"/>
    <w:pPr>
      <w:widowControl w:val="0"/>
      <w:jc w:val="both"/>
    </w:pPr>
    <w:rPr>
      <w:rFonts w:ascii="Arial Narrow" w:hAnsi="Arial Narrow" w:cs="Arial"/>
      <w:b/>
      <w:bCs/>
      <w:snapToGrid w:val="0"/>
      <w:sz w:val="20"/>
      <w:szCs w:val="18"/>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7"/>
    <w:rsid w:val="00A53CE6"/>
    <w:rPr>
      <w:rFonts w:ascii="Arial Narrow" w:hAnsi="Arial Narrow" w:cs="Arial"/>
      <w:b/>
      <w:bCs/>
      <w:snapToGrid w:val="0"/>
      <w:szCs w:val="18"/>
      <w:lang w:eastAsia="en-US"/>
    </w:rPr>
  </w:style>
  <w:style w:type="paragraph" w:customStyle="1" w:styleId="TableFooter">
    <w:name w:val="Table Footer"/>
    <w:basedOn w:val="Normal"/>
    <w:link w:val="TableFooterChar"/>
    <w:uiPriority w:val="4"/>
    <w:qFormat/>
    <w:rsid w:val="00A53CE6"/>
    <w:pPr>
      <w:widowControl w:val="0"/>
      <w:jc w:val="both"/>
    </w:pPr>
    <w:rPr>
      <w:rFonts w:ascii="Arial Narrow" w:hAnsi="Arial Narrow" w:cs="Arial"/>
      <w:snapToGrid w:val="0"/>
      <w:sz w:val="18"/>
      <w:szCs w:val="20"/>
      <w:lang w:eastAsia="en-US"/>
    </w:rPr>
  </w:style>
  <w:style w:type="character" w:customStyle="1" w:styleId="TableFooterChar">
    <w:name w:val="Table Footer Char"/>
    <w:link w:val="TableFooter"/>
    <w:uiPriority w:val="4"/>
    <w:rsid w:val="00A53CE6"/>
    <w:rPr>
      <w:rFonts w:ascii="Arial Narrow" w:hAnsi="Arial Narrow" w:cs="Arial"/>
      <w:snapToGrid w:val="0"/>
      <w:sz w:val="18"/>
      <w:lang w:eastAsia="en-US"/>
    </w:rPr>
  </w:style>
  <w:style w:type="table" w:customStyle="1" w:styleId="Summarybox2">
    <w:name w:val="Summary box2"/>
    <w:basedOn w:val="TableNormal"/>
    <w:next w:val="TableGrid"/>
    <w:uiPriority w:val="59"/>
    <w:rsid w:val="00B619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B619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621C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2212323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6AF9-C11C-45D1-9690-1DF3F86A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2018-02-19T00:28:00Z</dcterms:created>
  <dcterms:modified xsi:type="dcterms:W3CDTF">2018-02-19T00:29:00Z</dcterms:modified>
</cp:coreProperties>
</file>