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7F3" w:rsidRPr="007D0E37" w:rsidRDefault="00B33D2D" w:rsidP="000E71AF">
      <w:pPr>
        <w:ind w:left="992" w:hanging="992"/>
        <w:outlineLvl w:val="0"/>
        <w:rPr>
          <w:b/>
          <w:sz w:val="36"/>
          <w:szCs w:val="36"/>
        </w:rPr>
      </w:pPr>
      <w:bookmarkStart w:id="0" w:name="_GoBack"/>
      <w:bookmarkEnd w:id="0"/>
      <w:r w:rsidRPr="007D0E37">
        <w:rPr>
          <w:b/>
          <w:sz w:val="36"/>
          <w:szCs w:val="36"/>
        </w:rPr>
        <w:t>5.08</w:t>
      </w:r>
      <w:r w:rsidR="005D4F24" w:rsidRPr="007D0E37">
        <w:rPr>
          <w:b/>
          <w:sz w:val="36"/>
          <w:szCs w:val="36"/>
        </w:rPr>
        <w:tab/>
        <w:t>GOLIMUMAB</w:t>
      </w:r>
      <w:r w:rsidR="00C317F3" w:rsidRPr="007D0E37">
        <w:rPr>
          <w:b/>
          <w:sz w:val="36"/>
          <w:szCs w:val="36"/>
        </w:rPr>
        <w:t>,</w:t>
      </w:r>
      <w:r w:rsidR="009D4C2A" w:rsidRPr="007D0E37">
        <w:rPr>
          <w:b/>
          <w:sz w:val="36"/>
          <w:szCs w:val="36"/>
        </w:rPr>
        <w:br/>
      </w:r>
      <w:r w:rsidR="004A7FB9">
        <w:rPr>
          <w:b/>
          <w:sz w:val="36"/>
          <w:szCs w:val="36"/>
        </w:rPr>
        <w:t>injection 100 mg/1.0 mL pre-filled syringe</w:t>
      </w:r>
      <w:r w:rsidR="00C317F3" w:rsidRPr="007D0E37">
        <w:rPr>
          <w:b/>
          <w:sz w:val="36"/>
          <w:szCs w:val="36"/>
        </w:rPr>
        <w:t xml:space="preserve">, </w:t>
      </w:r>
      <w:r w:rsidR="009D4C2A" w:rsidRPr="007D0E37">
        <w:rPr>
          <w:b/>
          <w:sz w:val="36"/>
          <w:szCs w:val="36"/>
        </w:rPr>
        <w:br/>
      </w:r>
      <w:r w:rsidR="005D4F24" w:rsidRPr="007D0E37">
        <w:rPr>
          <w:b/>
          <w:sz w:val="36"/>
          <w:szCs w:val="36"/>
        </w:rPr>
        <w:t>Simponi</w:t>
      </w:r>
      <w:r w:rsidR="00C317F3" w:rsidRPr="007D0E37">
        <w:rPr>
          <w:b/>
          <w:sz w:val="36"/>
          <w:szCs w:val="36"/>
        </w:rPr>
        <w:t xml:space="preserve">®, </w:t>
      </w:r>
      <w:r w:rsidR="005D4F24" w:rsidRPr="007D0E37">
        <w:rPr>
          <w:b/>
          <w:sz w:val="36"/>
          <w:szCs w:val="36"/>
        </w:rPr>
        <w:t>Janssen-Cilag Pty Ltd</w:t>
      </w:r>
    </w:p>
    <w:p w:rsidR="00C317F3" w:rsidRPr="007D0E37" w:rsidRDefault="00C317F3" w:rsidP="002001C6">
      <w:pPr>
        <w:pStyle w:val="Heading1"/>
        <w:ind w:left="709" w:hanging="709"/>
      </w:pPr>
      <w:bookmarkStart w:id="1" w:name="_Toc413139271"/>
      <w:bookmarkStart w:id="2" w:name="_Toc493062646"/>
      <w:r w:rsidRPr="007D0E37">
        <w:t xml:space="preserve">Purpose of </w:t>
      </w:r>
      <w:r w:rsidR="00661286" w:rsidRPr="007D0E37">
        <w:t>a</w:t>
      </w:r>
      <w:r w:rsidRPr="007D0E37">
        <w:t>pplication</w:t>
      </w:r>
      <w:bookmarkEnd w:id="1"/>
      <w:bookmarkEnd w:id="2"/>
    </w:p>
    <w:p w:rsidR="00C317F3" w:rsidRPr="007D0E37" w:rsidRDefault="003078EC" w:rsidP="0060197D">
      <w:pPr>
        <w:pStyle w:val="ListParagraph"/>
        <w:numPr>
          <w:ilvl w:val="1"/>
          <w:numId w:val="2"/>
        </w:numPr>
        <w:spacing w:before="0" w:after="120"/>
        <w:jc w:val="both"/>
      </w:pPr>
      <w:r w:rsidRPr="007D0E37">
        <w:t xml:space="preserve">The submission </w:t>
      </w:r>
      <w:r w:rsidR="00085B31" w:rsidRPr="007D0E37">
        <w:t xml:space="preserve">requested a </w:t>
      </w:r>
      <w:r w:rsidR="00593A46">
        <w:t>General Schedule</w:t>
      </w:r>
      <w:r w:rsidR="00EB387F" w:rsidRPr="007D0E37">
        <w:t>, Authority Required,</w:t>
      </w:r>
      <w:r w:rsidR="00C317F3" w:rsidRPr="007D0E37">
        <w:t xml:space="preserve"> listing for </w:t>
      </w:r>
      <w:r w:rsidR="00EB387F" w:rsidRPr="007D0E37">
        <w:t>golimumab</w:t>
      </w:r>
      <w:r w:rsidR="00C317F3" w:rsidRPr="007D0E37">
        <w:t xml:space="preserve"> for </w:t>
      </w:r>
      <w:r w:rsidR="006B7BA2" w:rsidRPr="007D0E37">
        <w:t xml:space="preserve">the </w:t>
      </w:r>
      <w:r w:rsidR="00C317F3" w:rsidRPr="007D0E37">
        <w:t xml:space="preserve">treatment of </w:t>
      </w:r>
      <w:r w:rsidR="00EB387F" w:rsidRPr="007D0E37">
        <w:t>moderate to severe ulcerative colitis (MSUC)</w:t>
      </w:r>
      <w:r w:rsidR="00C317F3" w:rsidRPr="007D0E37">
        <w:t>.</w:t>
      </w:r>
      <w:r w:rsidR="00F419C5" w:rsidRPr="007D0E37">
        <w:t xml:space="preserve"> </w:t>
      </w:r>
      <w:r w:rsidR="000E1398" w:rsidRPr="007D0E37">
        <w:t xml:space="preserve">Golimumab for the treatment of MSUC has not been considered by the PBAC previously. </w:t>
      </w:r>
      <w:r w:rsidR="00C0708B" w:rsidRPr="007D0E37">
        <w:t xml:space="preserve">Golimumab is also being considered for an additional indication </w:t>
      </w:r>
      <w:r w:rsidR="006B7BA2" w:rsidRPr="007D0E37">
        <w:t xml:space="preserve">(non-radiological axial spondyloarthritis) </w:t>
      </w:r>
      <w:r w:rsidR="00C0708B" w:rsidRPr="007D0E37">
        <w:t>at the November 2017 PBAC meeting.</w:t>
      </w:r>
    </w:p>
    <w:p w:rsidR="00F44EFB" w:rsidRPr="007D0E37" w:rsidRDefault="00D97D2C" w:rsidP="0060197D">
      <w:pPr>
        <w:pStyle w:val="ListParagraph"/>
        <w:numPr>
          <w:ilvl w:val="1"/>
          <w:numId w:val="2"/>
        </w:numPr>
        <w:spacing w:before="0" w:after="120"/>
        <w:jc w:val="both"/>
      </w:pPr>
      <w:r w:rsidRPr="007D0E37">
        <w:t xml:space="preserve">The basis for the </w:t>
      </w:r>
      <w:r w:rsidR="006B7BA2" w:rsidRPr="007D0E37">
        <w:t>submission wa</w:t>
      </w:r>
      <w:r w:rsidRPr="007D0E37">
        <w:t>s a cost-minimisation analysis against adalimumab, infliximab and vedolizumab</w:t>
      </w:r>
      <w:r w:rsidR="006B7BA2" w:rsidRPr="007D0E37">
        <w:t>,</w:t>
      </w:r>
      <w:r w:rsidR="00551A96" w:rsidRPr="007D0E37">
        <w:t xml:space="preserve"> </w:t>
      </w:r>
      <w:r w:rsidR="006B7BA2" w:rsidRPr="007D0E37">
        <w:t xml:space="preserve">incorporating </w:t>
      </w:r>
      <w:r w:rsidR="00551A96" w:rsidRPr="007D0E37">
        <w:t xml:space="preserve">an indirect comparison using placebo as </w:t>
      </w:r>
      <w:r w:rsidR="006B7BA2" w:rsidRPr="007D0E37">
        <w:t xml:space="preserve">the </w:t>
      </w:r>
      <w:r w:rsidR="00551A96" w:rsidRPr="007D0E37">
        <w:t>common comparator</w:t>
      </w:r>
      <w:r w:rsidRPr="007D0E37">
        <w:t>.</w:t>
      </w:r>
      <w:r w:rsidR="00767CDD">
        <w:t xml:space="preserve"> </w:t>
      </w:r>
    </w:p>
    <w:p w:rsidR="00AE513E" w:rsidRPr="007D0E37" w:rsidRDefault="00AE513E" w:rsidP="007A45C3">
      <w:pPr>
        <w:keepNext/>
        <w:spacing w:before="0" w:after="60"/>
        <w:jc w:val="both"/>
      </w:pPr>
      <w:r w:rsidRPr="007D0E37">
        <w:rPr>
          <w:rFonts w:ascii="Arial Narrow" w:hAnsi="Arial Narrow"/>
          <w:b/>
          <w:sz w:val="20"/>
          <w:szCs w:val="20"/>
        </w:rPr>
        <w:t xml:space="preserve">Table </w:t>
      </w:r>
      <w:r w:rsidR="00CA2114" w:rsidRPr="007D0E37">
        <w:rPr>
          <w:rFonts w:ascii="Arial Narrow" w:hAnsi="Arial Narrow"/>
          <w:b/>
          <w:sz w:val="20"/>
          <w:szCs w:val="20"/>
        </w:rPr>
        <w:t>1</w:t>
      </w:r>
      <w:r w:rsidRPr="007D0E37">
        <w:rPr>
          <w:rFonts w:ascii="Arial Narrow" w:hAnsi="Arial Narrow"/>
          <w:b/>
          <w:sz w:val="20"/>
          <w:szCs w:val="20"/>
        </w:rPr>
        <w:t>: Key components of the clinical issue addressed by the submission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696"/>
        <w:gridCol w:w="7320"/>
      </w:tblGrid>
      <w:tr w:rsidR="00AE513E" w:rsidRPr="007D0E37" w:rsidTr="00984441">
        <w:trPr>
          <w:cnfStyle w:val="100000000000" w:firstRow="1" w:lastRow="0" w:firstColumn="0" w:lastColumn="0" w:oddVBand="0" w:evenVBand="0" w:oddHBand="0" w:evenHBand="0" w:firstRowFirstColumn="0" w:firstRowLastColumn="0" w:lastRowFirstColumn="0" w:lastRowLastColumn="0"/>
          <w:cantSplit/>
          <w:tblHeader/>
        </w:trPr>
        <w:tc>
          <w:tcPr>
            <w:tcW w:w="1696" w:type="dxa"/>
            <w:shd w:val="clear" w:color="auto" w:fill="auto"/>
          </w:tcPr>
          <w:p w:rsidR="00AE513E" w:rsidRPr="007D0E37" w:rsidRDefault="00AE513E" w:rsidP="005E5F54">
            <w:pPr>
              <w:pStyle w:val="TableText"/>
              <w:rPr>
                <w:szCs w:val="20"/>
              </w:rPr>
            </w:pPr>
            <w:r w:rsidRPr="007D0E37">
              <w:t>Component</w:t>
            </w:r>
          </w:p>
        </w:tc>
        <w:tc>
          <w:tcPr>
            <w:tcW w:w="7320" w:type="dxa"/>
            <w:shd w:val="clear" w:color="auto" w:fill="auto"/>
          </w:tcPr>
          <w:p w:rsidR="00AE513E" w:rsidRPr="007D0E37" w:rsidRDefault="00AE513E" w:rsidP="00E240F6">
            <w:pPr>
              <w:pStyle w:val="TableText"/>
            </w:pPr>
            <w:r w:rsidRPr="007D0E37">
              <w:t>Description</w:t>
            </w:r>
          </w:p>
        </w:tc>
      </w:tr>
      <w:tr w:rsidR="00205C15" w:rsidRPr="007D0E37" w:rsidTr="00984441">
        <w:trPr>
          <w:cantSplit/>
        </w:trPr>
        <w:tc>
          <w:tcPr>
            <w:tcW w:w="1696" w:type="dxa"/>
            <w:shd w:val="clear" w:color="auto" w:fill="auto"/>
          </w:tcPr>
          <w:p w:rsidR="00205C15" w:rsidRPr="007D0E37" w:rsidRDefault="00205C15" w:rsidP="005E5F54">
            <w:pPr>
              <w:pStyle w:val="TableText"/>
            </w:pPr>
            <w:r w:rsidRPr="007D0E37">
              <w:t>Population</w:t>
            </w:r>
          </w:p>
        </w:tc>
        <w:tc>
          <w:tcPr>
            <w:tcW w:w="7320" w:type="dxa"/>
            <w:shd w:val="clear" w:color="auto" w:fill="auto"/>
          </w:tcPr>
          <w:p w:rsidR="00205C15" w:rsidRPr="007D0E37" w:rsidRDefault="000E5D02" w:rsidP="00E240F6">
            <w:pPr>
              <w:pStyle w:val="TableText"/>
            </w:pPr>
            <w:r>
              <w:t>Adult</w:t>
            </w:r>
            <w:r w:rsidR="00205C15" w:rsidRPr="007D0E37">
              <w:t xml:space="preserve"> patients with moderate to severe ulcerative colitis who have inadequate response to conventional therapy.</w:t>
            </w:r>
          </w:p>
        </w:tc>
      </w:tr>
      <w:tr w:rsidR="00205C15" w:rsidRPr="007D0E37" w:rsidTr="00984441">
        <w:trPr>
          <w:cantSplit/>
        </w:trPr>
        <w:tc>
          <w:tcPr>
            <w:tcW w:w="1696" w:type="dxa"/>
            <w:shd w:val="clear" w:color="auto" w:fill="auto"/>
          </w:tcPr>
          <w:p w:rsidR="00205C15" w:rsidRPr="007D0E37" w:rsidRDefault="00205C15" w:rsidP="005E5F54">
            <w:pPr>
              <w:pStyle w:val="TableText"/>
            </w:pPr>
            <w:r w:rsidRPr="007D0E37">
              <w:t>Intervention</w:t>
            </w:r>
          </w:p>
        </w:tc>
        <w:tc>
          <w:tcPr>
            <w:tcW w:w="7320" w:type="dxa"/>
            <w:shd w:val="clear" w:color="auto" w:fill="auto"/>
          </w:tcPr>
          <w:p w:rsidR="00205C15" w:rsidRPr="007D0E37" w:rsidRDefault="00205C15" w:rsidP="00E240F6">
            <w:pPr>
              <w:pStyle w:val="TableText"/>
            </w:pPr>
            <w:r w:rsidRPr="007D0E37">
              <w:t>Golimumab 200 mg at Week 0, 100 mg at Week 2, then 100 mg every 4 weeks.</w:t>
            </w:r>
          </w:p>
        </w:tc>
      </w:tr>
      <w:tr w:rsidR="00205C15" w:rsidRPr="007D0E37" w:rsidTr="00984441">
        <w:trPr>
          <w:cantSplit/>
        </w:trPr>
        <w:tc>
          <w:tcPr>
            <w:tcW w:w="1696" w:type="dxa"/>
            <w:shd w:val="clear" w:color="auto" w:fill="auto"/>
          </w:tcPr>
          <w:p w:rsidR="00205C15" w:rsidRPr="007D0E37" w:rsidRDefault="00205C15" w:rsidP="005E5F54">
            <w:pPr>
              <w:pStyle w:val="TableText"/>
            </w:pPr>
            <w:r w:rsidRPr="007D0E37">
              <w:t>Comparator</w:t>
            </w:r>
          </w:p>
        </w:tc>
        <w:tc>
          <w:tcPr>
            <w:tcW w:w="7320" w:type="dxa"/>
            <w:shd w:val="clear" w:color="auto" w:fill="auto"/>
          </w:tcPr>
          <w:p w:rsidR="00205C15" w:rsidRPr="007D0E37" w:rsidRDefault="00205C15" w:rsidP="00E240F6">
            <w:pPr>
              <w:pStyle w:val="TableText"/>
            </w:pPr>
            <w:r w:rsidRPr="007D0E37">
              <w:t>Three clinical comparators were presented:</w:t>
            </w:r>
          </w:p>
          <w:p w:rsidR="00205C15" w:rsidRPr="007D0E37" w:rsidRDefault="00205C15" w:rsidP="0060197D">
            <w:pPr>
              <w:pStyle w:val="TableText"/>
              <w:numPr>
                <w:ilvl w:val="0"/>
                <w:numId w:val="6"/>
              </w:numPr>
            </w:pPr>
            <w:r w:rsidRPr="007D0E37">
              <w:t>Adalimumab 160 mg at Week 0, 80 mg at Week 2, then 40 mg every two weeks. This was presented as the main comparator for pricing purposes.</w:t>
            </w:r>
          </w:p>
          <w:p w:rsidR="00B654E1" w:rsidRPr="007D0E37" w:rsidRDefault="00205C15" w:rsidP="0060197D">
            <w:pPr>
              <w:pStyle w:val="TableText"/>
              <w:numPr>
                <w:ilvl w:val="0"/>
                <w:numId w:val="6"/>
              </w:numPr>
            </w:pPr>
            <w:r w:rsidRPr="007D0E37">
              <w:t>Infliximab 5</w:t>
            </w:r>
            <w:r w:rsidR="006B7BA2" w:rsidRPr="007D0E37">
              <w:t xml:space="preserve"> </w:t>
            </w:r>
            <w:r w:rsidRPr="007D0E37">
              <w:t xml:space="preserve">mg/kg at Week 0, Week 2, Week 6, then every eight weeks. </w:t>
            </w:r>
          </w:p>
          <w:p w:rsidR="00205C15" w:rsidRPr="007D0E37" w:rsidRDefault="00205C15" w:rsidP="0060197D">
            <w:pPr>
              <w:pStyle w:val="TableText"/>
              <w:numPr>
                <w:ilvl w:val="0"/>
                <w:numId w:val="6"/>
              </w:numPr>
            </w:pPr>
            <w:r w:rsidRPr="007D0E37">
              <w:t xml:space="preserve">Vedolizumab 300 mg at Week 0, Week 2, then every eight weeks. </w:t>
            </w:r>
          </w:p>
        </w:tc>
      </w:tr>
      <w:tr w:rsidR="00205C15" w:rsidRPr="007D0E37" w:rsidTr="00984441">
        <w:trPr>
          <w:cantSplit/>
        </w:trPr>
        <w:tc>
          <w:tcPr>
            <w:tcW w:w="1696" w:type="dxa"/>
            <w:shd w:val="clear" w:color="auto" w:fill="auto"/>
          </w:tcPr>
          <w:p w:rsidR="00205C15" w:rsidRPr="007D0E37" w:rsidRDefault="00205C15" w:rsidP="005E5F54">
            <w:pPr>
              <w:pStyle w:val="TableText"/>
            </w:pPr>
            <w:r w:rsidRPr="007D0E37">
              <w:t>Outcomes</w:t>
            </w:r>
          </w:p>
        </w:tc>
        <w:tc>
          <w:tcPr>
            <w:tcW w:w="7320" w:type="dxa"/>
            <w:shd w:val="clear" w:color="auto" w:fill="auto"/>
          </w:tcPr>
          <w:p w:rsidR="00205C15" w:rsidRPr="007D0E37" w:rsidRDefault="00205C15" w:rsidP="00E240F6">
            <w:pPr>
              <w:pStyle w:val="TableText"/>
            </w:pPr>
            <w:r w:rsidRPr="007D0E37">
              <w:t xml:space="preserve">Remission, response, mucosal healing, and </w:t>
            </w:r>
            <w:r w:rsidR="00F118F4" w:rsidRPr="007D0E37">
              <w:t>safety.</w:t>
            </w:r>
          </w:p>
        </w:tc>
      </w:tr>
      <w:tr w:rsidR="00205C15" w:rsidRPr="007D0E37" w:rsidTr="00984441">
        <w:trPr>
          <w:cantSplit/>
        </w:trPr>
        <w:tc>
          <w:tcPr>
            <w:tcW w:w="1696" w:type="dxa"/>
            <w:shd w:val="clear" w:color="auto" w:fill="auto"/>
          </w:tcPr>
          <w:p w:rsidR="00205C15" w:rsidRPr="007D0E37" w:rsidRDefault="00205C15" w:rsidP="005E5F54">
            <w:pPr>
              <w:pStyle w:val="TableText"/>
            </w:pPr>
            <w:r w:rsidRPr="007D0E37">
              <w:t>Clinical claim</w:t>
            </w:r>
          </w:p>
        </w:tc>
        <w:tc>
          <w:tcPr>
            <w:tcW w:w="7320" w:type="dxa"/>
            <w:shd w:val="clear" w:color="auto" w:fill="auto"/>
          </w:tcPr>
          <w:p w:rsidR="00205C15" w:rsidRPr="007D0E37" w:rsidRDefault="00205C15" w:rsidP="00E240F6">
            <w:pPr>
              <w:pStyle w:val="TableText"/>
            </w:pPr>
            <w:r w:rsidRPr="007D0E37">
              <w:t xml:space="preserve">In adult patients with moderate to severe ulcerative colitis, golimumab 200 mg/100 mg is: </w:t>
            </w:r>
          </w:p>
          <w:p w:rsidR="00205C15" w:rsidRPr="007D0E37" w:rsidRDefault="00205C15" w:rsidP="0060197D">
            <w:pPr>
              <w:pStyle w:val="TableText"/>
              <w:numPr>
                <w:ilvl w:val="0"/>
                <w:numId w:val="6"/>
              </w:numPr>
            </w:pPr>
            <w:r w:rsidRPr="007D0E37">
              <w:t>Induction therapy efficacy:</w:t>
            </w:r>
          </w:p>
          <w:p w:rsidR="00205C15" w:rsidRPr="007D0E37" w:rsidRDefault="00205C15" w:rsidP="0060197D">
            <w:pPr>
              <w:pStyle w:val="TableText"/>
              <w:numPr>
                <w:ilvl w:val="1"/>
                <w:numId w:val="6"/>
              </w:numPr>
            </w:pPr>
            <w:r w:rsidRPr="007D0E37">
              <w:t>less efficacious than infliximab</w:t>
            </w:r>
            <w:r w:rsidR="006B7BA2" w:rsidRPr="007D0E37">
              <w:t>; and</w:t>
            </w:r>
          </w:p>
          <w:p w:rsidR="00205C15" w:rsidRPr="007D0E37" w:rsidRDefault="00205C15" w:rsidP="0060197D">
            <w:pPr>
              <w:pStyle w:val="TableText"/>
              <w:numPr>
                <w:ilvl w:val="1"/>
                <w:numId w:val="6"/>
              </w:numPr>
            </w:pPr>
            <w:r w:rsidRPr="007D0E37">
              <w:t>no worse than adalimumab and vedolizumab in terms of efficacy</w:t>
            </w:r>
            <w:r w:rsidR="006B7BA2" w:rsidRPr="007D0E37">
              <w:t>.</w:t>
            </w:r>
            <w:r w:rsidRPr="007D0E37">
              <w:t xml:space="preserve"> </w:t>
            </w:r>
          </w:p>
          <w:p w:rsidR="00205C15" w:rsidRPr="007D0E37" w:rsidRDefault="00205C15" w:rsidP="0060197D">
            <w:pPr>
              <w:pStyle w:val="TableText"/>
              <w:numPr>
                <w:ilvl w:val="0"/>
                <w:numId w:val="6"/>
              </w:numPr>
            </w:pPr>
            <w:r w:rsidRPr="007D0E37">
              <w:t>Maintenance therapy efficacy:</w:t>
            </w:r>
          </w:p>
          <w:p w:rsidR="00205C15" w:rsidRPr="007D0E37" w:rsidRDefault="00205C15" w:rsidP="0060197D">
            <w:pPr>
              <w:pStyle w:val="TableText"/>
              <w:numPr>
                <w:ilvl w:val="1"/>
                <w:numId w:val="6"/>
              </w:numPr>
            </w:pPr>
            <w:r w:rsidRPr="007D0E37">
              <w:t xml:space="preserve">no worse than infliximab, adalimumab and vedolizumab, in terms of efficacy. </w:t>
            </w:r>
          </w:p>
          <w:p w:rsidR="00205C15" w:rsidRPr="007D0E37" w:rsidRDefault="00205C15" w:rsidP="0060197D">
            <w:pPr>
              <w:pStyle w:val="TableText"/>
              <w:numPr>
                <w:ilvl w:val="0"/>
                <w:numId w:val="6"/>
              </w:numPr>
            </w:pPr>
            <w:r w:rsidRPr="007D0E37">
              <w:t>Safety:</w:t>
            </w:r>
            <w:r w:rsidR="006929B7" w:rsidRPr="007D0E37">
              <w:t xml:space="preserve"> </w:t>
            </w:r>
            <w:r w:rsidRPr="007D0E37">
              <w:t xml:space="preserve">no worse than infliximab, adalimumab and vedolizumab, in terms of safety for induction and maintenance therapy. </w:t>
            </w:r>
          </w:p>
          <w:p w:rsidR="006B7BA2" w:rsidRPr="007D0E37" w:rsidRDefault="006B7BA2" w:rsidP="00596DBC">
            <w:pPr>
              <w:pStyle w:val="TableText"/>
            </w:pPr>
            <w:r w:rsidRPr="007D0E37">
              <w:t xml:space="preserve">These claims were supported </w:t>
            </w:r>
            <w:r w:rsidR="00DD0C0D" w:rsidRPr="007D0E37">
              <w:t xml:space="preserve">for induction, </w:t>
            </w:r>
            <w:r w:rsidR="002C5B51" w:rsidRPr="007D0E37">
              <w:t>and are likely to be supported for maintenance, subject to issues of</w:t>
            </w:r>
            <w:r w:rsidR="00DD0C0D" w:rsidRPr="007D0E37">
              <w:t xml:space="preserve"> transitivity between the trials included in the indirect comparison. The submission did not include a formal indirect comparison for safety.</w:t>
            </w:r>
          </w:p>
        </w:tc>
      </w:tr>
    </w:tbl>
    <w:p w:rsidR="0017720E" w:rsidRPr="007D0E37" w:rsidRDefault="0017720E" w:rsidP="007A45C3">
      <w:pPr>
        <w:pStyle w:val="TableFooter"/>
        <w:keepNext/>
      </w:pPr>
      <w:r w:rsidRPr="007D0E37">
        <w:t xml:space="preserve">Source: </w:t>
      </w:r>
      <w:r w:rsidR="00D52741" w:rsidRPr="007D0E37">
        <w:t xml:space="preserve">Table </w:t>
      </w:r>
      <w:r w:rsidR="00501DFB" w:rsidRPr="007D0E37">
        <w:t xml:space="preserve">1.1.1 p17 of the submission. </w:t>
      </w:r>
    </w:p>
    <w:p w:rsidR="00E4041E" w:rsidRPr="007D0E37" w:rsidRDefault="00C317F3" w:rsidP="001647C6">
      <w:pPr>
        <w:pStyle w:val="Heading1"/>
      </w:pPr>
      <w:bookmarkStart w:id="3" w:name="_Toc413139272"/>
      <w:bookmarkStart w:id="4" w:name="_Toc493062647"/>
      <w:r w:rsidRPr="007D0E37">
        <w:t>Requested listing</w:t>
      </w:r>
      <w:bookmarkEnd w:id="3"/>
      <w:bookmarkEnd w:id="4"/>
      <w:r w:rsidR="005C6285" w:rsidRPr="007D0E37">
        <w:t xml:space="preserve"> </w:t>
      </w:r>
    </w:p>
    <w:p w:rsidR="00C317F3" w:rsidRDefault="00DD0C0D" w:rsidP="0060197D">
      <w:pPr>
        <w:pStyle w:val="ListParagraph"/>
        <w:numPr>
          <w:ilvl w:val="1"/>
          <w:numId w:val="9"/>
        </w:numPr>
        <w:jc w:val="both"/>
      </w:pPr>
      <w:r w:rsidRPr="007D0E37">
        <w:t>The requested restriction is summarised below, and was consistent with the evidence presented and the listings for other biological disease modifying anti-rheumatic drugs (bDMARDs) for the treatment of MSUC.</w:t>
      </w:r>
      <w:r w:rsidR="00A27858" w:rsidRPr="007D0E37">
        <w:t xml:space="preserve"> </w:t>
      </w:r>
    </w:p>
    <w:p w:rsidR="000B42C2" w:rsidRDefault="00B84CE4" w:rsidP="00B84CE4">
      <w:pPr>
        <w:pStyle w:val="ListParagraph"/>
        <w:jc w:val="both"/>
      </w:pPr>
      <w:r w:rsidRPr="00AD3FE1">
        <w:t>Suggestions and additions proposed by the Secretariat to the requested listing are added in italics and suggested deletions are crossed out with strikethrough.</w:t>
      </w:r>
    </w:p>
    <w:p w:rsidR="000B42C2" w:rsidRDefault="000B42C2">
      <w:pPr>
        <w:spacing w:before="0" w:line="259" w:lineRule="auto"/>
      </w:pPr>
      <w:r>
        <w:br w:type="page"/>
      </w:r>
    </w:p>
    <w:p w:rsidR="00B84CE4" w:rsidRPr="00AD3FE1" w:rsidRDefault="00B84CE4" w:rsidP="00B84CE4">
      <w:pPr>
        <w:pStyle w:val="ListParagraph"/>
        <w:jc w:val="both"/>
      </w:pPr>
    </w:p>
    <w:tbl>
      <w:tblPr>
        <w:tblW w:w="5010" w:type="pct"/>
        <w:tblCellMar>
          <w:left w:w="28" w:type="dxa"/>
          <w:right w:w="28" w:type="dxa"/>
        </w:tblCellMar>
        <w:tblLook w:val="0000" w:firstRow="0" w:lastRow="0" w:firstColumn="0" w:lastColumn="0" w:noHBand="0" w:noVBand="0"/>
      </w:tblPr>
      <w:tblGrid>
        <w:gridCol w:w="24"/>
        <w:gridCol w:w="1980"/>
        <w:gridCol w:w="1369"/>
        <w:gridCol w:w="763"/>
        <w:gridCol w:w="919"/>
        <w:gridCol w:w="1654"/>
        <w:gridCol w:w="992"/>
        <w:gridCol w:w="1383"/>
        <w:gridCol w:w="16"/>
      </w:tblGrid>
      <w:tr w:rsidR="00B84CE4" w:rsidRPr="00691913" w:rsidTr="005E5F54">
        <w:trPr>
          <w:gridAfter w:val="1"/>
          <w:wAfter w:w="9" w:type="pct"/>
          <w:cantSplit/>
          <w:trHeight w:val="463"/>
        </w:trPr>
        <w:tc>
          <w:tcPr>
            <w:tcW w:w="1853" w:type="pct"/>
            <w:gridSpan w:val="3"/>
            <w:tcBorders>
              <w:top w:val="single" w:sz="4" w:space="0" w:color="auto"/>
              <w:bottom w:val="single" w:sz="4" w:space="0" w:color="auto"/>
            </w:tcBorders>
            <w:vAlign w:val="center"/>
          </w:tcPr>
          <w:p w:rsidR="00B84CE4" w:rsidRPr="00984441" w:rsidRDefault="00B84CE4" w:rsidP="005E5F54">
            <w:pPr>
              <w:pStyle w:val="TableText"/>
              <w:keepNext w:val="0"/>
              <w:rPr>
                <w:b/>
              </w:rPr>
            </w:pPr>
            <w:r w:rsidRPr="00984441">
              <w:rPr>
                <w:b/>
              </w:rPr>
              <w:t>Name, Restriction,</w:t>
            </w:r>
          </w:p>
          <w:p w:rsidR="00B84CE4" w:rsidRPr="00984441" w:rsidRDefault="00B84CE4" w:rsidP="005E5F54">
            <w:pPr>
              <w:pStyle w:val="TableText"/>
              <w:keepNext w:val="0"/>
              <w:rPr>
                <w:b/>
              </w:rPr>
            </w:pPr>
            <w:r w:rsidRPr="00984441">
              <w:rPr>
                <w:b/>
              </w:rPr>
              <w:t>Manner of administration and form</w:t>
            </w:r>
          </w:p>
        </w:tc>
        <w:tc>
          <w:tcPr>
            <w:tcW w:w="419" w:type="pct"/>
            <w:tcBorders>
              <w:top w:val="single" w:sz="4" w:space="0" w:color="auto"/>
              <w:bottom w:val="single" w:sz="4" w:space="0" w:color="auto"/>
            </w:tcBorders>
            <w:vAlign w:val="center"/>
          </w:tcPr>
          <w:p w:rsidR="00B84CE4" w:rsidRPr="00984441" w:rsidRDefault="00B84CE4" w:rsidP="005E5F54">
            <w:pPr>
              <w:pStyle w:val="TableText"/>
              <w:keepNext w:val="0"/>
              <w:rPr>
                <w:b/>
              </w:rPr>
            </w:pPr>
            <w:r w:rsidRPr="00984441">
              <w:rPr>
                <w:b/>
              </w:rPr>
              <w:t>Max.</w:t>
            </w:r>
          </w:p>
          <w:p w:rsidR="00B84CE4" w:rsidRPr="00984441" w:rsidRDefault="00B84CE4" w:rsidP="005E5F54">
            <w:pPr>
              <w:pStyle w:val="TableText"/>
              <w:keepNext w:val="0"/>
              <w:rPr>
                <w:b/>
              </w:rPr>
            </w:pPr>
            <w:r w:rsidRPr="00984441">
              <w:rPr>
                <w:b/>
              </w:rPr>
              <w:t xml:space="preserve">Qty </w:t>
            </w:r>
          </w:p>
        </w:tc>
        <w:tc>
          <w:tcPr>
            <w:tcW w:w="505" w:type="pct"/>
            <w:tcBorders>
              <w:top w:val="single" w:sz="4" w:space="0" w:color="auto"/>
              <w:bottom w:val="single" w:sz="4" w:space="0" w:color="auto"/>
            </w:tcBorders>
            <w:vAlign w:val="center"/>
          </w:tcPr>
          <w:p w:rsidR="00B84CE4" w:rsidRPr="00984441" w:rsidRDefault="00B84CE4" w:rsidP="005E5F54">
            <w:pPr>
              <w:pStyle w:val="TableText"/>
              <w:keepNext w:val="0"/>
              <w:rPr>
                <w:b/>
              </w:rPr>
            </w:pPr>
            <w:r w:rsidRPr="00984441">
              <w:rPr>
                <w:b/>
              </w:rPr>
              <w:t>№.of</w:t>
            </w:r>
          </w:p>
          <w:p w:rsidR="00B84CE4" w:rsidRPr="00984441" w:rsidRDefault="00B84CE4" w:rsidP="005E5F54">
            <w:pPr>
              <w:pStyle w:val="TableText"/>
              <w:keepNext w:val="0"/>
              <w:rPr>
                <w:b/>
              </w:rPr>
            </w:pPr>
            <w:r w:rsidRPr="00984441">
              <w:rPr>
                <w:b/>
              </w:rPr>
              <w:t>Rpts</w:t>
            </w:r>
          </w:p>
        </w:tc>
        <w:tc>
          <w:tcPr>
            <w:tcW w:w="909" w:type="pct"/>
            <w:tcBorders>
              <w:top w:val="single" w:sz="4" w:space="0" w:color="auto"/>
              <w:bottom w:val="single" w:sz="4" w:space="0" w:color="auto"/>
            </w:tcBorders>
            <w:vAlign w:val="center"/>
          </w:tcPr>
          <w:p w:rsidR="00B84CE4" w:rsidRPr="00984441" w:rsidRDefault="00B84CE4" w:rsidP="005E5F54">
            <w:pPr>
              <w:pStyle w:val="TableText"/>
              <w:keepNext w:val="0"/>
              <w:rPr>
                <w:b/>
              </w:rPr>
            </w:pPr>
            <w:r w:rsidRPr="00984441">
              <w:rPr>
                <w:b/>
              </w:rPr>
              <w:t xml:space="preserve">Dispensed Price for Max. Qty </w:t>
            </w:r>
          </w:p>
        </w:tc>
        <w:tc>
          <w:tcPr>
            <w:tcW w:w="1305" w:type="pct"/>
            <w:gridSpan w:val="2"/>
            <w:tcBorders>
              <w:top w:val="single" w:sz="4" w:space="0" w:color="auto"/>
              <w:bottom w:val="single" w:sz="4" w:space="0" w:color="auto"/>
            </w:tcBorders>
            <w:vAlign w:val="center"/>
          </w:tcPr>
          <w:p w:rsidR="00B84CE4" w:rsidRPr="00984441" w:rsidRDefault="00B84CE4" w:rsidP="005E5F54">
            <w:pPr>
              <w:pStyle w:val="TableText"/>
              <w:keepNext w:val="0"/>
              <w:rPr>
                <w:b/>
                <w:lang w:val="fr-FR"/>
              </w:rPr>
            </w:pPr>
            <w:r w:rsidRPr="00984441">
              <w:rPr>
                <w:b/>
              </w:rPr>
              <w:t>Proprietary Name and Manufacturer</w:t>
            </w:r>
          </w:p>
        </w:tc>
      </w:tr>
      <w:tr w:rsidR="00B84CE4" w:rsidRPr="00691913" w:rsidTr="005E5F54">
        <w:trPr>
          <w:gridAfter w:val="1"/>
          <w:wAfter w:w="9" w:type="pct"/>
          <w:cantSplit/>
          <w:trHeight w:val="182"/>
        </w:trPr>
        <w:tc>
          <w:tcPr>
            <w:tcW w:w="1853" w:type="pct"/>
            <w:gridSpan w:val="3"/>
            <w:tcBorders>
              <w:top w:val="single" w:sz="4" w:space="0" w:color="auto"/>
              <w:bottom w:val="single" w:sz="4" w:space="0" w:color="auto"/>
            </w:tcBorders>
            <w:vAlign w:val="center"/>
          </w:tcPr>
          <w:p w:rsidR="00B84CE4" w:rsidRPr="00691913" w:rsidRDefault="00B84CE4" w:rsidP="005E5F54">
            <w:pPr>
              <w:pStyle w:val="TableText"/>
              <w:keepNext w:val="0"/>
            </w:pPr>
            <w:r>
              <w:t>Induction treatment</w:t>
            </w:r>
          </w:p>
        </w:tc>
        <w:tc>
          <w:tcPr>
            <w:tcW w:w="419" w:type="pct"/>
            <w:tcBorders>
              <w:top w:val="single" w:sz="4" w:space="0" w:color="auto"/>
              <w:bottom w:val="single" w:sz="4" w:space="0" w:color="auto"/>
            </w:tcBorders>
            <w:vAlign w:val="center"/>
          </w:tcPr>
          <w:p w:rsidR="00B84CE4" w:rsidRPr="00691913" w:rsidRDefault="00B84CE4" w:rsidP="005E5F54">
            <w:pPr>
              <w:pStyle w:val="TableText"/>
              <w:keepNext w:val="0"/>
            </w:pPr>
          </w:p>
        </w:tc>
        <w:tc>
          <w:tcPr>
            <w:tcW w:w="505" w:type="pct"/>
            <w:tcBorders>
              <w:top w:val="single" w:sz="4" w:space="0" w:color="auto"/>
              <w:bottom w:val="single" w:sz="4" w:space="0" w:color="auto"/>
            </w:tcBorders>
            <w:vAlign w:val="center"/>
          </w:tcPr>
          <w:p w:rsidR="00B84CE4" w:rsidRPr="00691913" w:rsidRDefault="00B84CE4" w:rsidP="005E5F54">
            <w:pPr>
              <w:pStyle w:val="TableText"/>
              <w:keepNext w:val="0"/>
            </w:pPr>
          </w:p>
        </w:tc>
        <w:tc>
          <w:tcPr>
            <w:tcW w:w="909" w:type="pct"/>
            <w:tcBorders>
              <w:top w:val="single" w:sz="4" w:space="0" w:color="auto"/>
              <w:bottom w:val="single" w:sz="4" w:space="0" w:color="auto"/>
            </w:tcBorders>
            <w:vAlign w:val="center"/>
          </w:tcPr>
          <w:p w:rsidR="00B84CE4" w:rsidRPr="00691913" w:rsidRDefault="00B84CE4" w:rsidP="005E5F54">
            <w:pPr>
              <w:pStyle w:val="TableText"/>
              <w:keepNext w:val="0"/>
            </w:pPr>
          </w:p>
        </w:tc>
        <w:tc>
          <w:tcPr>
            <w:tcW w:w="545" w:type="pct"/>
            <w:tcBorders>
              <w:top w:val="single" w:sz="4" w:space="0" w:color="auto"/>
              <w:bottom w:val="single" w:sz="4" w:space="0" w:color="auto"/>
            </w:tcBorders>
            <w:vAlign w:val="center"/>
          </w:tcPr>
          <w:p w:rsidR="00B84CE4" w:rsidRPr="00691913" w:rsidRDefault="00B84CE4" w:rsidP="005E5F54">
            <w:pPr>
              <w:pStyle w:val="TableText"/>
              <w:keepNext w:val="0"/>
            </w:pPr>
          </w:p>
        </w:tc>
        <w:tc>
          <w:tcPr>
            <w:tcW w:w="760" w:type="pct"/>
            <w:tcBorders>
              <w:top w:val="single" w:sz="4" w:space="0" w:color="auto"/>
              <w:bottom w:val="single" w:sz="4" w:space="0" w:color="auto"/>
            </w:tcBorders>
            <w:vAlign w:val="center"/>
          </w:tcPr>
          <w:p w:rsidR="00B84CE4" w:rsidRPr="00691913" w:rsidRDefault="00B84CE4" w:rsidP="005E5F54">
            <w:pPr>
              <w:pStyle w:val="TableText"/>
              <w:keepNext w:val="0"/>
            </w:pPr>
          </w:p>
        </w:tc>
      </w:tr>
      <w:tr w:rsidR="00B84CE4" w:rsidRPr="00691913" w:rsidTr="005E5F54">
        <w:trPr>
          <w:gridAfter w:val="1"/>
          <w:wAfter w:w="9" w:type="pct"/>
          <w:cantSplit/>
          <w:trHeight w:val="567"/>
        </w:trPr>
        <w:tc>
          <w:tcPr>
            <w:tcW w:w="1853" w:type="pct"/>
            <w:gridSpan w:val="3"/>
            <w:tcBorders>
              <w:top w:val="single" w:sz="4" w:space="0" w:color="auto"/>
              <w:bottom w:val="single" w:sz="4" w:space="0" w:color="auto"/>
            </w:tcBorders>
            <w:vAlign w:val="center"/>
          </w:tcPr>
          <w:p w:rsidR="00B84CE4" w:rsidRPr="00E240F6" w:rsidRDefault="00B84CE4" w:rsidP="00E240F6">
            <w:pPr>
              <w:pStyle w:val="TableText"/>
              <w:keepNext w:val="0"/>
              <w:spacing w:before="0" w:after="0"/>
              <w:rPr>
                <w:smallCaps/>
                <w:szCs w:val="20"/>
              </w:rPr>
            </w:pPr>
            <w:r w:rsidRPr="00E240F6">
              <w:rPr>
                <w:smallCaps/>
                <w:szCs w:val="20"/>
              </w:rPr>
              <w:t>Golimumab</w:t>
            </w:r>
          </w:p>
          <w:p w:rsidR="00B84CE4" w:rsidRPr="00E240F6" w:rsidRDefault="00E240F6" w:rsidP="00E240F6">
            <w:pPr>
              <w:spacing w:before="0" w:after="0"/>
              <w:rPr>
                <w:rFonts w:ascii="Arial Narrow" w:hAnsi="Arial Narrow"/>
                <w:sz w:val="20"/>
                <w:szCs w:val="20"/>
              </w:rPr>
            </w:pPr>
            <w:r w:rsidRPr="00E240F6">
              <w:rPr>
                <w:rFonts w:ascii="Arial Narrow" w:hAnsi="Arial Narrow"/>
                <w:sz w:val="20"/>
                <w:szCs w:val="20"/>
              </w:rPr>
              <w:t>100 mg/1.0 ml injection</w:t>
            </w:r>
          </w:p>
          <w:p w:rsidR="00B84CE4" w:rsidRPr="00E240F6" w:rsidRDefault="00E240F6" w:rsidP="00E240F6">
            <w:pPr>
              <w:spacing w:before="0" w:after="0"/>
              <w:rPr>
                <w:sz w:val="20"/>
                <w:szCs w:val="20"/>
              </w:rPr>
            </w:pPr>
            <w:r w:rsidRPr="00E240F6">
              <w:rPr>
                <w:rFonts w:ascii="Arial Narrow" w:hAnsi="Arial Narrow"/>
                <w:sz w:val="20"/>
                <w:szCs w:val="20"/>
              </w:rPr>
              <w:t>solution for injection in a pre-filled syringe</w:t>
            </w:r>
          </w:p>
        </w:tc>
        <w:tc>
          <w:tcPr>
            <w:tcW w:w="419" w:type="pct"/>
            <w:tcBorders>
              <w:top w:val="single" w:sz="4" w:space="0" w:color="auto"/>
              <w:bottom w:val="single" w:sz="4" w:space="0" w:color="auto"/>
            </w:tcBorders>
            <w:vAlign w:val="center"/>
          </w:tcPr>
          <w:p w:rsidR="00B84CE4" w:rsidRPr="00E240F6" w:rsidRDefault="00B84CE4" w:rsidP="00E240F6">
            <w:pPr>
              <w:pStyle w:val="TableText"/>
              <w:keepNext w:val="0"/>
              <w:spacing w:before="0" w:after="0"/>
              <w:rPr>
                <w:szCs w:val="20"/>
              </w:rPr>
            </w:pPr>
            <w:r w:rsidRPr="00E240F6">
              <w:rPr>
                <w:szCs w:val="20"/>
              </w:rPr>
              <w:t>1</w:t>
            </w:r>
          </w:p>
        </w:tc>
        <w:tc>
          <w:tcPr>
            <w:tcW w:w="505" w:type="pct"/>
            <w:tcBorders>
              <w:top w:val="single" w:sz="4" w:space="0" w:color="auto"/>
              <w:bottom w:val="single" w:sz="4" w:space="0" w:color="auto"/>
            </w:tcBorders>
            <w:vAlign w:val="center"/>
          </w:tcPr>
          <w:p w:rsidR="00B84CE4" w:rsidRPr="00E240F6" w:rsidRDefault="00B84CE4" w:rsidP="00E240F6">
            <w:pPr>
              <w:pStyle w:val="TableText"/>
              <w:keepNext w:val="0"/>
              <w:spacing w:before="0" w:after="0"/>
              <w:rPr>
                <w:szCs w:val="20"/>
              </w:rPr>
            </w:pPr>
            <w:r w:rsidRPr="00E240F6">
              <w:rPr>
                <w:szCs w:val="20"/>
              </w:rPr>
              <w:t>4</w:t>
            </w:r>
          </w:p>
        </w:tc>
        <w:tc>
          <w:tcPr>
            <w:tcW w:w="909" w:type="pct"/>
            <w:tcBorders>
              <w:top w:val="single" w:sz="4" w:space="0" w:color="auto"/>
              <w:bottom w:val="single" w:sz="4" w:space="0" w:color="auto"/>
            </w:tcBorders>
            <w:vAlign w:val="center"/>
          </w:tcPr>
          <w:p w:rsidR="00B84CE4" w:rsidRPr="00E240F6" w:rsidRDefault="00B84CE4" w:rsidP="00E240F6">
            <w:pPr>
              <w:pStyle w:val="TableText"/>
              <w:keepNext w:val="0"/>
              <w:spacing w:before="0" w:after="0"/>
              <w:rPr>
                <w:szCs w:val="20"/>
              </w:rPr>
            </w:pPr>
            <w:r w:rsidRPr="00E240F6">
              <w:rPr>
                <w:szCs w:val="20"/>
              </w:rPr>
              <w:t>Published Price:</w:t>
            </w:r>
          </w:p>
          <w:p w:rsidR="00B84CE4" w:rsidRPr="00E240F6" w:rsidRDefault="00B84CE4" w:rsidP="00E240F6">
            <w:pPr>
              <w:pStyle w:val="TableText"/>
              <w:keepNext w:val="0"/>
              <w:spacing w:before="0" w:after="0"/>
              <w:rPr>
                <w:szCs w:val="20"/>
              </w:rPr>
            </w:pPr>
            <w:r w:rsidRPr="00E240F6">
              <w:rPr>
                <w:szCs w:val="20"/>
              </w:rPr>
              <w:t>$</w:t>
            </w:r>
            <w:r w:rsidR="00F86D7A">
              <w:rPr>
                <w:noProof/>
                <w:color w:val="000000"/>
                <w:szCs w:val="20"/>
                <w:highlight w:val="black"/>
              </w:rPr>
              <w:t>''''''''''''''''''''''</w:t>
            </w:r>
          </w:p>
          <w:p w:rsidR="00B84CE4" w:rsidRPr="00E240F6" w:rsidRDefault="00B84CE4" w:rsidP="00E240F6">
            <w:pPr>
              <w:pStyle w:val="TableText"/>
              <w:keepNext w:val="0"/>
              <w:spacing w:before="0" w:after="0"/>
              <w:rPr>
                <w:szCs w:val="20"/>
              </w:rPr>
            </w:pPr>
            <w:r w:rsidRPr="00E240F6">
              <w:rPr>
                <w:szCs w:val="20"/>
              </w:rPr>
              <w:t>SPA:</w:t>
            </w:r>
          </w:p>
          <w:p w:rsidR="00B84CE4" w:rsidRPr="00596DBC" w:rsidRDefault="00B84CE4" w:rsidP="00E240F6">
            <w:pPr>
              <w:pStyle w:val="TableText"/>
              <w:keepNext w:val="0"/>
              <w:spacing w:before="0" w:after="0"/>
              <w:rPr>
                <w:szCs w:val="20"/>
              </w:rPr>
            </w:pPr>
            <w:r w:rsidRPr="00596DBC">
              <w:rPr>
                <w:szCs w:val="20"/>
              </w:rPr>
              <w:t>$</w:t>
            </w:r>
            <w:r w:rsidRPr="00EE0D74">
              <w:rPr>
                <w:szCs w:val="20"/>
              </w:rPr>
              <w:t>TBD</w:t>
            </w:r>
          </w:p>
        </w:tc>
        <w:tc>
          <w:tcPr>
            <w:tcW w:w="545" w:type="pct"/>
            <w:tcBorders>
              <w:top w:val="single" w:sz="4" w:space="0" w:color="auto"/>
              <w:bottom w:val="single" w:sz="4" w:space="0" w:color="auto"/>
            </w:tcBorders>
            <w:vAlign w:val="center"/>
          </w:tcPr>
          <w:p w:rsidR="00B84CE4" w:rsidRPr="00596DBC" w:rsidRDefault="00B84CE4" w:rsidP="00E240F6">
            <w:pPr>
              <w:pStyle w:val="TableText"/>
              <w:keepNext w:val="0"/>
              <w:spacing w:before="0" w:after="0"/>
              <w:rPr>
                <w:szCs w:val="20"/>
              </w:rPr>
            </w:pPr>
            <w:r w:rsidRPr="00596DBC">
              <w:rPr>
                <w:szCs w:val="20"/>
              </w:rPr>
              <w:t>SIMPONI ®</w:t>
            </w:r>
          </w:p>
        </w:tc>
        <w:tc>
          <w:tcPr>
            <w:tcW w:w="760" w:type="pct"/>
            <w:tcBorders>
              <w:top w:val="single" w:sz="4" w:space="0" w:color="auto"/>
              <w:bottom w:val="single" w:sz="4" w:space="0" w:color="auto"/>
            </w:tcBorders>
            <w:vAlign w:val="center"/>
          </w:tcPr>
          <w:p w:rsidR="00B84CE4" w:rsidRPr="00596DBC" w:rsidRDefault="00B84CE4" w:rsidP="00E240F6">
            <w:pPr>
              <w:pStyle w:val="TableText"/>
              <w:keepNext w:val="0"/>
              <w:spacing w:before="0" w:after="0"/>
              <w:rPr>
                <w:szCs w:val="20"/>
              </w:rPr>
            </w:pPr>
            <w:r w:rsidRPr="00596DBC">
              <w:rPr>
                <w:szCs w:val="20"/>
              </w:rPr>
              <w:t>Janssen-Cilag Pty Ltd</w:t>
            </w:r>
          </w:p>
        </w:tc>
      </w:tr>
      <w:tr w:rsidR="00B84CE4" w:rsidRPr="00691913" w:rsidTr="005E5F54">
        <w:trPr>
          <w:gridAfter w:val="1"/>
          <w:wAfter w:w="9" w:type="pct"/>
          <w:cantSplit/>
          <w:trHeight w:val="70"/>
        </w:trPr>
        <w:tc>
          <w:tcPr>
            <w:tcW w:w="1853" w:type="pct"/>
            <w:gridSpan w:val="3"/>
            <w:tcBorders>
              <w:top w:val="single" w:sz="4" w:space="0" w:color="auto"/>
              <w:bottom w:val="single" w:sz="4" w:space="0" w:color="auto"/>
            </w:tcBorders>
            <w:vAlign w:val="center"/>
          </w:tcPr>
          <w:p w:rsidR="00B84CE4" w:rsidRPr="00691913" w:rsidRDefault="00B84CE4" w:rsidP="005E5F54">
            <w:pPr>
              <w:pStyle w:val="TableText"/>
              <w:keepNext w:val="0"/>
              <w:rPr>
                <w:smallCaps/>
              </w:rPr>
            </w:pPr>
            <w:r>
              <w:t>Continuing</w:t>
            </w:r>
            <w:r w:rsidR="00767CDD">
              <w:t xml:space="preserve"> </w:t>
            </w:r>
            <w:r>
              <w:t>treatment</w:t>
            </w:r>
          </w:p>
        </w:tc>
        <w:tc>
          <w:tcPr>
            <w:tcW w:w="419" w:type="pct"/>
            <w:tcBorders>
              <w:top w:val="single" w:sz="4" w:space="0" w:color="auto"/>
              <w:bottom w:val="single" w:sz="4" w:space="0" w:color="auto"/>
            </w:tcBorders>
            <w:vAlign w:val="center"/>
          </w:tcPr>
          <w:p w:rsidR="00B84CE4" w:rsidRPr="00691913" w:rsidRDefault="00B84CE4" w:rsidP="005E5F54">
            <w:pPr>
              <w:pStyle w:val="TableText"/>
              <w:keepNext w:val="0"/>
            </w:pPr>
          </w:p>
        </w:tc>
        <w:tc>
          <w:tcPr>
            <w:tcW w:w="505" w:type="pct"/>
            <w:tcBorders>
              <w:top w:val="single" w:sz="4" w:space="0" w:color="auto"/>
              <w:bottom w:val="single" w:sz="4" w:space="0" w:color="auto"/>
            </w:tcBorders>
            <w:vAlign w:val="center"/>
          </w:tcPr>
          <w:p w:rsidR="00B84CE4" w:rsidRPr="00691913" w:rsidRDefault="00B84CE4" w:rsidP="005E5F54">
            <w:pPr>
              <w:pStyle w:val="TableText"/>
              <w:keepNext w:val="0"/>
            </w:pPr>
          </w:p>
        </w:tc>
        <w:tc>
          <w:tcPr>
            <w:tcW w:w="909" w:type="pct"/>
            <w:tcBorders>
              <w:top w:val="single" w:sz="4" w:space="0" w:color="auto"/>
              <w:bottom w:val="single" w:sz="4" w:space="0" w:color="auto"/>
            </w:tcBorders>
            <w:vAlign w:val="center"/>
          </w:tcPr>
          <w:p w:rsidR="00B84CE4" w:rsidRPr="00691913" w:rsidRDefault="00B84CE4" w:rsidP="005E5F54">
            <w:pPr>
              <w:pStyle w:val="TableText"/>
              <w:keepNext w:val="0"/>
            </w:pPr>
          </w:p>
        </w:tc>
        <w:tc>
          <w:tcPr>
            <w:tcW w:w="545" w:type="pct"/>
            <w:tcBorders>
              <w:top w:val="single" w:sz="4" w:space="0" w:color="auto"/>
              <w:bottom w:val="single" w:sz="4" w:space="0" w:color="auto"/>
            </w:tcBorders>
            <w:vAlign w:val="center"/>
          </w:tcPr>
          <w:p w:rsidR="00B84CE4" w:rsidRPr="00691913" w:rsidRDefault="00B84CE4" w:rsidP="005E5F54">
            <w:pPr>
              <w:pStyle w:val="TableText"/>
              <w:keepNext w:val="0"/>
            </w:pPr>
          </w:p>
        </w:tc>
        <w:tc>
          <w:tcPr>
            <w:tcW w:w="760" w:type="pct"/>
            <w:tcBorders>
              <w:top w:val="single" w:sz="4" w:space="0" w:color="auto"/>
              <w:bottom w:val="single" w:sz="4" w:space="0" w:color="auto"/>
            </w:tcBorders>
            <w:vAlign w:val="center"/>
          </w:tcPr>
          <w:p w:rsidR="00B84CE4" w:rsidRPr="00691913" w:rsidRDefault="00B84CE4" w:rsidP="005E5F54">
            <w:pPr>
              <w:pStyle w:val="TableText"/>
              <w:keepNext w:val="0"/>
            </w:pPr>
          </w:p>
        </w:tc>
      </w:tr>
      <w:tr w:rsidR="00B84CE4" w:rsidRPr="00691913" w:rsidTr="005E5F54">
        <w:trPr>
          <w:gridAfter w:val="1"/>
          <w:wAfter w:w="9" w:type="pct"/>
          <w:cantSplit/>
          <w:trHeight w:val="567"/>
        </w:trPr>
        <w:tc>
          <w:tcPr>
            <w:tcW w:w="1853" w:type="pct"/>
            <w:gridSpan w:val="3"/>
            <w:tcBorders>
              <w:top w:val="single" w:sz="4" w:space="0" w:color="auto"/>
            </w:tcBorders>
            <w:vAlign w:val="center"/>
          </w:tcPr>
          <w:p w:rsidR="00B84CE4" w:rsidRPr="00A27858" w:rsidRDefault="00B84CE4" w:rsidP="005E5F54">
            <w:pPr>
              <w:pStyle w:val="TableText"/>
              <w:keepNext w:val="0"/>
              <w:rPr>
                <w:smallCaps/>
              </w:rPr>
            </w:pPr>
            <w:r w:rsidRPr="00A27858">
              <w:rPr>
                <w:smallCaps/>
              </w:rPr>
              <w:t>Golimumab</w:t>
            </w:r>
          </w:p>
          <w:p w:rsidR="00B84CE4" w:rsidRPr="00E240F6" w:rsidRDefault="00B84CE4" w:rsidP="00E240F6">
            <w:pPr>
              <w:spacing w:before="0" w:after="0"/>
              <w:rPr>
                <w:rFonts w:ascii="Arial Narrow" w:hAnsi="Arial Narrow"/>
                <w:sz w:val="20"/>
                <w:szCs w:val="20"/>
              </w:rPr>
            </w:pPr>
            <w:r w:rsidRPr="00E240F6">
              <w:rPr>
                <w:rFonts w:ascii="Arial Narrow" w:hAnsi="Arial Narrow"/>
                <w:sz w:val="20"/>
                <w:szCs w:val="20"/>
              </w:rPr>
              <w:t>100 mg/1.0 mL injection</w:t>
            </w:r>
          </w:p>
          <w:p w:rsidR="00B84CE4" w:rsidRPr="00691913" w:rsidRDefault="00B84CE4" w:rsidP="00E240F6">
            <w:pPr>
              <w:spacing w:before="0" w:after="0"/>
            </w:pPr>
            <w:r w:rsidRPr="00E240F6">
              <w:rPr>
                <w:rFonts w:ascii="Arial Narrow" w:hAnsi="Arial Narrow"/>
                <w:sz w:val="20"/>
                <w:szCs w:val="20"/>
              </w:rPr>
              <w:t>Solution for Injection in a pre-filled syringe</w:t>
            </w:r>
          </w:p>
        </w:tc>
        <w:tc>
          <w:tcPr>
            <w:tcW w:w="419" w:type="pct"/>
            <w:tcBorders>
              <w:top w:val="single" w:sz="4" w:space="0" w:color="auto"/>
            </w:tcBorders>
            <w:vAlign w:val="center"/>
          </w:tcPr>
          <w:p w:rsidR="00B84CE4" w:rsidRPr="00691913" w:rsidRDefault="00B84CE4" w:rsidP="005E5F54">
            <w:pPr>
              <w:pStyle w:val="TableText"/>
              <w:keepNext w:val="0"/>
            </w:pPr>
            <w:r>
              <w:t>1</w:t>
            </w:r>
          </w:p>
        </w:tc>
        <w:tc>
          <w:tcPr>
            <w:tcW w:w="505" w:type="pct"/>
            <w:tcBorders>
              <w:top w:val="single" w:sz="4" w:space="0" w:color="auto"/>
            </w:tcBorders>
            <w:vAlign w:val="center"/>
          </w:tcPr>
          <w:p w:rsidR="00B84CE4" w:rsidRPr="00691913" w:rsidRDefault="00B84CE4" w:rsidP="005E5F54">
            <w:pPr>
              <w:pStyle w:val="TableText"/>
              <w:keepNext w:val="0"/>
            </w:pPr>
            <w:r>
              <w:t>5</w:t>
            </w:r>
          </w:p>
        </w:tc>
        <w:tc>
          <w:tcPr>
            <w:tcW w:w="909" w:type="pct"/>
            <w:tcBorders>
              <w:top w:val="single" w:sz="4" w:space="0" w:color="auto"/>
            </w:tcBorders>
            <w:vAlign w:val="center"/>
          </w:tcPr>
          <w:p w:rsidR="00B84CE4" w:rsidRDefault="00B84CE4" w:rsidP="005E5F54">
            <w:pPr>
              <w:pStyle w:val="TableText"/>
              <w:keepNext w:val="0"/>
            </w:pPr>
            <w:r>
              <w:t>Published Price:</w:t>
            </w:r>
          </w:p>
          <w:p w:rsidR="00B84CE4" w:rsidRDefault="00B84CE4" w:rsidP="005E5F54">
            <w:pPr>
              <w:pStyle w:val="TableText"/>
              <w:keepNext w:val="0"/>
            </w:pPr>
            <w:r>
              <w:t>$</w:t>
            </w:r>
            <w:r w:rsidR="00F86D7A">
              <w:rPr>
                <w:noProof/>
                <w:color w:val="000000"/>
                <w:highlight w:val="black"/>
              </w:rPr>
              <w:t>'''''''''''''''''''''</w:t>
            </w:r>
          </w:p>
          <w:p w:rsidR="00B84CE4" w:rsidRDefault="00B84CE4" w:rsidP="005E5F54">
            <w:pPr>
              <w:pStyle w:val="TableText"/>
              <w:keepNext w:val="0"/>
            </w:pPr>
            <w:r>
              <w:t>SPA:</w:t>
            </w:r>
          </w:p>
          <w:p w:rsidR="00B84CE4" w:rsidRPr="00691913" w:rsidRDefault="00B84CE4" w:rsidP="005E5F54">
            <w:pPr>
              <w:pStyle w:val="TableText"/>
              <w:keepNext w:val="0"/>
            </w:pPr>
            <w:r>
              <w:t>$</w:t>
            </w:r>
            <w:r w:rsidRPr="00EE0D74">
              <w:t>TBD</w:t>
            </w:r>
          </w:p>
        </w:tc>
        <w:tc>
          <w:tcPr>
            <w:tcW w:w="545" w:type="pct"/>
            <w:tcBorders>
              <w:top w:val="single" w:sz="4" w:space="0" w:color="auto"/>
            </w:tcBorders>
            <w:vAlign w:val="center"/>
          </w:tcPr>
          <w:p w:rsidR="00B84CE4" w:rsidRPr="00691913" w:rsidRDefault="00B84CE4" w:rsidP="005E5F54">
            <w:pPr>
              <w:pStyle w:val="TableText"/>
              <w:keepNext w:val="0"/>
            </w:pPr>
            <w:r>
              <w:t>SIMPONI ®</w:t>
            </w:r>
          </w:p>
        </w:tc>
        <w:tc>
          <w:tcPr>
            <w:tcW w:w="760" w:type="pct"/>
            <w:tcBorders>
              <w:top w:val="single" w:sz="4" w:space="0" w:color="auto"/>
            </w:tcBorders>
            <w:vAlign w:val="center"/>
          </w:tcPr>
          <w:p w:rsidR="00B84CE4" w:rsidRPr="00691913" w:rsidRDefault="00B84CE4" w:rsidP="005E5F54">
            <w:pPr>
              <w:pStyle w:val="TableText"/>
              <w:keepNext w:val="0"/>
            </w:pPr>
            <w:r w:rsidRPr="00181AA0">
              <w:t>Janssen-Cilag Pty Ltd</w:t>
            </w:r>
          </w:p>
        </w:tc>
      </w:tr>
      <w:tr w:rsidR="00B84CE4" w:rsidTr="00B84CE4">
        <w:tblPrEx>
          <w:tblCellMar>
            <w:left w:w="108" w:type="dxa"/>
            <w:right w:w="108" w:type="dxa"/>
          </w:tblCellMar>
        </w:tblPrEx>
        <w:trPr>
          <w:gridBefore w:val="1"/>
          <w:wBefore w:w="13" w:type="pct"/>
          <w:cantSplit/>
          <w:trHeight w:val="360"/>
        </w:trPr>
        <w:tc>
          <w:tcPr>
            <w:tcW w:w="1088" w:type="pct"/>
            <w:tcBorders>
              <w:top w:val="single" w:sz="4" w:space="0" w:color="auto"/>
              <w:left w:val="single" w:sz="4" w:space="0" w:color="auto"/>
              <w:bottom w:val="single" w:sz="4" w:space="0" w:color="auto"/>
              <w:right w:val="single" w:sz="4" w:space="0" w:color="auto"/>
            </w:tcBorders>
          </w:tcPr>
          <w:p w:rsidR="00B84CE4" w:rsidRDefault="00B84CE4" w:rsidP="005E5F54">
            <w:pPr>
              <w:pStyle w:val="TableText"/>
              <w:keepNext w:val="0"/>
            </w:pPr>
            <w:r w:rsidRPr="00260CE3">
              <w:t>Category / Program</w:t>
            </w:r>
            <w:r>
              <w:t>:</w:t>
            </w:r>
          </w:p>
        </w:tc>
        <w:tc>
          <w:tcPr>
            <w:tcW w:w="3899" w:type="pct"/>
            <w:gridSpan w:val="7"/>
            <w:tcBorders>
              <w:top w:val="single" w:sz="4" w:space="0" w:color="auto"/>
              <w:left w:val="single" w:sz="4" w:space="0" w:color="auto"/>
              <w:bottom w:val="single" w:sz="4" w:space="0" w:color="auto"/>
              <w:right w:val="single" w:sz="4" w:space="0" w:color="auto"/>
            </w:tcBorders>
          </w:tcPr>
          <w:p w:rsidR="00B84CE4" w:rsidRPr="007A45C3" w:rsidRDefault="00B84CE4" w:rsidP="005E5F54">
            <w:pPr>
              <w:pStyle w:val="TableText"/>
              <w:keepNext w:val="0"/>
              <w:rPr>
                <w:i/>
                <w:strike/>
              </w:rPr>
            </w:pPr>
            <w:r w:rsidRPr="007A45C3">
              <w:rPr>
                <w:strike/>
              </w:rPr>
              <w:t>Section 85 Authority Required</w:t>
            </w:r>
            <w:r w:rsidR="00E240F6">
              <w:rPr>
                <w:strike/>
              </w:rPr>
              <w:t xml:space="preserve"> </w:t>
            </w:r>
            <w:r w:rsidR="00E240F6" w:rsidRPr="007A45C3">
              <w:rPr>
                <w:rFonts w:cs="Arial"/>
                <w:i/>
                <w:szCs w:val="20"/>
              </w:rPr>
              <w:t>GENERAL – General Schedule (Code GE)</w:t>
            </w:r>
          </w:p>
        </w:tc>
      </w:tr>
      <w:tr w:rsidR="00E240F6" w:rsidRPr="00260CE3" w:rsidTr="00E240F6">
        <w:tblPrEx>
          <w:tblCellMar>
            <w:left w:w="108" w:type="dxa"/>
            <w:right w:w="108" w:type="dxa"/>
          </w:tblCellMar>
        </w:tblPrEx>
        <w:trPr>
          <w:gridBefore w:val="1"/>
          <w:wBefore w:w="13" w:type="pct"/>
          <w:cantSplit/>
          <w:trHeight w:val="360"/>
        </w:trPr>
        <w:tc>
          <w:tcPr>
            <w:tcW w:w="1088" w:type="pct"/>
            <w:tcBorders>
              <w:top w:val="single" w:sz="4" w:space="0" w:color="auto"/>
              <w:left w:val="single" w:sz="4" w:space="0" w:color="auto"/>
              <w:bottom w:val="single" w:sz="4" w:space="0" w:color="auto"/>
              <w:right w:val="single" w:sz="4" w:space="0" w:color="auto"/>
            </w:tcBorders>
          </w:tcPr>
          <w:p w:rsidR="00E240F6" w:rsidRPr="00E240F6" w:rsidRDefault="00E240F6" w:rsidP="00E240F6">
            <w:pPr>
              <w:pStyle w:val="TableText"/>
              <w:keepNext w:val="0"/>
            </w:pPr>
            <w:r w:rsidRPr="00E240F6">
              <w:t>Restriction Level / Method:</w:t>
            </w:r>
          </w:p>
          <w:p w:rsidR="00E240F6" w:rsidRPr="00E240F6" w:rsidRDefault="00E240F6" w:rsidP="00E240F6">
            <w:pPr>
              <w:pStyle w:val="TableText"/>
              <w:keepNext w:val="0"/>
            </w:pPr>
          </w:p>
        </w:tc>
        <w:tc>
          <w:tcPr>
            <w:tcW w:w="3899" w:type="pct"/>
            <w:gridSpan w:val="7"/>
            <w:tcBorders>
              <w:top w:val="single" w:sz="4" w:space="0" w:color="auto"/>
              <w:left w:val="single" w:sz="4" w:space="0" w:color="auto"/>
              <w:bottom w:val="single" w:sz="4" w:space="0" w:color="auto"/>
              <w:right w:val="single" w:sz="4" w:space="0" w:color="auto"/>
            </w:tcBorders>
          </w:tcPr>
          <w:p w:rsidR="00E240F6" w:rsidRPr="00E240F6" w:rsidRDefault="00E240F6" w:rsidP="00E240F6">
            <w:pPr>
              <w:pStyle w:val="TableText"/>
              <w:keepNext w:val="0"/>
            </w:pPr>
            <w:r w:rsidRPr="00E240F6">
              <w:fldChar w:fldCharType="begin">
                <w:ffData>
                  <w:name w:val="Check1"/>
                  <w:enabled/>
                  <w:calcOnExit w:val="0"/>
                  <w:checkBox>
                    <w:sizeAuto/>
                    <w:default w:val="0"/>
                  </w:checkBox>
                </w:ffData>
              </w:fldChar>
            </w:r>
            <w:r w:rsidRPr="00E240F6">
              <w:instrText xml:space="preserve"> FORMCHECKBOX </w:instrText>
            </w:r>
            <w:r w:rsidR="00F86D7A">
              <w:fldChar w:fldCharType="separate"/>
            </w:r>
            <w:r w:rsidRPr="00E240F6">
              <w:fldChar w:fldCharType="end"/>
            </w:r>
            <w:r w:rsidRPr="00E240F6">
              <w:t>Restricted benefit</w:t>
            </w:r>
          </w:p>
          <w:p w:rsidR="00E240F6" w:rsidRPr="00E240F6" w:rsidRDefault="00E240F6" w:rsidP="00E240F6">
            <w:pPr>
              <w:pStyle w:val="TableText"/>
              <w:keepNext w:val="0"/>
            </w:pPr>
            <w:r>
              <w:fldChar w:fldCharType="begin">
                <w:ffData>
                  <w:name w:val=""/>
                  <w:enabled/>
                  <w:calcOnExit w:val="0"/>
                  <w:checkBox>
                    <w:sizeAuto/>
                    <w:default w:val="1"/>
                  </w:checkBox>
                </w:ffData>
              </w:fldChar>
            </w:r>
            <w:r>
              <w:instrText xml:space="preserve"> FORMCHECKBOX </w:instrText>
            </w:r>
            <w:r w:rsidR="00F86D7A">
              <w:fldChar w:fldCharType="separate"/>
            </w:r>
            <w:r>
              <w:fldChar w:fldCharType="end"/>
            </w:r>
            <w:r w:rsidRPr="00E240F6">
              <w:t>Authority Req</w:t>
            </w:r>
            <w:r w:rsidR="00A133F2">
              <w:t>uired</w:t>
            </w:r>
          </w:p>
          <w:p w:rsidR="00E240F6" w:rsidRPr="00E240F6" w:rsidRDefault="00E240F6" w:rsidP="00E240F6">
            <w:pPr>
              <w:pStyle w:val="TableText"/>
              <w:keepNext w:val="0"/>
              <w:rPr>
                <w:strike/>
              </w:rPr>
            </w:pPr>
            <w:r w:rsidRPr="00E240F6">
              <w:fldChar w:fldCharType="begin">
                <w:ffData>
                  <w:name w:val="Check5"/>
                  <w:enabled/>
                  <w:calcOnExit w:val="0"/>
                  <w:checkBox>
                    <w:sizeAuto/>
                    <w:default w:val="0"/>
                  </w:checkBox>
                </w:ffData>
              </w:fldChar>
            </w:r>
            <w:r w:rsidRPr="00E240F6">
              <w:instrText xml:space="preserve"> FORMCHECKBOX </w:instrText>
            </w:r>
            <w:r w:rsidR="00F86D7A">
              <w:fldChar w:fldCharType="separate"/>
            </w:r>
            <w:r w:rsidRPr="00E240F6">
              <w:fldChar w:fldCharType="end"/>
            </w:r>
            <w:r w:rsidRPr="00E240F6">
              <w:t>Streamlined</w:t>
            </w:r>
          </w:p>
        </w:tc>
      </w:tr>
      <w:tr w:rsidR="00B84CE4" w:rsidTr="00B84CE4">
        <w:tblPrEx>
          <w:tblCellMar>
            <w:left w:w="108" w:type="dxa"/>
            <w:right w:w="108" w:type="dxa"/>
          </w:tblCellMar>
        </w:tblPrEx>
        <w:trPr>
          <w:gridBefore w:val="1"/>
          <w:wBefore w:w="13" w:type="pct"/>
          <w:cantSplit/>
          <w:trHeight w:val="360"/>
        </w:trPr>
        <w:tc>
          <w:tcPr>
            <w:tcW w:w="1088" w:type="pct"/>
            <w:tcBorders>
              <w:top w:val="single" w:sz="4" w:space="0" w:color="auto"/>
              <w:left w:val="single" w:sz="4" w:space="0" w:color="auto"/>
              <w:bottom w:val="single" w:sz="4" w:space="0" w:color="auto"/>
              <w:right w:val="single" w:sz="4" w:space="0" w:color="auto"/>
            </w:tcBorders>
          </w:tcPr>
          <w:p w:rsidR="00B84CE4" w:rsidRDefault="00B84CE4" w:rsidP="005E5F54">
            <w:pPr>
              <w:pStyle w:val="TableText"/>
              <w:keepNext w:val="0"/>
              <w:rPr>
                <w:rFonts w:ascii="Times" w:eastAsia="Times New Roman" w:hAnsi="Times" w:cs="Times New Roman"/>
                <w:szCs w:val="20"/>
                <w:lang w:val="en-US"/>
              </w:rPr>
            </w:pPr>
            <w:r>
              <w:t>PBS Indication:</w:t>
            </w:r>
          </w:p>
        </w:tc>
        <w:tc>
          <w:tcPr>
            <w:tcW w:w="3899" w:type="pct"/>
            <w:gridSpan w:val="7"/>
            <w:tcBorders>
              <w:top w:val="single" w:sz="4" w:space="0" w:color="auto"/>
              <w:left w:val="single" w:sz="4" w:space="0" w:color="auto"/>
              <w:bottom w:val="single" w:sz="4" w:space="0" w:color="auto"/>
              <w:right w:val="single" w:sz="4" w:space="0" w:color="auto"/>
            </w:tcBorders>
          </w:tcPr>
          <w:p w:rsidR="00B84CE4" w:rsidRDefault="00B84CE4" w:rsidP="005E5F54">
            <w:pPr>
              <w:pStyle w:val="TableText"/>
              <w:keepNext w:val="0"/>
            </w:pPr>
            <w:r>
              <w:t>Moderate to Severe Ulcerative Colitis</w:t>
            </w:r>
          </w:p>
        </w:tc>
      </w:tr>
      <w:tr w:rsidR="00B84CE4" w:rsidTr="00B84CE4">
        <w:tblPrEx>
          <w:tblCellMar>
            <w:left w:w="108" w:type="dxa"/>
            <w:right w:w="108" w:type="dxa"/>
          </w:tblCellMar>
        </w:tblPrEx>
        <w:trPr>
          <w:gridBefore w:val="1"/>
          <w:wBefore w:w="13" w:type="pct"/>
          <w:cantSplit/>
          <w:trHeight w:val="360"/>
        </w:trPr>
        <w:tc>
          <w:tcPr>
            <w:tcW w:w="1088" w:type="pct"/>
            <w:tcBorders>
              <w:top w:val="single" w:sz="4" w:space="0" w:color="auto"/>
              <w:left w:val="single" w:sz="4" w:space="0" w:color="auto"/>
              <w:bottom w:val="single" w:sz="4" w:space="0" w:color="auto"/>
              <w:right w:val="single" w:sz="4" w:space="0" w:color="auto"/>
            </w:tcBorders>
          </w:tcPr>
          <w:p w:rsidR="00B84CE4" w:rsidRPr="00791DE1" w:rsidRDefault="00B84CE4" w:rsidP="005E5F54">
            <w:pPr>
              <w:pStyle w:val="TableText"/>
              <w:keepNext w:val="0"/>
            </w:pPr>
            <w:r>
              <w:t>Treatment phase:</w:t>
            </w:r>
          </w:p>
        </w:tc>
        <w:tc>
          <w:tcPr>
            <w:tcW w:w="3899" w:type="pct"/>
            <w:gridSpan w:val="7"/>
            <w:tcBorders>
              <w:top w:val="single" w:sz="4" w:space="0" w:color="auto"/>
              <w:left w:val="single" w:sz="4" w:space="0" w:color="auto"/>
              <w:bottom w:val="single" w:sz="4" w:space="0" w:color="auto"/>
              <w:right w:val="single" w:sz="4" w:space="0" w:color="auto"/>
            </w:tcBorders>
          </w:tcPr>
          <w:p w:rsidR="00B84CE4" w:rsidRDefault="00B84CE4" w:rsidP="005E5F54">
            <w:pPr>
              <w:pStyle w:val="TableText"/>
              <w:keepNext w:val="0"/>
            </w:pPr>
            <w:r>
              <w:t>Induction treatment; and continuing treatment</w:t>
            </w:r>
          </w:p>
        </w:tc>
      </w:tr>
    </w:tbl>
    <w:p w:rsidR="00C317F3" w:rsidRDefault="00E66442" w:rsidP="0060197D">
      <w:pPr>
        <w:pStyle w:val="ListParagraph"/>
        <w:numPr>
          <w:ilvl w:val="1"/>
          <w:numId w:val="9"/>
        </w:numPr>
        <w:jc w:val="both"/>
      </w:pPr>
      <w:r w:rsidRPr="007D0E37">
        <w:t>The submission proposed that a special pricing arrangement</w:t>
      </w:r>
      <w:r w:rsidR="00F86D7A">
        <w:rPr>
          <w:noProof/>
          <w:color w:val="000000"/>
          <w:highlight w:val="black"/>
        </w:rPr>
        <w:t xml:space="preserve">'' '''''''''''''''' ''''''''''' '''' '''''''' '''''''''' ''''''''''''''''''' </w:t>
      </w:r>
      <w:r w:rsidR="00B607F4" w:rsidRPr="007D0E37">
        <w:t xml:space="preserve">for golimumab, </w:t>
      </w:r>
      <w:r w:rsidRPr="007D0E37">
        <w:t xml:space="preserve">be established once PBS listing </w:t>
      </w:r>
      <w:r w:rsidR="00B607F4" w:rsidRPr="007D0E37">
        <w:t>wa</w:t>
      </w:r>
      <w:r w:rsidRPr="007D0E37">
        <w:t>s recommended. The specific details pertaining to the proposed special pricing arrangement were not discussed in the submission</w:t>
      </w:r>
      <w:r w:rsidR="00BE672F" w:rsidRPr="007D0E37">
        <w:t xml:space="preserve">. </w:t>
      </w:r>
    </w:p>
    <w:p w:rsidR="0047426A" w:rsidRDefault="0047426A" w:rsidP="0060197D">
      <w:pPr>
        <w:pStyle w:val="ListParagraph"/>
        <w:numPr>
          <w:ilvl w:val="1"/>
          <w:numId w:val="9"/>
        </w:numPr>
        <w:jc w:val="both"/>
      </w:pPr>
      <w:r>
        <w:t xml:space="preserve">In addition to the pre-filled syringe, the </w:t>
      </w:r>
      <w:r w:rsidRPr="000D0B63">
        <w:t>Pre-Sub Committee Response (PSCR)</w:t>
      </w:r>
      <w:r>
        <w:t xml:space="preserve"> requested a listing for a prefilled </w:t>
      </w:r>
      <w:r w:rsidRPr="0047426A">
        <w:rPr>
          <w:bCs/>
        </w:rPr>
        <w:t>pen</w:t>
      </w:r>
      <w:r>
        <w:t xml:space="preserve"> with 100 mg/1.0 mL golimumab (SIMPONI SMARTJECT INJECTOR). A pre-filled pen is defined as an injection device in the Australian </w:t>
      </w:r>
      <w:r w:rsidR="00970A4B">
        <w:t xml:space="preserve">Medicines Terminology descriptions. </w:t>
      </w:r>
    </w:p>
    <w:p w:rsidR="00C317F3" w:rsidRPr="007D0E37" w:rsidRDefault="00C317F3" w:rsidP="002001C6">
      <w:pPr>
        <w:pStyle w:val="Heading1"/>
        <w:ind w:left="709" w:hanging="709"/>
      </w:pPr>
      <w:bookmarkStart w:id="5" w:name="_Toc413139273"/>
      <w:bookmarkStart w:id="6" w:name="_Toc493062648"/>
      <w:r w:rsidRPr="007D0E37">
        <w:t>Background</w:t>
      </w:r>
      <w:bookmarkEnd w:id="5"/>
      <w:bookmarkEnd w:id="6"/>
    </w:p>
    <w:p w:rsidR="0017638E" w:rsidRPr="007D0E37" w:rsidRDefault="0017638E" w:rsidP="0017638E">
      <w:pPr>
        <w:pStyle w:val="Heading2"/>
        <w:rPr>
          <w:i w:val="0"/>
        </w:rPr>
      </w:pPr>
      <w:bookmarkStart w:id="7" w:name="_Toc493062649"/>
      <w:r w:rsidRPr="007D0E37">
        <w:rPr>
          <w:i w:val="0"/>
        </w:rPr>
        <w:t>Registration status</w:t>
      </w:r>
      <w:bookmarkEnd w:id="7"/>
    </w:p>
    <w:p w:rsidR="00C317F3" w:rsidRPr="008C34CD" w:rsidRDefault="000B5CD1" w:rsidP="0060197D">
      <w:pPr>
        <w:pStyle w:val="ListParagraph"/>
        <w:numPr>
          <w:ilvl w:val="1"/>
          <w:numId w:val="10"/>
        </w:numPr>
        <w:jc w:val="both"/>
      </w:pPr>
      <w:r w:rsidRPr="008C34CD">
        <w:t>Golimumab was TGA registered i</w:t>
      </w:r>
      <w:r w:rsidR="00C317F3" w:rsidRPr="008C34CD">
        <w:t xml:space="preserve">n </w:t>
      </w:r>
      <w:r w:rsidRPr="008C34CD">
        <w:t xml:space="preserve">March 2014 </w:t>
      </w:r>
      <w:r w:rsidR="00C317F3" w:rsidRPr="008C34CD">
        <w:t xml:space="preserve">for </w:t>
      </w:r>
      <w:r w:rsidRPr="008C34CD">
        <w:t>the treatment of moderately to severely active ulcerative colitis in adult patients who have had an inadequate response to conventional therapy</w:t>
      </w:r>
      <w:r w:rsidR="009972E2" w:rsidRPr="008C34CD">
        <w:t xml:space="preserve">. </w:t>
      </w:r>
    </w:p>
    <w:p w:rsidR="004169B3" w:rsidRPr="007D0E37" w:rsidRDefault="004169B3" w:rsidP="004169B3">
      <w:pPr>
        <w:pStyle w:val="Heading2"/>
        <w:rPr>
          <w:i w:val="0"/>
        </w:rPr>
      </w:pPr>
      <w:bookmarkStart w:id="8" w:name="_Toc493062650"/>
      <w:r w:rsidRPr="007D0E37">
        <w:rPr>
          <w:i w:val="0"/>
        </w:rPr>
        <w:t>Previous PBAC consideration</w:t>
      </w:r>
      <w:bookmarkEnd w:id="8"/>
    </w:p>
    <w:p w:rsidR="004169B3" w:rsidRPr="007D0E37" w:rsidRDefault="004169B3" w:rsidP="0060197D">
      <w:pPr>
        <w:pStyle w:val="ListParagraph"/>
        <w:numPr>
          <w:ilvl w:val="1"/>
          <w:numId w:val="10"/>
        </w:numPr>
        <w:jc w:val="both"/>
      </w:pPr>
      <w:r w:rsidRPr="007D0E37">
        <w:t>Golimumab was previously considered by the PBAC at the March 2010 meeting for the treatment of severe active rheumatoid arthritis, severe psoriatic arthritis and active ankylosing spondylitis in a 50 mg/0.5 mL prefilled syringe</w:t>
      </w:r>
      <w:r w:rsidR="00191427" w:rsidRPr="007D0E37">
        <w:t>,</w:t>
      </w:r>
      <w:r w:rsidR="00191427" w:rsidRPr="007D0E37">
        <w:rPr>
          <w:rFonts w:ascii="Helvetica Neue" w:hAnsi="Helvetica Neue"/>
          <w:color w:val="222222"/>
          <w:sz w:val="20"/>
          <w:szCs w:val="20"/>
          <w:shd w:val="clear" w:color="auto" w:fill="FFFFFF"/>
        </w:rPr>
        <w:t xml:space="preserve"> </w:t>
      </w:r>
      <w:r w:rsidR="00191427" w:rsidRPr="007D0E37">
        <w:t>single use pre-filled pen</w:t>
      </w:r>
      <w:r w:rsidRPr="007D0E37">
        <w:t xml:space="preserve"> form.</w:t>
      </w:r>
      <w:r w:rsidR="00767CDD">
        <w:t xml:space="preserve"> </w:t>
      </w:r>
      <w:r w:rsidRPr="007D0E37">
        <w:t>The PBAC recommended this form for all three indications.</w:t>
      </w:r>
    </w:p>
    <w:p w:rsidR="004169B3" w:rsidRDefault="004169B3" w:rsidP="0060197D">
      <w:pPr>
        <w:pStyle w:val="ListParagraph"/>
        <w:numPr>
          <w:ilvl w:val="1"/>
          <w:numId w:val="10"/>
        </w:numPr>
        <w:jc w:val="both"/>
      </w:pPr>
      <w:r w:rsidRPr="007D0E37">
        <w:t xml:space="preserve">The PBAC has not previously considered golimumab for the treatment of </w:t>
      </w:r>
      <w:r w:rsidR="00191427" w:rsidRPr="007D0E37">
        <w:t>moderately to severely active ulcerative colitis.</w:t>
      </w:r>
    </w:p>
    <w:p w:rsidR="002001C6" w:rsidRPr="007D0E37" w:rsidRDefault="00C317F3" w:rsidP="00956207">
      <w:pPr>
        <w:pStyle w:val="Heading1"/>
        <w:ind w:left="709" w:hanging="709"/>
      </w:pPr>
      <w:bookmarkStart w:id="9" w:name="_Toc493062651"/>
      <w:r w:rsidRPr="007D0E37">
        <w:lastRenderedPageBreak/>
        <w:t>Population and disease</w:t>
      </w:r>
      <w:bookmarkStart w:id="10" w:name="_Toc490293845"/>
      <w:bookmarkEnd w:id="9"/>
      <w:bookmarkEnd w:id="10"/>
    </w:p>
    <w:p w:rsidR="00C317F3" w:rsidRPr="007D0E37" w:rsidRDefault="00E92645" w:rsidP="0060197D">
      <w:pPr>
        <w:pStyle w:val="ListParagraph"/>
        <w:numPr>
          <w:ilvl w:val="1"/>
          <w:numId w:val="11"/>
        </w:numPr>
        <w:jc w:val="both"/>
      </w:pPr>
      <w:r w:rsidRPr="007D0E37">
        <w:t>Ulcerative colitis (UC) is a life-long, chronic relapsing and remitting disease characterised by mucosal inflammation of the colon, which involves the rectum and extends proximally to a variable extent. The symptoms of UC vary between individuals in both duration and intensity. Typical symptoms of UC are cramping abdominal pain, bloody diarrhoea, unpredictable bowel movements, and nocturnal bowel movements. The disease has a significant impact upon patients’ quality of life.</w:t>
      </w:r>
      <w:r w:rsidR="003A4994" w:rsidRPr="007D0E37">
        <w:t xml:space="preserve"> The goal of treatment is to induce and maintain disease remission, prevent the removal of the bowel, and improve quality of life.</w:t>
      </w:r>
      <w:r w:rsidR="00E073A2" w:rsidRPr="007D0E37">
        <w:t xml:space="preserve"> Moderate </w:t>
      </w:r>
      <w:r w:rsidR="004F0951" w:rsidRPr="007D0E37">
        <w:t>to</w:t>
      </w:r>
      <w:r w:rsidR="00E073A2" w:rsidRPr="007D0E37">
        <w:t xml:space="preserve"> severe, or more extensive disease</w:t>
      </w:r>
      <w:r w:rsidR="004F0951" w:rsidRPr="007D0E37">
        <w:t>,</w:t>
      </w:r>
      <w:r w:rsidR="00E073A2" w:rsidRPr="007D0E37">
        <w:t xml:space="preserve"> requires therapy</w:t>
      </w:r>
      <w:r w:rsidR="00550D26" w:rsidRPr="007D0E37">
        <w:t xml:space="preserve"> with a </w:t>
      </w:r>
      <w:r w:rsidR="00502F97" w:rsidRPr="007D0E37">
        <w:t>b</w:t>
      </w:r>
      <w:r w:rsidR="00550D26" w:rsidRPr="007D0E37">
        <w:t>DMARD</w:t>
      </w:r>
      <w:r w:rsidR="00E073A2" w:rsidRPr="007D0E37">
        <w:t>.</w:t>
      </w:r>
    </w:p>
    <w:p w:rsidR="00C317F3" w:rsidRDefault="00B345F6" w:rsidP="0060197D">
      <w:pPr>
        <w:pStyle w:val="ListParagraph"/>
        <w:numPr>
          <w:ilvl w:val="1"/>
          <w:numId w:val="11"/>
        </w:numPr>
        <w:jc w:val="both"/>
      </w:pPr>
      <w:r w:rsidRPr="007D0E37">
        <w:t xml:space="preserve">Golimumab </w:t>
      </w:r>
      <w:r w:rsidR="000A33C6" w:rsidRPr="007D0E37">
        <w:t xml:space="preserve">is </w:t>
      </w:r>
      <w:r w:rsidRPr="007D0E37">
        <w:t>pr</w:t>
      </w:r>
      <w:r w:rsidR="008A21E0" w:rsidRPr="007D0E37">
        <w:t>oposed as an alternative bDMARD</w:t>
      </w:r>
      <w:r w:rsidR="00502F97" w:rsidRPr="007D0E37">
        <w:t xml:space="preserve"> for use in the treatment of MSUC</w:t>
      </w:r>
      <w:r w:rsidR="008A21E0" w:rsidRPr="007D0E37">
        <w:t xml:space="preserve">. </w:t>
      </w:r>
    </w:p>
    <w:p w:rsidR="004241D2" w:rsidRPr="00AD3FE1" w:rsidRDefault="004241D2" w:rsidP="00AD3FE1">
      <w:pPr>
        <w:pStyle w:val="ListParagraph"/>
        <w:jc w:val="both"/>
        <w:rPr>
          <w:i/>
        </w:rPr>
      </w:pPr>
      <w:r w:rsidRPr="00AD3FE1">
        <w:rPr>
          <w:i/>
        </w:rPr>
        <w:t>For more detail on PBAC’s view, see section 7 PBAC outcome.</w:t>
      </w:r>
    </w:p>
    <w:p w:rsidR="002001C6" w:rsidRPr="007D0E37" w:rsidRDefault="00C317F3" w:rsidP="00956207">
      <w:pPr>
        <w:pStyle w:val="Heading1"/>
        <w:ind w:left="709" w:hanging="709"/>
      </w:pPr>
      <w:bookmarkStart w:id="11" w:name="_Toc413139275"/>
      <w:bookmarkStart w:id="12" w:name="_Toc493062652"/>
      <w:r w:rsidRPr="007D0E37">
        <w:t>Comparator</w:t>
      </w:r>
      <w:bookmarkStart w:id="13" w:name="_Toc490293847"/>
      <w:bookmarkEnd w:id="11"/>
      <w:bookmarkEnd w:id="12"/>
      <w:bookmarkEnd w:id="13"/>
    </w:p>
    <w:p w:rsidR="00502F97" w:rsidRPr="007D0E37" w:rsidRDefault="00DB4A04" w:rsidP="0060197D">
      <w:pPr>
        <w:pStyle w:val="ListParagraph"/>
        <w:numPr>
          <w:ilvl w:val="1"/>
          <w:numId w:val="12"/>
        </w:numPr>
        <w:jc w:val="both"/>
      </w:pPr>
      <w:r w:rsidRPr="007D0E37">
        <w:t xml:space="preserve">The submission nominated adalimumab, infliximab, and vedolizumab as the main clinical comparators. These comparators are appropriate for this submission. </w:t>
      </w:r>
    </w:p>
    <w:p w:rsidR="005E3A2C" w:rsidRPr="007F455B" w:rsidRDefault="00DB4A04" w:rsidP="0060197D">
      <w:pPr>
        <w:pStyle w:val="ListParagraph"/>
        <w:numPr>
          <w:ilvl w:val="1"/>
          <w:numId w:val="12"/>
        </w:numPr>
        <w:jc w:val="both"/>
        <w:rPr>
          <w:lang w:val="en-GB"/>
        </w:rPr>
      </w:pPr>
      <w:r w:rsidRPr="007D0E37">
        <w:t xml:space="preserve">The submission nominated adalimumab as the main comparator for pricing purposes. </w:t>
      </w:r>
      <w:r w:rsidR="00982338" w:rsidRPr="007D0E37">
        <w:t>The use of adalimumab as the lowest priced comparator was based on the initial</w:t>
      </w:r>
      <w:r w:rsidR="00502F97" w:rsidRPr="007D0E37">
        <w:t xml:space="preserve"> PBS</w:t>
      </w:r>
      <w:r w:rsidR="00982338" w:rsidRPr="007D0E37">
        <w:t xml:space="preserve"> therapeutic relativity for this drug when listed on the basis of a comparison with infliximab. Infliximab </w:t>
      </w:r>
      <w:r w:rsidR="00502F97" w:rsidRPr="007D0E37">
        <w:t xml:space="preserve">will be </w:t>
      </w:r>
      <w:r w:rsidR="00982338" w:rsidRPr="007D0E37">
        <w:t xml:space="preserve">subject to an </w:t>
      </w:r>
      <w:r w:rsidR="00982338" w:rsidRPr="002F57FE">
        <w:t>11.73</w:t>
      </w:r>
      <w:r w:rsidR="00982338" w:rsidRPr="007D0E37">
        <w:t>% price reduction from 1</w:t>
      </w:r>
      <w:r w:rsidR="00982338" w:rsidRPr="007D0E37">
        <w:rPr>
          <w:vertAlign w:val="superscript"/>
        </w:rPr>
        <w:t>st</w:t>
      </w:r>
      <w:r w:rsidR="00982338" w:rsidRPr="007D0E37">
        <w:t xml:space="preserve"> October 2017. </w:t>
      </w:r>
      <w:r w:rsidR="005E3A2C" w:rsidRPr="007F455B">
        <w:rPr>
          <w:lang w:val="en-GB"/>
        </w:rPr>
        <w:t>The</w:t>
      </w:r>
      <w:r w:rsidR="005E3A2C" w:rsidRPr="00C465EC">
        <w:rPr>
          <w:lang w:val="en-GB"/>
        </w:rPr>
        <w:t>.</w:t>
      </w:r>
      <w:r w:rsidR="006B7FB2" w:rsidRPr="00C465EC">
        <w:rPr>
          <w:lang w:val="en-GB"/>
        </w:rPr>
        <w:t xml:space="preserve"> The PBAC considered that adalimumab</w:t>
      </w:r>
      <w:r w:rsidR="00FD47FD" w:rsidRPr="0029451B">
        <w:rPr>
          <w:lang w:val="en-GB"/>
        </w:rPr>
        <w:t>,</w:t>
      </w:r>
      <w:r w:rsidR="006B7FB2" w:rsidRPr="007F455B">
        <w:rPr>
          <w:lang w:val="en-GB"/>
        </w:rPr>
        <w:t xml:space="preserve"> </w:t>
      </w:r>
      <w:r w:rsidR="00D96A99" w:rsidRPr="00C465EC">
        <w:t>vedolizumab</w:t>
      </w:r>
      <w:r w:rsidR="00596610">
        <w:t xml:space="preserve"> and infliximab</w:t>
      </w:r>
      <w:r w:rsidR="00D96A99" w:rsidRPr="007F455B">
        <w:rPr>
          <w:lang w:val="en-GB"/>
        </w:rPr>
        <w:t xml:space="preserve"> were</w:t>
      </w:r>
      <w:r w:rsidR="006B7FB2" w:rsidRPr="007F455B">
        <w:rPr>
          <w:lang w:val="en-GB"/>
        </w:rPr>
        <w:t xml:space="preserve"> </w:t>
      </w:r>
      <w:r w:rsidR="00D96A99" w:rsidRPr="007F455B">
        <w:rPr>
          <w:lang w:val="en-GB"/>
        </w:rPr>
        <w:t>appropriate comparators.</w:t>
      </w:r>
      <w:r w:rsidR="006B7FB2" w:rsidRPr="007F455B">
        <w:rPr>
          <w:lang w:val="en-GB"/>
        </w:rPr>
        <w:t xml:space="preserve"> </w:t>
      </w:r>
    </w:p>
    <w:p w:rsidR="00150477" w:rsidRDefault="00150477" w:rsidP="0060197D">
      <w:pPr>
        <w:pStyle w:val="ListParagraph"/>
        <w:numPr>
          <w:ilvl w:val="1"/>
          <w:numId w:val="12"/>
        </w:numPr>
        <w:jc w:val="both"/>
      </w:pPr>
      <w:r w:rsidRPr="007D0E37">
        <w:t xml:space="preserve">A review of the PBS Therapeutic Relativity Sheets revealed that there are three drugs currently listed for the treatment of MSUC for which a recommendation was made on a cost-minimisation basis. The treatment, comparator and resulting dose relativities are presented in Table 2. </w:t>
      </w:r>
    </w:p>
    <w:p w:rsidR="00150477" w:rsidRPr="007D0E37" w:rsidRDefault="00150477" w:rsidP="00150477">
      <w:pPr>
        <w:pStyle w:val="TableHeading0"/>
      </w:pPr>
      <w:r w:rsidRPr="007D0E37">
        <w:t>Table 2: Established therapeutic relativities of MSUC treatments listed on the PBS</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Established therapeutic relativities of MSUC treatments listed on the PBS"/>
      </w:tblPr>
      <w:tblGrid>
        <w:gridCol w:w="2494"/>
        <w:gridCol w:w="2238"/>
        <w:gridCol w:w="2253"/>
        <w:gridCol w:w="2257"/>
      </w:tblGrid>
      <w:tr w:rsidR="00150477" w:rsidRPr="007D0E37" w:rsidTr="005E4FCD">
        <w:trPr>
          <w:cnfStyle w:val="100000000000" w:firstRow="1" w:lastRow="0" w:firstColumn="0" w:lastColumn="0" w:oddVBand="0" w:evenVBand="0" w:oddHBand="0" w:evenHBand="0" w:firstRowFirstColumn="0" w:firstRowLastColumn="0" w:lastRowFirstColumn="0" w:lastRowLastColumn="0"/>
          <w:tblHeader/>
        </w:trPr>
        <w:tc>
          <w:tcPr>
            <w:tcW w:w="1349" w:type="pct"/>
            <w:tcBorders>
              <w:bottom w:val="nil"/>
            </w:tcBorders>
            <w:shd w:val="clear" w:color="auto" w:fill="auto"/>
          </w:tcPr>
          <w:p w:rsidR="00150477" w:rsidRPr="007D0E37" w:rsidRDefault="00150477" w:rsidP="00150477">
            <w:pPr>
              <w:pStyle w:val="TableText"/>
            </w:pPr>
          </w:p>
        </w:tc>
        <w:tc>
          <w:tcPr>
            <w:tcW w:w="1211" w:type="pct"/>
            <w:shd w:val="clear" w:color="auto" w:fill="auto"/>
          </w:tcPr>
          <w:p w:rsidR="00150477" w:rsidRPr="007D0E37" w:rsidRDefault="00150477" w:rsidP="00150477">
            <w:pPr>
              <w:pStyle w:val="TableText"/>
              <w:jc w:val="center"/>
            </w:pPr>
            <w:r w:rsidRPr="007D0E37">
              <w:t>Treatment</w:t>
            </w:r>
          </w:p>
        </w:tc>
        <w:tc>
          <w:tcPr>
            <w:tcW w:w="2440" w:type="pct"/>
            <w:gridSpan w:val="2"/>
            <w:shd w:val="clear" w:color="auto" w:fill="auto"/>
          </w:tcPr>
          <w:p w:rsidR="00150477" w:rsidRPr="007D0E37" w:rsidRDefault="00150477" w:rsidP="00150477">
            <w:pPr>
              <w:pStyle w:val="TableText"/>
              <w:jc w:val="center"/>
            </w:pPr>
            <w:r w:rsidRPr="007D0E37">
              <w:t>Comparator</w:t>
            </w:r>
          </w:p>
        </w:tc>
      </w:tr>
      <w:tr w:rsidR="00150477" w:rsidRPr="007D0E37" w:rsidTr="00150477">
        <w:tc>
          <w:tcPr>
            <w:tcW w:w="1349" w:type="pct"/>
            <w:tcBorders>
              <w:top w:val="nil"/>
              <w:bottom w:val="single" w:sz="4" w:space="0" w:color="auto"/>
            </w:tcBorders>
          </w:tcPr>
          <w:p w:rsidR="00150477" w:rsidRPr="007D0E37" w:rsidRDefault="00150477" w:rsidP="00150477">
            <w:pPr>
              <w:pStyle w:val="TableText"/>
              <w:rPr>
                <w:b/>
              </w:rPr>
            </w:pPr>
          </w:p>
        </w:tc>
        <w:tc>
          <w:tcPr>
            <w:tcW w:w="1211" w:type="pct"/>
          </w:tcPr>
          <w:p w:rsidR="00150477" w:rsidRPr="007D0E37" w:rsidRDefault="00150477" w:rsidP="00150477">
            <w:pPr>
              <w:pStyle w:val="TableText"/>
              <w:jc w:val="center"/>
              <w:rPr>
                <w:b/>
              </w:rPr>
            </w:pPr>
            <w:r w:rsidRPr="007D0E37">
              <w:rPr>
                <w:b/>
              </w:rPr>
              <w:t>Infliximab</w:t>
            </w:r>
          </w:p>
        </w:tc>
        <w:tc>
          <w:tcPr>
            <w:tcW w:w="1219" w:type="pct"/>
          </w:tcPr>
          <w:p w:rsidR="00150477" w:rsidRPr="007D0E37" w:rsidRDefault="00150477" w:rsidP="00150477">
            <w:pPr>
              <w:pStyle w:val="TableText"/>
              <w:jc w:val="center"/>
              <w:rPr>
                <w:b/>
              </w:rPr>
            </w:pPr>
            <w:r w:rsidRPr="007D0E37">
              <w:rPr>
                <w:b/>
              </w:rPr>
              <w:t>Adalimumab</w:t>
            </w:r>
            <w:r w:rsidRPr="007D0E37">
              <w:rPr>
                <w:b/>
                <w:vertAlign w:val="superscript"/>
              </w:rPr>
              <w:t>a</w:t>
            </w:r>
          </w:p>
        </w:tc>
        <w:tc>
          <w:tcPr>
            <w:tcW w:w="1221" w:type="pct"/>
          </w:tcPr>
          <w:p w:rsidR="00150477" w:rsidRPr="007D0E37" w:rsidRDefault="00150477" w:rsidP="00150477">
            <w:pPr>
              <w:pStyle w:val="TableText"/>
              <w:jc w:val="center"/>
              <w:rPr>
                <w:b/>
              </w:rPr>
            </w:pPr>
            <w:r w:rsidRPr="007D0E37">
              <w:rPr>
                <w:b/>
              </w:rPr>
              <w:t>Vedolizumab</w:t>
            </w:r>
            <w:r w:rsidRPr="007D0E37">
              <w:rPr>
                <w:b/>
                <w:vertAlign w:val="superscript"/>
              </w:rPr>
              <w:t>b</w:t>
            </w:r>
          </w:p>
        </w:tc>
      </w:tr>
      <w:tr w:rsidR="00150477" w:rsidRPr="007D0E37" w:rsidTr="00150477">
        <w:tc>
          <w:tcPr>
            <w:tcW w:w="1349" w:type="pct"/>
            <w:tcBorders>
              <w:bottom w:val="nil"/>
            </w:tcBorders>
          </w:tcPr>
          <w:p w:rsidR="00150477" w:rsidRPr="007D0E37" w:rsidRDefault="00150477" w:rsidP="00150477">
            <w:pPr>
              <w:pStyle w:val="TableText"/>
            </w:pPr>
            <w:r w:rsidRPr="007D0E37">
              <w:t>Induction</w:t>
            </w:r>
          </w:p>
        </w:tc>
        <w:tc>
          <w:tcPr>
            <w:tcW w:w="1211" w:type="pct"/>
          </w:tcPr>
          <w:p w:rsidR="00150477" w:rsidRPr="007D0E37" w:rsidRDefault="00150477" w:rsidP="00150477">
            <w:pPr>
              <w:pStyle w:val="TableText"/>
            </w:pPr>
            <w:r w:rsidRPr="007D0E37">
              <w:t>5 mg/kg at week 0, week 2, week 6</w:t>
            </w:r>
          </w:p>
        </w:tc>
        <w:tc>
          <w:tcPr>
            <w:tcW w:w="1219" w:type="pct"/>
          </w:tcPr>
          <w:p w:rsidR="00150477" w:rsidRPr="007D0E37" w:rsidRDefault="00150477" w:rsidP="00150477">
            <w:pPr>
              <w:pStyle w:val="TableText"/>
            </w:pPr>
            <w:r w:rsidRPr="007D0E37">
              <w:t>60 mg at week 0 and 80 mg week 2</w:t>
            </w:r>
          </w:p>
        </w:tc>
        <w:tc>
          <w:tcPr>
            <w:tcW w:w="1221" w:type="pct"/>
          </w:tcPr>
          <w:p w:rsidR="00150477" w:rsidRPr="007D0E37" w:rsidRDefault="00150477" w:rsidP="00150477">
            <w:pPr>
              <w:pStyle w:val="TableText"/>
            </w:pPr>
            <w:r w:rsidRPr="007D0E37">
              <w:t>-</w:t>
            </w:r>
          </w:p>
        </w:tc>
      </w:tr>
      <w:tr w:rsidR="00150477" w:rsidRPr="007D0E37" w:rsidTr="00150477">
        <w:tc>
          <w:tcPr>
            <w:tcW w:w="1349" w:type="pct"/>
            <w:tcBorders>
              <w:top w:val="nil"/>
              <w:bottom w:val="single" w:sz="4" w:space="0" w:color="auto"/>
            </w:tcBorders>
          </w:tcPr>
          <w:p w:rsidR="00150477" w:rsidRPr="007D0E37" w:rsidRDefault="00150477" w:rsidP="00150477">
            <w:pPr>
              <w:pStyle w:val="TableText"/>
            </w:pPr>
          </w:p>
        </w:tc>
        <w:tc>
          <w:tcPr>
            <w:tcW w:w="1211" w:type="pct"/>
          </w:tcPr>
          <w:p w:rsidR="00150477" w:rsidRPr="007D0E37" w:rsidRDefault="00150477" w:rsidP="00150477">
            <w:pPr>
              <w:pStyle w:val="TableText"/>
            </w:pPr>
            <w:r w:rsidRPr="007D0E37">
              <w:t>5 mg/kg at week 0, week 2, week 6</w:t>
            </w:r>
          </w:p>
        </w:tc>
        <w:tc>
          <w:tcPr>
            <w:tcW w:w="1219" w:type="pct"/>
          </w:tcPr>
          <w:p w:rsidR="00150477" w:rsidRPr="007D0E37" w:rsidRDefault="00150477" w:rsidP="00150477">
            <w:pPr>
              <w:pStyle w:val="TableText"/>
            </w:pPr>
            <w:r w:rsidRPr="007D0E37">
              <w:t>-</w:t>
            </w:r>
          </w:p>
        </w:tc>
        <w:tc>
          <w:tcPr>
            <w:tcW w:w="1221" w:type="pct"/>
          </w:tcPr>
          <w:p w:rsidR="00150477" w:rsidRPr="007D0E37" w:rsidRDefault="00150477" w:rsidP="00150477">
            <w:pPr>
              <w:pStyle w:val="TableText"/>
            </w:pPr>
            <w:r w:rsidRPr="007D0E37">
              <w:t>300 mg at week 0, week 2, week 6;</w:t>
            </w:r>
          </w:p>
        </w:tc>
      </w:tr>
      <w:tr w:rsidR="00150477" w:rsidRPr="007D0E37" w:rsidTr="00150477">
        <w:tc>
          <w:tcPr>
            <w:tcW w:w="1349" w:type="pct"/>
            <w:tcBorders>
              <w:top w:val="single" w:sz="4" w:space="0" w:color="auto"/>
              <w:bottom w:val="nil"/>
            </w:tcBorders>
          </w:tcPr>
          <w:p w:rsidR="00150477" w:rsidRPr="007D0E37" w:rsidRDefault="00150477" w:rsidP="00150477">
            <w:pPr>
              <w:pStyle w:val="TableText"/>
            </w:pPr>
            <w:r w:rsidRPr="007D0E37">
              <w:t>Maintenance</w:t>
            </w:r>
          </w:p>
        </w:tc>
        <w:tc>
          <w:tcPr>
            <w:tcW w:w="1211" w:type="pct"/>
          </w:tcPr>
          <w:p w:rsidR="00150477" w:rsidRPr="007D0E37" w:rsidRDefault="00150477" w:rsidP="00150477">
            <w:pPr>
              <w:pStyle w:val="TableText"/>
            </w:pPr>
            <w:r w:rsidRPr="007D0E37">
              <w:t>and then 5 mg/kg every 8 weeks</w:t>
            </w:r>
          </w:p>
        </w:tc>
        <w:tc>
          <w:tcPr>
            <w:tcW w:w="1219" w:type="pct"/>
          </w:tcPr>
          <w:p w:rsidR="00150477" w:rsidRPr="007D0E37" w:rsidRDefault="00150477" w:rsidP="00150477">
            <w:pPr>
              <w:pStyle w:val="TableText"/>
            </w:pPr>
            <w:r w:rsidRPr="007D0E37">
              <w:t>and then 40 mg fortnightly</w:t>
            </w:r>
          </w:p>
        </w:tc>
        <w:tc>
          <w:tcPr>
            <w:tcW w:w="1221" w:type="pct"/>
          </w:tcPr>
          <w:p w:rsidR="00150477" w:rsidRPr="007D0E37" w:rsidRDefault="00150477" w:rsidP="00150477">
            <w:pPr>
              <w:pStyle w:val="TableText"/>
            </w:pPr>
            <w:r w:rsidRPr="007D0E37">
              <w:t>-</w:t>
            </w:r>
          </w:p>
        </w:tc>
      </w:tr>
      <w:tr w:rsidR="00150477" w:rsidRPr="007D0E37" w:rsidTr="00150477">
        <w:tc>
          <w:tcPr>
            <w:tcW w:w="1349" w:type="pct"/>
            <w:tcBorders>
              <w:top w:val="nil"/>
            </w:tcBorders>
          </w:tcPr>
          <w:p w:rsidR="00150477" w:rsidRPr="007D0E37" w:rsidRDefault="00150477" w:rsidP="00150477">
            <w:pPr>
              <w:pStyle w:val="TableText"/>
            </w:pPr>
          </w:p>
        </w:tc>
        <w:tc>
          <w:tcPr>
            <w:tcW w:w="1211" w:type="pct"/>
          </w:tcPr>
          <w:p w:rsidR="00150477" w:rsidRPr="007D0E37" w:rsidRDefault="00150477" w:rsidP="00150477">
            <w:pPr>
              <w:pStyle w:val="TableText"/>
            </w:pPr>
            <w:r w:rsidRPr="007D0E37">
              <w:t>and then 5 mg/kg every 8 weeks</w:t>
            </w:r>
          </w:p>
        </w:tc>
        <w:tc>
          <w:tcPr>
            <w:tcW w:w="1219" w:type="pct"/>
          </w:tcPr>
          <w:p w:rsidR="00150477" w:rsidRPr="007D0E37" w:rsidRDefault="00150477" w:rsidP="00150477">
            <w:pPr>
              <w:pStyle w:val="TableText"/>
            </w:pPr>
            <w:r w:rsidRPr="007D0E37">
              <w:t>-</w:t>
            </w:r>
          </w:p>
        </w:tc>
        <w:tc>
          <w:tcPr>
            <w:tcW w:w="1221" w:type="pct"/>
          </w:tcPr>
          <w:p w:rsidR="00150477" w:rsidRPr="007D0E37" w:rsidRDefault="00150477" w:rsidP="00150477">
            <w:pPr>
              <w:pStyle w:val="TableText"/>
            </w:pPr>
            <w:r w:rsidRPr="007D0E37">
              <w:t>and then 300 mg every 8 weeks</w:t>
            </w:r>
          </w:p>
        </w:tc>
      </w:tr>
    </w:tbl>
    <w:p w:rsidR="00150477" w:rsidRPr="007D0E37" w:rsidRDefault="00150477" w:rsidP="00150477">
      <w:pPr>
        <w:pStyle w:val="TableFooter"/>
      </w:pPr>
      <w:r w:rsidRPr="007D0E37">
        <w:t xml:space="preserve">Source: compiled during evaluation. Therapeutic Relativity Sheets - 1 August 2017. </w:t>
      </w:r>
      <w:r w:rsidR="005E4FCD" w:rsidRPr="00F86D7A">
        <w:t>available on PBS website.</w:t>
      </w:r>
    </w:p>
    <w:p w:rsidR="00150477" w:rsidRPr="007D0E37" w:rsidRDefault="004F0951" w:rsidP="00150477">
      <w:pPr>
        <w:pStyle w:val="TableFooter"/>
      </w:pPr>
      <w:r w:rsidRPr="007D0E37">
        <w:t xml:space="preserve">Notes: </w:t>
      </w:r>
      <w:r w:rsidR="00150477" w:rsidRPr="007D0E37">
        <w:t xml:space="preserve">a Adalimumab was recommended for an extension to the listing to include the treatment of moderate to severe ulcerative colitis (UC).The PBAC considered that the inferiority should be reflected in the pricing of adalimumab. The equi-effective doses were based on infliximab. </w:t>
      </w:r>
    </w:p>
    <w:p w:rsidR="00150477" w:rsidRPr="007D0E37" w:rsidRDefault="00150477" w:rsidP="00150477">
      <w:pPr>
        <w:pStyle w:val="TableFooter"/>
      </w:pPr>
      <w:r w:rsidRPr="007D0E37">
        <w:t>b Vedolizumab was recommended for listing for the treatment of MSUC in adult patients on a cost-minimisation basis with infliximab.</w:t>
      </w:r>
    </w:p>
    <w:p w:rsidR="007C644D" w:rsidRPr="005F2F8F" w:rsidRDefault="007C644D" w:rsidP="007C644D">
      <w:pPr>
        <w:pStyle w:val="ListParagraph"/>
        <w:jc w:val="both"/>
        <w:rPr>
          <w:i/>
        </w:rPr>
      </w:pPr>
      <w:r w:rsidRPr="005F2F8F">
        <w:rPr>
          <w:i/>
        </w:rPr>
        <w:t>For more detail on PBAC’s view, see section 7 PBAC outcome.</w:t>
      </w:r>
    </w:p>
    <w:p w:rsidR="00C317F3" w:rsidRPr="007D0E37" w:rsidRDefault="00C317F3" w:rsidP="002001C6">
      <w:pPr>
        <w:pStyle w:val="Heading1"/>
        <w:ind w:left="709" w:hanging="709"/>
      </w:pPr>
      <w:bookmarkStart w:id="14" w:name="_Toc413139276"/>
      <w:bookmarkStart w:id="15" w:name="_Toc493062653"/>
      <w:r w:rsidRPr="007D0E37">
        <w:t>Consideration of the evidence</w:t>
      </w:r>
      <w:bookmarkEnd w:id="14"/>
      <w:bookmarkEnd w:id="15"/>
    </w:p>
    <w:p w:rsidR="003D04A5" w:rsidRPr="00791481" w:rsidRDefault="003D04A5" w:rsidP="003D04A5">
      <w:pPr>
        <w:pStyle w:val="Heading2"/>
        <w:jc w:val="both"/>
        <w:rPr>
          <w:i w:val="0"/>
        </w:rPr>
      </w:pPr>
      <w:bookmarkStart w:id="16" w:name="_Toc413139277"/>
      <w:bookmarkStart w:id="17" w:name="_Toc493062654"/>
      <w:r w:rsidRPr="00791481">
        <w:rPr>
          <w:i w:val="0"/>
        </w:rPr>
        <w:t>Sponsor hearing</w:t>
      </w:r>
    </w:p>
    <w:p w:rsidR="003D04A5" w:rsidRPr="00791481" w:rsidRDefault="00316C35" w:rsidP="0060197D">
      <w:pPr>
        <w:pStyle w:val="ListParagraph"/>
        <w:numPr>
          <w:ilvl w:val="1"/>
          <w:numId w:val="13"/>
        </w:numPr>
        <w:jc w:val="both"/>
      </w:pPr>
      <w:r w:rsidRPr="00791481">
        <w:t>There was no hearing for this item.</w:t>
      </w:r>
    </w:p>
    <w:p w:rsidR="002F3E93" w:rsidRPr="00791481" w:rsidRDefault="002F3E93" w:rsidP="002F3E93">
      <w:pPr>
        <w:pStyle w:val="Heading2"/>
        <w:jc w:val="both"/>
        <w:rPr>
          <w:i w:val="0"/>
        </w:rPr>
      </w:pPr>
      <w:r w:rsidRPr="00791481">
        <w:rPr>
          <w:i w:val="0"/>
        </w:rPr>
        <w:t>Consumer comments</w:t>
      </w:r>
    </w:p>
    <w:p w:rsidR="002F3E93" w:rsidRPr="00791481" w:rsidRDefault="00316C35" w:rsidP="0060197D">
      <w:pPr>
        <w:pStyle w:val="ListParagraph"/>
        <w:numPr>
          <w:ilvl w:val="1"/>
          <w:numId w:val="13"/>
        </w:numPr>
        <w:jc w:val="both"/>
      </w:pPr>
      <w:r w:rsidRPr="00791481">
        <w:t>The PBAC noted and welcomed the input from individuals (21), healthcare professionals (1) and organisations (2) via the Consumer Comments facility on the PBS website. The comments describe a range of benefits of treatment with golimumab including the ability to self-medicate, avoiding the disruption of trips to hospital, reduction in administration and the potential for a reduction of side effects.</w:t>
      </w:r>
    </w:p>
    <w:p w:rsidR="00587E99" w:rsidRPr="00791481" w:rsidRDefault="00316C35" w:rsidP="0060197D">
      <w:pPr>
        <w:pStyle w:val="ListParagraph"/>
        <w:numPr>
          <w:ilvl w:val="1"/>
          <w:numId w:val="13"/>
        </w:numPr>
        <w:jc w:val="both"/>
      </w:pPr>
      <w:r w:rsidRPr="00791481">
        <w:rPr>
          <w:rFonts w:cs="Arial"/>
          <w:bCs/>
          <w:snapToGrid w:val="0"/>
        </w:rPr>
        <w:t>The PBAC noted the advice received from Crohn’s and Colitis Australia clarifying the likely</w:t>
      </w:r>
      <w:r>
        <w:rPr>
          <w:rFonts w:cs="Arial"/>
          <w:bCs/>
          <w:snapToGrid w:val="0"/>
        </w:rPr>
        <w:t xml:space="preserve"> benefits from</w:t>
      </w:r>
      <w:r w:rsidRPr="00791481">
        <w:rPr>
          <w:rFonts w:cs="Arial"/>
          <w:bCs/>
          <w:snapToGrid w:val="0"/>
        </w:rPr>
        <w:t xml:space="preserve"> use of </w:t>
      </w:r>
      <w:r w:rsidRPr="00791481">
        <w:t>golimumab</w:t>
      </w:r>
      <w:r w:rsidRPr="00791481">
        <w:rPr>
          <w:rFonts w:cs="Arial"/>
          <w:bCs/>
          <w:snapToGrid w:val="0"/>
        </w:rPr>
        <w:t>.</w:t>
      </w:r>
      <w:r w:rsidR="00767CDD">
        <w:rPr>
          <w:rFonts w:cs="Arial"/>
          <w:bCs/>
          <w:snapToGrid w:val="0"/>
        </w:rPr>
        <w:t xml:space="preserve"> </w:t>
      </w:r>
      <w:r w:rsidRPr="00791481">
        <w:rPr>
          <w:rFonts w:cs="Arial"/>
          <w:bCs/>
          <w:snapToGrid w:val="0"/>
        </w:rPr>
        <w:t xml:space="preserve">The PBAC specifically noted the advice that the use of </w:t>
      </w:r>
      <w:r w:rsidRPr="00791481">
        <w:t>golimumab</w:t>
      </w:r>
      <w:r w:rsidRPr="00791481">
        <w:rPr>
          <w:rFonts w:cs="Arial"/>
          <w:bCs/>
          <w:snapToGrid w:val="0"/>
        </w:rPr>
        <w:t xml:space="preserve"> may improve the productivity of patient</w:t>
      </w:r>
      <w:r>
        <w:rPr>
          <w:rFonts w:cs="Arial"/>
          <w:bCs/>
          <w:snapToGrid w:val="0"/>
        </w:rPr>
        <w:t>s</w:t>
      </w:r>
      <w:r w:rsidRPr="00791481">
        <w:rPr>
          <w:rFonts w:cs="Arial"/>
          <w:bCs/>
          <w:snapToGrid w:val="0"/>
        </w:rPr>
        <w:t xml:space="preserve"> and </w:t>
      </w:r>
      <w:r>
        <w:rPr>
          <w:rFonts w:cs="Arial"/>
          <w:bCs/>
          <w:snapToGrid w:val="0"/>
        </w:rPr>
        <w:t xml:space="preserve">decrease </w:t>
      </w:r>
      <w:r w:rsidRPr="00791481">
        <w:rPr>
          <w:rFonts w:cs="Arial"/>
          <w:bCs/>
          <w:snapToGrid w:val="0"/>
        </w:rPr>
        <w:t>the time spent both in hospital and travelling to hospital, which is of particular relevance for patients living in rural and regional Australia. The PBAC noted that this advice was supportive of the evidence provided in the submission.</w:t>
      </w:r>
    </w:p>
    <w:p w:rsidR="00C317F3" w:rsidRPr="007D0E37" w:rsidRDefault="00C317F3" w:rsidP="00772501">
      <w:pPr>
        <w:pStyle w:val="Heading2"/>
        <w:rPr>
          <w:i w:val="0"/>
        </w:rPr>
      </w:pPr>
      <w:r w:rsidRPr="007D0E37">
        <w:rPr>
          <w:i w:val="0"/>
        </w:rPr>
        <w:t>Clinical trials</w:t>
      </w:r>
      <w:bookmarkEnd w:id="16"/>
      <w:bookmarkEnd w:id="17"/>
    </w:p>
    <w:p w:rsidR="00D72742" w:rsidRPr="007D0E37" w:rsidRDefault="00D72742" w:rsidP="0060197D">
      <w:pPr>
        <w:pStyle w:val="ListParagraph"/>
        <w:numPr>
          <w:ilvl w:val="1"/>
          <w:numId w:val="13"/>
        </w:numPr>
        <w:jc w:val="both"/>
      </w:pPr>
      <w:r w:rsidRPr="007D0E37">
        <w:t>The submission was based on indirect comparison</w:t>
      </w:r>
      <w:r w:rsidR="00F048B9" w:rsidRPr="007D0E37">
        <w:t>s</w:t>
      </w:r>
      <w:r w:rsidRPr="007D0E37">
        <w:t xml:space="preserve"> of </w:t>
      </w:r>
      <w:r w:rsidR="00F048B9" w:rsidRPr="007D0E37">
        <w:t>golimumab with infliximab, adalimumab, and vedolizumab, using placebo as the common comparator.</w:t>
      </w:r>
      <w:r w:rsidRPr="007D0E37">
        <w:t xml:space="preserve"> </w:t>
      </w:r>
      <w:r w:rsidR="0042687B" w:rsidRPr="007D0E37">
        <w:t xml:space="preserve">The submission presented nine </w:t>
      </w:r>
      <w:r w:rsidR="00502F97" w:rsidRPr="007D0E37">
        <w:t>randomised controlled trials (</w:t>
      </w:r>
      <w:r w:rsidR="0042687B" w:rsidRPr="007D0E37">
        <w:t>RCTs</w:t>
      </w:r>
      <w:r w:rsidR="00502F97" w:rsidRPr="007D0E37">
        <w:t>)</w:t>
      </w:r>
      <w:r w:rsidR="0042687B" w:rsidRPr="007D0E37">
        <w:t xml:space="preserve"> as the basis of the indirect treatment comparison as summarised in</w:t>
      </w:r>
      <w:r w:rsidR="00F048B9" w:rsidRPr="007D0E37">
        <w:t xml:space="preserve"> Table </w:t>
      </w:r>
      <w:r w:rsidR="0097718B" w:rsidRPr="007D0E37">
        <w:t>3</w:t>
      </w:r>
      <w:r w:rsidR="00F048B9" w:rsidRPr="007D0E37">
        <w:t>.</w:t>
      </w:r>
    </w:p>
    <w:p w:rsidR="00D72742" w:rsidRPr="007D0E37" w:rsidRDefault="00D72742" w:rsidP="00377A13">
      <w:pPr>
        <w:pStyle w:val="TableHeading0"/>
        <w:ind w:left="-70"/>
      </w:pPr>
      <w:r w:rsidRPr="007D0E37">
        <w:t>T</w:t>
      </w:r>
      <w:r w:rsidR="00F048B9" w:rsidRPr="007D0E37">
        <w:t xml:space="preserve">able </w:t>
      </w:r>
      <w:r w:rsidR="0097718B" w:rsidRPr="007D0E37">
        <w:t>3</w:t>
      </w:r>
      <w:r w:rsidRPr="007D0E37">
        <w:t>: Summary of source of the main clinical evidence used in the submission</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3: Summary of source of the main clinical evidence used in the submission"/>
      </w:tblPr>
      <w:tblGrid>
        <w:gridCol w:w="1275"/>
        <w:gridCol w:w="3858"/>
        <w:gridCol w:w="4109"/>
      </w:tblGrid>
      <w:tr w:rsidR="00D72742" w:rsidRPr="007D0E37" w:rsidTr="005E4FCD">
        <w:trPr>
          <w:cnfStyle w:val="100000000000" w:firstRow="1" w:lastRow="0" w:firstColumn="0" w:lastColumn="0" w:oddVBand="0" w:evenVBand="0" w:oddHBand="0" w:evenHBand="0" w:firstRowFirstColumn="0" w:firstRowLastColumn="0" w:lastRowFirstColumn="0" w:lastRowLastColumn="0"/>
          <w:trHeight w:val="75"/>
          <w:tblHeader/>
        </w:trPr>
        <w:tc>
          <w:tcPr>
            <w:tcW w:w="690" w:type="pct"/>
            <w:shd w:val="clear" w:color="auto" w:fill="auto"/>
          </w:tcPr>
          <w:p w:rsidR="00D72742" w:rsidRPr="007D0E37" w:rsidRDefault="00D72742" w:rsidP="00CA15E5">
            <w:pPr>
              <w:pStyle w:val="V50Instructions"/>
              <w:rPr>
                <w:rFonts w:ascii="Arial Narrow" w:hAnsi="Arial Narrow"/>
                <w:color w:val="000000" w:themeColor="text1"/>
                <w:sz w:val="20"/>
                <w:szCs w:val="20"/>
              </w:rPr>
            </w:pPr>
          </w:p>
        </w:tc>
        <w:tc>
          <w:tcPr>
            <w:tcW w:w="2087" w:type="pct"/>
            <w:shd w:val="clear" w:color="auto" w:fill="auto"/>
          </w:tcPr>
          <w:p w:rsidR="00D72742" w:rsidRPr="007D0E37" w:rsidRDefault="00D72742" w:rsidP="00CA15E5">
            <w:pPr>
              <w:pStyle w:val="V50Instructions"/>
              <w:rPr>
                <w:rFonts w:ascii="Arial Narrow" w:hAnsi="Arial Narrow"/>
                <w:color w:val="000000" w:themeColor="text1"/>
                <w:sz w:val="20"/>
                <w:szCs w:val="20"/>
              </w:rPr>
            </w:pPr>
            <w:r w:rsidRPr="007D0E37">
              <w:rPr>
                <w:rFonts w:ascii="Arial Narrow" w:hAnsi="Arial Narrow"/>
                <w:color w:val="000000" w:themeColor="text1"/>
                <w:sz w:val="20"/>
                <w:szCs w:val="20"/>
              </w:rPr>
              <w:t>Induction Treatment Phase</w:t>
            </w:r>
          </w:p>
        </w:tc>
        <w:tc>
          <w:tcPr>
            <w:tcW w:w="2223" w:type="pct"/>
            <w:shd w:val="clear" w:color="auto" w:fill="auto"/>
          </w:tcPr>
          <w:p w:rsidR="00D72742" w:rsidRPr="007D0E37" w:rsidRDefault="00D72742" w:rsidP="00CA15E5">
            <w:pPr>
              <w:pStyle w:val="V50Instructions"/>
              <w:rPr>
                <w:rFonts w:ascii="Arial Narrow" w:hAnsi="Arial Narrow"/>
                <w:color w:val="000000" w:themeColor="text1"/>
                <w:sz w:val="20"/>
                <w:szCs w:val="20"/>
              </w:rPr>
            </w:pPr>
            <w:r w:rsidRPr="007D0E37">
              <w:rPr>
                <w:rFonts w:ascii="Arial Narrow" w:hAnsi="Arial Narrow"/>
                <w:color w:val="000000" w:themeColor="text1"/>
                <w:sz w:val="20"/>
                <w:szCs w:val="20"/>
              </w:rPr>
              <w:t>Maintenance Treatment Phase</w:t>
            </w:r>
          </w:p>
        </w:tc>
      </w:tr>
      <w:tr w:rsidR="00D72742" w:rsidRPr="007D0E37" w:rsidTr="00377A13">
        <w:tc>
          <w:tcPr>
            <w:tcW w:w="690" w:type="pct"/>
            <w:shd w:val="clear" w:color="auto" w:fill="auto"/>
          </w:tcPr>
          <w:p w:rsidR="00D72742" w:rsidRPr="007D0E37" w:rsidRDefault="00D72742" w:rsidP="00CA15E5">
            <w:pPr>
              <w:pStyle w:val="V50Instructions"/>
              <w:rPr>
                <w:rFonts w:ascii="Arial Narrow" w:hAnsi="Arial Narrow"/>
                <w:color w:val="auto"/>
                <w:sz w:val="20"/>
                <w:szCs w:val="20"/>
              </w:rPr>
            </w:pPr>
            <w:r w:rsidRPr="007D0E37">
              <w:rPr>
                <w:rFonts w:ascii="Arial Narrow" w:hAnsi="Arial Narrow"/>
                <w:color w:val="auto"/>
                <w:sz w:val="20"/>
                <w:szCs w:val="20"/>
              </w:rPr>
              <w:t>Golimumab</w:t>
            </w:r>
          </w:p>
        </w:tc>
        <w:tc>
          <w:tcPr>
            <w:tcW w:w="2087" w:type="pct"/>
            <w:shd w:val="clear" w:color="auto" w:fill="auto"/>
          </w:tcPr>
          <w:p w:rsidR="00D72742" w:rsidRPr="007D0E37" w:rsidRDefault="00D72742" w:rsidP="00CA15E5">
            <w:pPr>
              <w:pStyle w:val="V50Instructions"/>
              <w:rPr>
                <w:rFonts w:ascii="Arial Narrow" w:hAnsi="Arial Narrow"/>
                <w:color w:val="auto"/>
                <w:sz w:val="20"/>
                <w:szCs w:val="20"/>
              </w:rPr>
            </w:pPr>
            <w:r w:rsidRPr="007D0E37">
              <w:rPr>
                <w:rFonts w:ascii="Arial Narrow" w:hAnsi="Arial Narrow"/>
                <w:color w:val="auto"/>
                <w:sz w:val="20"/>
                <w:szCs w:val="20"/>
              </w:rPr>
              <w:t>PURSUIT-SC: golimumab 200/100 mg vs placebo.</w:t>
            </w:r>
          </w:p>
        </w:tc>
        <w:tc>
          <w:tcPr>
            <w:tcW w:w="2223" w:type="pct"/>
            <w:shd w:val="clear" w:color="auto" w:fill="auto"/>
          </w:tcPr>
          <w:p w:rsidR="00D72742" w:rsidRPr="007D0E37" w:rsidRDefault="00D72742" w:rsidP="00CA15E5">
            <w:pPr>
              <w:pStyle w:val="V50Instructions"/>
              <w:rPr>
                <w:rFonts w:ascii="Arial Narrow" w:hAnsi="Arial Narrow"/>
                <w:color w:val="auto"/>
                <w:sz w:val="20"/>
                <w:szCs w:val="20"/>
              </w:rPr>
            </w:pPr>
            <w:r w:rsidRPr="007D0E37">
              <w:rPr>
                <w:rFonts w:ascii="Arial Narrow" w:hAnsi="Arial Narrow"/>
                <w:color w:val="auto"/>
                <w:sz w:val="20"/>
                <w:szCs w:val="20"/>
              </w:rPr>
              <w:t>PURSUIT-M: golimumab 200/100 mg vs placebo.</w:t>
            </w:r>
          </w:p>
          <w:p w:rsidR="00D72742" w:rsidRPr="007D0E37" w:rsidRDefault="00D72742" w:rsidP="00CA15E5">
            <w:pPr>
              <w:pStyle w:val="V50Instructions"/>
              <w:rPr>
                <w:rFonts w:ascii="Arial Narrow" w:hAnsi="Arial Narrow"/>
                <w:color w:val="auto"/>
                <w:sz w:val="20"/>
                <w:szCs w:val="20"/>
              </w:rPr>
            </w:pPr>
            <w:r w:rsidRPr="007D0E37">
              <w:rPr>
                <w:rFonts w:ascii="Arial Narrow" w:hAnsi="Arial Narrow"/>
                <w:color w:val="auto"/>
                <w:sz w:val="20"/>
                <w:szCs w:val="20"/>
              </w:rPr>
              <w:t>PURSUIT-J: golimumab 200/100 mg vs placebo. Supplementary only.</w:t>
            </w:r>
          </w:p>
        </w:tc>
      </w:tr>
      <w:tr w:rsidR="00D72742" w:rsidRPr="007D0E37" w:rsidTr="00377A13">
        <w:tc>
          <w:tcPr>
            <w:tcW w:w="690" w:type="pct"/>
            <w:shd w:val="clear" w:color="auto" w:fill="auto"/>
          </w:tcPr>
          <w:p w:rsidR="00D72742" w:rsidRPr="007D0E37" w:rsidRDefault="00D72742" w:rsidP="00CA15E5">
            <w:pPr>
              <w:pStyle w:val="V50Instructions"/>
              <w:rPr>
                <w:rFonts w:ascii="Arial Narrow" w:hAnsi="Arial Narrow"/>
                <w:color w:val="auto"/>
                <w:sz w:val="20"/>
                <w:szCs w:val="20"/>
              </w:rPr>
            </w:pPr>
            <w:r w:rsidRPr="007D0E37">
              <w:rPr>
                <w:rFonts w:ascii="Arial Narrow" w:hAnsi="Arial Narrow"/>
                <w:color w:val="auto"/>
                <w:sz w:val="20"/>
                <w:szCs w:val="20"/>
              </w:rPr>
              <w:t>Adalimumab</w:t>
            </w:r>
          </w:p>
        </w:tc>
        <w:tc>
          <w:tcPr>
            <w:tcW w:w="2087" w:type="pct"/>
            <w:shd w:val="clear" w:color="auto" w:fill="auto"/>
          </w:tcPr>
          <w:p w:rsidR="00D72742" w:rsidRPr="007D0E37" w:rsidRDefault="00D72742" w:rsidP="00CA15E5">
            <w:pPr>
              <w:pStyle w:val="V50Instructions"/>
              <w:rPr>
                <w:rFonts w:ascii="Arial Narrow" w:hAnsi="Arial Narrow"/>
                <w:color w:val="auto"/>
                <w:sz w:val="20"/>
                <w:szCs w:val="20"/>
              </w:rPr>
            </w:pPr>
            <w:r w:rsidRPr="007D0E37">
              <w:rPr>
                <w:rFonts w:ascii="Arial Narrow" w:hAnsi="Arial Narrow"/>
                <w:color w:val="auto"/>
                <w:sz w:val="20"/>
                <w:szCs w:val="20"/>
              </w:rPr>
              <w:t>ULTRA 1</w:t>
            </w:r>
            <w:r w:rsidR="00502F97" w:rsidRPr="007D0E37">
              <w:rPr>
                <w:rFonts w:ascii="Arial Narrow" w:hAnsi="Arial Narrow"/>
                <w:color w:val="auto"/>
                <w:sz w:val="20"/>
                <w:szCs w:val="20"/>
              </w:rPr>
              <w:t xml:space="preserve"> </w:t>
            </w:r>
            <w:r w:rsidRPr="007D0E37">
              <w:rPr>
                <w:rFonts w:ascii="Arial Narrow" w:hAnsi="Arial Narrow"/>
                <w:color w:val="auto"/>
                <w:sz w:val="20"/>
                <w:szCs w:val="20"/>
              </w:rPr>
              <w:t xml:space="preserve">&amp; ULTRA 2: adalimumab 160/80/40 mg vs placebo. </w:t>
            </w:r>
          </w:p>
          <w:p w:rsidR="00D72742" w:rsidRPr="007D0E37" w:rsidRDefault="00D72742" w:rsidP="00CA15E5">
            <w:pPr>
              <w:pStyle w:val="V50Instructions"/>
              <w:rPr>
                <w:rFonts w:ascii="Arial Narrow" w:hAnsi="Arial Narrow"/>
                <w:color w:val="auto"/>
                <w:sz w:val="20"/>
                <w:szCs w:val="20"/>
              </w:rPr>
            </w:pPr>
            <w:r w:rsidRPr="007D0E37">
              <w:rPr>
                <w:rFonts w:ascii="Arial Narrow" w:hAnsi="Arial Narrow"/>
                <w:color w:val="auto"/>
                <w:sz w:val="20"/>
                <w:szCs w:val="20"/>
              </w:rPr>
              <w:t>Suzuki 2014: adalimumab 160/80/40 mg vs placebo. Supplementary only.</w:t>
            </w:r>
          </w:p>
        </w:tc>
        <w:tc>
          <w:tcPr>
            <w:tcW w:w="2223" w:type="pct"/>
            <w:shd w:val="clear" w:color="auto" w:fill="auto"/>
          </w:tcPr>
          <w:p w:rsidR="00D72742" w:rsidRPr="007D0E37" w:rsidRDefault="00D72742" w:rsidP="00CA15E5">
            <w:pPr>
              <w:pStyle w:val="V50Instructions"/>
              <w:rPr>
                <w:rFonts w:ascii="Arial Narrow" w:hAnsi="Arial Narrow"/>
                <w:color w:val="auto"/>
                <w:sz w:val="20"/>
                <w:szCs w:val="20"/>
              </w:rPr>
            </w:pPr>
            <w:r w:rsidRPr="007D0E37">
              <w:rPr>
                <w:rFonts w:ascii="Arial Narrow" w:hAnsi="Arial Narrow"/>
                <w:color w:val="auto"/>
                <w:sz w:val="20"/>
                <w:szCs w:val="20"/>
              </w:rPr>
              <w:t>ULTRA 2: adalimumab 160/80/40 mg vs placebo.</w:t>
            </w:r>
            <w:r w:rsidR="007D3E42" w:rsidRPr="007D0E37">
              <w:rPr>
                <w:rFonts w:ascii="Arial Narrow" w:hAnsi="Arial Narrow"/>
                <w:color w:val="auto"/>
                <w:sz w:val="20"/>
                <w:szCs w:val="20"/>
              </w:rPr>
              <w:br/>
            </w:r>
          </w:p>
          <w:p w:rsidR="00D72742" w:rsidRPr="007D0E37" w:rsidRDefault="00D72742" w:rsidP="00CA15E5">
            <w:pPr>
              <w:pStyle w:val="V50Instructions"/>
              <w:rPr>
                <w:rFonts w:ascii="Arial Narrow" w:hAnsi="Arial Narrow"/>
                <w:color w:val="auto"/>
                <w:sz w:val="20"/>
                <w:szCs w:val="20"/>
              </w:rPr>
            </w:pPr>
            <w:r w:rsidRPr="007D0E37">
              <w:rPr>
                <w:rFonts w:ascii="Arial Narrow" w:hAnsi="Arial Narrow"/>
                <w:color w:val="auto"/>
                <w:sz w:val="20"/>
                <w:szCs w:val="20"/>
              </w:rPr>
              <w:t>Suzuki 2014: adalimumab 160/80/40 mg vs placebo. Supplementary only.</w:t>
            </w:r>
          </w:p>
        </w:tc>
      </w:tr>
      <w:tr w:rsidR="00D72742" w:rsidRPr="007D0E37" w:rsidTr="00932195">
        <w:tc>
          <w:tcPr>
            <w:tcW w:w="690" w:type="pct"/>
            <w:shd w:val="clear" w:color="auto" w:fill="auto"/>
          </w:tcPr>
          <w:p w:rsidR="00D72742" w:rsidRPr="007D0E37" w:rsidRDefault="00D72742" w:rsidP="00CA15E5">
            <w:pPr>
              <w:pStyle w:val="V50Instructions"/>
              <w:rPr>
                <w:rFonts w:ascii="Arial Narrow" w:hAnsi="Arial Narrow"/>
                <w:color w:val="auto"/>
                <w:sz w:val="20"/>
                <w:szCs w:val="20"/>
              </w:rPr>
            </w:pPr>
            <w:r w:rsidRPr="007D0E37">
              <w:rPr>
                <w:rFonts w:ascii="Arial Narrow" w:hAnsi="Arial Narrow"/>
                <w:color w:val="auto"/>
                <w:sz w:val="20"/>
                <w:szCs w:val="20"/>
              </w:rPr>
              <w:t>Infliximab</w:t>
            </w:r>
          </w:p>
        </w:tc>
        <w:tc>
          <w:tcPr>
            <w:tcW w:w="2087" w:type="pct"/>
            <w:tcBorders>
              <w:bottom w:val="single" w:sz="4" w:space="0" w:color="auto"/>
            </w:tcBorders>
            <w:shd w:val="clear" w:color="auto" w:fill="auto"/>
          </w:tcPr>
          <w:p w:rsidR="00D72742" w:rsidRPr="007D0E37" w:rsidRDefault="00D72742" w:rsidP="00CA15E5">
            <w:pPr>
              <w:pStyle w:val="V50Instructions"/>
              <w:rPr>
                <w:rFonts w:ascii="Arial Narrow" w:hAnsi="Arial Narrow"/>
                <w:color w:val="auto"/>
                <w:sz w:val="20"/>
                <w:szCs w:val="20"/>
              </w:rPr>
            </w:pPr>
            <w:r w:rsidRPr="007D0E37">
              <w:rPr>
                <w:rFonts w:ascii="Arial Narrow" w:hAnsi="Arial Narrow"/>
                <w:color w:val="auto"/>
                <w:sz w:val="20"/>
                <w:szCs w:val="20"/>
              </w:rPr>
              <w:t>ACT 1</w:t>
            </w:r>
            <w:r w:rsidR="007D3E42" w:rsidRPr="007D0E37">
              <w:rPr>
                <w:rFonts w:ascii="Arial Narrow" w:hAnsi="Arial Narrow"/>
                <w:color w:val="auto"/>
                <w:sz w:val="20"/>
                <w:szCs w:val="20"/>
              </w:rPr>
              <w:t xml:space="preserve"> and ACT 2</w:t>
            </w:r>
            <w:r w:rsidRPr="007D0E37">
              <w:rPr>
                <w:rFonts w:ascii="Arial Narrow" w:hAnsi="Arial Narrow"/>
                <w:color w:val="auto"/>
                <w:sz w:val="20"/>
                <w:szCs w:val="20"/>
              </w:rPr>
              <w:t>: infliximab 5 mg/kg vs placebo.</w:t>
            </w:r>
          </w:p>
        </w:tc>
        <w:tc>
          <w:tcPr>
            <w:tcW w:w="2223" w:type="pct"/>
            <w:tcBorders>
              <w:bottom w:val="single" w:sz="4" w:space="0" w:color="auto"/>
            </w:tcBorders>
            <w:shd w:val="clear" w:color="auto" w:fill="auto"/>
          </w:tcPr>
          <w:p w:rsidR="00D72742" w:rsidRPr="007D0E37" w:rsidRDefault="00D72742" w:rsidP="00CA15E5">
            <w:pPr>
              <w:pStyle w:val="V50Instructions"/>
              <w:rPr>
                <w:rFonts w:ascii="Arial Narrow" w:hAnsi="Arial Narrow"/>
                <w:color w:val="auto"/>
                <w:sz w:val="20"/>
                <w:szCs w:val="20"/>
              </w:rPr>
            </w:pPr>
            <w:r w:rsidRPr="007D0E37">
              <w:rPr>
                <w:rFonts w:ascii="Arial Narrow" w:hAnsi="Arial Narrow"/>
                <w:color w:val="auto"/>
                <w:sz w:val="20"/>
                <w:szCs w:val="20"/>
              </w:rPr>
              <w:t>ACT 2: infliximab 5 mg/kg vs placebo.</w:t>
            </w:r>
          </w:p>
        </w:tc>
      </w:tr>
      <w:tr w:rsidR="00D72742" w:rsidRPr="007D0E37" w:rsidTr="00932195">
        <w:tc>
          <w:tcPr>
            <w:tcW w:w="690" w:type="pct"/>
            <w:shd w:val="clear" w:color="auto" w:fill="auto"/>
          </w:tcPr>
          <w:p w:rsidR="00D72742" w:rsidRPr="007D0E37" w:rsidRDefault="00D72742" w:rsidP="00CA15E5">
            <w:pPr>
              <w:pStyle w:val="V50Instructions"/>
              <w:rPr>
                <w:rFonts w:ascii="Arial Narrow" w:hAnsi="Arial Narrow"/>
                <w:color w:val="auto"/>
                <w:sz w:val="20"/>
                <w:szCs w:val="20"/>
              </w:rPr>
            </w:pPr>
            <w:r w:rsidRPr="007D0E37">
              <w:rPr>
                <w:rFonts w:ascii="Arial Narrow" w:hAnsi="Arial Narrow"/>
                <w:color w:val="auto"/>
                <w:sz w:val="20"/>
                <w:szCs w:val="20"/>
              </w:rPr>
              <w:t>Vedolizumab</w:t>
            </w:r>
          </w:p>
        </w:tc>
        <w:tc>
          <w:tcPr>
            <w:tcW w:w="4310" w:type="pct"/>
            <w:gridSpan w:val="2"/>
            <w:tcBorders>
              <w:bottom w:val="single" w:sz="4" w:space="0" w:color="auto"/>
            </w:tcBorders>
            <w:shd w:val="clear" w:color="auto" w:fill="auto"/>
          </w:tcPr>
          <w:p w:rsidR="00D72742" w:rsidRPr="007D0E37" w:rsidRDefault="00D72742" w:rsidP="00CA15E5">
            <w:pPr>
              <w:pStyle w:val="V50Instructions"/>
              <w:rPr>
                <w:rFonts w:ascii="Arial Narrow" w:hAnsi="Arial Narrow"/>
                <w:color w:val="auto"/>
                <w:sz w:val="20"/>
                <w:szCs w:val="20"/>
              </w:rPr>
            </w:pPr>
            <w:r w:rsidRPr="007D0E37">
              <w:rPr>
                <w:rFonts w:ascii="Arial Narrow" w:hAnsi="Arial Narrow"/>
                <w:color w:val="auto"/>
                <w:sz w:val="20"/>
                <w:szCs w:val="20"/>
              </w:rPr>
              <w:t>GEMINI 1: vedolizumab 300 mg vs placebo.</w:t>
            </w:r>
          </w:p>
        </w:tc>
      </w:tr>
    </w:tbl>
    <w:p w:rsidR="00D72742" w:rsidRPr="007D0E37" w:rsidRDefault="00D72742" w:rsidP="00377A13">
      <w:pPr>
        <w:pStyle w:val="TableFooter"/>
      </w:pPr>
      <w:r w:rsidRPr="007D0E37">
        <w:t>Source:</w:t>
      </w:r>
      <w:r w:rsidR="00CE197C" w:rsidRPr="007D0E37">
        <w:t xml:space="preserve"> </w:t>
      </w:r>
      <w:r w:rsidRPr="007D0E37">
        <w:t>Compiled during the evaluation.</w:t>
      </w:r>
    </w:p>
    <w:p w:rsidR="00D72742" w:rsidRPr="007D0E37" w:rsidRDefault="00D72742" w:rsidP="00377A13">
      <w:pPr>
        <w:pStyle w:val="TableFooter"/>
      </w:pPr>
      <w:r w:rsidRPr="007D0E37">
        <w:t>Note: The clinical trials shown may have included treatment groups other than those included in this table. Those shown were the main source of evidence for each of the drugs shown in the respective treatment settings.</w:t>
      </w:r>
    </w:p>
    <w:p w:rsidR="00D72742" w:rsidRPr="007D0E37" w:rsidRDefault="00D72742" w:rsidP="00B316C3"/>
    <w:p w:rsidR="00C317F3" w:rsidRPr="007D0E37" w:rsidRDefault="00C317F3" w:rsidP="0060197D">
      <w:pPr>
        <w:pStyle w:val="ListParagraph"/>
        <w:numPr>
          <w:ilvl w:val="1"/>
          <w:numId w:val="13"/>
        </w:numPr>
      </w:pPr>
      <w:r w:rsidRPr="007D0E37">
        <w:t xml:space="preserve">Details of the trials presented in the </w:t>
      </w:r>
      <w:r w:rsidR="00181A9C" w:rsidRPr="007D0E37">
        <w:t>submission are provided in T</w:t>
      </w:r>
      <w:r w:rsidR="007B5F2D" w:rsidRPr="007D0E37">
        <w:t>able </w:t>
      </w:r>
      <w:r w:rsidR="0097718B" w:rsidRPr="007D0E37">
        <w:t>4</w:t>
      </w:r>
      <w:r w:rsidRPr="007D0E37">
        <w:t xml:space="preserve">. </w:t>
      </w:r>
    </w:p>
    <w:p w:rsidR="00C317F3" w:rsidRPr="007D0E37" w:rsidRDefault="00C317F3" w:rsidP="00772501">
      <w:pPr>
        <w:pStyle w:val="TableHeading0"/>
      </w:pPr>
      <w:r w:rsidRPr="007D0E37">
        <w:t xml:space="preserve">Table </w:t>
      </w:r>
      <w:r w:rsidR="0097718B" w:rsidRPr="007D0E37">
        <w:t>4</w:t>
      </w:r>
      <w:r w:rsidRPr="007D0E37">
        <w:t>: Trials and associated reports presented in the submission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335"/>
        <w:gridCol w:w="4754"/>
        <w:gridCol w:w="2993"/>
      </w:tblGrid>
      <w:tr w:rsidR="008075F9" w:rsidRPr="007D0E37" w:rsidTr="000C6076">
        <w:trPr>
          <w:tblHeader/>
        </w:trPr>
        <w:tc>
          <w:tcPr>
            <w:tcW w:w="0" w:type="auto"/>
          </w:tcPr>
          <w:p w:rsidR="008075F9" w:rsidRPr="007D0E37" w:rsidRDefault="008075F9" w:rsidP="00CA15E5">
            <w:pPr>
              <w:pStyle w:val="TableText"/>
              <w:keepNext w:val="0"/>
              <w:rPr>
                <w:b/>
              </w:rPr>
            </w:pPr>
            <w:r w:rsidRPr="007D0E37">
              <w:rPr>
                <w:b/>
              </w:rPr>
              <w:t>Trial ID</w:t>
            </w:r>
          </w:p>
        </w:tc>
        <w:tc>
          <w:tcPr>
            <w:tcW w:w="4754" w:type="dxa"/>
          </w:tcPr>
          <w:p w:rsidR="008075F9" w:rsidRPr="007D0E37" w:rsidRDefault="008075F9" w:rsidP="00CA15E5">
            <w:pPr>
              <w:pStyle w:val="TableText"/>
              <w:keepNext w:val="0"/>
              <w:rPr>
                <w:b/>
              </w:rPr>
            </w:pPr>
            <w:r w:rsidRPr="007D0E37">
              <w:rPr>
                <w:b/>
              </w:rPr>
              <w:t>Protocol title/ Publication title</w:t>
            </w:r>
          </w:p>
        </w:tc>
        <w:tc>
          <w:tcPr>
            <w:tcW w:w="2993" w:type="dxa"/>
          </w:tcPr>
          <w:p w:rsidR="008075F9" w:rsidRPr="007D0E37" w:rsidRDefault="008075F9" w:rsidP="00CA15E5">
            <w:pPr>
              <w:pStyle w:val="TableText"/>
              <w:keepNext w:val="0"/>
              <w:rPr>
                <w:b/>
              </w:rPr>
            </w:pPr>
            <w:r w:rsidRPr="007D0E37">
              <w:rPr>
                <w:b/>
              </w:rPr>
              <w:t>Publication citation</w:t>
            </w:r>
          </w:p>
        </w:tc>
      </w:tr>
      <w:tr w:rsidR="008075F9" w:rsidRPr="007D0E37" w:rsidTr="002B60C2">
        <w:tc>
          <w:tcPr>
            <w:tcW w:w="0" w:type="auto"/>
            <w:gridSpan w:val="3"/>
            <w:tcBorders>
              <w:bottom w:val="single" w:sz="4" w:space="0" w:color="auto"/>
            </w:tcBorders>
          </w:tcPr>
          <w:p w:rsidR="008075F9" w:rsidRPr="007D0E37" w:rsidRDefault="008075F9" w:rsidP="00CA15E5">
            <w:pPr>
              <w:pStyle w:val="TableText"/>
              <w:keepNext w:val="0"/>
              <w:rPr>
                <w:b/>
              </w:rPr>
            </w:pPr>
            <w:r w:rsidRPr="007D0E37">
              <w:rPr>
                <w:b/>
              </w:rPr>
              <w:t xml:space="preserve">Golimumab </w:t>
            </w:r>
            <w:r w:rsidR="00764810" w:rsidRPr="007D0E37">
              <w:rPr>
                <w:b/>
              </w:rPr>
              <w:t xml:space="preserve">vs placebo </w:t>
            </w:r>
            <w:r w:rsidRPr="007D0E37">
              <w:rPr>
                <w:b/>
              </w:rPr>
              <w:t>trials</w:t>
            </w:r>
          </w:p>
        </w:tc>
      </w:tr>
      <w:tr w:rsidR="008075F9" w:rsidRPr="007D0E37" w:rsidTr="000C6076">
        <w:tc>
          <w:tcPr>
            <w:tcW w:w="0" w:type="auto"/>
            <w:tcBorders>
              <w:bottom w:val="nil"/>
            </w:tcBorders>
          </w:tcPr>
          <w:p w:rsidR="008075F9" w:rsidRPr="007D0E37" w:rsidRDefault="008075F9" w:rsidP="00CA15E5">
            <w:pPr>
              <w:pStyle w:val="TableText"/>
              <w:keepNext w:val="0"/>
            </w:pPr>
            <w:r w:rsidRPr="007D0E37">
              <w:t>PURSUIT-SC</w:t>
            </w:r>
          </w:p>
        </w:tc>
        <w:tc>
          <w:tcPr>
            <w:tcW w:w="4754" w:type="dxa"/>
            <w:tcBorders>
              <w:bottom w:val="single" w:sz="4" w:space="0" w:color="auto"/>
            </w:tcBorders>
          </w:tcPr>
          <w:p w:rsidR="008075F9" w:rsidRPr="007D0E37" w:rsidRDefault="008075F9" w:rsidP="00CA15E5">
            <w:pPr>
              <w:pStyle w:val="TableText"/>
              <w:keepNext w:val="0"/>
            </w:pPr>
            <w:r w:rsidRPr="007D0E37">
              <w:t>A clinical study report C0524T17:</w:t>
            </w:r>
            <w:r w:rsidR="00767CDD">
              <w:t xml:space="preserve"> </w:t>
            </w:r>
            <w:r w:rsidRPr="007D0E37">
              <w:t xml:space="preserve">A phase 2/3 multicenter, randomized, placebo-controlled, double-blind study to evaluate the safety and efficacy of golimumab induction therapy, administered subcutaneously, in subjects with moderately to severely active ulcerative colitis (PURSUIT-SC). </w:t>
            </w:r>
          </w:p>
        </w:tc>
        <w:tc>
          <w:tcPr>
            <w:tcW w:w="2993" w:type="dxa"/>
            <w:tcBorders>
              <w:bottom w:val="single" w:sz="4" w:space="0" w:color="auto"/>
            </w:tcBorders>
          </w:tcPr>
          <w:p w:rsidR="008075F9" w:rsidRPr="007D0E37" w:rsidRDefault="008075F9" w:rsidP="00CA15E5">
            <w:pPr>
              <w:pStyle w:val="TableText"/>
              <w:keepNext w:val="0"/>
            </w:pPr>
            <w:r w:rsidRPr="007D0E37">
              <w:t>Janssen Research &amp; Development. Internal study report, 11 August 2011.</w:t>
            </w:r>
          </w:p>
          <w:p w:rsidR="008075F9" w:rsidRPr="007D0E37" w:rsidRDefault="008075F9" w:rsidP="00CA15E5">
            <w:pPr>
              <w:pStyle w:val="TableText"/>
              <w:keepNext w:val="0"/>
            </w:pPr>
          </w:p>
        </w:tc>
      </w:tr>
      <w:tr w:rsidR="008075F9" w:rsidRPr="007D0E37" w:rsidTr="000C6076">
        <w:tc>
          <w:tcPr>
            <w:tcW w:w="0" w:type="auto"/>
            <w:tcBorders>
              <w:top w:val="nil"/>
              <w:bottom w:val="nil"/>
            </w:tcBorders>
          </w:tcPr>
          <w:p w:rsidR="008075F9" w:rsidRPr="007D0E37" w:rsidRDefault="008075F9" w:rsidP="00CA15E5">
            <w:pPr>
              <w:pStyle w:val="TableText"/>
              <w:keepNext w:val="0"/>
            </w:pPr>
          </w:p>
        </w:tc>
        <w:tc>
          <w:tcPr>
            <w:tcW w:w="4754" w:type="dxa"/>
            <w:tcBorders>
              <w:top w:val="nil"/>
              <w:bottom w:val="single" w:sz="4" w:space="0" w:color="auto"/>
            </w:tcBorders>
          </w:tcPr>
          <w:p w:rsidR="008075F9" w:rsidRPr="007D0E37" w:rsidRDefault="008075F9" w:rsidP="00CA15E5">
            <w:pPr>
              <w:pStyle w:val="TableText"/>
              <w:keepNext w:val="0"/>
            </w:pPr>
            <w:r w:rsidRPr="007D0E37">
              <w:t xml:space="preserve">Sandborn WJ, Feagan BG, Marano C, et al; PURSUIT-SC Study Group. Subcutaneous golimumab induces clinical response and remission in patients with moderate-to-severe ulcerative colitis. </w:t>
            </w:r>
          </w:p>
        </w:tc>
        <w:tc>
          <w:tcPr>
            <w:tcW w:w="2993" w:type="dxa"/>
            <w:tcBorders>
              <w:top w:val="nil"/>
              <w:bottom w:val="single" w:sz="4" w:space="0" w:color="auto"/>
            </w:tcBorders>
          </w:tcPr>
          <w:p w:rsidR="008075F9" w:rsidRPr="007D0E37" w:rsidRDefault="008075F9" w:rsidP="00CA15E5">
            <w:pPr>
              <w:pStyle w:val="TableText"/>
              <w:keepNext w:val="0"/>
            </w:pPr>
            <w:r w:rsidRPr="007D0E37">
              <w:t xml:space="preserve">Gastroenterology. 2014; 146:85-95. </w:t>
            </w:r>
          </w:p>
        </w:tc>
      </w:tr>
      <w:tr w:rsidR="008075F9" w:rsidRPr="007D0E37" w:rsidTr="000C6076">
        <w:tc>
          <w:tcPr>
            <w:tcW w:w="0" w:type="auto"/>
            <w:tcBorders>
              <w:top w:val="nil"/>
              <w:bottom w:val="single" w:sz="4" w:space="0" w:color="auto"/>
            </w:tcBorders>
          </w:tcPr>
          <w:p w:rsidR="008075F9" w:rsidRPr="007D0E37" w:rsidRDefault="008075F9" w:rsidP="00CA15E5">
            <w:pPr>
              <w:pStyle w:val="TableText"/>
              <w:keepNext w:val="0"/>
            </w:pPr>
          </w:p>
        </w:tc>
        <w:tc>
          <w:tcPr>
            <w:tcW w:w="4754" w:type="dxa"/>
            <w:tcBorders>
              <w:top w:val="nil"/>
              <w:bottom w:val="single" w:sz="4" w:space="0" w:color="auto"/>
            </w:tcBorders>
          </w:tcPr>
          <w:p w:rsidR="008075F9" w:rsidRPr="007D0E37" w:rsidRDefault="008075F9" w:rsidP="00CA15E5">
            <w:pPr>
              <w:pStyle w:val="TableText"/>
              <w:keepNext w:val="0"/>
            </w:pPr>
            <w:r w:rsidRPr="007D0E37">
              <w:t>Gibson PR, Feagan BG, Sandborn WJ, et al. 2016.</w:t>
            </w:r>
            <w:r w:rsidR="00767CDD">
              <w:t xml:space="preserve"> </w:t>
            </w:r>
            <w:r w:rsidRPr="007D0E37">
              <w:t xml:space="preserve">Maintenance of efficacy and continuing safety of golimumab for active ulcerative colitis: PURSUIT-SC maintenance study extension through 1 year. </w:t>
            </w:r>
          </w:p>
        </w:tc>
        <w:tc>
          <w:tcPr>
            <w:tcW w:w="2993" w:type="dxa"/>
            <w:tcBorders>
              <w:top w:val="nil"/>
              <w:bottom w:val="single" w:sz="4" w:space="0" w:color="auto"/>
            </w:tcBorders>
          </w:tcPr>
          <w:p w:rsidR="008075F9" w:rsidRPr="007D0E37" w:rsidRDefault="008075F9" w:rsidP="00CA15E5">
            <w:pPr>
              <w:pStyle w:val="TableText"/>
              <w:keepNext w:val="0"/>
            </w:pPr>
            <w:r w:rsidRPr="007D0E37">
              <w:t>Clin Transl Gastroenterol 2016; 7 e168</w:t>
            </w:r>
          </w:p>
        </w:tc>
      </w:tr>
      <w:tr w:rsidR="008075F9" w:rsidRPr="007D0E37" w:rsidTr="000C6076">
        <w:tc>
          <w:tcPr>
            <w:tcW w:w="0" w:type="auto"/>
            <w:tcBorders>
              <w:bottom w:val="nil"/>
            </w:tcBorders>
          </w:tcPr>
          <w:p w:rsidR="008075F9" w:rsidRPr="007D0E37" w:rsidRDefault="008075F9" w:rsidP="00CA15E5">
            <w:pPr>
              <w:pStyle w:val="TableText"/>
              <w:keepNext w:val="0"/>
            </w:pPr>
            <w:r w:rsidRPr="007D0E37">
              <w:t>PURSUIT-M</w:t>
            </w:r>
          </w:p>
        </w:tc>
        <w:tc>
          <w:tcPr>
            <w:tcW w:w="4754" w:type="dxa"/>
            <w:tcBorders>
              <w:bottom w:val="single" w:sz="4" w:space="0" w:color="auto"/>
            </w:tcBorders>
          </w:tcPr>
          <w:p w:rsidR="008075F9" w:rsidRPr="007D0E37" w:rsidRDefault="008075F9" w:rsidP="00CA15E5">
            <w:pPr>
              <w:pStyle w:val="TableText"/>
              <w:keepNext w:val="0"/>
            </w:pPr>
            <w:r w:rsidRPr="007D0E37">
              <w:t>A clinical study report C0524T17:</w:t>
            </w:r>
            <w:r w:rsidR="00767CDD">
              <w:t xml:space="preserve"> </w:t>
            </w:r>
            <w:r w:rsidRPr="007D0E37">
              <w:t xml:space="preserve">A phase 3 multicenter, randomized, placebo-controlled, double-blind study to evaluate the safety and efficacy of golimumab induction therapy, administered subcutaneously, in subjects with moderately to severely active ulcerative colitis (PURSUIT-Maintenance). </w:t>
            </w:r>
          </w:p>
        </w:tc>
        <w:tc>
          <w:tcPr>
            <w:tcW w:w="2993" w:type="dxa"/>
            <w:tcBorders>
              <w:bottom w:val="single" w:sz="4" w:space="0" w:color="auto"/>
            </w:tcBorders>
          </w:tcPr>
          <w:p w:rsidR="008075F9" w:rsidRPr="007D0E37" w:rsidRDefault="008075F9" w:rsidP="00CA15E5">
            <w:pPr>
              <w:pStyle w:val="TableText"/>
              <w:keepNext w:val="0"/>
            </w:pPr>
            <w:r w:rsidRPr="007D0E37">
              <w:t>Janssen Research &amp; Development. Internal study report, 12 June 2012.</w:t>
            </w:r>
          </w:p>
        </w:tc>
      </w:tr>
      <w:tr w:rsidR="008075F9" w:rsidRPr="007D0E37" w:rsidTr="000C6076">
        <w:tc>
          <w:tcPr>
            <w:tcW w:w="0" w:type="auto"/>
            <w:tcBorders>
              <w:top w:val="nil"/>
            </w:tcBorders>
          </w:tcPr>
          <w:p w:rsidR="008075F9" w:rsidRPr="007D0E37" w:rsidRDefault="008075F9" w:rsidP="00CA15E5">
            <w:pPr>
              <w:pStyle w:val="TableText"/>
              <w:keepNext w:val="0"/>
            </w:pPr>
          </w:p>
        </w:tc>
        <w:tc>
          <w:tcPr>
            <w:tcW w:w="4754" w:type="dxa"/>
            <w:tcBorders>
              <w:top w:val="single" w:sz="4" w:space="0" w:color="auto"/>
            </w:tcBorders>
          </w:tcPr>
          <w:p w:rsidR="008075F9" w:rsidRPr="007D0E37" w:rsidRDefault="008075F9" w:rsidP="00CA15E5">
            <w:pPr>
              <w:pStyle w:val="TableText"/>
              <w:keepNext w:val="0"/>
            </w:pPr>
            <w:r w:rsidRPr="007D0E37">
              <w:t xml:space="preserve">Sandborn WJ, Feagan BG, Marano C, et al. Subcutaneous golimumab maintains clinical response in patients with moderate-to-severe ulcerative colitis. </w:t>
            </w:r>
          </w:p>
        </w:tc>
        <w:tc>
          <w:tcPr>
            <w:tcW w:w="2993" w:type="dxa"/>
            <w:tcBorders>
              <w:top w:val="single" w:sz="4" w:space="0" w:color="auto"/>
            </w:tcBorders>
          </w:tcPr>
          <w:p w:rsidR="008075F9" w:rsidRPr="007D0E37" w:rsidRDefault="008075F9" w:rsidP="00CA15E5">
            <w:pPr>
              <w:pStyle w:val="TableText"/>
              <w:keepNext w:val="0"/>
            </w:pPr>
            <w:r w:rsidRPr="007D0E37">
              <w:t xml:space="preserve">Gastroenterology. 2014; 146:96-109. </w:t>
            </w:r>
          </w:p>
        </w:tc>
      </w:tr>
      <w:tr w:rsidR="008075F9" w:rsidRPr="007D0E37" w:rsidTr="000C6076">
        <w:tc>
          <w:tcPr>
            <w:tcW w:w="0" w:type="auto"/>
          </w:tcPr>
          <w:p w:rsidR="008075F9" w:rsidRPr="007D0E37" w:rsidRDefault="008075F9" w:rsidP="00CA15E5">
            <w:pPr>
              <w:pStyle w:val="TableText"/>
              <w:keepNext w:val="0"/>
            </w:pPr>
            <w:r w:rsidRPr="007D0E37">
              <w:t>PURSUIT-J</w:t>
            </w:r>
          </w:p>
          <w:p w:rsidR="008075F9" w:rsidRPr="007D0E37" w:rsidRDefault="008075F9" w:rsidP="00CA15E5">
            <w:pPr>
              <w:pStyle w:val="TableText"/>
              <w:keepNext w:val="0"/>
            </w:pPr>
            <w:r w:rsidRPr="007D0E37">
              <w:t>(Supplementary)</w:t>
            </w:r>
          </w:p>
        </w:tc>
        <w:tc>
          <w:tcPr>
            <w:tcW w:w="4754" w:type="dxa"/>
          </w:tcPr>
          <w:p w:rsidR="008075F9" w:rsidRPr="007D0E37" w:rsidRDefault="008075F9" w:rsidP="00CA15E5">
            <w:pPr>
              <w:pStyle w:val="TableText"/>
              <w:keepNext w:val="0"/>
            </w:pPr>
            <w:r w:rsidRPr="007D0E37">
              <w:t xml:space="preserve">Hibi T, Imai Y, Senoo A, et al. 2017. Efficacy and safety of golimumab 52-week maintenance therapy in Japanese patients with moderate to severely active ulcerative colitis: a phase 3, double-blind, randomized, placebo-controlled study - (PURSUIT-J study). </w:t>
            </w:r>
          </w:p>
        </w:tc>
        <w:tc>
          <w:tcPr>
            <w:tcW w:w="2993" w:type="dxa"/>
          </w:tcPr>
          <w:p w:rsidR="008075F9" w:rsidRPr="007D0E37" w:rsidRDefault="008075F9" w:rsidP="00CA15E5">
            <w:pPr>
              <w:pStyle w:val="TableText"/>
              <w:keepNext w:val="0"/>
            </w:pPr>
            <w:r w:rsidRPr="007D0E37">
              <w:t>Journal of Gastroenterology 2017; 1-11.</w:t>
            </w:r>
          </w:p>
        </w:tc>
      </w:tr>
      <w:tr w:rsidR="008075F9" w:rsidRPr="007D0E37" w:rsidTr="002B60C2">
        <w:tc>
          <w:tcPr>
            <w:tcW w:w="0" w:type="auto"/>
            <w:gridSpan w:val="3"/>
          </w:tcPr>
          <w:p w:rsidR="008075F9" w:rsidRPr="007D0E37" w:rsidRDefault="008075F9" w:rsidP="00CA15E5">
            <w:pPr>
              <w:pStyle w:val="TableText"/>
              <w:keepNext w:val="0"/>
              <w:rPr>
                <w:b/>
              </w:rPr>
            </w:pPr>
            <w:r w:rsidRPr="007D0E37">
              <w:rPr>
                <w:b/>
              </w:rPr>
              <w:t>Infliximab</w:t>
            </w:r>
            <w:r w:rsidR="00764810" w:rsidRPr="007D0E37">
              <w:rPr>
                <w:b/>
              </w:rPr>
              <w:t xml:space="preserve"> vs placebo</w:t>
            </w:r>
            <w:r w:rsidRPr="007D0E37">
              <w:rPr>
                <w:b/>
              </w:rPr>
              <w:t xml:space="preserve"> trials</w:t>
            </w:r>
          </w:p>
        </w:tc>
      </w:tr>
      <w:tr w:rsidR="008075F9" w:rsidRPr="007D0E37" w:rsidTr="000C6076">
        <w:tc>
          <w:tcPr>
            <w:tcW w:w="0" w:type="auto"/>
            <w:tcBorders>
              <w:bottom w:val="nil"/>
            </w:tcBorders>
          </w:tcPr>
          <w:p w:rsidR="008075F9" w:rsidRPr="007D0E37" w:rsidRDefault="008075F9" w:rsidP="00CA15E5">
            <w:pPr>
              <w:pStyle w:val="TableText"/>
              <w:keepNext w:val="0"/>
            </w:pPr>
            <w:r w:rsidRPr="007D0E37">
              <w:t>ACT 1</w:t>
            </w:r>
          </w:p>
        </w:tc>
        <w:tc>
          <w:tcPr>
            <w:tcW w:w="4754" w:type="dxa"/>
          </w:tcPr>
          <w:p w:rsidR="008075F9" w:rsidRPr="007D0E37" w:rsidRDefault="008075F9" w:rsidP="00CA15E5">
            <w:pPr>
              <w:pStyle w:val="TableText"/>
              <w:keepNext w:val="0"/>
            </w:pPr>
            <w:r w:rsidRPr="007D0E37">
              <w:t>A 30 week clinical study report C0168T37: a phase 3 Randomized, Placebo-controlled, Double-blind Trial to Evaluate the Safety and Efficacy of Infliximab in Patients with Active Ulcerative Colitis (ACT-1).</w:t>
            </w:r>
            <w:r w:rsidR="00767CDD">
              <w:t xml:space="preserve"> </w:t>
            </w:r>
          </w:p>
        </w:tc>
        <w:tc>
          <w:tcPr>
            <w:tcW w:w="2993" w:type="dxa"/>
          </w:tcPr>
          <w:p w:rsidR="008075F9" w:rsidRPr="007D0E37" w:rsidRDefault="008075F9" w:rsidP="00CA15E5">
            <w:pPr>
              <w:pStyle w:val="TableText"/>
              <w:keepNext w:val="0"/>
            </w:pPr>
            <w:r w:rsidRPr="007D0E37">
              <w:t>Centocor (now Janssen). Internal study report, 4 March 2005</w:t>
            </w:r>
          </w:p>
        </w:tc>
      </w:tr>
      <w:tr w:rsidR="008075F9" w:rsidRPr="007D0E37" w:rsidTr="000C6076">
        <w:tc>
          <w:tcPr>
            <w:tcW w:w="0" w:type="auto"/>
            <w:tcBorders>
              <w:top w:val="nil"/>
              <w:bottom w:val="nil"/>
            </w:tcBorders>
          </w:tcPr>
          <w:p w:rsidR="008075F9" w:rsidRPr="007D0E37" w:rsidRDefault="008075F9" w:rsidP="00CA15E5">
            <w:pPr>
              <w:pStyle w:val="TableText"/>
              <w:keepNext w:val="0"/>
            </w:pPr>
          </w:p>
        </w:tc>
        <w:tc>
          <w:tcPr>
            <w:tcW w:w="4754" w:type="dxa"/>
          </w:tcPr>
          <w:p w:rsidR="008075F9" w:rsidRPr="007D0E37" w:rsidRDefault="008075F9" w:rsidP="00CA15E5">
            <w:pPr>
              <w:pStyle w:val="TableText"/>
              <w:keepNext w:val="0"/>
            </w:pPr>
            <w:r w:rsidRPr="007D0E37">
              <w:t xml:space="preserve">A 54 week clinical study report C0168T37: a phase 3 Randomized, Placebo-controlled, Double-blind Trial to Evaluate the Safety and Efficacy of Infliximab in Patients with Active Ulcerative Colitis (ACT-1). </w:t>
            </w:r>
          </w:p>
        </w:tc>
        <w:tc>
          <w:tcPr>
            <w:tcW w:w="2993" w:type="dxa"/>
          </w:tcPr>
          <w:p w:rsidR="008075F9" w:rsidRPr="007D0E37" w:rsidRDefault="008075F9" w:rsidP="00CA15E5">
            <w:pPr>
              <w:pStyle w:val="TableText"/>
              <w:keepNext w:val="0"/>
            </w:pPr>
            <w:r w:rsidRPr="007D0E37">
              <w:t>Centocor (now Janssen). Internal study report, 27 September 2005</w:t>
            </w:r>
          </w:p>
        </w:tc>
      </w:tr>
      <w:tr w:rsidR="008075F9" w:rsidRPr="007D0E37" w:rsidTr="000C6076">
        <w:tc>
          <w:tcPr>
            <w:tcW w:w="0" w:type="auto"/>
            <w:tcBorders>
              <w:top w:val="nil"/>
              <w:bottom w:val="nil"/>
            </w:tcBorders>
          </w:tcPr>
          <w:p w:rsidR="008075F9" w:rsidRPr="007D0E37" w:rsidRDefault="008075F9" w:rsidP="00CA15E5">
            <w:pPr>
              <w:pStyle w:val="TableText"/>
              <w:keepNext w:val="0"/>
            </w:pPr>
          </w:p>
        </w:tc>
        <w:tc>
          <w:tcPr>
            <w:tcW w:w="4754" w:type="dxa"/>
          </w:tcPr>
          <w:p w:rsidR="008075F9" w:rsidRPr="007D0E37" w:rsidRDefault="008075F9" w:rsidP="00CA15E5">
            <w:pPr>
              <w:pStyle w:val="TableText"/>
              <w:keepNext w:val="0"/>
            </w:pPr>
            <w:r w:rsidRPr="007D0E37">
              <w:t xml:space="preserve">A study extension clinical study report C0168T37: a phase 3 Randomized, Placebo-controlled, Double-blind Trial to Evaluate the Safety and Efficacy of Infliximab in Patients with Active Ulcerative Colitis (ACT-1). </w:t>
            </w:r>
          </w:p>
        </w:tc>
        <w:tc>
          <w:tcPr>
            <w:tcW w:w="2993" w:type="dxa"/>
          </w:tcPr>
          <w:p w:rsidR="008075F9" w:rsidRPr="007D0E37" w:rsidRDefault="008075F9" w:rsidP="00CA15E5">
            <w:pPr>
              <w:pStyle w:val="TableText"/>
              <w:keepNext w:val="0"/>
            </w:pPr>
            <w:r w:rsidRPr="007D0E37">
              <w:t>Centocor (now Janssen). Internal study report, 18 August 2008</w:t>
            </w:r>
          </w:p>
        </w:tc>
      </w:tr>
      <w:tr w:rsidR="008075F9" w:rsidRPr="007D0E37" w:rsidTr="000C6076">
        <w:tc>
          <w:tcPr>
            <w:tcW w:w="0" w:type="auto"/>
            <w:tcBorders>
              <w:top w:val="nil"/>
              <w:bottom w:val="single" w:sz="4" w:space="0" w:color="auto"/>
            </w:tcBorders>
          </w:tcPr>
          <w:p w:rsidR="008075F9" w:rsidRPr="007D0E37" w:rsidRDefault="008075F9" w:rsidP="00CA15E5">
            <w:pPr>
              <w:pStyle w:val="TableText"/>
              <w:keepNext w:val="0"/>
            </w:pPr>
          </w:p>
        </w:tc>
        <w:tc>
          <w:tcPr>
            <w:tcW w:w="4754" w:type="dxa"/>
          </w:tcPr>
          <w:p w:rsidR="008075F9" w:rsidRPr="007D0E37" w:rsidRDefault="008075F9" w:rsidP="00CA15E5">
            <w:pPr>
              <w:pStyle w:val="TableText"/>
              <w:keepNext w:val="0"/>
            </w:pPr>
            <w:r w:rsidRPr="007D0E37">
              <w:t xml:space="preserve">Rutgeerts P, Sandborn WJ, Feagan BG, et al. Infliximab for induction and maintenance therapy for ulcerative colitis. </w:t>
            </w:r>
          </w:p>
        </w:tc>
        <w:tc>
          <w:tcPr>
            <w:tcW w:w="2993" w:type="dxa"/>
          </w:tcPr>
          <w:p w:rsidR="008075F9" w:rsidRPr="007D0E37" w:rsidRDefault="008075F9" w:rsidP="00CA15E5">
            <w:pPr>
              <w:pStyle w:val="TableText"/>
              <w:keepNext w:val="0"/>
            </w:pPr>
            <w:r w:rsidRPr="007D0E37">
              <w:t xml:space="preserve">N Engl J Med. 2005; 353:2462-2476. </w:t>
            </w:r>
          </w:p>
        </w:tc>
      </w:tr>
      <w:tr w:rsidR="008075F9" w:rsidRPr="007D0E37" w:rsidTr="000C6076">
        <w:tc>
          <w:tcPr>
            <w:tcW w:w="0" w:type="auto"/>
            <w:tcBorders>
              <w:bottom w:val="nil"/>
            </w:tcBorders>
          </w:tcPr>
          <w:p w:rsidR="008075F9" w:rsidRPr="007D0E37" w:rsidRDefault="008075F9" w:rsidP="00CA15E5">
            <w:pPr>
              <w:pStyle w:val="TableText"/>
              <w:keepNext w:val="0"/>
            </w:pPr>
            <w:r w:rsidRPr="007D0E37">
              <w:t>ACT 2</w:t>
            </w:r>
          </w:p>
        </w:tc>
        <w:tc>
          <w:tcPr>
            <w:tcW w:w="4754" w:type="dxa"/>
          </w:tcPr>
          <w:p w:rsidR="008075F9" w:rsidRPr="007D0E37" w:rsidRDefault="008075F9" w:rsidP="00CA15E5">
            <w:pPr>
              <w:pStyle w:val="TableText"/>
              <w:keepNext w:val="0"/>
            </w:pPr>
            <w:r w:rsidRPr="007D0E37">
              <w:t xml:space="preserve">A 30 week clinical study report C0168T46: a phase 3 Randomized, Placebo-controlled, Double-blind Trial to Evaluate the Safety and Efficacy of Infliximab in Patients with Active Ulcerative Colitis (ACT-2). </w:t>
            </w:r>
          </w:p>
        </w:tc>
        <w:tc>
          <w:tcPr>
            <w:tcW w:w="2993" w:type="dxa"/>
          </w:tcPr>
          <w:p w:rsidR="008075F9" w:rsidRPr="007D0E37" w:rsidRDefault="008075F9" w:rsidP="00CA15E5">
            <w:pPr>
              <w:pStyle w:val="TableText"/>
              <w:keepNext w:val="0"/>
            </w:pPr>
            <w:r w:rsidRPr="007D0E37">
              <w:t>Centocor (now Janssen). Internal study report, 23 February 2005.</w:t>
            </w:r>
          </w:p>
        </w:tc>
      </w:tr>
      <w:tr w:rsidR="008075F9" w:rsidRPr="007D0E37" w:rsidTr="000C6076">
        <w:tc>
          <w:tcPr>
            <w:tcW w:w="0" w:type="auto"/>
            <w:tcBorders>
              <w:top w:val="nil"/>
              <w:bottom w:val="nil"/>
            </w:tcBorders>
          </w:tcPr>
          <w:p w:rsidR="008075F9" w:rsidRPr="007D0E37" w:rsidRDefault="008075F9" w:rsidP="00CA15E5">
            <w:pPr>
              <w:pStyle w:val="TableText"/>
              <w:keepNext w:val="0"/>
            </w:pPr>
          </w:p>
        </w:tc>
        <w:tc>
          <w:tcPr>
            <w:tcW w:w="4754" w:type="dxa"/>
          </w:tcPr>
          <w:p w:rsidR="008075F9" w:rsidRPr="007D0E37" w:rsidRDefault="008075F9" w:rsidP="00CA15E5">
            <w:pPr>
              <w:pStyle w:val="TableText"/>
              <w:keepNext w:val="0"/>
            </w:pPr>
            <w:r w:rsidRPr="007D0E37">
              <w:t xml:space="preserve">A study extension clinical study report C0168T46: a phase 3 Randomized, Placebo-controlled, Double-blind Trial to Evaluate the Safety and Efficacy of Infliximab in Patients with Active Ulcerative Colitis (ACT-2). </w:t>
            </w:r>
          </w:p>
        </w:tc>
        <w:tc>
          <w:tcPr>
            <w:tcW w:w="2993" w:type="dxa"/>
          </w:tcPr>
          <w:p w:rsidR="008075F9" w:rsidRPr="007D0E37" w:rsidRDefault="008075F9" w:rsidP="00CA15E5">
            <w:pPr>
              <w:pStyle w:val="TableText"/>
              <w:keepNext w:val="0"/>
            </w:pPr>
            <w:r w:rsidRPr="007D0E37">
              <w:t>Centocor (now Janssen). Internal study report, 12 August 2008.</w:t>
            </w:r>
          </w:p>
        </w:tc>
      </w:tr>
      <w:tr w:rsidR="008075F9" w:rsidRPr="007D0E37" w:rsidTr="000C6076">
        <w:tc>
          <w:tcPr>
            <w:tcW w:w="0" w:type="auto"/>
            <w:tcBorders>
              <w:top w:val="nil"/>
              <w:bottom w:val="single" w:sz="4" w:space="0" w:color="auto"/>
            </w:tcBorders>
          </w:tcPr>
          <w:p w:rsidR="008075F9" w:rsidRPr="007D0E37" w:rsidRDefault="008075F9" w:rsidP="00CA15E5">
            <w:pPr>
              <w:pStyle w:val="TableText"/>
              <w:keepNext w:val="0"/>
            </w:pPr>
          </w:p>
        </w:tc>
        <w:tc>
          <w:tcPr>
            <w:tcW w:w="4754" w:type="dxa"/>
          </w:tcPr>
          <w:p w:rsidR="008075F9" w:rsidRPr="007D0E37" w:rsidRDefault="008075F9" w:rsidP="00CA15E5">
            <w:pPr>
              <w:pStyle w:val="TableText"/>
              <w:keepNext w:val="0"/>
            </w:pPr>
            <w:r w:rsidRPr="007D0E37">
              <w:t xml:space="preserve">Rutgeerts P, Sandborn WJ, Feagan BG, et al. Infliximab for induction and maintenance therapy for ulcerative colitis. </w:t>
            </w:r>
          </w:p>
        </w:tc>
        <w:tc>
          <w:tcPr>
            <w:tcW w:w="2993" w:type="dxa"/>
          </w:tcPr>
          <w:p w:rsidR="008075F9" w:rsidRPr="007D0E37" w:rsidRDefault="008075F9" w:rsidP="00CA15E5">
            <w:pPr>
              <w:pStyle w:val="TableText"/>
              <w:keepNext w:val="0"/>
            </w:pPr>
            <w:r w:rsidRPr="007D0E37">
              <w:t xml:space="preserve">N Engl J Med. 2005; 353:2462-2476. </w:t>
            </w:r>
          </w:p>
        </w:tc>
      </w:tr>
      <w:tr w:rsidR="008075F9" w:rsidRPr="007D0E37" w:rsidTr="002B60C2">
        <w:tc>
          <w:tcPr>
            <w:tcW w:w="0" w:type="auto"/>
            <w:gridSpan w:val="3"/>
            <w:tcBorders>
              <w:bottom w:val="single" w:sz="4" w:space="0" w:color="auto"/>
            </w:tcBorders>
          </w:tcPr>
          <w:p w:rsidR="008075F9" w:rsidRPr="007D0E37" w:rsidRDefault="008075F9" w:rsidP="00CA15E5">
            <w:pPr>
              <w:pStyle w:val="TableText"/>
              <w:keepNext w:val="0"/>
              <w:rPr>
                <w:b/>
              </w:rPr>
            </w:pPr>
            <w:r w:rsidRPr="007D0E37">
              <w:rPr>
                <w:b/>
              </w:rPr>
              <w:t xml:space="preserve">Adalimumab </w:t>
            </w:r>
            <w:r w:rsidR="00764810" w:rsidRPr="007D0E37">
              <w:rPr>
                <w:b/>
              </w:rPr>
              <w:t xml:space="preserve">vs placebo </w:t>
            </w:r>
            <w:r w:rsidRPr="007D0E37">
              <w:rPr>
                <w:b/>
              </w:rPr>
              <w:t>trials</w:t>
            </w:r>
          </w:p>
        </w:tc>
      </w:tr>
      <w:tr w:rsidR="008075F9" w:rsidRPr="007D0E37" w:rsidTr="000C6076">
        <w:tc>
          <w:tcPr>
            <w:tcW w:w="0" w:type="auto"/>
            <w:tcBorders>
              <w:bottom w:val="nil"/>
            </w:tcBorders>
          </w:tcPr>
          <w:p w:rsidR="008075F9" w:rsidRPr="007D0E37" w:rsidRDefault="008075F9" w:rsidP="00CA15E5">
            <w:pPr>
              <w:pStyle w:val="TableText"/>
              <w:keepNext w:val="0"/>
            </w:pPr>
            <w:r w:rsidRPr="007D0E37">
              <w:t>ULTRA 1</w:t>
            </w:r>
          </w:p>
        </w:tc>
        <w:tc>
          <w:tcPr>
            <w:tcW w:w="4754" w:type="dxa"/>
            <w:tcBorders>
              <w:bottom w:val="single" w:sz="4" w:space="0" w:color="auto"/>
            </w:tcBorders>
          </w:tcPr>
          <w:p w:rsidR="008075F9" w:rsidRPr="007D0E37" w:rsidRDefault="008075F9" w:rsidP="00CA15E5">
            <w:pPr>
              <w:pStyle w:val="TableText"/>
              <w:keepNext w:val="0"/>
            </w:pPr>
            <w:r w:rsidRPr="007D0E37">
              <w:t>Reinisch W, Sandborn WJ, Hommes DW, et al. Adalimumab for induction of clinical remission in moderately to severely active UC: results of a randomised controlled trial.</w:t>
            </w:r>
          </w:p>
        </w:tc>
        <w:tc>
          <w:tcPr>
            <w:tcW w:w="2993" w:type="dxa"/>
            <w:tcBorders>
              <w:bottom w:val="single" w:sz="4" w:space="0" w:color="auto"/>
            </w:tcBorders>
          </w:tcPr>
          <w:p w:rsidR="008075F9" w:rsidRPr="007D0E37" w:rsidRDefault="008075F9" w:rsidP="00CA15E5">
            <w:pPr>
              <w:pStyle w:val="TableText"/>
              <w:keepNext w:val="0"/>
            </w:pPr>
            <w:r w:rsidRPr="007D0E37">
              <w:t>Gut. 2011;60(6):780-787</w:t>
            </w:r>
          </w:p>
        </w:tc>
      </w:tr>
      <w:tr w:rsidR="008075F9" w:rsidRPr="007D0E37" w:rsidTr="000C6076">
        <w:tc>
          <w:tcPr>
            <w:tcW w:w="0" w:type="auto"/>
            <w:tcBorders>
              <w:top w:val="nil"/>
              <w:bottom w:val="single" w:sz="4" w:space="0" w:color="auto"/>
            </w:tcBorders>
          </w:tcPr>
          <w:p w:rsidR="008075F9" w:rsidRPr="007D0E37" w:rsidRDefault="008075F9" w:rsidP="00CA15E5">
            <w:pPr>
              <w:pStyle w:val="TableText"/>
              <w:keepNext w:val="0"/>
            </w:pPr>
          </w:p>
        </w:tc>
        <w:tc>
          <w:tcPr>
            <w:tcW w:w="4754" w:type="dxa"/>
            <w:tcBorders>
              <w:top w:val="nil"/>
              <w:bottom w:val="single" w:sz="4" w:space="0" w:color="auto"/>
            </w:tcBorders>
          </w:tcPr>
          <w:p w:rsidR="008075F9" w:rsidRPr="007D0E37" w:rsidRDefault="008075F9" w:rsidP="00CA15E5">
            <w:pPr>
              <w:rPr>
                <w:rFonts w:ascii="Arial Narrow" w:hAnsi="Arial Narrow"/>
                <w:sz w:val="20"/>
              </w:rPr>
            </w:pPr>
            <w:r w:rsidRPr="007D0E37">
              <w:rPr>
                <w:rFonts w:ascii="Arial Narrow" w:hAnsi="Arial Narrow"/>
                <w:sz w:val="20"/>
              </w:rPr>
              <w:t>Reinisch W.</w:t>
            </w:r>
            <w:r w:rsidR="00767CDD">
              <w:rPr>
                <w:rFonts w:ascii="Arial Narrow" w:hAnsi="Arial Narrow"/>
                <w:sz w:val="20"/>
              </w:rPr>
              <w:t xml:space="preserve"> </w:t>
            </w:r>
            <w:r w:rsidRPr="007D0E37">
              <w:rPr>
                <w:rFonts w:ascii="Arial Narrow" w:hAnsi="Arial Narrow"/>
                <w:sz w:val="20"/>
              </w:rPr>
              <w:t>Sandborn WJ.</w:t>
            </w:r>
            <w:r w:rsidR="00767CDD">
              <w:rPr>
                <w:rFonts w:ascii="Arial Narrow" w:hAnsi="Arial Narrow"/>
                <w:sz w:val="20"/>
              </w:rPr>
              <w:t xml:space="preserve"> </w:t>
            </w:r>
            <w:r w:rsidRPr="007D0E37">
              <w:rPr>
                <w:rFonts w:ascii="Arial Narrow" w:hAnsi="Arial Narrow"/>
                <w:sz w:val="20"/>
              </w:rPr>
              <w:t>Panaccione R.</w:t>
            </w:r>
            <w:r w:rsidR="00767CDD">
              <w:rPr>
                <w:rFonts w:ascii="Arial Narrow" w:hAnsi="Arial Narrow"/>
                <w:sz w:val="20"/>
              </w:rPr>
              <w:t xml:space="preserve"> </w:t>
            </w:r>
            <w:r w:rsidRPr="007D0E37">
              <w:rPr>
                <w:rFonts w:ascii="Arial Narrow" w:hAnsi="Arial Narrow"/>
                <w:sz w:val="20"/>
              </w:rPr>
              <w:t>Huang B.</w:t>
            </w:r>
            <w:r w:rsidR="00767CDD">
              <w:rPr>
                <w:rFonts w:ascii="Arial Narrow" w:hAnsi="Arial Narrow"/>
                <w:sz w:val="20"/>
              </w:rPr>
              <w:t xml:space="preserve"> </w:t>
            </w:r>
            <w:r w:rsidRPr="007D0E37">
              <w:rPr>
                <w:rFonts w:ascii="Arial Narrow" w:hAnsi="Arial Narrow"/>
                <w:sz w:val="20"/>
              </w:rPr>
              <w:t>Pollack PF.</w:t>
            </w:r>
            <w:r w:rsidR="00767CDD">
              <w:rPr>
                <w:rFonts w:ascii="Arial Narrow" w:hAnsi="Arial Narrow"/>
                <w:sz w:val="20"/>
              </w:rPr>
              <w:t xml:space="preserve"> </w:t>
            </w:r>
            <w:r w:rsidRPr="007D0E37">
              <w:rPr>
                <w:rFonts w:ascii="Arial Narrow" w:hAnsi="Arial Narrow"/>
                <w:sz w:val="20"/>
              </w:rPr>
              <w:t>Lazar A.</w:t>
            </w:r>
            <w:r w:rsidR="00767CDD">
              <w:rPr>
                <w:rFonts w:ascii="Arial Narrow" w:hAnsi="Arial Narrow"/>
                <w:sz w:val="20"/>
              </w:rPr>
              <w:t xml:space="preserve"> </w:t>
            </w:r>
            <w:r w:rsidRPr="007D0E37">
              <w:rPr>
                <w:rFonts w:ascii="Arial Narrow" w:hAnsi="Arial Narrow"/>
                <w:sz w:val="20"/>
              </w:rPr>
              <w:t>Thakkar RB. (2013) 52-week efficacy of adalimumab in patients with moderately to severely active UC who failed corticosteroids and/or immunosuppressants.</w:t>
            </w:r>
          </w:p>
        </w:tc>
        <w:tc>
          <w:tcPr>
            <w:tcW w:w="2993" w:type="dxa"/>
            <w:tcBorders>
              <w:top w:val="nil"/>
              <w:bottom w:val="single" w:sz="4" w:space="0" w:color="auto"/>
            </w:tcBorders>
          </w:tcPr>
          <w:p w:rsidR="008075F9" w:rsidRPr="007D0E37" w:rsidRDefault="008075F9" w:rsidP="00CA15E5">
            <w:pPr>
              <w:pStyle w:val="TableText"/>
              <w:keepNext w:val="0"/>
            </w:pPr>
            <w:r w:rsidRPr="007D0E37">
              <w:t>Inflammatory Bowel Diseases.</w:t>
            </w:r>
            <w:r w:rsidR="00767CDD">
              <w:t xml:space="preserve"> </w:t>
            </w:r>
            <w:r w:rsidRPr="007D0E37">
              <w:t>19(8):1700-9, 2013 Jul.</w:t>
            </w:r>
          </w:p>
        </w:tc>
      </w:tr>
      <w:tr w:rsidR="008075F9" w:rsidRPr="007D0E37" w:rsidTr="000C6076">
        <w:tc>
          <w:tcPr>
            <w:tcW w:w="0" w:type="auto"/>
            <w:tcBorders>
              <w:bottom w:val="nil"/>
            </w:tcBorders>
          </w:tcPr>
          <w:p w:rsidR="008075F9" w:rsidRPr="007D0E37" w:rsidRDefault="008075F9" w:rsidP="00CA15E5">
            <w:pPr>
              <w:pStyle w:val="TableText"/>
              <w:keepNext w:val="0"/>
            </w:pPr>
            <w:r w:rsidRPr="007D0E37">
              <w:t>ULTRA 2</w:t>
            </w:r>
          </w:p>
        </w:tc>
        <w:tc>
          <w:tcPr>
            <w:tcW w:w="4754" w:type="dxa"/>
            <w:tcBorders>
              <w:bottom w:val="single" w:sz="4" w:space="0" w:color="auto"/>
            </w:tcBorders>
          </w:tcPr>
          <w:p w:rsidR="008075F9" w:rsidRPr="007D0E37" w:rsidRDefault="008075F9" w:rsidP="00CA15E5">
            <w:pPr>
              <w:pStyle w:val="TableText"/>
              <w:keepNext w:val="0"/>
            </w:pPr>
            <w:r w:rsidRPr="007D0E37">
              <w:t xml:space="preserve">Sandborn WJ, van Assche G, Reinisch W, et al. Adalimumab induces and maintains clinical remission in patients with moderate to severe UC. </w:t>
            </w:r>
          </w:p>
        </w:tc>
        <w:tc>
          <w:tcPr>
            <w:tcW w:w="2993" w:type="dxa"/>
            <w:tcBorders>
              <w:bottom w:val="single" w:sz="4" w:space="0" w:color="auto"/>
            </w:tcBorders>
          </w:tcPr>
          <w:p w:rsidR="008075F9" w:rsidRPr="007D0E37" w:rsidRDefault="008075F9" w:rsidP="00CA15E5">
            <w:pPr>
              <w:pStyle w:val="TableText"/>
              <w:keepNext w:val="0"/>
            </w:pPr>
            <w:r w:rsidRPr="007D0E37">
              <w:t>Gastroenterology. 2012;142(2):257-65[e1-3]</w:t>
            </w:r>
          </w:p>
        </w:tc>
      </w:tr>
      <w:tr w:rsidR="008075F9" w:rsidRPr="007D0E37" w:rsidTr="000C6076">
        <w:tc>
          <w:tcPr>
            <w:tcW w:w="0" w:type="auto"/>
            <w:tcBorders>
              <w:top w:val="nil"/>
              <w:bottom w:val="nil"/>
            </w:tcBorders>
          </w:tcPr>
          <w:p w:rsidR="008075F9" w:rsidRPr="007D0E37" w:rsidRDefault="008075F9" w:rsidP="00CA15E5">
            <w:pPr>
              <w:pStyle w:val="TableText"/>
              <w:keepNext w:val="0"/>
            </w:pPr>
          </w:p>
        </w:tc>
        <w:tc>
          <w:tcPr>
            <w:tcW w:w="4754" w:type="dxa"/>
            <w:tcBorders>
              <w:top w:val="single" w:sz="4" w:space="0" w:color="auto"/>
              <w:bottom w:val="single" w:sz="4" w:space="0" w:color="auto"/>
            </w:tcBorders>
          </w:tcPr>
          <w:p w:rsidR="008075F9" w:rsidRPr="007D0E37" w:rsidRDefault="008075F9" w:rsidP="00CA15E5">
            <w:pPr>
              <w:pStyle w:val="TableText"/>
              <w:keepNext w:val="0"/>
            </w:pPr>
            <w:r w:rsidRPr="007D0E37">
              <w:t>Sandborn, WJ; Colombel, JF; D'Haens, G; Van Assche, G; Wolf, D; Kron, M; Lazar, A; Robinson, AM; Yang, M; Chao, JD; Thakkar, R (2013).. One-year maintenance outcomes among patients with moderately-to-severely active UC who responded to induction therapy with adalimumab: subgroup analyses from ULTRA 1.</w:t>
            </w:r>
            <w:r w:rsidR="00767CDD">
              <w:t xml:space="preserve"> </w:t>
            </w:r>
          </w:p>
        </w:tc>
        <w:tc>
          <w:tcPr>
            <w:tcW w:w="2993" w:type="dxa"/>
            <w:tcBorders>
              <w:top w:val="single" w:sz="4" w:space="0" w:color="auto"/>
              <w:bottom w:val="single" w:sz="4" w:space="0" w:color="auto"/>
            </w:tcBorders>
          </w:tcPr>
          <w:p w:rsidR="008075F9" w:rsidRPr="007D0E37" w:rsidRDefault="008075F9" w:rsidP="00CA15E5">
            <w:pPr>
              <w:pStyle w:val="TableText"/>
              <w:keepNext w:val="0"/>
            </w:pPr>
            <w:r w:rsidRPr="007D0E37">
              <w:t>Aliment Pharmacol Ther.</w:t>
            </w:r>
            <w:r w:rsidR="00767CDD">
              <w:t xml:space="preserve"> </w:t>
            </w:r>
            <w:r w:rsidRPr="007D0E37">
              <w:t>2013 Jan;37(2):204-13</w:t>
            </w:r>
          </w:p>
        </w:tc>
      </w:tr>
      <w:tr w:rsidR="008075F9" w:rsidRPr="007D0E37" w:rsidTr="000C6076">
        <w:tc>
          <w:tcPr>
            <w:tcW w:w="0" w:type="auto"/>
            <w:tcBorders>
              <w:top w:val="nil"/>
              <w:bottom w:val="single" w:sz="4" w:space="0" w:color="auto"/>
            </w:tcBorders>
          </w:tcPr>
          <w:p w:rsidR="008075F9" w:rsidRPr="007D0E37" w:rsidRDefault="008075F9" w:rsidP="00CA15E5">
            <w:pPr>
              <w:pStyle w:val="TableText"/>
              <w:keepNext w:val="0"/>
            </w:pPr>
          </w:p>
        </w:tc>
        <w:tc>
          <w:tcPr>
            <w:tcW w:w="4754" w:type="dxa"/>
            <w:tcBorders>
              <w:top w:val="single" w:sz="4" w:space="0" w:color="auto"/>
              <w:bottom w:val="single" w:sz="4" w:space="0" w:color="auto"/>
            </w:tcBorders>
          </w:tcPr>
          <w:p w:rsidR="008075F9" w:rsidRPr="007D0E37" w:rsidRDefault="008075F9" w:rsidP="00CA15E5">
            <w:pPr>
              <w:pStyle w:val="TableText"/>
              <w:keepNext w:val="0"/>
            </w:pPr>
            <w:r w:rsidRPr="007D0E37">
              <w:t>Wolf, D., G.</w:t>
            </w:r>
            <w:r w:rsidR="00767CDD">
              <w:t xml:space="preserve"> </w:t>
            </w:r>
            <w:r w:rsidRPr="007D0E37">
              <w:t>D'Haens, et al.</w:t>
            </w:r>
            <w:r w:rsidR="00767CDD">
              <w:t xml:space="preserve"> </w:t>
            </w:r>
            <w:r w:rsidRPr="007D0E37">
              <w:t>(2014).</w:t>
            </w:r>
            <w:r w:rsidR="00767CDD">
              <w:t xml:space="preserve"> </w:t>
            </w:r>
            <w:r w:rsidRPr="007D0E37">
              <w:t>Escalation to weekly dosing recaptures response in adalimumab-treated patients with moderately to severely active UC.</w:t>
            </w:r>
          </w:p>
        </w:tc>
        <w:tc>
          <w:tcPr>
            <w:tcW w:w="2993" w:type="dxa"/>
            <w:tcBorders>
              <w:top w:val="single" w:sz="4" w:space="0" w:color="auto"/>
              <w:bottom w:val="single" w:sz="4" w:space="0" w:color="auto"/>
            </w:tcBorders>
          </w:tcPr>
          <w:p w:rsidR="008075F9" w:rsidRPr="007D0E37" w:rsidRDefault="008075F9" w:rsidP="00CA15E5">
            <w:pPr>
              <w:pStyle w:val="TableText"/>
              <w:keepNext w:val="0"/>
            </w:pPr>
            <w:r w:rsidRPr="007D0E37">
              <w:t>Alimentary Pharmacology &amp; Therapeutics 40(5): 486-497.</w:t>
            </w:r>
          </w:p>
        </w:tc>
      </w:tr>
      <w:tr w:rsidR="008075F9" w:rsidRPr="007D0E37" w:rsidTr="000C6076">
        <w:tc>
          <w:tcPr>
            <w:tcW w:w="0" w:type="auto"/>
            <w:tcBorders>
              <w:top w:val="nil"/>
              <w:bottom w:val="single" w:sz="4" w:space="0" w:color="auto"/>
            </w:tcBorders>
          </w:tcPr>
          <w:p w:rsidR="008075F9" w:rsidRPr="007D0E37" w:rsidRDefault="008075F9" w:rsidP="00CA15E5">
            <w:pPr>
              <w:pStyle w:val="TableText"/>
              <w:keepNext w:val="0"/>
            </w:pPr>
            <w:r w:rsidRPr="007D0E37">
              <w:t>Suzuki 2014</w:t>
            </w:r>
          </w:p>
        </w:tc>
        <w:tc>
          <w:tcPr>
            <w:tcW w:w="4754" w:type="dxa"/>
            <w:tcBorders>
              <w:top w:val="single" w:sz="4" w:space="0" w:color="auto"/>
              <w:bottom w:val="single" w:sz="4" w:space="0" w:color="auto"/>
            </w:tcBorders>
          </w:tcPr>
          <w:p w:rsidR="008075F9" w:rsidRPr="007D0E37" w:rsidRDefault="008075F9" w:rsidP="00CA15E5">
            <w:pPr>
              <w:pStyle w:val="TableText"/>
              <w:keepNext w:val="0"/>
            </w:pPr>
            <w:r w:rsidRPr="007D0E37">
              <w:t xml:space="preserve">Suzuki Y, Motoya S, Hanai H, et al. Efficacy and safety of adalimumab in Japanese patients with moderately to severely active ulcerative colitis. </w:t>
            </w:r>
          </w:p>
        </w:tc>
        <w:tc>
          <w:tcPr>
            <w:tcW w:w="2993" w:type="dxa"/>
            <w:tcBorders>
              <w:top w:val="single" w:sz="4" w:space="0" w:color="auto"/>
              <w:bottom w:val="single" w:sz="4" w:space="0" w:color="auto"/>
            </w:tcBorders>
          </w:tcPr>
          <w:p w:rsidR="008075F9" w:rsidRPr="007D0E37" w:rsidRDefault="008075F9" w:rsidP="00CA15E5">
            <w:pPr>
              <w:pStyle w:val="TableText"/>
              <w:keepNext w:val="0"/>
            </w:pPr>
            <w:r w:rsidRPr="007D0E37">
              <w:t>J Gastroenterol. 2014; 49:283-294.</w:t>
            </w:r>
          </w:p>
        </w:tc>
      </w:tr>
      <w:tr w:rsidR="008075F9" w:rsidRPr="007D0E37" w:rsidTr="002B60C2">
        <w:tc>
          <w:tcPr>
            <w:tcW w:w="0" w:type="auto"/>
            <w:gridSpan w:val="3"/>
          </w:tcPr>
          <w:p w:rsidR="008075F9" w:rsidRPr="007D0E37" w:rsidRDefault="008075F9" w:rsidP="00CA15E5">
            <w:pPr>
              <w:pStyle w:val="TableText"/>
              <w:keepNext w:val="0"/>
            </w:pPr>
            <w:r w:rsidRPr="007D0E37">
              <w:rPr>
                <w:b/>
              </w:rPr>
              <w:t xml:space="preserve">Vedolizumab </w:t>
            </w:r>
            <w:r w:rsidR="00764810" w:rsidRPr="007D0E37">
              <w:rPr>
                <w:b/>
              </w:rPr>
              <w:t xml:space="preserve">vs placebo </w:t>
            </w:r>
            <w:r w:rsidRPr="007D0E37">
              <w:rPr>
                <w:b/>
              </w:rPr>
              <w:t>trial</w:t>
            </w:r>
          </w:p>
        </w:tc>
      </w:tr>
      <w:tr w:rsidR="008075F9" w:rsidRPr="007D0E37" w:rsidTr="000C6076">
        <w:tc>
          <w:tcPr>
            <w:tcW w:w="0" w:type="auto"/>
            <w:tcBorders>
              <w:bottom w:val="nil"/>
            </w:tcBorders>
          </w:tcPr>
          <w:p w:rsidR="008075F9" w:rsidRPr="007D0E37" w:rsidRDefault="008075F9" w:rsidP="00CA15E5">
            <w:pPr>
              <w:pStyle w:val="TableText"/>
              <w:keepNext w:val="0"/>
            </w:pPr>
            <w:r w:rsidRPr="007D0E37">
              <w:t>GEMINI 1</w:t>
            </w:r>
          </w:p>
        </w:tc>
        <w:tc>
          <w:tcPr>
            <w:tcW w:w="4754" w:type="dxa"/>
          </w:tcPr>
          <w:p w:rsidR="008075F9" w:rsidRPr="007D0E37" w:rsidRDefault="008075F9" w:rsidP="00CA15E5">
            <w:pPr>
              <w:pStyle w:val="TableText"/>
              <w:keepNext w:val="0"/>
            </w:pPr>
            <w:r w:rsidRPr="007D0E37">
              <w:t xml:space="preserve">Feagan B, Rutgeerts P, Sands B, et al. Vedolizumab as induction and maintenance therapy for ulcerative colitis. </w:t>
            </w:r>
          </w:p>
        </w:tc>
        <w:tc>
          <w:tcPr>
            <w:tcW w:w="2993" w:type="dxa"/>
          </w:tcPr>
          <w:p w:rsidR="008075F9" w:rsidRPr="007D0E37" w:rsidRDefault="008075F9" w:rsidP="00CA15E5">
            <w:pPr>
              <w:pStyle w:val="TableText"/>
              <w:keepNext w:val="0"/>
            </w:pPr>
            <w:r w:rsidRPr="007D0E37">
              <w:t>N Engl J Ned. 2013; 369(8):699-710.</w:t>
            </w:r>
          </w:p>
        </w:tc>
      </w:tr>
      <w:tr w:rsidR="008075F9" w:rsidRPr="007D0E37" w:rsidTr="002B60C2">
        <w:tc>
          <w:tcPr>
            <w:tcW w:w="0" w:type="auto"/>
            <w:gridSpan w:val="3"/>
          </w:tcPr>
          <w:p w:rsidR="008075F9" w:rsidRPr="007D0E37" w:rsidRDefault="008075F9" w:rsidP="00CA15E5">
            <w:pPr>
              <w:pStyle w:val="TableText"/>
              <w:keepNext w:val="0"/>
              <w:rPr>
                <w:b/>
              </w:rPr>
            </w:pPr>
            <w:r w:rsidRPr="007D0E37">
              <w:rPr>
                <w:b/>
              </w:rPr>
              <w:t>Meta-analyses of direct randomised trials</w:t>
            </w:r>
          </w:p>
        </w:tc>
      </w:tr>
      <w:tr w:rsidR="008075F9" w:rsidRPr="007D0E37" w:rsidTr="000C6076">
        <w:tc>
          <w:tcPr>
            <w:tcW w:w="0" w:type="auto"/>
          </w:tcPr>
          <w:p w:rsidR="008075F9" w:rsidRPr="007D0E37" w:rsidRDefault="008075F9" w:rsidP="00CA15E5">
            <w:pPr>
              <w:pStyle w:val="TableText"/>
              <w:keepNext w:val="0"/>
            </w:pPr>
            <w:r w:rsidRPr="007D0E37">
              <w:rPr>
                <w:lang w:eastAsia="en-AU"/>
              </w:rPr>
              <w:t>Archer et al (2014) (NICE Assessment report)</w:t>
            </w:r>
          </w:p>
        </w:tc>
        <w:tc>
          <w:tcPr>
            <w:tcW w:w="4754" w:type="dxa"/>
          </w:tcPr>
          <w:p w:rsidR="008075F9" w:rsidRPr="007D0E37" w:rsidRDefault="008075F9" w:rsidP="00CA15E5">
            <w:pPr>
              <w:pStyle w:val="TableText"/>
              <w:keepNext w:val="0"/>
            </w:pPr>
            <w:r w:rsidRPr="007D0E37">
              <w:t>Archer, R., P. Tappenden, S. Ren, M. Martyn-St James, R. Harvey, H. Basarir, J. Stevens, C. Carroll, A. Cantrell, A. Lobo, NHS FoundationTrust and S. Hoque. Infliximab, adalimumab and golimumab for treating moderately to severely active UC after the failure of conventional therapy (including a review of TA140 and TA262): Clinical effectiveness systematic review and economic model.</w:t>
            </w:r>
          </w:p>
        </w:tc>
        <w:tc>
          <w:tcPr>
            <w:tcW w:w="2993" w:type="dxa"/>
          </w:tcPr>
          <w:p w:rsidR="008075F9" w:rsidRPr="007D0E37" w:rsidRDefault="008075F9" w:rsidP="00CA15E5">
            <w:pPr>
              <w:pStyle w:val="TableText"/>
              <w:keepNext w:val="0"/>
            </w:pPr>
            <w:r w:rsidRPr="007D0E37">
              <w:t>Health Technol Assess. 2016 May;20(39):1-326.</w:t>
            </w:r>
          </w:p>
        </w:tc>
      </w:tr>
      <w:tr w:rsidR="008075F9" w:rsidRPr="007D0E37" w:rsidTr="000C6076">
        <w:tc>
          <w:tcPr>
            <w:tcW w:w="0" w:type="auto"/>
          </w:tcPr>
          <w:p w:rsidR="008075F9" w:rsidRPr="007D0E37" w:rsidRDefault="008075F9" w:rsidP="00CA15E5">
            <w:pPr>
              <w:pStyle w:val="TableText"/>
              <w:keepNext w:val="0"/>
              <w:rPr>
                <w:lang w:eastAsia="en-AU"/>
              </w:rPr>
            </w:pPr>
            <w:r w:rsidRPr="007D0E37">
              <w:rPr>
                <w:lang w:eastAsia="en-AU"/>
              </w:rPr>
              <w:t>Cholapranee et al., 2017</w:t>
            </w:r>
          </w:p>
        </w:tc>
        <w:tc>
          <w:tcPr>
            <w:tcW w:w="4754" w:type="dxa"/>
          </w:tcPr>
          <w:p w:rsidR="008075F9" w:rsidRPr="007D0E37" w:rsidRDefault="008075F9" w:rsidP="00CA15E5">
            <w:pPr>
              <w:pStyle w:val="TableText"/>
              <w:keepNext w:val="0"/>
            </w:pPr>
            <w:r w:rsidRPr="007D0E37">
              <w:t>Cholapranee A, Hazlewood GS, Kaplan GG, et al. Systematic review with meta-analysis: comparative efficacy of biologics for induction and maintenance of mucosal healing in Crohn's disease and ulcerative colitis controlled trials.</w:t>
            </w:r>
          </w:p>
        </w:tc>
        <w:tc>
          <w:tcPr>
            <w:tcW w:w="2993" w:type="dxa"/>
          </w:tcPr>
          <w:p w:rsidR="008075F9" w:rsidRPr="007D0E37" w:rsidRDefault="008075F9" w:rsidP="00CA15E5">
            <w:pPr>
              <w:pStyle w:val="TableText"/>
              <w:keepNext w:val="0"/>
            </w:pPr>
            <w:r w:rsidRPr="007D0E37">
              <w:t>Aliment Pharmacol Ther 45(10): 1291-1302.</w:t>
            </w:r>
          </w:p>
        </w:tc>
      </w:tr>
      <w:tr w:rsidR="008075F9" w:rsidRPr="007D0E37" w:rsidTr="000C6076">
        <w:tc>
          <w:tcPr>
            <w:tcW w:w="0" w:type="auto"/>
          </w:tcPr>
          <w:p w:rsidR="008075F9" w:rsidRPr="007D0E37" w:rsidRDefault="008075F9" w:rsidP="00CA15E5">
            <w:pPr>
              <w:pStyle w:val="TableText"/>
              <w:keepNext w:val="0"/>
            </w:pPr>
            <w:r w:rsidRPr="007D0E37">
              <w:rPr>
                <w:lang w:eastAsia="en-AU"/>
              </w:rPr>
              <w:t xml:space="preserve">Danese, 2014 </w:t>
            </w:r>
          </w:p>
        </w:tc>
        <w:tc>
          <w:tcPr>
            <w:tcW w:w="4754" w:type="dxa"/>
          </w:tcPr>
          <w:p w:rsidR="008075F9" w:rsidRPr="007D0E37" w:rsidRDefault="008075F9" w:rsidP="00CA15E5">
            <w:pPr>
              <w:pStyle w:val="TableText"/>
              <w:keepNext w:val="0"/>
            </w:pPr>
            <w:r w:rsidRPr="007D0E37">
              <w:t xml:space="preserve">Danese, S., G. Fiorino, L. Peyrin-Biroulet, E. Lucenteforte, G. Virgili, L. Moja and S. Bonovas. "Biological agents for moderately to severely active UC: a systematic review and network meta-analysis." </w:t>
            </w:r>
          </w:p>
        </w:tc>
        <w:tc>
          <w:tcPr>
            <w:tcW w:w="2993" w:type="dxa"/>
          </w:tcPr>
          <w:p w:rsidR="008075F9" w:rsidRPr="007D0E37" w:rsidRDefault="008075F9" w:rsidP="00CA15E5">
            <w:pPr>
              <w:pStyle w:val="TableText"/>
              <w:keepNext w:val="0"/>
            </w:pPr>
            <w:r w:rsidRPr="007D0E37">
              <w:t>Annals of internal medicine 160(10): 704-711.</w:t>
            </w:r>
          </w:p>
        </w:tc>
      </w:tr>
      <w:tr w:rsidR="008075F9" w:rsidRPr="007D0E37" w:rsidTr="000C6076">
        <w:tc>
          <w:tcPr>
            <w:tcW w:w="0" w:type="auto"/>
          </w:tcPr>
          <w:p w:rsidR="008075F9" w:rsidRPr="007D0E37" w:rsidRDefault="008075F9" w:rsidP="00CA15E5">
            <w:pPr>
              <w:pStyle w:val="TableText"/>
              <w:keepNext w:val="0"/>
              <w:rPr>
                <w:lang w:eastAsia="en-AU"/>
              </w:rPr>
            </w:pPr>
            <w:r w:rsidRPr="007D0E37">
              <w:rPr>
                <w:lang w:eastAsia="en-AU"/>
              </w:rPr>
              <w:t>Galvan-Banqueri et al., 2015</w:t>
            </w:r>
          </w:p>
        </w:tc>
        <w:tc>
          <w:tcPr>
            <w:tcW w:w="4754" w:type="dxa"/>
          </w:tcPr>
          <w:p w:rsidR="008075F9" w:rsidRPr="007D0E37" w:rsidRDefault="008075F9" w:rsidP="00CA15E5">
            <w:pPr>
              <w:pStyle w:val="TableText"/>
              <w:keepNext w:val="0"/>
            </w:pPr>
            <w:r w:rsidRPr="007D0E37">
              <w:t>Galvan-Banqueri M, Vega-Coca MD, Castillo-Munoz MA, et al. Indirect comparison for Anti-TNF drugs in moderate to severe ulcerative colitis.</w:t>
            </w:r>
          </w:p>
        </w:tc>
        <w:tc>
          <w:tcPr>
            <w:tcW w:w="2993" w:type="dxa"/>
          </w:tcPr>
          <w:p w:rsidR="008075F9" w:rsidRPr="007D0E37" w:rsidRDefault="008075F9" w:rsidP="00CA15E5">
            <w:pPr>
              <w:pStyle w:val="TableText"/>
              <w:keepNext w:val="0"/>
            </w:pPr>
            <w:r w:rsidRPr="007D0E37">
              <w:t>Farm Hosp 2015; 39: 80-91.</w:t>
            </w:r>
          </w:p>
        </w:tc>
      </w:tr>
      <w:tr w:rsidR="008075F9" w:rsidRPr="007D0E37" w:rsidTr="000C6076">
        <w:tc>
          <w:tcPr>
            <w:tcW w:w="0" w:type="auto"/>
          </w:tcPr>
          <w:p w:rsidR="008075F9" w:rsidRPr="007D0E37" w:rsidRDefault="008075F9" w:rsidP="00CA15E5">
            <w:pPr>
              <w:pStyle w:val="TableText"/>
              <w:keepNext w:val="0"/>
              <w:rPr>
                <w:lang w:eastAsia="en-AU"/>
              </w:rPr>
            </w:pPr>
            <w:r w:rsidRPr="007D0E37">
              <w:rPr>
                <w:lang w:eastAsia="en-AU"/>
              </w:rPr>
              <w:t>Kawalec and Pilc 2016</w:t>
            </w:r>
          </w:p>
        </w:tc>
        <w:tc>
          <w:tcPr>
            <w:tcW w:w="4754" w:type="dxa"/>
          </w:tcPr>
          <w:p w:rsidR="008075F9" w:rsidRPr="007D0E37" w:rsidRDefault="008075F9" w:rsidP="00CA15E5">
            <w:pPr>
              <w:pStyle w:val="TableText"/>
              <w:keepNext w:val="0"/>
            </w:pPr>
            <w:r w:rsidRPr="007D0E37">
              <w:t>Kawalec P, Pilc A. An indirect comparison of infliximab versus adalimumab or golimumab for active ulcerative colitis.</w:t>
            </w:r>
          </w:p>
        </w:tc>
        <w:tc>
          <w:tcPr>
            <w:tcW w:w="2993" w:type="dxa"/>
          </w:tcPr>
          <w:p w:rsidR="008075F9" w:rsidRPr="007D0E37" w:rsidRDefault="008075F9" w:rsidP="00CA15E5">
            <w:pPr>
              <w:pStyle w:val="TableText"/>
              <w:keepNext w:val="0"/>
            </w:pPr>
            <w:r w:rsidRPr="007D0E37">
              <w:t>Arch Med Sci 2016; 12: 1097-1109.</w:t>
            </w:r>
          </w:p>
        </w:tc>
      </w:tr>
      <w:tr w:rsidR="008075F9" w:rsidRPr="007D0E37" w:rsidTr="000C6076">
        <w:tc>
          <w:tcPr>
            <w:tcW w:w="0" w:type="auto"/>
          </w:tcPr>
          <w:p w:rsidR="008075F9" w:rsidRPr="007D0E37" w:rsidRDefault="008075F9" w:rsidP="00CA15E5">
            <w:pPr>
              <w:pStyle w:val="TableText"/>
              <w:keepNext w:val="0"/>
              <w:rPr>
                <w:lang w:eastAsia="en-AU"/>
              </w:rPr>
            </w:pPr>
            <w:r w:rsidRPr="007D0E37">
              <w:rPr>
                <w:lang w:eastAsia="en-AU"/>
              </w:rPr>
              <w:t>Mei et al 2015</w:t>
            </w:r>
          </w:p>
        </w:tc>
        <w:tc>
          <w:tcPr>
            <w:tcW w:w="4754" w:type="dxa"/>
          </w:tcPr>
          <w:p w:rsidR="008075F9" w:rsidRPr="007D0E37" w:rsidRDefault="008075F9" w:rsidP="00CA15E5">
            <w:pPr>
              <w:pStyle w:val="TableText"/>
              <w:keepNext w:val="0"/>
              <w:rPr>
                <w:lang w:val="es-ES_tradnl"/>
              </w:rPr>
            </w:pPr>
            <w:r w:rsidRPr="007D0E37">
              <w:rPr>
                <w:lang w:val="es-ES_tradnl"/>
              </w:rPr>
              <w:t>Mei WQ, Hu HZ, Liu Y, et al. Infliximab is superior to other biological agents for treatment of active ulcerative colitis: A meta-analysis.</w:t>
            </w:r>
          </w:p>
        </w:tc>
        <w:tc>
          <w:tcPr>
            <w:tcW w:w="2993" w:type="dxa"/>
          </w:tcPr>
          <w:p w:rsidR="008075F9" w:rsidRPr="007D0E37" w:rsidRDefault="008075F9" w:rsidP="00CA15E5">
            <w:pPr>
              <w:pStyle w:val="TableText"/>
              <w:keepNext w:val="0"/>
              <w:rPr>
                <w:lang w:val="es-ES_tradnl"/>
              </w:rPr>
            </w:pPr>
            <w:r w:rsidRPr="007D0E37">
              <w:rPr>
                <w:lang w:val="es-ES_tradnl"/>
              </w:rPr>
              <w:t>World J Gastroenterol 2015; 21: 6044-6051.</w:t>
            </w:r>
          </w:p>
        </w:tc>
      </w:tr>
      <w:tr w:rsidR="008075F9" w:rsidRPr="007D0E37" w:rsidTr="000C6076">
        <w:tc>
          <w:tcPr>
            <w:tcW w:w="0" w:type="auto"/>
          </w:tcPr>
          <w:p w:rsidR="008075F9" w:rsidRPr="007D0E37" w:rsidRDefault="008075F9" w:rsidP="00CA15E5">
            <w:pPr>
              <w:pStyle w:val="TableText"/>
              <w:keepNext w:val="0"/>
              <w:rPr>
                <w:lang w:eastAsia="en-AU"/>
              </w:rPr>
            </w:pPr>
            <w:r w:rsidRPr="007D0E37">
              <w:rPr>
                <w:lang w:eastAsia="en-AU"/>
              </w:rPr>
              <w:t>Moćko et al., 2016</w:t>
            </w:r>
          </w:p>
        </w:tc>
        <w:tc>
          <w:tcPr>
            <w:tcW w:w="4754" w:type="dxa"/>
          </w:tcPr>
          <w:p w:rsidR="008075F9" w:rsidRPr="007D0E37" w:rsidRDefault="008075F9" w:rsidP="00CA15E5">
            <w:pPr>
              <w:pStyle w:val="TableText"/>
              <w:keepNext w:val="0"/>
              <w:rPr>
                <w:lang w:val="es-ES_tradnl"/>
              </w:rPr>
            </w:pPr>
            <w:r w:rsidRPr="007D0E37">
              <w:rPr>
                <w:lang w:val="es-ES_tradnl"/>
              </w:rPr>
              <w:t>Pharmacotherapy 2016; 36: 870-879.</w:t>
            </w:r>
          </w:p>
        </w:tc>
        <w:tc>
          <w:tcPr>
            <w:tcW w:w="2993" w:type="dxa"/>
          </w:tcPr>
          <w:p w:rsidR="008075F9" w:rsidRPr="007D0E37" w:rsidRDefault="008075F9" w:rsidP="00CA15E5">
            <w:pPr>
              <w:pStyle w:val="TableText"/>
              <w:keepNext w:val="0"/>
              <w:rPr>
                <w:lang w:val="es-ES_tradnl"/>
              </w:rPr>
            </w:pPr>
            <w:r w:rsidRPr="007D0E37">
              <w:rPr>
                <w:lang w:val="es-ES_tradnl"/>
              </w:rPr>
              <w:t>Pharmacotherapy 2016; 36: 870-879.</w:t>
            </w:r>
          </w:p>
        </w:tc>
      </w:tr>
      <w:tr w:rsidR="008075F9" w:rsidRPr="007D0E37" w:rsidTr="000C6076">
        <w:tc>
          <w:tcPr>
            <w:tcW w:w="0" w:type="auto"/>
          </w:tcPr>
          <w:p w:rsidR="008075F9" w:rsidRPr="007D0E37" w:rsidRDefault="008075F9" w:rsidP="00CA15E5">
            <w:pPr>
              <w:pStyle w:val="TableText"/>
              <w:keepNext w:val="0"/>
            </w:pPr>
            <w:r w:rsidRPr="007D0E37">
              <w:rPr>
                <w:lang w:eastAsia="en-AU"/>
              </w:rPr>
              <w:t>Stidham, 2014</w:t>
            </w:r>
          </w:p>
        </w:tc>
        <w:tc>
          <w:tcPr>
            <w:tcW w:w="4754" w:type="dxa"/>
          </w:tcPr>
          <w:p w:rsidR="008075F9" w:rsidRPr="007D0E37" w:rsidRDefault="008075F9" w:rsidP="00CA15E5">
            <w:pPr>
              <w:pStyle w:val="TableText"/>
              <w:keepNext w:val="0"/>
            </w:pPr>
            <w:r w:rsidRPr="007D0E37">
              <w:t xml:space="preserve">Stidham RW, Lee TCH, Higgins PDR, et al. Systematic review with network meta-analysis: the efficacy of anti-tumour necrosis factor-alpha agents for the treatment of UC. </w:t>
            </w:r>
          </w:p>
        </w:tc>
        <w:tc>
          <w:tcPr>
            <w:tcW w:w="2993" w:type="dxa"/>
          </w:tcPr>
          <w:p w:rsidR="008075F9" w:rsidRPr="007D0E37" w:rsidRDefault="008075F9" w:rsidP="00CA15E5">
            <w:pPr>
              <w:pStyle w:val="TableText"/>
              <w:keepNext w:val="0"/>
            </w:pPr>
            <w:r w:rsidRPr="007D0E37">
              <w:t>Alimentary Pharmacology and Therapeutics. 2014;39:660-671</w:t>
            </w:r>
          </w:p>
        </w:tc>
      </w:tr>
      <w:tr w:rsidR="008075F9" w:rsidRPr="007D0E37" w:rsidTr="000C6076">
        <w:tc>
          <w:tcPr>
            <w:tcW w:w="0" w:type="auto"/>
          </w:tcPr>
          <w:p w:rsidR="008075F9" w:rsidRPr="007D0E37" w:rsidRDefault="008075F9" w:rsidP="00CA15E5">
            <w:pPr>
              <w:pStyle w:val="TableText"/>
              <w:keepNext w:val="0"/>
            </w:pPr>
            <w:r w:rsidRPr="007D0E37">
              <w:rPr>
                <w:lang w:eastAsia="en-AU"/>
              </w:rPr>
              <w:t>Thorlund, 2014</w:t>
            </w:r>
          </w:p>
        </w:tc>
        <w:tc>
          <w:tcPr>
            <w:tcW w:w="4754" w:type="dxa"/>
          </w:tcPr>
          <w:p w:rsidR="008075F9" w:rsidRPr="007D0E37" w:rsidRDefault="008075F9" w:rsidP="00CA15E5">
            <w:pPr>
              <w:pStyle w:val="TableText"/>
              <w:keepNext w:val="0"/>
            </w:pPr>
            <w:r w:rsidRPr="007D0E37">
              <w:t xml:space="preserve">Thorlund K, Druyts E, Mills EJ, et al. Adalimumab versus infliximab for the treatment of moderate to severe UC in adult patients native to anti-TNF therapy: an indirect treatment comparison meta-analysis. </w:t>
            </w:r>
          </w:p>
        </w:tc>
        <w:tc>
          <w:tcPr>
            <w:tcW w:w="2993" w:type="dxa"/>
          </w:tcPr>
          <w:p w:rsidR="008075F9" w:rsidRPr="007D0E37" w:rsidRDefault="008075F9" w:rsidP="00CA15E5">
            <w:pPr>
              <w:pStyle w:val="TableText"/>
              <w:keepNext w:val="0"/>
            </w:pPr>
            <w:r w:rsidRPr="007D0E37">
              <w:t>Journal of Crohn’s and Colitis. 2014. Available from: dx.doi.org/10.1016/j.crohns.2014.01.010</w:t>
            </w:r>
          </w:p>
        </w:tc>
      </w:tr>
      <w:tr w:rsidR="008075F9" w:rsidRPr="007D0E37" w:rsidTr="000C6076">
        <w:tc>
          <w:tcPr>
            <w:tcW w:w="0" w:type="auto"/>
            <w:shd w:val="clear" w:color="auto" w:fill="auto"/>
          </w:tcPr>
          <w:p w:rsidR="008075F9" w:rsidRPr="007D0E37" w:rsidRDefault="008075F9" w:rsidP="00CA15E5">
            <w:pPr>
              <w:pStyle w:val="TableText"/>
              <w:keepNext w:val="0"/>
            </w:pPr>
            <w:r w:rsidRPr="007D0E37">
              <w:rPr>
                <w:lang w:eastAsia="en-AU"/>
              </w:rPr>
              <w:t>Vickers, 2015</w:t>
            </w:r>
          </w:p>
        </w:tc>
        <w:tc>
          <w:tcPr>
            <w:tcW w:w="4754" w:type="dxa"/>
          </w:tcPr>
          <w:p w:rsidR="008075F9" w:rsidRPr="007D0E37" w:rsidRDefault="008075F9" w:rsidP="00CA15E5">
            <w:pPr>
              <w:pStyle w:val="TableText"/>
              <w:keepNext w:val="0"/>
            </w:pPr>
            <w:r w:rsidRPr="007D0E37">
              <w:t xml:space="preserve">Vickers, A. D., R. R. Mody, A. Bergman, C. S. Ling, C. Ainsworth, J. Medjedovic and M. Smyth. "P554 Comparative efficacy of biologics in the treatment of moderately to severely active UC (UC): A systematic review and network meta-analysis" </w:t>
            </w:r>
          </w:p>
        </w:tc>
        <w:tc>
          <w:tcPr>
            <w:tcW w:w="2993" w:type="dxa"/>
          </w:tcPr>
          <w:p w:rsidR="008075F9" w:rsidRPr="007D0E37" w:rsidRDefault="008075F9" w:rsidP="00CA15E5">
            <w:pPr>
              <w:pStyle w:val="TableText"/>
              <w:keepNext w:val="0"/>
            </w:pPr>
            <w:r w:rsidRPr="007D0E37">
              <w:t>Poster presentations: Clinical: Therapy &amp; observation.</w:t>
            </w:r>
          </w:p>
        </w:tc>
      </w:tr>
      <w:tr w:rsidR="000C6076" w:rsidRPr="007D0E37" w:rsidTr="000C6076">
        <w:tc>
          <w:tcPr>
            <w:tcW w:w="0" w:type="auto"/>
            <w:shd w:val="clear" w:color="auto" w:fill="auto"/>
          </w:tcPr>
          <w:p w:rsidR="000C6076" w:rsidRPr="007D0E37" w:rsidRDefault="000C6076" w:rsidP="000C6076">
            <w:pPr>
              <w:pStyle w:val="TableText"/>
              <w:keepNext w:val="0"/>
              <w:rPr>
                <w:lang w:eastAsia="en-AU"/>
              </w:rPr>
            </w:pPr>
            <w:r w:rsidRPr="007D0E37">
              <w:rPr>
                <w:lang w:eastAsia="en-AU"/>
              </w:rPr>
              <w:t>Lopez, 2015</w:t>
            </w:r>
          </w:p>
        </w:tc>
        <w:tc>
          <w:tcPr>
            <w:tcW w:w="4754" w:type="dxa"/>
          </w:tcPr>
          <w:p w:rsidR="000C6076" w:rsidRPr="007D0E37" w:rsidRDefault="000C6076" w:rsidP="000C6076">
            <w:pPr>
              <w:pStyle w:val="TableText"/>
              <w:keepNext w:val="0"/>
            </w:pPr>
            <w:r w:rsidRPr="007D0E37">
              <w:rPr>
                <w:lang w:val="es-ES_tradnl"/>
              </w:rPr>
              <w:t>Lopez, A., A. C. Ford, J. F. Colombel, W. Reinisch, W. J. Sandborn and L. Peyrin-Biroulet . "Efficacy of tumour necrosis factor antagonists on remission, colectomy and hospitalisations in UC: Meta-analysis of placebo-controlled trials."</w:t>
            </w:r>
          </w:p>
        </w:tc>
        <w:tc>
          <w:tcPr>
            <w:tcW w:w="2993" w:type="dxa"/>
          </w:tcPr>
          <w:p w:rsidR="000C6076" w:rsidRPr="007D0E37" w:rsidRDefault="000C6076" w:rsidP="000C6076">
            <w:pPr>
              <w:pStyle w:val="TableText"/>
              <w:keepNext w:val="0"/>
            </w:pPr>
            <w:r w:rsidRPr="007D0E37">
              <w:rPr>
                <w:lang w:val="es-ES_tradnl"/>
              </w:rPr>
              <w:t>Digestive and Liver Disease 2015; 47 (5):356-364</w:t>
            </w:r>
          </w:p>
        </w:tc>
      </w:tr>
    </w:tbl>
    <w:p w:rsidR="005B7A11" w:rsidRPr="007D0E37" w:rsidRDefault="005B7A11" w:rsidP="005B7A11">
      <w:pPr>
        <w:pStyle w:val="TableFooter"/>
      </w:pPr>
      <w:r w:rsidRPr="007D0E37">
        <w:t xml:space="preserve">Source: p44, p51, Table 2.3-4 p51, Table 2.3-5 pp52-53 of the submission. </w:t>
      </w:r>
    </w:p>
    <w:p w:rsidR="00C317F3" w:rsidRPr="007D0E37" w:rsidRDefault="00C317F3" w:rsidP="00772501">
      <w:pPr>
        <w:pStyle w:val="TableFooter"/>
      </w:pPr>
    </w:p>
    <w:p w:rsidR="00C317F3" w:rsidRPr="007D0E37" w:rsidRDefault="00C317F3" w:rsidP="0060197D">
      <w:pPr>
        <w:pStyle w:val="ListParagraph"/>
        <w:numPr>
          <w:ilvl w:val="1"/>
          <w:numId w:val="13"/>
        </w:numPr>
      </w:pPr>
      <w:r w:rsidRPr="007D0E37">
        <w:t>The key features</w:t>
      </w:r>
      <w:r w:rsidR="00474C9B" w:rsidRPr="007D0E37">
        <w:t xml:space="preserve"> of the included randomised trial</w:t>
      </w:r>
      <w:r w:rsidRPr="007D0E37">
        <w:t xml:space="preserve">s are summarised in </w:t>
      </w:r>
      <w:r w:rsidR="00474C9B" w:rsidRPr="007D0E37">
        <w:t>T</w:t>
      </w:r>
      <w:r w:rsidRPr="007D0E37">
        <w:t xml:space="preserve">able </w:t>
      </w:r>
      <w:r w:rsidR="0097718B" w:rsidRPr="007D0E37">
        <w:t>5</w:t>
      </w:r>
      <w:r w:rsidRPr="007D0E37">
        <w:t>.</w:t>
      </w:r>
      <w:r w:rsidR="00767CDD">
        <w:t xml:space="preserve"> </w:t>
      </w:r>
    </w:p>
    <w:p w:rsidR="00C317F3" w:rsidRPr="007D0E37" w:rsidRDefault="000B04CA" w:rsidP="00A133F2">
      <w:pPr>
        <w:pStyle w:val="TableHeading0"/>
        <w:widowControl w:val="0"/>
      </w:pPr>
      <w:r w:rsidRPr="007D0E37">
        <w:t xml:space="preserve">Table </w:t>
      </w:r>
      <w:r w:rsidR="0097718B" w:rsidRPr="007D0E37">
        <w:t>5</w:t>
      </w:r>
      <w:r w:rsidR="00B74D60" w:rsidRPr="007D0E37">
        <w:t>: Key features of the included evidence –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00"/>
        <w:gridCol w:w="870"/>
        <w:gridCol w:w="1366"/>
        <w:gridCol w:w="1123"/>
        <w:gridCol w:w="1546"/>
        <w:gridCol w:w="2777"/>
      </w:tblGrid>
      <w:tr w:rsidR="00377A13" w:rsidRPr="007D0E37" w:rsidTr="004F0951">
        <w:trPr>
          <w:tblHeader/>
        </w:trPr>
        <w:tc>
          <w:tcPr>
            <w:tcW w:w="771" w:type="pct"/>
            <w:shd w:val="clear" w:color="auto" w:fill="auto"/>
            <w:vAlign w:val="center"/>
          </w:tcPr>
          <w:p w:rsidR="00377A13" w:rsidRPr="007D0E37" w:rsidRDefault="00377A13" w:rsidP="00A133F2">
            <w:pPr>
              <w:pStyle w:val="TableText"/>
              <w:widowControl w:val="0"/>
              <w:rPr>
                <w:b/>
              </w:rPr>
            </w:pPr>
            <w:r w:rsidRPr="007D0E37">
              <w:rPr>
                <w:b/>
              </w:rPr>
              <w:t>Trial</w:t>
            </w:r>
          </w:p>
        </w:tc>
        <w:tc>
          <w:tcPr>
            <w:tcW w:w="479" w:type="pct"/>
            <w:shd w:val="clear" w:color="auto" w:fill="auto"/>
            <w:vAlign w:val="center"/>
          </w:tcPr>
          <w:p w:rsidR="00377A13" w:rsidRPr="007D0E37" w:rsidRDefault="00377A13" w:rsidP="00A133F2">
            <w:pPr>
              <w:pStyle w:val="TableText"/>
              <w:widowControl w:val="0"/>
              <w:rPr>
                <w:b/>
              </w:rPr>
            </w:pPr>
            <w:r w:rsidRPr="007D0E37">
              <w:rPr>
                <w:b/>
              </w:rPr>
              <w:t>N</w:t>
            </w:r>
          </w:p>
        </w:tc>
        <w:tc>
          <w:tcPr>
            <w:tcW w:w="752" w:type="pct"/>
            <w:shd w:val="clear" w:color="auto" w:fill="auto"/>
            <w:vAlign w:val="center"/>
          </w:tcPr>
          <w:p w:rsidR="00377A13" w:rsidRPr="007D0E37" w:rsidRDefault="00FB6D96" w:rsidP="00A133F2">
            <w:pPr>
              <w:pStyle w:val="TableText"/>
              <w:widowControl w:val="0"/>
              <w:rPr>
                <w:b/>
              </w:rPr>
            </w:pPr>
            <w:r w:rsidRPr="007D0E37">
              <w:rPr>
                <w:b/>
              </w:rPr>
              <w:t>Design/</w:t>
            </w:r>
            <w:r w:rsidR="00377A13" w:rsidRPr="007D0E37">
              <w:rPr>
                <w:b/>
              </w:rPr>
              <w:t>duration of follow-up</w:t>
            </w:r>
          </w:p>
        </w:tc>
        <w:tc>
          <w:tcPr>
            <w:tcW w:w="618" w:type="pct"/>
            <w:shd w:val="clear" w:color="auto" w:fill="auto"/>
            <w:vAlign w:val="center"/>
          </w:tcPr>
          <w:p w:rsidR="00377A13" w:rsidRPr="007D0E37" w:rsidRDefault="00377A13" w:rsidP="00A133F2">
            <w:pPr>
              <w:pStyle w:val="TableText"/>
              <w:widowControl w:val="0"/>
              <w:rPr>
                <w:b/>
              </w:rPr>
            </w:pPr>
            <w:r w:rsidRPr="007D0E37">
              <w:rPr>
                <w:b/>
              </w:rPr>
              <w:t>Risk of bias</w:t>
            </w:r>
          </w:p>
        </w:tc>
        <w:tc>
          <w:tcPr>
            <w:tcW w:w="851" w:type="pct"/>
            <w:shd w:val="clear" w:color="auto" w:fill="auto"/>
            <w:vAlign w:val="center"/>
          </w:tcPr>
          <w:p w:rsidR="00377A13" w:rsidRPr="007D0E37" w:rsidRDefault="00377A13" w:rsidP="00A133F2">
            <w:pPr>
              <w:pStyle w:val="TableText"/>
              <w:widowControl w:val="0"/>
              <w:rPr>
                <w:b/>
              </w:rPr>
            </w:pPr>
            <w:r w:rsidRPr="007D0E37">
              <w:rPr>
                <w:b/>
              </w:rPr>
              <w:t>Patient population</w:t>
            </w:r>
          </w:p>
        </w:tc>
        <w:tc>
          <w:tcPr>
            <w:tcW w:w="1530" w:type="pct"/>
            <w:shd w:val="clear" w:color="auto" w:fill="auto"/>
            <w:vAlign w:val="center"/>
          </w:tcPr>
          <w:p w:rsidR="00377A13" w:rsidRPr="007D0E37" w:rsidRDefault="00FD08B3" w:rsidP="00A133F2">
            <w:pPr>
              <w:pStyle w:val="TableText"/>
              <w:widowControl w:val="0"/>
              <w:rPr>
                <w:b/>
              </w:rPr>
            </w:pPr>
            <w:r w:rsidRPr="007D0E37">
              <w:rPr>
                <w:b/>
              </w:rPr>
              <w:t>Outcomes</w:t>
            </w:r>
          </w:p>
        </w:tc>
      </w:tr>
      <w:tr w:rsidR="00FB6D96" w:rsidRPr="007D0E37" w:rsidTr="0097718B">
        <w:tc>
          <w:tcPr>
            <w:tcW w:w="5000" w:type="pct"/>
            <w:gridSpan w:val="6"/>
            <w:shd w:val="clear" w:color="auto" w:fill="auto"/>
            <w:vAlign w:val="center"/>
          </w:tcPr>
          <w:p w:rsidR="00FB6D96" w:rsidRPr="007D0E37" w:rsidRDefault="00EB4AAE" w:rsidP="00A133F2">
            <w:pPr>
              <w:pStyle w:val="TableText"/>
              <w:widowControl w:val="0"/>
              <w:rPr>
                <w:b/>
              </w:rPr>
            </w:pPr>
            <w:r w:rsidRPr="007D0E37">
              <w:rPr>
                <w:b/>
              </w:rPr>
              <w:t>Golimumab vs placebo trials</w:t>
            </w:r>
          </w:p>
        </w:tc>
      </w:tr>
      <w:tr w:rsidR="00AF281F" w:rsidRPr="007D0E37" w:rsidTr="0097718B">
        <w:tc>
          <w:tcPr>
            <w:tcW w:w="771" w:type="pct"/>
            <w:shd w:val="clear" w:color="auto" w:fill="auto"/>
          </w:tcPr>
          <w:p w:rsidR="00AF281F" w:rsidRPr="007D0E37" w:rsidRDefault="00AF281F" w:rsidP="00A133F2">
            <w:pPr>
              <w:pStyle w:val="TableText"/>
              <w:widowControl w:val="0"/>
            </w:pPr>
            <w:r w:rsidRPr="007D0E37">
              <w:t>PURSUIT-SC</w:t>
            </w:r>
          </w:p>
        </w:tc>
        <w:tc>
          <w:tcPr>
            <w:tcW w:w="479" w:type="pct"/>
            <w:shd w:val="clear" w:color="auto" w:fill="auto"/>
            <w:vAlign w:val="center"/>
          </w:tcPr>
          <w:p w:rsidR="00AF281F" w:rsidRPr="007D0E37" w:rsidRDefault="00A5030D" w:rsidP="00A133F2">
            <w:pPr>
              <w:pStyle w:val="TableText"/>
              <w:widowControl w:val="0"/>
            </w:pPr>
            <w:r w:rsidRPr="007D0E37">
              <w:t>658</w:t>
            </w:r>
          </w:p>
        </w:tc>
        <w:tc>
          <w:tcPr>
            <w:tcW w:w="752" w:type="pct"/>
            <w:shd w:val="clear" w:color="auto" w:fill="auto"/>
            <w:vAlign w:val="center"/>
          </w:tcPr>
          <w:p w:rsidR="00AF281F" w:rsidRPr="007D0E37" w:rsidRDefault="00195483" w:rsidP="00A133F2">
            <w:pPr>
              <w:pStyle w:val="TableText"/>
              <w:widowControl w:val="0"/>
            </w:pPr>
            <w:r w:rsidRPr="007D0E37">
              <w:rPr>
                <w:szCs w:val="20"/>
              </w:rPr>
              <w:t>R, DB, MC, PC, 8</w:t>
            </w:r>
            <w:r w:rsidR="00A444CB" w:rsidRPr="007D0E37">
              <w:rPr>
                <w:szCs w:val="20"/>
              </w:rPr>
              <w:t> </w:t>
            </w:r>
            <w:r w:rsidRPr="007D0E37">
              <w:rPr>
                <w:szCs w:val="20"/>
              </w:rPr>
              <w:t>weeks</w:t>
            </w:r>
          </w:p>
        </w:tc>
        <w:tc>
          <w:tcPr>
            <w:tcW w:w="618" w:type="pct"/>
            <w:shd w:val="clear" w:color="auto" w:fill="auto"/>
            <w:vAlign w:val="center"/>
          </w:tcPr>
          <w:p w:rsidR="00AF281F" w:rsidRPr="007D0E37" w:rsidRDefault="00195483" w:rsidP="00A133F2">
            <w:pPr>
              <w:pStyle w:val="TableText"/>
              <w:widowControl w:val="0"/>
            </w:pPr>
            <w:r w:rsidRPr="007D0E37">
              <w:t>Low</w:t>
            </w:r>
          </w:p>
        </w:tc>
        <w:tc>
          <w:tcPr>
            <w:tcW w:w="851" w:type="pct"/>
            <w:shd w:val="clear" w:color="auto" w:fill="auto"/>
            <w:vAlign w:val="center"/>
          </w:tcPr>
          <w:p w:rsidR="00AF281F" w:rsidRPr="007D0E37" w:rsidRDefault="00C45DE5" w:rsidP="00A133F2">
            <w:pPr>
              <w:pStyle w:val="TableText"/>
              <w:widowControl w:val="0"/>
            </w:pPr>
            <w:r w:rsidRPr="007D0E37">
              <w:rPr>
                <w:szCs w:val="20"/>
              </w:rPr>
              <w:t>MSUC</w:t>
            </w:r>
            <w:r w:rsidR="007E30EC" w:rsidRPr="007D0E37">
              <w:rPr>
                <w:szCs w:val="20"/>
              </w:rPr>
              <w:t xml:space="preserve">; anti-TNF </w:t>
            </w:r>
            <w:r w:rsidR="00607371" w:rsidRPr="007D0E37">
              <w:rPr>
                <w:szCs w:val="20"/>
              </w:rPr>
              <w:t xml:space="preserve">naïve </w:t>
            </w:r>
          </w:p>
        </w:tc>
        <w:tc>
          <w:tcPr>
            <w:tcW w:w="1530" w:type="pct"/>
            <w:shd w:val="clear" w:color="auto" w:fill="auto"/>
            <w:vAlign w:val="center"/>
          </w:tcPr>
          <w:p w:rsidR="00AF281F" w:rsidRPr="007D0E37" w:rsidRDefault="00641DFD" w:rsidP="00A133F2">
            <w:pPr>
              <w:pStyle w:val="TableText"/>
              <w:widowControl w:val="0"/>
            </w:pPr>
            <w:r w:rsidRPr="007D0E37">
              <w:rPr>
                <w:szCs w:val="20"/>
              </w:rPr>
              <w:t>W8: remission, response, mucosal healing</w:t>
            </w:r>
          </w:p>
        </w:tc>
      </w:tr>
      <w:tr w:rsidR="00AF281F" w:rsidRPr="007D0E37" w:rsidTr="0097718B">
        <w:tc>
          <w:tcPr>
            <w:tcW w:w="771" w:type="pct"/>
            <w:shd w:val="clear" w:color="auto" w:fill="auto"/>
          </w:tcPr>
          <w:p w:rsidR="00AF281F" w:rsidRPr="007D0E37" w:rsidRDefault="00AF281F" w:rsidP="00A133F2">
            <w:pPr>
              <w:pStyle w:val="TableText"/>
              <w:widowControl w:val="0"/>
              <w:rPr>
                <w:rFonts w:ascii="Times" w:eastAsia="Times New Roman" w:hAnsi="Times" w:cs="Times New Roman"/>
              </w:rPr>
            </w:pPr>
            <w:r w:rsidRPr="007D0E37">
              <w:t>PURSUIT-M</w:t>
            </w:r>
          </w:p>
        </w:tc>
        <w:tc>
          <w:tcPr>
            <w:tcW w:w="479" w:type="pct"/>
            <w:shd w:val="clear" w:color="auto" w:fill="auto"/>
            <w:vAlign w:val="center"/>
          </w:tcPr>
          <w:p w:rsidR="00AF281F" w:rsidRPr="007D0E37" w:rsidRDefault="00A5030D" w:rsidP="00A133F2">
            <w:pPr>
              <w:pStyle w:val="TableText"/>
              <w:widowControl w:val="0"/>
            </w:pPr>
            <w:r w:rsidRPr="007D0E37">
              <w:t>310</w:t>
            </w:r>
          </w:p>
        </w:tc>
        <w:tc>
          <w:tcPr>
            <w:tcW w:w="752" w:type="pct"/>
            <w:shd w:val="clear" w:color="auto" w:fill="auto"/>
            <w:vAlign w:val="center"/>
          </w:tcPr>
          <w:p w:rsidR="00AF281F" w:rsidRPr="007D0E37" w:rsidRDefault="00195483" w:rsidP="00A133F2">
            <w:pPr>
              <w:pStyle w:val="TableText"/>
              <w:widowControl w:val="0"/>
            </w:pPr>
            <w:r w:rsidRPr="007D0E37">
              <w:rPr>
                <w:szCs w:val="20"/>
              </w:rPr>
              <w:t>R, DB, MC, PC, 54 weeks</w:t>
            </w:r>
          </w:p>
        </w:tc>
        <w:tc>
          <w:tcPr>
            <w:tcW w:w="618" w:type="pct"/>
            <w:shd w:val="clear" w:color="auto" w:fill="auto"/>
            <w:vAlign w:val="center"/>
          </w:tcPr>
          <w:p w:rsidR="00AF281F" w:rsidRPr="007D0E37" w:rsidRDefault="00503179" w:rsidP="00A133F2">
            <w:pPr>
              <w:pStyle w:val="TableText"/>
              <w:widowControl w:val="0"/>
            </w:pPr>
            <w:r w:rsidRPr="007D0E37">
              <w:t>High</w:t>
            </w:r>
          </w:p>
        </w:tc>
        <w:tc>
          <w:tcPr>
            <w:tcW w:w="851" w:type="pct"/>
            <w:shd w:val="clear" w:color="auto" w:fill="auto"/>
            <w:vAlign w:val="center"/>
          </w:tcPr>
          <w:p w:rsidR="00AF281F" w:rsidRPr="007D0E37" w:rsidRDefault="00C45DE5" w:rsidP="00A133F2">
            <w:pPr>
              <w:pStyle w:val="TableText"/>
              <w:widowControl w:val="0"/>
            </w:pPr>
            <w:r w:rsidRPr="007D0E37">
              <w:rPr>
                <w:szCs w:val="20"/>
              </w:rPr>
              <w:t>MSUC</w:t>
            </w:r>
            <w:r w:rsidR="007E30EC" w:rsidRPr="007D0E37">
              <w:rPr>
                <w:szCs w:val="20"/>
              </w:rPr>
              <w:t xml:space="preserve">; anti-TNF </w:t>
            </w:r>
            <w:r w:rsidR="00607371" w:rsidRPr="007D0E37">
              <w:rPr>
                <w:szCs w:val="20"/>
              </w:rPr>
              <w:t xml:space="preserve">naïve </w:t>
            </w:r>
          </w:p>
        </w:tc>
        <w:tc>
          <w:tcPr>
            <w:tcW w:w="1530" w:type="pct"/>
            <w:shd w:val="clear" w:color="auto" w:fill="auto"/>
            <w:vAlign w:val="center"/>
          </w:tcPr>
          <w:p w:rsidR="00AF281F" w:rsidRPr="007D0E37" w:rsidRDefault="00287D50" w:rsidP="00A133F2">
            <w:pPr>
              <w:pStyle w:val="TableText"/>
              <w:widowControl w:val="0"/>
            </w:pPr>
            <w:r w:rsidRPr="007D0E37">
              <w:rPr>
                <w:szCs w:val="20"/>
              </w:rPr>
              <w:t>W54</w:t>
            </w:r>
            <w:r w:rsidR="00641DFD" w:rsidRPr="007D0E37">
              <w:rPr>
                <w:szCs w:val="20"/>
              </w:rPr>
              <w:t>: remission, response, mucosal healing</w:t>
            </w:r>
          </w:p>
        </w:tc>
      </w:tr>
      <w:tr w:rsidR="00186EFE" w:rsidRPr="007D0E37" w:rsidTr="0097718B">
        <w:tc>
          <w:tcPr>
            <w:tcW w:w="771" w:type="pct"/>
            <w:shd w:val="clear" w:color="auto" w:fill="auto"/>
          </w:tcPr>
          <w:p w:rsidR="00186EFE" w:rsidRPr="007D0E37" w:rsidRDefault="00186EFE" w:rsidP="00A133F2">
            <w:pPr>
              <w:pStyle w:val="TableText"/>
              <w:widowControl w:val="0"/>
              <w:rPr>
                <w:rFonts w:ascii="Times" w:eastAsia="Times New Roman" w:hAnsi="Times" w:cs="Times New Roman"/>
              </w:rPr>
            </w:pPr>
            <w:r w:rsidRPr="007D0E37">
              <w:t>PURSUIT-J</w:t>
            </w:r>
          </w:p>
        </w:tc>
        <w:tc>
          <w:tcPr>
            <w:tcW w:w="479" w:type="pct"/>
            <w:shd w:val="clear" w:color="auto" w:fill="auto"/>
            <w:vAlign w:val="center"/>
          </w:tcPr>
          <w:p w:rsidR="00186EFE" w:rsidRPr="007D0E37" w:rsidRDefault="00A5030D" w:rsidP="00A133F2">
            <w:pPr>
              <w:pStyle w:val="TableText"/>
              <w:widowControl w:val="0"/>
            </w:pPr>
            <w:r w:rsidRPr="007D0E37">
              <w:t>63</w:t>
            </w:r>
          </w:p>
        </w:tc>
        <w:tc>
          <w:tcPr>
            <w:tcW w:w="752" w:type="pct"/>
            <w:shd w:val="clear" w:color="auto" w:fill="auto"/>
            <w:vAlign w:val="center"/>
          </w:tcPr>
          <w:p w:rsidR="00186EFE" w:rsidRPr="007D0E37" w:rsidRDefault="00186EFE" w:rsidP="00A133F2">
            <w:pPr>
              <w:pStyle w:val="TableText"/>
              <w:widowControl w:val="0"/>
            </w:pPr>
            <w:r w:rsidRPr="007D0E37">
              <w:rPr>
                <w:szCs w:val="20"/>
              </w:rPr>
              <w:t>R, DB, MC, PC, 54 weeks</w:t>
            </w:r>
          </w:p>
        </w:tc>
        <w:tc>
          <w:tcPr>
            <w:tcW w:w="618" w:type="pct"/>
            <w:shd w:val="clear" w:color="auto" w:fill="auto"/>
            <w:vAlign w:val="center"/>
          </w:tcPr>
          <w:p w:rsidR="00186EFE" w:rsidRPr="007D0E37" w:rsidRDefault="00503179" w:rsidP="00A133F2">
            <w:pPr>
              <w:pStyle w:val="TableText"/>
              <w:widowControl w:val="0"/>
            </w:pPr>
            <w:r w:rsidRPr="007D0E37">
              <w:t>High</w:t>
            </w:r>
          </w:p>
        </w:tc>
        <w:tc>
          <w:tcPr>
            <w:tcW w:w="851" w:type="pct"/>
            <w:shd w:val="clear" w:color="auto" w:fill="auto"/>
            <w:vAlign w:val="center"/>
          </w:tcPr>
          <w:p w:rsidR="00186EFE" w:rsidRPr="007D0E37" w:rsidRDefault="00C45DE5" w:rsidP="00A133F2">
            <w:pPr>
              <w:pStyle w:val="TableText"/>
              <w:widowControl w:val="0"/>
            </w:pPr>
            <w:r w:rsidRPr="007D0E37">
              <w:rPr>
                <w:szCs w:val="20"/>
              </w:rPr>
              <w:t>MSUC</w:t>
            </w:r>
            <w:r w:rsidR="00186EFE" w:rsidRPr="007D0E37">
              <w:rPr>
                <w:szCs w:val="20"/>
              </w:rPr>
              <w:t xml:space="preserve">; anti-TNF naïve </w:t>
            </w:r>
          </w:p>
        </w:tc>
        <w:tc>
          <w:tcPr>
            <w:tcW w:w="1530" w:type="pct"/>
            <w:shd w:val="clear" w:color="auto" w:fill="auto"/>
            <w:vAlign w:val="center"/>
          </w:tcPr>
          <w:p w:rsidR="00186EFE" w:rsidRPr="007D0E37" w:rsidRDefault="00186EFE" w:rsidP="00A133F2">
            <w:pPr>
              <w:pStyle w:val="TableText"/>
              <w:widowControl w:val="0"/>
            </w:pPr>
            <w:r w:rsidRPr="007D0E37">
              <w:rPr>
                <w:szCs w:val="20"/>
              </w:rPr>
              <w:t>W54: remission, response, mucosal healing</w:t>
            </w:r>
          </w:p>
        </w:tc>
      </w:tr>
      <w:tr w:rsidR="00186EFE" w:rsidRPr="007D0E37" w:rsidTr="0097718B">
        <w:tc>
          <w:tcPr>
            <w:tcW w:w="771" w:type="pct"/>
            <w:shd w:val="clear" w:color="auto" w:fill="auto"/>
            <w:vAlign w:val="center"/>
          </w:tcPr>
          <w:p w:rsidR="00186EFE" w:rsidRPr="007D0E37" w:rsidRDefault="00186EFE" w:rsidP="00A133F2">
            <w:pPr>
              <w:pStyle w:val="TableText"/>
              <w:widowControl w:val="0"/>
            </w:pPr>
            <w:r w:rsidRPr="007D0E37">
              <w:t>Meta-analysis</w:t>
            </w:r>
          </w:p>
        </w:tc>
        <w:tc>
          <w:tcPr>
            <w:tcW w:w="479" w:type="pct"/>
            <w:shd w:val="clear" w:color="auto" w:fill="auto"/>
            <w:vAlign w:val="center"/>
          </w:tcPr>
          <w:p w:rsidR="00186EFE" w:rsidRPr="007D0E37" w:rsidRDefault="00186EFE" w:rsidP="00A133F2">
            <w:pPr>
              <w:pStyle w:val="TableText"/>
              <w:widowControl w:val="0"/>
            </w:pPr>
          </w:p>
        </w:tc>
        <w:tc>
          <w:tcPr>
            <w:tcW w:w="3751" w:type="pct"/>
            <w:gridSpan w:val="4"/>
            <w:shd w:val="clear" w:color="auto" w:fill="auto"/>
            <w:vAlign w:val="center"/>
          </w:tcPr>
          <w:p w:rsidR="00186EFE" w:rsidRPr="007D0E37" w:rsidRDefault="00186EFE" w:rsidP="00A133F2">
            <w:pPr>
              <w:pStyle w:val="TableText"/>
              <w:widowControl w:val="0"/>
            </w:pPr>
            <w:r w:rsidRPr="007D0E37">
              <w:t xml:space="preserve">PURSUIT-M and PURSUIT-J </w:t>
            </w:r>
            <w:r w:rsidR="003B7FF0" w:rsidRPr="007D0E37">
              <w:t xml:space="preserve">were meta-analysed in </w:t>
            </w:r>
            <w:r w:rsidRPr="007D0E37">
              <w:t xml:space="preserve">a sensitivity analysis; assessed remission, response, mucosal healing after Week 54. </w:t>
            </w:r>
            <w:r w:rsidR="003B7FF0" w:rsidRPr="007D0E37">
              <w:t>Exclusion of PURSUIT-J from the main analysis on the basis that it was conducted in Japan was not well justified.</w:t>
            </w:r>
          </w:p>
        </w:tc>
      </w:tr>
      <w:tr w:rsidR="00186EFE" w:rsidRPr="007D0E37" w:rsidTr="0097718B">
        <w:tc>
          <w:tcPr>
            <w:tcW w:w="5000" w:type="pct"/>
            <w:gridSpan w:val="6"/>
            <w:shd w:val="clear" w:color="auto" w:fill="auto"/>
            <w:vAlign w:val="center"/>
          </w:tcPr>
          <w:p w:rsidR="00186EFE" w:rsidRPr="007D0E37" w:rsidRDefault="00186EFE" w:rsidP="00A133F2">
            <w:pPr>
              <w:pStyle w:val="TableText"/>
              <w:widowControl w:val="0"/>
              <w:rPr>
                <w:b/>
              </w:rPr>
            </w:pPr>
            <w:r w:rsidRPr="007D0E37">
              <w:rPr>
                <w:b/>
              </w:rPr>
              <w:t>Infliximab vs placebo trials</w:t>
            </w:r>
          </w:p>
        </w:tc>
      </w:tr>
      <w:tr w:rsidR="00186EFE" w:rsidRPr="007D0E37" w:rsidTr="0097718B">
        <w:tc>
          <w:tcPr>
            <w:tcW w:w="771" w:type="pct"/>
            <w:shd w:val="clear" w:color="auto" w:fill="auto"/>
            <w:vAlign w:val="center"/>
          </w:tcPr>
          <w:p w:rsidR="00186EFE" w:rsidRPr="007D0E37" w:rsidRDefault="00186EFE" w:rsidP="00A133F2">
            <w:pPr>
              <w:pStyle w:val="TableText"/>
              <w:widowControl w:val="0"/>
            </w:pPr>
            <w:r w:rsidRPr="007D0E37">
              <w:t>ACT 1</w:t>
            </w:r>
          </w:p>
        </w:tc>
        <w:tc>
          <w:tcPr>
            <w:tcW w:w="479" w:type="pct"/>
            <w:shd w:val="clear" w:color="auto" w:fill="auto"/>
            <w:vAlign w:val="center"/>
          </w:tcPr>
          <w:p w:rsidR="00186EFE" w:rsidRPr="007D0E37" w:rsidRDefault="00186EFE" w:rsidP="00A133F2">
            <w:pPr>
              <w:pStyle w:val="TableText"/>
              <w:widowControl w:val="0"/>
            </w:pPr>
            <w:r w:rsidRPr="007D0E37">
              <w:t>242</w:t>
            </w:r>
          </w:p>
        </w:tc>
        <w:tc>
          <w:tcPr>
            <w:tcW w:w="752" w:type="pct"/>
            <w:shd w:val="clear" w:color="auto" w:fill="auto"/>
            <w:vAlign w:val="center"/>
          </w:tcPr>
          <w:p w:rsidR="00186EFE" w:rsidRPr="007D0E37" w:rsidRDefault="00186EFE" w:rsidP="00A133F2">
            <w:pPr>
              <w:pStyle w:val="TableText"/>
              <w:widowControl w:val="0"/>
            </w:pPr>
            <w:r w:rsidRPr="007D0E37">
              <w:rPr>
                <w:szCs w:val="20"/>
              </w:rPr>
              <w:t>R, DB, MC, PC, 54 weeks</w:t>
            </w:r>
          </w:p>
        </w:tc>
        <w:tc>
          <w:tcPr>
            <w:tcW w:w="618" w:type="pct"/>
            <w:shd w:val="clear" w:color="auto" w:fill="auto"/>
            <w:vAlign w:val="center"/>
          </w:tcPr>
          <w:p w:rsidR="00186EFE" w:rsidRPr="007D0E37" w:rsidRDefault="00A322AC" w:rsidP="00A133F2">
            <w:pPr>
              <w:pStyle w:val="TableText"/>
              <w:widowControl w:val="0"/>
            </w:pPr>
            <w:r w:rsidRPr="007D0E37">
              <w:t>High</w:t>
            </w:r>
          </w:p>
        </w:tc>
        <w:tc>
          <w:tcPr>
            <w:tcW w:w="851" w:type="pct"/>
            <w:shd w:val="clear" w:color="auto" w:fill="auto"/>
            <w:vAlign w:val="center"/>
          </w:tcPr>
          <w:p w:rsidR="00186EFE" w:rsidRPr="007D0E37" w:rsidRDefault="00C45DE5" w:rsidP="00A133F2">
            <w:pPr>
              <w:pStyle w:val="TableText"/>
              <w:widowControl w:val="0"/>
            </w:pPr>
            <w:r w:rsidRPr="007D0E37">
              <w:rPr>
                <w:szCs w:val="20"/>
              </w:rPr>
              <w:t>MSUC</w:t>
            </w:r>
            <w:r w:rsidR="00186EFE" w:rsidRPr="007D0E37">
              <w:rPr>
                <w:szCs w:val="20"/>
              </w:rPr>
              <w:t xml:space="preserve">; anti-TNF naïve </w:t>
            </w:r>
          </w:p>
        </w:tc>
        <w:tc>
          <w:tcPr>
            <w:tcW w:w="1530" w:type="pct"/>
            <w:shd w:val="clear" w:color="auto" w:fill="auto"/>
            <w:vAlign w:val="center"/>
          </w:tcPr>
          <w:p w:rsidR="00186EFE" w:rsidRPr="007D0E37" w:rsidRDefault="00687DF7" w:rsidP="00A133F2">
            <w:pPr>
              <w:pStyle w:val="TableText"/>
              <w:widowControl w:val="0"/>
            </w:pPr>
            <w:r w:rsidRPr="007D0E37">
              <w:rPr>
                <w:lang w:val="en-US"/>
              </w:rPr>
              <w:t xml:space="preserve">W6 &amp; W54: </w:t>
            </w:r>
            <w:r w:rsidR="00186EFE" w:rsidRPr="007D0E37">
              <w:rPr>
                <w:lang w:val="en-US"/>
              </w:rPr>
              <w:t>Remission, response, mucosal healing, IBDQ response</w:t>
            </w:r>
          </w:p>
        </w:tc>
      </w:tr>
      <w:tr w:rsidR="00186EFE" w:rsidRPr="007D0E37" w:rsidTr="0097718B">
        <w:tc>
          <w:tcPr>
            <w:tcW w:w="771" w:type="pct"/>
            <w:shd w:val="clear" w:color="auto" w:fill="auto"/>
            <w:vAlign w:val="center"/>
          </w:tcPr>
          <w:p w:rsidR="00186EFE" w:rsidRPr="007D0E37" w:rsidRDefault="00186EFE" w:rsidP="00A133F2">
            <w:pPr>
              <w:pStyle w:val="TableText"/>
              <w:widowControl w:val="0"/>
            </w:pPr>
            <w:r w:rsidRPr="007D0E37">
              <w:t>ACT 2</w:t>
            </w:r>
          </w:p>
        </w:tc>
        <w:tc>
          <w:tcPr>
            <w:tcW w:w="479" w:type="pct"/>
            <w:shd w:val="clear" w:color="auto" w:fill="auto"/>
            <w:vAlign w:val="center"/>
          </w:tcPr>
          <w:p w:rsidR="00186EFE" w:rsidRPr="007D0E37" w:rsidRDefault="00186EFE" w:rsidP="00A133F2">
            <w:pPr>
              <w:pStyle w:val="TableText"/>
              <w:widowControl w:val="0"/>
            </w:pPr>
            <w:r w:rsidRPr="007D0E37">
              <w:t>244</w:t>
            </w:r>
          </w:p>
        </w:tc>
        <w:tc>
          <w:tcPr>
            <w:tcW w:w="752" w:type="pct"/>
            <w:shd w:val="clear" w:color="auto" w:fill="auto"/>
            <w:vAlign w:val="center"/>
          </w:tcPr>
          <w:p w:rsidR="00186EFE" w:rsidRPr="007D0E37" w:rsidRDefault="00186EFE" w:rsidP="00A133F2">
            <w:pPr>
              <w:pStyle w:val="TableText"/>
              <w:widowControl w:val="0"/>
            </w:pPr>
            <w:r w:rsidRPr="007D0E37">
              <w:rPr>
                <w:szCs w:val="20"/>
              </w:rPr>
              <w:t>R, DB, MC, PC, 30 weeks</w:t>
            </w:r>
          </w:p>
        </w:tc>
        <w:tc>
          <w:tcPr>
            <w:tcW w:w="618" w:type="pct"/>
            <w:shd w:val="clear" w:color="auto" w:fill="auto"/>
            <w:vAlign w:val="center"/>
          </w:tcPr>
          <w:p w:rsidR="00186EFE" w:rsidRPr="007D0E37" w:rsidRDefault="003B7FF0" w:rsidP="00A133F2">
            <w:pPr>
              <w:pStyle w:val="TableText"/>
              <w:widowControl w:val="0"/>
            </w:pPr>
            <w:r w:rsidRPr="007D0E37">
              <w:t>High</w:t>
            </w:r>
          </w:p>
        </w:tc>
        <w:tc>
          <w:tcPr>
            <w:tcW w:w="851" w:type="pct"/>
            <w:shd w:val="clear" w:color="auto" w:fill="auto"/>
            <w:vAlign w:val="center"/>
          </w:tcPr>
          <w:p w:rsidR="00186EFE" w:rsidRPr="007D0E37" w:rsidRDefault="00C45DE5" w:rsidP="00A133F2">
            <w:pPr>
              <w:pStyle w:val="TableText"/>
              <w:widowControl w:val="0"/>
            </w:pPr>
            <w:r w:rsidRPr="007D0E37">
              <w:rPr>
                <w:szCs w:val="20"/>
              </w:rPr>
              <w:t>MSUC</w:t>
            </w:r>
            <w:r w:rsidR="00B941A6" w:rsidRPr="007D0E37">
              <w:rPr>
                <w:szCs w:val="20"/>
              </w:rPr>
              <w:t>;</w:t>
            </w:r>
            <w:r w:rsidRPr="007D0E37">
              <w:rPr>
                <w:szCs w:val="20"/>
              </w:rPr>
              <w:t xml:space="preserve"> </w:t>
            </w:r>
            <w:r w:rsidR="00186EFE" w:rsidRPr="007D0E37">
              <w:rPr>
                <w:szCs w:val="20"/>
              </w:rPr>
              <w:t xml:space="preserve">anti-TNF naïve </w:t>
            </w:r>
          </w:p>
        </w:tc>
        <w:tc>
          <w:tcPr>
            <w:tcW w:w="1530" w:type="pct"/>
            <w:shd w:val="clear" w:color="auto" w:fill="auto"/>
            <w:vAlign w:val="center"/>
          </w:tcPr>
          <w:p w:rsidR="00186EFE" w:rsidRPr="007D0E37" w:rsidRDefault="00687DF7" w:rsidP="00A133F2">
            <w:pPr>
              <w:pStyle w:val="TableText"/>
              <w:widowControl w:val="0"/>
            </w:pPr>
            <w:r w:rsidRPr="007D0E37">
              <w:rPr>
                <w:lang w:val="en-US"/>
              </w:rPr>
              <w:t xml:space="preserve">W6: </w:t>
            </w:r>
            <w:r w:rsidR="00186EFE" w:rsidRPr="007D0E37">
              <w:rPr>
                <w:lang w:val="en-US"/>
              </w:rPr>
              <w:t>Remission, response, mucosal healing, IBDQ response</w:t>
            </w:r>
          </w:p>
        </w:tc>
      </w:tr>
      <w:tr w:rsidR="00186EFE" w:rsidRPr="007D0E37" w:rsidTr="0097718B">
        <w:tc>
          <w:tcPr>
            <w:tcW w:w="771" w:type="pct"/>
            <w:shd w:val="clear" w:color="auto" w:fill="auto"/>
            <w:vAlign w:val="center"/>
          </w:tcPr>
          <w:p w:rsidR="00186EFE" w:rsidRPr="007D0E37" w:rsidRDefault="00186EFE" w:rsidP="00A133F2">
            <w:pPr>
              <w:pStyle w:val="TableText"/>
              <w:widowControl w:val="0"/>
              <w:rPr>
                <w:rFonts w:ascii="Times" w:eastAsia="Times New Roman" w:hAnsi="Times" w:cs="Times New Roman"/>
              </w:rPr>
            </w:pPr>
            <w:r w:rsidRPr="007D0E37">
              <w:t>Meta-analysis</w:t>
            </w:r>
          </w:p>
        </w:tc>
        <w:tc>
          <w:tcPr>
            <w:tcW w:w="479" w:type="pct"/>
            <w:shd w:val="clear" w:color="auto" w:fill="auto"/>
            <w:vAlign w:val="center"/>
          </w:tcPr>
          <w:p w:rsidR="00186EFE" w:rsidRPr="007D0E37" w:rsidRDefault="00186EFE" w:rsidP="00A133F2">
            <w:pPr>
              <w:pStyle w:val="TableText"/>
              <w:widowControl w:val="0"/>
              <w:rPr>
                <w:rFonts w:ascii="Times" w:eastAsia="Times New Roman" w:hAnsi="Times" w:cs="Times New Roman"/>
              </w:rPr>
            </w:pPr>
          </w:p>
        </w:tc>
        <w:tc>
          <w:tcPr>
            <w:tcW w:w="3751" w:type="pct"/>
            <w:gridSpan w:val="4"/>
            <w:shd w:val="clear" w:color="auto" w:fill="auto"/>
            <w:vAlign w:val="center"/>
          </w:tcPr>
          <w:p w:rsidR="00186EFE" w:rsidRPr="007D0E37" w:rsidRDefault="00186EFE" w:rsidP="00A133F2">
            <w:pPr>
              <w:pStyle w:val="TableText"/>
              <w:widowControl w:val="0"/>
              <w:rPr>
                <w:rFonts w:ascii="Times" w:eastAsia="Times New Roman" w:hAnsi="Times" w:cs="Times New Roman"/>
              </w:rPr>
            </w:pPr>
            <w:r w:rsidRPr="007D0E37">
              <w:t xml:space="preserve">Included ACT 1 and ACT 2; assessed remission, response, mucosal healing after Week </w:t>
            </w:r>
            <w:r w:rsidR="00D302BE" w:rsidRPr="007D0E37">
              <w:t>6</w:t>
            </w:r>
            <w:r w:rsidRPr="007D0E37">
              <w:t>.</w:t>
            </w:r>
            <w:r w:rsidR="00767CDD">
              <w:t xml:space="preserve"> </w:t>
            </w:r>
          </w:p>
        </w:tc>
      </w:tr>
      <w:tr w:rsidR="00186EFE" w:rsidRPr="007D0E37" w:rsidTr="0097718B">
        <w:tc>
          <w:tcPr>
            <w:tcW w:w="5000" w:type="pct"/>
            <w:gridSpan w:val="6"/>
            <w:shd w:val="clear" w:color="auto" w:fill="auto"/>
            <w:vAlign w:val="center"/>
          </w:tcPr>
          <w:p w:rsidR="00186EFE" w:rsidRPr="007D0E37" w:rsidRDefault="00186EFE" w:rsidP="00A133F2">
            <w:pPr>
              <w:pStyle w:val="TableText"/>
              <w:widowControl w:val="0"/>
              <w:rPr>
                <w:b/>
              </w:rPr>
            </w:pPr>
            <w:r w:rsidRPr="007D0E37">
              <w:rPr>
                <w:b/>
              </w:rPr>
              <w:t>Adalimumab vs placebo trials</w:t>
            </w:r>
          </w:p>
        </w:tc>
      </w:tr>
      <w:tr w:rsidR="00186EFE" w:rsidRPr="007D0E37" w:rsidTr="0097718B">
        <w:tc>
          <w:tcPr>
            <w:tcW w:w="771" w:type="pct"/>
            <w:shd w:val="clear" w:color="auto" w:fill="auto"/>
            <w:vAlign w:val="center"/>
          </w:tcPr>
          <w:p w:rsidR="00186EFE" w:rsidRPr="007D0E37" w:rsidRDefault="00186EFE" w:rsidP="00A133F2">
            <w:pPr>
              <w:pStyle w:val="TableText"/>
              <w:widowControl w:val="0"/>
              <w:rPr>
                <w:szCs w:val="20"/>
              </w:rPr>
            </w:pPr>
            <w:r w:rsidRPr="007D0E37">
              <w:rPr>
                <w:szCs w:val="20"/>
              </w:rPr>
              <w:t>ULTRA 1</w:t>
            </w:r>
          </w:p>
        </w:tc>
        <w:tc>
          <w:tcPr>
            <w:tcW w:w="479" w:type="pct"/>
            <w:shd w:val="clear" w:color="auto" w:fill="auto"/>
            <w:vAlign w:val="center"/>
          </w:tcPr>
          <w:p w:rsidR="00186EFE" w:rsidRPr="007D0E37" w:rsidRDefault="00186EFE" w:rsidP="00A133F2">
            <w:pPr>
              <w:pStyle w:val="TableText"/>
              <w:widowControl w:val="0"/>
              <w:rPr>
                <w:szCs w:val="20"/>
              </w:rPr>
            </w:pPr>
            <w:r w:rsidRPr="007D0E37">
              <w:rPr>
                <w:szCs w:val="20"/>
              </w:rPr>
              <w:t>260</w:t>
            </w:r>
          </w:p>
        </w:tc>
        <w:tc>
          <w:tcPr>
            <w:tcW w:w="752" w:type="pct"/>
            <w:shd w:val="clear" w:color="auto" w:fill="auto"/>
            <w:vAlign w:val="center"/>
          </w:tcPr>
          <w:p w:rsidR="00186EFE" w:rsidRPr="007D0E37" w:rsidRDefault="00186EFE" w:rsidP="00A133F2">
            <w:pPr>
              <w:keepNext/>
              <w:widowControl w:val="0"/>
              <w:rPr>
                <w:rFonts w:ascii="Arial Narrow" w:hAnsi="Arial Narrow"/>
                <w:sz w:val="20"/>
                <w:szCs w:val="20"/>
              </w:rPr>
            </w:pPr>
            <w:r w:rsidRPr="007D0E37">
              <w:rPr>
                <w:rFonts w:ascii="Arial Narrow" w:hAnsi="Arial Narrow"/>
                <w:sz w:val="20"/>
                <w:szCs w:val="20"/>
              </w:rPr>
              <w:t>R, DB, MC, PC,</w:t>
            </w:r>
            <w:r w:rsidR="00344C11" w:rsidRPr="007D0E37">
              <w:rPr>
                <w:rFonts w:ascii="Arial Narrow" w:hAnsi="Arial Narrow"/>
                <w:sz w:val="20"/>
                <w:szCs w:val="20"/>
              </w:rPr>
              <w:t xml:space="preserve"> 8 </w:t>
            </w:r>
            <w:r w:rsidRPr="007D0E37">
              <w:rPr>
                <w:rFonts w:ascii="Arial Narrow" w:hAnsi="Arial Narrow"/>
                <w:sz w:val="20"/>
                <w:szCs w:val="20"/>
              </w:rPr>
              <w:t>weeks</w:t>
            </w:r>
          </w:p>
        </w:tc>
        <w:tc>
          <w:tcPr>
            <w:tcW w:w="618" w:type="pct"/>
            <w:shd w:val="clear" w:color="auto" w:fill="auto"/>
            <w:vAlign w:val="center"/>
          </w:tcPr>
          <w:p w:rsidR="00186EFE" w:rsidRPr="007D0E37" w:rsidRDefault="00186EFE" w:rsidP="00A133F2">
            <w:pPr>
              <w:pStyle w:val="TableText"/>
              <w:widowControl w:val="0"/>
              <w:rPr>
                <w:szCs w:val="20"/>
              </w:rPr>
            </w:pPr>
            <w:r w:rsidRPr="007D0E37">
              <w:rPr>
                <w:szCs w:val="20"/>
              </w:rPr>
              <w:t>Low</w:t>
            </w:r>
          </w:p>
        </w:tc>
        <w:tc>
          <w:tcPr>
            <w:tcW w:w="851" w:type="pct"/>
            <w:shd w:val="clear" w:color="auto" w:fill="auto"/>
            <w:vAlign w:val="center"/>
          </w:tcPr>
          <w:p w:rsidR="00186EFE" w:rsidRPr="007D0E37" w:rsidRDefault="00B941A6" w:rsidP="00A133F2">
            <w:pPr>
              <w:keepNext/>
              <w:widowControl w:val="0"/>
              <w:rPr>
                <w:rFonts w:ascii="Arial Narrow" w:hAnsi="Arial Narrow"/>
                <w:sz w:val="20"/>
                <w:szCs w:val="20"/>
              </w:rPr>
            </w:pPr>
            <w:r w:rsidRPr="007D0E37">
              <w:rPr>
                <w:rFonts w:ascii="Arial Narrow" w:hAnsi="Arial Narrow"/>
                <w:sz w:val="20"/>
                <w:szCs w:val="20"/>
              </w:rPr>
              <w:t>MSUC; anti-TNF naïve</w:t>
            </w:r>
          </w:p>
        </w:tc>
        <w:tc>
          <w:tcPr>
            <w:tcW w:w="1530" w:type="pct"/>
            <w:shd w:val="clear" w:color="auto" w:fill="auto"/>
            <w:vAlign w:val="center"/>
          </w:tcPr>
          <w:p w:rsidR="00186EFE" w:rsidRPr="007D0E37" w:rsidRDefault="00186EFE" w:rsidP="00A133F2">
            <w:pPr>
              <w:pStyle w:val="TableText"/>
              <w:widowControl w:val="0"/>
              <w:rPr>
                <w:szCs w:val="20"/>
              </w:rPr>
            </w:pPr>
            <w:r w:rsidRPr="007D0E37">
              <w:rPr>
                <w:szCs w:val="20"/>
              </w:rPr>
              <w:t xml:space="preserve">W8: remission, response, mucosal healing </w:t>
            </w:r>
          </w:p>
        </w:tc>
      </w:tr>
      <w:tr w:rsidR="00186EFE" w:rsidRPr="007D0E37" w:rsidTr="0097718B">
        <w:tc>
          <w:tcPr>
            <w:tcW w:w="771" w:type="pct"/>
            <w:shd w:val="clear" w:color="auto" w:fill="auto"/>
            <w:vAlign w:val="center"/>
          </w:tcPr>
          <w:p w:rsidR="00186EFE" w:rsidRPr="007D0E37" w:rsidRDefault="00186EFE" w:rsidP="00A133F2">
            <w:pPr>
              <w:pStyle w:val="TableText"/>
              <w:widowControl w:val="0"/>
              <w:rPr>
                <w:szCs w:val="20"/>
              </w:rPr>
            </w:pPr>
            <w:r w:rsidRPr="007D0E37">
              <w:rPr>
                <w:szCs w:val="20"/>
              </w:rPr>
              <w:t>ULTRA 2</w:t>
            </w:r>
          </w:p>
        </w:tc>
        <w:tc>
          <w:tcPr>
            <w:tcW w:w="479" w:type="pct"/>
            <w:shd w:val="clear" w:color="auto" w:fill="auto"/>
            <w:vAlign w:val="center"/>
          </w:tcPr>
          <w:p w:rsidR="00186EFE" w:rsidRPr="007D0E37" w:rsidRDefault="00186EFE" w:rsidP="00A133F2">
            <w:pPr>
              <w:pStyle w:val="TableText"/>
              <w:widowControl w:val="0"/>
              <w:rPr>
                <w:szCs w:val="20"/>
              </w:rPr>
            </w:pPr>
            <w:r w:rsidRPr="007D0E37">
              <w:rPr>
                <w:szCs w:val="20"/>
              </w:rPr>
              <w:t>494</w:t>
            </w:r>
          </w:p>
        </w:tc>
        <w:tc>
          <w:tcPr>
            <w:tcW w:w="752" w:type="pct"/>
            <w:shd w:val="clear" w:color="auto" w:fill="auto"/>
            <w:vAlign w:val="center"/>
          </w:tcPr>
          <w:p w:rsidR="00186EFE" w:rsidRPr="007D0E37" w:rsidRDefault="00186EFE" w:rsidP="00A133F2">
            <w:pPr>
              <w:keepNext/>
              <w:widowControl w:val="0"/>
              <w:rPr>
                <w:rFonts w:ascii="Arial Narrow" w:hAnsi="Arial Narrow"/>
                <w:sz w:val="20"/>
                <w:szCs w:val="20"/>
              </w:rPr>
            </w:pPr>
            <w:r w:rsidRPr="007D0E37">
              <w:rPr>
                <w:rFonts w:ascii="Arial Narrow" w:hAnsi="Arial Narrow"/>
                <w:sz w:val="20"/>
                <w:szCs w:val="20"/>
              </w:rPr>
              <w:t>R, DB, MC, PC, 52 weeks</w:t>
            </w:r>
          </w:p>
        </w:tc>
        <w:tc>
          <w:tcPr>
            <w:tcW w:w="618" w:type="pct"/>
            <w:shd w:val="clear" w:color="auto" w:fill="auto"/>
            <w:vAlign w:val="center"/>
          </w:tcPr>
          <w:p w:rsidR="00186EFE" w:rsidRPr="007D0E37" w:rsidRDefault="003B7FF0" w:rsidP="00A133F2">
            <w:pPr>
              <w:pStyle w:val="TableText"/>
              <w:widowControl w:val="0"/>
              <w:rPr>
                <w:szCs w:val="20"/>
              </w:rPr>
            </w:pPr>
            <w:r w:rsidRPr="007D0E37">
              <w:t>High</w:t>
            </w:r>
          </w:p>
        </w:tc>
        <w:tc>
          <w:tcPr>
            <w:tcW w:w="851" w:type="pct"/>
            <w:shd w:val="clear" w:color="auto" w:fill="auto"/>
            <w:vAlign w:val="center"/>
          </w:tcPr>
          <w:p w:rsidR="00186EFE" w:rsidRPr="007D0E37" w:rsidRDefault="00C45DE5" w:rsidP="00A133F2">
            <w:pPr>
              <w:pStyle w:val="TableText"/>
              <w:widowControl w:val="0"/>
              <w:rPr>
                <w:szCs w:val="20"/>
              </w:rPr>
            </w:pPr>
            <w:r w:rsidRPr="007D0E37">
              <w:rPr>
                <w:szCs w:val="20"/>
              </w:rPr>
              <w:t>MSUC</w:t>
            </w:r>
          </w:p>
        </w:tc>
        <w:tc>
          <w:tcPr>
            <w:tcW w:w="1530" w:type="pct"/>
            <w:shd w:val="clear" w:color="auto" w:fill="auto"/>
            <w:vAlign w:val="center"/>
          </w:tcPr>
          <w:p w:rsidR="00186EFE" w:rsidRPr="007D0E37" w:rsidRDefault="00186EFE" w:rsidP="00A133F2">
            <w:pPr>
              <w:pStyle w:val="TableText"/>
              <w:widowControl w:val="0"/>
              <w:rPr>
                <w:szCs w:val="20"/>
              </w:rPr>
            </w:pPr>
            <w:r w:rsidRPr="007D0E37">
              <w:rPr>
                <w:szCs w:val="20"/>
              </w:rPr>
              <w:t>W8 and W52: remission, response, mucosal healing, IBDQ response</w:t>
            </w:r>
          </w:p>
        </w:tc>
      </w:tr>
      <w:tr w:rsidR="00186EFE" w:rsidRPr="007D0E37" w:rsidTr="0097718B">
        <w:tc>
          <w:tcPr>
            <w:tcW w:w="771" w:type="pct"/>
            <w:tcBorders>
              <w:bottom w:val="single" w:sz="4" w:space="0" w:color="auto"/>
            </w:tcBorders>
            <w:shd w:val="clear" w:color="auto" w:fill="auto"/>
            <w:vAlign w:val="center"/>
          </w:tcPr>
          <w:p w:rsidR="00186EFE" w:rsidRPr="007D0E37" w:rsidRDefault="00186EFE" w:rsidP="00A133F2">
            <w:pPr>
              <w:pStyle w:val="TableText"/>
              <w:widowControl w:val="0"/>
              <w:rPr>
                <w:szCs w:val="20"/>
              </w:rPr>
            </w:pPr>
            <w:r w:rsidRPr="007D0E37">
              <w:rPr>
                <w:szCs w:val="20"/>
              </w:rPr>
              <w:t>Suzuki (2014)</w:t>
            </w:r>
          </w:p>
        </w:tc>
        <w:tc>
          <w:tcPr>
            <w:tcW w:w="479" w:type="pct"/>
            <w:shd w:val="clear" w:color="auto" w:fill="auto"/>
            <w:vAlign w:val="center"/>
          </w:tcPr>
          <w:p w:rsidR="00186EFE" w:rsidRPr="007D0E37" w:rsidRDefault="00186EFE" w:rsidP="00A133F2">
            <w:pPr>
              <w:pStyle w:val="TableText"/>
              <w:widowControl w:val="0"/>
              <w:rPr>
                <w:szCs w:val="20"/>
              </w:rPr>
            </w:pPr>
            <w:r w:rsidRPr="007D0E37">
              <w:rPr>
                <w:szCs w:val="20"/>
              </w:rPr>
              <w:t>186</w:t>
            </w:r>
          </w:p>
        </w:tc>
        <w:tc>
          <w:tcPr>
            <w:tcW w:w="752" w:type="pct"/>
            <w:shd w:val="clear" w:color="auto" w:fill="auto"/>
            <w:vAlign w:val="center"/>
          </w:tcPr>
          <w:p w:rsidR="00186EFE" w:rsidRPr="007D0E37" w:rsidRDefault="00186EFE" w:rsidP="00A133F2">
            <w:pPr>
              <w:keepNext/>
              <w:widowControl w:val="0"/>
              <w:rPr>
                <w:rFonts w:ascii="Arial Narrow" w:hAnsi="Arial Narrow"/>
                <w:sz w:val="20"/>
                <w:szCs w:val="20"/>
              </w:rPr>
            </w:pPr>
            <w:r w:rsidRPr="007D0E37">
              <w:rPr>
                <w:rFonts w:ascii="Arial Narrow" w:hAnsi="Arial Narrow"/>
                <w:sz w:val="20"/>
                <w:szCs w:val="20"/>
              </w:rPr>
              <w:t>R, DB, MC PC, 52 weeks</w:t>
            </w:r>
          </w:p>
        </w:tc>
        <w:tc>
          <w:tcPr>
            <w:tcW w:w="618" w:type="pct"/>
            <w:shd w:val="clear" w:color="auto" w:fill="auto"/>
            <w:vAlign w:val="center"/>
          </w:tcPr>
          <w:p w:rsidR="00186EFE" w:rsidRPr="007D0E37" w:rsidRDefault="00BB789F" w:rsidP="00A133F2">
            <w:pPr>
              <w:pStyle w:val="TableText"/>
              <w:widowControl w:val="0"/>
              <w:rPr>
                <w:szCs w:val="20"/>
              </w:rPr>
            </w:pPr>
            <w:r w:rsidRPr="007D0E37">
              <w:t>High</w:t>
            </w:r>
          </w:p>
        </w:tc>
        <w:tc>
          <w:tcPr>
            <w:tcW w:w="851" w:type="pct"/>
            <w:shd w:val="clear" w:color="auto" w:fill="auto"/>
            <w:vAlign w:val="center"/>
          </w:tcPr>
          <w:p w:rsidR="00186EFE" w:rsidRPr="007D0E37" w:rsidRDefault="00C45DE5" w:rsidP="00A133F2">
            <w:pPr>
              <w:keepNext/>
              <w:widowControl w:val="0"/>
              <w:rPr>
                <w:rFonts w:ascii="Arial Narrow" w:hAnsi="Arial Narrow"/>
                <w:sz w:val="20"/>
                <w:szCs w:val="20"/>
              </w:rPr>
            </w:pPr>
            <w:r w:rsidRPr="007D0E37">
              <w:rPr>
                <w:rFonts w:ascii="Arial Narrow" w:hAnsi="Arial Narrow"/>
                <w:sz w:val="20"/>
                <w:szCs w:val="20"/>
              </w:rPr>
              <w:t>MSUC</w:t>
            </w:r>
            <w:r w:rsidR="00186EFE" w:rsidRPr="007D0E37">
              <w:rPr>
                <w:rFonts w:ascii="Arial Narrow" w:hAnsi="Arial Narrow"/>
                <w:sz w:val="20"/>
                <w:szCs w:val="20"/>
              </w:rPr>
              <w:t>; anti-TNF naïve</w:t>
            </w:r>
          </w:p>
        </w:tc>
        <w:tc>
          <w:tcPr>
            <w:tcW w:w="1530" w:type="pct"/>
            <w:shd w:val="clear" w:color="auto" w:fill="auto"/>
            <w:vAlign w:val="center"/>
          </w:tcPr>
          <w:p w:rsidR="00186EFE" w:rsidRPr="007D0E37" w:rsidRDefault="00186EFE" w:rsidP="00A133F2">
            <w:pPr>
              <w:pStyle w:val="TableText"/>
              <w:widowControl w:val="0"/>
              <w:rPr>
                <w:szCs w:val="20"/>
              </w:rPr>
            </w:pPr>
            <w:r w:rsidRPr="007D0E37">
              <w:rPr>
                <w:szCs w:val="20"/>
              </w:rPr>
              <w:t>W52: remission, response, mucosal healing, IBDQ response</w:t>
            </w:r>
          </w:p>
        </w:tc>
      </w:tr>
      <w:tr w:rsidR="00186EFE" w:rsidRPr="007D0E37" w:rsidTr="0097718B">
        <w:tc>
          <w:tcPr>
            <w:tcW w:w="771" w:type="pct"/>
            <w:tcBorders>
              <w:bottom w:val="nil"/>
            </w:tcBorders>
            <w:shd w:val="clear" w:color="auto" w:fill="auto"/>
            <w:vAlign w:val="center"/>
          </w:tcPr>
          <w:p w:rsidR="00186EFE" w:rsidRPr="007D0E37" w:rsidRDefault="00186EFE" w:rsidP="00A133F2">
            <w:pPr>
              <w:pStyle w:val="TableText"/>
              <w:widowControl w:val="0"/>
            </w:pPr>
            <w:r w:rsidRPr="007D0E37">
              <w:t>Meta-analysis</w:t>
            </w:r>
          </w:p>
        </w:tc>
        <w:tc>
          <w:tcPr>
            <w:tcW w:w="479" w:type="pct"/>
            <w:shd w:val="clear" w:color="auto" w:fill="auto"/>
            <w:vAlign w:val="center"/>
          </w:tcPr>
          <w:p w:rsidR="00186EFE" w:rsidRPr="007D0E37" w:rsidRDefault="00186EFE" w:rsidP="00A133F2">
            <w:pPr>
              <w:pStyle w:val="TableText"/>
              <w:widowControl w:val="0"/>
            </w:pPr>
          </w:p>
        </w:tc>
        <w:tc>
          <w:tcPr>
            <w:tcW w:w="3751" w:type="pct"/>
            <w:gridSpan w:val="4"/>
            <w:shd w:val="clear" w:color="auto" w:fill="auto"/>
            <w:vAlign w:val="center"/>
          </w:tcPr>
          <w:p w:rsidR="009D572E" w:rsidRPr="007D0E37" w:rsidRDefault="009D572E" w:rsidP="00A133F2">
            <w:pPr>
              <w:pStyle w:val="TableText"/>
              <w:widowControl w:val="0"/>
            </w:pPr>
            <w:r w:rsidRPr="007D0E37">
              <w:t>A</w:t>
            </w:r>
            <w:r w:rsidR="00186EFE" w:rsidRPr="007D0E37">
              <w:t>ssessed remission, response, mucosal healing</w:t>
            </w:r>
            <w:r w:rsidRPr="007D0E37">
              <w:t>:</w:t>
            </w:r>
            <w:r w:rsidR="00186EFE" w:rsidRPr="007D0E37">
              <w:t xml:space="preserve"> </w:t>
            </w:r>
          </w:p>
          <w:p w:rsidR="00186EFE" w:rsidRPr="007D0E37" w:rsidRDefault="00186EFE" w:rsidP="0060197D">
            <w:pPr>
              <w:pStyle w:val="TableText"/>
              <w:widowControl w:val="0"/>
              <w:numPr>
                <w:ilvl w:val="0"/>
                <w:numId w:val="14"/>
              </w:numPr>
            </w:pPr>
            <w:r w:rsidRPr="007D0E37">
              <w:t>after Week 8.</w:t>
            </w:r>
            <w:r w:rsidR="00767CDD">
              <w:t xml:space="preserve"> </w:t>
            </w:r>
          </w:p>
          <w:p w:rsidR="009D572E" w:rsidRPr="007D0E37" w:rsidRDefault="009D572E" w:rsidP="0060197D">
            <w:pPr>
              <w:pStyle w:val="TableText"/>
              <w:widowControl w:val="0"/>
              <w:numPr>
                <w:ilvl w:val="1"/>
                <w:numId w:val="14"/>
              </w:numPr>
            </w:pPr>
            <w:r w:rsidRPr="007D0E37">
              <w:t>ULTRA 1 and ULTRA 2;</w:t>
            </w:r>
          </w:p>
          <w:p w:rsidR="00320D67" w:rsidRPr="007D0E37" w:rsidRDefault="00320D67" w:rsidP="0060197D">
            <w:pPr>
              <w:pStyle w:val="TableText"/>
              <w:widowControl w:val="0"/>
              <w:numPr>
                <w:ilvl w:val="1"/>
                <w:numId w:val="14"/>
              </w:numPr>
            </w:pPr>
            <w:r w:rsidRPr="007D0E37">
              <w:t>ULTRA 1, ULTRA 2 and Suzuki 2014 as a sensitivity analysis;</w:t>
            </w:r>
          </w:p>
          <w:p w:rsidR="009D572E" w:rsidRPr="007D0E37" w:rsidRDefault="009D572E" w:rsidP="0060197D">
            <w:pPr>
              <w:pStyle w:val="TableText"/>
              <w:widowControl w:val="0"/>
              <w:numPr>
                <w:ilvl w:val="1"/>
                <w:numId w:val="14"/>
              </w:numPr>
            </w:pPr>
            <w:r w:rsidRPr="007D0E37">
              <w:t>ULTRA 1 and ULTRA 2 (anti-TNF naïve) as a sensitivity analysis;</w:t>
            </w:r>
          </w:p>
          <w:p w:rsidR="00320D67" w:rsidRPr="007D0E37" w:rsidRDefault="00320D67" w:rsidP="0060197D">
            <w:pPr>
              <w:pStyle w:val="TableText"/>
              <w:widowControl w:val="0"/>
              <w:numPr>
                <w:ilvl w:val="1"/>
                <w:numId w:val="14"/>
              </w:numPr>
            </w:pPr>
            <w:r w:rsidRPr="007D0E37">
              <w:t>ULTRA 1, ULTRA 2, (anti-TNF naïve) and Suzuki 2014 as a sensitivity analysis;</w:t>
            </w:r>
          </w:p>
          <w:p w:rsidR="009D572E" w:rsidRPr="007D0E37" w:rsidRDefault="009D572E" w:rsidP="0060197D">
            <w:pPr>
              <w:pStyle w:val="TableText"/>
              <w:widowControl w:val="0"/>
              <w:numPr>
                <w:ilvl w:val="0"/>
                <w:numId w:val="14"/>
              </w:numPr>
            </w:pPr>
            <w:r w:rsidRPr="007D0E37">
              <w:t xml:space="preserve">After Week 52: </w:t>
            </w:r>
          </w:p>
          <w:p w:rsidR="009D572E" w:rsidRPr="007D0E37" w:rsidRDefault="009D572E" w:rsidP="0060197D">
            <w:pPr>
              <w:pStyle w:val="TableText"/>
              <w:widowControl w:val="0"/>
              <w:numPr>
                <w:ilvl w:val="1"/>
                <w:numId w:val="14"/>
              </w:numPr>
            </w:pPr>
            <w:r w:rsidRPr="007D0E37">
              <w:t xml:space="preserve">ULTRA 2 (anti-TNF naïve) </w:t>
            </w:r>
            <w:r w:rsidR="00212B6C" w:rsidRPr="007D0E37">
              <w:t>as a sensitivity analysis</w:t>
            </w:r>
          </w:p>
          <w:p w:rsidR="009D572E" w:rsidRPr="007D0E37" w:rsidRDefault="003B7370" w:rsidP="00A133F2">
            <w:pPr>
              <w:pStyle w:val="TableText"/>
              <w:widowControl w:val="0"/>
            </w:pPr>
            <w:r w:rsidRPr="007D0E37">
              <w:t xml:space="preserve">Inappropriately, the submission did not present sensitivity analyses using meta-analysed results of ULTRA 2 and Suzuki 2014 for the Week 52 outcomes (remission, </w:t>
            </w:r>
            <w:r w:rsidR="00070CDC" w:rsidRPr="007D0E37">
              <w:t>response, mucosal healing</w:t>
            </w:r>
            <w:r w:rsidRPr="007D0E37">
              <w:t>)</w:t>
            </w:r>
            <w:r w:rsidR="00070CDC" w:rsidRPr="007D0E37">
              <w:t>.</w:t>
            </w:r>
          </w:p>
        </w:tc>
      </w:tr>
      <w:tr w:rsidR="00186EFE" w:rsidRPr="007D0E37" w:rsidTr="0097718B">
        <w:tc>
          <w:tcPr>
            <w:tcW w:w="5000" w:type="pct"/>
            <w:gridSpan w:val="6"/>
            <w:shd w:val="clear" w:color="auto" w:fill="auto"/>
            <w:vAlign w:val="center"/>
          </w:tcPr>
          <w:p w:rsidR="00186EFE" w:rsidRPr="007D0E37" w:rsidRDefault="00186EFE" w:rsidP="00A133F2">
            <w:pPr>
              <w:pStyle w:val="TableText"/>
              <w:widowControl w:val="0"/>
              <w:rPr>
                <w:b/>
              </w:rPr>
            </w:pPr>
            <w:r w:rsidRPr="007D0E37">
              <w:rPr>
                <w:b/>
              </w:rPr>
              <w:t>Vedolizumab vs placebo trial</w:t>
            </w:r>
          </w:p>
        </w:tc>
      </w:tr>
      <w:tr w:rsidR="00186EFE" w:rsidRPr="007D0E37" w:rsidTr="0097718B">
        <w:tc>
          <w:tcPr>
            <w:tcW w:w="771" w:type="pct"/>
            <w:shd w:val="clear" w:color="auto" w:fill="auto"/>
            <w:vAlign w:val="center"/>
          </w:tcPr>
          <w:p w:rsidR="00186EFE" w:rsidRPr="007D0E37" w:rsidRDefault="00186EFE" w:rsidP="00A133F2">
            <w:pPr>
              <w:pStyle w:val="TableText"/>
              <w:widowControl w:val="0"/>
            </w:pPr>
            <w:r w:rsidRPr="007D0E37">
              <w:t>GEMINI 1</w:t>
            </w:r>
          </w:p>
        </w:tc>
        <w:tc>
          <w:tcPr>
            <w:tcW w:w="479" w:type="pct"/>
            <w:shd w:val="clear" w:color="auto" w:fill="auto"/>
            <w:vAlign w:val="center"/>
          </w:tcPr>
          <w:p w:rsidR="00186EFE" w:rsidRPr="007D0E37" w:rsidRDefault="00186EFE" w:rsidP="00A133F2">
            <w:pPr>
              <w:pStyle w:val="TableText"/>
              <w:widowControl w:val="0"/>
            </w:pPr>
            <w:r w:rsidRPr="007D0E37">
              <w:t>374/373</w:t>
            </w:r>
          </w:p>
        </w:tc>
        <w:tc>
          <w:tcPr>
            <w:tcW w:w="752" w:type="pct"/>
            <w:shd w:val="clear" w:color="auto" w:fill="auto"/>
            <w:vAlign w:val="center"/>
          </w:tcPr>
          <w:p w:rsidR="00186EFE" w:rsidRPr="007D0E37" w:rsidRDefault="00186EFE" w:rsidP="00A133F2">
            <w:pPr>
              <w:pStyle w:val="TableText"/>
              <w:widowControl w:val="0"/>
            </w:pPr>
            <w:r w:rsidRPr="007D0E37">
              <w:rPr>
                <w:szCs w:val="20"/>
              </w:rPr>
              <w:t>R, DB, MC, PC, 52 weeks</w:t>
            </w:r>
          </w:p>
        </w:tc>
        <w:tc>
          <w:tcPr>
            <w:tcW w:w="618" w:type="pct"/>
            <w:shd w:val="clear" w:color="auto" w:fill="auto"/>
            <w:vAlign w:val="center"/>
          </w:tcPr>
          <w:p w:rsidR="00186EFE" w:rsidRPr="007D0E37" w:rsidRDefault="00503179" w:rsidP="00A133F2">
            <w:pPr>
              <w:pStyle w:val="TableText"/>
              <w:widowControl w:val="0"/>
            </w:pPr>
            <w:r w:rsidRPr="007D0E37">
              <w:t>High</w:t>
            </w:r>
          </w:p>
        </w:tc>
        <w:tc>
          <w:tcPr>
            <w:tcW w:w="851" w:type="pct"/>
            <w:shd w:val="clear" w:color="auto" w:fill="auto"/>
            <w:vAlign w:val="center"/>
          </w:tcPr>
          <w:p w:rsidR="00186EFE" w:rsidRPr="007D0E37" w:rsidRDefault="00C45DE5" w:rsidP="00A133F2">
            <w:pPr>
              <w:pStyle w:val="TableText"/>
              <w:widowControl w:val="0"/>
            </w:pPr>
            <w:r w:rsidRPr="007D0E37">
              <w:rPr>
                <w:szCs w:val="20"/>
              </w:rPr>
              <w:t>MSUC</w:t>
            </w:r>
          </w:p>
        </w:tc>
        <w:tc>
          <w:tcPr>
            <w:tcW w:w="1530" w:type="pct"/>
            <w:shd w:val="clear" w:color="auto" w:fill="auto"/>
            <w:vAlign w:val="center"/>
          </w:tcPr>
          <w:p w:rsidR="00186EFE" w:rsidRPr="007D0E37" w:rsidRDefault="00186EFE" w:rsidP="00A133F2">
            <w:pPr>
              <w:pStyle w:val="TableText"/>
              <w:widowControl w:val="0"/>
            </w:pPr>
            <w:r w:rsidRPr="007D0E37">
              <w:rPr>
                <w:szCs w:val="20"/>
              </w:rPr>
              <w:t>W8 and W52: remission, response, mucosal healing, IBDQ response</w:t>
            </w:r>
          </w:p>
        </w:tc>
      </w:tr>
    </w:tbl>
    <w:p w:rsidR="00C317F3" w:rsidRPr="007D0E37" w:rsidRDefault="00C317F3" w:rsidP="00A133F2">
      <w:pPr>
        <w:pStyle w:val="TableFooter"/>
        <w:keepNext/>
      </w:pPr>
      <w:r w:rsidRPr="007D0E37">
        <w:t>DB=double blind; MC=multi-centre; OL=o</w:t>
      </w:r>
      <w:r w:rsidR="007F7F9C" w:rsidRPr="007D0E37">
        <w:t xml:space="preserve">pen label; PC = placebo controlled; </w:t>
      </w:r>
      <w:r w:rsidRPr="007D0E37">
        <w:t>R=randomised.</w:t>
      </w:r>
    </w:p>
    <w:p w:rsidR="00C317F3" w:rsidRPr="007D0E37" w:rsidRDefault="00C317F3" w:rsidP="00A133F2">
      <w:pPr>
        <w:pStyle w:val="TableFooter"/>
        <w:keepNext/>
      </w:pPr>
      <w:r w:rsidRPr="007D0E37">
        <w:t>Source: compiled during the evaluation</w:t>
      </w:r>
    </w:p>
    <w:p w:rsidR="00C45DE5" w:rsidRPr="007D0E37" w:rsidRDefault="0080402D" w:rsidP="0060197D">
      <w:pPr>
        <w:pStyle w:val="ListParagraph"/>
        <w:numPr>
          <w:ilvl w:val="1"/>
          <w:numId w:val="13"/>
        </w:numPr>
        <w:jc w:val="both"/>
        <w:rPr>
          <w:color w:val="4472C4" w:themeColor="accent5"/>
        </w:rPr>
      </w:pPr>
      <w:r w:rsidRPr="007D0E37">
        <w:t xml:space="preserve">The overall risk of bias for each trial in the induction phase (Week 6/8) </w:t>
      </w:r>
      <w:r w:rsidR="00C45DE5" w:rsidRPr="007D0E37">
        <w:t>wa</w:t>
      </w:r>
      <w:r w:rsidRPr="007D0E37">
        <w:t xml:space="preserve">s low, </w:t>
      </w:r>
      <w:r w:rsidR="0097718B" w:rsidRPr="007D0E37">
        <w:t>but was high</w:t>
      </w:r>
      <w:r w:rsidRPr="007D0E37">
        <w:t xml:space="preserve"> in the maintenance phase. PURSUIT-M, PURSUIT-J, ACT 2, ULTRA 2, Suzuki 2014 and GEMINI 1 </w:t>
      </w:r>
      <w:r w:rsidR="00C45DE5" w:rsidRPr="007D0E37">
        <w:t xml:space="preserve">were </w:t>
      </w:r>
      <w:r w:rsidRPr="007D0E37">
        <w:t xml:space="preserve">subject to attribution and reporting bias in the maintenance treatment phase. The PBAC previously considered the risk of bias was high for the maintenance phases in some of these </w:t>
      </w:r>
      <w:r w:rsidR="0047604C" w:rsidRPr="007D0E37">
        <w:t>trials</w:t>
      </w:r>
      <w:r w:rsidRPr="007D0E37">
        <w:t xml:space="preserve"> (ULTRA 2 and ACT 2) due to a large number of discontinuations and substantial loss to follow up (Adalimumab PSD July 2015 paragraph 7.6 p16).</w:t>
      </w:r>
    </w:p>
    <w:p w:rsidR="00C45DE5" w:rsidRPr="00A133F2" w:rsidRDefault="00AB2252" w:rsidP="0060197D">
      <w:pPr>
        <w:pStyle w:val="ListParagraph"/>
        <w:numPr>
          <w:ilvl w:val="1"/>
          <w:numId w:val="13"/>
        </w:numPr>
        <w:jc w:val="both"/>
      </w:pPr>
      <w:r w:rsidRPr="007D0E37">
        <w:t xml:space="preserve">The trial design for PURSUIT-M compared golimumab continuation </w:t>
      </w:r>
      <w:r w:rsidR="004F0951" w:rsidRPr="007D0E37">
        <w:t>with</w:t>
      </w:r>
      <w:r w:rsidRPr="007D0E37">
        <w:t xml:space="preserve"> </w:t>
      </w:r>
      <w:r w:rsidR="004F0951" w:rsidRPr="007D0E37">
        <w:t xml:space="preserve">golimumab </w:t>
      </w:r>
      <w:r w:rsidRPr="007D0E37">
        <w:t>cessation (in those randomised to placebo) as only patients responding to golimumab treatment were randomised for maintenance therapy. P</w:t>
      </w:r>
      <w:r w:rsidR="003C30D6" w:rsidRPr="007D0E37">
        <w:t xml:space="preserve">atients who were in clinical response at Week 6 in either of the golimumab induction </w:t>
      </w:r>
      <w:r w:rsidR="0047604C" w:rsidRPr="007D0E37">
        <w:t>trials</w:t>
      </w:r>
      <w:r w:rsidR="003C30D6" w:rsidRPr="007D0E37">
        <w:t xml:space="preserve"> (PURSUIT-SC or PURSUIT-IV) were eligible for enrolment. Patients (N=464) were randomised (1:1:1) to golimumab 100 mg q4w, golimumab 50 mg q4w, or placebo through to Week 52. The study also included a non-randomised portion consisting of patients (n=764) that did not have a clinical response to golimumab in either of the induction </w:t>
      </w:r>
      <w:r w:rsidR="0047604C" w:rsidRPr="007D0E37">
        <w:t>trials</w:t>
      </w:r>
      <w:r w:rsidR="003C30D6" w:rsidRPr="007D0E37">
        <w:t xml:space="preserve"> (n=405: continued with GOL 100 mg q4w), patients previously randomised to placebo who achieved a clinical response (n=129, continued with placebo q4w), and patients randomised to placebo who did not respond (n=230, continued with GOL 100 mg q4w). This study design dif</w:t>
      </w:r>
      <w:r w:rsidR="0051272B" w:rsidRPr="007D0E37">
        <w:t xml:space="preserve">fers from the adalimumab </w:t>
      </w:r>
      <w:r w:rsidRPr="007D0E37">
        <w:t xml:space="preserve">and infliximab </w:t>
      </w:r>
      <w:r w:rsidR="0051272B" w:rsidRPr="007D0E37">
        <w:t>trials</w:t>
      </w:r>
      <w:r w:rsidR="003C30D6" w:rsidRPr="007D0E37">
        <w:t xml:space="preserve"> in that there was an additional re-randomisation step after treatment induction commenced. The study design is similar to GEMINI 1 for </w:t>
      </w:r>
      <w:r w:rsidR="003C30D6" w:rsidRPr="00A133F2">
        <w:t>vedolizumab.</w:t>
      </w:r>
      <w:r w:rsidRPr="00A133F2">
        <w:t xml:space="preserve"> </w:t>
      </w:r>
    </w:p>
    <w:p w:rsidR="00C317F3" w:rsidRPr="007D0E37" w:rsidRDefault="00C45DE5" w:rsidP="0060197D">
      <w:pPr>
        <w:pStyle w:val="ListParagraph"/>
        <w:numPr>
          <w:ilvl w:val="1"/>
          <w:numId w:val="13"/>
        </w:numPr>
        <w:jc w:val="both"/>
      </w:pPr>
      <w:r w:rsidRPr="007D0E37">
        <w:t>There were i</w:t>
      </w:r>
      <w:r w:rsidR="00AF1A82" w:rsidRPr="007D0E37">
        <w:t xml:space="preserve">ssues </w:t>
      </w:r>
      <w:r w:rsidR="0027630E" w:rsidRPr="007D0E37">
        <w:t>identified with regards to the design</w:t>
      </w:r>
      <w:r w:rsidR="00AF1A82" w:rsidRPr="007D0E37">
        <w:t xml:space="preserve"> of </w:t>
      </w:r>
      <w:r w:rsidRPr="007D0E37">
        <w:t xml:space="preserve">these </w:t>
      </w:r>
      <w:r w:rsidR="0047604C" w:rsidRPr="007D0E37">
        <w:t>trials</w:t>
      </w:r>
      <w:r w:rsidRPr="007D0E37">
        <w:t xml:space="preserve"> that </w:t>
      </w:r>
      <w:r w:rsidR="00331E13" w:rsidRPr="007D0E37">
        <w:t xml:space="preserve">affect the transitivity of </w:t>
      </w:r>
      <w:r w:rsidR="00433D8D" w:rsidRPr="007D0E37">
        <w:t xml:space="preserve">the </w:t>
      </w:r>
      <w:r w:rsidR="0047604C" w:rsidRPr="007D0E37">
        <w:t>trials</w:t>
      </w:r>
      <w:r w:rsidRPr="007D0E37">
        <w:t xml:space="preserve"> included in the </w:t>
      </w:r>
      <w:r w:rsidR="00433D8D" w:rsidRPr="007D0E37">
        <w:t>indirect treatment comparison</w:t>
      </w:r>
      <w:r w:rsidRPr="007D0E37">
        <w:t>:</w:t>
      </w:r>
      <w:r w:rsidR="00331E13" w:rsidRPr="007D0E37">
        <w:t xml:space="preserve"> </w:t>
      </w:r>
    </w:p>
    <w:p w:rsidR="003749C6" w:rsidRPr="007D0E37" w:rsidRDefault="003749C6" w:rsidP="0060197D">
      <w:pPr>
        <w:pStyle w:val="ListParagraph"/>
        <w:numPr>
          <w:ilvl w:val="0"/>
          <w:numId w:val="8"/>
        </w:numPr>
        <w:spacing w:before="0" w:after="120"/>
        <w:jc w:val="both"/>
      </w:pPr>
      <w:r w:rsidRPr="007D0E37">
        <w:t>The benefit of golimumab in the maintenance phase</w:t>
      </w:r>
      <w:r w:rsidR="00C45DE5" w:rsidRPr="007D0E37">
        <w:t xml:space="preserve"> of PURSUIT</w:t>
      </w:r>
      <w:r w:rsidR="00044138" w:rsidRPr="007D0E37">
        <w:t>-</w:t>
      </w:r>
      <w:r w:rsidR="00C45DE5" w:rsidRPr="007D0E37">
        <w:t>M</w:t>
      </w:r>
      <w:r w:rsidRPr="007D0E37">
        <w:t xml:space="preserve"> </w:t>
      </w:r>
      <w:r w:rsidR="00C45DE5" w:rsidRPr="007D0E37">
        <w:t>wa</w:t>
      </w:r>
      <w:r w:rsidRPr="007D0E37">
        <w:t xml:space="preserve">s for patients who responded to initial treatment with golimumab, and the </w:t>
      </w:r>
      <w:r w:rsidR="004F0951" w:rsidRPr="007D0E37">
        <w:t xml:space="preserve">overall </w:t>
      </w:r>
      <w:r w:rsidRPr="007D0E37">
        <w:t xml:space="preserve">response and remission rates are potentially overestimated when compared with a patient group that includes those who were not responding at week six, or who had been initially allocated to placebo. While </w:t>
      </w:r>
      <w:r w:rsidR="00845AF8" w:rsidRPr="007D0E37">
        <w:t xml:space="preserve">the </w:t>
      </w:r>
      <w:r w:rsidRPr="007D0E37">
        <w:t>analysis i</w:t>
      </w:r>
      <w:r w:rsidR="00845AF8" w:rsidRPr="007D0E37">
        <w:t>n PURSUIT</w:t>
      </w:r>
      <w:r w:rsidR="00044138" w:rsidRPr="007D0E37">
        <w:t>-</w:t>
      </w:r>
      <w:r w:rsidR="00845AF8" w:rsidRPr="007D0E37">
        <w:t>M i</w:t>
      </w:r>
      <w:r w:rsidRPr="007D0E37">
        <w:t>s relevant with respect to the proposed PBS listing, it is inconsistent with the procedures in the trials for</w:t>
      </w:r>
      <w:r w:rsidR="00FD3321" w:rsidRPr="007D0E37">
        <w:t xml:space="preserve"> adalimumab and infliximab</w:t>
      </w:r>
      <w:r w:rsidRPr="007D0E37">
        <w:t>.</w:t>
      </w:r>
    </w:p>
    <w:p w:rsidR="00CA15E5" w:rsidRPr="007D0E37" w:rsidRDefault="00845AF8" w:rsidP="0060197D">
      <w:pPr>
        <w:pStyle w:val="ListParagraph"/>
        <w:numPr>
          <w:ilvl w:val="0"/>
          <w:numId w:val="8"/>
        </w:numPr>
        <w:spacing w:before="0" w:after="120"/>
        <w:jc w:val="both"/>
      </w:pPr>
      <w:r w:rsidRPr="007D0E37">
        <w:t>There was considerable</w:t>
      </w:r>
      <w:r w:rsidR="00FD3321" w:rsidRPr="007D0E37">
        <w:t xml:space="preserve"> variability in the placebo response rates </w:t>
      </w:r>
      <w:r w:rsidRPr="007D0E37">
        <w:t xml:space="preserve">observed across the </w:t>
      </w:r>
      <w:r w:rsidR="0047604C" w:rsidRPr="007D0E37">
        <w:t>trials</w:t>
      </w:r>
      <w:r w:rsidR="00FD3321" w:rsidRPr="007D0E37">
        <w:t xml:space="preserve">. The placebo response rates for induction ranged from 26% (GEMINI 1; vedolizumab) to 45% (ULTRA 1; adalimumab) at the end of induction, and from 12% (ULTRA 2; adalimumab) to </w:t>
      </w:r>
      <w:r w:rsidR="00A542AE" w:rsidRPr="007D0E37">
        <w:t>31% (PURSUIT-</w:t>
      </w:r>
      <w:r w:rsidR="00FD3321" w:rsidRPr="007D0E37">
        <w:t xml:space="preserve">M; golimumab) in the maintenance setting. The higher response rate observed in </w:t>
      </w:r>
      <w:r w:rsidR="004F0951" w:rsidRPr="007D0E37">
        <w:t xml:space="preserve">placebo patients in </w:t>
      </w:r>
      <w:r w:rsidR="00FD3321" w:rsidRPr="007D0E37">
        <w:t xml:space="preserve">PURSUIT-M may reflect </w:t>
      </w:r>
      <w:r w:rsidR="004F0951" w:rsidRPr="007D0E37">
        <w:t xml:space="preserve">that </w:t>
      </w:r>
      <w:r w:rsidR="00FD3321" w:rsidRPr="007D0E37">
        <w:t>placebo patients within that study receiv</w:t>
      </w:r>
      <w:r w:rsidR="004F0951" w:rsidRPr="007D0E37">
        <w:t>ed</w:t>
      </w:r>
      <w:r w:rsidR="00FD3321" w:rsidRPr="007D0E37">
        <w:t xml:space="preserve"> golimumab at loss of response (n=76). </w:t>
      </w:r>
      <w:r w:rsidRPr="007D0E37">
        <w:t xml:space="preserve">Potentially, the </w:t>
      </w:r>
      <w:r w:rsidR="004F0951" w:rsidRPr="007D0E37">
        <w:t xml:space="preserve">incremental </w:t>
      </w:r>
      <w:r w:rsidRPr="007D0E37">
        <w:t>treatment effect observed for golimumab in PURSUIT</w:t>
      </w:r>
      <w:r w:rsidR="00062364" w:rsidRPr="007D0E37">
        <w:t>-</w:t>
      </w:r>
      <w:r w:rsidRPr="007D0E37">
        <w:t xml:space="preserve">M </w:t>
      </w:r>
      <w:r w:rsidR="004F0951" w:rsidRPr="007D0E37">
        <w:t>could have been u</w:t>
      </w:r>
      <w:r w:rsidRPr="007D0E37">
        <w:t xml:space="preserve">nderestimated relative to the other bDMARD </w:t>
      </w:r>
      <w:r w:rsidR="0047604C" w:rsidRPr="007D0E37">
        <w:t>trials</w:t>
      </w:r>
      <w:r w:rsidRPr="007D0E37">
        <w:t>.</w:t>
      </w:r>
    </w:p>
    <w:p w:rsidR="00C317F3" w:rsidRDefault="00810C0C" w:rsidP="0060197D">
      <w:pPr>
        <w:pStyle w:val="ListParagraph"/>
        <w:numPr>
          <w:ilvl w:val="1"/>
          <w:numId w:val="13"/>
        </w:numPr>
        <w:jc w:val="both"/>
      </w:pPr>
      <w:r w:rsidRPr="007D0E37">
        <w:t>The submission presented a post-hoc analysis attempting to correct for infliximab and adalimumab responders in ACT1, ACT 2 and ULTRA 2</w:t>
      </w:r>
      <w:r w:rsidR="004F0951" w:rsidRPr="007D0E37">
        <w:t xml:space="preserve"> (as a means of aligning those trial groups with that in PURSUIT-M)</w:t>
      </w:r>
      <w:r w:rsidRPr="007D0E37">
        <w:t xml:space="preserve">. It is unclear how this method separates patients in </w:t>
      </w:r>
      <w:r w:rsidR="004F0951" w:rsidRPr="007D0E37">
        <w:t xml:space="preserve">those studies </w:t>
      </w:r>
      <w:r w:rsidRPr="007D0E37">
        <w:t xml:space="preserve">into treatment groups similar to those in PURSUIT-M. </w:t>
      </w:r>
      <w:r w:rsidR="00133A91">
        <w:t>A</w:t>
      </w:r>
      <w:r w:rsidRPr="007D0E37">
        <w:t>n alternative approach of presenting a comparison of all patients that participated in PURSUIT-M (including those non-responding patients who were not randomised to golimumab), would have presented a dataset comparable to those of infliximab and adalimumab, without requiring a post-hoc adjustment of published data, and would be more informative for decision making.</w:t>
      </w:r>
    </w:p>
    <w:p w:rsidR="005E3A2C" w:rsidRPr="000D0B63" w:rsidRDefault="005E3A2C" w:rsidP="0060197D">
      <w:pPr>
        <w:pStyle w:val="V50Instructions"/>
        <w:numPr>
          <w:ilvl w:val="1"/>
          <w:numId w:val="13"/>
        </w:numPr>
        <w:spacing w:before="0"/>
        <w:rPr>
          <w:color w:val="auto"/>
        </w:rPr>
      </w:pPr>
      <w:r w:rsidRPr="000D0B63">
        <w:rPr>
          <w:color w:val="auto"/>
        </w:rPr>
        <w:t xml:space="preserve">The ESC considered </w:t>
      </w:r>
      <w:r w:rsidR="00596DBC" w:rsidRPr="000D0B63">
        <w:rPr>
          <w:color w:val="auto"/>
        </w:rPr>
        <w:t xml:space="preserve">that </w:t>
      </w:r>
      <w:r w:rsidRPr="000D0B63">
        <w:rPr>
          <w:color w:val="auto"/>
        </w:rPr>
        <w:t>the submissions claims</w:t>
      </w:r>
      <w:r w:rsidR="00596DBC" w:rsidRPr="000D0B63">
        <w:rPr>
          <w:color w:val="auto"/>
        </w:rPr>
        <w:t xml:space="preserve"> </w:t>
      </w:r>
      <w:r w:rsidR="00D20D47" w:rsidRPr="000D0B63">
        <w:rPr>
          <w:color w:val="auto"/>
        </w:rPr>
        <w:t>may be reasonable, particularly as similar transitivity issues were present in the vedolizumab comparison</w:t>
      </w:r>
      <w:r w:rsidRPr="000D0B63">
        <w:rPr>
          <w:color w:val="auto"/>
        </w:rPr>
        <w:t>.</w:t>
      </w:r>
      <w:r w:rsidR="00596DBC" w:rsidRPr="000D0B63">
        <w:rPr>
          <w:color w:val="auto"/>
        </w:rPr>
        <w:t xml:space="preserve"> </w:t>
      </w:r>
    </w:p>
    <w:p w:rsidR="00065F4A" w:rsidRPr="007D0E37" w:rsidRDefault="00C317F3" w:rsidP="0095578D">
      <w:pPr>
        <w:pStyle w:val="Heading2"/>
        <w:rPr>
          <w:i w:val="0"/>
        </w:rPr>
      </w:pPr>
      <w:bookmarkStart w:id="18" w:name="_Toc413139278"/>
      <w:bookmarkStart w:id="19" w:name="_Toc493062655"/>
      <w:r w:rsidRPr="007D0E37">
        <w:rPr>
          <w:i w:val="0"/>
        </w:rPr>
        <w:t>Comparative effectiveness</w:t>
      </w:r>
      <w:bookmarkEnd w:id="18"/>
      <w:bookmarkEnd w:id="19"/>
      <w:r w:rsidRPr="007D0E37">
        <w:rPr>
          <w:i w:val="0"/>
        </w:rPr>
        <w:t xml:space="preserve"> </w:t>
      </w:r>
    </w:p>
    <w:p w:rsidR="001824B1" w:rsidRPr="007D0E37" w:rsidRDefault="00074B19" w:rsidP="0060197D">
      <w:pPr>
        <w:pStyle w:val="ListParagraph"/>
        <w:numPr>
          <w:ilvl w:val="1"/>
          <w:numId w:val="13"/>
        </w:numPr>
        <w:jc w:val="both"/>
      </w:pPr>
      <w:r w:rsidRPr="007D0E37">
        <w:t>A summary of the effectiveness for golimumab, infliximab, adalimumab and vedolizumab in patients with MSUC</w:t>
      </w:r>
      <w:r w:rsidR="001D1ACE" w:rsidRPr="007D0E37">
        <w:t xml:space="preserve"> </w:t>
      </w:r>
      <w:r w:rsidR="00845AF8" w:rsidRPr="007D0E37">
        <w:t xml:space="preserve">is </w:t>
      </w:r>
      <w:r w:rsidR="006B080E" w:rsidRPr="007D0E37">
        <w:t xml:space="preserve">presented </w:t>
      </w:r>
      <w:r w:rsidR="00845AF8" w:rsidRPr="007D0E37">
        <w:t xml:space="preserve">in </w:t>
      </w:r>
      <w:r w:rsidRPr="007D0E37">
        <w:t xml:space="preserve">Table </w:t>
      </w:r>
      <w:r w:rsidR="0097718B" w:rsidRPr="007D0E37">
        <w:t>6</w:t>
      </w:r>
      <w:r w:rsidR="00434382" w:rsidRPr="007D0E37">
        <w:t xml:space="preserve"> to Table </w:t>
      </w:r>
      <w:r w:rsidR="000E238D" w:rsidRPr="007D0E37">
        <w:t>9</w:t>
      </w:r>
      <w:r w:rsidRPr="007D0E37">
        <w:t xml:space="preserve">. </w:t>
      </w:r>
    </w:p>
    <w:p w:rsidR="00574594" w:rsidRPr="007D0E37" w:rsidRDefault="001824B1" w:rsidP="0060197D">
      <w:pPr>
        <w:pStyle w:val="ListParagraph"/>
        <w:numPr>
          <w:ilvl w:val="1"/>
          <w:numId w:val="13"/>
        </w:numPr>
        <w:jc w:val="both"/>
      </w:pPr>
      <w:r w:rsidRPr="007D0E37">
        <w:t xml:space="preserve">In induction, </w:t>
      </w:r>
      <w:r w:rsidR="004F0951" w:rsidRPr="007D0E37">
        <w:t>g</w:t>
      </w:r>
      <w:r w:rsidRPr="007D0E37">
        <w:t xml:space="preserve">olimumab 200/100 mg was superior to placebo in </w:t>
      </w:r>
      <w:r w:rsidR="00320C72" w:rsidRPr="007D0E37">
        <w:t>terms o</w:t>
      </w:r>
      <w:r w:rsidRPr="007D0E37">
        <w:t>f</w:t>
      </w:r>
      <w:r w:rsidR="00320C72" w:rsidRPr="007D0E37">
        <w:t xml:space="preserve"> </w:t>
      </w:r>
      <w:r w:rsidRPr="007D0E37">
        <w:t>clinical response (OR</w:t>
      </w:r>
      <w:r w:rsidR="002D3660" w:rsidRPr="007D0E37">
        <w:t>=</w:t>
      </w:r>
      <w:r w:rsidR="00F86D7A">
        <w:rPr>
          <w:noProof/>
          <w:color w:val="000000"/>
          <w:highlight w:val="black"/>
        </w:rPr>
        <w:t>''''''''</w:t>
      </w:r>
      <w:r w:rsidRPr="007D0E37">
        <w:t xml:space="preserve">, 95% CI </w:t>
      </w:r>
      <w:r w:rsidR="00F86D7A">
        <w:rPr>
          <w:noProof/>
          <w:color w:val="000000"/>
          <w:highlight w:val="black"/>
        </w:rPr>
        <w:t>''''''''''''''''''</w:t>
      </w:r>
      <w:r w:rsidRPr="007D0E37">
        <w:t>), clinical remission (OR</w:t>
      </w:r>
      <w:r w:rsidR="002D3660" w:rsidRPr="007D0E37">
        <w:t>=</w:t>
      </w:r>
      <w:r w:rsidR="00F86D7A">
        <w:rPr>
          <w:noProof/>
          <w:color w:val="000000"/>
          <w:highlight w:val="black"/>
        </w:rPr>
        <w:t>'''''''''</w:t>
      </w:r>
      <w:r w:rsidRPr="007D0E37">
        <w:t xml:space="preserve">, 95% CI </w:t>
      </w:r>
      <w:r w:rsidR="00F86D7A">
        <w:rPr>
          <w:noProof/>
          <w:color w:val="000000"/>
          <w:highlight w:val="black"/>
        </w:rPr>
        <w:t>'''''''''''''''''</w:t>
      </w:r>
      <w:r w:rsidRPr="007D0E37">
        <w:t>) and mucosal healing (OR</w:t>
      </w:r>
      <w:r w:rsidR="002D3660" w:rsidRPr="007D0E37">
        <w:t>=</w:t>
      </w:r>
      <w:r w:rsidR="00F86D7A">
        <w:rPr>
          <w:noProof/>
          <w:color w:val="000000"/>
          <w:highlight w:val="black"/>
        </w:rPr>
        <w:t>''''''''</w:t>
      </w:r>
      <w:r w:rsidRPr="007D0E37">
        <w:t xml:space="preserve">, 95% CI </w:t>
      </w:r>
      <w:r w:rsidR="00F86D7A">
        <w:rPr>
          <w:noProof/>
          <w:color w:val="000000"/>
          <w:highlight w:val="black"/>
        </w:rPr>
        <w:t>''''''''''''''''</w:t>
      </w:r>
      <w:r w:rsidRPr="007D0E37">
        <w:t>)). In maintenance, golimumab 100 mg was superior to placebo in terms of clinical response (OR</w:t>
      </w:r>
      <w:r w:rsidR="002D3660" w:rsidRPr="007D0E37">
        <w:t>=</w:t>
      </w:r>
      <w:r w:rsidR="00F86D7A">
        <w:rPr>
          <w:noProof/>
          <w:color w:val="000000"/>
          <w:highlight w:val="black"/>
        </w:rPr>
        <w:t>'''''''''</w:t>
      </w:r>
      <w:r w:rsidRPr="007D0E37">
        <w:t xml:space="preserve">, 95% CI </w:t>
      </w:r>
      <w:r w:rsidR="00F86D7A">
        <w:rPr>
          <w:noProof/>
          <w:color w:val="000000"/>
          <w:highlight w:val="black"/>
        </w:rPr>
        <w:t>'''''''''''''''''''</w:t>
      </w:r>
      <w:r w:rsidRPr="007D0E37">
        <w:t>), clinical remission (OR</w:t>
      </w:r>
      <w:r w:rsidR="002D3660" w:rsidRPr="007D0E37">
        <w:t>=</w:t>
      </w:r>
      <w:r w:rsidR="00F86D7A">
        <w:rPr>
          <w:noProof/>
          <w:color w:val="000000"/>
          <w:highlight w:val="black"/>
        </w:rPr>
        <w:t>'''''''''</w:t>
      </w:r>
      <w:r w:rsidRPr="007D0E37">
        <w:t xml:space="preserve">, 95% CI </w:t>
      </w:r>
      <w:r w:rsidR="00F86D7A">
        <w:rPr>
          <w:noProof/>
          <w:color w:val="000000"/>
          <w:highlight w:val="black"/>
        </w:rPr>
        <w:t>'''''''''''''''''''</w:t>
      </w:r>
      <w:r w:rsidRPr="007D0E37">
        <w:t>), and mucosal healing (OR</w:t>
      </w:r>
      <w:r w:rsidR="002D3660" w:rsidRPr="007D0E37">
        <w:t>=</w:t>
      </w:r>
      <w:r w:rsidR="00F86D7A">
        <w:rPr>
          <w:noProof/>
          <w:color w:val="000000"/>
          <w:highlight w:val="black"/>
        </w:rPr>
        <w:t>''''''''</w:t>
      </w:r>
      <w:r w:rsidRPr="007D0E37">
        <w:t xml:space="preserve">, 95% CI </w:t>
      </w:r>
      <w:r w:rsidR="00F86D7A">
        <w:rPr>
          <w:noProof/>
          <w:color w:val="000000"/>
          <w:highlight w:val="black"/>
        </w:rPr>
        <w:t>''''''''''''''''''''</w:t>
      </w:r>
      <w:r w:rsidRPr="007D0E37">
        <w:t xml:space="preserve">). </w:t>
      </w:r>
    </w:p>
    <w:p w:rsidR="004663D8" w:rsidRPr="007D0E37" w:rsidRDefault="001824B1" w:rsidP="0060197D">
      <w:pPr>
        <w:pStyle w:val="ListParagraph"/>
        <w:numPr>
          <w:ilvl w:val="1"/>
          <w:numId w:val="13"/>
        </w:numPr>
        <w:jc w:val="both"/>
      </w:pPr>
      <w:r w:rsidRPr="007D0E37">
        <w:t xml:space="preserve">The efficacy and safety outcomes after two years (104 weeks) of maintenance treatment for </w:t>
      </w:r>
      <w:r w:rsidR="00574594" w:rsidRPr="007D0E37">
        <w:t xml:space="preserve">golimumab in </w:t>
      </w:r>
      <w:r w:rsidRPr="007D0E37">
        <w:t>PURSUIT-M w</w:t>
      </w:r>
      <w:r w:rsidR="00574594" w:rsidRPr="007D0E37">
        <w:t>ere</w:t>
      </w:r>
      <w:r w:rsidRPr="007D0E37">
        <w:t xml:space="preserve"> reported</w:t>
      </w:r>
      <w:r w:rsidR="00574594" w:rsidRPr="007D0E37">
        <w:t xml:space="preserve"> (</w:t>
      </w:r>
      <w:r w:rsidRPr="007D0E37">
        <w:t>Gibson et al (2016</w:t>
      </w:r>
      <w:r w:rsidR="00574594" w:rsidRPr="007D0E37">
        <w:t xml:space="preserve">) but </w:t>
      </w:r>
      <w:r w:rsidRPr="007D0E37">
        <w:t>were not presented in the submission</w:t>
      </w:r>
      <w:r w:rsidR="00574594" w:rsidRPr="007D0E37">
        <w:t xml:space="preserve">, on the grounds that the reported extension study </w:t>
      </w:r>
      <w:r w:rsidRPr="007D0E37">
        <w:t>was not an RCT. This is inappropriate given that this publication reported data on the long</w:t>
      </w:r>
      <w:r w:rsidR="004F0951" w:rsidRPr="007D0E37">
        <w:t>-</w:t>
      </w:r>
      <w:r w:rsidRPr="007D0E37">
        <w:t xml:space="preserve">term extension phase </w:t>
      </w:r>
      <w:r w:rsidR="004F0951" w:rsidRPr="007D0E37">
        <w:t xml:space="preserve">of that study </w:t>
      </w:r>
      <w:r w:rsidRPr="007D0E37">
        <w:t xml:space="preserve">and it is intended that golimumab </w:t>
      </w:r>
      <w:r w:rsidR="004F0951" w:rsidRPr="007D0E37">
        <w:t>be</w:t>
      </w:r>
      <w:r w:rsidRPr="007D0E37">
        <w:t xml:space="preserve"> used as a chronic treatment for patients with MSUC. </w:t>
      </w:r>
      <w:r w:rsidR="00B7502E" w:rsidRPr="007D0E37">
        <w:t xml:space="preserve">In the long-term extension study, disease activity was measured using a sub-score of the Mayo score (Physician’s Global Assessment (PGA)). </w:t>
      </w:r>
      <w:r w:rsidR="00574594" w:rsidRPr="007D0E37">
        <w:t xml:space="preserve">The results from </w:t>
      </w:r>
      <w:r w:rsidR="004F0951" w:rsidRPr="007D0E37">
        <w:t xml:space="preserve">that analysis </w:t>
      </w:r>
      <w:r w:rsidR="00B7502E" w:rsidRPr="007D0E37">
        <w:t>showed that through to week 104, 86% of patients maintained inactive or mild disease activity (</w:t>
      </w:r>
      <w:r w:rsidR="00574594" w:rsidRPr="007D0E37">
        <w:t xml:space="preserve">Gibson </w:t>
      </w:r>
      <w:r w:rsidR="004E179A" w:rsidRPr="007D0E37">
        <w:t>et al 2016)</w:t>
      </w:r>
      <w:r w:rsidR="009176CE" w:rsidRPr="007D0E37">
        <w:t>.</w:t>
      </w:r>
    </w:p>
    <w:p w:rsidR="001824B1" w:rsidRPr="007D0E37" w:rsidRDefault="000E238D" w:rsidP="0060197D">
      <w:pPr>
        <w:pStyle w:val="ListParagraph"/>
        <w:numPr>
          <w:ilvl w:val="1"/>
          <w:numId w:val="13"/>
        </w:numPr>
        <w:jc w:val="both"/>
      </w:pPr>
      <w:r w:rsidRPr="007D0E37">
        <w:t xml:space="preserve">The results for the comparator trials, as previously reviewed by the PBAC, indicate that all three </w:t>
      </w:r>
      <w:r w:rsidR="008A4B9D" w:rsidRPr="007D0E37">
        <w:t xml:space="preserve">treatments </w:t>
      </w:r>
      <w:r w:rsidRPr="007D0E37">
        <w:t>are superior to placebo in both the induction and maintenance phases with respect to the key clinical outcomes (clinical response, clinical remission and mucosal healing) and achieving sustained response. These results are presented in Table 6 to Table 9 below, along with the corresponding indirect comparisons with golimumab.</w:t>
      </w:r>
    </w:p>
    <w:p w:rsidR="001824B1" w:rsidRPr="007D0E37" w:rsidRDefault="001824B1" w:rsidP="00216494"/>
    <w:p w:rsidR="00965833" w:rsidRPr="007D0E37" w:rsidRDefault="000E238D" w:rsidP="00965833">
      <w:pPr>
        <w:pStyle w:val="TableHeading0"/>
      </w:pPr>
      <w:r w:rsidRPr="007D0E37">
        <w:t>Table 6</w:t>
      </w:r>
      <w:r w:rsidR="00965833" w:rsidRPr="007D0E37">
        <w:t>: Summary of results of the indirect comparison for remission (induction)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2723"/>
        <w:gridCol w:w="1939"/>
        <w:gridCol w:w="1597"/>
        <w:gridCol w:w="1579"/>
      </w:tblGrid>
      <w:tr w:rsidR="00196661" w:rsidRPr="007D0E37" w:rsidTr="00B56181">
        <w:trPr>
          <w:tblHeader/>
        </w:trPr>
        <w:tc>
          <w:tcPr>
            <w:tcW w:w="760" w:type="pct"/>
            <w:tcBorders>
              <w:bottom w:val="nil"/>
            </w:tcBorders>
          </w:tcPr>
          <w:p w:rsidR="00196661" w:rsidRPr="007D0E37" w:rsidRDefault="00196661" w:rsidP="00B56181">
            <w:pPr>
              <w:pStyle w:val="TableText"/>
              <w:ind w:left="-39" w:right="-33"/>
              <w:rPr>
                <w:b/>
              </w:rPr>
            </w:pPr>
            <w:bookmarkStart w:id="20" w:name="_Hlk490509228"/>
            <w:r w:rsidRPr="007D0E37">
              <w:rPr>
                <w:b/>
              </w:rPr>
              <w:t>Comparison</w:t>
            </w:r>
          </w:p>
        </w:tc>
        <w:tc>
          <w:tcPr>
            <w:tcW w:w="1473" w:type="pct"/>
            <w:tcBorders>
              <w:bottom w:val="nil"/>
            </w:tcBorders>
            <w:shd w:val="clear" w:color="auto" w:fill="auto"/>
          </w:tcPr>
          <w:p w:rsidR="00196661" w:rsidRPr="007D0E37" w:rsidRDefault="00196661" w:rsidP="00B56181">
            <w:pPr>
              <w:pStyle w:val="TableText"/>
              <w:ind w:left="-31" w:right="-91"/>
              <w:rPr>
                <w:b/>
              </w:rPr>
            </w:pPr>
            <w:r w:rsidRPr="007D0E37">
              <w:rPr>
                <w:b/>
              </w:rPr>
              <w:t>Trial ID</w:t>
            </w:r>
          </w:p>
        </w:tc>
        <w:tc>
          <w:tcPr>
            <w:tcW w:w="1049" w:type="pct"/>
            <w:vMerge w:val="restart"/>
            <w:shd w:val="clear" w:color="auto" w:fill="auto"/>
          </w:tcPr>
          <w:p w:rsidR="00196661" w:rsidRPr="007D0E37" w:rsidRDefault="00196661" w:rsidP="00B56181">
            <w:pPr>
              <w:pStyle w:val="TableText"/>
              <w:ind w:left="-31" w:right="-91"/>
              <w:rPr>
                <w:b/>
                <w:iCs/>
              </w:rPr>
            </w:pPr>
            <w:r w:rsidRPr="007D0E37">
              <w:rPr>
                <w:b/>
                <w:iCs/>
              </w:rPr>
              <w:t>GOL/IFX/ADA/VDZ</w:t>
            </w:r>
          </w:p>
          <w:p w:rsidR="00196661" w:rsidRPr="007D0E37" w:rsidRDefault="00196661" w:rsidP="00B56181">
            <w:pPr>
              <w:pStyle w:val="TableText"/>
              <w:ind w:left="-31" w:right="-91"/>
              <w:rPr>
                <w:b/>
              </w:rPr>
            </w:pPr>
            <w:r w:rsidRPr="007D0E37">
              <w:rPr>
                <w:b/>
                <w:iCs/>
              </w:rPr>
              <w:t>n</w:t>
            </w:r>
            <w:r w:rsidRPr="007D0E37">
              <w:rPr>
                <w:b/>
              </w:rPr>
              <w:t>/</w:t>
            </w:r>
            <w:r w:rsidRPr="007D0E37">
              <w:rPr>
                <w:b/>
                <w:iCs/>
              </w:rPr>
              <w:t>N</w:t>
            </w:r>
            <w:r w:rsidRPr="007D0E37">
              <w:rPr>
                <w:b/>
              </w:rPr>
              <w:t xml:space="preserve"> (%)</w:t>
            </w:r>
          </w:p>
        </w:tc>
        <w:tc>
          <w:tcPr>
            <w:tcW w:w="864" w:type="pct"/>
            <w:vMerge w:val="restart"/>
            <w:shd w:val="clear" w:color="auto" w:fill="auto"/>
          </w:tcPr>
          <w:p w:rsidR="00196661" w:rsidRPr="007D0E37" w:rsidRDefault="00196661" w:rsidP="00B56181">
            <w:pPr>
              <w:pStyle w:val="TableText"/>
              <w:ind w:left="-31" w:right="-91"/>
              <w:rPr>
                <w:b/>
              </w:rPr>
            </w:pPr>
            <w:r w:rsidRPr="007D0E37">
              <w:rPr>
                <w:b/>
              </w:rPr>
              <w:t>Placebo</w:t>
            </w:r>
            <w:r w:rsidRPr="007D0E37">
              <w:rPr>
                <w:b/>
              </w:rPr>
              <w:br/>
            </w:r>
            <w:r w:rsidRPr="007D0E37">
              <w:rPr>
                <w:b/>
                <w:iCs/>
              </w:rPr>
              <w:t>n</w:t>
            </w:r>
            <w:r w:rsidRPr="007D0E37">
              <w:rPr>
                <w:b/>
              </w:rPr>
              <w:t>/</w:t>
            </w:r>
            <w:r w:rsidRPr="007D0E37">
              <w:rPr>
                <w:b/>
                <w:iCs/>
              </w:rPr>
              <w:t>N</w:t>
            </w:r>
            <w:r w:rsidRPr="007D0E37">
              <w:rPr>
                <w:b/>
              </w:rPr>
              <w:t xml:space="preserve"> (%)</w:t>
            </w:r>
          </w:p>
        </w:tc>
        <w:tc>
          <w:tcPr>
            <w:tcW w:w="854" w:type="pct"/>
            <w:shd w:val="clear" w:color="auto" w:fill="auto"/>
          </w:tcPr>
          <w:p w:rsidR="00196661" w:rsidRPr="007D0E37" w:rsidRDefault="00196661" w:rsidP="00B56181">
            <w:pPr>
              <w:pStyle w:val="TableText"/>
              <w:ind w:left="-31" w:right="-91"/>
              <w:rPr>
                <w:b/>
              </w:rPr>
            </w:pPr>
            <w:r w:rsidRPr="007D0E37">
              <w:rPr>
                <w:b/>
              </w:rPr>
              <w:t xml:space="preserve">Treatment effect </w:t>
            </w:r>
          </w:p>
        </w:tc>
      </w:tr>
      <w:tr w:rsidR="00196661" w:rsidRPr="007D0E37" w:rsidTr="00B56181">
        <w:trPr>
          <w:tblHeader/>
        </w:trPr>
        <w:tc>
          <w:tcPr>
            <w:tcW w:w="760" w:type="pct"/>
            <w:tcBorders>
              <w:top w:val="nil"/>
            </w:tcBorders>
          </w:tcPr>
          <w:p w:rsidR="00196661" w:rsidRPr="007D0E37" w:rsidRDefault="00196661" w:rsidP="00B56181">
            <w:pPr>
              <w:pStyle w:val="TableText"/>
              <w:ind w:left="-39" w:right="-33"/>
              <w:rPr>
                <w:b/>
              </w:rPr>
            </w:pPr>
          </w:p>
        </w:tc>
        <w:tc>
          <w:tcPr>
            <w:tcW w:w="1473" w:type="pct"/>
            <w:tcBorders>
              <w:top w:val="nil"/>
            </w:tcBorders>
            <w:shd w:val="clear" w:color="auto" w:fill="auto"/>
          </w:tcPr>
          <w:p w:rsidR="00196661" w:rsidRPr="007D0E37" w:rsidRDefault="00196661" w:rsidP="00B56181">
            <w:pPr>
              <w:pStyle w:val="TableText"/>
              <w:ind w:left="-31" w:right="-91"/>
              <w:rPr>
                <w:b/>
              </w:rPr>
            </w:pPr>
          </w:p>
        </w:tc>
        <w:tc>
          <w:tcPr>
            <w:tcW w:w="1049" w:type="pct"/>
            <w:vMerge/>
            <w:shd w:val="clear" w:color="auto" w:fill="auto"/>
          </w:tcPr>
          <w:p w:rsidR="00196661" w:rsidRPr="007D0E37" w:rsidRDefault="00196661" w:rsidP="00B56181">
            <w:pPr>
              <w:pStyle w:val="TableText"/>
              <w:ind w:left="-31" w:right="-91"/>
              <w:rPr>
                <w:b/>
                <w:iCs/>
              </w:rPr>
            </w:pPr>
          </w:p>
        </w:tc>
        <w:tc>
          <w:tcPr>
            <w:tcW w:w="864" w:type="pct"/>
            <w:vMerge/>
            <w:shd w:val="clear" w:color="auto" w:fill="auto"/>
          </w:tcPr>
          <w:p w:rsidR="00196661" w:rsidRPr="007D0E37" w:rsidRDefault="00196661" w:rsidP="00B56181">
            <w:pPr>
              <w:pStyle w:val="TableText"/>
              <w:ind w:left="-31" w:right="-91"/>
              <w:rPr>
                <w:b/>
              </w:rPr>
            </w:pPr>
          </w:p>
        </w:tc>
        <w:tc>
          <w:tcPr>
            <w:tcW w:w="854" w:type="pct"/>
            <w:shd w:val="clear" w:color="auto" w:fill="auto"/>
          </w:tcPr>
          <w:p w:rsidR="00196661" w:rsidRPr="007D0E37" w:rsidRDefault="00196661" w:rsidP="00B56181">
            <w:pPr>
              <w:pStyle w:val="TableText"/>
              <w:ind w:left="-31" w:right="-91"/>
              <w:rPr>
                <w:b/>
              </w:rPr>
            </w:pPr>
            <w:r w:rsidRPr="007D0E37">
              <w:rPr>
                <w:b/>
              </w:rPr>
              <w:t>OR</w:t>
            </w:r>
            <w:r w:rsidRPr="007D0E37">
              <w:rPr>
                <w:b/>
                <w:vertAlign w:val="superscript"/>
              </w:rPr>
              <w:t>b</w:t>
            </w:r>
            <w:r w:rsidRPr="007D0E37">
              <w:rPr>
                <w:b/>
              </w:rPr>
              <w:t xml:space="preserve"> (95% CI)</w:t>
            </w:r>
          </w:p>
        </w:tc>
      </w:tr>
      <w:tr w:rsidR="00196661" w:rsidRPr="007D0E37" w:rsidTr="00B56181">
        <w:tc>
          <w:tcPr>
            <w:tcW w:w="760" w:type="pct"/>
            <w:tcBorders>
              <w:bottom w:val="single" w:sz="4" w:space="0" w:color="auto"/>
            </w:tcBorders>
          </w:tcPr>
          <w:p w:rsidR="00196661" w:rsidRPr="007D0E37" w:rsidRDefault="00196661" w:rsidP="00B56181">
            <w:pPr>
              <w:pStyle w:val="TableText"/>
              <w:ind w:left="-39" w:right="-33"/>
            </w:pPr>
            <w:r w:rsidRPr="007D0E37">
              <w:t>GOL vs PBO</w:t>
            </w:r>
          </w:p>
        </w:tc>
        <w:tc>
          <w:tcPr>
            <w:tcW w:w="1473" w:type="pct"/>
            <w:shd w:val="clear" w:color="auto" w:fill="auto"/>
          </w:tcPr>
          <w:p w:rsidR="00196661" w:rsidRPr="007D0E37" w:rsidRDefault="00196661" w:rsidP="00B56181">
            <w:pPr>
              <w:pStyle w:val="TableText"/>
              <w:ind w:left="-31" w:right="-91"/>
              <w:rPr>
                <w:rFonts w:ascii="Times" w:eastAsia="Times New Roman" w:hAnsi="Times" w:cs="Times New Roman"/>
              </w:rPr>
            </w:pPr>
            <w:r w:rsidRPr="007D0E37">
              <w:t>PURSUIT-SC</w:t>
            </w:r>
          </w:p>
        </w:tc>
        <w:tc>
          <w:tcPr>
            <w:tcW w:w="1049" w:type="pct"/>
            <w:shd w:val="clear" w:color="auto" w:fill="auto"/>
            <w:vAlign w:val="center"/>
          </w:tcPr>
          <w:p w:rsidR="00196661" w:rsidRPr="00F86D7A" w:rsidRDefault="00F86D7A" w:rsidP="00B56181">
            <w:pPr>
              <w:pStyle w:val="TableText"/>
              <w:keepNext w:val="0"/>
              <w:ind w:left="-31" w:right="-91"/>
              <w:rPr>
                <w:highlight w:val="black"/>
              </w:rPr>
            </w:pPr>
            <w:r>
              <w:rPr>
                <w:noProof/>
                <w:color w:val="000000"/>
                <w:highlight w:val="black"/>
              </w:rPr>
              <w:t>''''''''''''''''' '''''''''''''</w:t>
            </w:r>
          </w:p>
        </w:tc>
        <w:tc>
          <w:tcPr>
            <w:tcW w:w="864" w:type="pct"/>
            <w:shd w:val="clear" w:color="auto" w:fill="auto"/>
            <w:vAlign w:val="center"/>
          </w:tcPr>
          <w:p w:rsidR="00196661" w:rsidRPr="00F86D7A" w:rsidRDefault="00F86D7A" w:rsidP="00B56181">
            <w:pPr>
              <w:pStyle w:val="TableText"/>
              <w:keepNext w:val="0"/>
              <w:ind w:left="-31" w:right="-91"/>
              <w:rPr>
                <w:highlight w:val="black"/>
              </w:rPr>
            </w:pPr>
            <w:r>
              <w:rPr>
                <w:noProof/>
                <w:color w:val="000000"/>
                <w:highlight w:val="black"/>
              </w:rPr>
              <w:t>'''''''''''''''' ''''''''''</w:t>
            </w:r>
          </w:p>
        </w:tc>
        <w:tc>
          <w:tcPr>
            <w:tcW w:w="854" w:type="pct"/>
            <w:shd w:val="clear" w:color="auto" w:fill="auto"/>
          </w:tcPr>
          <w:p w:rsidR="00196661" w:rsidRPr="00F86D7A" w:rsidRDefault="00F86D7A" w:rsidP="00B56181">
            <w:pPr>
              <w:pStyle w:val="TableText"/>
              <w:keepNext w:val="0"/>
              <w:ind w:left="-31" w:right="-91"/>
              <w:rPr>
                <w:b/>
                <w:highlight w:val="black"/>
              </w:rPr>
            </w:pPr>
            <w:r>
              <w:rPr>
                <w:b/>
                <w:noProof/>
                <w:color w:val="000000"/>
                <w:highlight w:val="black"/>
              </w:rPr>
              <w:t>'''''''' '''''''''''' '''''''''</w:t>
            </w:r>
          </w:p>
        </w:tc>
      </w:tr>
      <w:tr w:rsidR="00196661" w:rsidRPr="007D0E37" w:rsidTr="00B56181">
        <w:tc>
          <w:tcPr>
            <w:tcW w:w="760" w:type="pct"/>
            <w:tcBorders>
              <w:bottom w:val="nil"/>
            </w:tcBorders>
          </w:tcPr>
          <w:p w:rsidR="00196661" w:rsidRPr="007D0E37" w:rsidRDefault="00196661" w:rsidP="00B56181">
            <w:pPr>
              <w:pStyle w:val="TableText"/>
              <w:ind w:left="-39" w:right="-33"/>
              <w:rPr>
                <w:rFonts w:ascii="Times" w:eastAsia="Times New Roman" w:hAnsi="Times" w:cs="Times New Roman"/>
              </w:rPr>
            </w:pPr>
            <w:r w:rsidRPr="007D0E37">
              <w:t>IFX vs PBO</w:t>
            </w:r>
          </w:p>
        </w:tc>
        <w:tc>
          <w:tcPr>
            <w:tcW w:w="1473" w:type="pct"/>
            <w:shd w:val="clear" w:color="auto" w:fill="auto"/>
            <w:vAlign w:val="center"/>
          </w:tcPr>
          <w:p w:rsidR="00196661" w:rsidRPr="007D0E37" w:rsidRDefault="00196661" w:rsidP="00B56181">
            <w:pPr>
              <w:pStyle w:val="TableText"/>
              <w:ind w:left="-31" w:right="-91"/>
            </w:pPr>
            <w:r w:rsidRPr="007D0E37">
              <w:t>ACT 1</w:t>
            </w:r>
          </w:p>
        </w:tc>
        <w:tc>
          <w:tcPr>
            <w:tcW w:w="1049" w:type="pct"/>
            <w:shd w:val="clear" w:color="auto" w:fill="auto"/>
            <w:vAlign w:val="center"/>
          </w:tcPr>
          <w:p w:rsidR="00196661" w:rsidRPr="007D0E37" w:rsidRDefault="00196661" w:rsidP="00B56181">
            <w:pPr>
              <w:pStyle w:val="TableText"/>
              <w:keepNext w:val="0"/>
              <w:ind w:left="-31" w:right="-91"/>
            </w:pPr>
            <w:r w:rsidRPr="007D0E37">
              <w:t>47/121 (38.8)</w:t>
            </w:r>
          </w:p>
        </w:tc>
        <w:tc>
          <w:tcPr>
            <w:tcW w:w="864" w:type="pct"/>
            <w:shd w:val="clear" w:color="auto" w:fill="auto"/>
            <w:vAlign w:val="center"/>
          </w:tcPr>
          <w:p w:rsidR="00196661" w:rsidRPr="007D0E37" w:rsidRDefault="00196661" w:rsidP="00B56181">
            <w:pPr>
              <w:pStyle w:val="TableText"/>
              <w:keepNext w:val="0"/>
              <w:ind w:left="-31" w:right="-91"/>
            </w:pPr>
            <w:r w:rsidRPr="007D0E37">
              <w:t>18/121 (14.9)</w:t>
            </w:r>
          </w:p>
        </w:tc>
        <w:tc>
          <w:tcPr>
            <w:tcW w:w="854" w:type="pct"/>
            <w:shd w:val="clear" w:color="auto" w:fill="auto"/>
          </w:tcPr>
          <w:p w:rsidR="00196661" w:rsidRPr="00F86D7A" w:rsidRDefault="00F86D7A" w:rsidP="00B56181">
            <w:pPr>
              <w:pStyle w:val="TableText"/>
              <w:keepNext w:val="0"/>
              <w:ind w:left="-31" w:right="-91"/>
              <w:rPr>
                <w:b/>
                <w:highlight w:val="black"/>
              </w:rPr>
            </w:pPr>
            <w:r>
              <w:rPr>
                <w:b/>
                <w:noProof/>
                <w:color w:val="000000"/>
                <w:highlight w:val="black"/>
              </w:rPr>
              <w:t>'''''''' ''''''''''' ''''''''''</w:t>
            </w:r>
          </w:p>
        </w:tc>
      </w:tr>
      <w:tr w:rsidR="00196661" w:rsidRPr="007D0E37" w:rsidTr="00B56181">
        <w:tc>
          <w:tcPr>
            <w:tcW w:w="760" w:type="pct"/>
            <w:tcBorders>
              <w:top w:val="nil"/>
              <w:bottom w:val="nil"/>
            </w:tcBorders>
          </w:tcPr>
          <w:p w:rsidR="00196661" w:rsidRPr="007D0E37" w:rsidRDefault="00196661" w:rsidP="00B56181">
            <w:pPr>
              <w:pStyle w:val="TableText"/>
              <w:ind w:left="-39" w:right="-33"/>
            </w:pPr>
          </w:p>
        </w:tc>
        <w:tc>
          <w:tcPr>
            <w:tcW w:w="1473" w:type="pct"/>
            <w:tcBorders>
              <w:bottom w:val="single" w:sz="4" w:space="0" w:color="auto"/>
            </w:tcBorders>
            <w:shd w:val="clear" w:color="auto" w:fill="auto"/>
            <w:vAlign w:val="center"/>
          </w:tcPr>
          <w:p w:rsidR="00196661" w:rsidRPr="007D0E37" w:rsidRDefault="00196661" w:rsidP="00B56181">
            <w:pPr>
              <w:pStyle w:val="TableText"/>
              <w:ind w:left="-31" w:right="-91"/>
            </w:pPr>
            <w:r w:rsidRPr="007D0E37">
              <w:t>ACT 2</w:t>
            </w:r>
          </w:p>
        </w:tc>
        <w:tc>
          <w:tcPr>
            <w:tcW w:w="1049" w:type="pct"/>
            <w:tcBorders>
              <w:bottom w:val="single" w:sz="4" w:space="0" w:color="auto"/>
            </w:tcBorders>
            <w:shd w:val="clear" w:color="auto" w:fill="auto"/>
            <w:vAlign w:val="center"/>
          </w:tcPr>
          <w:p w:rsidR="00196661" w:rsidRPr="007D0E37" w:rsidRDefault="00196661" w:rsidP="00B56181">
            <w:pPr>
              <w:pStyle w:val="TableText"/>
              <w:keepNext w:val="0"/>
              <w:ind w:left="-31" w:right="-91"/>
            </w:pPr>
            <w:r w:rsidRPr="007D0E37">
              <w:t>41/121 (33.9)</w:t>
            </w:r>
          </w:p>
        </w:tc>
        <w:tc>
          <w:tcPr>
            <w:tcW w:w="864" w:type="pct"/>
            <w:tcBorders>
              <w:bottom w:val="single" w:sz="4" w:space="0" w:color="auto"/>
            </w:tcBorders>
            <w:shd w:val="clear" w:color="auto" w:fill="auto"/>
            <w:vAlign w:val="center"/>
          </w:tcPr>
          <w:p w:rsidR="00196661" w:rsidRPr="007D0E37" w:rsidRDefault="00196661" w:rsidP="00B56181">
            <w:pPr>
              <w:pStyle w:val="TableText"/>
              <w:keepNext w:val="0"/>
              <w:ind w:left="-31" w:right="-91"/>
            </w:pPr>
            <w:r w:rsidRPr="007D0E37">
              <w:t>7/123 (5.7)</w:t>
            </w:r>
          </w:p>
        </w:tc>
        <w:tc>
          <w:tcPr>
            <w:tcW w:w="854" w:type="pct"/>
            <w:shd w:val="clear" w:color="auto" w:fill="auto"/>
          </w:tcPr>
          <w:p w:rsidR="00196661" w:rsidRPr="00F86D7A" w:rsidRDefault="00F86D7A" w:rsidP="00B56181">
            <w:pPr>
              <w:pStyle w:val="TableText"/>
              <w:keepNext w:val="0"/>
              <w:ind w:left="-31" w:right="-91"/>
              <w:rPr>
                <w:highlight w:val="black"/>
              </w:rPr>
            </w:pPr>
            <w:r>
              <w:rPr>
                <w:noProof/>
                <w:color w:val="000000"/>
                <w:highlight w:val="black"/>
              </w:rPr>
              <w:t>''''''''''' '''''''''''''' '''''''''''''</w:t>
            </w:r>
          </w:p>
        </w:tc>
      </w:tr>
      <w:tr w:rsidR="00196661" w:rsidRPr="007D0E37" w:rsidTr="00B56181">
        <w:tc>
          <w:tcPr>
            <w:tcW w:w="760" w:type="pct"/>
            <w:tcBorders>
              <w:top w:val="nil"/>
              <w:bottom w:val="nil"/>
            </w:tcBorders>
          </w:tcPr>
          <w:p w:rsidR="00196661" w:rsidRPr="007D0E37" w:rsidRDefault="00196661" w:rsidP="00B56181">
            <w:pPr>
              <w:pStyle w:val="TableText"/>
              <w:ind w:left="-39" w:right="-33"/>
            </w:pPr>
            <w:r w:rsidRPr="007D0E37">
              <w:t>Meta-analysis</w:t>
            </w:r>
          </w:p>
        </w:tc>
        <w:tc>
          <w:tcPr>
            <w:tcW w:w="1473" w:type="pct"/>
            <w:tcBorders>
              <w:right w:val="nil"/>
            </w:tcBorders>
            <w:shd w:val="clear" w:color="auto" w:fill="auto"/>
          </w:tcPr>
          <w:p w:rsidR="00196661" w:rsidRPr="007D0E37" w:rsidRDefault="00196661" w:rsidP="00B56181">
            <w:pPr>
              <w:pStyle w:val="TableText"/>
              <w:ind w:left="-31" w:right="-91"/>
            </w:pPr>
            <w:r w:rsidRPr="007D0E37">
              <w:t>ACT 1, ACT 2</w:t>
            </w:r>
          </w:p>
        </w:tc>
        <w:tc>
          <w:tcPr>
            <w:tcW w:w="1049" w:type="pct"/>
            <w:tcBorders>
              <w:left w:val="nil"/>
              <w:right w:val="nil"/>
            </w:tcBorders>
            <w:shd w:val="clear" w:color="auto" w:fill="auto"/>
          </w:tcPr>
          <w:p w:rsidR="00196661" w:rsidRPr="007D0E37" w:rsidRDefault="00196661" w:rsidP="00B56181">
            <w:pPr>
              <w:pStyle w:val="TableText"/>
              <w:ind w:left="-31" w:right="-91"/>
            </w:pPr>
          </w:p>
        </w:tc>
        <w:tc>
          <w:tcPr>
            <w:tcW w:w="864" w:type="pct"/>
            <w:tcBorders>
              <w:left w:val="nil"/>
            </w:tcBorders>
            <w:shd w:val="clear" w:color="auto" w:fill="auto"/>
          </w:tcPr>
          <w:p w:rsidR="00196661" w:rsidRPr="007D0E37" w:rsidRDefault="00196661" w:rsidP="00B56181">
            <w:pPr>
              <w:pStyle w:val="TableText"/>
              <w:ind w:left="-31" w:right="-91"/>
              <w:rPr>
                <w:color w:val="000000"/>
                <w:szCs w:val="20"/>
              </w:rPr>
            </w:pPr>
          </w:p>
        </w:tc>
        <w:tc>
          <w:tcPr>
            <w:tcW w:w="854" w:type="pct"/>
            <w:shd w:val="clear" w:color="auto" w:fill="auto"/>
          </w:tcPr>
          <w:p w:rsidR="00196661" w:rsidRPr="00F86D7A" w:rsidRDefault="00F86D7A" w:rsidP="00B56181">
            <w:pPr>
              <w:spacing w:before="0" w:after="0"/>
              <w:ind w:left="-31" w:right="-91"/>
              <w:rPr>
                <w:rFonts w:ascii="Arial Narrow" w:hAnsi="Arial Narrow"/>
                <w:color w:val="000000"/>
                <w:sz w:val="20"/>
                <w:szCs w:val="20"/>
                <w:highlight w:val="black"/>
              </w:rPr>
            </w:pPr>
            <w:r>
              <w:rPr>
                <w:rFonts w:ascii="Arial Narrow" w:hAnsi="Arial Narrow"/>
                <w:noProof/>
                <w:color w:val="000000"/>
                <w:sz w:val="20"/>
                <w:szCs w:val="20"/>
                <w:highlight w:val="black"/>
              </w:rPr>
              <w:t>'''''''''' '''''''''''''''</w:t>
            </w:r>
          </w:p>
        </w:tc>
      </w:tr>
      <w:tr w:rsidR="00196661" w:rsidRPr="00B312EC" w:rsidTr="00B56181">
        <w:tc>
          <w:tcPr>
            <w:tcW w:w="760" w:type="pct"/>
            <w:tcBorders>
              <w:bottom w:val="nil"/>
            </w:tcBorders>
          </w:tcPr>
          <w:p w:rsidR="00196661" w:rsidRPr="007D0E37" w:rsidRDefault="00196661" w:rsidP="00B56181">
            <w:pPr>
              <w:pStyle w:val="TableText"/>
              <w:ind w:left="-39" w:right="-33"/>
            </w:pPr>
            <w:r w:rsidRPr="007D0E37">
              <w:t>ADA vs PBO</w:t>
            </w:r>
          </w:p>
        </w:tc>
        <w:tc>
          <w:tcPr>
            <w:tcW w:w="1473" w:type="pct"/>
            <w:shd w:val="clear" w:color="auto" w:fill="auto"/>
          </w:tcPr>
          <w:p w:rsidR="00196661" w:rsidRPr="007D0E37" w:rsidRDefault="00196661" w:rsidP="00B56181">
            <w:pPr>
              <w:pStyle w:val="TableText"/>
              <w:ind w:left="-31" w:right="-91"/>
            </w:pPr>
            <w:r w:rsidRPr="007D0E37">
              <w:t>ULTRA 1</w:t>
            </w:r>
          </w:p>
        </w:tc>
        <w:tc>
          <w:tcPr>
            <w:tcW w:w="1049" w:type="pct"/>
            <w:shd w:val="clear" w:color="auto" w:fill="auto"/>
            <w:vAlign w:val="center"/>
          </w:tcPr>
          <w:p w:rsidR="00196661" w:rsidRPr="007D0E37" w:rsidRDefault="00F86D7A" w:rsidP="00B56181">
            <w:pPr>
              <w:pStyle w:val="TableText"/>
              <w:keepNext w:val="0"/>
              <w:ind w:left="-31" w:right="-91"/>
            </w:pPr>
            <w:r>
              <w:rPr>
                <w:noProof/>
                <w:color w:val="000000"/>
                <w:highlight w:val="black"/>
              </w:rPr>
              <w:t>''''''''''''''''</w:t>
            </w:r>
            <w:r w:rsidR="00196661" w:rsidRPr="007D0E37">
              <w:t xml:space="preserve"> (18.5)</w:t>
            </w:r>
          </w:p>
        </w:tc>
        <w:tc>
          <w:tcPr>
            <w:tcW w:w="864" w:type="pct"/>
            <w:shd w:val="clear" w:color="auto" w:fill="auto"/>
            <w:vAlign w:val="center"/>
          </w:tcPr>
          <w:p w:rsidR="00196661" w:rsidRPr="007D0E37" w:rsidRDefault="00F86D7A" w:rsidP="00B56181">
            <w:pPr>
              <w:pStyle w:val="TableText"/>
              <w:keepNext w:val="0"/>
              <w:ind w:left="-31" w:right="-91"/>
            </w:pPr>
            <w:r>
              <w:rPr>
                <w:noProof/>
                <w:color w:val="000000"/>
                <w:highlight w:val="black"/>
              </w:rPr>
              <w:t>'''''''''''''''</w:t>
            </w:r>
            <w:r w:rsidR="00196661" w:rsidRPr="007D0E37">
              <w:t xml:space="preserve"> (9.2)</w:t>
            </w:r>
          </w:p>
        </w:tc>
        <w:tc>
          <w:tcPr>
            <w:tcW w:w="854" w:type="pct"/>
            <w:shd w:val="clear" w:color="auto" w:fill="auto"/>
          </w:tcPr>
          <w:p w:rsidR="00196661" w:rsidRPr="00F86D7A" w:rsidRDefault="00F86D7A" w:rsidP="00B56181">
            <w:pPr>
              <w:spacing w:before="0" w:after="0"/>
              <w:ind w:left="-31" w:right="-91"/>
              <w:rPr>
                <w:rFonts w:ascii="Arial Narrow" w:hAnsi="Arial Narrow"/>
                <w:b/>
                <w:color w:val="000000"/>
                <w:sz w:val="20"/>
                <w:szCs w:val="20"/>
                <w:highlight w:val="black"/>
              </w:rPr>
            </w:pPr>
            <w:r>
              <w:rPr>
                <w:rFonts w:ascii="Arial Narrow" w:hAnsi="Arial Narrow"/>
                <w:b/>
                <w:noProof/>
                <w:color w:val="000000"/>
                <w:sz w:val="20"/>
                <w:szCs w:val="20"/>
                <w:highlight w:val="black"/>
              </w:rPr>
              <w:t>''''''''' ''''''''''''''''''''''</w:t>
            </w:r>
          </w:p>
        </w:tc>
      </w:tr>
      <w:tr w:rsidR="00196661" w:rsidRPr="00B312EC" w:rsidTr="00B56181">
        <w:tc>
          <w:tcPr>
            <w:tcW w:w="760" w:type="pct"/>
            <w:tcBorders>
              <w:top w:val="nil"/>
              <w:bottom w:val="nil"/>
            </w:tcBorders>
          </w:tcPr>
          <w:p w:rsidR="00196661" w:rsidRPr="007D0E37" w:rsidRDefault="00196661" w:rsidP="00B56181">
            <w:pPr>
              <w:pStyle w:val="TableText"/>
              <w:ind w:left="-39" w:right="-33"/>
            </w:pPr>
          </w:p>
        </w:tc>
        <w:tc>
          <w:tcPr>
            <w:tcW w:w="1473" w:type="pct"/>
            <w:shd w:val="clear" w:color="auto" w:fill="auto"/>
          </w:tcPr>
          <w:p w:rsidR="00196661" w:rsidRPr="007D0E37" w:rsidRDefault="00196661" w:rsidP="00B56181">
            <w:pPr>
              <w:pStyle w:val="TableText"/>
              <w:ind w:left="-31" w:right="-91"/>
            </w:pPr>
            <w:r w:rsidRPr="007D0E37">
              <w:t>ULTRA 2</w:t>
            </w:r>
          </w:p>
        </w:tc>
        <w:tc>
          <w:tcPr>
            <w:tcW w:w="1049" w:type="pct"/>
            <w:shd w:val="clear" w:color="auto" w:fill="auto"/>
            <w:vAlign w:val="center"/>
          </w:tcPr>
          <w:p w:rsidR="00196661" w:rsidRPr="007D0E37" w:rsidRDefault="00F86D7A" w:rsidP="00B56181">
            <w:pPr>
              <w:pStyle w:val="TableText"/>
              <w:keepNext w:val="0"/>
              <w:ind w:left="-31" w:right="-91"/>
            </w:pPr>
            <w:r>
              <w:rPr>
                <w:noProof/>
                <w:color w:val="000000"/>
                <w:highlight w:val="black"/>
              </w:rPr>
              <w:t>''''''''''''''''''</w:t>
            </w:r>
            <w:r w:rsidR="00196661" w:rsidRPr="007D0E37">
              <w:t xml:space="preserve"> (16.5)</w:t>
            </w:r>
          </w:p>
        </w:tc>
        <w:tc>
          <w:tcPr>
            <w:tcW w:w="864" w:type="pct"/>
            <w:shd w:val="clear" w:color="auto" w:fill="auto"/>
            <w:vAlign w:val="center"/>
          </w:tcPr>
          <w:p w:rsidR="00196661" w:rsidRPr="007D0E37" w:rsidRDefault="00F86D7A" w:rsidP="00B56181">
            <w:pPr>
              <w:pStyle w:val="TableText"/>
              <w:keepNext w:val="0"/>
              <w:ind w:left="-31" w:right="-91"/>
            </w:pPr>
            <w:r>
              <w:rPr>
                <w:noProof/>
                <w:color w:val="000000"/>
                <w:highlight w:val="black"/>
              </w:rPr>
              <w:t>'''''''''''''''''</w:t>
            </w:r>
            <w:r w:rsidR="00196661" w:rsidRPr="007D0E37">
              <w:t xml:space="preserve"> (9.3)</w:t>
            </w:r>
          </w:p>
        </w:tc>
        <w:tc>
          <w:tcPr>
            <w:tcW w:w="854" w:type="pct"/>
            <w:shd w:val="clear" w:color="auto" w:fill="auto"/>
          </w:tcPr>
          <w:p w:rsidR="00196661" w:rsidRPr="00F86D7A" w:rsidRDefault="00F86D7A" w:rsidP="00B56181">
            <w:pPr>
              <w:spacing w:before="0" w:after="0"/>
              <w:ind w:left="-31" w:right="-91"/>
              <w:rPr>
                <w:rFonts w:ascii="Arial Narrow" w:hAnsi="Arial Narrow"/>
                <w:b/>
                <w:color w:val="000000"/>
                <w:sz w:val="20"/>
                <w:szCs w:val="20"/>
                <w:highlight w:val="black"/>
              </w:rPr>
            </w:pPr>
            <w:r>
              <w:rPr>
                <w:rFonts w:ascii="Arial Narrow" w:hAnsi="Arial Narrow"/>
                <w:b/>
                <w:noProof/>
                <w:color w:val="000000"/>
                <w:sz w:val="20"/>
                <w:szCs w:val="20"/>
                <w:highlight w:val="black"/>
              </w:rPr>
              <w:t>''''''''' ''''''''''''''''''''''</w:t>
            </w:r>
          </w:p>
        </w:tc>
      </w:tr>
      <w:tr w:rsidR="00196661" w:rsidRPr="00B312EC" w:rsidTr="00B56181">
        <w:tc>
          <w:tcPr>
            <w:tcW w:w="760" w:type="pct"/>
            <w:tcBorders>
              <w:top w:val="nil"/>
              <w:bottom w:val="nil"/>
            </w:tcBorders>
          </w:tcPr>
          <w:p w:rsidR="00196661" w:rsidRPr="007D0E37" w:rsidRDefault="00196661" w:rsidP="00B56181">
            <w:pPr>
              <w:pStyle w:val="TableText"/>
              <w:ind w:left="-39" w:right="-33"/>
            </w:pPr>
          </w:p>
        </w:tc>
        <w:tc>
          <w:tcPr>
            <w:tcW w:w="1473" w:type="pct"/>
            <w:shd w:val="clear" w:color="auto" w:fill="auto"/>
          </w:tcPr>
          <w:p w:rsidR="00196661" w:rsidRPr="007D0E37" w:rsidRDefault="00196661" w:rsidP="00B56181">
            <w:pPr>
              <w:pStyle w:val="TableText"/>
              <w:ind w:left="-31" w:right="-91"/>
            </w:pPr>
            <w:r w:rsidRPr="007D0E37">
              <w:t>ULTRA 2 (anti-TNF naïve)</w:t>
            </w:r>
          </w:p>
        </w:tc>
        <w:tc>
          <w:tcPr>
            <w:tcW w:w="1049" w:type="pct"/>
            <w:shd w:val="clear" w:color="auto" w:fill="auto"/>
            <w:vAlign w:val="bottom"/>
          </w:tcPr>
          <w:p w:rsidR="00196661" w:rsidRPr="007D0E37" w:rsidRDefault="00F86D7A" w:rsidP="00B56181">
            <w:pPr>
              <w:pStyle w:val="TableText"/>
              <w:keepNext w:val="0"/>
              <w:ind w:left="-31" w:right="-91"/>
            </w:pPr>
            <w:r>
              <w:rPr>
                <w:noProof/>
                <w:color w:val="000000"/>
                <w:highlight w:val="black"/>
                <w:lang w:eastAsia="en-AU"/>
              </w:rPr>
              <w:t>'''''''''''''''</w:t>
            </w:r>
            <w:r w:rsidR="00196661" w:rsidRPr="007D0E37">
              <w:rPr>
                <w:color w:val="000000"/>
                <w:lang w:eastAsia="en-AU"/>
              </w:rPr>
              <w:t xml:space="preserve"> (21.3)</w:t>
            </w:r>
          </w:p>
        </w:tc>
        <w:tc>
          <w:tcPr>
            <w:tcW w:w="864" w:type="pct"/>
            <w:shd w:val="clear" w:color="auto" w:fill="auto"/>
            <w:vAlign w:val="bottom"/>
          </w:tcPr>
          <w:p w:rsidR="00196661" w:rsidRPr="007D0E37" w:rsidRDefault="00F86D7A" w:rsidP="00B56181">
            <w:pPr>
              <w:pStyle w:val="TableText"/>
              <w:keepNext w:val="0"/>
              <w:ind w:left="-31" w:right="-91"/>
            </w:pPr>
            <w:r>
              <w:rPr>
                <w:noProof/>
                <w:color w:val="000000"/>
                <w:highlight w:val="black"/>
                <w:lang w:eastAsia="en-AU"/>
              </w:rPr>
              <w:t>'''''''''''''''''</w:t>
            </w:r>
            <w:r w:rsidR="00196661" w:rsidRPr="007D0E37">
              <w:rPr>
                <w:color w:val="000000"/>
                <w:lang w:eastAsia="en-AU"/>
              </w:rPr>
              <w:t xml:space="preserve"> (11.0)</w:t>
            </w:r>
          </w:p>
        </w:tc>
        <w:tc>
          <w:tcPr>
            <w:tcW w:w="854" w:type="pct"/>
            <w:shd w:val="clear" w:color="auto" w:fill="auto"/>
          </w:tcPr>
          <w:p w:rsidR="00196661" w:rsidRPr="00F86D7A" w:rsidRDefault="00F86D7A" w:rsidP="00B56181">
            <w:pPr>
              <w:spacing w:before="0" w:after="0"/>
              <w:ind w:left="-31" w:right="-91"/>
              <w:rPr>
                <w:rFonts w:ascii="Arial Narrow" w:hAnsi="Arial Narrow"/>
                <w:b/>
                <w:color w:val="000000"/>
                <w:sz w:val="20"/>
                <w:szCs w:val="20"/>
                <w:highlight w:val="black"/>
              </w:rPr>
            </w:pPr>
            <w:r>
              <w:rPr>
                <w:rFonts w:ascii="Arial Narrow" w:hAnsi="Arial Narrow"/>
                <w:b/>
                <w:noProof/>
                <w:color w:val="000000"/>
                <w:sz w:val="20"/>
                <w:szCs w:val="20"/>
                <w:highlight w:val="black"/>
              </w:rPr>
              <w:t>'''''''''' ''''''''''' ''''''''''</w:t>
            </w:r>
          </w:p>
        </w:tc>
      </w:tr>
      <w:tr w:rsidR="00196661" w:rsidRPr="00B312EC" w:rsidTr="00B56181">
        <w:tc>
          <w:tcPr>
            <w:tcW w:w="760" w:type="pct"/>
            <w:tcBorders>
              <w:top w:val="nil"/>
              <w:bottom w:val="nil"/>
            </w:tcBorders>
          </w:tcPr>
          <w:p w:rsidR="00196661" w:rsidRPr="007D0E37" w:rsidRDefault="00196661" w:rsidP="00B56181">
            <w:pPr>
              <w:pStyle w:val="TableText"/>
              <w:ind w:left="-39" w:right="-33"/>
            </w:pPr>
          </w:p>
        </w:tc>
        <w:tc>
          <w:tcPr>
            <w:tcW w:w="1473" w:type="pct"/>
            <w:tcBorders>
              <w:bottom w:val="single" w:sz="4" w:space="0" w:color="auto"/>
            </w:tcBorders>
            <w:shd w:val="clear" w:color="auto" w:fill="auto"/>
          </w:tcPr>
          <w:p w:rsidR="00196661" w:rsidRPr="007D0E37" w:rsidRDefault="00196661" w:rsidP="00B56181">
            <w:pPr>
              <w:pStyle w:val="TableText"/>
              <w:ind w:left="-31" w:right="-91"/>
            </w:pPr>
            <w:r w:rsidRPr="007D0E37">
              <w:t>Suzuki 2014</w:t>
            </w:r>
          </w:p>
        </w:tc>
        <w:tc>
          <w:tcPr>
            <w:tcW w:w="1049" w:type="pct"/>
            <w:tcBorders>
              <w:bottom w:val="single" w:sz="4" w:space="0" w:color="auto"/>
            </w:tcBorders>
            <w:shd w:val="clear" w:color="auto" w:fill="auto"/>
            <w:vAlign w:val="center"/>
          </w:tcPr>
          <w:p w:rsidR="00196661" w:rsidRPr="007D0E37" w:rsidRDefault="00F86D7A" w:rsidP="00B56181">
            <w:pPr>
              <w:pStyle w:val="TableText"/>
              <w:keepNext w:val="0"/>
              <w:ind w:left="-31" w:right="-91"/>
            </w:pPr>
            <w:r>
              <w:rPr>
                <w:noProof/>
                <w:color w:val="000000"/>
                <w:highlight w:val="black"/>
              </w:rPr>
              <w:t>'''''''''''</w:t>
            </w:r>
            <w:r w:rsidR="00196661" w:rsidRPr="007D0E37">
              <w:t xml:space="preserve"> (10.0)</w:t>
            </w:r>
            <w:r w:rsidR="00196661" w:rsidRPr="007D0E37">
              <w:rPr>
                <w:vertAlign w:val="superscript"/>
              </w:rPr>
              <w:t>b</w:t>
            </w:r>
          </w:p>
        </w:tc>
        <w:tc>
          <w:tcPr>
            <w:tcW w:w="864" w:type="pct"/>
            <w:tcBorders>
              <w:bottom w:val="single" w:sz="4" w:space="0" w:color="auto"/>
            </w:tcBorders>
            <w:shd w:val="clear" w:color="auto" w:fill="auto"/>
            <w:vAlign w:val="center"/>
          </w:tcPr>
          <w:p w:rsidR="00196661" w:rsidRPr="007D0E37" w:rsidRDefault="00F86D7A" w:rsidP="00B56181">
            <w:pPr>
              <w:pStyle w:val="TableText"/>
              <w:keepNext w:val="0"/>
              <w:ind w:left="-31" w:right="-91"/>
            </w:pPr>
            <w:r>
              <w:rPr>
                <w:noProof/>
                <w:color w:val="000000"/>
                <w:highlight w:val="black"/>
              </w:rPr>
              <w:t>'''''''''''''</w:t>
            </w:r>
            <w:r w:rsidR="00196661" w:rsidRPr="007D0E37">
              <w:t xml:space="preserve"> (11.5)</w:t>
            </w:r>
          </w:p>
        </w:tc>
        <w:tc>
          <w:tcPr>
            <w:tcW w:w="854" w:type="pct"/>
            <w:shd w:val="clear" w:color="auto" w:fill="auto"/>
          </w:tcPr>
          <w:p w:rsidR="00196661" w:rsidRPr="00F86D7A" w:rsidRDefault="00F86D7A" w:rsidP="00B56181">
            <w:pPr>
              <w:spacing w:before="0" w:after="0"/>
              <w:ind w:left="-31" w:right="-91"/>
              <w:rPr>
                <w:rFonts w:ascii="Arial Narrow" w:hAnsi="Arial Narrow"/>
                <w:color w:val="000000"/>
                <w:sz w:val="20"/>
                <w:szCs w:val="20"/>
                <w:highlight w:val="black"/>
              </w:rPr>
            </w:pPr>
            <w:r>
              <w:rPr>
                <w:rFonts w:ascii="Arial Narrow" w:hAnsi="Arial Narrow"/>
                <w:noProof/>
                <w:color w:val="000000"/>
                <w:sz w:val="20"/>
                <w:szCs w:val="20"/>
                <w:highlight w:val="black"/>
              </w:rPr>
              <w:t>'''''''''' '''''''''''''''' ''''''''''''</w:t>
            </w:r>
          </w:p>
        </w:tc>
      </w:tr>
      <w:tr w:rsidR="00196661" w:rsidRPr="00B312EC" w:rsidTr="00B56181">
        <w:tc>
          <w:tcPr>
            <w:tcW w:w="760" w:type="pct"/>
            <w:tcBorders>
              <w:top w:val="nil"/>
              <w:bottom w:val="nil"/>
            </w:tcBorders>
          </w:tcPr>
          <w:p w:rsidR="00196661" w:rsidRPr="007D0E37" w:rsidRDefault="00196661" w:rsidP="00B56181">
            <w:pPr>
              <w:pStyle w:val="TableText"/>
              <w:ind w:left="-39" w:right="-33"/>
            </w:pPr>
            <w:r w:rsidRPr="007D0E37">
              <w:t>Meta-analysis</w:t>
            </w:r>
          </w:p>
        </w:tc>
        <w:tc>
          <w:tcPr>
            <w:tcW w:w="1473" w:type="pct"/>
            <w:tcBorders>
              <w:bottom w:val="single" w:sz="4" w:space="0" w:color="auto"/>
              <w:right w:val="nil"/>
            </w:tcBorders>
            <w:shd w:val="clear" w:color="auto" w:fill="auto"/>
          </w:tcPr>
          <w:p w:rsidR="00196661" w:rsidRPr="007D0E37" w:rsidRDefault="00196661" w:rsidP="00B56181">
            <w:pPr>
              <w:pStyle w:val="TableText"/>
              <w:ind w:left="-31" w:right="-91"/>
            </w:pPr>
            <w:r w:rsidRPr="007D0E37">
              <w:t>ULTRA 1, ULTRA 2</w:t>
            </w:r>
          </w:p>
        </w:tc>
        <w:tc>
          <w:tcPr>
            <w:tcW w:w="1049" w:type="pct"/>
            <w:tcBorders>
              <w:left w:val="nil"/>
              <w:bottom w:val="single" w:sz="4" w:space="0" w:color="auto"/>
              <w:right w:val="nil"/>
            </w:tcBorders>
            <w:shd w:val="clear" w:color="auto" w:fill="auto"/>
            <w:vAlign w:val="center"/>
          </w:tcPr>
          <w:p w:rsidR="00196661" w:rsidRPr="007D0E37" w:rsidRDefault="00196661" w:rsidP="00B56181">
            <w:pPr>
              <w:pStyle w:val="TableText"/>
              <w:keepNext w:val="0"/>
            </w:pPr>
          </w:p>
        </w:tc>
        <w:tc>
          <w:tcPr>
            <w:tcW w:w="864" w:type="pct"/>
            <w:tcBorders>
              <w:left w:val="nil"/>
              <w:bottom w:val="single" w:sz="4" w:space="0" w:color="auto"/>
            </w:tcBorders>
            <w:shd w:val="clear" w:color="auto" w:fill="auto"/>
            <w:vAlign w:val="center"/>
          </w:tcPr>
          <w:p w:rsidR="00196661" w:rsidRPr="007D0E37" w:rsidRDefault="00196661" w:rsidP="00B56181">
            <w:pPr>
              <w:pStyle w:val="TableText"/>
              <w:keepNext w:val="0"/>
            </w:pPr>
          </w:p>
        </w:tc>
        <w:tc>
          <w:tcPr>
            <w:tcW w:w="854" w:type="pct"/>
            <w:shd w:val="clear" w:color="auto" w:fill="auto"/>
          </w:tcPr>
          <w:p w:rsidR="00196661" w:rsidRPr="00F86D7A" w:rsidRDefault="00F86D7A" w:rsidP="00B56181">
            <w:pPr>
              <w:pStyle w:val="TableText"/>
              <w:keepNext w:val="0"/>
              <w:rPr>
                <w:highlight w:val="black"/>
              </w:rPr>
            </w:pPr>
            <w:r>
              <w:rPr>
                <w:noProof/>
                <w:color w:val="000000"/>
                <w:highlight w:val="black"/>
              </w:rPr>
              <w:t>''''''''''' ''''''''''''''''</w:t>
            </w:r>
          </w:p>
        </w:tc>
      </w:tr>
      <w:tr w:rsidR="00196661" w:rsidRPr="00B312EC" w:rsidTr="00B56181">
        <w:tc>
          <w:tcPr>
            <w:tcW w:w="760" w:type="pct"/>
            <w:tcBorders>
              <w:top w:val="nil"/>
              <w:bottom w:val="nil"/>
            </w:tcBorders>
          </w:tcPr>
          <w:p w:rsidR="00196661" w:rsidRPr="007D0E37" w:rsidRDefault="00196661" w:rsidP="00B56181">
            <w:pPr>
              <w:pStyle w:val="TableText"/>
              <w:ind w:left="-39" w:right="-33"/>
            </w:pPr>
          </w:p>
        </w:tc>
        <w:tc>
          <w:tcPr>
            <w:tcW w:w="1473" w:type="pct"/>
            <w:tcBorders>
              <w:bottom w:val="single" w:sz="4" w:space="0" w:color="auto"/>
              <w:right w:val="nil"/>
            </w:tcBorders>
            <w:shd w:val="clear" w:color="auto" w:fill="auto"/>
          </w:tcPr>
          <w:p w:rsidR="00196661" w:rsidRPr="007D0E37" w:rsidRDefault="00196661" w:rsidP="00B56181">
            <w:pPr>
              <w:pStyle w:val="TableText"/>
              <w:ind w:left="-31" w:right="-91"/>
            </w:pPr>
            <w:r w:rsidRPr="007D0E37">
              <w:t>ULTRA 1, ULTRA 2 (anti-TNF naïve)</w:t>
            </w:r>
          </w:p>
        </w:tc>
        <w:tc>
          <w:tcPr>
            <w:tcW w:w="1049" w:type="pct"/>
            <w:tcBorders>
              <w:left w:val="nil"/>
              <w:bottom w:val="single" w:sz="4" w:space="0" w:color="auto"/>
              <w:right w:val="nil"/>
            </w:tcBorders>
            <w:shd w:val="clear" w:color="auto" w:fill="auto"/>
            <w:vAlign w:val="center"/>
          </w:tcPr>
          <w:p w:rsidR="00196661" w:rsidRPr="007D0E37" w:rsidRDefault="00196661" w:rsidP="00B56181">
            <w:pPr>
              <w:pStyle w:val="TableText"/>
              <w:keepNext w:val="0"/>
            </w:pPr>
          </w:p>
        </w:tc>
        <w:tc>
          <w:tcPr>
            <w:tcW w:w="864" w:type="pct"/>
            <w:tcBorders>
              <w:left w:val="nil"/>
              <w:bottom w:val="single" w:sz="4" w:space="0" w:color="auto"/>
            </w:tcBorders>
            <w:shd w:val="clear" w:color="auto" w:fill="auto"/>
            <w:vAlign w:val="center"/>
          </w:tcPr>
          <w:p w:rsidR="00196661" w:rsidRPr="007D0E37" w:rsidRDefault="00196661" w:rsidP="00B56181">
            <w:pPr>
              <w:pStyle w:val="TableText"/>
              <w:keepNext w:val="0"/>
            </w:pPr>
          </w:p>
        </w:tc>
        <w:tc>
          <w:tcPr>
            <w:tcW w:w="854" w:type="pct"/>
            <w:shd w:val="clear" w:color="auto" w:fill="auto"/>
          </w:tcPr>
          <w:p w:rsidR="00196661" w:rsidRPr="00F86D7A" w:rsidRDefault="00F86D7A" w:rsidP="00B56181">
            <w:pPr>
              <w:pStyle w:val="TableText"/>
              <w:keepNext w:val="0"/>
              <w:rPr>
                <w:highlight w:val="black"/>
              </w:rPr>
            </w:pPr>
            <w:r>
              <w:rPr>
                <w:noProof/>
                <w:color w:val="000000"/>
                <w:highlight w:val="black"/>
              </w:rPr>
              <w:t>''''''''''' '''''''''''''''</w:t>
            </w:r>
          </w:p>
        </w:tc>
      </w:tr>
      <w:tr w:rsidR="00196661" w:rsidRPr="00B312EC" w:rsidTr="00B56181">
        <w:tc>
          <w:tcPr>
            <w:tcW w:w="760" w:type="pct"/>
            <w:tcBorders>
              <w:top w:val="nil"/>
              <w:bottom w:val="nil"/>
            </w:tcBorders>
          </w:tcPr>
          <w:p w:rsidR="00196661" w:rsidRPr="007D0E37" w:rsidRDefault="00196661" w:rsidP="00B56181">
            <w:pPr>
              <w:pStyle w:val="TableText"/>
              <w:ind w:left="-39" w:right="-33"/>
            </w:pPr>
          </w:p>
        </w:tc>
        <w:tc>
          <w:tcPr>
            <w:tcW w:w="1473" w:type="pct"/>
            <w:tcBorders>
              <w:bottom w:val="single" w:sz="4" w:space="0" w:color="auto"/>
              <w:right w:val="nil"/>
            </w:tcBorders>
            <w:shd w:val="clear" w:color="auto" w:fill="auto"/>
          </w:tcPr>
          <w:p w:rsidR="00196661" w:rsidRPr="007D0E37" w:rsidRDefault="00196661" w:rsidP="00B56181">
            <w:pPr>
              <w:pStyle w:val="TableText"/>
              <w:ind w:left="-31" w:right="-91"/>
            </w:pPr>
            <w:r w:rsidRPr="007D0E37">
              <w:t>ULTRA 1, ULTRA 2, Suzuki 2014</w:t>
            </w:r>
          </w:p>
        </w:tc>
        <w:tc>
          <w:tcPr>
            <w:tcW w:w="1049" w:type="pct"/>
            <w:tcBorders>
              <w:left w:val="nil"/>
              <w:bottom w:val="single" w:sz="4" w:space="0" w:color="auto"/>
              <w:right w:val="nil"/>
            </w:tcBorders>
            <w:shd w:val="clear" w:color="auto" w:fill="auto"/>
          </w:tcPr>
          <w:p w:rsidR="00196661" w:rsidRPr="007D0E37" w:rsidRDefault="00196661" w:rsidP="00B56181">
            <w:pPr>
              <w:pStyle w:val="TableText"/>
              <w:keepNext w:val="0"/>
            </w:pPr>
          </w:p>
        </w:tc>
        <w:tc>
          <w:tcPr>
            <w:tcW w:w="864" w:type="pct"/>
            <w:tcBorders>
              <w:left w:val="nil"/>
              <w:bottom w:val="single" w:sz="4" w:space="0" w:color="auto"/>
            </w:tcBorders>
            <w:shd w:val="clear" w:color="auto" w:fill="auto"/>
          </w:tcPr>
          <w:p w:rsidR="00196661" w:rsidRPr="007D0E37" w:rsidRDefault="00196661" w:rsidP="00B56181">
            <w:pPr>
              <w:pStyle w:val="TableText"/>
              <w:keepNext w:val="0"/>
            </w:pPr>
          </w:p>
        </w:tc>
        <w:tc>
          <w:tcPr>
            <w:tcW w:w="854" w:type="pct"/>
            <w:shd w:val="clear" w:color="auto" w:fill="auto"/>
          </w:tcPr>
          <w:p w:rsidR="00196661" w:rsidRPr="00F86D7A" w:rsidRDefault="00F86D7A" w:rsidP="00B56181">
            <w:pPr>
              <w:pStyle w:val="TableText"/>
              <w:keepNext w:val="0"/>
              <w:rPr>
                <w:highlight w:val="black"/>
              </w:rPr>
            </w:pPr>
            <w:r>
              <w:rPr>
                <w:noProof/>
                <w:color w:val="000000"/>
                <w:highlight w:val="black"/>
              </w:rPr>
              <w:t>'''''''''' '''''''''''''''</w:t>
            </w:r>
          </w:p>
        </w:tc>
      </w:tr>
      <w:tr w:rsidR="00196661" w:rsidRPr="00B312EC" w:rsidTr="00B56181">
        <w:tc>
          <w:tcPr>
            <w:tcW w:w="760" w:type="pct"/>
            <w:tcBorders>
              <w:top w:val="nil"/>
            </w:tcBorders>
          </w:tcPr>
          <w:p w:rsidR="00196661" w:rsidRPr="007D0E37" w:rsidRDefault="00196661" w:rsidP="00B56181">
            <w:pPr>
              <w:pStyle w:val="TableText"/>
              <w:ind w:left="-39" w:right="-33"/>
            </w:pPr>
          </w:p>
        </w:tc>
        <w:tc>
          <w:tcPr>
            <w:tcW w:w="1473" w:type="pct"/>
            <w:tcBorders>
              <w:right w:val="nil"/>
            </w:tcBorders>
            <w:shd w:val="clear" w:color="auto" w:fill="auto"/>
          </w:tcPr>
          <w:p w:rsidR="00196661" w:rsidRPr="007D0E37" w:rsidRDefault="00196661" w:rsidP="00B56181">
            <w:pPr>
              <w:pStyle w:val="TableText"/>
              <w:ind w:left="-31" w:right="-91"/>
            </w:pPr>
            <w:r w:rsidRPr="007D0E37">
              <w:t>ULTRA 1, ULTRA 2 (anti-TNF naïve), Suzuki 2014</w:t>
            </w:r>
          </w:p>
        </w:tc>
        <w:tc>
          <w:tcPr>
            <w:tcW w:w="1049" w:type="pct"/>
            <w:tcBorders>
              <w:left w:val="nil"/>
              <w:right w:val="nil"/>
            </w:tcBorders>
            <w:shd w:val="clear" w:color="auto" w:fill="auto"/>
          </w:tcPr>
          <w:p w:rsidR="00196661" w:rsidRPr="007D0E37" w:rsidRDefault="00196661" w:rsidP="00B56181">
            <w:pPr>
              <w:pStyle w:val="TableText"/>
              <w:keepNext w:val="0"/>
            </w:pPr>
          </w:p>
        </w:tc>
        <w:tc>
          <w:tcPr>
            <w:tcW w:w="864" w:type="pct"/>
            <w:tcBorders>
              <w:left w:val="nil"/>
            </w:tcBorders>
            <w:shd w:val="clear" w:color="auto" w:fill="auto"/>
          </w:tcPr>
          <w:p w:rsidR="00196661" w:rsidRPr="007D0E37" w:rsidRDefault="00196661" w:rsidP="00B56181">
            <w:pPr>
              <w:pStyle w:val="TableText"/>
              <w:keepNext w:val="0"/>
            </w:pPr>
          </w:p>
        </w:tc>
        <w:tc>
          <w:tcPr>
            <w:tcW w:w="854" w:type="pct"/>
            <w:shd w:val="clear" w:color="auto" w:fill="auto"/>
          </w:tcPr>
          <w:p w:rsidR="00196661" w:rsidRPr="00F86D7A" w:rsidRDefault="00F86D7A" w:rsidP="00B56181">
            <w:pPr>
              <w:pStyle w:val="TableText"/>
              <w:keepNext w:val="0"/>
              <w:rPr>
                <w:highlight w:val="black"/>
              </w:rPr>
            </w:pPr>
            <w:r>
              <w:rPr>
                <w:noProof/>
                <w:color w:val="000000"/>
                <w:highlight w:val="black"/>
              </w:rPr>
              <w:t>''''''''''' ''''''''''''''</w:t>
            </w:r>
          </w:p>
        </w:tc>
      </w:tr>
      <w:tr w:rsidR="00196661" w:rsidRPr="00B312EC" w:rsidTr="00B56181">
        <w:tc>
          <w:tcPr>
            <w:tcW w:w="760" w:type="pct"/>
            <w:tcBorders>
              <w:top w:val="nil"/>
              <w:bottom w:val="single" w:sz="4" w:space="0" w:color="auto"/>
            </w:tcBorders>
          </w:tcPr>
          <w:p w:rsidR="00196661" w:rsidRPr="007D0E37" w:rsidRDefault="00196661" w:rsidP="00B56181">
            <w:pPr>
              <w:pStyle w:val="TableText"/>
              <w:ind w:left="-39" w:right="-33"/>
            </w:pPr>
            <w:r w:rsidRPr="007D0E37">
              <w:t>VDZ vs PBO</w:t>
            </w:r>
          </w:p>
        </w:tc>
        <w:tc>
          <w:tcPr>
            <w:tcW w:w="1473" w:type="pct"/>
            <w:tcBorders>
              <w:bottom w:val="single" w:sz="4" w:space="0" w:color="auto"/>
            </w:tcBorders>
            <w:shd w:val="clear" w:color="auto" w:fill="auto"/>
          </w:tcPr>
          <w:p w:rsidR="00196661" w:rsidRPr="007D0E37" w:rsidRDefault="00196661" w:rsidP="00B56181">
            <w:pPr>
              <w:pStyle w:val="TableText"/>
              <w:ind w:left="-31" w:right="-91"/>
            </w:pPr>
            <w:r w:rsidRPr="007D0E37">
              <w:t>GEMINI 1</w:t>
            </w:r>
          </w:p>
        </w:tc>
        <w:tc>
          <w:tcPr>
            <w:tcW w:w="1049" w:type="pct"/>
            <w:tcBorders>
              <w:bottom w:val="single" w:sz="4" w:space="0" w:color="auto"/>
            </w:tcBorders>
            <w:shd w:val="clear" w:color="auto" w:fill="auto"/>
            <w:vAlign w:val="center"/>
          </w:tcPr>
          <w:p w:rsidR="00196661" w:rsidRPr="007D0E37" w:rsidRDefault="00196661" w:rsidP="00B56181">
            <w:pPr>
              <w:pStyle w:val="TableText"/>
              <w:keepNext w:val="0"/>
              <w:ind w:left="-31" w:right="-91"/>
            </w:pPr>
            <w:r w:rsidRPr="007D0E37">
              <w:t>38/225 (16.9)</w:t>
            </w:r>
          </w:p>
        </w:tc>
        <w:tc>
          <w:tcPr>
            <w:tcW w:w="864" w:type="pct"/>
            <w:tcBorders>
              <w:bottom w:val="single" w:sz="4" w:space="0" w:color="auto"/>
            </w:tcBorders>
            <w:shd w:val="clear" w:color="auto" w:fill="auto"/>
            <w:vAlign w:val="center"/>
          </w:tcPr>
          <w:p w:rsidR="00196661" w:rsidRPr="007D0E37" w:rsidRDefault="00196661" w:rsidP="00B56181">
            <w:pPr>
              <w:pStyle w:val="TableText"/>
              <w:keepNext w:val="0"/>
              <w:ind w:left="-31" w:right="-91"/>
            </w:pPr>
            <w:r w:rsidRPr="007D0E37">
              <w:t>8/149 (5.4)</w:t>
            </w:r>
          </w:p>
        </w:tc>
        <w:tc>
          <w:tcPr>
            <w:tcW w:w="854" w:type="pct"/>
            <w:tcBorders>
              <w:bottom w:val="single" w:sz="4" w:space="0" w:color="auto"/>
            </w:tcBorders>
            <w:shd w:val="clear" w:color="auto" w:fill="auto"/>
          </w:tcPr>
          <w:p w:rsidR="00196661" w:rsidRPr="00F86D7A" w:rsidRDefault="00F86D7A" w:rsidP="00B56181">
            <w:pPr>
              <w:spacing w:before="0" w:after="0"/>
              <w:ind w:left="-31" w:right="-91"/>
              <w:rPr>
                <w:rFonts w:ascii="Arial Narrow" w:hAnsi="Arial Narrow"/>
                <w:b/>
                <w:color w:val="000000"/>
                <w:sz w:val="20"/>
                <w:szCs w:val="20"/>
                <w:highlight w:val="black"/>
              </w:rPr>
            </w:pPr>
            <w:r>
              <w:rPr>
                <w:rFonts w:ascii="Arial Narrow" w:hAnsi="Arial Narrow"/>
                <w:b/>
                <w:noProof/>
                <w:color w:val="000000"/>
                <w:sz w:val="20"/>
                <w:szCs w:val="20"/>
                <w:highlight w:val="black"/>
              </w:rPr>
              <w:t>''''''''' '''''''''' ''''''''''</w:t>
            </w:r>
          </w:p>
        </w:tc>
      </w:tr>
      <w:tr w:rsidR="00196661" w:rsidRPr="00B312EC" w:rsidTr="00B56181">
        <w:tc>
          <w:tcPr>
            <w:tcW w:w="4146" w:type="pct"/>
            <w:gridSpan w:val="4"/>
            <w:tcBorders>
              <w:right w:val="nil"/>
            </w:tcBorders>
          </w:tcPr>
          <w:p w:rsidR="00196661" w:rsidRPr="007D0E37" w:rsidRDefault="00196661" w:rsidP="00B56181">
            <w:pPr>
              <w:pStyle w:val="TableText"/>
              <w:tabs>
                <w:tab w:val="left" w:pos="6031"/>
              </w:tabs>
              <w:ind w:left="-31" w:right="-91"/>
            </w:pPr>
            <w:r w:rsidRPr="007D0E37">
              <w:t>Indirect estimate of effect adjusted for the common reference (GOL vs IFX)</w:t>
            </w:r>
          </w:p>
        </w:tc>
        <w:tc>
          <w:tcPr>
            <w:tcW w:w="854" w:type="pct"/>
            <w:tcBorders>
              <w:left w:val="nil"/>
              <w:right w:val="single" w:sz="4" w:space="0" w:color="auto"/>
            </w:tcBorders>
            <w:shd w:val="clear" w:color="auto" w:fill="auto"/>
          </w:tcPr>
          <w:p w:rsidR="00196661" w:rsidRPr="00F86D7A" w:rsidRDefault="00196661" w:rsidP="00B56181">
            <w:pPr>
              <w:spacing w:before="0" w:after="0"/>
              <w:ind w:left="-31" w:right="-91"/>
              <w:rPr>
                <w:rFonts w:ascii="Arial Narrow" w:hAnsi="Arial Narrow"/>
                <w:color w:val="000000"/>
                <w:sz w:val="20"/>
                <w:szCs w:val="20"/>
              </w:rPr>
            </w:pPr>
          </w:p>
        </w:tc>
      </w:tr>
      <w:tr w:rsidR="00196661" w:rsidRPr="00B312EC" w:rsidTr="00B56181">
        <w:tc>
          <w:tcPr>
            <w:tcW w:w="4146" w:type="pct"/>
            <w:gridSpan w:val="4"/>
            <w:tcBorders>
              <w:bottom w:val="single" w:sz="4" w:space="0" w:color="auto"/>
            </w:tcBorders>
          </w:tcPr>
          <w:p w:rsidR="00196661" w:rsidRPr="007D0E37" w:rsidRDefault="00196661" w:rsidP="00B56181">
            <w:pPr>
              <w:pStyle w:val="TableText"/>
              <w:ind w:left="175" w:right="-91"/>
            </w:pPr>
            <w:r w:rsidRPr="007D0E37">
              <w:t>Using trial results: PURSUIT-SC, ACT1, ACT 2</w:t>
            </w:r>
          </w:p>
        </w:tc>
        <w:tc>
          <w:tcPr>
            <w:tcW w:w="854" w:type="pct"/>
            <w:tcBorders>
              <w:bottom w:val="single" w:sz="4" w:space="0" w:color="auto"/>
            </w:tcBorders>
            <w:shd w:val="clear" w:color="auto" w:fill="auto"/>
          </w:tcPr>
          <w:p w:rsidR="00196661" w:rsidRPr="00F86D7A" w:rsidRDefault="00F86D7A" w:rsidP="00B56181">
            <w:pPr>
              <w:spacing w:before="0" w:after="0"/>
              <w:ind w:left="-31" w:right="-91"/>
              <w:rPr>
                <w:rFonts w:ascii="Arial Narrow" w:hAnsi="Arial Narrow"/>
                <w:color w:val="000000"/>
                <w:sz w:val="20"/>
                <w:szCs w:val="20"/>
                <w:highlight w:val="black"/>
              </w:rPr>
            </w:pPr>
            <w:r>
              <w:rPr>
                <w:rFonts w:ascii="Arial Narrow" w:hAnsi="Arial Narrow"/>
                <w:noProof/>
                <w:color w:val="000000"/>
                <w:sz w:val="20"/>
                <w:szCs w:val="20"/>
                <w:highlight w:val="black"/>
              </w:rPr>
              <w:t>'''''''''' '''''''''''' '''''''''''''</w:t>
            </w:r>
          </w:p>
        </w:tc>
      </w:tr>
      <w:tr w:rsidR="00196661" w:rsidRPr="00B312EC" w:rsidTr="00B56181">
        <w:tc>
          <w:tcPr>
            <w:tcW w:w="4146" w:type="pct"/>
            <w:gridSpan w:val="4"/>
            <w:tcBorders>
              <w:right w:val="nil"/>
            </w:tcBorders>
          </w:tcPr>
          <w:p w:rsidR="00196661" w:rsidRPr="007D0E37" w:rsidRDefault="00196661" w:rsidP="00B56181">
            <w:pPr>
              <w:pStyle w:val="TableText"/>
              <w:ind w:left="-31" w:right="-91"/>
            </w:pPr>
            <w:r w:rsidRPr="007D0E37">
              <w:t>Indirect estimate of effect adjusted for the common reference (GOL vs ADA)</w:t>
            </w:r>
          </w:p>
        </w:tc>
        <w:tc>
          <w:tcPr>
            <w:tcW w:w="854" w:type="pct"/>
            <w:tcBorders>
              <w:left w:val="nil"/>
              <w:right w:val="single" w:sz="4" w:space="0" w:color="auto"/>
            </w:tcBorders>
            <w:shd w:val="clear" w:color="auto" w:fill="auto"/>
          </w:tcPr>
          <w:p w:rsidR="00196661" w:rsidRPr="00F86D7A" w:rsidRDefault="00196661" w:rsidP="00B56181">
            <w:pPr>
              <w:spacing w:before="0" w:after="0"/>
              <w:ind w:left="-31" w:right="-91"/>
              <w:rPr>
                <w:rFonts w:ascii="Arial Narrow" w:hAnsi="Arial Narrow"/>
                <w:color w:val="000000"/>
                <w:sz w:val="20"/>
                <w:szCs w:val="20"/>
              </w:rPr>
            </w:pPr>
          </w:p>
        </w:tc>
      </w:tr>
      <w:tr w:rsidR="00196661" w:rsidRPr="00B312EC" w:rsidTr="00B56181">
        <w:tc>
          <w:tcPr>
            <w:tcW w:w="4146" w:type="pct"/>
            <w:gridSpan w:val="4"/>
          </w:tcPr>
          <w:p w:rsidR="00196661" w:rsidRPr="007D0E37" w:rsidRDefault="00196661" w:rsidP="00B56181">
            <w:pPr>
              <w:pStyle w:val="TableText"/>
              <w:ind w:left="175" w:right="-91"/>
            </w:pPr>
            <w:r w:rsidRPr="007D0E37">
              <w:t>Using trial results: PURSUIT-SC, ULTRA 1, ULTRA 2</w:t>
            </w:r>
          </w:p>
        </w:tc>
        <w:tc>
          <w:tcPr>
            <w:tcW w:w="854" w:type="pct"/>
            <w:shd w:val="clear" w:color="auto" w:fill="auto"/>
          </w:tcPr>
          <w:p w:rsidR="00196661" w:rsidRPr="00F86D7A" w:rsidRDefault="00F86D7A" w:rsidP="00B56181">
            <w:pPr>
              <w:spacing w:before="0" w:after="0"/>
              <w:ind w:left="-31" w:right="-91"/>
              <w:rPr>
                <w:rFonts w:ascii="Arial Narrow" w:hAnsi="Arial Narrow"/>
                <w:color w:val="000000"/>
                <w:sz w:val="20"/>
                <w:szCs w:val="20"/>
                <w:highlight w:val="black"/>
              </w:rPr>
            </w:pPr>
            <w:r>
              <w:rPr>
                <w:rFonts w:ascii="Arial Narrow" w:hAnsi="Arial Narrow"/>
                <w:noProof/>
                <w:color w:val="000000"/>
                <w:sz w:val="20"/>
                <w:szCs w:val="20"/>
                <w:highlight w:val="black"/>
              </w:rPr>
              <w:t>''''''''''' ''''''''''''' '''''''''''''</w:t>
            </w:r>
          </w:p>
        </w:tc>
      </w:tr>
      <w:tr w:rsidR="00196661" w:rsidRPr="00B312EC" w:rsidTr="00B56181">
        <w:tc>
          <w:tcPr>
            <w:tcW w:w="4146" w:type="pct"/>
            <w:gridSpan w:val="4"/>
          </w:tcPr>
          <w:p w:rsidR="00196661" w:rsidRPr="007D0E37" w:rsidRDefault="00196661" w:rsidP="00B56181">
            <w:pPr>
              <w:pStyle w:val="TableText"/>
              <w:ind w:left="175" w:right="-91"/>
            </w:pPr>
            <w:r w:rsidRPr="007D0E37">
              <w:t>Using trial results: PURSUIT-SC, ULTRA 1, ULTRA 2 (anti-TNF naïve)</w:t>
            </w:r>
          </w:p>
        </w:tc>
        <w:tc>
          <w:tcPr>
            <w:tcW w:w="854" w:type="pct"/>
            <w:shd w:val="clear" w:color="auto" w:fill="auto"/>
          </w:tcPr>
          <w:p w:rsidR="00196661" w:rsidRPr="00F86D7A" w:rsidRDefault="00F86D7A" w:rsidP="00B56181">
            <w:pPr>
              <w:spacing w:before="0" w:after="0"/>
              <w:ind w:left="-31" w:right="-91"/>
              <w:rPr>
                <w:rFonts w:ascii="Arial Narrow" w:hAnsi="Arial Narrow"/>
                <w:color w:val="000000"/>
                <w:sz w:val="20"/>
                <w:szCs w:val="20"/>
                <w:highlight w:val="black"/>
              </w:rPr>
            </w:pPr>
            <w:r>
              <w:rPr>
                <w:rFonts w:ascii="Arial Narrow" w:hAnsi="Arial Narrow"/>
                <w:noProof/>
                <w:color w:val="000000"/>
                <w:sz w:val="20"/>
                <w:szCs w:val="20"/>
                <w:highlight w:val="black"/>
              </w:rPr>
              <w:t>'''''''''''' ''''''''''''''' ''''''''''''</w:t>
            </w:r>
          </w:p>
        </w:tc>
      </w:tr>
      <w:tr w:rsidR="00196661" w:rsidRPr="00B312EC" w:rsidTr="00B56181">
        <w:tc>
          <w:tcPr>
            <w:tcW w:w="4146" w:type="pct"/>
            <w:gridSpan w:val="4"/>
            <w:tcBorders>
              <w:bottom w:val="single" w:sz="4" w:space="0" w:color="auto"/>
            </w:tcBorders>
          </w:tcPr>
          <w:p w:rsidR="00196661" w:rsidRPr="007D0E37" w:rsidRDefault="00196661" w:rsidP="00B56181">
            <w:pPr>
              <w:pStyle w:val="TableText"/>
              <w:ind w:left="175" w:right="-91"/>
            </w:pPr>
            <w:r w:rsidRPr="007D0E37">
              <w:t>Using trial results: PURSUIT-SC, ULTRA 1, ULTRA 2, Suzuki 2014</w:t>
            </w:r>
          </w:p>
        </w:tc>
        <w:tc>
          <w:tcPr>
            <w:tcW w:w="854" w:type="pct"/>
            <w:tcBorders>
              <w:bottom w:val="single" w:sz="4" w:space="0" w:color="auto"/>
            </w:tcBorders>
            <w:shd w:val="clear" w:color="auto" w:fill="auto"/>
          </w:tcPr>
          <w:p w:rsidR="00196661" w:rsidRPr="00F86D7A" w:rsidRDefault="00F86D7A" w:rsidP="00B56181">
            <w:pPr>
              <w:spacing w:before="0" w:after="0"/>
              <w:ind w:left="-31" w:right="-91"/>
              <w:rPr>
                <w:rFonts w:ascii="Arial Narrow" w:hAnsi="Arial Narrow"/>
                <w:color w:val="000000"/>
                <w:sz w:val="20"/>
                <w:szCs w:val="20"/>
                <w:highlight w:val="black"/>
              </w:rPr>
            </w:pPr>
            <w:r>
              <w:rPr>
                <w:rFonts w:ascii="Arial Narrow" w:hAnsi="Arial Narrow"/>
                <w:noProof/>
                <w:color w:val="000000"/>
                <w:sz w:val="20"/>
                <w:szCs w:val="20"/>
                <w:highlight w:val="black"/>
              </w:rPr>
              <w:t>'''''''''' '''''''''''''' ''''''''''''''</w:t>
            </w:r>
          </w:p>
        </w:tc>
      </w:tr>
      <w:tr w:rsidR="00196661" w:rsidRPr="00B312EC" w:rsidTr="00B56181">
        <w:tc>
          <w:tcPr>
            <w:tcW w:w="4146" w:type="pct"/>
            <w:gridSpan w:val="4"/>
            <w:tcBorders>
              <w:bottom w:val="single" w:sz="4" w:space="0" w:color="auto"/>
            </w:tcBorders>
          </w:tcPr>
          <w:p w:rsidR="00196661" w:rsidRPr="007D0E37" w:rsidRDefault="00196661" w:rsidP="00B56181">
            <w:pPr>
              <w:pStyle w:val="TableText"/>
              <w:ind w:left="175" w:right="-91"/>
            </w:pPr>
            <w:r w:rsidRPr="007D0E37">
              <w:t>Using trial results: PURSUIT-SC, ULTRA 1, ULTRA 2 (anti-TNF naïve), Suzuki 2014</w:t>
            </w:r>
          </w:p>
        </w:tc>
        <w:tc>
          <w:tcPr>
            <w:tcW w:w="854" w:type="pct"/>
            <w:tcBorders>
              <w:bottom w:val="single" w:sz="4" w:space="0" w:color="auto"/>
            </w:tcBorders>
            <w:shd w:val="clear" w:color="auto" w:fill="auto"/>
          </w:tcPr>
          <w:p w:rsidR="00196661" w:rsidRPr="00F86D7A" w:rsidRDefault="00F86D7A" w:rsidP="00B56181">
            <w:pPr>
              <w:spacing w:before="0" w:after="0"/>
              <w:ind w:left="-31" w:right="-91"/>
              <w:rPr>
                <w:rFonts w:ascii="Arial Narrow" w:hAnsi="Arial Narrow"/>
                <w:color w:val="000000"/>
                <w:sz w:val="20"/>
                <w:szCs w:val="20"/>
                <w:highlight w:val="black"/>
              </w:rPr>
            </w:pPr>
            <w:r>
              <w:rPr>
                <w:rFonts w:ascii="Arial Narrow" w:hAnsi="Arial Narrow"/>
                <w:noProof/>
                <w:color w:val="000000"/>
                <w:sz w:val="20"/>
                <w:szCs w:val="20"/>
                <w:highlight w:val="black"/>
              </w:rPr>
              <w:t>'''''''''' '''''''''''''' ''''''''''''</w:t>
            </w:r>
          </w:p>
        </w:tc>
      </w:tr>
      <w:tr w:rsidR="00196661" w:rsidRPr="00B312EC" w:rsidTr="00B56181">
        <w:tc>
          <w:tcPr>
            <w:tcW w:w="4146" w:type="pct"/>
            <w:gridSpan w:val="4"/>
            <w:tcBorders>
              <w:right w:val="nil"/>
            </w:tcBorders>
          </w:tcPr>
          <w:p w:rsidR="00196661" w:rsidRPr="007D0E37" w:rsidRDefault="00196661" w:rsidP="00B56181">
            <w:pPr>
              <w:pStyle w:val="TableText"/>
              <w:ind w:left="-31" w:right="-91"/>
            </w:pPr>
            <w:r w:rsidRPr="007D0E37">
              <w:t>Indirect estimate of effect adjusted for the common reference (GOL vs VDZ)</w:t>
            </w:r>
          </w:p>
        </w:tc>
        <w:tc>
          <w:tcPr>
            <w:tcW w:w="854" w:type="pct"/>
            <w:tcBorders>
              <w:left w:val="nil"/>
              <w:right w:val="single" w:sz="4" w:space="0" w:color="auto"/>
            </w:tcBorders>
            <w:shd w:val="clear" w:color="auto" w:fill="auto"/>
          </w:tcPr>
          <w:p w:rsidR="00196661" w:rsidRPr="00F86D7A" w:rsidRDefault="00196661" w:rsidP="00B56181">
            <w:pPr>
              <w:spacing w:before="0" w:after="0"/>
              <w:ind w:left="-31" w:right="-91"/>
              <w:rPr>
                <w:rFonts w:ascii="Arial Narrow" w:hAnsi="Arial Narrow"/>
                <w:color w:val="000000"/>
                <w:sz w:val="20"/>
                <w:szCs w:val="20"/>
              </w:rPr>
            </w:pPr>
          </w:p>
        </w:tc>
      </w:tr>
      <w:tr w:rsidR="00196661" w:rsidRPr="00B312EC" w:rsidTr="00B56181">
        <w:tc>
          <w:tcPr>
            <w:tcW w:w="4146" w:type="pct"/>
            <w:gridSpan w:val="4"/>
          </w:tcPr>
          <w:p w:rsidR="00196661" w:rsidRPr="007D0E37" w:rsidRDefault="00196661" w:rsidP="00B56181">
            <w:pPr>
              <w:pStyle w:val="TableText"/>
              <w:ind w:left="175" w:right="-91"/>
            </w:pPr>
            <w:r w:rsidRPr="007D0E37">
              <w:t>Using trial results PURSUIT-SC, GEMINI 1</w:t>
            </w:r>
          </w:p>
        </w:tc>
        <w:tc>
          <w:tcPr>
            <w:tcW w:w="854" w:type="pct"/>
            <w:shd w:val="clear" w:color="auto" w:fill="auto"/>
          </w:tcPr>
          <w:p w:rsidR="00196661" w:rsidRPr="00F86D7A" w:rsidRDefault="00F86D7A" w:rsidP="00B56181">
            <w:pPr>
              <w:spacing w:before="0" w:after="0"/>
              <w:ind w:left="-31" w:right="-91"/>
              <w:rPr>
                <w:rFonts w:ascii="Arial Narrow" w:hAnsi="Arial Narrow"/>
                <w:color w:val="000000"/>
                <w:sz w:val="20"/>
                <w:szCs w:val="20"/>
                <w:highlight w:val="black"/>
              </w:rPr>
            </w:pPr>
            <w:r>
              <w:rPr>
                <w:rFonts w:ascii="Arial Narrow" w:hAnsi="Arial Narrow"/>
                <w:noProof/>
                <w:color w:val="000000"/>
                <w:sz w:val="20"/>
                <w:szCs w:val="20"/>
                <w:highlight w:val="black"/>
              </w:rPr>
              <w:t>'''''''''' '''''''''''' '''''''''''''</w:t>
            </w:r>
          </w:p>
        </w:tc>
      </w:tr>
    </w:tbl>
    <w:p w:rsidR="00196661" w:rsidRPr="007D0E37" w:rsidRDefault="00196661" w:rsidP="00196661">
      <w:pPr>
        <w:pStyle w:val="TableFooter"/>
      </w:pPr>
      <w:r w:rsidRPr="007D0E37">
        <w:t>Abbreviations: ADA, adalimumab; CI, Confidence interval; GOL, golimumab; IFX, infliximab; n, number of participants with event; N, total number of participants in group; OR, Odds ratio; PBO, placebo; VDZ, vedolizumab.</w:t>
      </w:r>
      <w:r w:rsidR="00767CDD">
        <w:t xml:space="preserve"> </w:t>
      </w:r>
    </w:p>
    <w:p w:rsidR="00196661" w:rsidRPr="007D0E37" w:rsidRDefault="00196661" w:rsidP="00196661">
      <w:pPr>
        <w:pStyle w:val="TableFooter"/>
      </w:pPr>
      <w:r w:rsidRPr="007D0E37">
        <w:t xml:space="preserve">Notes: Figures in bold are statistically significant. </w:t>
      </w:r>
    </w:p>
    <w:p w:rsidR="00196661" w:rsidRPr="007D0E37" w:rsidRDefault="00196661" w:rsidP="00196661">
      <w:pPr>
        <w:pStyle w:val="TableFooter"/>
      </w:pPr>
      <w:r w:rsidRPr="007D0E37">
        <w:t xml:space="preserve">a Submission did not report (95% CI). </w:t>
      </w:r>
    </w:p>
    <w:p w:rsidR="00196661" w:rsidRPr="007D0E37" w:rsidRDefault="00196661" w:rsidP="00196661">
      <w:pPr>
        <w:pStyle w:val="TableFooter"/>
      </w:pPr>
      <w:r w:rsidRPr="007D0E37">
        <w:t xml:space="preserve">b The RR (95% CI) is denoted in Table 2.6-1 of the submission, however, the treatment effect presented in Table 2.6-1 was </w:t>
      </w:r>
      <w:r w:rsidR="00161049" w:rsidRPr="007D0E37">
        <w:t xml:space="preserve">actually the </w:t>
      </w:r>
      <w:r w:rsidRPr="007D0E37">
        <w:t xml:space="preserve">OR </w:t>
      </w:r>
      <w:r w:rsidR="00161049" w:rsidRPr="007D0E37">
        <w:t>(95% CI) as reported in the source documentation</w:t>
      </w:r>
      <w:r w:rsidRPr="007D0E37">
        <w:t xml:space="preserve">. </w:t>
      </w:r>
    </w:p>
    <w:p w:rsidR="00196661" w:rsidRPr="007D0E37" w:rsidRDefault="00196661" w:rsidP="00196661">
      <w:pPr>
        <w:pStyle w:val="TableFooter"/>
      </w:pPr>
      <w:r w:rsidRPr="007D0E37">
        <w:t>Source: Table 2.6.1 p117 of the submission; Attachment 07-ITC_Analyses_0.1_10 of the submission; Attachment 06 of the submission.</w:t>
      </w:r>
      <w:r w:rsidR="00767CDD">
        <w:t xml:space="preserve"> </w:t>
      </w:r>
    </w:p>
    <w:bookmarkEnd w:id="20"/>
    <w:p w:rsidR="00965833" w:rsidRPr="007D0E37" w:rsidRDefault="00965833" w:rsidP="00965833">
      <w:pPr>
        <w:pStyle w:val="TableFooter"/>
      </w:pPr>
    </w:p>
    <w:p w:rsidR="00965833" w:rsidRPr="007D0E37" w:rsidRDefault="00965833" w:rsidP="00965833">
      <w:pPr>
        <w:pStyle w:val="TableHeading0"/>
      </w:pPr>
      <w:r w:rsidRPr="007D0E37">
        <w:t xml:space="preserve">Table </w:t>
      </w:r>
      <w:r w:rsidR="000E238D" w:rsidRPr="007D0E37">
        <w:t>7</w:t>
      </w:r>
      <w:r w:rsidRPr="007D0E37">
        <w:t>: Summary of results of the indirect comparison for response (induction)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2723"/>
        <w:gridCol w:w="1939"/>
        <w:gridCol w:w="1597"/>
        <w:gridCol w:w="1579"/>
      </w:tblGrid>
      <w:tr w:rsidR="00196661" w:rsidRPr="007D0E37" w:rsidTr="00B56181">
        <w:trPr>
          <w:tblHeader/>
        </w:trPr>
        <w:tc>
          <w:tcPr>
            <w:tcW w:w="760" w:type="pct"/>
            <w:tcBorders>
              <w:bottom w:val="nil"/>
            </w:tcBorders>
          </w:tcPr>
          <w:p w:rsidR="00196661" w:rsidRPr="007D0E37" w:rsidRDefault="00196661" w:rsidP="00B56181">
            <w:pPr>
              <w:pStyle w:val="TableText"/>
              <w:ind w:left="-39" w:right="-33"/>
              <w:rPr>
                <w:b/>
              </w:rPr>
            </w:pPr>
            <w:bookmarkStart w:id="21" w:name="_Hlk490509272"/>
            <w:r w:rsidRPr="007D0E37">
              <w:rPr>
                <w:b/>
              </w:rPr>
              <w:t>Comparison</w:t>
            </w:r>
          </w:p>
        </w:tc>
        <w:tc>
          <w:tcPr>
            <w:tcW w:w="1473" w:type="pct"/>
            <w:tcBorders>
              <w:bottom w:val="nil"/>
            </w:tcBorders>
            <w:shd w:val="clear" w:color="auto" w:fill="auto"/>
          </w:tcPr>
          <w:p w:rsidR="00196661" w:rsidRPr="007D0E37" w:rsidRDefault="00196661" w:rsidP="00B56181">
            <w:pPr>
              <w:pStyle w:val="TableText"/>
              <w:ind w:left="-31" w:right="-91"/>
              <w:rPr>
                <w:b/>
              </w:rPr>
            </w:pPr>
            <w:r w:rsidRPr="007D0E37">
              <w:rPr>
                <w:b/>
              </w:rPr>
              <w:t>Trial ID</w:t>
            </w:r>
          </w:p>
        </w:tc>
        <w:tc>
          <w:tcPr>
            <w:tcW w:w="1049" w:type="pct"/>
            <w:vMerge w:val="restart"/>
            <w:shd w:val="clear" w:color="auto" w:fill="auto"/>
          </w:tcPr>
          <w:p w:rsidR="00196661" w:rsidRPr="007D0E37" w:rsidRDefault="00196661" w:rsidP="00B56181">
            <w:pPr>
              <w:pStyle w:val="TableText"/>
              <w:ind w:left="-31" w:right="-91"/>
              <w:rPr>
                <w:b/>
                <w:iCs/>
              </w:rPr>
            </w:pPr>
            <w:r w:rsidRPr="007D0E37">
              <w:rPr>
                <w:b/>
                <w:iCs/>
              </w:rPr>
              <w:t>GOL/IFX/ADA/VDZ</w:t>
            </w:r>
          </w:p>
          <w:p w:rsidR="00196661" w:rsidRPr="007D0E37" w:rsidRDefault="00196661" w:rsidP="00B56181">
            <w:pPr>
              <w:pStyle w:val="TableText"/>
              <w:ind w:left="-31" w:right="-91"/>
              <w:rPr>
                <w:b/>
              </w:rPr>
            </w:pPr>
            <w:r w:rsidRPr="007D0E37">
              <w:rPr>
                <w:b/>
                <w:iCs/>
              </w:rPr>
              <w:t>n</w:t>
            </w:r>
            <w:r w:rsidRPr="007D0E37">
              <w:rPr>
                <w:b/>
              </w:rPr>
              <w:t>/</w:t>
            </w:r>
            <w:r w:rsidRPr="007D0E37">
              <w:rPr>
                <w:b/>
                <w:iCs/>
              </w:rPr>
              <w:t>N</w:t>
            </w:r>
            <w:r w:rsidRPr="007D0E37">
              <w:rPr>
                <w:b/>
              </w:rPr>
              <w:t xml:space="preserve"> (%)</w:t>
            </w:r>
          </w:p>
        </w:tc>
        <w:tc>
          <w:tcPr>
            <w:tcW w:w="864" w:type="pct"/>
            <w:vMerge w:val="restart"/>
            <w:shd w:val="clear" w:color="auto" w:fill="auto"/>
          </w:tcPr>
          <w:p w:rsidR="00196661" w:rsidRPr="007D0E37" w:rsidRDefault="00196661" w:rsidP="00B56181">
            <w:pPr>
              <w:pStyle w:val="TableText"/>
              <w:ind w:left="-31" w:right="-91"/>
              <w:rPr>
                <w:b/>
              </w:rPr>
            </w:pPr>
            <w:r w:rsidRPr="007D0E37">
              <w:rPr>
                <w:b/>
              </w:rPr>
              <w:t>Placebo</w:t>
            </w:r>
            <w:r w:rsidRPr="007D0E37">
              <w:rPr>
                <w:b/>
              </w:rPr>
              <w:br/>
            </w:r>
            <w:r w:rsidRPr="007D0E37">
              <w:rPr>
                <w:b/>
                <w:iCs/>
              </w:rPr>
              <w:t>n</w:t>
            </w:r>
            <w:r w:rsidRPr="007D0E37">
              <w:rPr>
                <w:b/>
              </w:rPr>
              <w:t>/</w:t>
            </w:r>
            <w:r w:rsidRPr="007D0E37">
              <w:rPr>
                <w:b/>
                <w:iCs/>
              </w:rPr>
              <w:t>N</w:t>
            </w:r>
            <w:r w:rsidRPr="007D0E37">
              <w:rPr>
                <w:b/>
              </w:rPr>
              <w:t xml:space="preserve"> (%)</w:t>
            </w:r>
          </w:p>
        </w:tc>
        <w:tc>
          <w:tcPr>
            <w:tcW w:w="854" w:type="pct"/>
            <w:shd w:val="clear" w:color="auto" w:fill="auto"/>
          </w:tcPr>
          <w:p w:rsidR="00196661" w:rsidRPr="007D0E37" w:rsidRDefault="00196661" w:rsidP="00B56181">
            <w:pPr>
              <w:pStyle w:val="TableText"/>
              <w:ind w:left="-31" w:right="-91"/>
              <w:rPr>
                <w:b/>
              </w:rPr>
            </w:pPr>
            <w:r w:rsidRPr="007D0E37">
              <w:rPr>
                <w:b/>
              </w:rPr>
              <w:t xml:space="preserve">Treatment effect </w:t>
            </w:r>
          </w:p>
        </w:tc>
      </w:tr>
      <w:tr w:rsidR="00196661" w:rsidRPr="007D0E37" w:rsidTr="00B56181">
        <w:trPr>
          <w:tblHeader/>
        </w:trPr>
        <w:tc>
          <w:tcPr>
            <w:tcW w:w="760" w:type="pct"/>
            <w:tcBorders>
              <w:top w:val="nil"/>
            </w:tcBorders>
          </w:tcPr>
          <w:p w:rsidR="00196661" w:rsidRPr="007D0E37" w:rsidRDefault="00196661" w:rsidP="00B56181">
            <w:pPr>
              <w:pStyle w:val="TableText"/>
              <w:ind w:left="-39" w:right="-33"/>
              <w:rPr>
                <w:b/>
              </w:rPr>
            </w:pPr>
          </w:p>
        </w:tc>
        <w:tc>
          <w:tcPr>
            <w:tcW w:w="1473" w:type="pct"/>
            <w:tcBorders>
              <w:top w:val="nil"/>
            </w:tcBorders>
            <w:shd w:val="clear" w:color="auto" w:fill="auto"/>
          </w:tcPr>
          <w:p w:rsidR="00196661" w:rsidRPr="007D0E37" w:rsidRDefault="00196661" w:rsidP="00B56181">
            <w:pPr>
              <w:pStyle w:val="TableText"/>
              <w:ind w:left="-31" w:right="-91"/>
              <w:rPr>
                <w:b/>
              </w:rPr>
            </w:pPr>
          </w:p>
        </w:tc>
        <w:tc>
          <w:tcPr>
            <w:tcW w:w="1049" w:type="pct"/>
            <w:vMerge/>
            <w:shd w:val="clear" w:color="auto" w:fill="auto"/>
          </w:tcPr>
          <w:p w:rsidR="00196661" w:rsidRPr="007D0E37" w:rsidRDefault="00196661" w:rsidP="00B56181">
            <w:pPr>
              <w:pStyle w:val="TableText"/>
              <w:ind w:left="-31" w:right="-91"/>
              <w:rPr>
                <w:b/>
                <w:iCs/>
              </w:rPr>
            </w:pPr>
          </w:p>
        </w:tc>
        <w:tc>
          <w:tcPr>
            <w:tcW w:w="864" w:type="pct"/>
            <w:vMerge/>
            <w:shd w:val="clear" w:color="auto" w:fill="auto"/>
          </w:tcPr>
          <w:p w:rsidR="00196661" w:rsidRPr="007D0E37" w:rsidRDefault="00196661" w:rsidP="00B56181">
            <w:pPr>
              <w:pStyle w:val="TableText"/>
              <w:ind w:left="-31" w:right="-91"/>
              <w:rPr>
                <w:b/>
              </w:rPr>
            </w:pPr>
          </w:p>
        </w:tc>
        <w:tc>
          <w:tcPr>
            <w:tcW w:w="854" w:type="pct"/>
            <w:shd w:val="clear" w:color="auto" w:fill="auto"/>
          </w:tcPr>
          <w:p w:rsidR="00196661" w:rsidRPr="007D0E37" w:rsidRDefault="00196661" w:rsidP="00B56181">
            <w:pPr>
              <w:pStyle w:val="TableText"/>
              <w:ind w:left="-31" w:right="-91"/>
              <w:rPr>
                <w:b/>
              </w:rPr>
            </w:pPr>
            <w:r w:rsidRPr="007D0E37">
              <w:rPr>
                <w:b/>
              </w:rPr>
              <w:t>OR</w:t>
            </w:r>
            <w:r w:rsidRPr="007D0E37">
              <w:rPr>
                <w:b/>
                <w:vertAlign w:val="superscript"/>
              </w:rPr>
              <w:t xml:space="preserve">d </w:t>
            </w:r>
            <w:r w:rsidRPr="007D0E37">
              <w:rPr>
                <w:b/>
              </w:rPr>
              <w:t>(95% CI)</w:t>
            </w:r>
          </w:p>
        </w:tc>
      </w:tr>
      <w:tr w:rsidR="00196661" w:rsidRPr="007D0E37" w:rsidTr="00B56181">
        <w:tc>
          <w:tcPr>
            <w:tcW w:w="760" w:type="pct"/>
            <w:tcBorders>
              <w:bottom w:val="single" w:sz="4" w:space="0" w:color="auto"/>
            </w:tcBorders>
          </w:tcPr>
          <w:p w:rsidR="00196661" w:rsidRPr="007D0E37" w:rsidRDefault="00196661" w:rsidP="00B56181">
            <w:pPr>
              <w:pStyle w:val="TableText"/>
              <w:ind w:left="-39" w:right="-33"/>
            </w:pPr>
            <w:r w:rsidRPr="007D0E37">
              <w:t>GOL vs PBO</w:t>
            </w:r>
          </w:p>
        </w:tc>
        <w:tc>
          <w:tcPr>
            <w:tcW w:w="1473" w:type="pct"/>
            <w:shd w:val="clear" w:color="auto" w:fill="auto"/>
          </w:tcPr>
          <w:p w:rsidR="00196661" w:rsidRPr="007D0E37" w:rsidRDefault="00196661" w:rsidP="00B56181">
            <w:pPr>
              <w:pStyle w:val="TableText"/>
              <w:ind w:left="-31" w:right="-91"/>
              <w:rPr>
                <w:rFonts w:ascii="Times" w:eastAsia="Times New Roman" w:hAnsi="Times" w:cs="Times New Roman"/>
              </w:rPr>
            </w:pPr>
            <w:r w:rsidRPr="007D0E37">
              <w:t>PURSUIT-SC</w:t>
            </w:r>
          </w:p>
        </w:tc>
        <w:tc>
          <w:tcPr>
            <w:tcW w:w="1049" w:type="pct"/>
            <w:shd w:val="clear" w:color="auto" w:fill="auto"/>
            <w:vAlign w:val="center"/>
          </w:tcPr>
          <w:p w:rsidR="00196661" w:rsidRPr="00F86D7A" w:rsidRDefault="00F86D7A" w:rsidP="00B56181">
            <w:pPr>
              <w:pStyle w:val="TableText"/>
              <w:keepNext w:val="0"/>
              <w:rPr>
                <w:highlight w:val="black"/>
              </w:rPr>
            </w:pPr>
            <w:r>
              <w:rPr>
                <w:noProof/>
                <w:color w:val="000000"/>
                <w:highlight w:val="black"/>
              </w:rPr>
              <w:t>''''''''''''''''''' ''''''''''''''</w:t>
            </w:r>
          </w:p>
        </w:tc>
        <w:tc>
          <w:tcPr>
            <w:tcW w:w="864" w:type="pct"/>
            <w:shd w:val="clear" w:color="auto" w:fill="auto"/>
            <w:vAlign w:val="center"/>
          </w:tcPr>
          <w:p w:rsidR="00196661" w:rsidRPr="00F86D7A" w:rsidRDefault="00F86D7A" w:rsidP="00B56181">
            <w:pPr>
              <w:pStyle w:val="TableText"/>
              <w:keepNext w:val="0"/>
              <w:rPr>
                <w:highlight w:val="black"/>
              </w:rPr>
            </w:pPr>
            <w:r>
              <w:rPr>
                <w:noProof/>
                <w:color w:val="000000"/>
                <w:highlight w:val="black"/>
              </w:rPr>
              <w:t>'''''''''''''''''' ''''''''''''''</w:t>
            </w:r>
          </w:p>
        </w:tc>
        <w:tc>
          <w:tcPr>
            <w:tcW w:w="854" w:type="pct"/>
            <w:shd w:val="clear" w:color="auto" w:fill="auto"/>
          </w:tcPr>
          <w:p w:rsidR="00196661" w:rsidRPr="00F86D7A" w:rsidRDefault="00F86D7A" w:rsidP="00B56181">
            <w:pPr>
              <w:pStyle w:val="TableText"/>
              <w:ind w:left="-31" w:right="-91"/>
              <w:rPr>
                <w:rFonts w:ascii="Times" w:eastAsia="Times New Roman" w:hAnsi="Times" w:cs="Times New Roman"/>
                <w:b/>
                <w:highlight w:val="black"/>
              </w:rPr>
            </w:pPr>
            <w:r>
              <w:rPr>
                <w:b/>
                <w:noProof/>
                <w:color w:val="000000"/>
                <w:highlight w:val="black"/>
              </w:rPr>
              <w:t>''''''''' '''''''''''' '''''''''''</w:t>
            </w:r>
          </w:p>
        </w:tc>
      </w:tr>
      <w:tr w:rsidR="00196661" w:rsidRPr="007D0E37" w:rsidTr="00B56181">
        <w:tc>
          <w:tcPr>
            <w:tcW w:w="760" w:type="pct"/>
            <w:tcBorders>
              <w:bottom w:val="nil"/>
            </w:tcBorders>
          </w:tcPr>
          <w:p w:rsidR="00196661" w:rsidRPr="007D0E37" w:rsidRDefault="00196661" w:rsidP="00B56181">
            <w:pPr>
              <w:pStyle w:val="TableText"/>
              <w:ind w:left="-39" w:right="-33"/>
              <w:rPr>
                <w:rFonts w:ascii="Times" w:eastAsia="Times New Roman" w:hAnsi="Times" w:cs="Times New Roman"/>
              </w:rPr>
            </w:pPr>
            <w:r w:rsidRPr="007D0E37">
              <w:t>IFX vs PBO</w:t>
            </w:r>
          </w:p>
        </w:tc>
        <w:tc>
          <w:tcPr>
            <w:tcW w:w="1473" w:type="pct"/>
            <w:shd w:val="clear" w:color="auto" w:fill="auto"/>
            <w:vAlign w:val="center"/>
          </w:tcPr>
          <w:p w:rsidR="00196661" w:rsidRPr="007D0E37" w:rsidRDefault="00196661" w:rsidP="00B56181">
            <w:pPr>
              <w:pStyle w:val="TableText"/>
              <w:ind w:left="-31" w:right="-91"/>
            </w:pPr>
            <w:r w:rsidRPr="007D0E37">
              <w:t>ACT 1</w:t>
            </w:r>
          </w:p>
        </w:tc>
        <w:tc>
          <w:tcPr>
            <w:tcW w:w="1049" w:type="pct"/>
            <w:shd w:val="clear" w:color="auto" w:fill="auto"/>
            <w:vAlign w:val="center"/>
          </w:tcPr>
          <w:p w:rsidR="00196661" w:rsidRPr="007D0E37" w:rsidRDefault="00196661" w:rsidP="00B56181">
            <w:pPr>
              <w:pStyle w:val="TableText"/>
              <w:keepNext w:val="0"/>
            </w:pPr>
            <w:r w:rsidRPr="007D0E37">
              <w:t>84/121 (69.4)</w:t>
            </w:r>
          </w:p>
        </w:tc>
        <w:tc>
          <w:tcPr>
            <w:tcW w:w="864" w:type="pct"/>
            <w:shd w:val="clear" w:color="auto" w:fill="auto"/>
            <w:vAlign w:val="center"/>
          </w:tcPr>
          <w:p w:rsidR="00196661" w:rsidRPr="007D0E37" w:rsidRDefault="00196661" w:rsidP="00B56181">
            <w:pPr>
              <w:pStyle w:val="TableText"/>
              <w:keepNext w:val="0"/>
            </w:pPr>
            <w:r w:rsidRPr="007D0E37">
              <w:t>45/121 (37.2)</w:t>
            </w:r>
          </w:p>
        </w:tc>
        <w:tc>
          <w:tcPr>
            <w:tcW w:w="854" w:type="pct"/>
            <w:shd w:val="clear" w:color="auto" w:fill="auto"/>
          </w:tcPr>
          <w:p w:rsidR="00196661" w:rsidRPr="00F86D7A" w:rsidRDefault="00F86D7A" w:rsidP="00B56181">
            <w:pPr>
              <w:pStyle w:val="TableText"/>
              <w:keepNext w:val="0"/>
              <w:ind w:left="-31" w:right="-91"/>
              <w:rPr>
                <w:b/>
                <w:highlight w:val="black"/>
              </w:rPr>
            </w:pPr>
            <w:r>
              <w:rPr>
                <w:b/>
                <w:noProof/>
                <w:color w:val="000000"/>
                <w:highlight w:val="black"/>
              </w:rPr>
              <w:t>'''''''''' ''''''''''' ''''''''''</w:t>
            </w:r>
          </w:p>
        </w:tc>
      </w:tr>
      <w:tr w:rsidR="00196661" w:rsidRPr="007D0E37" w:rsidTr="00B56181">
        <w:tc>
          <w:tcPr>
            <w:tcW w:w="760" w:type="pct"/>
            <w:tcBorders>
              <w:top w:val="nil"/>
              <w:bottom w:val="nil"/>
            </w:tcBorders>
          </w:tcPr>
          <w:p w:rsidR="00196661" w:rsidRPr="007D0E37" w:rsidRDefault="00196661" w:rsidP="00B56181">
            <w:pPr>
              <w:pStyle w:val="TableText"/>
              <w:ind w:left="-39" w:right="-33"/>
            </w:pPr>
          </w:p>
        </w:tc>
        <w:tc>
          <w:tcPr>
            <w:tcW w:w="1473" w:type="pct"/>
            <w:shd w:val="clear" w:color="auto" w:fill="auto"/>
            <w:vAlign w:val="center"/>
          </w:tcPr>
          <w:p w:rsidR="00196661" w:rsidRPr="007D0E37" w:rsidRDefault="00196661" w:rsidP="00B56181">
            <w:pPr>
              <w:pStyle w:val="TableText"/>
              <w:ind w:left="-31" w:right="-91"/>
            </w:pPr>
            <w:r w:rsidRPr="007D0E37">
              <w:t>ACT 2</w:t>
            </w:r>
          </w:p>
        </w:tc>
        <w:tc>
          <w:tcPr>
            <w:tcW w:w="1049" w:type="pct"/>
            <w:shd w:val="clear" w:color="auto" w:fill="auto"/>
            <w:vAlign w:val="center"/>
          </w:tcPr>
          <w:p w:rsidR="00196661" w:rsidRPr="007D0E37" w:rsidRDefault="00196661" w:rsidP="00B56181">
            <w:pPr>
              <w:pStyle w:val="TableText"/>
              <w:keepNext w:val="0"/>
            </w:pPr>
            <w:r w:rsidRPr="007D0E37">
              <w:t>78/121 (64.5)</w:t>
            </w:r>
          </w:p>
        </w:tc>
        <w:tc>
          <w:tcPr>
            <w:tcW w:w="864" w:type="pct"/>
            <w:shd w:val="clear" w:color="auto" w:fill="auto"/>
            <w:vAlign w:val="center"/>
          </w:tcPr>
          <w:p w:rsidR="00196661" w:rsidRPr="007D0E37" w:rsidRDefault="00196661" w:rsidP="00B56181">
            <w:pPr>
              <w:pStyle w:val="TableText"/>
              <w:keepNext w:val="0"/>
            </w:pPr>
            <w:r w:rsidRPr="007D0E37">
              <w:t>36/123 (29.3)</w:t>
            </w:r>
          </w:p>
        </w:tc>
        <w:tc>
          <w:tcPr>
            <w:tcW w:w="854" w:type="pct"/>
            <w:shd w:val="clear" w:color="auto" w:fill="auto"/>
          </w:tcPr>
          <w:p w:rsidR="00196661" w:rsidRPr="00F86D7A" w:rsidRDefault="00F86D7A" w:rsidP="00B56181">
            <w:pPr>
              <w:pStyle w:val="TableText"/>
              <w:keepNext w:val="0"/>
              <w:ind w:left="-31" w:right="-91"/>
              <w:rPr>
                <w:b/>
                <w:highlight w:val="black"/>
              </w:rPr>
            </w:pPr>
            <w:r>
              <w:rPr>
                <w:b/>
                <w:noProof/>
                <w:color w:val="000000"/>
                <w:highlight w:val="black"/>
              </w:rPr>
              <w:t>''''''''' '''''''''' '''''''''''</w:t>
            </w:r>
          </w:p>
        </w:tc>
      </w:tr>
      <w:tr w:rsidR="00196661" w:rsidRPr="007D0E37" w:rsidTr="00B56181">
        <w:tc>
          <w:tcPr>
            <w:tcW w:w="760" w:type="pct"/>
            <w:tcBorders>
              <w:top w:val="nil"/>
              <w:bottom w:val="single" w:sz="4" w:space="0" w:color="auto"/>
            </w:tcBorders>
          </w:tcPr>
          <w:p w:rsidR="00196661" w:rsidRPr="007D0E37" w:rsidRDefault="00196661" w:rsidP="00B56181">
            <w:pPr>
              <w:pStyle w:val="TableText"/>
              <w:ind w:left="-39" w:right="-33"/>
            </w:pPr>
            <w:r w:rsidRPr="007D0E37">
              <w:t>Meta-analysis</w:t>
            </w:r>
          </w:p>
        </w:tc>
        <w:tc>
          <w:tcPr>
            <w:tcW w:w="1473" w:type="pct"/>
            <w:shd w:val="clear" w:color="auto" w:fill="auto"/>
          </w:tcPr>
          <w:p w:rsidR="00196661" w:rsidRPr="007D0E37" w:rsidRDefault="00196661" w:rsidP="00B56181">
            <w:pPr>
              <w:pStyle w:val="TableText"/>
              <w:ind w:left="-31" w:right="-91"/>
            </w:pPr>
            <w:r w:rsidRPr="007D0E37">
              <w:t>ACT 1, ACT 2</w:t>
            </w:r>
          </w:p>
        </w:tc>
        <w:tc>
          <w:tcPr>
            <w:tcW w:w="1049" w:type="pct"/>
            <w:shd w:val="clear" w:color="auto" w:fill="auto"/>
          </w:tcPr>
          <w:p w:rsidR="00196661" w:rsidRPr="007D0E37" w:rsidRDefault="00196661" w:rsidP="00B56181">
            <w:pPr>
              <w:spacing w:before="0" w:after="0"/>
              <w:ind w:left="-31" w:right="-91"/>
              <w:rPr>
                <w:rFonts w:ascii="Arial Narrow" w:hAnsi="Arial Narrow"/>
                <w:color w:val="000000"/>
                <w:sz w:val="20"/>
                <w:szCs w:val="20"/>
              </w:rPr>
            </w:pPr>
          </w:p>
        </w:tc>
        <w:tc>
          <w:tcPr>
            <w:tcW w:w="864" w:type="pct"/>
            <w:shd w:val="clear" w:color="auto" w:fill="auto"/>
          </w:tcPr>
          <w:p w:rsidR="00196661" w:rsidRPr="007D0E37" w:rsidRDefault="00196661" w:rsidP="00B56181">
            <w:pPr>
              <w:spacing w:before="0" w:after="0"/>
              <w:ind w:left="-31" w:right="-91"/>
              <w:rPr>
                <w:rFonts w:ascii="Arial Narrow" w:hAnsi="Arial Narrow"/>
                <w:color w:val="000000"/>
                <w:sz w:val="20"/>
                <w:szCs w:val="20"/>
              </w:rPr>
            </w:pPr>
          </w:p>
        </w:tc>
        <w:tc>
          <w:tcPr>
            <w:tcW w:w="854" w:type="pct"/>
            <w:shd w:val="clear" w:color="auto" w:fill="auto"/>
          </w:tcPr>
          <w:p w:rsidR="00196661" w:rsidRPr="00F86D7A" w:rsidRDefault="00F86D7A" w:rsidP="00B56181">
            <w:pPr>
              <w:spacing w:before="0" w:after="0"/>
              <w:ind w:left="-31" w:right="-91"/>
              <w:rPr>
                <w:rFonts w:ascii="Arial Narrow" w:hAnsi="Arial Narrow"/>
                <w:color w:val="000000"/>
                <w:sz w:val="20"/>
                <w:szCs w:val="20"/>
                <w:highlight w:val="black"/>
              </w:rPr>
            </w:pPr>
            <w:r>
              <w:rPr>
                <w:rFonts w:ascii="Arial Narrow" w:hAnsi="Arial Narrow"/>
                <w:noProof/>
                <w:color w:val="000000"/>
                <w:sz w:val="20"/>
                <w:szCs w:val="20"/>
                <w:highlight w:val="black"/>
              </w:rPr>
              <w:t>'''''''''' ''''''''''''''''</w:t>
            </w:r>
          </w:p>
        </w:tc>
      </w:tr>
      <w:tr w:rsidR="00196661" w:rsidRPr="007D0E37" w:rsidTr="00B56181">
        <w:tc>
          <w:tcPr>
            <w:tcW w:w="760" w:type="pct"/>
            <w:tcBorders>
              <w:bottom w:val="nil"/>
            </w:tcBorders>
          </w:tcPr>
          <w:p w:rsidR="00196661" w:rsidRPr="007D0E37" w:rsidRDefault="00196661" w:rsidP="00B56181">
            <w:pPr>
              <w:pStyle w:val="TableText"/>
              <w:ind w:left="-39" w:right="-33"/>
            </w:pPr>
            <w:r w:rsidRPr="007D0E37">
              <w:t>ADA vs PBO</w:t>
            </w:r>
          </w:p>
        </w:tc>
        <w:tc>
          <w:tcPr>
            <w:tcW w:w="1473" w:type="pct"/>
            <w:shd w:val="clear" w:color="auto" w:fill="auto"/>
          </w:tcPr>
          <w:p w:rsidR="00196661" w:rsidRPr="007D0E37" w:rsidRDefault="00196661" w:rsidP="00B56181">
            <w:pPr>
              <w:pStyle w:val="TableText"/>
              <w:ind w:left="-31" w:right="-91"/>
            </w:pPr>
            <w:r w:rsidRPr="007D0E37">
              <w:t>ULTRA 1</w:t>
            </w:r>
          </w:p>
        </w:tc>
        <w:tc>
          <w:tcPr>
            <w:tcW w:w="1049" w:type="pct"/>
            <w:shd w:val="clear" w:color="auto" w:fill="auto"/>
            <w:vAlign w:val="center"/>
          </w:tcPr>
          <w:p w:rsidR="00196661" w:rsidRPr="007D0E37" w:rsidRDefault="00F86D7A" w:rsidP="00B56181">
            <w:pPr>
              <w:pStyle w:val="TableText"/>
              <w:keepNext w:val="0"/>
            </w:pPr>
            <w:r>
              <w:rPr>
                <w:noProof/>
                <w:color w:val="000000"/>
                <w:highlight w:val="black"/>
              </w:rPr>
              <w:t>'''''''''''''''''</w:t>
            </w:r>
            <w:r w:rsidR="00196661" w:rsidRPr="007D0E37">
              <w:t xml:space="preserve"> (54.6)</w:t>
            </w:r>
          </w:p>
        </w:tc>
        <w:tc>
          <w:tcPr>
            <w:tcW w:w="864" w:type="pct"/>
            <w:shd w:val="clear" w:color="auto" w:fill="auto"/>
            <w:vAlign w:val="center"/>
          </w:tcPr>
          <w:p w:rsidR="00196661" w:rsidRPr="007D0E37" w:rsidRDefault="00F86D7A" w:rsidP="00B56181">
            <w:pPr>
              <w:pStyle w:val="TableText"/>
              <w:keepNext w:val="0"/>
            </w:pPr>
            <w:r>
              <w:rPr>
                <w:noProof/>
                <w:color w:val="000000"/>
                <w:highlight w:val="black"/>
              </w:rPr>
              <w:t>''''''''''''''''''</w:t>
            </w:r>
            <w:r w:rsidR="00196661" w:rsidRPr="007D0E37">
              <w:t xml:space="preserve"> (44.6)</w:t>
            </w:r>
          </w:p>
        </w:tc>
        <w:tc>
          <w:tcPr>
            <w:tcW w:w="854" w:type="pct"/>
            <w:shd w:val="clear" w:color="auto" w:fill="auto"/>
          </w:tcPr>
          <w:p w:rsidR="00196661" w:rsidRPr="00F86D7A" w:rsidRDefault="00F86D7A" w:rsidP="00B56181">
            <w:pPr>
              <w:spacing w:before="0" w:after="0"/>
              <w:ind w:left="-31" w:right="-91"/>
              <w:rPr>
                <w:rFonts w:ascii="Arial Narrow" w:hAnsi="Arial Narrow"/>
                <w:color w:val="000000"/>
                <w:sz w:val="20"/>
                <w:szCs w:val="20"/>
                <w:highlight w:val="black"/>
              </w:rPr>
            </w:pPr>
            <w:r>
              <w:rPr>
                <w:rFonts w:ascii="Arial Narrow" w:hAnsi="Arial Narrow"/>
                <w:noProof/>
                <w:color w:val="000000"/>
                <w:sz w:val="20"/>
                <w:szCs w:val="20"/>
                <w:highlight w:val="black"/>
              </w:rPr>
              <w:t>''''''''''' '''''''''''''' '''''''''''</w:t>
            </w:r>
          </w:p>
        </w:tc>
      </w:tr>
      <w:tr w:rsidR="00196661" w:rsidRPr="007D0E37" w:rsidTr="00B56181">
        <w:tc>
          <w:tcPr>
            <w:tcW w:w="760" w:type="pct"/>
            <w:tcBorders>
              <w:top w:val="nil"/>
              <w:bottom w:val="nil"/>
            </w:tcBorders>
          </w:tcPr>
          <w:p w:rsidR="00196661" w:rsidRPr="007D0E37" w:rsidRDefault="00196661" w:rsidP="00B56181">
            <w:pPr>
              <w:pStyle w:val="TableText"/>
              <w:ind w:left="-39" w:right="-33"/>
            </w:pPr>
          </w:p>
        </w:tc>
        <w:tc>
          <w:tcPr>
            <w:tcW w:w="1473" w:type="pct"/>
            <w:shd w:val="clear" w:color="auto" w:fill="auto"/>
          </w:tcPr>
          <w:p w:rsidR="00196661" w:rsidRPr="007D0E37" w:rsidRDefault="00196661" w:rsidP="00B56181">
            <w:pPr>
              <w:pStyle w:val="TableText"/>
              <w:ind w:left="-31" w:right="-91"/>
            </w:pPr>
            <w:r w:rsidRPr="007D0E37">
              <w:t>ULTRA 2</w:t>
            </w:r>
          </w:p>
        </w:tc>
        <w:tc>
          <w:tcPr>
            <w:tcW w:w="1049" w:type="pct"/>
            <w:shd w:val="clear" w:color="auto" w:fill="auto"/>
            <w:vAlign w:val="center"/>
          </w:tcPr>
          <w:p w:rsidR="00196661" w:rsidRPr="007D0E37" w:rsidRDefault="00196661" w:rsidP="00B56181">
            <w:pPr>
              <w:pStyle w:val="TableText1"/>
              <w:keepNext w:val="0"/>
              <w:spacing w:before="0" w:after="0"/>
              <w:rPr>
                <w:color w:val="000000"/>
                <w:lang w:eastAsia="en-AU"/>
              </w:rPr>
            </w:pPr>
            <w:r w:rsidRPr="007D0E37">
              <w:rPr>
                <w:color w:val="000000"/>
                <w:lang w:eastAsia="en-AU"/>
              </w:rPr>
              <w:t>125/248 (50.4)</w:t>
            </w:r>
            <w:r w:rsidRPr="007D0E37">
              <w:rPr>
                <w:vertAlign w:val="superscript"/>
              </w:rPr>
              <w:t>b</w:t>
            </w:r>
          </w:p>
        </w:tc>
        <w:tc>
          <w:tcPr>
            <w:tcW w:w="864" w:type="pct"/>
            <w:shd w:val="clear" w:color="auto" w:fill="auto"/>
            <w:vAlign w:val="center"/>
          </w:tcPr>
          <w:p w:rsidR="00196661" w:rsidRPr="007D0E37" w:rsidRDefault="00196661" w:rsidP="00B56181">
            <w:pPr>
              <w:pStyle w:val="TableText1"/>
              <w:keepNext w:val="0"/>
              <w:spacing w:before="0" w:after="0"/>
              <w:rPr>
                <w:rFonts w:cs="Arial"/>
              </w:rPr>
            </w:pPr>
            <w:r w:rsidRPr="007D0E37">
              <w:rPr>
                <w:color w:val="000000"/>
                <w:lang w:eastAsia="en-AU"/>
              </w:rPr>
              <w:t>85/246 (34.6)</w:t>
            </w:r>
            <w:r w:rsidRPr="007D0E37">
              <w:rPr>
                <w:vertAlign w:val="superscript"/>
              </w:rPr>
              <w:t>c</w:t>
            </w:r>
          </w:p>
        </w:tc>
        <w:tc>
          <w:tcPr>
            <w:tcW w:w="854" w:type="pct"/>
            <w:shd w:val="clear" w:color="auto" w:fill="auto"/>
          </w:tcPr>
          <w:p w:rsidR="00196661" w:rsidRPr="00F86D7A" w:rsidRDefault="00F86D7A" w:rsidP="00B56181">
            <w:pPr>
              <w:spacing w:before="0" w:after="0"/>
              <w:ind w:left="-31" w:right="-91"/>
              <w:rPr>
                <w:rFonts w:ascii="Arial Narrow" w:hAnsi="Arial Narrow"/>
                <w:b/>
                <w:color w:val="000000"/>
                <w:sz w:val="20"/>
                <w:szCs w:val="20"/>
                <w:highlight w:val="black"/>
              </w:rPr>
            </w:pPr>
            <w:r>
              <w:rPr>
                <w:rFonts w:ascii="Arial Narrow" w:hAnsi="Arial Narrow"/>
                <w:b/>
                <w:noProof/>
                <w:color w:val="000000"/>
                <w:sz w:val="20"/>
                <w:szCs w:val="20"/>
                <w:highlight w:val="black"/>
              </w:rPr>
              <w:t>''''''''' '''''''''''' ''''''''''</w:t>
            </w:r>
          </w:p>
        </w:tc>
      </w:tr>
      <w:tr w:rsidR="00196661" w:rsidRPr="007D0E37" w:rsidTr="00B56181">
        <w:tc>
          <w:tcPr>
            <w:tcW w:w="760" w:type="pct"/>
            <w:tcBorders>
              <w:top w:val="nil"/>
              <w:bottom w:val="nil"/>
            </w:tcBorders>
          </w:tcPr>
          <w:p w:rsidR="00196661" w:rsidRPr="007D0E37" w:rsidRDefault="00196661" w:rsidP="00B56181">
            <w:pPr>
              <w:pStyle w:val="TableText"/>
              <w:ind w:left="-39" w:right="-33"/>
            </w:pPr>
          </w:p>
        </w:tc>
        <w:tc>
          <w:tcPr>
            <w:tcW w:w="1473" w:type="pct"/>
            <w:shd w:val="clear" w:color="auto" w:fill="auto"/>
          </w:tcPr>
          <w:p w:rsidR="00196661" w:rsidRPr="007D0E37" w:rsidRDefault="00196661" w:rsidP="00B56181">
            <w:pPr>
              <w:pStyle w:val="TableText"/>
              <w:ind w:left="-31" w:right="-91"/>
            </w:pPr>
            <w:r w:rsidRPr="007D0E37">
              <w:t>ULTRA 2 (anti-TNF naïve)</w:t>
            </w:r>
          </w:p>
        </w:tc>
        <w:tc>
          <w:tcPr>
            <w:tcW w:w="1049" w:type="pct"/>
            <w:shd w:val="clear" w:color="auto" w:fill="auto"/>
            <w:vAlign w:val="bottom"/>
          </w:tcPr>
          <w:p w:rsidR="00196661" w:rsidRPr="007D0E37" w:rsidRDefault="00196661" w:rsidP="00B56181">
            <w:pPr>
              <w:pStyle w:val="TableText"/>
              <w:keepNext w:val="0"/>
            </w:pPr>
            <w:r w:rsidRPr="007D0E37">
              <w:t>89/150 (59.3)</w:t>
            </w:r>
          </w:p>
        </w:tc>
        <w:tc>
          <w:tcPr>
            <w:tcW w:w="864" w:type="pct"/>
            <w:shd w:val="clear" w:color="auto" w:fill="auto"/>
            <w:vAlign w:val="bottom"/>
          </w:tcPr>
          <w:p w:rsidR="00196661" w:rsidRPr="007D0E37" w:rsidRDefault="00196661" w:rsidP="00B56181">
            <w:pPr>
              <w:pStyle w:val="TableText"/>
              <w:keepNext w:val="0"/>
            </w:pPr>
            <w:r w:rsidRPr="007D0E37">
              <w:rPr>
                <w:color w:val="000000"/>
                <w:lang w:eastAsia="en-AU"/>
              </w:rPr>
              <w:t>56/145 (38.6)</w:t>
            </w:r>
          </w:p>
        </w:tc>
        <w:tc>
          <w:tcPr>
            <w:tcW w:w="854" w:type="pct"/>
            <w:shd w:val="clear" w:color="auto" w:fill="auto"/>
          </w:tcPr>
          <w:p w:rsidR="00196661" w:rsidRPr="00F86D7A" w:rsidRDefault="00F86D7A" w:rsidP="00B56181">
            <w:pPr>
              <w:spacing w:before="0" w:after="0"/>
              <w:rPr>
                <w:rFonts w:ascii="Arial Narrow" w:hAnsi="Arial Narrow"/>
                <w:b/>
                <w:color w:val="000000"/>
                <w:sz w:val="20"/>
                <w:szCs w:val="20"/>
                <w:highlight w:val="black"/>
              </w:rPr>
            </w:pPr>
            <w:r>
              <w:rPr>
                <w:rFonts w:ascii="Arial Narrow" w:hAnsi="Arial Narrow"/>
                <w:b/>
                <w:noProof/>
                <w:color w:val="000000"/>
                <w:sz w:val="20"/>
                <w:szCs w:val="20"/>
                <w:highlight w:val="black"/>
              </w:rPr>
              <w:t>'''''''' ''''''''''' ''''''''</w:t>
            </w:r>
          </w:p>
        </w:tc>
      </w:tr>
      <w:tr w:rsidR="00196661" w:rsidRPr="007D0E37" w:rsidTr="00B56181">
        <w:tc>
          <w:tcPr>
            <w:tcW w:w="760" w:type="pct"/>
            <w:tcBorders>
              <w:top w:val="nil"/>
              <w:bottom w:val="nil"/>
            </w:tcBorders>
          </w:tcPr>
          <w:p w:rsidR="00196661" w:rsidRPr="007D0E37" w:rsidRDefault="00196661" w:rsidP="00B56181">
            <w:pPr>
              <w:pStyle w:val="TableText"/>
              <w:ind w:left="-39" w:right="-33"/>
            </w:pPr>
          </w:p>
        </w:tc>
        <w:tc>
          <w:tcPr>
            <w:tcW w:w="1473" w:type="pct"/>
            <w:tcBorders>
              <w:bottom w:val="single" w:sz="4" w:space="0" w:color="auto"/>
            </w:tcBorders>
            <w:shd w:val="clear" w:color="auto" w:fill="auto"/>
          </w:tcPr>
          <w:p w:rsidR="00196661" w:rsidRPr="007D0E37" w:rsidRDefault="00196661" w:rsidP="00B56181">
            <w:pPr>
              <w:pStyle w:val="TableText"/>
              <w:ind w:left="-31" w:right="-91"/>
            </w:pPr>
            <w:r w:rsidRPr="007D0E37">
              <w:t>Suzuki 2014</w:t>
            </w:r>
          </w:p>
        </w:tc>
        <w:tc>
          <w:tcPr>
            <w:tcW w:w="1049" w:type="pct"/>
            <w:tcBorders>
              <w:bottom w:val="single" w:sz="4" w:space="0" w:color="auto"/>
            </w:tcBorders>
            <w:shd w:val="clear" w:color="auto" w:fill="auto"/>
          </w:tcPr>
          <w:p w:rsidR="00196661" w:rsidRPr="007D0E37" w:rsidRDefault="00F86D7A" w:rsidP="00B56181">
            <w:pPr>
              <w:pStyle w:val="TableText"/>
              <w:keepNext w:val="0"/>
            </w:pPr>
            <w:r>
              <w:rPr>
                <w:noProof/>
                <w:color w:val="000000"/>
                <w:highlight w:val="black"/>
              </w:rPr>
              <w:t>'''''''''''''</w:t>
            </w:r>
            <w:r w:rsidR="00196661" w:rsidRPr="007D0E37">
              <w:t xml:space="preserve"> (50.0)</w:t>
            </w:r>
          </w:p>
        </w:tc>
        <w:tc>
          <w:tcPr>
            <w:tcW w:w="864" w:type="pct"/>
            <w:tcBorders>
              <w:bottom w:val="single" w:sz="4" w:space="0" w:color="auto"/>
            </w:tcBorders>
            <w:shd w:val="clear" w:color="auto" w:fill="auto"/>
          </w:tcPr>
          <w:p w:rsidR="00196661" w:rsidRPr="007D0E37" w:rsidRDefault="00F86D7A" w:rsidP="00B56181">
            <w:pPr>
              <w:pStyle w:val="TableText"/>
              <w:keepNext w:val="0"/>
              <w:rPr>
                <w:rFonts w:cs="Arial"/>
              </w:rPr>
            </w:pPr>
            <w:r>
              <w:rPr>
                <w:noProof/>
                <w:color w:val="000000"/>
                <w:highlight w:val="black"/>
              </w:rPr>
              <w:t>''''''''''''''</w:t>
            </w:r>
            <w:r w:rsidR="00196661" w:rsidRPr="007D0E37">
              <w:t xml:space="preserve"> (35.4)</w:t>
            </w:r>
          </w:p>
        </w:tc>
        <w:tc>
          <w:tcPr>
            <w:tcW w:w="854" w:type="pct"/>
            <w:shd w:val="clear" w:color="auto" w:fill="auto"/>
            <w:vAlign w:val="center"/>
          </w:tcPr>
          <w:p w:rsidR="00196661" w:rsidRPr="00F86D7A" w:rsidRDefault="00F86D7A" w:rsidP="00B56181">
            <w:pPr>
              <w:pStyle w:val="TableText"/>
              <w:keepNext w:val="0"/>
              <w:ind w:right="-91"/>
              <w:rPr>
                <w:b/>
                <w:highlight w:val="black"/>
              </w:rPr>
            </w:pPr>
            <w:r>
              <w:rPr>
                <w:b/>
                <w:noProof/>
                <w:color w:val="000000"/>
                <w:highlight w:val="black"/>
              </w:rPr>
              <w:t>''''''''' '''''''''''' '''''''''</w:t>
            </w:r>
          </w:p>
        </w:tc>
      </w:tr>
      <w:tr w:rsidR="00196661" w:rsidRPr="007D0E37" w:rsidTr="00B56181">
        <w:tc>
          <w:tcPr>
            <w:tcW w:w="760" w:type="pct"/>
            <w:tcBorders>
              <w:top w:val="nil"/>
              <w:bottom w:val="nil"/>
            </w:tcBorders>
          </w:tcPr>
          <w:p w:rsidR="00196661" w:rsidRPr="007D0E37" w:rsidRDefault="00196661" w:rsidP="00B56181">
            <w:pPr>
              <w:pStyle w:val="TableText"/>
              <w:ind w:left="-39" w:right="-33"/>
            </w:pPr>
            <w:r w:rsidRPr="007D0E37">
              <w:t>Meta-analysis</w:t>
            </w:r>
          </w:p>
        </w:tc>
        <w:tc>
          <w:tcPr>
            <w:tcW w:w="1473" w:type="pct"/>
            <w:tcBorders>
              <w:bottom w:val="single" w:sz="4" w:space="0" w:color="auto"/>
              <w:right w:val="nil"/>
            </w:tcBorders>
            <w:shd w:val="clear" w:color="auto" w:fill="auto"/>
          </w:tcPr>
          <w:p w:rsidR="00196661" w:rsidRPr="007D0E37" w:rsidRDefault="00196661" w:rsidP="00B56181">
            <w:pPr>
              <w:pStyle w:val="TableText"/>
              <w:ind w:left="-31" w:right="-91"/>
            </w:pPr>
            <w:r w:rsidRPr="007D0E37">
              <w:t>ULTRA 1, ULTRA 2</w:t>
            </w:r>
          </w:p>
        </w:tc>
        <w:tc>
          <w:tcPr>
            <w:tcW w:w="1049" w:type="pct"/>
            <w:tcBorders>
              <w:left w:val="nil"/>
              <w:bottom w:val="single" w:sz="4" w:space="0" w:color="auto"/>
              <w:right w:val="nil"/>
            </w:tcBorders>
            <w:shd w:val="clear" w:color="auto" w:fill="auto"/>
          </w:tcPr>
          <w:p w:rsidR="00196661" w:rsidRPr="007D0E37" w:rsidRDefault="00196661" w:rsidP="00B56181">
            <w:pPr>
              <w:spacing w:before="0" w:after="0"/>
              <w:ind w:left="-31" w:right="-91"/>
              <w:rPr>
                <w:rFonts w:ascii="Arial Narrow" w:hAnsi="Arial Narrow"/>
                <w:color w:val="000000"/>
                <w:sz w:val="20"/>
                <w:szCs w:val="20"/>
              </w:rPr>
            </w:pPr>
          </w:p>
        </w:tc>
        <w:tc>
          <w:tcPr>
            <w:tcW w:w="864" w:type="pct"/>
            <w:tcBorders>
              <w:left w:val="nil"/>
              <w:bottom w:val="single" w:sz="4" w:space="0" w:color="auto"/>
            </w:tcBorders>
            <w:shd w:val="clear" w:color="auto" w:fill="auto"/>
          </w:tcPr>
          <w:p w:rsidR="00196661" w:rsidRPr="007D0E37" w:rsidRDefault="00196661" w:rsidP="00B56181">
            <w:pPr>
              <w:pStyle w:val="TableText"/>
              <w:ind w:left="-31" w:right="-91"/>
            </w:pPr>
          </w:p>
        </w:tc>
        <w:tc>
          <w:tcPr>
            <w:tcW w:w="854" w:type="pct"/>
            <w:shd w:val="clear" w:color="auto" w:fill="auto"/>
          </w:tcPr>
          <w:p w:rsidR="00196661" w:rsidRPr="00F86D7A" w:rsidRDefault="00F86D7A" w:rsidP="00B56181">
            <w:pPr>
              <w:pStyle w:val="TableText"/>
              <w:keepNext w:val="0"/>
              <w:ind w:left="-31" w:right="-91"/>
              <w:rPr>
                <w:highlight w:val="black"/>
              </w:rPr>
            </w:pPr>
            <w:r>
              <w:rPr>
                <w:noProof/>
                <w:color w:val="000000"/>
                <w:highlight w:val="black"/>
              </w:rPr>
              <w:t>''''''''''' '''''''''''''</w:t>
            </w:r>
          </w:p>
        </w:tc>
      </w:tr>
      <w:tr w:rsidR="00196661" w:rsidRPr="007D0E37" w:rsidTr="00B56181">
        <w:tc>
          <w:tcPr>
            <w:tcW w:w="760" w:type="pct"/>
            <w:tcBorders>
              <w:top w:val="nil"/>
              <w:bottom w:val="nil"/>
            </w:tcBorders>
          </w:tcPr>
          <w:p w:rsidR="00196661" w:rsidRPr="007D0E37" w:rsidRDefault="00196661" w:rsidP="00B56181">
            <w:pPr>
              <w:pStyle w:val="TableText"/>
              <w:ind w:left="-39" w:right="-33"/>
            </w:pPr>
          </w:p>
        </w:tc>
        <w:tc>
          <w:tcPr>
            <w:tcW w:w="1473" w:type="pct"/>
            <w:tcBorders>
              <w:bottom w:val="single" w:sz="4" w:space="0" w:color="auto"/>
              <w:right w:val="nil"/>
            </w:tcBorders>
            <w:shd w:val="clear" w:color="auto" w:fill="auto"/>
          </w:tcPr>
          <w:p w:rsidR="00196661" w:rsidRPr="007D0E37" w:rsidRDefault="00196661" w:rsidP="00B56181">
            <w:pPr>
              <w:pStyle w:val="TableText"/>
              <w:ind w:left="-31" w:right="-91"/>
            </w:pPr>
            <w:r w:rsidRPr="007D0E37">
              <w:t>ULTRA 1, ULTRA 2 (anti-TNF naïve)</w:t>
            </w:r>
          </w:p>
        </w:tc>
        <w:tc>
          <w:tcPr>
            <w:tcW w:w="1049" w:type="pct"/>
            <w:tcBorders>
              <w:left w:val="nil"/>
              <w:bottom w:val="single" w:sz="4" w:space="0" w:color="auto"/>
              <w:right w:val="nil"/>
            </w:tcBorders>
            <w:shd w:val="clear" w:color="auto" w:fill="auto"/>
          </w:tcPr>
          <w:p w:rsidR="00196661" w:rsidRPr="007D0E37" w:rsidRDefault="00196661" w:rsidP="00B56181">
            <w:pPr>
              <w:spacing w:before="0" w:after="0"/>
              <w:ind w:left="-31" w:right="-91"/>
              <w:rPr>
                <w:rFonts w:ascii="Arial Narrow" w:hAnsi="Arial Narrow"/>
                <w:color w:val="000000"/>
                <w:sz w:val="20"/>
                <w:szCs w:val="20"/>
              </w:rPr>
            </w:pPr>
          </w:p>
        </w:tc>
        <w:tc>
          <w:tcPr>
            <w:tcW w:w="864" w:type="pct"/>
            <w:tcBorders>
              <w:left w:val="nil"/>
              <w:bottom w:val="single" w:sz="4" w:space="0" w:color="auto"/>
            </w:tcBorders>
            <w:shd w:val="clear" w:color="auto" w:fill="auto"/>
          </w:tcPr>
          <w:p w:rsidR="00196661" w:rsidRPr="007D0E37" w:rsidRDefault="00196661" w:rsidP="00B56181">
            <w:pPr>
              <w:pStyle w:val="TableText"/>
              <w:ind w:left="-31" w:right="-91"/>
            </w:pPr>
          </w:p>
        </w:tc>
        <w:tc>
          <w:tcPr>
            <w:tcW w:w="854" w:type="pct"/>
            <w:shd w:val="clear" w:color="auto" w:fill="auto"/>
          </w:tcPr>
          <w:p w:rsidR="00196661" w:rsidRPr="00F86D7A" w:rsidRDefault="00F86D7A" w:rsidP="00B56181">
            <w:pPr>
              <w:pStyle w:val="TableText"/>
              <w:keepNext w:val="0"/>
              <w:ind w:left="-31" w:right="-91"/>
              <w:rPr>
                <w:highlight w:val="black"/>
              </w:rPr>
            </w:pPr>
            <w:r>
              <w:rPr>
                <w:noProof/>
                <w:color w:val="000000"/>
                <w:highlight w:val="black"/>
              </w:rPr>
              <w:t>''''''''''' '''''''''''''</w:t>
            </w:r>
          </w:p>
        </w:tc>
      </w:tr>
      <w:tr w:rsidR="00196661" w:rsidRPr="007D0E37" w:rsidTr="00B56181">
        <w:tc>
          <w:tcPr>
            <w:tcW w:w="760" w:type="pct"/>
            <w:tcBorders>
              <w:top w:val="nil"/>
              <w:bottom w:val="nil"/>
            </w:tcBorders>
          </w:tcPr>
          <w:p w:rsidR="00196661" w:rsidRPr="007D0E37" w:rsidRDefault="00196661" w:rsidP="00B56181">
            <w:pPr>
              <w:pStyle w:val="TableText"/>
              <w:ind w:left="-39" w:right="-33"/>
            </w:pPr>
          </w:p>
        </w:tc>
        <w:tc>
          <w:tcPr>
            <w:tcW w:w="1473" w:type="pct"/>
            <w:tcBorders>
              <w:bottom w:val="single" w:sz="4" w:space="0" w:color="auto"/>
              <w:right w:val="nil"/>
            </w:tcBorders>
            <w:shd w:val="clear" w:color="auto" w:fill="auto"/>
          </w:tcPr>
          <w:p w:rsidR="00196661" w:rsidRPr="007D0E37" w:rsidRDefault="00196661" w:rsidP="00B56181">
            <w:pPr>
              <w:pStyle w:val="TableText"/>
              <w:ind w:left="-31" w:right="-91"/>
            </w:pPr>
            <w:r w:rsidRPr="007D0E37">
              <w:t>ULTRA 1, ULTRA 2, Suzuki 2014</w:t>
            </w:r>
          </w:p>
        </w:tc>
        <w:tc>
          <w:tcPr>
            <w:tcW w:w="1049" w:type="pct"/>
            <w:tcBorders>
              <w:left w:val="nil"/>
              <w:bottom w:val="single" w:sz="4" w:space="0" w:color="auto"/>
              <w:right w:val="nil"/>
            </w:tcBorders>
            <w:shd w:val="clear" w:color="auto" w:fill="auto"/>
          </w:tcPr>
          <w:p w:rsidR="00196661" w:rsidRPr="007D0E37" w:rsidRDefault="00196661" w:rsidP="00B56181">
            <w:pPr>
              <w:spacing w:before="0" w:after="0"/>
              <w:ind w:left="-31" w:right="-91"/>
              <w:rPr>
                <w:rFonts w:ascii="Arial Narrow" w:hAnsi="Arial Narrow"/>
                <w:color w:val="000000"/>
                <w:sz w:val="20"/>
                <w:szCs w:val="20"/>
              </w:rPr>
            </w:pPr>
          </w:p>
        </w:tc>
        <w:tc>
          <w:tcPr>
            <w:tcW w:w="864" w:type="pct"/>
            <w:tcBorders>
              <w:left w:val="nil"/>
              <w:bottom w:val="single" w:sz="4" w:space="0" w:color="auto"/>
            </w:tcBorders>
            <w:shd w:val="clear" w:color="auto" w:fill="auto"/>
          </w:tcPr>
          <w:p w:rsidR="00196661" w:rsidRPr="007D0E37" w:rsidRDefault="00196661" w:rsidP="00B56181">
            <w:pPr>
              <w:pStyle w:val="TableText1"/>
              <w:keepNext w:val="0"/>
              <w:spacing w:before="0" w:after="0"/>
            </w:pPr>
          </w:p>
        </w:tc>
        <w:tc>
          <w:tcPr>
            <w:tcW w:w="854" w:type="pct"/>
            <w:shd w:val="clear" w:color="auto" w:fill="auto"/>
          </w:tcPr>
          <w:p w:rsidR="00196661" w:rsidRPr="00F86D7A" w:rsidRDefault="00F86D7A" w:rsidP="00B56181">
            <w:pPr>
              <w:pStyle w:val="TableText"/>
              <w:keepNext w:val="0"/>
              <w:ind w:left="-31" w:right="-91"/>
              <w:rPr>
                <w:highlight w:val="black"/>
              </w:rPr>
            </w:pPr>
            <w:r>
              <w:rPr>
                <w:noProof/>
                <w:color w:val="000000"/>
                <w:highlight w:val="black"/>
              </w:rPr>
              <w:t>'''''''''' ''''''''''''''</w:t>
            </w:r>
          </w:p>
        </w:tc>
      </w:tr>
      <w:tr w:rsidR="00196661" w:rsidRPr="007D0E37" w:rsidTr="00B56181">
        <w:tc>
          <w:tcPr>
            <w:tcW w:w="760" w:type="pct"/>
            <w:tcBorders>
              <w:top w:val="nil"/>
            </w:tcBorders>
          </w:tcPr>
          <w:p w:rsidR="00196661" w:rsidRPr="007D0E37" w:rsidRDefault="00196661" w:rsidP="00B56181">
            <w:pPr>
              <w:pStyle w:val="TableText"/>
              <w:ind w:left="-39" w:right="-33"/>
            </w:pPr>
          </w:p>
        </w:tc>
        <w:tc>
          <w:tcPr>
            <w:tcW w:w="1473" w:type="pct"/>
            <w:tcBorders>
              <w:right w:val="nil"/>
            </w:tcBorders>
            <w:shd w:val="clear" w:color="auto" w:fill="auto"/>
          </w:tcPr>
          <w:p w:rsidR="00196661" w:rsidRPr="007D0E37" w:rsidRDefault="00196661" w:rsidP="00B56181">
            <w:pPr>
              <w:pStyle w:val="TableText"/>
              <w:ind w:left="-31" w:right="-91"/>
            </w:pPr>
            <w:r w:rsidRPr="007D0E37">
              <w:t>ULTRA 1, ULTRA 2 (anti-TNF naïve), Suzuki 2014</w:t>
            </w:r>
          </w:p>
        </w:tc>
        <w:tc>
          <w:tcPr>
            <w:tcW w:w="1049" w:type="pct"/>
            <w:tcBorders>
              <w:left w:val="nil"/>
              <w:right w:val="nil"/>
            </w:tcBorders>
            <w:shd w:val="clear" w:color="auto" w:fill="auto"/>
          </w:tcPr>
          <w:p w:rsidR="00196661" w:rsidRPr="007D0E37" w:rsidRDefault="00196661" w:rsidP="00B56181">
            <w:pPr>
              <w:spacing w:before="0" w:after="0"/>
              <w:ind w:left="-31" w:right="-91"/>
              <w:rPr>
                <w:rFonts w:ascii="Arial Narrow" w:hAnsi="Arial Narrow"/>
                <w:color w:val="000000"/>
                <w:sz w:val="20"/>
                <w:szCs w:val="20"/>
              </w:rPr>
            </w:pPr>
          </w:p>
        </w:tc>
        <w:tc>
          <w:tcPr>
            <w:tcW w:w="864" w:type="pct"/>
            <w:tcBorders>
              <w:left w:val="nil"/>
            </w:tcBorders>
            <w:shd w:val="clear" w:color="auto" w:fill="auto"/>
          </w:tcPr>
          <w:p w:rsidR="00196661" w:rsidRPr="007D0E37" w:rsidRDefault="00196661" w:rsidP="00B56181">
            <w:pPr>
              <w:pStyle w:val="TableText1"/>
              <w:keepNext w:val="0"/>
              <w:spacing w:before="0" w:after="0"/>
            </w:pPr>
          </w:p>
        </w:tc>
        <w:tc>
          <w:tcPr>
            <w:tcW w:w="854" w:type="pct"/>
            <w:shd w:val="clear" w:color="auto" w:fill="auto"/>
          </w:tcPr>
          <w:p w:rsidR="00196661" w:rsidRPr="00F86D7A" w:rsidRDefault="00F86D7A" w:rsidP="00B56181">
            <w:pPr>
              <w:pStyle w:val="TableText"/>
              <w:keepNext w:val="0"/>
              <w:ind w:left="-31" w:right="-91"/>
              <w:rPr>
                <w:highlight w:val="black"/>
              </w:rPr>
            </w:pPr>
            <w:r>
              <w:rPr>
                <w:noProof/>
                <w:color w:val="000000"/>
                <w:highlight w:val="black"/>
              </w:rPr>
              <w:t>''''''''''' '''''''''''''</w:t>
            </w:r>
          </w:p>
        </w:tc>
      </w:tr>
      <w:tr w:rsidR="00196661" w:rsidRPr="007D0E37" w:rsidTr="00B56181">
        <w:tc>
          <w:tcPr>
            <w:tcW w:w="760" w:type="pct"/>
            <w:tcBorders>
              <w:top w:val="nil"/>
              <w:bottom w:val="single" w:sz="4" w:space="0" w:color="auto"/>
            </w:tcBorders>
          </w:tcPr>
          <w:p w:rsidR="00196661" w:rsidRPr="007D0E37" w:rsidRDefault="00196661" w:rsidP="00B56181">
            <w:pPr>
              <w:pStyle w:val="TableText"/>
              <w:ind w:left="-39" w:right="-33"/>
            </w:pPr>
            <w:r w:rsidRPr="007D0E37">
              <w:t>VDZ vs PBO</w:t>
            </w:r>
          </w:p>
        </w:tc>
        <w:tc>
          <w:tcPr>
            <w:tcW w:w="1473" w:type="pct"/>
            <w:tcBorders>
              <w:bottom w:val="single" w:sz="4" w:space="0" w:color="auto"/>
            </w:tcBorders>
            <w:shd w:val="clear" w:color="auto" w:fill="auto"/>
          </w:tcPr>
          <w:p w:rsidR="00196661" w:rsidRPr="007D0E37" w:rsidRDefault="00196661" w:rsidP="00B56181">
            <w:pPr>
              <w:pStyle w:val="TableText"/>
              <w:ind w:left="-31" w:right="-91"/>
            </w:pPr>
            <w:r w:rsidRPr="007D0E37">
              <w:t>GEMINI 1</w:t>
            </w:r>
          </w:p>
        </w:tc>
        <w:tc>
          <w:tcPr>
            <w:tcW w:w="1049" w:type="pct"/>
            <w:tcBorders>
              <w:bottom w:val="single" w:sz="4" w:space="0" w:color="auto"/>
            </w:tcBorders>
            <w:shd w:val="clear" w:color="auto" w:fill="auto"/>
            <w:vAlign w:val="center"/>
          </w:tcPr>
          <w:p w:rsidR="00196661" w:rsidRPr="007D0E37" w:rsidRDefault="00196661" w:rsidP="00B56181">
            <w:pPr>
              <w:pStyle w:val="TableText"/>
              <w:keepNext w:val="0"/>
              <w:ind w:left="-31" w:right="-91"/>
            </w:pPr>
            <w:r w:rsidRPr="007D0E37">
              <w:rPr>
                <w:rFonts w:cs="Arial"/>
              </w:rPr>
              <w:t>106/225 (47.1)</w:t>
            </w:r>
          </w:p>
        </w:tc>
        <w:tc>
          <w:tcPr>
            <w:tcW w:w="864" w:type="pct"/>
            <w:tcBorders>
              <w:bottom w:val="single" w:sz="4" w:space="0" w:color="auto"/>
            </w:tcBorders>
            <w:shd w:val="clear" w:color="auto" w:fill="auto"/>
            <w:vAlign w:val="center"/>
          </w:tcPr>
          <w:p w:rsidR="00196661" w:rsidRPr="007D0E37" w:rsidRDefault="00196661" w:rsidP="00B56181">
            <w:pPr>
              <w:pStyle w:val="TableText"/>
              <w:keepNext w:val="0"/>
              <w:ind w:left="-31" w:right="-91"/>
            </w:pPr>
            <w:r w:rsidRPr="007D0E37">
              <w:rPr>
                <w:rFonts w:cs="Arial"/>
              </w:rPr>
              <w:t>38/149 (25.5)</w:t>
            </w:r>
          </w:p>
        </w:tc>
        <w:tc>
          <w:tcPr>
            <w:tcW w:w="854" w:type="pct"/>
            <w:tcBorders>
              <w:bottom w:val="single" w:sz="4" w:space="0" w:color="auto"/>
            </w:tcBorders>
            <w:shd w:val="clear" w:color="auto" w:fill="auto"/>
          </w:tcPr>
          <w:p w:rsidR="00196661" w:rsidRPr="00F86D7A" w:rsidRDefault="00F86D7A" w:rsidP="00B56181">
            <w:pPr>
              <w:spacing w:before="0" w:after="0"/>
              <w:ind w:left="-31" w:right="-91"/>
              <w:rPr>
                <w:rFonts w:ascii="Arial Narrow" w:hAnsi="Arial Narrow"/>
                <w:b/>
                <w:color w:val="000000"/>
                <w:sz w:val="20"/>
                <w:szCs w:val="20"/>
                <w:highlight w:val="black"/>
              </w:rPr>
            </w:pPr>
            <w:r>
              <w:rPr>
                <w:rFonts w:ascii="Arial Narrow" w:hAnsi="Arial Narrow"/>
                <w:b/>
                <w:noProof/>
                <w:color w:val="000000"/>
                <w:sz w:val="20"/>
                <w:szCs w:val="20"/>
                <w:highlight w:val="black"/>
              </w:rPr>
              <w:t>''''''''' '''''''''' '''''''''''</w:t>
            </w:r>
          </w:p>
        </w:tc>
      </w:tr>
      <w:tr w:rsidR="00196661" w:rsidRPr="007D0E37" w:rsidTr="00AE22D9">
        <w:tc>
          <w:tcPr>
            <w:tcW w:w="4146" w:type="pct"/>
            <w:gridSpan w:val="4"/>
            <w:tcBorders>
              <w:right w:val="nil"/>
            </w:tcBorders>
          </w:tcPr>
          <w:p w:rsidR="00196661" w:rsidRPr="007D0E37" w:rsidRDefault="00196661" w:rsidP="00B56181">
            <w:pPr>
              <w:pStyle w:val="TableText"/>
              <w:ind w:left="-31" w:right="-91"/>
            </w:pPr>
            <w:r w:rsidRPr="007D0E37">
              <w:t>Indirect estimate of effect adjusted for the common reference (GOL vs IFX)</w:t>
            </w:r>
          </w:p>
        </w:tc>
        <w:tc>
          <w:tcPr>
            <w:tcW w:w="854" w:type="pct"/>
            <w:tcBorders>
              <w:left w:val="nil"/>
              <w:right w:val="single" w:sz="4" w:space="0" w:color="auto"/>
            </w:tcBorders>
            <w:shd w:val="clear" w:color="auto" w:fill="auto"/>
          </w:tcPr>
          <w:p w:rsidR="00196661" w:rsidRPr="00F86D7A" w:rsidRDefault="00196661" w:rsidP="00B56181">
            <w:pPr>
              <w:spacing w:before="0" w:after="0"/>
              <w:ind w:left="-31" w:right="-91"/>
              <w:rPr>
                <w:rFonts w:ascii="Arial Narrow" w:hAnsi="Arial Narrow"/>
                <w:color w:val="000000"/>
                <w:sz w:val="20"/>
                <w:szCs w:val="20"/>
              </w:rPr>
            </w:pPr>
          </w:p>
        </w:tc>
      </w:tr>
      <w:tr w:rsidR="00196661" w:rsidRPr="007D0E37" w:rsidTr="00B56181">
        <w:tc>
          <w:tcPr>
            <w:tcW w:w="4146" w:type="pct"/>
            <w:gridSpan w:val="4"/>
            <w:tcBorders>
              <w:bottom w:val="single" w:sz="4" w:space="0" w:color="auto"/>
            </w:tcBorders>
          </w:tcPr>
          <w:p w:rsidR="00196661" w:rsidRPr="007D0E37" w:rsidRDefault="00196661" w:rsidP="00B56181">
            <w:pPr>
              <w:pStyle w:val="TableText"/>
              <w:ind w:left="175" w:right="-91"/>
            </w:pPr>
            <w:r w:rsidRPr="007D0E37">
              <w:t>Using trial results: PURSUIT-SC, ACT1, ACT 2</w:t>
            </w:r>
          </w:p>
        </w:tc>
        <w:tc>
          <w:tcPr>
            <w:tcW w:w="854" w:type="pct"/>
            <w:tcBorders>
              <w:bottom w:val="single" w:sz="4" w:space="0" w:color="auto"/>
            </w:tcBorders>
            <w:shd w:val="clear" w:color="auto" w:fill="auto"/>
          </w:tcPr>
          <w:p w:rsidR="00196661" w:rsidRPr="00F86D7A" w:rsidRDefault="00F86D7A" w:rsidP="00B56181">
            <w:pPr>
              <w:spacing w:before="0" w:after="0"/>
              <w:ind w:left="-31" w:right="-91"/>
              <w:rPr>
                <w:rFonts w:ascii="Arial Narrow" w:hAnsi="Arial Narrow"/>
                <w:b/>
                <w:color w:val="000000"/>
                <w:sz w:val="20"/>
                <w:szCs w:val="20"/>
                <w:highlight w:val="black"/>
              </w:rPr>
            </w:pPr>
            <w:r>
              <w:rPr>
                <w:rFonts w:ascii="Arial Narrow" w:hAnsi="Arial Narrow"/>
                <w:b/>
                <w:noProof/>
                <w:color w:val="000000"/>
                <w:sz w:val="20"/>
                <w:szCs w:val="20"/>
                <w:highlight w:val="black"/>
              </w:rPr>
              <w:t>'''''''' ''''''''''' '''''''''</w:t>
            </w:r>
          </w:p>
        </w:tc>
      </w:tr>
      <w:tr w:rsidR="00196661" w:rsidRPr="007D0E37" w:rsidTr="00AE22D9">
        <w:tc>
          <w:tcPr>
            <w:tcW w:w="4146" w:type="pct"/>
            <w:gridSpan w:val="4"/>
            <w:tcBorders>
              <w:right w:val="nil"/>
            </w:tcBorders>
          </w:tcPr>
          <w:p w:rsidR="00196661" w:rsidRPr="007D0E37" w:rsidRDefault="00196661" w:rsidP="00B56181">
            <w:pPr>
              <w:pStyle w:val="TableText"/>
              <w:ind w:left="-31" w:right="-91"/>
            </w:pPr>
            <w:r w:rsidRPr="007D0E37">
              <w:t>Indirect estimate of effect adjusted for the common reference (GOL vs ADA)</w:t>
            </w:r>
          </w:p>
        </w:tc>
        <w:tc>
          <w:tcPr>
            <w:tcW w:w="854" w:type="pct"/>
            <w:tcBorders>
              <w:left w:val="nil"/>
              <w:right w:val="single" w:sz="4" w:space="0" w:color="auto"/>
            </w:tcBorders>
            <w:shd w:val="clear" w:color="auto" w:fill="auto"/>
          </w:tcPr>
          <w:p w:rsidR="00196661" w:rsidRPr="00F86D7A" w:rsidRDefault="00196661" w:rsidP="00B56181">
            <w:pPr>
              <w:spacing w:before="0" w:after="0"/>
              <w:ind w:left="-31" w:right="-91"/>
              <w:rPr>
                <w:rFonts w:ascii="Arial Narrow" w:hAnsi="Arial Narrow"/>
                <w:color w:val="000000"/>
                <w:sz w:val="20"/>
                <w:szCs w:val="20"/>
              </w:rPr>
            </w:pPr>
          </w:p>
        </w:tc>
      </w:tr>
      <w:tr w:rsidR="00196661" w:rsidRPr="007D0E37" w:rsidTr="00B56181">
        <w:tc>
          <w:tcPr>
            <w:tcW w:w="4146" w:type="pct"/>
            <w:gridSpan w:val="4"/>
          </w:tcPr>
          <w:p w:rsidR="00196661" w:rsidRPr="007D0E37" w:rsidRDefault="00196661" w:rsidP="00B56181">
            <w:pPr>
              <w:pStyle w:val="TableText"/>
              <w:ind w:left="175" w:right="-91"/>
            </w:pPr>
            <w:r w:rsidRPr="007D0E37">
              <w:t>Using trial results: PURSUIT-SC, ULTRA 1, ULTRA 2</w:t>
            </w:r>
          </w:p>
        </w:tc>
        <w:tc>
          <w:tcPr>
            <w:tcW w:w="854" w:type="pct"/>
            <w:shd w:val="clear" w:color="auto" w:fill="auto"/>
          </w:tcPr>
          <w:p w:rsidR="00196661" w:rsidRPr="00F86D7A" w:rsidRDefault="00F86D7A" w:rsidP="00B56181">
            <w:pPr>
              <w:spacing w:before="0" w:after="0"/>
              <w:ind w:left="-31" w:right="-91"/>
              <w:rPr>
                <w:rFonts w:ascii="Arial Narrow" w:hAnsi="Arial Narrow"/>
                <w:color w:val="000000"/>
                <w:sz w:val="20"/>
                <w:szCs w:val="20"/>
                <w:highlight w:val="black"/>
              </w:rPr>
            </w:pPr>
            <w:r>
              <w:rPr>
                <w:rFonts w:ascii="Arial Narrow" w:hAnsi="Arial Narrow"/>
                <w:noProof/>
                <w:color w:val="000000"/>
                <w:sz w:val="20"/>
                <w:szCs w:val="20"/>
                <w:highlight w:val="black"/>
              </w:rPr>
              <w:t>''''''''''' ''''''''''''' ''''''''''''</w:t>
            </w:r>
          </w:p>
        </w:tc>
      </w:tr>
      <w:tr w:rsidR="00196661" w:rsidRPr="007D0E37" w:rsidTr="00B56181">
        <w:tc>
          <w:tcPr>
            <w:tcW w:w="4146" w:type="pct"/>
            <w:gridSpan w:val="4"/>
          </w:tcPr>
          <w:p w:rsidR="00196661" w:rsidRPr="007D0E37" w:rsidRDefault="00196661" w:rsidP="00B56181">
            <w:pPr>
              <w:pStyle w:val="TableText"/>
              <w:ind w:left="175" w:right="-91"/>
            </w:pPr>
            <w:r w:rsidRPr="007D0E37">
              <w:t>Using trial results: PURSUIT-SC, ULTRA 1, ULTRA 2 (anti-TNF naïve)</w:t>
            </w:r>
          </w:p>
        </w:tc>
        <w:tc>
          <w:tcPr>
            <w:tcW w:w="854" w:type="pct"/>
            <w:shd w:val="clear" w:color="auto" w:fill="auto"/>
          </w:tcPr>
          <w:p w:rsidR="00196661" w:rsidRPr="00F86D7A" w:rsidRDefault="00F86D7A" w:rsidP="00B56181">
            <w:pPr>
              <w:spacing w:before="0" w:after="0"/>
              <w:ind w:left="-31" w:right="-91"/>
              <w:rPr>
                <w:rFonts w:ascii="Arial Narrow" w:hAnsi="Arial Narrow"/>
                <w:color w:val="000000"/>
                <w:sz w:val="20"/>
                <w:szCs w:val="20"/>
                <w:highlight w:val="black"/>
              </w:rPr>
            </w:pPr>
            <w:r>
              <w:rPr>
                <w:rFonts w:ascii="Arial Narrow" w:hAnsi="Arial Narrow"/>
                <w:noProof/>
                <w:color w:val="000000"/>
                <w:sz w:val="20"/>
                <w:szCs w:val="20"/>
                <w:highlight w:val="black"/>
              </w:rPr>
              <w:t>''''''''''' ''''''''''''' '''''''''''''</w:t>
            </w:r>
          </w:p>
        </w:tc>
      </w:tr>
      <w:tr w:rsidR="00196661" w:rsidRPr="007D0E37" w:rsidTr="00B56181">
        <w:tc>
          <w:tcPr>
            <w:tcW w:w="4146" w:type="pct"/>
            <w:gridSpan w:val="4"/>
            <w:tcBorders>
              <w:bottom w:val="single" w:sz="4" w:space="0" w:color="auto"/>
            </w:tcBorders>
          </w:tcPr>
          <w:p w:rsidR="00196661" w:rsidRPr="007D0E37" w:rsidRDefault="00196661" w:rsidP="00B56181">
            <w:pPr>
              <w:pStyle w:val="TableText"/>
              <w:ind w:left="175" w:right="-91"/>
            </w:pPr>
            <w:r w:rsidRPr="007D0E37">
              <w:t>Using trial results: PURSUIT-SC, ULTRA 1, ULTRA 2, Suzuki 2014</w:t>
            </w:r>
          </w:p>
        </w:tc>
        <w:tc>
          <w:tcPr>
            <w:tcW w:w="854" w:type="pct"/>
            <w:tcBorders>
              <w:bottom w:val="single" w:sz="4" w:space="0" w:color="auto"/>
            </w:tcBorders>
            <w:shd w:val="clear" w:color="auto" w:fill="auto"/>
          </w:tcPr>
          <w:p w:rsidR="00196661" w:rsidRPr="00F86D7A" w:rsidRDefault="00F86D7A" w:rsidP="00B56181">
            <w:pPr>
              <w:spacing w:before="0" w:after="0"/>
              <w:ind w:left="-31" w:right="-91"/>
              <w:rPr>
                <w:rFonts w:ascii="Arial Narrow" w:hAnsi="Arial Narrow"/>
                <w:color w:val="000000"/>
                <w:sz w:val="20"/>
                <w:szCs w:val="20"/>
                <w:highlight w:val="black"/>
              </w:rPr>
            </w:pPr>
            <w:r>
              <w:rPr>
                <w:rFonts w:ascii="Arial Narrow" w:hAnsi="Arial Narrow"/>
                <w:noProof/>
                <w:color w:val="000000"/>
                <w:sz w:val="20"/>
                <w:szCs w:val="20"/>
                <w:highlight w:val="black"/>
              </w:rPr>
              <w:t>'''''''''' '''''''''''' '''''''''''</w:t>
            </w:r>
          </w:p>
        </w:tc>
      </w:tr>
      <w:tr w:rsidR="00196661" w:rsidRPr="007D0E37" w:rsidTr="00B56181">
        <w:tc>
          <w:tcPr>
            <w:tcW w:w="4146" w:type="pct"/>
            <w:gridSpan w:val="4"/>
            <w:tcBorders>
              <w:bottom w:val="single" w:sz="4" w:space="0" w:color="auto"/>
            </w:tcBorders>
          </w:tcPr>
          <w:p w:rsidR="00196661" w:rsidRPr="007D0E37" w:rsidRDefault="00196661" w:rsidP="00B56181">
            <w:pPr>
              <w:pStyle w:val="TableText"/>
              <w:ind w:left="175" w:right="-91"/>
            </w:pPr>
            <w:r w:rsidRPr="007D0E37">
              <w:t>Using trial results: PURSUIT-SC, ULTRA 1, ULTRA 2 (anti-TNF naïve), Suzuki 2014</w:t>
            </w:r>
          </w:p>
        </w:tc>
        <w:tc>
          <w:tcPr>
            <w:tcW w:w="854" w:type="pct"/>
            <w:tcBorders>
              <w:bottom w:val="single" w:sz="4" w:space="0" w:color="auto"/>
            </w:tcBorders>
            <w:shd w:val="clear" w:color="auto" w:fill="auto"/>
          </w:tcPr>
          <w:p w:rsidR="00196661" w:rsidRPr="00F86D7A" w:rsidRDefault="00F86D7A" w:rsidP="00B56181">
            <w:pPr>
              <w:spacing w:before="0" w:after="0"/>
              <w:ind w:left="-31" w:right="-91"/>
              <w:rPr>
                <w:rFonts w:ascii="Arial Narrow" w:hAnsi="Arial Narrow"/>
                <w:color w:val="000000"/>
                <w:sz w:val="20"/>
                <w:szCs w:val="20"/>
                <w:highlight w:val="black"/>
              </w:rPr>
            </w:pPr>
            <w:r>
              <w:rPr>
                <w:rFonts w:ascii="Arial Narrow" w:hAnsi="Arial Narrow"/>
                <w:noProof/>
                <w:color w:val="000000"/>
                <w:sz w:val="20"/>
                <w:szCs w:val="20"/>
                <w:highlight w:val="black"/>
              </w:rPr>
              <w:t>'''''''''' ''''''''''''' ''''''''''''''</w:t>
            </w:r>
          </w:p>
        </w:tc>
      </w:tr>
      <w:tr w:rsidR="00196661" w:rsidRPr="007D0E37" w:rsidTr="00AE22D9">
        <w:tc>
          <w:tcPr>
            <w:tcW w:w="4146" w:type="pct"/>
            <w:gridSpan w:val="4"/>
            <w:tcBorders>
              <w:right w:val="nil"/>
            </w:tcBorders>
          </w:tcPr>
          <w:p w:rsidR="00196661" w:rsidRPr="007D0E37" w:rsidRDefault="00196661" w:rsidP="00B56181">
            <w:pPr>
              <w:pStyle w:val="TableText"/>
              <w:ind w:left="-31" w:right="-91"/>
            </w:pPr>
            <w:r w:rsidRPr="007D0E37">
              <w:t>Indirect estimate of effect adjusted for the common reference (GOL vs VDZ)</w:t>
            </w:r>
          </w:p>
        </w:tc>
        <w:tc>
          <w:tcPr>
            <w:tcW w:w="854" w:type="pct"/>
            <w:tcBorders>
              <w:left w:val="nil"/>
              <w:right w:val="single" w:sz="4" w:space="0" w:color="auto"/>
            </w:tcBorders>
            <w:shd w:val="clear" w:color="auto" w:fill="auto"/>
          </w:tcPr>
          <w:p w:rsidR="00196661" w:rsidRPr="00F86D7A" w:rsidRDefault="00196661" w:rsidP="00B56181">
            <w:pPr>
              <w:spacing w:before="0" w:after="0"/>
              <w:ind w:left="-31" w:right="-91"/>
              <w:rPr>
                <w:rFonts w:ascii="Arial Narrow" w:hAnsi="Arial Narrow"/>
                <w:color w:val="000000"/>
                <w:sz w:val="20"/>
                <w:szCs w:val="20"/>
              </w:rPr>
            </w:pPr>
          </w:p>
        </w:tc>
      </w:tr>
      <w:tr w:rsidR="00196661" w:rsidRPr="007D0E37" w:rsidTr="00B56181">
        <w:tc>
          <w:tcPr>
            <w:tcW w:w="4146" w:type="pct"/>
            <w:gridSpan w:val="4"/>
          </w:tcPr>
          <w:p w:rsidR="00196661" w:rsidRPr="007D0E37" w:rsidRDefault="00196661" w:rsidP="00B56181">
            <w:pPr>
              <w:pStyle w:val="TableText"/>
              <w:ind w:left="175" w:right="-91"/>
            </w:pPr>
            <w:r w:rsidRPr="007D0E37">
              <w:t>Using trial results PURSUIT-SC, GEMINI 1</w:t>
            </w:r>
          </w:p>
        </w:tc>
        <w:tc>
          <w:tcPr>
            <w:tcW w:w="854" w:type="pct"/>
            <w:shd w:val="clear" w:color="auto" w:fill="auto"/>
          </w:tcPr>
          <w:p w:rsidR="00196661" w:rsidRPr="00F86D7A" w:rsidRDefault="00F86D7A" w:rsidP="00B56181">
            <w:pPr>
              <w:spacing w:before="0" w:after="0"/>
              <w:ind w:left="-31" w:right="-91"/>
              <w:rPr>
                <w:rFonts w:ascii="Arial Narrow" w:hAnsi="Arial Narrow"/>
                <w:color w:val="000000"/>
                <w:sz w:val="20"/>
                <w:szCs w:val="20"/>
                <w:highlight w:val="black"/>
              </w:rPr>
            </w:pPr>
            <w:r>
              <w:rPr>
                <w:rFonts w:ascii="Arial Narrow" w:hAnsi="Arial Narrow"/>
                <w:noProof/>
                <w:color w:val="000000"/>
                <w:sz w:val="20"/>
                <w:szCs w:val="20"/>
                <w:highlight w:val="black"/>
              </w:rPr>
              <w:t>''''''''''' '''''''''''''' '''''''''''</w:t>
            </w:r>
          </w:p>
        </w:tc>
      </w:tr>
    </w:tbl>
    <w:p w:rsidR="00196661" w:rsidRPr="007D0E37" w:rsidRDefault="00196661" w:rsidP="00196661">
      <w:pPr>
        <w:pStyle w:val="TableFooter"/>
      </w:pPr>
      <w:r w:rsidRPr="007D0E37">
        <w:t>Abbreviations: ADA, adalimumab; CI, Confidence interval; GOL, golimumab; IFX, infliximab; n, number of participants with event; N, total number of participants in group; OR, Odds ratio; PBO, placebo; VDZ, vedolizumab.</w:t>
      </w:r>
      <w:r w:rsidR="00767CDD">
        <w:t xml:space="preserve"> </w:t>
      </w:r>
    </w:p>
    <w:p w:rsidR="00196661" w:rsidRPr="007D0E37" w:rsidRDefault="00196661" w:rsidP="00196661">
      <w:pPr>
        <w:pStyle w:val="TableFooter"/>
      </w:pPr>
      <w:r w:rsidRPr="007D0E37">
        <w:t xml:space="preserve">Notes: Figures in bold are statistically significant. </w:t>
      </w:r>
    </w:p>
    <w:p w:rsidR="00196661" w:rsidRPr="007D0E37" w:rsidRDefault="00196661" w:rsidP="00196661">
      <w:pPr>
        <w:pStyle w:val="TableFooter"/>
      </w:pPr>
      <w:r w:rsidRPr="007D0E37">
        <w:t xml:space="preserve">a Submission did not report (95% CI). </w:t>
      </w:r>
    </w:p>
    <w:p w:rsidR="00196661" w:rsidRPr="007D0E37" w:rsidRDefault="00196661" w:rsidP="00196661">
      <w:pPr>
        <w:pStyle w:val="TableFooter"/>
      </w:pPr>
      <w:r w:rsidRPr="007D0E37">
        <w:t xml:space="preserve">b Reported as </w:t>
      </w:r>
      <w:r w:rsidRPr="007D0E37">
        <w:rPr>
          <w:color w:val="000000"/>
          <w:lang w:eastAsia="en-AU"/>
        </w:rPr>
        <w:t xml:space="preserve">125/248 (50.4) </w:t>
      </w:r>
      <w:r w:rsidRPr="007D0E37">
        <w:t xml:space="preserve">in Sandborn 2012 p259. Submission reported this as </w:t>
      </w:r>
      <w:r w:rsidR="00F86D7A">
        <w:rPr>
          <w:noProof/>
          <w:color w:val="000000"/>
          <w:highlight w:val="black"/>
        </w:rPr>
        <w:t>''''''''''''''''''</w:t>
      </w:r>
      <w:r w:rsidRPr="007D0E37">
        <w:t xml:space="preserve"> (</w:t>
      </w:r>
      <w:r w:rsidR="00F86D7A">
        <w:rPr>
          <w:noProof/>
          <w:color w:val="000000"/>
          <w:highlight w:val="black"/>
        </w:rPr>
        <w:t>'''''''''</w:t>
      </w:r>
      <w:r w:rsidRPr="007D0E37">
        <w:t xml:space="preserve">%) in Attachment 07; and </w:t>
      </w:r>
      <w:r w:rsidR="00F86D7A">
        <w:rPr>
          <w:noProof/>
          <w:color w:val="000000"/>
          <w:highlight w:val="black"/>
        </w:rPr>
        <w:t>''''''''''''''''''</w:t>
      </w:r>
      <w:r w:rsidRPr="007D0E37">
        <w:t xml:space="preserve"> (</w:t>
      </w:r>
      <w:r w:rsidR="00F86D7A">
        <w:rPr>
          <w:noProof/>
          <w:color w:val="000000"/>
          <w:highlight w:val="black"/>
        </w:rPr>
        <w:t>'''''''''''</w:t>
      </w:r>
      <w:r w:rsidRPr="007D0E37">
        <w:t xml:space="preserve">%) in Table 2.6.1. </w:t>
      </w:r>
    </w:p>
    <w:p w:rsidR="00196661" w:rsidRPr="007D0E37" w:rsidRDefault="00196661" w:rsidP="00196661">
      <w:pPr>
        <w:pStyle w:val="TableFooter"/>
      </w:pPr>
      <w:r w:rsidRPr="007D0E37">
        <w:t xml:space="preserve">c Reported as </w:t>
      </w:r>
      <w:r w:rsidRPr="007D0E37">
        <w:rPr>
          <w:color w:val="000000"/>
          <w:lang w:eastAsia="en-AU"/>
        </w:rPr>
        <w:t xml:space="preserve">85/246 (34.6) </w:t>
      </w:r>
      <w:r w:rsidRPr="007D0E37">
        <w:t xml:space="preserve">in Sandborn 2012 p259. Submission reported this as </w:t>
      </w:r>
      <w:r w:rsidR="00F86D7A">
        <w:rPr>
          <w:noProof/>
          <w:color w:val="000000"/>
          <w:highlight w:val="black"/>
        </w:rPr>
        <w:t>''''''''''''''''''</w:t>
      </w:r>
      <w:r w:rsidRPr="007D0E37">
        <w:t xml:space="preserve"> (</w:t>
      </w:r>
      <w:r w:rsidR="00F86D7A">
        <w:rPr>
          <w:noProof/>
          <w:color w:val="000000"/>
          <w:highlight w:val="black"/>
        </w:rPr>
        <w:t>''''''''''</w:t>
      </w:r>
      <w:r w:rsidRPr="007D0E37">
        <w:t xml:space="preserve">%) in Attachment 07 in Table 2.6.1. </w:t>
      </w:r>
    </w:p>
    <w:p w:rsidR="00196661" w:rsidRPr="007D0E37" w:rsidRDefault="00196661" w:rsidP="00196661">
      <w:pPr>
        <w:pStyle w:val="TableFooter"/>
      </w:pPr>
      <w:r w:rsidRPr="007D0E37">
        <w:t xml:space="preserve">d The RR (95% CI) is denoted in Table 2.6-1 of the submission, </w:t>
      </w:r>
      <w:r w:rsidR="001F1C80" w:rsidRPr="007D0E37">
        <w:t>however the treatment effect was actually the OR (95% CI) as reported in the source documentation.</w:t>
      </w:r>
    </w:p>
    <w:p w:rsidR="00196661" w:rsidRPr="007D0E37" w:rsidRDefault="00196661" w:rsidP="00196661">
      <w:pPr>
        <w:pStyle w:val="TableFooter"/>
      </w:pPr>
      <w:r w:rsidRPr="007D0E37">
        <w:t>Source: Table 2.6.1 p117 of the submission; Attachment 07-ITC_Analyses_0.1_10 of the submission; Attachment 06 of the submission.</w:t>
      </w:r>
      <w:r w:rsidR="00767CDD">
        <w:t xml:space="preserve"> </w:t>
      </w:r>
    </w:p>
    <w:bookmarkEnd w:id="21"/>
    <w:p w:rsidR="00965833" w:rsidRPr="007D0E37" w:rsidRDefault="00965833" w:rsidP="004D017E"/>
    <w:p w:rsidR="004D017E" w:rsidRPr="007D0E37" w:rsidRDefault="004D017E" w:rsidP="004D017E">
      <w:pPr>
        <w:pStyle w:val="TableHeading0"/>
      </w:pPr>
      <w:r w:rsidRPr="007D0E37">
        <w:t xml:space="preserve">Table </w:t>
      </w:r>
      <w:r w:rsidR="000E238D" w:rsidRPr="007D0E37">
        <w:t>8</w:t>
      </w:r>
      <w:r w:rsidRPr="007D0E37">
        <w:t>: Summary of results of the indirect comparison for remission (maintenance)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2723"/>
        <w:gridCol w:w="1939"/>
        <w:gridCol w:w="1597"/>
        <w:gridCol w:w="1579"/>
      </w:tblGrid>
      <w:tr w:rsidR="00416628" w:rsidRPr="007D0E37" w:rsidTr="00B56181">
        <w:trPr>
          <w:tblHeader/>
        </w:trPr>
        <w:tc>
          <w:tcPr>
            <w:tcW w:w="760" w:type="pct"/>
            <w:tcBorders>
              <w:bottom w:val="nil"/>
            </w:tcBorders>
          </w:tcPr>
          <w:p w:rsidR="00416628" w:rsidRPr="007D0E37" w:rsidRDefault="00416628" w:rsidP="00B56181">
            <w:pPr>
              <w:pStyle w:val="TableText"/>
              <w:ind w:left="-39" w:right="-33"/>
              <w:rPr>
                <w:b/>
              </w:rPr>
            </w:pPr>
            <w:bookmarkStart w:id="22" w:name="_Hlk490509448"/>
            <w:r w:rsidRPr="007D0E37">
              <w:rPr>
                <w:b/>
              </w:rPr>
              <w:t>Comparison</w:t>
            </w:r>
          </w:p>
        </w:tc>
        <w:tc>
          <w:tcPr>
            <w:tcW w:w="1473" w:type="pct"/>
            <w:tcBorders>
              <w:bottom w:val="nil"/>
            </w:tcBorders>
            <w:shd w:val="clear" w:color="auto" w:fill="auto"/>
          </w:tcPr>
          <w:p w:rsidR="00416628" w:rsidRPr="007D0E37" w:rsidRDefault="00416628" w:rsidP="00B56181">
            <w:pPr>
              <w:pStyle w:val="TableText"/>
              <w:ind w:left="-31" w:right="-91"/>
              <w:rPr>
                <w:b/>
              </w:rPr>
            </w:pPr>
            <w:r w:rsidRPr="007D0E37">
              <w:rPr>
                <w:b/>
              </w:rPr>
              <w:t>Trial ID</w:t>
            </w:r>
          </w:p>
        </w:tc>
        <w:tc>
          <w:tcPr>
            <w:tcW w:w="1049" w:type="pct"/>
            <w:vMerge w:val="restart"/>
            <w:shd w:val="clear" w:color="auto" w:fill="auto"/>
          </w:tcPr>
          <w:p w:rsidR="00416628" w:rsidRPr="007D0E37" w:rsidRDefault="00416628" w:rsidP="00B56181">
            <w:pPr>
              <w:pStyle w:val="TableText"/>
              <w:ind w:left="-31" w:right="-91"/>
              <w:rPr>
                <w:b/>
                <w:iCs/>
              </w:rPr>
            </w:pPr>
            <w:r w:rsidRPr="007D0E37">
              <w:rPr>
                <w:b/>
                <w:iCs/>
              </w:rPr>
              <w:t>GOL/IFX/ADA/VDZ</w:t>
            </w:r>
          </w:p>
          <w:p w:rsidR="00416628" w:rsidRPr="007D0E37" w:rsidRDefault="00416628" w:rsidP="00B56181">
            <w:pPr>
              <w:pStyle w:val="TableText"/>
              <w:ind w:left="-31" w:right="-91"/>
              <w:rPr>
                <w:b/>
              </w:rPr>
            </w:pPr>
            <w:r w:rsidRPr="007D0E37">
              <w:rPr>
                <w:b/>
                <w:iCs/>
              </w:rPr>
              <w:t>n</w:t>
            </w:r>
            <w:r w:rsidRPr="007D0E37">
              <w:rPr>
                <w:b/>
              </w:rPr>
              <w:t>/</w:t>
            </w:r>
            <w:r w:rsidRPr="007D0E37">
              <w:rPr>
                <w:b/>
                <w:iCs/>
              </w:rPr>
              <w:t>N</w:t>
            </w:r>
            <w:r w:rsidRPr="007D0E37">
              <w:rPr>
                <w:b/>
              </w:rPr>
              <w:t xml:space="preserve"> (%)</w:t>
            </w:r>
          </w:p>
        </w:tc>
        <w:tc>
          <w:tcPr>
            <w:tcW w:w="864" w:type="pct"/>
            <w:vMerge w:val="restart"/>
            <w:shd w:val="clear" w:color="auto" w:fill="auto"/>
          </w:tcPr>
          <w:p w:rsidR="00416628" w:rsidRPr="007D0E37" w:rsidRDefault="00416628" w:rsidP="00B56181">
            <w:pPr>
              <w:pStyle w:val="TableText"/>
              <w:ind w:left="-31" w:right="-91"/>
              <w:rPr>
                <w:b/>
              </w:rPr>
            </w:pPr>
            <w:r w:rsidRPr="007D0E37">
              <w:rPr>
                <w:b/>
              </w:rPr>
              <w:t>Placebo</w:t>
            </w:r>
            <w:r w:rsidRPr="007D0E37">
              <w:rPr>
                <w:b/>
              </w:rPr>
              <w:br/>
            </w:r>
            <w:r w:rsidRPr="007D0E37">
              <w:rPr>
                <w:b/>
                <w:iCs/>
              </w:rPr>
              <w:t>n</w:t>
            </w:r>
            <w:r w:rsidRPr="007D0E37">
              <w:rPr>
                <w:b/>
              </w:rPr>
              <w:t>/</w:t>
            </w:r>
            <w:r w:rsidRPr="007D0E37">
              <w:rPr>
                <w:b/>
                <w:iCs/>
              </w:rPr>
              <w:t>N</w:t>
            </w:r>
            <w:r w:rsidRPr="007D0E37">
              <w:rPr>
                <w:b/>
              </w:rPr>
              <w:t xml:space="preserve"> (%)</w:t>
            </w:r>
          </w:p>
        </w:tc>
        <w:tc>
          <w:tcPr>
            <w:tcW w:w="854" w:type="pct"/>
            <w:shd w:val="clear" w:color="auto" w:fill="auto"/>
          </w:tcPr>
          <w:p w:rsidR="00416628" w:rsidRPr="007D0E37" w:rsidRDefault="00416628" w:rsidP="00B56181">
            <w:pPr>
              <w:pStyle w:val="TableText"/>
              <w:ind w:left="-31" w:right="-91"/>
              <w:rPr>
                <w:b/>
              </w:rPr>
            </w:pPr>
            <w:r w:rsidRPr="007D0E37">
              <w:rPr>
                <w:b/>
              </w:rPr>
              <w:t xml:space="preserve">Treatment effect </w:t>
            </w:r>
          </w:p>
        </w:tc>
      </w:tr>
      <w:tr w:rsidR="00416628" w:rsidRPr="007D0E37" w:rsidTr="00B56181">
        <w:trPr>
          <w:tblHeader/>
        </w:trPr>
        <w:tc>
          <w:tcPr>
            <w:tcW w:w="760" w:type="pct"/>
            <w:tcBorders>
              <w:top w:val="nil"/>
              <w:bottom w:val="single" w:sz="4" w:space="0" w:color="auto"/>
            </w:tcBorders>
          </w:tcPr>
          <w:p w:rsidR="00416628" w:rsidRPr="007D0E37" w:rsidRDefault="00416628" w:rsidP="00B56181">
            <w:pPr>
              <w:pStyle w:val="TableText"/>
              <w:ind w:left="-39" w:right="-33"/>
              <w:rPr>
                <w:b/>
              </w:rPr>
            </w:pPr>
          </w:p>
        </w:tc>
        <w:tc>
          <w:tcPr>
            <w:tcW w:w="1473" w:type="pct"/>
            <w:tcBorders>
              <w:top w:val="nil"/>
            </w:tcBorders>
            <w:shd w:val="clear" w:color="auto" w:fill="auto"/>
          </w:tcPr>
          <w:p w:rsidR="00416628" w:rsidRPr="007D0E37" w:rsidRDefault="00416628" w:rsidP="00B56181">
            <w:pPr>
              <w:pStyle w:val="TableText"/>
              <w:ind w:left="-31" w:right="-91"/>
              <w:rPr>
                <w:b/>
              </w:rPr>
            </w:pPr>
          </w:p>
        </w:tc>
        <w:tc>
          <w:tcPr>
            <w:tcW w:w="1049" w:type="pct"/>
            <w:vMerge/>
            <w:shd w:val="clear" w:color="auto" w:fill="auto"/>
          </w:tcPr>
          <w:p w:rsidR="00416628" w:rsidRPr="007D0E37" w:rsidRDefault="00416628" w:rsidP="00B56181">
            <w:pPr>
              <w:pStyle w:val="TableText"/>
              <w:ind w:left="-31" w:right="-91"/>
              <w:rPr>
                <w:b/>
                <w:iCs/>
              </w:rPr>
            </w:pPr>
          </w:p>
        </w:tc>
        <w:tc>
          <w:tcPr>
            <w:tcW w:w="864" w:type="pct"/>
            <w:vMerge/>
            <w:shd w:val="clear" w:color="auto" w:fill="auto"/>
          </w:tcPr>
          <w:p w:rsidR="00416628" w:rsidRPr="007D0E37" w:rsidRDefault="00416628" w:rsidP="00B56181">
            <w:pPr>
              <w:pStyle w:val="TableText"/>
              <w:ind w:left="-31" w:right="-91"/>
              <w:rPr>
                <w:b/>
              </w:rPr>
            </w:pPr>
          </w:p>
        </w:tc>
        <w:tc>
          <w:tcPr>
            <w:tcW w:w="854" w:type="pct"/>
            <w:shd w:val="clear" w:color="auto" w:fill="auto"/>
          </w:tcPr>
          <w:p w:rsidR="00416628" w:rsidRPr="007D0E37" w:rsidRDefault="00416628" w:rsidP="00B56181">
            <w:pPr>
              <w:pStyle w:val="TableText"/>
              <w:ind w:left="-31" w:right="-91"/>
              <w:rPr>
                <w:b/>
              </w:rPr>
            </w:pPr>
            <w:r w:rsidRPr="007D0E37">
              <w:rPr>
                <w:b/>
              </w:rPr>
              <w:t>OR (95% CI)</w:t>
            </w:r>
          </w:p>
        </w:tc>
      </w:tr>
      <w:tr w:rsidR="00416628" w:rsidRPr="007D0E37" w:rsidTr="00B56181">
        <w:tc>
          <w:tcPr>
            <w:tcW w:w="760" w:type="pct"/>
            <w:tcBorders>
              <w:bottom w:val="nil"/>
            </w:tcBorders>
          </w:tcPr>
          <w:p w:rsidR="00416628" w:rsidRPr="007D0E37" w:rsidRDefault="00416628" w:rsidP="00B56181">
            <w:pPr>
              <w:pStyle w:val="TableText"/>
              <w:ind w:left="-39" w:right="-33"/>
            </w:pPr>
            <w:r w:rsidRPr="007D0E37">
              <w:t>GOL vs PBO</w:t>
            </w:r>
          </w:p>
        </w:tc>
        <w:tc>
          <w:tcPr>
            <w:tcW w:w="1473" w:type="pct"/>
            <w:shd w:val="clear" w:color="auto" w:fill="auto"/>
          </w:tcPr>
          <w:p w:rsidR="00416628" w:rsidRPr="007D0E37" w:rsidRDefault="00416628" w:rsidP="00B56181">
            <w:pPr>
              <w:pStyle w:val="TableText"/>
              <w:ind w:left="-31" w:right="-91"/>
              <w:rPr>
                <w:rFonts w:ascii="Times" w:eastAsia="Times New Roman" w:hAnsi="Times" w:cs="Times New Roman"/>
              </w:rPr>
            </w:pPr>
            <w:r w:rsidRPr="007D0E37">
              <w:t>PURSUIT-M</w:t>
            </w:r>
          </w:p>
        </w:tc>
        <w:tc>
          <w:tcPr>
            <w:tcW w:w="1049" w:type="pct"/>
            <w:shd w:val="clear" w:color="auto" w:fill="auto"/>
          </w:tcPr>
          <w:p w:rsidR="00416628" w:rsidRPr="00F86D7A" w:rsidRDefault="00F86D7A" w:rsidP="00B56181">
            <w:pPr>
              <w:pStyle w:val="TableText"/>
              <w:keepNext w:val="0"/>
              <w:ind w:left="-31" w:right="-91"/>
              <w:rPr>
                <w:highlight w:val="black"/>
              </w:rPr>
            </w:pPr>
            <w:r>
              <w:rPr>
                <w:noProof/>
                <w:color w:val="000000"/>
                <w:highlight w:val="black"/>
              </w:rPr>
              <w:t>''''''''''''''''' '''''''''''''''</w:t>
            </w:r>
          </w:p>
        </w:tc>
        <w:tc>
          <w:tcPr>
            <w:tcW w:w="864" w:type="pct"/>
            <w:shd w:val="clear" w:color="auto" w:fill="auto"/>
          </w:tcPr>
          <w:p w:rsidR="00416628" w:rsidRPr="00F86D7A" w:rsidRDefault="00F86D7A" w:rsidP="00B56181">
            <w:pPr>
              <w:pStyle w:val="TableText"/>
              <w:keepNext w:val="0"/>
              <w:ind w:left="-31" w:right="-91"/>
              <w:rPr>
                <w:highlight w:val="black"/>
              </w:rPr>
            </w:pPr>
            <w:r>
              <w:rPr>
                <w:noProof/>
                <w:color w:val="000000"/>
                <w:highlight w:val="black"/>
              </w:rPr>
              <w:t>'''''''''''''''' ''''''''''''''''</w:t>
            </w:r>
          </w:p>
        </w:tc>
        <w:tc>
          <w:tcPr>
            <w:tcW w:w="854" w:type="pct"/>
            <w:shd w:val="clear" w:color="auto" w:fill="auto"/>
          </w:tcPr>
          <w:p w:rsidR="00416628" w:rsidRPr="00F86D7A" w:rsidRDefault="00F86D7A" w:rsidP="00B56181">
            <w:pPr>
              <w:pStyle w:val="TableText"/>
              <w:keepNext w:val="0"/>
              <w:ind w:left="-31" w:right="-91"/>
              <w:rPr>
                <w:b/>
                <w:highlight w:val="black"/>
              </w:rPr>
            </w:pPr>
            <w:r>
              <w:rPr>
                <w:b/>
                <w:noProof/>
                <w:color w:val="000000"/>
                <w:highlight w:val="black"/>
              </w:rPr>
              <w:t>'''''''' '''''''''''''''''''''''</w:t>
            </w:r>
          </w:p>
        </w:tc>
      </w:tr>
      <w:tr w:rsidR="00416628" w:rsidRPr="007D0E37" w:rsidTr="00B56181">
        <w:tc>
          <w:tcPr>
            <w:tcW w:w="760" w:type="pct"/>
            <w:tcBorders>
              <w:top w:val="nil"/>
              <w:bottom w:val="nil"/>
            </w:tcBorders>
          </w:tcPr>
          <w:p w:rsidR="00416628" w:rsidRPr="007D0E37" w:rsidRDefault="00416628" w:rsidP="00B56181">
            <w:pPr>
              <w:pStyle w:val="TableText"/>
              <w:ind w:left="-39" w:right="-33"/>
            </w:pPr>
          </w:p>
        </w:tc>
        <w:tc>
          <w:tcPr>
            <w:tcW w:w="1473" w:type="pct"/>
            <w:tcBorders>
              <w:bottom w:val="single" w:sz="4" w:space="0" w:color="auto"/>
            </w:tcBorders>
            <w:shd w:val="clear" w:color="auto" w:fill="auto"/>
          </w:tcPr>
          <w:p w:rsidR="00416628" w:rsidRPr="007D0E37" w:rsidRDefault="00416628" w:rsidP="00B56181">
            <w:pPr>
              <w:pStyle w:val="TableText"/>
              <w:ind w:left="-31" w:right="-91"/>
            </w:pPr>
            <w:r w:rsidRPr="007D0E37">
              <w:t>PURSUIT-J</w:t>
            </w:r>
          </w:p>
        </w:tc>
        <w:tc>
          <w:tcPr>
            <w:tcW w:w="1049" w:type="pct"/>
            <w:tcBorders>
              <w:bottom w:val="single" w:sz="4" w:space="0" w:color="auto"/>
            </w:tcBorders>
            <w:shd w:val="clear" w:color="auto" w:fill="auto"/>
          </w:tcPr>
          <w:p w:rsidR="00416628" w:rsidRPr="007D0E37" w:rsidRDefault="00416628" w:rsidP="00B56181">
            <w:pPr>
              <w:pStyle w:val="TableText"/>
              <w:keepNext w:val="0"/>
              <w:ind w:left="-31" w:right="-91"/>
            </w:pPr>
            <w:r w:rsidRPr="007D0E37">
              <w:t>16/32 (50.0)</w:t>
            </w:r>
          </w:p>
        </w:tc>
        <w:tc>
          <w:tcPr>
            <w:tcW w:w="864" w:type="pct"/>
            <w:tcBorders>
              <w:bottom w:val="single" w:sz="4" w:space="0" w:color="auto"/>
            </w:tcBorders>
            <w:shd w:val="clear" w:color="auto" w:fill="auto"/>
          </w:tcPr>
          <w:p w:rsidR="00416628" w:rsidRPr="007D0E37" w:rsidRDefault="00416628" w:rsidP="00B56181">
            <w:pPr>
              <w:pStyle w:val="TableText"/>
              <w:keepNext w:val="0"/>
              <w:ind w:left="-31" w:right="-91"/>
            </w:pPr>
            <w:r w:rsidRPr="007D0E37">
              <w:t xml:space="preserve">2/31 (6.5) </w:t>
            </w:r>
          </w:p>
        </w:tc>
        <w:tc>
          <w:tcPr>
            <w:tcW w:w="854" w:type="pct"/>
            <w:shd w:val="clear" w:color="auto" w:fill="auto"/>
          </w:tcPr>
          <w:p w:rsidR="00416628" w:rsidRPr="00F86D7A" w:rsidRDefault="00F86D7A" w:rsidP="00B56181">
            <w:pPr>
              <w:pStyle w:val="TableText"/>
              <w:keepNext w:val="0"/>
              <w:ind w:left="-31" w:right="-91"/>
              <w:rPr>
                <w:b/>
                <w:highlight w:val="black"/>
              </w:rPr>
            </w:pPr>
            <w:r>
              <w:rPr>
                <w:b/>
                <w:noProof/>
                <w:color w:val="000000"/>
                <w:highlight w:val="black"/>
              </w:rPr>
              <w:t>'''''''''''' '''''''''''''''''''''</w:t>
            </w:r>
          </w:p>
        </w:tc>
      </w:tr>
      <w:tr w:rsidR="00416628" w:rsidRPr="007D0E37" w:rsidTr="00B56181">
        <w:tc>
          <w:tcPr>
            <w:tcW w:w="760" w:type="pct"/>
            <w:tcBorders>
              <w:top w:val="nil"/>
              <w:bottom w:val="single" w:sz="4" w:space="0" w:color="auto"/>
            </w:tcBorders>
          </w:tcPr>
          <w:p w:rsidR="00416628" w:rsidRPr="007D0E37" w:rsidRDefault="00416628" w:rsidP="00B56181">
            <w:pPr>
              <w:pStyle w:val="TableText"/>
              <w:ind w:left="-39" w:right="-33"/>
            </w:pPr>
            <w:r w:rsidRPr="007D0E37">
              <w:t>Meta-analysis</w:t>
            </w:r>
          </w:p>
        </w:tc>
        <w:tc>
          <w:tcPr>
            <w:tcW w:w="1473" w:type="pct"/>
            <w:tcBorders>
              <w:right w:val="nil"/>
            </w:tcBorders>
            <w:shd w:val="clear" w:color="auto" w:fill="auto"/>
          </w:tcPr>
          <w:p w:rsidR="00416628" w:rsidRPr="007D0E37" w:rsidRDefault="00416628" w:rsidP="00B56181">
            <w:pPr>
              <w:pStyle w:val="TableText"/>
              <w:ind w:left="-31" w:right="-91"/>
            </w:pPr>
            <w:r w:rsidRPr="007D0E37">
              <w:t>PURSUIT-M, PURSUIT-J</w:t>
            </w:r>
          </w:p>
        </w:tc>
        <w:tc>
          <w:tcPr>
            <w:tcW w:w="1049" w:type="pct"/>
            <w:tcBorders>
              <w:left w:val="nil"/>
              <w:right w:val="nil"/>
            </w:tcBorders>
            <w:shd w:val="clear" w:color="auto" w:fill="auto"/>
          </w:tcPr>
          <w:p w:rsidR="00416628" w:rsidRPr="007D0E37" w:rsidRDefault="00416628" w:rsidP="00B56181">
            <w:pPr>
              <w:pStyle w:val="TableText"/>
              <w:keepNext w:val="0"/>
              <w:ind w:left="-31" w:right="-91"/>
            </w:pPr>
          </w:p>
        </w:tc>
        <w:tc>
          <w:tcPr>
            <w:tcW w:w="864" w:type="pct"/>
            <w:tcBorders>
              <w:left w:val="nil"/>
            </w:tcBorders>
            <w:shd w:val="clear" w:color="auto" w:fill="auto"/>
          </w:tcPr>
          <w:p w:rsidR="00416628" w:rsidRPr="007D0E37" w:rsidRDefault="00416628" w:rsidP="00B56181">
            <w:pPr>
              <w:pStyle w:val="TableText"/>
              <w:keepNext w:val="0"/>
              <w:ind w:left="-31" w:right="-91"/>
            </w:pPr>
          </w:p>
        </w:tc>
        <w:tc>
          <w:tcPr>
            <w:tcW w:w="854" w:type="pct"/>
            <w:shd w:val="clear" w:color="auto" w:fill="auto"/>
          </w:tcPr>
          <w:p w:rsidR="00416628" w:rsidRPr="00F86D7A" w:rsidRDefault="00F86D7A" w:rsidP="00B56181">
            <w:pPr>
              <w:pStyle w:val="TableText"/>
              <w:keepNext w:val="0"/>
              <w:ind w:left="-31" w:right="-91"/>
              <w:rPr>
                <w:highlight w:val="black"/>
              </w:rPr>
            </w:pPr>
            <w:r>
              <w:rPr>
                <w:noProof/>
                <w:color w:val="000000"/>
                <w:highlight w:val="black"/>
              </w:rPr>
              <w:t>'''''''''''' '''''''''''''''</w:t>
            </w:r>
          </w:p>
        </w:tc>
      </w:tr>
      <w:tr w:rsidR="00416628" w:rsidRPr="007D0E37" w:rsidTr="00B56181">
        <w:tc>
          <w:tcPr>
            <w:tcW w:w="760" w:type="pct"/>
            <w:tcBorders>
              <w:bottom w:val="nil"/>
            </w:tcBorders>
          </w:tcPr>
          <w:p w:rsidR="00416628" w:rsidRPr="007D0E37" w:rsidRDefault="00416628" w:rsidP="00B56181">
            <w:pPr>
              <w:pStyle w:val="TableText"/>
              <w:ind w:left="-39" w:right="-33"/>
              <w:rPr>
                <w:rFonts w:ascii="Times" w:eastAsia="Times New Roman" w:hAnsi="Times" w:cs="Times New Roman"/>
              </w:rPr>
            </w:pPr>
            <w:r w:rsidRPr="007D0E37">
              <w:t>IFX vs PBO</w:t>
            </w:r>
          </w:p>
        </w:tc>
        <w:tc>
          <w:tcPr>
            <w:tcW w:w="1473" w:type="pct"/>
            <w:shd w:val="clear" w:color="auto" w:fill="auto"/>
          </w:tcPr>
          <w:p w:rsidR="00416628" w:rsidRPr="007D0E37" w:rsidRDefault="00416628" w:rsidP="00B56181">
            <w:pPr>
              <w:pStyle w:val="TableText"/>
              <w:ind w:left="-31" w:right="-91"/>
            </w:pPr>
            <w:r w:rsidRPr="007D0E37">
              <w:t>ACT 1</w:t>
            </w:r>
          </w:p>
        </w:tc>
        <w:tc>
          <w:tcPr>
            <w:tcW w:w="1049" w:type="pct"/>
            <w:shd w:val="clear" w:color="auto" w:fill="auto"/>
          </w:tcPr>
          <w:p w:rsidR="00416628" w:rsidRPr="00F86D7A" w:rsidRDefault="00F86D7A" w:rsidP="00B56181">
            <w:pPr>
              <w:pStyle w:val="TableText"/>
              <w:keepNext w:val="0"/>
              <w:ind w:left="-31" w:right="-91"/>
              <w:rPr>
                <w:highlight w:val="black"/>
              </w:rPr>
            </w:pPr>
            <w:r>
              <w:rPr>
                <w:noProof/>
                <w:color w:val="000000"/>
                <w:highlight w:val="black"/>
              </w:rPr>
              <w:t>'''''''''''''''' '''''''''''''''</w:t>
            </w:r>
          </w:p>
        </w:tc>
        <w:tc>
          <w:tcPr>
            <w:tcW w:w="864" w:type="pct"/>
            <w:shd w:val="clear" w:color="auto" w:fill="auto"/>
          </w:tcPr>
          <w:p w:rsidR="00416628" w:rsidRPr="00F86D7A" w:rsidRDefault="00F86D7A" w:rsidP="00B56181">
            <w:pPr>
              <w:pStyle w:val="TableText"/>
              <w:keepNext w:val="0"/>
              <w:ind w:left="-31" w:right="-91"/>
              <w:rPr>
                <w:highlight w:val="black"/>
              </w:rPr>
            </w:pPr>
            <w:r>
              <w:rPr>
                <w:noProof/>
                <w:color w:val="000000"/>
                <w:highlight w:val="black"/>
              </w:rPr>
              <w:t>''''''''''''''' '''''''''''''''</w:t>
            </w:r>
          </w:p>
        </w:tc>
        <w:tc>
          <w:tcPr>
            <w:tcW w:w="854" w:type="pct"/>
            <w:shd w:val="clear" w:color="auto" w:fill="auto"/>
          </w:tcPr>
          <w:p w:rsidR="00416628" w:rsidRPr="00F86D7A" w:rsidRDefault="00F86D7A" w:rsidP="00B56181">
            <w:pPr>
              <w:pStyle w:val="TableText"/>
              <w:keepNext w:val="0"/>
              <w:ind w:left="-31" w:right="-91"/>
              <w:rPr>
                <w:b/>
                <w:highlight w:val="black"/>
              </w:rPr>
            </w:pPr>
            <w:r>
              <w:rPr>
                <w:b/>
                <w:noProof/>
                <w:color w:val="000000"/>
                <w:highlight w:val="black"/>
              </w:rPr>
              <w:t>'''''''''' '''''''''''' '''''''''''</w:t>
            </w:r>
          </w:p>
        </w:tc>
      </w:tr>
      <w:tr w:rsidR="00416628" w:rsidRPr="007D0E37" w:rsidTr="00B56181">
        <w:tc>
          <w:tcPr>
            <w:tcW w:w="760" w:type="pct"/>
            <w:tcBorders>
              <w:top w:val="nil"/>
              <w:bottom w:val="nil"/>
            </w:tcBorders>
          </w:tcPr>
          <w:p w:rsidR="00416628" w:rsidRPr="007D0E37" w:rsidRDefault="00416628" w:rsidP="00B56181">
            <w:pPr>
              <w:pStyle w:val="TableText"/>
              <w:ind w:left="-39" w:right="-33"/>
            </w:pPr>
          </w:p>
        </w:tc>
        <w:tc>
          <w:tcPr>
            <w:tcW w:w="1473" w:type="pct"/>
            <w:shd w:val="clear" w:color="auto" w:fill="auto"/>
          </w:tcPr>
          <w:p w:rsidR="00416628" w:rsidRPr="007D0E37" w:rsidRDefault="00416628" w:rsidP="00B56181">
            <w:pPr>
              <w:pStyle w:val="TableText"/>
              <w:ind w:left="-31" w:right="-91"/>
            </w:pPr>
            <w:r w:rsidRPr="007D0E37">
              <w:t>ACT 1 (Induction responders)</w:t>
            </w:r>
            <w:r w:rsidRPr="007D0E37">
              <w:rPr>
                <w:vertAlign w:val="superscript"/>
              </w:rPr>
              <w:t>b</w:t>
            </w:r>
            <w:r w:rsidRPr="007D0E37">
              <w:t xml:space="preserve"> </w:t>
            </w:r>
          </w:p>
        </w:tc>
        <w:tc>
          <w:tcPr>
            <w:tcW w:w="1049" w:type="pct"/>
            <w:shd w:val="clear" w:color="auto" w:fill="auto"/>
            <w:vAlign w:val="bottom"/>
          </w:tcPr>
          <w:p w:rsidR="00416628" w:rsidRPr="00F86D7A" w:rsidRDefault="00F86D7A" w:rsidP="00B56181">
            <w:pPr>
              <w:pStyle w:val="TableText"/>
              <w:keepNext w:val="0"/>
              <w:ind w:left="-31" w:right="-91"/>
              <w:rPr>
                <w:highlight w:val="black"/>
              </w:rPr>
            </w:pPr>
            <w:r>
              <w:rPr>
                <w:noProof/>
                <w:color w:val="000000"/>
                <w:highlight w:val="black"/>
                <w:lang w:eastAsia="en-AU"/>
              </w:rPr>
              <w:t>''''''''''''' '''''''''</w:t>
            </w:r>
          </w:p>
        </w:tc>
        <w:tc>
          <w:tcPr>
            <w:tcW w:w="864" w:type="pct"/>
            <w:shd w:val="clear" w:color="auto" w:fill="auto"/>
            <w:vAlign w:val="bottom"/>
          </w:tcPr>
          <w:p w:rsidR="00416628" w:rsidRPr="00F86D7A" w:rsidRDefault="00F86D7A" w:rsidP="00B56181">
            <w:pPr>
              <w:pStyle w:val="TableText"/>
              <w:keepNext w:val="0"/>
              <w:ind w:right="-91"/>
              <w:rPr>
                <w:highlight w:val="black"/>
              </w:rPr>
            </w:pPr>
            <w:r>
              <w:rPr>
                <w:noProof/>
                <w:color w:val="000000"/>
                <w:highlight w:val="black"/>
                <w:lang w:eastAsia="en-AU"/>
              </w:rPr>
              <w:t>'''''''''' '''''''''''''''</w:t>
            </w:r>
          </w:p>
        </w:tc>
        <w:tc>
          <w:tcPr>
            <w:tcW w:w="854" w:type="pct"/>
            <w:shd w:val="clear" w:color="auto" w:fill="auto"/>
          </w:tcPr>
          <w:p w:rsidR="00416628" w:rsidRPr="00F86D7A" w:rsidRDefault="00F86D7A" w:rsidP="00B56181">
            <w:pPr>
              <w:spacing w:before="0" w:after="0"/>
              <w:rPr>
                <w:rFonts w:ascii="Arial Narrow" w:hAnsi="Arial Narrow"/>
                <w:color w:val="000000"/>
                <w:sz w:val="20"/>
                <w:szCs w:val="20"/>
                <w:highlight w:val="black"/>
              </w:rPr>
            </w:pPr>
            <w:r>
              <w:rPr>
                <w:rFonts w:ascii="Arial Narrow" w:hAnsi="Arial Narrow"/>
                <w:noProof/>
                <w:color w:val="000000"/>
                <w:sz w:val="20"/>
                <w:szCs w:val="20"/>
                <w:highlight w:val="black"/>
              </w:rPr>
              <w:t>'''''''''' ''''''''''''''' ''''''''''''</w:t>
            </w:r>
          </w:p>
        </w:tc>
      </w:tr>
      <w:tr w:rsidR="00416628" w:rsidRPr="007D0E37" w:rsidTr="00B56181">
        <w:tc>
          <w:tcPr>
            <w:tcW w:w="760" w:type="pct"/>
            <w:tcBorders>
              <w:bottom w:val="nil"/>
            </w:tcBorders>
          </w:tcPr>
          <w:p w:rsidR="00416628" w:rsidRPr="007D0E37" w:rsidRDefault="00416628" w:rsidP="00B56181">
            <w:pPr>
              <w:pStyle w:val="TableText"/>
              <w:ind w:left="-39" w:right="-33"/>
            </w:pPr>
            <w:r w:rsidRPr="007D0E37">
              <w:t>ADA vs PBO</w:t>
            </w:r>
          </w:p>
        </w:tc>
        <w:tc>
          <w:tcPr>
            <w:tcW w:w="1473" w:type="pct"/>
            <w:shd w:val="clear" w:color="auto" w:fill="auto"/>
          </w:tcPr>
          <w:p w:rsidR="00416628" w:rsidRPr="007D0E37" w:rsidRDefault="00416628" w:rsidP="00B56181">
            <w:pPr>
              <w:pStyle w:val="TableText"/>
              <w:ind w:left="-31" w:right="-91"/>
            </w:pPr>
            <w:r w:rsidRPr="007D0E37">
              <w:t>ULTRA 2</w:t>
            </w:r>
          </w:p>
        </w:tc>
        <w:tc>
          <w:tcPr>
            <w:tcW w:w="1049" w:type="pct"/>
            <w:shd w:val="clear" w:color="auto" w:fill="auto"/>
          </w:tcPr>
          <w:p w:rsidR="00416628" w:rsidRPr="007D0E37" w:rsidRDefault="00F86D7A" w:rsidP="00B56181">
            <w:pPr>
              <w:pStyle w:val="TableText"/>
              <w:keepNext w:val="0"/>
              <w:ind w:left="-31" w:right="-91"/>
            </w:pPr>
            <w:r>
              <w:rPr>
                <w:noProof/>
                <w:color w:val="000000"/>
                <w:highlight w:val="black"/>
              </w:rPr>
              <w:t>'''''''''''''''''</w:t>
            </w:r>
            <w:r w:rsidR="00416628" w:rsidRPr="007D0E37">
              <w:t xml:space="preserve"> (17.3)</w:t>
            </w:r>
          </w:p>
        </w:tc>
        <w:tc>
          <w:tcPr>
            <w:tcW w:w="864" w:type="pct"/>
            <w:shd w:val="clear" w:color="auto" w:fill="auto"/>
          </w:tcPr>
          <w:p w:rsidR="00416628" w:rsidRPr="007D0E37" w:rsidRDefault="00F86D7A" w:rsidP="00B56181">
            <w:pPr>
              <w:pStyle w:val="TableText"/>
              <w:keepNext w:val="0"/>
              <w:ind w:left="-31" w:right="-91"/>
            </w:pPr>
            <w:r>
              <w:rPr>
                <w:noProof/>
                <w:color w:val="000000"/>
                <w:highlight w:val="black"/>
              </w:rPr>
              <w:t>''''''''''''''''</w:t>
            </w:r>
            <w:r w:rsidR="00416628" w:rsidRPr="007D0E37">
              <w:t xml:space="preserve"> (8.5)</w:t>
            </w:r>
          </w:p>
        </w:tc>
        <w:tc>
          <w:tcPr>
            <w:tcW w:w="854" w:type="pct"/>
            <w:shd w:val="clear" w:color="auto" w:fill="auto"/>
          </w:tcPr>
          <w:p w:rsidR="00416628" w:rsidRPr="00F86D7A" w:rsidRDefault="00F86D7A" w:rsidP="00B56181">
            <w:pPr>
              <w:spacing w:before="0" w:after="0"/>
              <w:ind w:left="-31" w:right="-91"/>
              <w:rPr>
                <w:rFonts w:ascii="Arial Narrow" w:hAnsi="Arial Narrow"/>
                <w:b/>
                <w:color w:val="000000"/>
                <w:sz w:val="20"/>
                <w:szCs w:val="20"/>
                <w:highlight w:val="black"/>
              </w:rPr>
            </w:pPr>
            <w:r>
              <w:rPr>
                <w:rFonts w:ascii="Arial Narrow" w:hAnsi="Arial Narrow"/>
                <w:b/>
                <w:noProof/>
                <w:color w:val="000000"/>
                <w:sz w:val="20"/>
                <w:szCs w:val="20"/>
                <w:highlight w:val="black"/>
              </w:rPr>
              <w:t>'''''''' '''''''''' '''''''''''</w:t>
            </w:r>
          </w:p>
        </w:tc>
      </w:tr>
      <w:tr w:rsidR="00416628" w:rsidRPr="007D0E37" w:rsidTr="00B56181">
        <w:tc>
          <w:tcPr>
            <w:tcW w:w="760" w:type="pct"/>
            <w:tcBorders>
              <w:top w:val="nil"/>
              <w:bottom w:val="nil"/>
            </w:tcBorders>
          </w:tcPr>
          <w:p w:rsidR="00416628" w:rsidRPr="007D0E37" w:rsidRDefault="00416628" w:rsidP="00B56181">
            <w:pPr>
              <w:pStyle w:val="TableText"/>
              <w:ind w:left="-39" w:right="-33"/>
            </w:pPr>
          </w:p>
        </w:tc>
        <w:tc>
          <w:tcPr>
            <w:tcW w:w="1473" w:type="pct"/>
            <w:shd w:val="clear" w:color="auto" w:fill="auto"/>
          </w:tcPr>
          <w:p w:rsidR="00416628" w:rsidRPr="007D0E37" w:rsidRDefault="00416628" w:rsidP="00B56181">
            <w:pPr>
              <w:pStyle w:val="TableText"/>
              <w:ind w:left="-31" w:right="-91"/>
            </w:pPr>
            <w:r w:rsidRPr="007D0E37">
              <w:t>ULTRA 2 (Induction responders)</w:t>
            </w:r>
            <w:r w:rsidRPr="007D0E37">
              <w:rPr>
                <w:vertAlign w:val="superscript"/>
              </w:rPr>
              <w:t>c</w:t>
            </w:r>
          </w:p>
        </w:tc>
        <w:tc>
          <w:tcPr>
            <w:tcW w:w="1049" w:type="pct"/>
            <w:shd w:val="clear" w:color="auto" w:fill="auto"/>
          </w:tcPr>
          <w:p w:rsidR="00416628" w:rsidRPr="00F86D7A" w:rsidRDefault="00F86D7A" w:rsidP="00B56181">
            <w:pPr>
              <w:pStyle w:val="TableText"/>
              <w:keepNext w:val="0"/>
              <w:ind w:left="-31" w:right="-91"/>
              <w:rPr>
                <w:highlight w:val="black"/>
              </w:rPr>
            </w:pPr>
            <w:r>
              <w:rPr>
                <w:noProof/>
                <w:color w:val="000000"/>
                <w:highlight w:val="black"/>
              </w:rPr>
              <w:t>'''''''''''''''''' '''''''''''''</w:t>
            </w:r>
          </w:p>
        </w:tc>
        <w:tc>
          <w:tcPr>
            <w:tcW w:w="864" w:type="pct"/>
            <w:shd w:val="clear" w:color="auto" w:fill="auto"/>
          </w:tcPr>
          <w:p w:rsidR="00416628" w:rsidRPr="00F86D7A" w:rsidRDefault="00F86D7A" w:rsidP="00B56181">
            <w:pPr>
              <w:pStyle w:val="TableText"/>
              <w:keepNext w:val="0"/>
              <w:ind w:left="-31" w:right="-91"/>
              <w:rPr>
                <w:highlight w:val="black"/>
              </w:rPr>
            </w:pPr>
            <w:r>
              <w:rPr>
                <w:noProof/>
                <w:color w:val="000000"/>
                <w:highlight w:val="black"/>
              </w:rPr>
              <w:t>'''''''''''''' ''''''''''''''</w:t>
            </w:r>
          </w:p>
        </w:tc>
        <w:tc>
          <w:tcPr>
            <w:tcW w:w="854" w:type="pct"/>
            <w:shd w:val="clear" w:color="auto" w:fill="auto"/>
          </w:tcPr>
          <w:p w:rsidR="00416628" w:rsidRPr="00F86D7A" w:rsidRDefault="00F86D7A" w:rsidP="00B56181">
            <w:pPr>
              <w:spacing w:before="0" w:after="0"/>
              <w:ind w:left="-31" w:right="-91"/>
              <w:rPr>
                <w:rFonts w:ascii="Arial Narrow" w:hAnsi="Arial Narrow"/>
                <w:color w:val="000000"/>
                <w:sz w:val="20"/>
                <w:szCs w:val="20"/>
                <w:highlight w:val="black"/>
              </w:rPr>
            </w:pPr>
            <w:r>
              <w:rPr>
                <w:rFonts w:ascii="Arial Narrow" w:hAnsi="Arial Narrow"/>
                <w:noProof/>
                <w:color w:val="000000"/>
                <w:sz w:val="20"/>
                <w:szCs w:val="20"/>
                <w:highlight w:val="black"/>
              </w:rPr>
              <w:t>'''''''''' ''''''''''''' '''''''''''</w:t>
            </w:r>
          </w:p>
        </w:tc>
      </w:tr>
      <w:tr w:rsidR="00416628" w:rsidRPr="007D0E37" w:rsidTr="00B56181">
        <w:tc>
          <w:tcPr>
            <w:tcW w:w="760" w:type="pct"/>
            <w:tcBorders>
              <w:top w:val="nil"/>
              <w:bottom w:val="nil"/>
            </w:tcBorders>
          </w:tcPr>
          <w:p w:rsidR="00416628" w:rsidRPr="007D0E37" w:rsidRDefault="00416628" w:rsidP="00B56181">
            <w:pPr>
              <w:pStyle w:val="TableText"/>
              <w:ind w:left="-39" w:right="-33"/>
            </w:pPr>
          </w:p>
        </w:tc>
        <w:tc>
          <w:tcPr>
            <w:tcW w:w="1473" w:type="pct"/>
            <w:shd w:val="clear" w:color="auto" w:fill="auto"/>
          </w:tcPr>
          <w:p w:rsidR="00416628" w:rsidRPr="007D0E37" w:rsidRDefault="00416628" w:rsidP="00B56181">
            <w:pPr>
              <w:pStyle w:val="TableText"/>
              <w:ind w:left="-31" w:right="-91"/>
            </w:pPr>
            <w:r w:rsidRPr="007D0E37">
              <w:t>ULTRA 2 (anti-TNF naïve)</w:t>
            </w:r>
          </w:p>
        </w:tc>
        <w:tc>
          <w:tcPr>
            <w:tcW w:w="1049" w:type="pct"/>
            <w:shd w:val="clear" w:color="auto" w:fill="auto"/>
          </w:tcPr>
          <w:p w:rsidR="00416628" w:rsidRPr="007D0E37" w:rsidRDefault="00416628" w:rsidP="00B56181">
            <w:pPr>
              <w:pStyle w:val="TableText"/>
              <w:keepNext w:val="0"/>
              <w:ind w:left="-31" w:right="-91"/>
            </w:pPr>
            <w:r w:rsidRPr="007D0E37">
              <w:t>33/150 (22.0)</w:t>
            </w:r>
          </w:p>
        </w:tc>
        <w:tc>
          <w:tcPr>
            <w:tcW w:w="864" w:type="pct"/>
            <w:shd w:val="clear" w:color="auto" w:fill="auto"/>
          </w:tcPr>
          <w:p w:rsidR="00416628" w:rsidRPr="007D0E37" w:rsidRDefault="00416628" w:rsidP="00B56181">
            <w:pPr>
              <w:pStyle w:val="TableText"/>
              <w:keepNext w:val="0"/>
              <w:ind w:left="-31" w:right="-91"/>
            </w:pPr>
            <w:r w:rsidRPr="007D0E37">
              <w:t>18/145 (12.4)</w:t>
            </w:r>
          </w:p>
        </w:tc>
        <w:tc>
          <w:tcPr>
            <w:tcW w:w="854" w:type="pct"/>
            <w:shd w:val="clear" w:color="auto" w:fill="auto"/>
          </w:tcPr>
          <w:p w:rsidR="00416628" w:rsidRPr="00F86D7A" w:rsidRDefault="00F86D7A" w:rsidP="00B56181">
            <w:pPr>
              <w:spacing w:before="0" w:after="0"/>
              <w:rPr>
                <w:rFonts w:ascii="Arial Narrow" w:hAnsi="Arial Narrow"/>
                <w:b/>
                <w:color w:val="000000"/>
                <w:sz w:val="20"/>
                <w:szCs w:val="20"/>
                <w:highlight w:val="black"/>
              </w:rPr>
            </w:pPr>
            <w:r>
              <w:rPr>
                <w:rFonts w:ascii="Arial Narrow" w:hAnsi="Arial Narrow"/>
                <w:b/>
                <w:noProof/>
                <w:color w:val="000000"/>
                <w:sz w:val="20"/>
                <w:szCs w:val="20"/>
                <w:highlight w:val="black"/>
              </w:rPr>
              <w:t>'''''''' ''''''''''' ''''''''''</w:t>
            </w:r>
          </w:p>
        </w:tc>
      </w:tr>
      <w:tr w:rsidR="00416628" w:rsidRPr="007D0E37" w:rsidTr="00B56181">
        <w:tc>
          <w:tcPr>
            <w:tcW w:w="760" w:type="pct"/>
            <w:tcBorders>
              <w:top w:val="nil"/>
              <w:bottom w:val="nil"/>
            </w:tcBorders>
          </w:tcPr>
          <w:p w:rsidR="00416628" w:rsidRPr="007D0E37" w:rsidRDefault="00416628" w:rsidP="00B56181">
            <w:pPr>
              <w:pStyle w:val="TableText"/>
              <w:ind w:left="-39" w:right="-33"/>
            </w:pPr>
          </w:p>
        </w:tc>
        <w:tc>
          <w:tcPr>
            <w:tcW w:w="1473" w:type="pct"/>
            <w:shd w:val="clear" w:color="auto" w:fill="auto"/>
          </w:tcPr>
          <w:p w:rsidR="00416628" w:rsidRPr="007D0E37" w:rsidRDefault="00416628" w:rsidP="00B56181">
            <w:pPr>
              <w:pStyle w:val="TableText"/>
              <w:ind w:left="-31" w:right="-91"/>
            </w:pPr>
            <w:r w:rsidRPr="007D0E37">
              <w:t>ULTRA 2 (anti-TNF naïve, induction responders)</w:t>
            </w:r>
            <w:r w:rsidRPr="007D0E37">
              <w:rPr>
                <w:vertAlign w:val="superscript"/>
              </w:rPr>
              <w:t>c</w:t>
            </w:r>
          </w:p>
        </w:tc>
        <w:tc>
          <w:tcPr>
            <w:tcW w:w="1049" w:type="pct"/>
            <w:shd w:val="clear" w:color="auto" w:fill="auto"/>
          </w:tcPr>
          <w:p w:rsidR="00416628" w:rsidRPr="007D0E37" w:rsidRDefault="00416628" w:rsidP="00B56181">
            <w:pPr>
              <w:pStyle w:val="TableText"/>
              <w:keepNext w:val="0"/>
              <w:ind w:left="-31" w:right="-91"/>
            </w:pPr>
            <w:r w:rsidRPr="007D0E37">
              <w:rPr>
                <w:color w:val="000000"/>
                <w:lang w:eastAsia="en-AU"/>
              </w:rPr>
              <w:t>33/89 (37.1)</w:t>
            </w:r>
          </w:p>
        </w:tc>
        <w:tc>
          <w:tcPr>
            <w:tcW w:w="864" w:type="pct"/>
            <w:shd w:val="clear" w:color="auto" w:fill="auto"/>
          </w:tcPr>
          <w:p w:rsidR="00416628" w:rsidRPr="007D0E37" w:rsidRDefault="00416628" w:rsidP="00B56181">
            <w:pPr>
              <w:pStyle w:val="TableText"/>
              <w:keepNext w:val="0"/>
              <w:ind w:left="-31" w:right="-91"/>
            </w:pPr>
            <w:r w:rsidRPr="007D0E37">
              <w:rPr>
                <w:color w:val="000000"/>
                <w:lang w:eastAsia="en-AU"/>
              </w:rPr>
              <w:t>18/56 (32.1)</w:t>
            </w:r>
          </w:p>
        </w:tc>
        <w:tc>
          <w:tcPr>
            <w:tcW w:w="854" w:type="pct"/>
            <w:shd w:val="clear" w:color="auto" w:fill="auto"/>
          </w:tcPr>
          <w:p w:rsidR="00416628" w:rsidRPr="00F86D7A" w:rsidRDefault="00F86D7A" w:rsidP="00B56181">
            <w:pPr>
              <w:spacing w:before="0" w:after="0"/>
              <w:rPr>
                <w:rFonts w:ascii="Arial Narrow" w:hAnsi="Arial Narrow"/>
                <w:color w:val="000000"/>
                <w:sz w:val="20"/>
                <w:szCs w:val="20"/>
                <w:highlight w:val="black"/>
              </w:rPr>
            </w:pPr>
            <w:r>
              <w:rPr>
                <w:rFonts w:ascii="Arial Narrow" w:hAnsi="Arial Narrow"/>
                <w:noProof/>
                <w:color w:val="000000"/>
                <w:sz w:val="20"/>
                <w:szCs w:val="20"/>
                <w:highlight w:val="black"/>
              </w:rPr>
              <w:t>'''''''''''' ''''''''''''' ''''''''''''''</w:t>
            </w:r>
          </w:p>
        </w:tc>
      </w:tr>
      <w:tr w:rsidR="00416628" w:rsidRPr="007D0E37" w:rsidTr="00B56181">
        <w:tc>
          <w:tcPr>
            <w:tcW w:w="760" w:type="pct"/>
            <w:tcBorders>
              <w:top w:val="nil"/>
              <w:bottom w:val="nil"/>
            </w:tcBorders>
          </w:tcPr>
          <w:p w:rsidR="00416628" w:rsidRPr="007D0E37" w:rsidRDefault="00416628" w:rsidP="00B56181">
            <w:pPr>
              <w:pStyle w:val="TableText"/>
              <w:ind w:left="-39" w:right="-33"/>
            </w:pPr>
          </w:p>
        </w:tc>
        <w:tc>
          <w:tcPr>
            <w:tcW w:w="1473" w:type="pct"/>
            <w:tcBorders>
              <w:bottom w:val="single" w:sz="4" w:space="0" w:color="auto"/>
            </w:tcBorders>
            <w:shd w:val="clear" w:color="auto" w:fill="auto"/>
          </w:tcPr>
          <w:p w:rsidR="00416628" w:rsidRPr="007D0E37" w:rsidRDefault="00416628" w:rsidP="00B56181">
            <w:pPr>
              <w:pStyle w:val="TableText"/>
              <w:ind w:left="-31" w:right="-91"/>
            </w:pPr>
            <w:r w:rsidRPr="007D0E37">
              <w:t>Suzuki 2014</w:t>
            </w:r>
          </w:p>
        </w:tc>
        <w:tc>
          <w:tcPr>
            <w:tcW w:w="1049" w:type="pct"/>
            <w:tcBorders>
              <w:bottom w:val="single" w:sz="4" w:space="0" w:color="auto"/>
            </w:tcBorders>
            <w:shd w:val="clear" w:color="auto" w:fill="auto"/>
          </w:tcPr>
          <w:p w:rsidR="00416628" w:rsidRPr="007D0E37" w:rsidRDefault="00416628" w:rsidP="00B56181">
            <w:pPr>
              <w:pStyle w:val="TableText"/>
              <w:keepNext w:val="0"/>
              <w:ind w:left="-31" w:right="-91"/>
            </w:pPr>
            <w:r w:rsidRPr="007D0E37">
              <w:t>41/177 (</w:t>
            </w:r>
            <w:r w:rsidR="00F86D7A">
              <w:rPr>
                <w:noProof/>
                <w:color w:val="000000"/>
                <w:highlight w:val="black"/>
              </w:rPr>
              <w:t>''''''''''</w:t>
            </w:r>
            <w:r w:rsidRPr="007D0E37">
              <w:t>)</w:t>
            </w:r>
          </w:p>
        </w:tc>
        <w:tc>
          <w:tcPr>
            <w:tcW w:w="864" w:type="pct"/>
            <w:tcBorders>
              <w:bottom w:val="single" w:sz="4" w:space="0" w:color="auto"/>
            </w:tcBorders>
            <w:shd w:val="clear" w:color="auto" w:fill="auto"/>
          </w:tcPr>
          <w:p w:rsidR="00416628" w:rsidRPr="007D0E37" w:rsidRDefault="00416628" w:rsidP="00B56181">
            <w:pPr>
              <w:pStyle w:val="TableText"/>
              <w:keepNext w:val="0"/>
              <w:ind w:left="-31" w:right="-91"/>
            </w:pPr>
            <w:r w:rsidRPr="007D0E37">
              <w:t>7/96 (</w:t>
            </w:r>
            <w:r w:rsidR="00F86D7A">
              <w:rPr>
                <w:noProof/>
                <w:color w:val="000000"/>
                <w:highlight w:val="black"/>
              </w:rPr>
              <w:t>'''''''</w:t>
            </w:r>
            <w:r w:rsidRPr="007D0E37">
              <w:t>)</w:t>
            </w:r>
          </w:p>
        </w:tc>
        <w:tc>
          <w:tcPr>
            <w:tcW w:w="854" w:type="pct"/>
            <w:shd w:val="clear" w:color="auto" w:fill="auto"/>
          </w:tcPr>
          <w:p w:rsidR="00416628" w:rsidRPr="00F86D7A" w:rsidRDefault="00F86D7A" w:rsidP="00B56181">
            <w:pPr>
              <w:pStyle w:val="TableText"/>
              <w:keepNext w:val="0"/>
              <w:ind w:left="-31" w:right="-91"/>
              <w:rPr>
                <w:b/>
                <w:color w:val="000000"/>
                <w:szCs w:val="20"/>
                <w:highlight w:val="black"/>
              </w:rPr>
            </w:pPr>
            <w:r>
              <w:rPr>
                <w:b/>
                <w:noProof/>
                <w:color w:val="000000"/>
                <w:szCs w:val="20"/>
                <w:highlight w:val="black"/>
              </w:rPr>
              <w:t>''''''''' '''''''''''' '''''''''</w:t>
            </w:r>
          </w:p>
        </w:tc>
      </w:tr>
      <w:tr w:rsidR="00416628" w:rsidRPr="007D0E37" w:rsidTr="00B56181">
        <w:tc>
          <w:tcPr>
            <w:tcW w:w="760" w:type="pct"/>
            <w:tcBorders>
              <w:top w:val="nil"/>
              <w:bottom w:val="single" w:sz="4" w:space="0" w:color="auto"/>
            </w:tcBorders>
          </w:tcPr>
          <w:p w:rsidR="00416628" w:rsidRPr="007D0E37" w:rsidRDefault="00416628" w:rsidP="00B56181">
            <w:pPr>
              <w:pStyle w:val="TableText"/>
              <w:ind w:left="-39" w:right="-33"/>
            </w:pPr>
            <w:r w:rsidRPr="007D0E37">
              <w:t>Meta-analysis</w:t>
            </w:r>
          </w:p>
        </w:tc>
        <w:tc>
          <w:tcPr>
            <w:tcW w:w="1473" w:type="pct"/>
            <w:tcBorders>
              <w:right w:val="nil"/>
            </w:tcBorders>
            <w:shd w:val="clear" w:color="auto" w:fill="auto"/>
          </w:tcPr>
          <w:p w:rsidR="00416628" w:rsidRPr="007D0E37" w:rsidRDefault="00416628" w:rsidP="00B56181">
            <w:pPr>
              <w:pStyle w:val="TableText"/>
              <w:ind w:left="-31" w:right="-91"/>
            </w:pPr>
            <w:r w:rsidRPr="007D0E37">
              <w:t>ULTRA 2, Suzuki 2014</w:t>
            </w:r>
          </w:p>
        </w:tc>
        <w:tc>
          <w:tcPr>
            <w:tcW w:w="1049" w:type="pct"/>
            <w:tcBorders>
              <w:left w:val="nil"/>
              <w:right w:val="nil"/>
            </w:tcBorders>
            <w:shd w:val="clear" w:color="auto" w:fill="auto"/>
          </w:tcPr>
          <w:p w:rsidR="00416628" w:rsidRPr="007D0E37" w:rsidRDefault="00416628" w:rsidP="00B56181">
            <w:pPr>
              <w:spacing w:before="0" w:after="0"/>
              <w:ind w:left="-31" w:right="-91"/>
              <w:rPr>
                <w:rFonts w:ascii="Arial Narrow" w:hAnsi="Arial Narrow"/>
                <w:color w:val="000000"/>
                <w:sz w:val="20"/>
                <w:szCs w:val="20"/>
              </w:rPr>
            </w:pPr>
          </w:p>
        </w:tc>
        <w:tc>
          <w:tcPr>
            <w:tcW w:w="864" w:type="pct"/>
            <w:tcBorders>
              <w:left w:val="nil"/>
            </w:tcBorders>
            <w:shd w:val="clear" w:color="auto" w:fill="auto"/>
          </w:tcPr>
          <w:p w:rsidR="00416628" w:rsidRPr="007D0E37" w:rsidRDefault="00416628" w:rsidP="00B56181">
            <w:pPr>
              <w:pStyle w:val="TableText"/>
              <w:ind w:left="-31" w:right="-91"/>
            </w:pPr>
          </w:p>
        </w:tc>
        <w:tc>
          <w:tcPr>
            <w:tcW w:w="854" w:type="pct"/>
            <w:shd w:val="clear" w:color="auto" w:fill="auto"/>
          </w:tcPr>
          <w:p w:rsidR="00416628" w:rsidRPr="00F86D7A" w:rsidRDefault="00F86D7A" w:rsidP="00B56181">
            <w:pPr>
              <w:spacing w:before="0" w:after="0"/>
              <w:ind w:left="-31" w:right="-91"/>
              <w:rPr>
                <w:rFonts w:ascii="Arial Narrow" w:hAnsi="Arial Narrow"/>
                <w:b/>
                <w:color w:val="000000"/>
                <w:sz w:val="20"/>
                <w:szCs w:val="20"/>
                <w:highlight w:val="black"/>
              </w:rPr>
            </w:pPr>
            <w:r>
              <w:rPr>
                <w:rFonts w:ascii="Arial Narrow" w:hAnsi="Arial Narrow"/>
                <w:noProof/>
                <w:color w:val="000000"/>
                <w:sz w:val="20"/>
                <w:szCs w:val="20"/>
                <w:highlight w:val="black"/>
              </w:rPr>
              <w:t>'''''''''''</w:t>
            </w:r>
            <w:r w:rsidRPr="00F86D7A">
              <w:rPr>
                <w:rStyle w:val="CommentReference"/>
                <w:noProof/>
                <w:color w:val="000000"/>
                <w:highlight w:val="black"/>
              </w:rPr>
              <w:t xml:space="preserve"> </w:t>
            </w:r>
          </w:p>
        </w:tc>
      </w:tr>
      <w:tr w:rsidR="00416628" w:rsidRPr="007D0E37" w:rsidTr="00B56181">
        <w:tc>
          <w:tcPr>
            <w:tcW w:w="760" w:type="pct"/>
            <w:tcBorders>
              <w:top w:val="single" w:sz="4" w:space="0" w:color="auto"/>
              <w:bottom w:val="single" w:sz="4" w:space="0" w:color="auto"/>
            </w:tcBorders>
          </w:tcPr>
          <w:p w:rsidR="00416628" w:rsidRPr="007D0E37" w:rsidRDefault="00416628" w:rsidP="00B56181">
            <w:pPr>
              <w:pStyle w:val="TableText"/>
              <w:ind w:left="-39" w:right="-33"/>
            </w:pPr>
            <w:r w:rsidRPr="007D0E37">
              <w:t>VDZ vs PBO</w:t>
            </w:r>
          </w:p>
        </w:tc>
        <w:tc>
          <w:tcPr>
            <w:tcW w:w="1473" w:type="pct"/>
            <w:tcBorders>
              <w:bottom w:val="single" w:sz="4" w:space="0" w:color="auto"/>
            </w:tcBorders>
            <w:shd w:val="clear" w:color="auto" w:fill="auto"/>
          </w:tcPr>
          <w:p w:rsidR="00416628" w:rsidRPr="007D0E37" w:rsidRDefault="00416628" w:rsidP="00B56181">
            <w:pPr>
              <w:pStyle w:val="TableText"/>
              <w:ind w:left="-31" w:right="-91"/>
            </w:pPr>
            <w:r w:rsidRPr="007D0E37">
              <w:t>GEMINI 1</w:t>
            </w:r>
          </w:p>
        </w:tc>
        <w:tc>
          <w:tcPr>
            <w:tcW w:w="1049" w:type="pct"/>
            <w:tcBorders>
              <w:bottom w:val="single" w:sz="4" w:space="0" w:color="auto"/>
            </w:tcBorders>
            <w:shd w:val="clear" w:color="auto" w:fill="auto"/>
          </w:tcPr>
          <w:p w:rsidR="00416628" w:rsidRPr="007D0E37" w:rsidRDefault="00416628" w:rsidP="00B56181">
            <w:pPr>
              <w:pStyle w:val="TableText"/>
              <w:keepNext w:val="0"/>
              <w:ind w:left="-31" w:right="-91"/>
            </w:pPr>
            <w:r w:rsidRPr="007D0E37">
              <w:t>51/122 (41.8)</w:t>
            </w:r>
          </w:p>
        </w:tc>
        <w:tc>
          <w:tcPr>
            <w:tcW w:w="864" w:type="pct"/>
            <w:tcBorders>
              <w:bottom w:val="single" w:sz="4" w:space="0" w:color="auto"/>
            </w:tcBorders>
            <w:shd w:val="clear" w:color="auto" w:fill="auto"/>
          </w:tcPr>
          <w:p w:rsidR="00416628" w:rsidRPr="007D0E37" w:rsidRDefault="00416628" w:rsidP="00B56181">
            <w:pPr>
              <w:pStyle w:val="TableText"/>
              <w:keepNext w:val="0"/>
              <w:ind w:left="-31" w:right="-91"/>
            </w:pPr>
            <w:r w:rsidRPr="007D0E37">
              <w:t>20/126 (15.9)</w:t>
            </w:r>
          </w:p>
        </w:tc>
        <w:tc>
          <w:tcPr>
            <w:tcW w:w="854" w:type="pct"/>
            <w:tcBorders>
              <w:bottom w:val="single" w:sz="4" w:space="0" w:color="auto"/>
            </w:tcBorders>
            <w:shd w:val="clear" w:color="auto" w:fill="auto"/>
          </w:tcPr>
          <w:p w:rsidR="00416628" w:rsidRPr="00F86D7A" w:rsidRDefault="00F86D7A" w:rsidP="00B56181">
            <w:pPr>
              <w:spacing w:before="0" w:after="0"/>
              <w:ind w:left="-31" w:right="-91"/>
              <w:rPr>
                <w:rFonts w:ascii="Arial Narrow" w:hAnsi="Arial Narrow"/>
                <w:b/>
                <w:color w:val="000000"/>
                <w:sz w:val="20"/>
                <w:szCs w:val="20"/>
                <w:highlight w:val="black"/>
              </w:rPr>
            </w:pPr>
            <w:r>
              <w:rPr>
                <w:rFonts w:ascii="Arial Narrow" w:hAnsi="Arial Narrow"/>
                <w:b/>
                <w:noProof/>
                <w:color w:val="000000"/>
                <w:sz w:val="20"/>
                <w:szCs w:val="20"/>
                <w:highlight w:val="black"/>
              </w:rPr>
              <w:t>'''''''' '''''''''''' ''''''''''</w:t>
            </w:r>
          </w:p>
        </w:tc>
      </w:tr>
      <w:tr w:rsidR="00416628" w:rsidRPr="007D0E37" w:rsidTr="00AE22D9">
        <w:tc>
          <w:tcPr>
            <w:tcW w:w="4146" w:type="pct"/>
            <w:gridSpan w:val="4"/>
            <w:tcBorders>
              <w:right w:val="nil"/>
            </w:tcBorders>
          </w:tcPr>
          <w:p w:rsidR="00416628" w:rsidRPr="007D0E37" w:rsidRDefault="00416628" w:rsidP="00B56181">
            <w:pPr>
              <w:pStyle w:val="TableText"/>
              <w:ind w:left="-31" w:right="-91"/>
            </w:pPr>
            <w:r w:rsidRPr="007D0E37">
              <w:t>Indirect estimate of effect adjusted for the common reference (GOL vs IFX)</w:t>
            </w:r>
          </w:p>
        </w:tc>
        <w:tc>
          <w:tcPr>
            <w:tcW w:w="854" w:type="pct"/>
            <w:tcBorders>
              <w:left w:val="nil"/>
              <w:right w:val="single" w:sz="4" w:space="0" w:color="auto"/>
            </w:tcBorders>
            <w:shd w:val="clear" w:color="auto" w:fill="auto"/>
          </w:tcPr>
          <w:p w:rsidR="00416628" w:rsidRPr="00F86D7A" w:rsidRDefault="00416628" w:rsidP="00B56181">
            <w:pPr>
              <w:spacing w:before="0" w:after="0"/>
              <w:ind w:left="-31" w:right="-91"/>
              <w:rPr>
                <w:rFonts w:ascii="Arial Narrow" w:hAnsi="Arial Narrow"/>
                <w:color w:val="000000"/>
                <w:sz w:val="20"/>
                <w:szCs w:val="20"/>
              </w:rPr>
            </w:pPr>
          </w:p>
        </w:tc>
      </w:tr>
      <w:tr w:rsidR="00416628" w:rsidRPr="007D0E37" w:rsidTr="00B56181">
        <w:tc>
          <w:tcPr>
            <w:tcW w:w="4146" w:type="pct"/>
            <w:gridSpan w:val="4"/>
            <w:tcBorders>
              <w:bottom w:val="single" w:sz="4" w:space="0" w:color="auto"/>
            </w:tcBorders>
          </w:tcPr>
          <w:p w:rsidR="00416628" w:rsidRPr="007D0E37" w:rsidRDefault="00416628" w:rsidP="00B56181">
            <w:pPr>
              <w:pStyle w:val="TableText"/>
              <w:ind w:left="175" w:right="-91"/>
            </w:pPr>
            <w:r w:rsidRPr="007D0E37">
              <w:t>Using trial results: PURSUIT-M, ACT 1</w:t>
            </w:r>
          </w:p>
        </w:tc>
        <w:tc>
          <w:tcPr>
            <w:tcW w:w="854" w:type="pct"/>
            <w:tcBorders>
              <w:bottom w:val="single" w:sz="4" w:space="0" w:color="auto"/>
            </w:tcBorders>
            <w:shd w:val="clear" w:color="auto" w:fill="auto"/>
          </w:tcPr>
          <w:p w:rsidR="00416628" w:rsidRPr="00F86D7A" w:rsidRDefault="00F86D7A" w:rsidP="00B56181">
            <w:pPr>
              <w:spacing w:before="0" w:after="0"/>
              <w:ind w:left="-31" w:right="-91"/>
              <w:rPr>
                <w:rFonts w:ascii="Arial Narrow" w:hAnsi="Arial Narrow"/>
                <w:color w:val="000000"/>
                <w:sz w:val="20"/>
                <w:szCs w:val="20"/>
                <w:highlight w:val="black"/>
              </w:rPr>
            </w:pPr>
            <w:r>
              <w:rPr>
                <w:rFonts w:ascii="Arial Narrow" w:hAnsi="Arial Narrow"/>
                <w:noProof/>
                <w:color w:val="000000"/>
                <w:sz w:val="20"/>
                <w:szCs w:val="20"/>
                <w:highlight w:val="black"/>
              </w:rPr>
              <w:t>'''''''''''' '''''''''''''' ''''''''''''''</w:t>
            </w:r>
          </w:p>
        </w:tc>
      </w:tr>
      <w:tr w:rsidR="00416628" w:rsidRPr="007D0E37" w:rsidTr="00B56181">
        <w:tc>
          <w:tcPr>
            <w:tcW w:w="4146" w:type="pct"/>
            <w:gridSpan w:val="4"/>
            <w:tcBorders>
              <w:bottom w:val="single" w:sz="4" w:space="0" w:color="auto"/>
            </w:tcBorders>
          </w:tcPr>
          <w:p w:rsidR="00416628" w:rsidRPr="007D0E37" w:rsidRDefault="00416628" w:rsidP="00B56181">
            <w:pPr>
              <w:pStyle w:val="TableText"/>
              <w:ind w:left="175" w:right="-91"/>
            </w:pPr>
            <w:r w:rsidRPr="007D0E37">
              <w:t>Using trial results: PURSUIT-M, ACT 1 (Induction responders)</w:t>
            </w:r>
          </w:p>
        </w:tc>
        <w:tc>
          <w:tcPr>
            <w:tcW w:w="854" w:type="pct"/>
            <w:tcBorders>
              <w:bottom w:val="single" w:sz="4" w:space="0" w:color="auto"/>
            </w:tcBorders>
            <w:shd w:val="clear" w:color="auto" w:fill="auto"/>
          </w:tcPr>
          <w:p w:rsidR="00416628" w:rsidRPr="00F86D7A" w:rsidRDefault="00F86D7A" w:rsidP="00B56181">
            <w:pPr>
              <w:spacing w:before="0" w:after="0"/>
              <w:ind w:left="-31" w:right="-91"/>
              <w:rPr>
                <w:rFonts w:ascii="Arial Narrow" w:hAnsi="Arial Narrow"/>
                <w:color w:val="000000"/>
                <w:sz w:val="20"/>
                <w:szCs w:val="20"/>
                <w:highlight w:val="black"/>
              </w:rPr>
            </w:pPr>
            <w:r>
              <w:rPr>
                <w:rFonts w:ascii="Arial Narrow" w:hAnsi="Arial Narrow"/>
                <w:noProof/>
                <w:color w:val="000000"/>
                <w:sz w:val="20"/>
                <w:szCs w:val="20"/>
                <w:highlight w:val="black"/>
              </w:rPr>
              <w:t>''''''''''' '''''''''''''' ''''''''''''</w:t>
            </w:r>
          </w:p>
        </w:tc>
      </w:tr>
      <w:tr w:rsidR="00416628" w:rsidRPr="007D0E37" w:rsidTr="00B56181">
        <w:tc>
          <w:tcPr>
            <w:tcW w:w="4146" w:type="pct"/>
            <w:gridSpan w:val="4"/>
            <w:tcBorders>
              <w:bottom w:val="single" w:sz="4" w:space="0" w:color="auto"/>
            </w:tcBorders>
          </w:tcPr>
          <w:p w:rsidR="00416628" w:rsidRPr="007D0E37" w:rsidRDefault="00416628" w:rsidP="00B56181">
            <w:pPr>
              <w:pStyle w:val="TableText"/>
              <w:ind w:left="175" w:right="-91"/>
            </w:pPr>
            <w:r w:rsidRPr="007D0E37">
              <w:t>Using trial results: PURSUIT-M, PURSUIT-J, ACT 1</w:t>
            </w:r>
          </w:p>
        </w:tc>
        <w:tc>
          <w:tcPr>
            <w:tcW w:w="854" w:type="pct"/>
            <w:tcBorders>
              <w:bottom w:val="single" w:sz="4" w:space="0" w:color="auto"/>
            </w:tcBorders>
            <w:shd w:val="clear" w:color="auto" w:fill="auto"/>
          </w:tcPr>
          <w:p w:rsidR="00416628" w:rsidRPr="00F86D7A" w:rsidRDefault="00F86D7A" w:rsidP="00B56181">
            <w:pPr>
              <w:spacing w:before="0" w:after="0"/>
              <w:ind w:left="-31" w:right="-91"/>
              <w:rPr>
                <w:rFonts w:ascii="Arial Narrow" w:hAnsi="Arial Narrow"/>
                <w:color w:val="000000"/>
                <w:sz w:val="20"/>
                <w:szCs w:val="20"/>
                <w:highlight w:val="black"/>
              </w:rPr>
            </w:pPr>
            <w:r>
              <w:rPr>
                <w:rFonts w:ascii="Arial Narrow" w:hAnsi="Arial Narrow"/>
                <w:noProof/>
                <w:color w:val="000000"/>
                <w:sz w:val="20"/>
                <w:szCs w:val="20"/>
                <w:highlight w:val="black"/>
              </w:rPr>
              <w:t>'''''''''' ''''''''''''' ''''''''''''''</w:t>
            </w:r>
          </w:p>
        </w:tc>
      </w:tr>
      <w:tr w:rsidR="00416628" w:rsidRPr="007D0E37" w:rsidTr="00B56181">
        <w:tc>
          <w:tcPr>
            <w:tcW w:w="4146" w:type="pct"/>
            <w:gridSpan w:val="4"/>
            <w:tcBorders>
              <w:bottom w:val="single" w:sz="4" w:space="0" w:color="auto"/>
            </w:tcBorders>
          </w:tcPr>
          <w:p w:rsidR="00416628" w:rsidRPr="007D0E37" w:rsidRDefault="00416628" w:rsidP="00B56181">
            <w:pPr>
              <w:pStyle w:val="TableText"/>
              <w:ind w:left="175" w:right="-91"/>
            </w:pPr>
            <w:r w:rsidRPr="007D0E37">
              <w:t>Using trial results: PURSUIT-M, PURSUIT-J, ACT 1 (Induction responders)</w:t>
            </w:r>
          </w:p>
        </w:tc>
        <w:tc>
          <w:tcPr>
            <w:tcW w:w="854" w:type="pct"/>
            <w:tcBorders>
              <w:bottom w:val="single" w:sz="4" w:space="0" w:color="auto"/>
            </w:tcBorders>
            <w:shd w:val="clear" w:color="auto" w:fill="auto"/>
          </w:tcPr>
          <w:p w:rsidR="00416628" w:rsidRPr="00F86D7A" w:rsidRDefault="00F86D7A" w:rsidP="00B56181">
            <w:pPr>
              <w:spacing w:before="0" w:after="0"/>
              <w:ind w:left="-31" w:right="-91"/>
              <w:rPr>
                <w:rFonts w:ascii="Arial Narrow" w:hAnsi="Arial Narrow"/>
                <w:color w:val="000000"/>
                <w:sz w:val="20"/>
                <w:szCs w:val="20"/>
                <w:highlight w:val="black"/>
              </w:rPr>
            </w:pPr>
            <w:r>
              <w:rPr>
                <w:rFonts w:ascii="Arial Narrow" w:hAnsi="Arial Narrow"/>
                <w:noProof/>
                <w:color w:val="000000"/>
                <w:sz w:val="20"/>
                <w:szCs w:val="20"/>
                <w:highlight w:val="black"/>
              </w:rPr>
              <w:t>''''''''''' '''''''''''' ''''''''''''</w:t>
            </w:r>
          </w:p>
        </w:tc>
      </w:tr>
      <w:tr w:rsidR="00416628" w:rsidRPr="007D0E37" w:rsidTr="00AE22D9">
        <w:tc>
          <w:tcPr>
            <w:tcW w:w="4146" w:type="pct"/>
            <w:gridSpan w:val="4"/>
            <w:tcBorders>
              <w:right w:val="nil"/>
            </w:tcBorders>
          </w:tcPr>
          <w:p w:rsidR="00416628" w:rsidRPr="007D0E37" w:rsidRDefault="00416628" w:rsidP="00B56181">
            <w:pPr>
              <w:pStyle w:val="TableText"/>
              <w:ind w:left="-31" w:right="-91"/>
            </w:pPr>
            <w:r w:rsidRPr="007D0E37">
              <w:t>Indirect estimate of effect adjusted for the common reference (GOL vs ADA)</w:t>
            </w:r>
          </w:p>
        </w:tc>
        <w:tc>
          <w:tcPr>
            <w:tcW w:w="854" w:type="pct"/>
            <w:tcBorders>
              <w:left w:val="nil"/>
              <w:right w:val="single" w:sz="4" w:space="0" w:color="auto"/>
            </w:tcBorders>
            <w:shd w:val="clear" w:color="auto" w:fill="auto"/>
          </w:tcPr>
          <w:p w:rsidR="00416628" w:rsidRPr="00F86D7A" w:rsidRDefault="00416628" w:rsidP="00B56181">
            <w:pPr>
              <w:spacing w:before="0" w:after="0"/>
              <w:ind w:left="-31" w:right="-91"/>
              <w:rPr>
                <w:rFonts w:ascii="Arial Narrow" w:hAnsi="Arial Narrow"/>
                <w:color w:val="000000"/>
                <w:sz w:val="20"/>
                <w:szCs w:val="20"/>
              </w:rPr>
            </w:pPr>
          </w:p>
        </w:tc>
      </w:tr>
      <w:tr w:rsidR="00416628" w:rsidRPr="007D0E37" w:rsidTr="00B56181">
        <w:tc>
          <w:tcPr>
            <w:tcW w:w="4146" w:type="pct"/>
            <w:gridSpan w:val="4"/>
          </w:tcPr>
          <w:p w:rsidR="00416628" w:rsidRPr="007D0E37" w:rsidRDefault="00416628" w:rsidP="00B56181">
            <w:pPr>
              <w:pStyle w:val="TableText"/>
              <w:ind w:left="175" w:right="-91"/>
            </w:pPr>
            <w:r w:rsidRPr="007D0E37">
              <w:t>Using trial results: PURSUIT-M, ULTRA 2</w:t>
            </w:r>
          </w:p>
        </w:tc>
        <w:tc>
          <w:tcPr>
            <w:tcW w:w="854" w:type="pct"/>
            <w:shd w:val="clear" w:color="auto" w:fill="auto"/>
          </w:tcPr>
          <w:p w:rsidR="00416628" w:rsidRPr="00F86D7A" w:rsidRDefault="00F86D7A" w:rsidP="00B56181">
            <w:pPr>
              <w:spacing w:before="0" w:after="0"/>
              <w:ind w:right="-91"/>
              <w:rPr>
                <w:rFonts w:ascii="Arial Narrow" w:hAnsi="Arial Narrow"/>
                <w:color w:val="000000"/>
                <w:sz w:val="20"/>
                <w:szCs w:val="20"/>
                <w:highlight w:val="black"/>
              </w:rPr>
            </w:pPr>
            <w:r>
              <w:rPr>
                <w:rFonts w:ascii="Arial Narrow" w:hAnsi="Arial Narrow"/>
                <w:noProof/>
                <w:color w:val="000000"/>
                <w:sz w:val="20"/>
                <w:szCs w:val="20"/>
                <w:highlight w:val="black"/>
              </w:rPr>
              <w:t>''''''''''' ''''''''''''''' '''''''''''''</w:t>
            </w:r>
          </w:p>
        </w:tc>
      </w:tr>
      <w:tr w:rsidR="00416628" w:rsidRPr="007D0E37" w:rsidTr="00B56181">
        <w:tc>
          <w:tcPr>
            <w:tcW w:w="4146" w:type="pct"/>
            <w:gridSpan w:val="4"/>
          </w:tcPr>
          <w:p w:rsidR="00416628" w:rsidRPr="007D0E37" w:rsidRDefault="00416628" w:rsidP="00B56181">
            <w:pPr>
              <w:pStyle w:val="TableText"/>
              <w:ind w:left="175" w:right="-91"/>
            </w:pPr>
            <w:r w:rsidRPr="007D0E37">
              <w:t>Using trial results: PURSUIT-M, ULTRA 2 (Induction responders)</w:t>
            </w:r>
          </w:p>
        </w:tc>
        <w:tc>
          <w:tcPr>
            <w:tcW w:w="854" w:type="pct"/>
            <w:shd w:val="clear" w:color="auto" w:fill="auto"/>
          </w:tcPr>
          <w:p w:rsidR="00416628" w:rsidRPr="00F86D7A" w:rsidDel="006344B2" w:rsidRDefault="00F86D7A" w:rsidP="00B56181">
            <w:pPr>
              <w:spacing w:before="0" w:after="0"/>
              <w:ind w:left="-31" w:right="-91"/>
              <w:rPr>
                <w:rFonts w:ascii="Arial Narrow" w:hAnsi="Arial Narrow"/>
                <w:color w:val="000000"/>
                <w:sz w:val="20"/>
                <w:szCs w:val="20"/>
                <w:highlight w:val="black"/>
              </w:rPr>
            </w:pPr>
            <w:r>
              <w:rPr>
                <w:rFonts w:ascii="Arial Narrow" w:hAnsi="Arial Narrow"/>
                <w:noProof/>
                <w:color w:val="000000"/>
                <w:sz w:val="20"/>
                <w:szCs w:val="20"/>
                <w:highlight w:val="black"/>
              </w:rPr>
              <w:t>'''''''''' ''''''''''''' ''''''''''''</w:t>
            </w:r>
          </w:p>
        </w:tc>
      </w:tr>
      <w:tr w:rsidR="00416628" w:rsidRPr="007D0E37" w:rsidTr="00B56181">
        <w:tc>
          <w:tcPr>
            <w:tcW w:w="4146" w:type="pct"/>
            <w:gridSpan w:val="4"/>
          </w:tcPr>
          <w:p w:rsidR="00416628" w:rsidRPr="007D0E37" w:rsidRDefault="00416628" w:rsidP="00B56181">
            <w:pPr>
              <w:pStyle w:val="TableText"/>
              <w:ind w:left="175" w:right="-91"/>
            </w:pPr>
            <w:r w:rsidRPr="007D0E37">
              <w:t>Using trial results: PURSUIT-M, ULTRA 2 (anti-TNF naïve)</w:t>
            </w:r>
          </w:p>
        </w:tc>
        <w:tc>
          <w:tcPr>
            <w:tcW w:w="854" w:type="pct"/>
            <w:shd w:val="clear" w:color="auto" w:fill="auto"/>
          </w:tcPr>
          <w:p w:rsidR="00416628" w:rsidRPr="00F86D7A" w:rsidRDefault="00F86D7A" w:rsidP="00B56181">
            <w:pPr>
              <w:spacing w:before="0" w:after="0"/>
              <w:ind w:left="-31" w:right="-91"/>
              <w:rPr>
                <w:rFonts w:ascii="Arial Narrow" w:hAnsi="Arial Narrow"/>
                <w:color w:val="000000"/>
                <w:sz w:val="20"/>
                <w:szCs w:val="20"/>
                <w:highlight w:val="black"/>
              </w:rPr>
            </w:pPr>
            <w:r>
              <w:rPr>
                <w:rFonts w:ascii="Arial Narrow" w:hAnsi="Arial Narrow"/>
                <w:noProof/>
                <w:color w:val="000000"/>
                <w:sz w:val="20"/>
                <w:szCs w:val="20"/>
                <w:highlight w:val="black"/>
              </w:rPr>
              <w:t>''''''''''</w:t>
            </w:r>
          </w:p>
        </w:tc>
      </w:tr>
      <w:tr w:rsidR="00416628" w:rsidRPr="007D0E37" w:rsidTr="00B56181">
        <w:tc>
          <w:tcPr>
            <w:tcW w:w="4146" w:type="pct"/>
            <w:gridSpan w:val="4"/>
          </w:tcPr>
          <w:p w:rsidR="00416628" w:rsidRPr="007D0E37" w:rsidRDefault="00416628" w:rsidP="00B56181">
            <w:pPr>
              <w:pStyle w:val="TableText"/>
              <w:ind w:left="175" w:right="-91"/>
            </w:pPr>
            <w:r w:rsidRPr="007D0E37">
              <w:t>Using trial results: PURSUIT-M, ULTRA 2 (anti-TNF naïve, induction responders)</w:t>
            </w:r>
          </w:p>
        </w:tc>
        <w:tc>
          <w:tcPr>
            <w:tcW w:w="854" w:type="pct"/>
            <w:shd w:val="clear" w:color="auto" w:fill="auto"/>
          </w:tcPr>
          <w:p w:rsidR="00416628" w:rsidRPr="00F86D7A" w:rsidRDefault="00F86D7A" w:rsidP="00B56181">
            <w:pPr>
              <w:spacing w:before="0" w:after="0"/>
              <w:ind w:left="-31" w:right="-91"/>
              <w:rPr>
                <w:rFonts w:ascii="Arial Narrow" w:hAnsi="Arial Narrow"/>
                <w:color w:val="000000"/>
                <w:sz w:val="20"/>
                <w:szCs w:val="20"/>
                <w:highlight w:val="black"/>
              </w:rPr>
            </w:pPr>
            <w:r>
              <w:rPr>
                <w:rFonts w:ascii="Arial Narrow" w:hAnsi="Arial Narrow"/>
                <w:noProof/>
                <w:color w:val="000000"/>
                <w:sz w:val="20"/>
                <w:szCs w:val="20"/>
                <w:highlight w:val="black"/>
              </w:rPr>
              <w:t>''''''''''' '''''''''''' '''''''''''</w:t>
            </w:r>
          </w:p>
        </w:tc>
      </w:tr>
      <w:tr w:rsidR="00416628" w:rsidRPr="007D0E37" w:rsidTr="00B56181">
        <w:tc>
          <w:tcPr>
            <w:tcW w:w="4146" w:type="pct"/>
            <w:gridSpan w:val="4"/>
          </w:tcPr>
          <w:p w:rsidR="00416628" w:rsidRPr="007D0E37" w:rsidRDefault="00416628" w:rsidP="00B56181">
            <w:pPr>
              <w:pStyle w:val="TableText"/>
              <w:ind w:left="175" w:right="-91"/>
            </w:pPr>
            <w:r w:rsidRPr="007D0E37">
              <w:t>Using trial results: PURSUIT-M, PURSUIT-J, ULTRA 2,</w:t>
            </w:r>
          </w:p>
        </w:tc>
        <w:tc>
          <w:tcPr>
            <w:tcW w:w="854" w:type="pct"/>
            <w:shd w:val="clear" w:color="auto" w:fill="auto"/>
          </w:tcPr>
          <w:p w:rsidR="00416628" w:rsidRPr="00F86D7A" w:rsidRDefault="00F86D7A" w:rsidP="00B56181">
            <w:pPr>
              <w:spacing w:before="0" w:after="0"/>
              <w:ind w:left="-31" w:right="-91"/>
              <w:rPr>
                <w:rFonts w:ascii="Arial Narrow" w:hAnsi="Arial Narrow"/>
                <w:color w:val="000000"/>
                <w:sz w:val="20"/>
                <w:szCs w:val="20"/>
                <w:highlight w:val="black"/>
              </w:rPr>
            </w:pPr>
            <w:r>
              <w:rPr>
                <w:rFonts w:ascii="Arial Narrow" w:hAnsi="Arial Narrow"/>
                <w:noProof/>
                <w:color w:val="000000"/>
                <w:sz w:val="20"/>
                <w:szCs w:val="20"/>
                <w:highlight w:val="black"/>
              </w:rPr>
              <w:t>''''''''''' ''''''''''''''' ''''''''''''</w:t>
            </w:r>
          </w:p>
        </w:tc>
      </w:tr>
      <w:tr w:rsidR="00416628" w:rsidRPr="007D0E37" w:rsidTr="00B56181">
        <w:tc>
          <w:tcPr>
            <w:tcW w:w="4146" w:type="pct"/>
            <w:gridSpan w:val="4"/>
          </w:tcPr>
          <w:p w:rsidR="00416628" w:rsidRPr="007D0E37" w:rsidRDefault="00416628" w:rsidP="00B56181">
            <w:pPr>
              <w:pStyle w:val="TableText"/>
              <w:ind w:left="175" w:right="-91"/>
            </w:pPr>
            <w:r w:rsidRPr="007D0E37">
              <w:t>Using trial results: PURSUIT-M, PURSUIT-J, ULTRA 2 (Induction responders)</w:t>
            </w:r>
          </w:p>
        </w:tc>
        <w:tc>
          <w:tcPr>
            <w:tcW w:w="854" w:type="pct"/>
            <w:shd w:val="clear" w:color="auto" w:fill="auto"/>
          </w:tcPr>
          <w:p w:rsidR="00416628" w:rsidRPr="00F86D7A" w:rsidRDefault="00F86D7A" w:rsidP="00B56181">
            <w:pPr>
              <w:spacing w:before="0" w:after="0"/>
              <w:ind w:left="-31" w:right="-91"/>
              <w:rPr>
                <w:rFonts w:ascii="Arial Narrow" w:hAnsi="Arial Narrow"/>
                <w:color w:val="000000"/>
                <w:sz w:val="20"/>
                <w:szCs w:val="20"/>
                <w:highlight w:val="black"/>
              </w:rPr>
            </w:pPr>
            <w:r>
              <w:rPr>
                <w:rFonts w:ascii="Arial Narrow" w:hAnsi="Arial Narrow"/>
                <w:noProof/>
                <w:color w:val="000000"/>
                <w:sz w:val="20"/>
                <w:szCs w:val="20"/>
                <w:highlight w:val="black"/>
              </w:rPr>
              <w:t>'''''''''' ''''''''''''' ''''''''''''</w:t>
            </w:r>
          </w:p>
        </w:tc>
      </w:tr>
      <w:tr w:rsidR="00416628" w:rsidRPr="007D0E37" w:rsidTr="00B56181">
        <w:tc>
          <w:tcPr>
            <w:tcW w:w="4146" w:type="pct"/>
            <w:gridSpan w:val="4"/>
          </w:tcPr>
          <w:p w:rsidR="00416628" w:rsidRPr="007D0E37" w:rsidRDefault="00416628" w:rsidP="00B56181">
            <w:pPr>
              <w:pStyle w:val="TableText"/>
              <w:ind w:left="175" w:right="-91"/>
            </w:pPr>
            <w:r w:rsidRPr="007D0E37">
              <w:t>Using trial results: PURSUIT-M, PURSUIT-J, ULTRA 2 (anti-TNF naïve)</w:t>
            </w:r>
          </w:p>
        </w:tc>
        <w:tc>
          <w:tcPr>
            <w:tcW w:w="854" w:type="pct"/>
            <w:shd w:val="clear" w:color="auto" w:fill="auto"/>
          </w:tcPr>
          <w:p w:rsidR="00416628" w:rsidRPr="00F86D7A" w:rsidRDefault="00F86D7A" w:rsidP="00B56181">
            <w:pPr>
              <w:spacing w:before="0" w:after="0"/>
              <w:ind w:left="-31" w:right="-91"/>
              <w:rPr>
                <w:rFonts w:ascii="Arial Narrow" w:hAnsi="Arial Narrow"/>
                <w:color w:val="000000"/>
                <w:sz w:val="20"/>
                <w:szCs w:val="20"/>
                <w:highlight w:val="black"/>
              </w:rPr>
            </w:pPr>
            <w:r>
              <w:rPr>
                <w:rFonts w:ascii="Arial Narrow" w:hAnsi="Arial Narrow"/>
                <w:noProof/>
                <w:color w:val="000000"/>
                <w:sz w:val="20"/>
                <w:szCs w:val="20"/>
                <w:highlight w:val="black"/>
              </w:rPr>
              <w:t>''''''''''</w:t>
            </w:r>
          </w:p>
        </w:tc>
      </w:tr>
      <w:tr w:rsidR="00416628" w:rsidRPr="007D0E37" w:rsidTr="00B56181">
        <w:tc>
          <w:tcPr>
            <w:tcW w:w="4146" w:type="pct"/>
            <w:gridSpan w:val="4"/>
          </w:tcPr>
          <w:p w:rsidR="00416628" w:rsidRPr="007D0E37" w:rsidRDefault="00416628" w:rsidP="00B56181">
            <w:pPr>
              <w:pStyle w:val="TableText"/>
              <w:ind w:left="175" w:right="-91"/>
            </w:pPr>
            <w:r w:rsidRPr="007D0E37">
              <w:t>Using trial results: PURSUIT-M, PURSUIT-J, ULTRA 2 (anti-TNF naïve, induction responders)</w:t>
            </w:r>
          </w:p>
        </w:tc>
        <w:tc>
          <w:tcPr>
            <w:tcW w:w="854" w:type="pct"/>
            <w:shd w:val="clear" w:color="auto" w:fill="auto"/>
          </w:tcPr>
          <w:p w:rsidR="00416628" w:rsidRPr="00F86D7A" w:rsidRDefault="00F86D7A" w:rsidP="00B56181">
            <w:pPr>
              <w:spacing w:before="0" w:after="0"/>
              <w:ind w:left="-31" w:right="-91"/>
              <w:rPr>
                <w:rFonts w:ascii="Arial Narrow" w:hAnsi="Arial Narrow"/>
                <w:color w:val="000000"/>
                <w:sz w:val="20"/>
                <w:szCs w:val="20"/>
                <w:highlight w:val="black"/>
              </w:rPr>
            </w:pPr>
            <w:r>
              <w:rPr>
                <w:rFonts w:ascii="Arial Narrow" w:hAnsi="Arial Narrow"/>
                <w:noProof/>
                <w:color w:val="000000"/>
                <w:sz w:val="20"/>
                <w:szCs w:val="20"/>
                <w:highlight w:val="black"/>
              </w:rPr>
              <w:t>'''''''''''' '''''''''''' ''''''''''''''</w:t>
            </w:r>
          </w:p>
        </w:tc>
      </w:tr>
      <w:tr w:rsidR="00416628" w:rsidRPr="007D0E37" w:rsidTr="00B56181">
        <w:tc>
          <w:tcPr>
            <w:tcW w:w="4146" w:type="pct"/>
            <w:gridSpan w:val="4"/>
            <w:tcBorders>
              <w:bottom w:val="single" w:sz="4" w:space="0" w:color="auto"/>
            </w:tcBorders>
          </w:tcPr>
          <w:p w:rsidR="00416628" w:rsidRPr="007D0E37" w:rsidRDefault="00416628" w:rsidP="00B56181">
            <w:pPr>
              <w:pStyle w:val="TableText"/>
              <w:ind w:left="175" w:right="-91"/>
            </w:pPr>
            <w:r w:rsidRPr="007D0E37">
              <w:t>Using trial results: PURSUIT-M, PURSUIT-J, ULTRA 2, Suzuki 2014</w:t>
            </w:r>
          </w:p>
        </w:tc>
        <w:tc>
          <w:tcPr>
            <w:tcW w:w="854" w:type="pct"/>
            <w:tcBorders>
              <w:bottom w:val="single" w:sz="4" w:space="0" w:color="auto"/>
            </w:tcBorders>
            <w:shd w:val="clear" w:color="auto" w:fill="auto"/>
          </w:tcPr>
          <w:p w:rsidR="00416628" w:rsidRPr="00F86D7A" w:rsidRDefault="00F86D7A" w:rsidP="00B56181">
            <w:pPr>
              <w:spacing w:before="0" w:after="0"/>
              <w:ind w:left="-31" w:right="-91"/>
              <w:rPr>
                <w:rFonts w:ascii="Arial Narrow" w:hAnsi="Arial Narrow"/>
                <w:color w:val="000000"/>
                <w:sz w:val="20"/>
                <w:szCs w:val="20"/>
                <w:highlight w:val="black"/>
              </w:rPr>
            </w:pPr>
            <w:r>
              <w:rPr>
                <w:rFonts w:ascii="Arial Narrow" w:hAnsi="Arial Narrow"/>
                <w:noProof/>
                <w:color w:val="000000"/>
                <w:sz w:val="20"/>
                <w:szCs w:val="20"/>
                <w:highlight w:val="black"/>
              </w:rPr>
              <w:t>'''''''''''</w:t>
            </w:r>
          </w:p>
        </w:tc>
      </w:tr>
      <w:tr w:rsidR="00416628" w:rsidRPr="007D0E37" w:rsidTr="00AE22D9">
        <w:tc>
          <w:tcPr>
            <w:tcW w:w="4146" w:type="pct"/>
            <w:gridSpan w:val="4"/>
            <w:tcBorders>
              <w:right w:val="nil"/>
            </w:tcBorders>
          </w:tcPr>
          <w:p w:rsidR="00416628" w:rsidRPr="007D0E37" w:rsidRDefault="00416628" w:rsidP="00B56181">
            <w:pPr>
              <w:pStyle w:val="TableText"/>
              <w:ind w:left="-31" w:right="-91"/>
            </w:pPr>
            <w:r w:rsidRPr="007D0E37">
              <w:t>Indirect estimate of effect adjusted for the common reference (GOL vs VDZ)</w:t>
            </w:r>
          </w:p>
        </w:tc>
        <w:tc>
          <w:tcPr>
            <w:tcW w:w="854" w:type="pct"/>
            <w:tcBorders>
              <w:left w:val="nil"/>
              <w:right w:val="single" w:sz="4" w:space="0" w:color="auto"/>
            </w:tcBorders>
            <w:shd w:val="clear" w:color="auto" w:fill="auto"/>
          </w:tcPr>
          <w:p w:rsidR="00416628" w:rsidRPr="00F86D7A" w:rsidRDefault="00416628" w:rsidP="00B56181">
            <w:pPr>
              <w:spacing w:before="0" w:after="0"/>
              <w:ind w:left="-31" w:right="-91"/>
              <w:rPr>
                <w:rFonts w:ascii="Arial Narrow" w:hAnsi="Arial Narrow"/>
                <w:color w:val="000000"/>
                <w:sz w:val="20"/>
                <w:szCs w:val="20"/>
              </w:rPr>
            </w:pPr>
          </w:p>
        </w:tc>
      </w:tr>
      <w:tr w:rsidR="00416628" w:rsidRPr="007D0E37" w:rsidTr="00B56181">
        <w:tc>
          <w:tcPr>
            <w:tcW w:w="4146" w:type="pct"/>
            <w:gridSpan w:val="4"/>
          </w:tcPr>
          <w:p w:rsidR="00416628" w:rsidRPr="007D0E37" w:rsidRDefault="00416628" w:rsidP="00B56181">
            <w:pPr>
              <w:pStyle w:val="TableText"/>
              <w:ind w:left="175" w:right="-91"/>
            </w:pPr>
            <w:r w:rsidRPr="007D0E37">
              <w:t>Using all trial results PURSUIT-M, GEMINI 1</w:t>
            </w:r>
          </w:p>
        </w:tc>
        <w:tc>
          <w:tcPr>
            <w:tcW w:w="854" w:type="pct"/>
            <w:shd w:val="clear" w:color="auto" w:fill="auto"/>
          </w:tcPr>
          <w:p w:rsidR="00416628" w:rsidRPr="00F86D7A" w:rsidRDefault="00F86D7A" w:rsidP="00B56181">
            <w:pPr>
              <w:spacing w:before="0" w:after="0"/>
              <w:ind w:left="-31" w:right="-91"/>
              <w:rPr>
                <w:rFonts w:ascii="Arial Narrow" w:hAnsi="Arial Narrow"/>
                <w:color w:val="000000"/>
                <w:sz w:val="20"/>
                <w:szCs w:val="20"/>
                <w:highlight w:val="black"/>
              </w:rPr>
            </w:pPr>
            <w:r>
              <w:rPr>
                <w:rFonts w:ascii="Arial Narrow" w:hAnsi="Arial Narrow"/>
                <w:noProof/>
                <w:color w:val="000000"/>
                <w:sz w:val="20"/>
                <w:szCs w:val="20"/>
                <w:highlight w:val="black"/>
              </w:rPr>
              <w:t>'''''''''' '''''''''''''' '''''''''''''</w:t>
            </w:r>
          </w:p>
        </w:tc>
      </w:tr>
      <w:tr w:rsidR="00416628" w:rsidRPr="007D0E37" w:rsidTr="00B56181">
        <w:tc>
          <w:tcPr>
            <w:tcW w:w="4146" w:type="pct"/>
            <w:gridSpan w:val="4"/>
          </w:tcPr>
          <w:p w:rsidR="00416628" w:rsidRPr="007D0E37" w:rsidRDefault="00416628" w:rsidP="00B56181">
            <w:pPr>
              <w:pStyle w:val="TableText"/>
              <w:ind w:left="175" w:right="-91"/>
            </w:pPr>
            <w:r w:rsidRPr="007D0E37">
              <w:t>Using all trial results PURSUIT-M, PURSUIT-J, GEMINI 1</w:t>
            </w:r>
          </w:p>
        </w:tc>
        <w:tc>
          <w:tcPr>
            <w:tcW w:w="854" w:type="pct"/>
            <w:shd w:val="clear" w:color="auto" w:fill="auto"/>
          </w:tcPr>
          <w:p w:rsidR="00416628" w:rsidRPr="00F86D7A" w:rsidRDefault="00F86D7A" w:rsidP="00B56181">
            <w:pPr>
              <w:spacing w:before="0" w:after="0"/>
              <w:ind w:left="-31" w:right="-91"/>
              <w:rPr>
                <w:rFonts w:ascii="Arial Narrow" w:hAnsi="Arial Narrow"/>
                <w:color w:val="000000"/>
                <w:sz w:val="20"/>
                <w:szCs w:val="20"/>
                <w:highlight w:val="black"/>
              </w:rPr>
            </w:pPr>
            <w:r>
              <w:rPr>
                <w:rFonts w:ascii="Arial Narrow" w:hAnsi="Arial Narrow"/>
                <w:noProof/>
                <w:color w:val="000000"/>
                <w:sz w:val="20"/>
                <w:szCs w:val="20"/>
                <w:highlight w:val="black"/>
              </w:rPr>
              <w:t>'''''''''' ''''''''''''' ''''''''''''</w:t>
            </w:r>
          </w:p>
        </w:tc>
      </w:tr>
    </w:tbl>
    <w:p w:rsidR="00416628" w:rsidRPr="007D0E37" w:rsidRDefault="00416628" w:rsidP="00416628">
      <w:pPr>
        <w:pStyle w:val="TableFooter"/>
      </w:pPr>
      <w:r w:rsidRPr="007D0E37">
        <w:t>Abbreviations: ADA, adalimumab; CI, Confidence interval; GOL, golimumab; IFX, infliximab; n, number of participants with event; N, total number of participants in group; OR, Odds ratio; PBO, placebo; VDZ, vedolizumab.</w:t>
      </w:r>
      <w:r w:rsidR="00767CDD">
        <w:t xml:space="preserve"> </w:t>
      </w:r>
    </w:p>
    <w:p w:rsidR="00416628" w:rsidRPr="007D0E37" w:rsidRDefault="00416628" w:rsidP="00416628">
      <w:pPr>
        <w:pStyle w:val="TableFooter"/>
      </w:pPr>
      <w:r w:rsidRPr="007D0E37">
        <w:t>Notes:</w:t>
      </w:r>
      <w:r w:rsidR="00767CDD">
        <w:t xml:space="preserve"> </w:t>
      </w:r>
      <w:r w:rsidRPr="007D0E37">
        <w:t xml:space="preserve">Figures in bold are statistically significant. </w:t>
      </w:r>
    </w:p>
    <w:p w:rsidR="00416628" w:rsidRPr="007D0E37" w:rsidRDefault="00416628" w:rsidP="00416628">
      <w:pPr>
        <w:pStyle w:val="TableFooter"/>
      </w:pPr>
      <w:r w:rsidRPr="007D0E37">
        <w:t xml:space="preserve">a Submission did not report (95% CI). </w:t>
      </w:r>
    </w:p>
    <w:p w:rsidR="00416628" w:rsidRPr="007D0E37" w:rsidRDefault="00416628" w:rsidP="00416628">
      <w:pPr>
        <w:pStyle w:val="TableFooter"/>
      </w:pPr>
      <w:r w:rsidRPr="007D0E37">
        <w:t xml:space="preserve">b The denominator of the comparison of ‘Induction responders’ was not verified during the evaluation. It was unclear from the source provided whether the patients in clinical remission counted at Week 6 were the same subjects that were counted at Week 54. </w:t>
      </w:r>
    </w:p>
    <w:p w:rsidR="00416628" w:rsidRPr="007D0E37" w:rsidRDefault="00416628" w:rsidP="00416628">
      <w:pPr>
        <w:pStyle w:val="TableFooter"/>
      </w:pPr>
      <w:r w:rsidRPr="007D0E37">
        <w:t>c The denominator of the comparison of ‘Induction responders’ was not verified during the evaluation. The submission did not provide the method of calculation from Sandborn 2012 Table 3 p262. It was unclear from the source provided whether the patients in clinical remission counted at Week 8 were the same subjects that were counted at Week 52.</w:t>
      </w:r>
    </w:p>
    <w:p w:rsidR="00416628" w:rsidRPr="007D0E37" w:rsidRDefault="00416628" w:rsidP="00416628">
      <w:pPr>
        <w:pStyle w:val="TableFooter"/>
      </w:pPr>
      <w:r w:rsidRPr="007D0E37">
        <w:t>d The submission did not conduct an analysis on this comparison.</w:t>
      </w:r>
    </w:p>
    <w:p w:rsidR="00416628" w:rsidRPr="007D0E37" w:rsidRDefault="00416628" w:rsidP="00416628">
      <w:pPr>
        <w:pStyle w:val="TableFooter"/>
      </w:pPr>
      <w:r w:rsidRPr="007D0E37">
        <w:t xml:space="preserve">Source: Table 2.6-3 p119, Table 2.7-3 p132-134 of the submission; Attachment 07-ITC_Analyses_0.1_10 of the submission; Attachment 6 of the submission; Sandborn 2012 Table 3 p262. </w:t>
      </w:r>
    </w:p>
    <w:bookmarkEnd w:id="22"/>
    <w:p w:rsidR="004D017E" w:rsidRPr="007D0E37" w:rsidRDefault="004D017E" w:rsidP="004D017E">
      <w:pPr>
        <w:pStyle w:val="V50Instructions"/>
        <w:rPr>
          <w:color w:val="auto"/>
        </w:rPr>
      </w:pPr>
    </w:p>
    <w:p w:rsidR="004D017E" w:rsidRPr="007D0E37" w:rsidRDefault="00F6631B" w:rsidP="004D017E">
      <w:pPr>
        <w:pStyle w:val="TableHeading0"/>
      </w:pPr>
      <w:r w:rsidRPr="007D0E37">
        <w:t xml:space="preserve">Table </w:t>
      </w:r>
      <w:r w:rsidR="000E238D" w:rsidRPr="007D0E37">
        <w:t>9</w:t>
      </w:r>
      <w:r w:rsidR="004D017E" w:rsidRPr="007D0E37">
        <w:t xml:space="preserve">: Summary of results of the indirect comparison for </w:t>
      </w:r>
      <w:r w:rsidR="00546138" w:rsidRPr="007D0E37">
        <w:t xml:space="preserve">sustained </w:t>
      </w:r>
      <w:r w:rsidR="004D017E" w:rsidRPr="007D0E37">
        <w:t>response (maintenance)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2723"/>
        <w:gridCol w:w="1939"/>
        <w:gridCol w:w="1597"/>
        <w:gridCol w:w="1579"/>
      </w:tblGrid>
      <w:tr w:rsidR="005E7EE4" w:rsidRPr="007D0E37" w:rsidTr="00B56181">
        <w:trPr>
          <w:tblHeader/>
        </w:trPr>
        <w:tc>
          <w:tcPr>
            <w:tcW w:w="760" w:type="pct"/>
            <w:tcBorders>
              <w:bottom w:val="nil"/>
            </w:tcBorders>
          </w:tcPr>
          <w:p w:rsidR="005E7EE4" w:rsidRPr="007D0E37" w:rsidRDefault="005E7EE4" w:rsidP="00B56181">
            <w:pPr>
              <w:pStyle w:val="TableText"/>
              <w:ind w:left="-39" w:right="-33"/>
              <w:rPr>
                <w:b/>
              </w:rPr>
            </w:pPr>
            <w:bookmarkStart w:id="23" w:name="_Hlk490509680"/>
            <w:r w:rsidRPr="007D0E37">
              <w:rPr>
                <w:b/>
              </w:rPr>
              <w:t>Comparison</w:t>
            </w:r>
          </w:p>
        </w:tc>
        <w:tc>
          <w:tcPr>
            <w:tcW w:w="1473" w:type="pct"/>
            <w:tcBorders>
              <w:bottom w:val="nil"/>
            </w:tcBorders>
            <w:shd w:val="clear" w:color="auto" w:fill="auto"/>
          </w:tcPr>
          <w:p w:rsidR="005E7EE4" w:rsidRPr="007D0E37" w:rsidRDefault="005E7EE4" w:rsidP="00B56181">
            <w:pPr>
              <w:pStyle w:val="TableText"/>
              <w:ind w:left="-31" w:right="-91"/>
              <w:rPr>
                <w:b/>
              </w:rPr>
            </w:pPr>
            <w:r w:rsidRPr="007D0E37">
              <w:rPr>
                <w:b/>
              </w:rPr>
              <w:t>Trial ID</w:t>
            </w:r>
          </w:p>
        </w:tc>
        <w:tc>
          <w:tcPr>
            <w:tcW w:w="1049" w:type="pct"/>
            <w:vMerge w:val="restart"/>
            <w:shd w:val="clear" w:color="auto" w:fill="auto"/>
          </w:tcPr>
          <w:p w:rsidR="005E7EE4" w:rsidRPr="007D0E37" w:rsidRDefault="005E7EE4" w:rsidP="00B56181">
            <w:pPr>
              <w:pStyle w:val="TableText"/>
              <w:ind w:left="-31" w:right="-91"/>
              <w:rPr>
                <w:b/>
                <w:iCs/>
              </w:rPr>
            </w:pPr>
            <w:r w:rsidRPr="007D0E37">
              <w:rPr>
                <w:b/>
                <w:iCs/>
              </w:rPr>
              <w:t>GOL/IFX/ADA/VDZ</w:t>
            </w:r>
          </w:p>
          <w:p w:rsidR="005E7EE4" w:rsidRPr="007D0E37" w:rsidRDefault="005E7EE4" w:rsidP="00B56181">
            <w:pPr>
              <w:pStyle w:val="TableText"/>
              <w:ind w:left="-31" w:right="-91"/>
              <w:rPr>
                <w:b/>
              </w:rPr>
            </w:pPr>
            <w:r w:rsidRPr="007D0E37">
              <w:rPr>
                <w:b/>
                <w:iCs/>
              </w:rPr>
              <w:t>n</w:t>
            </w:r>
            <w:r w:rsidRPr="007D0E37">
              <w:rPr>
                <w:b/>
              </w:rPr>
              <w:t>/</w:t>
            </w:r>
            <w:r w:rsidRPr="007D0E37">
              <w:rPr>
                <w:b/>
                <w:iCs/>
              </w:rPr>
              <w:t>N</w:t>
            </w:r>
            <w:r w:rsidRPr="007D0E37">
              <w:rPr>
                <w:b/>
              </w:rPr>
              <w:t xml:space="preserve"> (%)</w:t>
            </w:r>
          </w:p>
        </w:tc>
        <w:tc>
          <w:tcPr>
            <w:tcW w:w="864" w:type="pct"/>
            <w:vMerge w:val="restart"/>
            <w:shd w:val="clear" w:color="auto" w:fill="auto"/>
          </w:tcPr>
          <w:p w:rsidR="005E7EE4" w:rsidRPr="007D0E37" w:rsidRDefault="005E7EE4" w:rsidP="00B56181">
            <w:pPr>
              <w:pStyle w:val="TableText"/>
              <w:ind w:left="-31" w:right="-91"/>
              <w:rPr>
                <w:b/>
              </w:rPr>
            </w:pPr>
            <w:r w:rsidRPr="007D0E37">
              <w:rPr>
                <w:b/>
              </w:rPr>
              <w:t>Placebo</w:t>
            </w:r>
            <w:r w:rsidRPr="007D0E37">
              <w:rPr>
                <w:b/>
              </w:rPr>
              <w:br/>
            </w:r>
            <w:r w:rsidRPr="007D0E37">
              <w:rPr>
                <w:b/>
                <w:iCs/>
              </w:rPr>
              <w:t>n</w:t>
            </w:r>
            <w:r w:rsidRPr="007D0E37">
              <w:rPr>
                <w:b/>
              </w:rPr>
              <w:t>/</w:t>
            </w:r>
            <w:r w:rsidRPr="007D0E37">
              <w:rPr>
                <w:b/>
                <w:iCs/>
              </w:rPr>
              <w:t>N</w:t>
            </w:r>
            <w:r w:rsidRPr="007D0E37">
              <w:rPr>
                <w:b/>
              </w:rPr>
              <w:t xml:space="preserve"> (%)</w:t>
            </w:r>
          </w:p>
        </w:tc>
        <w:tc>
          <w:tcPr>
            <w:tcW w:w="854" w:type="pct"/>
            <w:shd w:val="clear" w:color="auto" w:fill="auto"/>
          </w:tcPr>
          <w:p w:rsidR="005E7EE4" w:rsidRPr="007D0E37" w:rsidRDefault="005E7EE4" w:rsidP="00B56181">
            <w:pPr>
              <w:pStyle w:val="TableText"/>
              <w:ind w:left="-31" w:right="-91"/>
              <w:rPr>
                <w:b/>
              </w:rPr>
            </w:pPr>
            <w:r w:rsidRPr="007D0E37">
              <w:rPr>
                <w:b/>
              </w:rPr>
              <w:t xml:space="preserve">Treatment effect </w:t>
            </w:r>
          </w:p>
        </w:tc>
      </w:tr>
      <w:tr w:rsidR="005E7EE4" w:rsidRPr="007D0E37" w:rsidTr="00B56181">
        <w:trPr>
          <w:tblHeader/>
        </w:trPr>
        <w:tc>
          <w:tcPr>
            <w:tcW w:w="760" w:type="pct"/>
            <w:tcBorders>
              <w:top w:val="nil"/>
              <w:bottom w:val="single" w:sz="4" w:space="0" w:color="auto"/>
            </w:tcBorders>
          </w:tcPr>
          <w:p w:rsidR="005E7EE4" w:rsidRPr="007D0E37" w:rsidRDefault="005E7EE4" w:rsidP="00B56181">
            <w:pPr>
              <w:pStyle w:val="TableText"/>
              <w:ind w:left="-39" w:right="-33"/>
              <w:rPr>
                <w:b/>
              </w:rPr>
            </w:pPr>
          </w:p>
        </w:tc>
        <w:tc>
          <w:tcPr>
            <w:tcW w:w="1473" w:type="pct"/>
            <w:tcBorders>
              <w:top w:val="nil"/>
            </w:tcBorders>
            <w:shd w:val="clear" w:color="auto" w:fill="auto"/>
          </w:tcPr>
          <w:p w:rsidR="005E7EE4" w:rsidRPr="007D0E37" w:rsidRDefault="005E7EE4" w:rsidP="00B56181">
            <w:pPr>
              <w:pStyle w:val="TableText"/>
              <w:ind w:left="-31" w:right="-91"/>
              <w:rPr>
                <w:b/>
              </w:rPr>
            </w:pPr>
          </w:p>
        </w:tc>
        <w:tc>
          <w:tcPr>
            <w:tcW w:w="1049" w:type="pct"/>
            <w:vMerge/>
            <w:shd w:val="clear" w:color="auto" w:fill="auto"/>
          </w:tcPr>
          <w:p w:rsidR="005E7EE4" w:rsidRPr="007D0E37" w:rsidRDefault="005E7EE4" w:rsidP="00B56181">
            <w:pPr>
              <w:pStyle w:val="TableText"/>
              <w:ind w:left="-31" w:right="-91"/>
              <w:rPr>
                <w:b/>
                <w:iCs/>
              </w:rPr>
            </w:pPr>
          </w:p>
        </w:tc>
        <w:tc>
          <w:tcPr>
            <w:tcW w:w="864" w:type="pct"/>
            <w:vMerge/>
            <w:shd w:val="clear" w:color="auto" w:fill="auto"/>
          </w:tcPr>
          <w:p w:rsidR="005E7EE4" w:rsidRPr="007D0E37" w:rsidRDefault="005E7EE4" w:rsidP="00B56181">
            <w:pPr>
              <w:pStyle w:val="TableText"/>
              <w:ind w:left="-31" w:right="-91"/>
              <w:rPr>
                <w:b/>
              </w:rPr>
            </w:pPr>
          </w:p>
        </w:tc>
        <w:tc>
          <w:tcPr>
            <w:tcW w:w="854" w:type="pct"/>
            <w:shd w:val="clear" w:color="auto" w:fill="auto"/>
          </w:tcPr>
          <w:p w:rsidR="005E7EE4" w:rsidRPr="007D0E37" w:rsidRDefault="005E7EE4" w:rsidP="00B56181">
            <w:pPr>
              <w:pStyle w:val="TableText"/>
              <w:ind w:left="-31" w:right="-91"/>
              <w:rPr>
                <w:b/>
              </w:rPr>
            </w:pPr>
            <w:r w:rsidRPr="007D0E37">
              <w:rPr>
                <w:b/>
              </w:rPr>
              <w:t>OR (95% CI)</w:t>
            </w:r>
          </w:p>
        </w:tc>
      </w:tr>
      <w:tr w:rsidR="005E7EE4" w:rsidRPr="007D0E37" w:rsidTr="00B56181">
        <w:tc>
          <w:tcPr>
            <w:tcW w:w="760" w:type="pct"/>
            <w:tcBorders>
              <w:bottom w:val="nil"/>
            </w:tcBorders>
          </w:tcPr>
          <w:p w:rsidR="005E7EE4" w:rsidRPr="007D0E37" w:rsidRDefault="005E7EE4" w:rsidP="00B56181">
            <w:pPr>
              <w:pStyle w:val="TableText"/>
              <w:ind w:left="-39" w:right="-33"/>
            </w:pPr>
            <w:r w:rsidRPr="007D0E37">
              <w:t>GOL vs PBO</w:t>
            </w:r>
          </w:p>
        </w:tc>
        <w:tc>
          <w:tcPr>
            <w:tcW w:w="1473" w:type="pct"/>
            <w:shd w:val="clear" w:color="auto" w:fill="auto"/>
          </w:tcPr>
          <w:p w:rsidR="005E7EE4" w:rsidRPr="007D0E37" w:rsidRDefault="005E7EE4" w:rsidP="00B56181">
            <w:pPr>
              <w:pStyle w:val="TableText"/>
              <w:ind w:left="-31" w:right="-91"/>
              <w:rPr>
                <w:rFonts w:ascii="Times" w:eastAsia="Times New Roman" w:hAnsi="Times" w:cs="Times New Roman"/>
              </w:rPr>
            </w:pPr>
            <w:r w:rsidRPr="007D0E37">
              <w:t>PURSUIT-M</w:t>
            </w:r>
          </w:p>
        </w:tc>
        <w:tc>
          <w:tcPr>
            <w:tcW w:w="1049" w:type="pct"/>
            <w:shd w:val="clear" w:color="auto" w:fill="auto"/>
            <w:vAlign w:val="center"/>
          </w:tcPr>
          <w:p w:rsidR="005E7EE4" w:rsidRPr="00F86D7A" w:rsidRDefault="00F86D7A" w:rsidP="00B56181">
            <w:pPr>
              <w:pStyle w:val="TableText"/>
              <w:keepNext w:val="0"/>
              <w:ind w:right="-91"/>
              <w:rPr>
                <w:highlight w:val="black"/>
              </w:rPr>
            </w:pPr>
            <w:r>
              <w:rPr>
                <w:noProof/>
                <w:color w:val="000000"/>
                <w:highlight w:val="black"/>
                <w:lang w:eastAsia="en-AU"/>
              </w:rPr>
              <w:t>'''''''''''''''' '''''''''''''''</w:t>
            </w:r>
          </w:p>
        </w:tc>
        <w:tc>
          <w:tcPr>
            <w:tcW w:w="864" w:type="pct"/>
            <w:shd w:val="clear" w:color="auto" w:fill="auto"/>
            <w:vAlign w:val="center"/>
          </w:tcPr>
          <w:p w:rsidR="005E7EE4" w:rsidRPr="00F86D7A" w:rsidRDefault="00F86D7A" w:rsidP="00B56181">
            <w:pPr>
              <w:pStyle w:val="TableText"/>
              <w:keepNext w:val="0"/>
              <w:ind w:right="-91"/>
              <w:rPr>
                <w:highlight w:val="black"/>
              </w:rPr>
            </w:pPr>
            <w:r>
              <w:rPr>
                <w:noProof/>
                <w:color w:val="000000"/>
                <w:highlight w:val="black"/>
                <w:lang w:eastAsia="en-AU"/>
              </w:rPr>
              <w:t>''''''''''''''' ''''''''''''''</w:t>
            </w:r>
          </w:p>
        </w:tc>
        <w:tc>
          <w:tcPr>
            <w:tcW w:w="854" w:type="pct"/>
            <w:shd w:val="clear" w:color="auto" w:fill="auto"/>
          </w:tcPr>
          <w:p w:rsidR="005E7EE4" w:rsidRPr="00F86D7A" w:rsidRDefault="00F86D7A" w:rsidP="00B56181">
            <w:pPr>
              <w:pStyle w:val="TableText"/>
              <w:keepNext w:val="0"/>
              <w:ind w:left="-31" w:right="-91"/>
              <w:rPr>
                <w:b/>
                <w:highlight w:val="black"/>
              </w:rPr>
            </w:pPr>
            <w:r>
              <w:rPr>
                <w:b/>
                <w:noProof/>
                <w:color w:val="000000"/>
                <w:highlight w:val="black"/>
              </w:rPr>
              <w:t>'''''''' '''''''''' '''''''''</w:t>
            </w:r>
          </w:p>
        </w:tc>
      </w:tr>
      <w:tr w:rsidR="005E7EE4" w:rsidRPr="007D0E37" w:rsidTr="00B56181">
        <w:trPr>
          <w:trHeight w:val="77"/>
        </w:trPr>
        <w:tc>
          <w:tcPr>
            <w:tcW w:w="760" w:type="pct"/>
            <w:tcBorders>
              <w:top w:val="nil"/>
              <w:bottom w:val="nil"/>
            </w:tcBorders>
          </w:tcPr>
          <w:p w:rsidR="005E7EE4" w:rsidRPr="007D0E37" w:rsidRDefault="005E7EE4" w:rsidP="00B56181">
            <w:pPr>
              <w:pStyle w:val="TableText"/>
              <w:ind w:left="-39" w:right="-33"/>
            </w:pPr>
          </w:p>
        </w:tc>
        <w:tc>
          <w:tcPr>
            <w:tcW w:w="1473" w:type="pct"/>
            <w:tcBorders>
              <w:bottom w:val="single" w:sz="4" w:space="0" w:color="auto"/>
            </w:tcBorders>
            <w:shd w:val="clear" w:color="auto" w:fill="auto"/>
          </w:tcPr>
          <w:p w:rsidR="005E7EE4" w:rsidRPr="007D0E37" w:rsidRDefault="005E7EE4" w:rsidP="00B56181">
            <w:pPr>
              <w:pStyle w:val="TableText"/>
              <w:ind w:left="-31" w:right="-91"/>
            </w:pPr>
            <w:r w:rsidRPr="007D0E37">
              <w:t>PURSUIT-J</w:t>
            </w:r>
          </w:p>
        </w:tc>
        <w:tc>
          <w:tcPr>
            <w:tcW w:w="1049" w:type="pct"/>
            <w:tcBorders>
              <w:bottom w:val="single" w:sz="4" w:space="0" w:color="auto"/>
            </w:tcBorders>
            <w:shd w:val="clear" w:color="auto" w:fill="auto"/>
            <w:vAlign w:val="bottom"/>
          </w:tcPr>
          <w:p w:rsidR="005E7EE4" w:rsidRPr="00F86D7A" w:rsidRDefault="00F86D7A" w:rsidP="00B56181">
            <w:pPr>
              <w:pStyle w:val="TableText"/>
              <w:keepNext w:val="0"/>
              <w:ind w:left="-31" w:right="-91"/>
              <w:rPr>
                <w:highlight w:val="black"/>
              </w:rPr>
            </w:pPr>
            <w:r>
              <w:rPr>
                <w:noProof/>
                <w:color w:val="000000"/>
                <w:highlight w:val="black"/>
                <w:lang w:eastAsia="en-AU"/>
              </w:rPr>
              <w:t>''''''''''''' ''''''''''''''''''</w:t>
            </w:r>
          </w:p>
        </w:tc>
        <w:tc>
          <w:tcPr>
            <w:tcW w:w="864" w:type="pct"/>
            <w:tcBorders>
              <w:bottom w:val="single" w:sz="4" w:space="0" w:color="auto"/>
            </w:tcBorders>
            <w:shd w:val="clear" w:color="auto" w:fill="auto"/>
            <w:vAlign w:val="bottom"/>
          </w:tcPr>
          <w:p w:rsidR="005E7EE4" w:rsidRPr="00F86D7A" w:rsidRDefault="00F86D7A" w:rsidP="00B56181">
            <w:pPr>
              <w:pStyle w:val="TableText"/>
              <w:keepNext w:val="0"/>
              <w:ind w:left="-31" w:right="-91"/>
              <w:rPr>
                <w:highlight w:val="black"/>
              </w:rPr>
            </w:pPr>
            <w:r>
              <w:rPr>
                <w:noProof/>
                <w:color w:val="000000"/>
                <w:highlight w:val="black"/>
                <w:lang w:eastAsia="en-AU"/>
              </w:rPr>
              <w:t>'''''''''' ''''''''''''''''''</w:t>
            </w:r>
          </w:p>
        </w:tc>
        <w:tc>
          <w:tcPr>
            <w:tcW w:w="854" w:type="pct"/>
            <w:shd w:val="clear" w:color="auto" w:fill="auto"/>
          </w:tcPr>
          <w:p w:rsidR="005E7EE4" w:rsidRPr="00F86D7A" w:rsidRDefault="00F86D7A" w:rsidP="00B56181">
            <w:pPr>
              <w:pStyle w:val="TableText"/>
              <w:keepNext w:val="0"/>
              <w:ind w:left="-31" w:right="-91"/>
              <w:rPr>
                <w:b/>
                <w:highlight w:val="black"/>
              </w:rPr>
            </w:pPr>
            <w:r>
              <w:rPr>
                <w:b/>
                <w:noProof/>
                <w:color w:val="000000"/>
                <w:highlight w:val="black"/>
              </w:rPr>
              <w:t>''''''''' ''''''''''' '''''''''''''</w:t>
            </w:r>
          </w:p>
        </w:tc>
      </w:tr>
      <w:tr w:rsidR="005E7EE4" w:rsidRPr="007D0E37" w:rsidTr="00B56181">
        <w:tc>
          <w:tcPr>
            <w:tcW w:w="760" w:type="pct"/>
            <w:tcBorders>
              <w:top w:val="nil"/>
              <w:bottom w:val="single" w:sz="4" w:space="0" w:color="auto"/>
            </w:tcBorders>
          </w:tcPr>
          <w:p w:rsidR="005E7EE4" w:rsidRPr="007D0E37" w:rsidRDefault="005E7EE4" w:rsidP="00B56181">
            <w:pPr>
              <w:pStyle w:val="TableText"/>
              <w:ind w:left="-39" w:right="-33"/>
            </w:pPr>
            <w:r w:rsidRPr="007D0E37">
              <w:t>Meta-analysis</w:t>
            </w:r>
          </w:p>
        </w:tc>
        <w:tc>
          <w:tcPr>
            <w:tcW w:w="1473" w:type="pct"/>
            <w:tcBorders>
              <w:right w:val="nil"/>
            </w:tcBorders>
            <w:shd w:val="clear" w:color="auto" w:fill="auto"/>
          </w:tcPr>
          <w:p w:rsidR="005E7EE4" w:rsidRPr="007D0E37" w:rsidRDefault="005E7EE4" w:rsidP="00B56181">
            <w:pPr>
              <w:pStyle w:val="TableText"/>
              <w:ind w:left="-31" w:right="-91"/>
            </w:pPr>
            <w:r w:rsidRPr="007D0E37">
              <w:t>PURSUIT-M, PURSUIT-J</w:t>
            </w:r>
          </w:p>
        </w:tc>
        <w:tc>
          <w:tcPr>
            <w:tcW w:w="1049" w:type="pct"/>
            <w:tcBorders>
              <w:left w:val="nil"/>
              <w:right w:val="nil"/>
            </w:tcBorders>
            <w:shd w:val="clear" w:color="auto" w:fill="auto"/>
            <w:vAlign w:val="center"/>
          </w:tcPr>
          <w:p w:rsidR="005E7EE4" w:rsidRPr="00F86D7A" w:rsidRDefault="005E7EE4" w:rsidP="00B56181">
            <w:pPr>
              <w:pStyle w:val="TableText"/>
              <w:keepNext w:val="0"/>
              <w:ind w:left="-31" w:right="-91"/>
            </w:pPr>
          </w:p>
        </w:tc>
        <w:tc>
          <w:tcPr>
            <w:tcW w:w="864" w:type="pct"/>
            <w:tcBorders>
              <w:left w:val="nil"/>
            </w:tcBorders>
            <w:shd w:val="clear" w:color="auto" w:fill="auto"/>
            <w:vAlign w:val="center"/>
          </w:tcPr>
          <w:p w:rsidR="005E7EE4" w:rsidRPr="00F86D7A" w:rsidRDefault="005E7EE4" w:rsidP="00B56181">
            <w:pPr>
              <w:pStyle w:val="TableText"/>
              <w:keepNext w:val="0"/>
              <w:ind w:left="-31" w:right="-91"/>
            </w:pPr>
          </w:p>
        </w:tc>
        <w:tc>
          <w:tcPr>
            <w:tcW w:w="854" w:type="pct"/>
            <w:shd w:val="clear" w:color="auto" w:fill="auto"/>
          </w:tcPr>
          <w:p w:rsidR="005E7EE4" w:rsidRPr="00F86D7A" w:rsidRDefault="00F86D7A" w:rsidP="00B56181">
            <w:pPr>
              <w:pStyle w:val="TableText"/>
              <w:keepNext w:val="0"/>
              <w:ind w:left="-31" w:right="-91"/>
              <w:rPr>
                <w:highlight w:val="black"/>
              </w:rPr>
            </w:pPr>
            <w:r>
              <w:rPr>
                <w:noProof/>
                <w:color w:val="000000"/>
                <w:highlight w:val="black"/>
              </w:rPr>
              <w:t>''''''''''' ''''''''''''''''</w:t>
            </w:r>
          </w:p>
        </w:tc>
      </w:tr>
      <w:tr w:rsidR="005E7EE4" w:rsidRPr="007D0E37" w:rsidTr="00B56181">
        <w:tc>
          <w:tcPr>
            <w:tcW w:w="760" w:type="pct"/>
            <w:tcBorders>
              <w:bottom w:val="nil"/>
            </w:tcBorders>
          </w:tcPr>
          <w:p w:rsidR="005E7EE4" w:rsidRPr="007D0E37" w:rsidRDefault="005E7EE4" w:rsidP="00B56181">
            <w:pPr>
              <w:pStyle w:val="TableText"/>
              <w:ind w:left="-39" w:right="-33"/>
              <w:rPr>
                <w:rFonts w:ascii="Times" w:eastAsia="Times New Roman" w:hAnsi="Times" w:cs="Times New Roman"/>
              </w:rPr>
            </w:pPr>
            <w:r w:rsidRPr="007D0E37">
              <w:t>IFX vs PBO</w:t>
            </w:r>
          </w:p>
        </w:tc>
        <w:tc>
          <w:tcPr>
            <w:tcW w:w="1473" w:type="pct"/>
            <w:shd w:val="clear" w:color="auto" w:fill="auto"/>
            <w:vAlign w:val="center"/>
          </w:tcPr>
          <w:p w:rsidR="005E7EE4" w:rsidRPr="007D0E37" w:rsidRDefault="005E7EE4" w:rsidP="00B56181">
            <w:pPr>
              <w:pStyle w:val="TableText"/>
              <w:ind w:left="-31" w:right="-91"/>
            </w:pPr>
            <w:r w:rsidRPr="007D0E37">
              <w:t>ACT 1</w:t>
            </w:r>
          </w:p>
        </w:tc>
        <w:tc>
          <w:tcPr>
            <w:tcW w:w="1049" w:type="pct"/>
            <w:shd w:val="clear" w:color="auto" w:fill="auto"/>
            <w:vAlign w:val="center"/>
          </w:tcPr>
          <w:p w:rsidR="005E7EE4" w:rsidRPr="007D0E37" w:rsidRDefault="00F86D7A" w:rsidP="00B56181">
            <w:pPr>
              <w:pStyle w:val="TableText"/>
              <w:keepNext w:val="0"/>
              <w:ind w:left="-31" w:right="-91"/>
              <w:rPr>
                <w:highlight w:val="green"/>
              </w:rPr>
            </w:pPr>
            <w:r>
              <w:rPr>
                <w:rFonts w:cs="Arial"/>
                <w:noProof/>
                <w:color w:val="000000"/>
                <w:highlight w:val="black"/>
              </w:rPr>
              <w:t>'''''''''''''''''</w:t>
            </w:r>
            <w:r w:rsidR="005E7EE4" w:rsidRPr="007D0E37">
              <w:rPr>
                <w:rFonts w:cs="Arial"/>
              </w:rPr>
              <w:t xml:space="preserve"> (38.8)</w:t>
            </w:r>
          </w:p>
        </w:tc>
        <w:tc>
          <w:tcPr>
            <w:tcW w:w="864" w:type="pct"/>
            <w:shd w:val="clear" w:color="auto" w:fill="auto"/>
            <w:vAlign w:val="center"/>
          </w:tcPr>
          <w:p w:rsidR="005E7EE4" w:rsidRPr="007D0E37" w:rsidRDefault="00F86D7A" w:rsidP="00B56181">
            <w:pPr>
              <w:pStyle w:val="TableText"/>
              <w:keepNext w:val="0"/>
              <w:ind w:left="-31" w:right="-91"/>
              <w:rPr>
                <w:highlight w:val="green"/>
              </w:rPr>
            </w:pPr>
            <w:r>
              <w:rPr>
                <w:rFonts w:cs="Arial"/>
                <w:noProof/>
                <w:color w:val="000000"/>
                <w:highlight w:val="black"/>
              </w:rPr>
              <w:t>''''''''''''''''</w:t>
            </w:r>
            <w:r w:rsidR="005E7EE4" w:rsidRPr="007D0E37">
              <w:rPr>
                <w:rFonts w:cs="Arial"/>
              </w:rPr>
              <w:t xml:space="preserve"> (14.0)</w:t>
            </w:r>
          </w:p>
        </w:tc>
        <w:tc>
          <w:tcPr>
            <w:tcW w:w="854" w:type="pct"/>
            <w:shd w:val="clear" w:color="auto" w:fill="auto"/>
          </w:tcPr>
          <w:p w:rsidR="005E7EE4" w:rsidRPr="00F86D7A" w:rsidRDefault="00F86D7A" w:rsidP="00B56181">
            <w:pPr>
              <w:pStyle w:val="TableText"/>
              <w:keepNext w:val="0"/>
              <w:ind w:left="-31" w:right="-91"/>
              <w:rPr>
                <w:b/>
                <w:highlight w:val="black"/>
              </w:rPr>
            </w:pPr>
            <w:r>
              <w:rPr>
                <w:b/>
                <w:noProof/>
                <w:color w:val="000000"/>
                <w:highlight w:val="black"/>
              </w:rPr>
              <w:t>'''''''' '''''''''' '''''''''''</w:t>
            </w:r>
          </w:p>
        </w:tc>
      </w:tr>
      <w:tr w:rsidR="005E7EE4" w:rsidRPr="007D0E37" w:rsidTr="00B56181">
        <w:tc>
          <w:tcPr>
            <w:tcW w:w="760" w:type="pct"/>
            <w:tcBorders>
              <w:top w:val="nil"/>
              <w:bottom w:val="single" w:sz="4" w:space="0" w:color="auto"/>
            </w:tcBorders>
          </w:tcPr>
          <w:p w:rsidR="005E7EE4" w:rsidRPr="007D0E37" w:rsidRDefault="005E7EE4" w:rsidP="00B56181">
            <w:pPr>
              <w:pStyle w:val="TableText"/>
              <w:ind w:left="-39" w:right="-33"/>
            </w:pPr>
          </w:p>
        </w:tc>
        <w:tc>
          <w:tcPr>
            <w:tcW w:w="1473" w:type="pct"/>
            <w:shd w:val="clear" w:color="auto" w:fill="auto"/>
            <w:vAlign w:val="center"/>
          </w:tcPr>
          <w:p w:rsidR="005E7EE4" w:rsidRPr="007D0E37" w:rsidRDefault="005E7EE4" w:rsidP="00B56181">
            <w:pPr>
              <w:pStyle w:val="TableText"/>
              <w:ind w:left="-31" w:right="-91"/>
            </w:pPr>
            <w:r w:rsidRPr="007D0E37">
              <w:t>ACT 1 (Induction responders)</w:t>
            </w:r>
            <w:r w:rsidRPr="007D0E37">
              <w:rPr>
                <w:vertAlign w:val="superscript"/>
              </w:rPr>
              <w:t>b</w:t>
            </w:r>
          </w:p>
        </w:tc>
        <w:tc>
          <w:tcPr>
            <w:tcW w:w="1049" w:type="pct"/>
            <w:shd w:val="clear" w:color="auto" w:fill="auto"/>
            <w:vAlign w:val="bottom"/>
          </w:tcPr>
          <w:p w:rsidR="005E7EE4" w:rsidRPr="00F86D7A" w:rsidRDefault="00F86D7A" w:rsidP="00B56181">
            <w:pPr>
              <w:pStyle w:val="TableText"/>
              <w:keepNext w:val="0"/>
              <w:ind w:left="-31" w:right="-91"/>
              <w:rPr>
                <w:rFonts w:cs="Arial"/>
                <w:highlight w:val="black"/>
              </w:rPr>
            </w:pPr>
            <w:r>
              <w:rPr>
                <w:noProof/>
                <w:color w:val="000000"/>
                <w:highlight w:val="black"/>
                <w:lang w:eastAsia="en-AU"/>
              </w:rPr>
              <w:t>''''''''''''''''' '''''''''''''''</w:t>
            </w:r>
          </w:p>
        </w:tc>
        <w:tc>
          <w:tcPr>
            <w:tcW w:w="864" w:type="pct"/>
            <w:shd w:val="clear" w:color="auto" w:fill="auto"/>
            <w:vAlign w:val="bottom"/>
          </w:tcPr>
          <w:p w:rsidR="005E7EE4" w:rsidRPr="00F86D7A" w:rsidRDefault="00F86D7A" w:rsidP="00B56181">
            <w:pPr>
              <w:pStyle w:val="TableText"/>
              <w:keepNext w:val="0"/>
              <w:ind w:left="-31" w:right="-91"/>
              <w:rPr>
                <w:rFonts w:cs="Arial"/>
                <w:highlight w:val="black"/>
              </w:rPr>
            </w:pPr>
            <w:r>
              <w:rPr>
                <w:noProof/>
                <w:color w:val="000000"/>
                <w:highlight w:val="black"/>
                <w:lang w:eastAsia="en-AU"/>
              </w:rPr>
              <w:t>'''''''''''' ''''''''''''''</w:t>
            </w:r>
          </w:p>
        </w:tc>
        <w:tc>
          <w:tcPr>
            <w:tcW w:w="854" w:type="pct"/>
            <w:shd w:val="clear" w:color="auto" w:fill="auto"/>
          </w:tcPr>
          <w:p w:rsidR="005E7EE4" w:rsidRPr="00F86D7A" w:rsidRDefault="00F86D7A" w:rsidP="00B56181">
            <w:pPr>
              <w:pStyle w:val="TableText"/>
              <w:keepNext w:val="0"/>
              <w:ind w:left="-31" w:right="-91"/>
              <w:rPr>
                <w:b/>
                <w:highlight w:val="black"/>
              </w:rPr>
            </w:pPr>
            <w:r>
              <w:rPr>
                <w:b/>
                <w:noProof/>
                <w:color w:val="000000"/>
                <w:highlight w:val="black"/>
              </w:rPr>
              <w:t>'''''''' '''''''''' ''''''''''</w:t>
            </w:r>
          </w:p>
        </w:tc>
      </w:tr>
      <w:tr w:rsidR="005E7EE4" w:rsidRPr="007D0E37" w:rsidTr="00B56181">
        <w:tc>
          <w:tcPr>
            <w:tcW w:w="760" w:type="pct"/>
            <w:tcBorders>
              <w:bottom w:val="nil"/>
            </w:tcBorders>
          </w:tcPr>
          <w:p w:rsidR="005E7EE4" w:rsidRPr="007D0E37" w:rsidRDefault="005E7EE4" w:rsidP="00B56181">
            <w:pPr>
              <w:pStyle w:val="TableText"/>
              <w:ind w:left="-39" w:right="-33"/>
            </w:pPr>
            <w:r w:rsidRPr="007D0E37">
              <w:t>ADA vs PBO</w:t>
            </w:r>
          </w:p>
        </w:tc>
        <w:tc>
          <w:tcPr>
            <w:tcW w:w="1473" w:type="pct"/>
            <w:shd w:val="clear" w:color="auto" w:fill="auto"/>
          </w:tcPr>
          <w:p w:rsidR="005E7EE4" w:rsidRPr="007D0E37" w:rsidRDefault="005E7EE4" w:rsidP="00B56181">
            <w:pPr>
              <w:pStyle w:val="TableText"/>
              <w:ind w:left="-31" w:right="-91"/>
            </w:pPr>
            <w:r w:rsidRPr="007D0E37">
              <w:t>ULTRA 2</w:t>
            </w:r>
          </w:p>
        </w:tc>
        <w:tc>
          <w:tcPr>
            <w:tcW w:w="1049" w:type="pct"/>
            <w:shd w:val="clear" w:color="auto" w:fill="auto"/>
            <w:vAlign w:val="center"/>
          </w:tcPr>
          <w:p w:rsidR="005E7EE4" w:rsidRPr="007D0E37" w:rsidRDefault="005E7EE4" w:rsidP="00B56181">
            <w:pPr>
              <w:pStyle w:val="TableText1"/>
              <w:keepNext w:val="0"/>
              <w:spacing w:before="0" w:after="0"/>
              <w:rPr>
                <w:rFonts w:cs="Arial"/>
              </w:rPr>
            </w:pPr>
            <w:r w:rsidRPr="007D0E37">
              <w:rPr>
                <w:rFonts w:cs="Arial"/>
              </w:rPr>
              <w:t>59/248 (23.8)</w:t>
            </w:r>
          </w:p>
        </w:tc>
        <w:tc>
          <w:tcPr>
            <w:tcW w:w="864" w:type="pct"/>
            <w:shd w:val="clear" w:color="auto" w:fill="auto"/>
            <w:vAlign w:val="center"/>
          </w:tcPr>
          <w:p w:rsidR="005E7EE4" w:rsidRPr="007D0E37" w:rsidRDefault="005E7EE4" w:rsidP="00B56181">
            <w:pPr>
              <w:pStyle w:val="TableText1"/>
              <w:keepNext w:val="0"/>
              <w:spacing w:before="0" w:after="0"/>
              <w:rPr>
                <w:rFonts w:cs="Arial"/>
              </w:rPr>
            </w:pPr>
            <w:r w:rsidRPr="007D0E37">
              <w:rPr>
                <w:rFonts w:cs="Arial"/>
              </w:rPr>
              <w:t>30/246 (12.2)</w:t>
            </w:r>
          </w:p>
        </w:tc>
        <w:tc>
          <w:tcPr>
            <w:tcW w:w="854" w:type="pct"/>
            <w:shd w:val="clear" w:color="auto" w:fill="auto"/>
          </w:tcPr>
          <w:p w:rsidR="005E7EE4" w:rsidRPr="00F86D7A" w:rsidRDefault="00F86D7A" w:rsidP="00B56181">
            <w:pPr>
              <w:spacing w:before="0" w:after="0"/>
              <w:ind w:left="-31" w:right="-91"/>
              <w:rPr>
                <w:rFonts w:ascii="Arial Narrow" w:hAnsi="Arial Narrow"/>
                <w:b/>
                <w:color w:val="000000"/>
                <w:sz w:val="20"/>
                <w:szCs w:val="20"/>
                <w:highlight w:val="black"/>
              </w:rPr>
            </w:pPr>
            <w:r>
              <w:rPr>
                <w:rFonts w:ascii="Arial Narrow" w:hAnsi="Arial Narrow"/>
                <w:b/>
                <w:noProof/>
                <w:color w:val="000000"/>
                <w:sz w:val="20"/>
                <w:szCs w:val="20"/>
                <w:highlight w:val="black"/>
              </w:rPr>
              <w:t>'''''''' '''''''''' ''''''''''</w:t>
            </w:r>
          </w:p>
        </w:tc>
      </w:tr>
      <w:tr w:rsidR="005E7EE4" w:rsidRPr="007D0E37" w:rsidTr="00B56181">
        <w:tc>
          <w:tcPr>
            <w:tcW w:w="760" w:type="pct"/>
            <w:tcBorders>
              <w:top w:val="nil"/>
              <w:bottom w:val="nil"/>
            </w:tcBorders>
          </w:tcPr>
          <w:p w:rsidR="005E7EE4" w:rsidRPr="007D0E37" w:rsidRDefault="005E7EE4" w:rsidP="00B56181">
            <w:pPr>
              <w:pStyle w:val="TableText"/>
              <w:ind w:left="-39" w:right="-33"/>
            </w:pPr>
          </w:p>
        </w:tc>
        <w:tc>
          <w:tcPr>
            <w:tcW w:w="1473" w:type="pct"/>
            <w:shd w:val="clear" w:color="auto" w:fill="auto"/>
          </w:tcPr>
          <w:p w:rsidR="005E7EE4" w:rsidRPr="007D0E37" w:rsidRDefault="005E7EE4" w:rsidP="00B56181">
            <w:pPr>
              <w:pStyle w:val="TableText"/>
              <w:ind w:left="-31" w:right="-91"/>
            </w:pPr>
            <w:r w:rsidRPr="007D0E37">
              <w:t>ULTRA 2 (Induction responders)</w:t>
            </w:r>
            <w:r w:rsidRPr="007D0E37">
              <w:rPr>
                <w:vertAlign w:val="superscript"/>
              </w:rPr>
              <w:t>c</w:t>
            </w:r>
          </w:p>
        </w:tc>
        <w:tc>
          <w:tcPr>
            <w:tcW w:w="1049" w:type="pct"/>
            <w:shd w:val="clear" w:color="auto" w:fill="auto"/>
            <w:vAlign w:val="center"/>
          </w:tcPr>
          <w:p w:rsidR="005E7EE4" w:rsidRPr="00F86D7A" w:rsidRDefault="00F86D7A" w:rsidP="00B56181">
            <w:pPr>
              <w:pStyle w:val="TableText1"/>
              <w:keepNext w:val="0"/>
              <w:spacing w:before="0" w:after="0"/>
              <w:rPr>
                <w:rFonts w:cs="Arial"/>
                <w:highlight w:val="black"/>
              </w:rPr>
            </w:pPr>
            <w:r>
              <w:rPr>
                <w:rFonts w:cs="Arial"/>
                <w:noProof/>
                <w:color w:val="000000"/>
                <w:highlight w:val="black"/>
              </w:rPr>
              <w:t>''''''''''''''''' '''''''''''''''</w:t>
            </w:r>
          </w:p>
        </w:tc>
        <w:tc>
          <w:tcPr>
            <w:tcW w:w="864" w:type="pct"/>
            <w:shd w:val="clear" w:color="auto" w:fill="auto"/>
            <w:vAlign w:val="center"/>
          </w:tcPr>
          <w:p w:rsidR="005E7EE4" w:rsidRPr="00F86D7A" w:rsidRDefault="00F86D7A" w:rsidP="00B56181">
            <w:pPr>
              <w:pStyle w:val="TableText1"/>
              <w:keepNext w:val="0"/>
              <w:spacing w:before="0" w:after="0"/>
              <w:rPr>
                <w:rFonts w:cs="Arial"/>
                <w:highlight w:val="black"/>
              </w:rPr>
            </w:pPr>
            <w:r>
              <w:rPr>
                <w:rFonts w:cs="Arial"/>
                <w:noProof/>
                <w:color w:val="000000"/>
                <w:highlight w:val="black"/>
              </w:rPr>
              <w:t>''''''''''''' '''''''''''''</w:t>
            </w:r>
          </w:p>
        </w:tc>
        <w:tc>
          <w:tcPr>
            <w:tcW w:w="854" w:type="pct"/>
            <w:shd w:val="clear" w:color="auto" w:fill="auto"/>
          </w:tcPr>
          <w:p w:rsidR="005E7EE4" w:rsidRPr="00F86D7A" w:rsidRDefault="00F86D7A" w:rsidP="00B56181">
            <w:pPr>
              <w:spacing w:before="0" w:after="0"/>
              <w:ind w:left="-31" w:right="-91"/>
              <w:rPr>
                <w:rFonts w:ascii="Arial Narrow" w:hAnsi="Arial Narrow"/>
                <w:color w:val="000000"/>
                <w:sz w:val="20"/>
                <w:szCs w:val="20"/>
                <w:highlight w:val="black"/>
              </w:rPr>
            </w:pPr>
            <w:r>
              <w:rPr>
                <w:rFonts w:ascii="Arial Narrow" w:hAnsi="Arial Narrow"/>
                <w:noProof/>
                <w:color w:val="000000"/>
                <w:sz w:val="20"/>
                <w:szCs w:val="20"/>
                <w:highlight w:val="black"/>
              </w:rPr>
              <w:t>'''''''''' ''''''''''''' '''''''''''</w:t>
            </w:r>
          </w:p>
        </w:tc>
      </w:tr>
      <w:tr w:rsidR="005E7EE4" w:rsidRPr="007D0E37" w:rsidTr="00B56181">
        <w:tc>
          <w:tcPr>
            <w:tcW w:w="760" w:type="pct"/>
            <w:tcBorders>
              <w:top w:val="nil"/>
              <w:bottom w:val="nil"/>
            </w:tcBorders>
          </w:tcPr>
          <w:p w:rsidR="005E7EE4" w:rsidRPr="007D0E37" w:rsidRDefault="005E7EE4" w:rsidP="00B56181">
            <w:pPr>
              <w:pStyle w:val="TableText"/>
              <w:ind w:left="-39" w:right="-33"/>
            </w:pPr>
          </w:p>
        </w:tc>
        <w:tc>
          <w:tcPr>
            <w:tcW w:w="1473" w:type="pct"/>
            <w:shd w:val="clear" w:color="auto" w:fill="auto"/>
          </w:tcPr>
          <w:p w:rsidR="005E7EE4" w:rsidRPr="007D0E37" w:rsidRDefault="005E7EE4" w:rsidP="00B56181">
            <w:pPr>
              <w:pStyle w:val="TableText"/>
              <w:ind w:left="-31" w:right="-91"/>
            </w:pPr>
            <w:r w:rsidRPr="007D0E37">
              <w:t xml:space="preserve">ULTRA 2 (anti-TNF naïve) </w:t>
            </w:r>
          </w:p>
        </w:tc>
        <w:tc>
          <w:tcPr>
            <w:tcW w:w="1049" w:type="pct"/>
            <w:shd w:val="clear" w:color="auto" w:fill="auto"/>
            <w:vAlign w:val="center"/>
          </w:tcPr>
          <w:p w:rsidR="005E7EE4" w:rsidRPr="007D0E37" w:rsidRDefault="005E7EE4" w:rsidP="00B56181">
            <w:pPr>
              <w:pStyle w:val="TableText1"/>
              <w:keepNext w:val="0"/>
              <w:spacing w:before="0" w:after="0"/>
              <w:rPr>
                <w:rFonts w:cs="Arial"/>
              </w:rPr>
            </w:pPr>
            <w:r w:rsidRPr="007D0E37">
              <w:rPr>
                <w:rFonts w:cs="Arial"/>
              </w:rPr>
              <w:t>44/150 (29.3)</w:t>
            </w:r>
          </w:p>
        </w:tc>
        <w:tc>
          <w:tcPr>
            <w:tcW w:w="864" w:type="pct"/>
            <w:shd w:val="clear" w:color="auto" w:fill="auto"/>
            <w:vAlign w:val="center"/>
          </w:tcPr>
          <w:p w:rsidR="005E7EE4" w:rsidRPr="007D0E37" w:rsidRDefault="005E7EE4" w:rsidP="00B56181">
            <w:pPr>
              <w:pStyle w:val="TableText1"/>
              <w:keepNext w:val="0"/>
              <w:spacing w:before="0" w:after="0"/>
              <w:rPr>
                <w:rFonts w:cs="Arial"/>
              </w:rPr>
            </w:pPr>
            <w:r w:rsidRPr="007D0E37">
              <w:rPr>
                <w:rFonts w:cs="Arial"/>
              </w:rPr>
              <w:t>24/145 (16.6)</w:t>
            </w:r>
          </w:p>
        </w:tc>
        <w:tc>
          <w:tcPr>
            <w:tcW w:w="854" w:type="pct"/>
            <w:shd w:val="clear" w:color="auto" w:fill="auto"/>
          </w:tcPr>
          <w:p w:rsidR="005E7EE4" w:rsidRPr="00F86D7A" w:rsidRDefault="00F86D7A" w:rsidP="00B56181">
            <w:pPr>
              <w:spacing w:before="0" w:after="0"/>
              <w:ind w:left="-31" w:right="-91"/>
              <w:rPr>
                <w:rFonts w:ascii="Arial Narrow" w:hAnsi="Arial Narrow"/>
                <w:b/>
                <w:color w:val="000000"/>
                <w:sz w:val="20"/>
                <w:szCs w:val="20"/>
                <w:highlight w:val="black"/>
              </w:rPr>
            </w:pPr>
            <w:r>
              <w:rPr>
                <w:rFonts w:ascii="Arial Narrow" w:hAnsi="Arial Narrow"/>
                <w:b/>
                <w:noProof/>
                <w:color w:val="000000"/>
                <w:sz w:val="20"/>
                <w:szCs w:val="20"/>
                <w:highlight w:val="black"/>
              </w:rPr>
              <w:t>''''''''' '''''''''''' ''''''''''</w:t>
            </w:r>
          </w:p>
        </w:tc>
      </w:tr>
      <w:tr w:rsidR="005E7EE4" w:rsidRPr="007D0E37" w:rsidTr="00B56181">
        <w:tc>
          <w:tcPr>
            <w:tcW w:w="760" w:type="pct"/>
            <w:tcBorders>
              <w:top w:val="nil"/>
              <w:bottom w:val="nil"/>
            </w:tcBorders>
          </w:tcPr>
          <w:p w:rsidR="005E7EE4" w:rsidRPr="007D0E37" w:rsidRDefault="005E7EE4" w:rsidP="00B56181">
            <w:pPr>
              <w:pStyle w:val="TableText"/>
              <w:ind w:left="-39" w:right="-33"/>
            </w:pPr>
          </w:p>
        </w:tc>
        <w:tc>
          <w:tcPr>
            <w:tcW w:w="1473" w:type="pct"/>
            <w:shd w:val="clear" w:color="auto" w:fill="auto"/>
          </w:tcPr>
          <w:p w:rsidR="005E7EE4" w:rsidRPr="007D0E37" w:rsidRDefault="005E7EE4" w:rsidP="00B56181">
            <w:pPr>
              <w:pStyle w:val="TableText"/>
              <w:ind w:left="-31" w:right="-91"/>
            </w:pPr>
            <w:r w:rsidRPr="007D0E37">
              <w:t>ULTRA 2 (anti-TNF naïve, Induction responders)</w:t>
            </w:r>
            <w:r w:rsidRPr="007D0E37">
              <w:rPr>
                <w:vertAlign w:val="superscript"/>
              </w:rPr>
              <w:t>c</w:t>
            </w:r>
          </w:p>
        </w:tc>
        <w:tc>
          <w:tcPr>
            <w:tcW w:w="1049" w:type="pct"/>
            <w:shd w:val="clear" w:color="auto" w:fill="auto"/>
          </w:tcPr>
          <w:p w:rsidR="005E7EE4" w:rsidRPr="00F86D7A" w:rsidRDefault="00F86D7A" w:rsidP="00B56181">
            <w:pPr>
              <w:pStyle w:val="TableText1"/>
              <w:keepNext w:val="0"/>
              <w:spacing w:before="0" w:after="0"/>
              <w:rPr>
                <w:rFonts w:cs="Arial"/>
                <w:highlight w:val="black"/>
              </w:rPr>
            </w:pPr>
            <w:r>
              <w:rPr>
                <w:rFonts w:cs="Arial"/>
                <w:noProof/>
                <w:color w:val="000000"/>
                <w:highlight w:val="black"/>
              </w:rPr>
              <w:t>'''''''''''''' '''''''''''''</w:t>
            </w:r>
          </w:p>
        </w:tc>
        <w:tc>
          <w:tcPr>
            <w:tcW w:w="864" w:type="pct"/>
            <w:shd w:val="clear" w:color="auto" w:fill="auto"/>
          </w:tcPr>
          <w:p w:rsidR="005E7EE4" w:rsidRPr="00F86D7A" w:rsidRDefault="00F86D7A" w:rsidP="00B56181">
            <w:pPr>
              <w:pStyle w:val="TableText1"/>
              <w:keepNext w:val="0"/>
              <w:spacing w:before="0" w:after="0"/>
              <w:rPr>
                <w:rFonts w:cs="Arial"/>
                <w:highlight w:val="black"/>
              </w:rPr>
            </w:pPr>
            <w:r>
              <w:rPr>
                <w:rFonts w:cs="Arial"/>
                <w:noProof/>
                <w:color w:val="000000"/>
                <w:highlight w:val="black"/>
              </w:rPr>
              <w:t>'''''''''''''' '''''''''''''</w:t>
            </w:r>
          </w:p>
        </w:tc>
        <w:tc>
          <w:tcPr>
            <w:tcW w:w="854" w:type="pct"/>
            <w:shd w:val="clear" w:color="auto" w:fill="auto"/>
          </w:tcPr>
          <w:p w:rsidR="005E7EE4" w:rsidRPr="00F86D7A" w:rsidRDefault="00F86D7A" w:rsidP="00B56181">
            <w:pPr>
              <w:spacing w:before="0" w:after="0"/>
              <w:ind w:left="-31" w:right="-91"/>
              <w:rPr>
                <w:rFonts w:ascii="Arial Narrow" w:hAnsi="Arial Narrow"/>
                <w:color w:val="000000"/>
                <w:sz w:val="20"/>
                <w:szCs w:val="20"/>
                <w:highlight w:val="black"/>
              </w:rPr>
            </w:pPr>
            <w:r>
              <w:rPr>
                <w:rFonts w:ascii="Arial Narrow" w:hAnsi="Arial Narrow"/>
                <w:noProof/>
                <w:color w:val="000000"/>
                <w:sz w:val="20"/>
                <w:szCs w:val="20"/>
                <w:highlight w:val="black"/>
              </w:rPr>
              <w:t>''''''''''' ''''''''''''''' '''''''''''</w:t>
            </w:r>
          </w:p>
        </w:tc>
      </w:tr>
      <w:tr w:rsidR="005E7EE4" w:rsidRPr="007D0E37" w:rsidTr="00B56181">
        <w:tc>
          <w:tcPr>
            <w:tcW w:w="760" w:type="pct"/>
            <w:tcBorders>
              <w:top w:val="single" w:sz="4" w:space="0" w:color="auto"/>
              <w:bottom w:val="single" w:sz="4" w:space="0" w:color="auto"/>
            </w:tcBorders>
          </w:tcPr>
          <w:p w:rsidR="005E7EE4" w:rsidRPr="007D0E37" w:rsidRDefault="005E7EE4" w:rsidP="00B56181">
            <w:pPr>
              <w:pStyle w:val="TableText"/>
              <w:ind w:left="-39" w:right="-33"/>
            </w:pPr>
            <w:r w:rsidRPr="007D0E37">
              <w:t>VDZ vs PBO</w:t>
            </w:r>
          </w:p>
        </w:tc>
        <w:tc>
          <w:tcPr>
            <w:tcW w:w="1473" w:type="pct"/>
            <w:tcBorders>
              <w:bottom w:val="single" w:sz="4" w:space="0" w:color="auto"/>
            </w:tcBorders>
            <w:shd w:val="clear" w:color="auto" w:fill="auto"/>
          </w:tcPr>
          <w:p w:rsidR="005E7EE4" w:rsidRPr="007D0E37" w:rsidRDefault="005E7EE4" w:rsidP="00B56181">
            <w:pPr>
              <w:pStyle w:val="TableText"/>
              <w:ind w:left="-31" w:right="-91"/>
            </w:pPr>
            <w:r w:rsidRPr="007D0E37">
              <w:t>GEMINI 1</w:t>
            </w:r>
          </w:p>
        </w:tc>
        <w:tc>
          <w:tcPr>
            <w:tcW w:w="1049" w:type="pct"/>
            <w:tcBorders>
              <w:bottom w:val="single" w:sz="4" w:space="0" w:color="auto"/>
            </w:tcBorders>
            <w:shd w:val="clear" w:color="auto" w:fill="auto"/>
            <w:vAlign w:val="bottom"/>
          </w:tcPr>
          <w:p w:rsidR="005E7EE4" w:rsidRPr="007D0E37" w:rsidRDefault="005E7EE4" w:rsidP="00B56181">
            <w:pPr>
              <w:pStyle w:val="TableText"/>
              <w:keepNext w:val="0"/>
              <w:ind w:left="-31" w:right="-91"/>
            </w:pPr>
            <w:r w:rsidRPr="007D0E37">
              <w:rPr>
                <w:color w:val="000000"/>
                <w:lang w:eastAsia="en-AU"/>
              </w:rPr>
              <w:t>69/122 (56.6)</w:t>
            </w:r>
          </w:p>
        </w:tc>
        <w:tc>
          <w:tcPr>
            <w:tcW w:w="864" w:type="pct"/>
            <w:tcBorders>
              <w:bottom w:val="single" w:sz="4" w:space="0" w:color="auto"/>
            </w:tcBorders>
            <w:shd w:val="clear" w:color="auto" w:fill="auto"/>
            <w:vAlign w:val="bottom"/>
          </w:tcPr>
          <w:p w:rsidR="005E7EE4" w:rsidRPr="007D0E37" w:rsidRDefault="005E7EE4" w:rsidP="00B56181">
            <w:pPr>
              <w:pStyle w:val="TableText"/>
              <w:keepNext w:val="0"/>
              <w:ind w:left="-31" w:right="-91"/>
            </w:pPr>
            <w:r w:rsidRPr="007D0E37">
              <w:rPr>
                <w:color w:val="000000"/>
                <w:lang w:eastAsia="en-AU"/>
              </w:rPr>
              <w:t>30/126 (23.8)</w:t>
            </w:r>
          </w:p>
        </w:tc>
        <w:tc>
          <w:tcPr>
            <w:tcW w:w="854" w:type="pct"/>
            <w:tcBorders>
              <w:bottom w:val="single" w:sz="4" w:space="0" w:color="auto"/>
            </w:tcBorders>
            <w:shd w:val="clear" w:color="auto" w:fill="auto"/>
          </w:tcPr>
          <w:p w:rsidR="005E7EE4" w:rsidRPr="00F86D7A" w:rsidRDefault="00F86D7A" w:rsidP="00B56181">
            <w:pPr>
              <w:spacing w:before="0" w:after="0"/>
              <w:ind w:left="-31" w:right="-91"/>
              <w:rPr>
                <w:rFonts w:ascii="Arial Narrow" w:hAnsi="Arial Narrow"/>
                <w:color w:val="000000"/>
                <w:sz w:val="20"/>
                <w:szCs w:val="20"/>
              </w:rPr>
            </w:pPr>
            <w:r>
              <w:rPr>
                <w:rFonts w:ascii="Arial Narrow" w:hAnsi="Arial Narrow"/>
                <w:b/>
                <w:noProof/>
                <w:color w:val="000000"/>
                <w:sz w:val="20"/>
                <w:szCs w:val="20"/>
                <w:highlight w:val="black"/>
              </w:rPr>
              <w:t>'''''''' ''''''''''' '''''''''</w:t>
            </w:r>
            <w:r>
              <w:rPr>
                <w:rFonts w:ascii="Arial Narrow" w:hAnsi="Arial Narrow"/>
                <w:noProof/>
                <w:color w:val="000000"/>
                <w:sz w:val="20"/>
                <w:szCs w:val="20"/>
                <w:highlight w:val="black"/>
              </w:rPr>
              <w:t>''</w:t>
            </w:r>
          </w:p>
        </w:tc>
      </w:tr>
      <w:tr w:rsidR="005E7EE4" w:rsidRPr="007D0E37" w:rsidTr="00AE22D9">
        <w:tc>
          <w:tcPr>
            <w:tcW w:w="4146" w:type="pct"/>
            <w:gridSpan w:val="4"/>
            <w:tcBorders>
              <w:right w:val="nil"/>
            </w:tcBorders>
          </w:tcPr>
          <w:p w:rsidR="005E7EE4" w:rsidRPr="007D0E37" w:rsidRDefault="005E7EE4" w:rsidP="00B56181">
            <w:pPr>
              <w:pStyle w:val="TableText"/>
              <w:ind w:left="-31" w:right="-91"/>
            </w:pPr>
            <w:r w:rsidRPr="007D0E37">
              <w:t>Indirect estimate of effect adjusted for the common reference (GOL vs IFX)</w:t>
            </w:r>
          </w:p>
        </w:tc>
        <w:tc>
          <w:tcPr>
            <w:tcW w:w="854" w:type="pct"/>
            <w:tcBorders>
              <w:left w:val="nil"/>
              <w:right w:val="single" w:sz="4" w:space="0" w:color="auto"/>
            </w:tcBorders>
            <w:shd w:val="clear" w:color="auto" w:fill="auto"/>
          </w:tcPr>
          <w:p w:rsidR="005E7EE4" w:rsidRPr="00F86D7A" w:rsidRDefault="005E7EE4" w:rsidP="00B56181">
            <w:pPr>
              <w:spacing w:before="0" w:after="0"/>
              <w:ind w:left="-31" w:right="-91"/>
              <w:rPr>
                <w:rFonts w:ascii="Arial Narrow" w:hAnsi="Arial Narrow"/>
                <w:color w:val="000000"/>
                <w:sz w:val="20"/>
                <w:szCs w:val="20"/>
              </w:rPr>
            </w:pPr>
          </w:p>
        </w:tc>
      </w:tr>
      <w:tr w:rsidR="005E7EE4" w:rsidRPr="007D0E37" w:rsidTr="00B56181">
        <w:tc>
          <w:tcPr>
            <w:tcW w:w="4146" w:type="pct"/>
            <w:gridSpan w:val="4"/>
            <w:tcBorders>
              <w:bottom w:val="single" w:sz="4" w:space="0" w:color="auto"/>
            </w:tcBorders>
          </w:tcPr>
          <w:p w:rsidR="005E7EE4" w:rsidRPr="007D0E37" w:rsidRDefault="005E7EE4" w:rsidP="00B56181">
            <w:pPr>
              <w:pStyle w:val="TableText"/>
              <w:ind w:left="175" w:right="-91"/>
            </w:pPr>
            <w:r w:rsidRPr="007D0E37">
              <w:t>Using trial results: PURSUIT-M, ACT 1</w:t>
            </w:r>
          </w:p>
        </w:tc>
        <w:tc>
          <w:tcPr>
            <w:tcW w:w="854" w:type="pct"/>
            <w:tcBorders>
              <w:bottom w:val="single" w:sz="4" w:space="0" w:color="auto"/>
            </w:tcBorders>
            <w:shd w:val="clear" w:color="auto" w:fill="auto"/>
          </w:tcPr>
          <w:p w:rsidR="005E7EE4" w:rsidRPr="00F86D7A" w:rsidRDefault="00F86D7A" w:rsidP="00B56181">
            <w:pPr>
              <w:spacing w:before="0" w:after="0"/>
              <w:ind w:left="-31" w:right="-91"/>
              <w:rPr>
                <w:rFonts w:ascii="Arial Narrow" w:hAnsi="Arial Narrow"/>
                <w:color w:val="000000"/>
                <w:sz w:val="20"/>
                <w:szCs w:val="20"/>
                <w:highlight w:val="black"/>
              </w:rPr>
            </w:pPr>
            <w:r>
              <w:rPr>
                <w:rFonts w:ascii="Arial Narrow" w:hAnsi="Arial Narrow"/>
                <w:noProof/>
                <w:color w:val="000000"/>
                <w:sz w:val="20"/>
                <w:szCs w:val="20"/>
                <w:highlight w:val="black"/>
              </w:rPr>
              <w:t>'''''''''' '''''''''''''''' ''''''''''''</w:t>
            </w:r>
          </w:p>
        </w:tc>
      </w:tr>
      <w:tr w:rsidR="005E7EE4" w:rsidRPr="007D0E37" w:rsidTr="00B56181">
        <w:tc>
          <w:tcPr>
            <w:tcW w:w="4146" w:type="pct"/>
            <w:gridSpan w:val="4"/>
            <w:tcBorders>
              <w:bottom w:val="single" w:sz="4" w:space="0" w:color="auto"/>
            </w:tcBorders>
          </w:tcPr>
          <w:p w:rsidR="005E7EE4" w:rsidRPr="007D0E37" w:rsidRDefault="005E7EE4" w:rsidP="00B56181">
            <w:pPr>
              <w:pStyle w:val="TableText"/>
              <w:ind w:left="175" w:right="-91"/>
            </w:pPr>
            <w:r w:rsidRPr="007D0E37">
              <w:t>Using trial results: PURSUIT-M, ACT 1 (Induction responders)</w:t>
            </w:r>
          </w:p>
        </w:tc>
        <w:tc>
          <w:tcPr>
            <w:tcW w:w="854" w:type="pct"/>
            <w:tcBorders>
              <w:bottom w:val="single" w:sz="4" w:space="0" w:color="auto"/>
            </w:tcBorders>
            <w:shd w:val="clear" w:color="auto" w:fill="auto"/>
          </w:tcPr>
          <w:p w:rsidR="005E7EE4" w:rsidRPr="00F86D7A" w:rsidRDefault="00F86D7A" w:rsidP="00B56181">
            <w:pPr>
              <w:spacing w:before="0" w:after="0"/>
              <w:ind w:left="-31" w:right="-91"/>
              <w:rPr>
                <w:rFonts w:ascii="Arial Narrow" w:hAnsi="Arial Narrow"/>
                <w:color w:val="000000"/>
                <w:sz w:val="20"/>
                <w:szCs w:val="20"/>
                <w:highlight w:val="black"/>
              </w:rPr>
            </w:pPr>
            <w:r>
              <w:rPr>
                <w:rFonts w:ascii="Arial Narrow" w:hAnsi="Arial Narrow"/>
                <w:noProof/>
                <w:color w:val="000000"/>
                <w:sz w:val="20"/>
                <w:szCs w:val="20"/>
                <w:highlight w:val="black"/>
              </w:rPr>
              <w:t>''''''''''' ''''''''''''' ''''''''''''</w:t>
            </w:r>
          </w:p>
        </w:tc>
      </w:tr>
      <w:tr w:rsidR="005E7EE4" w:rsidRPr="007D0E37" w:rsidTr="00B56181">
        <w:tc>
          <w:tcPr>
            <w:tcW w:w="4146" w:type="pct"/>
            <w:gridSpan w:val="4"/>
            <w:tcBorders>
              <w:bottom w:val="single" w:sz="4" w:space="0" w:color="auto"/>
            </w:tcBorders>
          </w:tcPr>
          <w:p w:rsidR="005E7EE4" w:rsidRPr="007D0E37" w:rsidRDefault="005E7EE4" w:rsidP="00B56181">
            <w:pPr>
              <w:pStyle w:val="TableText"/>
              <w:ind w:left="175" w:right="-91"/>
            </w:pPr>
            <w:r w:rsidRPr="007D0E37">
              <w:t>Using trial results: PURSUIT-M, PURSUIT-J, ACT 1</w:t>
            </w:r>
          </w:p>
        </w:tc>
        <w:tc>
          <w:tcPr>
            <w:tcW w:w="854" w:type="pct"/>
            <w:tcBorders>
              <w:bottom w:val="single" w:sz="4" w:space="0" w:color="auto"/>
            </w:tcBorders>
            <w:shd w:val="clear" w:color="auto" w:fill="auto"/>
          </w:tcPr>
          <w:p w:rsidR="005E7EE4" w:rsidRPr="00F86D7A" w:rsidRDefault="00F86D7A" w:rsidP="00B56181">
            <w:pPr>
              <w:spacing w:before="0" w:after="0"/>
              <w:ind w:left="-31" w:right="-91"/>
              <w:rPr>
                <w:rFonts w:ascii="Arial Narrow" w:hAnsi="Arial Narrow"/>
                <w:color w:val="000000"/>
                <w:sz w:val="20"/>
                <w:szCs w:val="20"/>
                <w:highlight w:val="black"/>
              </w:rPr>
            </w:pPr>
            <w:r>
              <w:rPr>
                <w:rFonts w:ascii="Arial Narrow" w:hAnsi="Arial Narrow"/>
                <w:noProof/>
                <w:color w:val="000000"/>
                <w:sz w:val="20"/>
                <w:szCs w:val="20"/>
                <w:highlight w:val="black"/>
              </w:rPr>
              <w:t>'''''''''' ''''''''''''' '''''''''''''</w:t>
            </w:r>
          </w:p>
        </w:tc>
      </w:tr>
      <w:tr w:rsidR="005E7EE4" w:rsidRPr="007D0E37" w:rsidTr="00B56181">
        <w:tc>
          <w:tcPr>
            <w:tcW w:w="4146" w:type="pct"/>
            <w:gridSpan w:val="4"/>
            <w:tcBorders>
              <w:bottom w:val="single" w:sz="4" w:space="0" w:color="auto"/>
            </w:tcBorders>
          </w:tcPr>
          <w:p w:rsidR="005E7EE4" w:rsidRPr="007D0E37" w:rsidRDefault="005E7EE4" w:rsidP="00B56181">
            <w:pPr>
              <w:pStyle w:val="TableText"/>
              <w:ind w:left="175" w:right="-91"/>
            </w:pPr>
            <w:r w:rsidRPr="007D0E37">
              <w:t>Using trial results: PURSUIT-M, PURSUIT-J, ACT 1 (Induction responders)</w:t>
            </w:r>
          </w:p>
        </w:tc>
        <w:tc>
          <w:tcPr>
            <w:tcW w:w="854" w:type="pct"/>
            <w:tcBorders>
              <w:bottom w:val="single" w:sz="4" w:space="0" w:color="auto"/>
            </w:tcBorders>
            <w:shd w:val="clear" w:color="auto" w:fill="auto"/>
          </w:tcPr>
          <w:p w:rsidR="005E7EE4" w:rsidRPr="00F86D7A" w:rsidRDefault="00F86D7A" w:rsidP="00B56181">
            <w:pPr>
              <w:spacing w:before="0" w:after="0"/>
              <w:ind w:left="-31" w:right="-91"/>
              <w:rPr>
                <w:rFonts w:ascii="Arial Narrow" w:hAnsi="Arial Narrow"/>
                <w:color w:val="000000"/>
                <w:sz w:val="20"/>
                <w:szCs w:val="20"/>
                <w:highlight w:val="black"/>
              </w:rPr>
            </w:pPr>
            <w:r>
              <w:rPr>
                <w:rFonts w:ascii="Arial Narrow" w:hAnsi="Arial Narrow"/>
                <w:noProof/>
                <w:color w:val="000000"/>
                <w:sz w:val="20"/>
                <w:szCs w:val="20"/>
                <w:highlight w:val="black"/>
              </w:rPr>
              <w:t>'''''''''' '''''''''''' ''''''''''''''</w:t>
            </w:r>
          </w:p>
        </w:tc>
      </w:tr>
      <w:tr w:rsidR="005E7EE4" w:rsidRPr="007D0E37" w:rsidTr="00AE22D9">
        <w:tc>
          <w:tcPr>
            <w:tcW w:w="4146" w:type="pct"/>
            <w:gridSpan w:val="4"/>
            <w:tcBorders>
              <w:right w:val="nil"/>
            </w:tcBorders>
          </w:tcPr>
          <w:p w:rsidR="005E7EE4" w:rsidRPr="007D0E37" w:rsidRDefault="005E7EE4" w:rsidP="00B56181">
            <w:pPr>
              <w:pStyle w:val="TableText"/>
              <w:ind w:left="-31" w:right="-91"/>
            </w:pPr>
            <w:r w:rsidRPr="007D0E37">
              <w:t>Indirect estimate of effect adjusted for the common reference (GOL vs ADA)</w:t>
            </w:r>
          </w:p>
        </w:tc>
        <w:tc>
          <w:tcPr>
            <w:tcW w:w="854" w:type="pct"/>
            <w:tcBorders>
              <w:left w:val="nil"/>
              <w:right w:val="single" w:sz="4" w:space="0" w:color="auto"/>
            </w:tcBorders>
            <w:shd w:val="clear" w:color="auto" w:fill="auto"/>
          </w:tcPr>
          <w:p w:rsidR="005E7EE4" w:rsidRPr="00F86D7A" w:rsidRDefault="005E7EE4" w:rsidP="00B56181">
            <w:pPr>
              <w:spacing w:before="0" w:after="0"/>
              <w:ind w:left="-31" w:right="-91"/>
              <w:rPr>
                <w:rFonts w:ascii="Arial Narrow" w:hAnsi="Arial Narrow"/>
                <w:color w:val="000000"/>
                <w:sz w:val="20"/>
                <w:szCs w:val="20"/>
              </w:rPr>
            </w:pPr>
          </w:p>
        </w:tc>
      </w:tr>
      <w:tr w:rsidR="005E7EE4" w:rsidRPr="007D0E37" w:rsidTr="00B56181">
        <w:tc>
          <w:tcPr>
            <w:tcW w:w="4146" w:type="pct"/>
            <w:gridSpan w:val="4"/>
          </w:tcPr>
          <w:p w:rsidR="005E7EE4" w:rsidRPr="007D0E37" w:rsidRDefault="005E7EE4" w:rsidP="00B56181">
            <w:pPr>
              <w:pStyle w:val="TableText"/>
              <w:ind w:left="175" w:right="-91"/>
            </w:pPr>
            <w:r w:rsidRPr="007D0E37">
              <w:t xml:space="preserve">Using trial results: PURSUIT-M, ULTRA 2 </w:t>
            </w:r>
          </w:p>
        </w:tc>
        <w:tc>
          <w:tcPr>
            <w:tcW w:w="854" w:type="pct"/>
            <w:shd w:val="clear" w:color="auto" w:fill="auto"/>
          </w:tcPr>
          <w:p w:rsidR="005E7EE4" w:rsidRPr="00F86D7A" w:rsidRDefault="00F86D7A" w:rsidP="00B56181">
            <w:pPr>
              <w:spacing w:before="0" w:after="0"/>
              <w:ind w:right="-91"/>
              <w:rPr>
                <w:rFonts w:ascii="Arial Narrow" w:hAnsi="Arial Narrow"/>
                <w:color w:val="000000"/>
                <w:sz w:val="20"/>
                <w:szCs w:val="20"/>
                <w:highlight w:val="black"/>
              </w:rPr>
            </w:pPr>
            <w:r>
              <w:rPr>
                <w:rFonts w:ascii="Arial Narrow" w:hAnsi="Arial Narrow"/>
                <w:noProof/>
                <w:color w:val="000000"/>
                <w:sz w:val="20"/>
                <w:szCs w:val="20"/>
                <w:highlight w:val="black"/>
              </w:rPr>
              <w:t>'''''''''' ''''''''''''''' '''''''''''''</w:t>
            </w:r>
          </w:p>
        </w:tc>
      </w:tr>
      <w:tr w:rsidR="005E7EE4" w:rsidRPr="007D0E37" w:rsidTr="00B56181">
        <w:tc>
          <w:tcPr>
            <w:tcW w:w="4146" w:type="pct"/>
            <w:gridSpan w:val="4"/>
          </w:tcPr>
          <w:p w:rsidR="005E7EE4" w:rsidRPr="007D0E37" w:rsidRDefault="005E7EE4" w:rsidP="00B56181">
            <w:pPr>
              <w:pStyle w:val="TableText"/>
              <w:ind w:left="175" w:right="-91"/>
            </w:pPr>
            <w:r w:rsidRPr="007D0E37">
              <w:t>Using trial results: PURSUIT-M, ULTRA 2 (Induction responders)</w:t>
            </w:r>
          </w:p>
        </w:tc>
        <w:tc>
          <w:tcPr>
            <w:tcW w:w="854" w:type="pct"/>
            <w:shd w:val="clear" w:color="auto" w:fill="auto"/>
          </w:tcPr>
          <w:p w:rsidR="005E7EE4" w:rsidRPr="00F86D7A" w:rsidRDefault="00F86D7A" w:rsidP="00B56181">
            <w:pPr>
              <w:spacing w:before="0" w:after="0"/>
              <w:ind w:right="-91"/>
              <w:rPr>
                <w:rFonts w:ascii="Arial Narrow" w:hAnsi="Arial Narrow"/>
                <w:color w:val="000000"/>
                <w:sz w:val="20"/>
                <w:szCs w:val="20"/>
                <w:highlight w:val="black"/>
              </w:rPr>
            </w:pPr>
            <w:r>
              <w:rPr>
                <w:rFonts w:ascii="Arial Narrow" w:hAnsi="Arial Narrow"/>
                <w:noProof/>
                <w:color w:val="000000"/>
                <w:sz w:val="20"/>
                <w:szCs w:val="20"/>
                <w:highlight w:val="black"/>
              </w:rPr>
              <w:t>''''''''''' ''''''''''''' '''''''''''</w:t>
            </w:r>
          </w:p>
        </w:tc>
      </w:tr>
      <w:tr w:rsidR="005E7EE4" w:rsidRPr="007D0E37" w:rsidTr="00B56181">
        <w:tc>
          <w:tcPr>
            <w:tcW w:w="4146" w:type="pct"/>
            <w:gridSpan w:val="4"/>
          </w:tcPr>
          <w:p w:rsidR="005E7EE4" w:rsidRPr="007D0E37" w:rsidRDefault="005E7EE4" w:rsidP="00B56181">
            <w:pPr>
              <w:pStyle w:val="TableText"/>
              <w:ind w:left="175" w:right="-91"/>
            </w:pPr>
            <w:r w:rsidRPr="007D0E37">
              <w:t>Using trial results: PURSUIT-M, ULTRA 2 (anti-TNF naïve)</w:t>
            </w:r>
          </w:p>
        </w:tc>
        <w:tc>
          <w:tcPr>
            <w:tcW w:w="854" w:type="pct"/>
            <w:shd w:val="clear" w:color="auto" w:fill="auto"/>
          </w:tcPr>
          <w:p w:rsidR="005E7EE4" w:rsidRPr="00F86D7A" w:rsidRDefault="00F86D7A" w:rsidP="00B56181">
            <w:pPr>
              <w:spacing w:before="0" w:after="0"/>
              <w:ind w:left="-31" w:right="-91"/>
              <w:rPr>
                <w:rFonts w:ascii="Arial Narrow" w:hAnsi="Arial Narrow"/>
                <w:color w:val="000000"/>
                <w:sz w:val="20"/>
                <w:szCs w:val="20"/>
                <w:highlight w:val="black"/>
              </w:rPr>
            </w:pPr>
            <w:r>
              <w:rPr>
                <w:rFonts w:ascii="Arial Narrow" w:hAnsi="Arial Narrow"/>
                <w:noProof/>
                <w:color w:val="000000"/>
                <w:sz w:val="20"/>
                <w:szCs w:val="20"/>
                <w:highlight w:val="black"/>
              </w:rPr>
              <w:t>'''''''''' '''''''''''''' ''''''''''''</w:t>
            </w:r>
          </w:p>
        </w:tc>
      </w:tr>
      <w:tr w:rsidR="005E7EE4" w:rsidRPr="007D0E37" w:rsidTr="00B56181">
        <w:tc>
          <w:tcPr>
            <w:tcW w:w="4146" w:type="pct"/>
            <w:gridSpan w:val="4"/>
          </w:tcPr>
          <w:p w:rsidR="005E7EE4" w:rsidRPr="007D0E37" w:rsidRDefault="005E7EE4" w:rsidP="00B56181">
            <w:pPr>
              <w:pStyle w:val="TableText"/>
              <w:ind w:left="175" w:right="-91"/>
            </w:pPr>
            <w:r w:rsidRPr="007D0E37">
              <w:t>Using trial results: PURSUIT-M, ULTRA 2 (anti-TNF naïve, induction responders)</w:t>
            </w:r>
          </w:p>
        </w:tc>
        <w:tc>
          <w:tcPr>
            <w:tcW w:w="854" w:type="pct"/>
            <w:shd w:val="clear" w:color="auto" w:fill="auto"/>
          </w:tcPr>
          <w:p w:rsidR="005E7EE4" w:rsidRPr="00F86D7A" w:rsidRDefault="00F86D7A" w:rsidP="00B56181">
            <w:pPr>
              <w:spacing w:before="0" w:after="0"/>
              <w:ind w:left="-31" w:right="-91"/>
              <w:rPr>
                <w:rFonts w:ascii="Arial Narrow" w:hAnsi="Arial Narrow"/>
                <w:color w:val="000000"/>
                <w:sz w:val="20"/>
                <w:szCs w:val="20"/>
                <w:highlight w:val="black"/>
              </w:rPr>
            </w:pPr>
            <w:r>
              <w:rPr>
                <w:rFonts w:ascii="Arial Narrow" w:hAnsi="Arial Narrow"/>
                <w:noProof/>
                <w:color w:val="000000"/>
                <w:sz w:val="20"/>
                <w:szCs w:val="20"/>
                <w:highlight w:val="black"/>
              </w:rPr>
              <w:t>''''''''''' ''''''''''''''' '''''''''''</w:t>
            </w:r>
          </w:p>
        </w:tc>
      </w:tr>
      <w:tr w:rsidR="005E7EE4" w:rsidRPr="007D0E37" w:rsidTr="00B56181">
        <w:tc>
          <w:tcPr>
            <w:tcW w:w="4146" w:type="pct"/>
            <w:gridSpan w:val="4"/>
          </w:tcPr>
          <w:p w:rsidR="005E7EE4" w:rsidRPr="007D0E37" w:rsidRDefault="005E7EE4" w:rsidP="00B56181">
            <w:pPr>
              <w:pStyle w:val="TableText"/>
              <w:ind w:left="175" w:right="-91"/>
            </w:pPr>
            <w:r w:rsidRPr="007D0E37">
              <w:t>Using trial results: PURSUIT-M, PURSUIT-J, ULTRA 2</w:t>
            </w:r>
          </w:p>
        </w:tc>
        <w:tc>
          <w:tcPr>
            <w:tcW w:w="854" w:type="pct"/>
            <w:shd w:val="clear" w:color="auto" w:fill="auto"/>
          </w:tcPr>
          <w:p w:rsidR="005E7EE4" w:rsidRPr="00F86D7A" w:rsidRDefault="00F86D7A" w:rsidP="00B56181">
            <w:pPr>
              <w:spacing w:before="0" w:after="0"/>
              <w:ind w:left="-31" w:right="-91"/>
              <w:rPr>
                <w:rFonts w:ascii="Arial Narrow" w:hAnsi="Arial Narrow"/>
                <w:color w:val="000000"/>
                <w:sz w:val="20"/>
                <w:szCs w:val="20"/>
                <w:highlight w:val="black"/>
              </w:rPr>
            </w:pPr>
            <w:r>
              <w:rPr>
                <w:rFonts w:ascii="Arial Narrow" w:hAnsi="Arial Narrow"/>
                <w:noProof/>
                <w:color w:val="000000"/>
                <w:sz w:val="20"/>
                <w:szCs w:val="20"/>
                <w:highlight w:val="black"/>
              </w:rPr>
              <w:t>''''''''''' ''''''''''''''' ''''''''''''</w:t>
            </w:r>
          </w:p>
        </w:tc>
      </w:tr>
      <w:tr w:rsidR="005E7EE4" w:rsidRPr="007D0E37" w:rsidTr="00B56181">
        <w:tc>
          <w:tcPr>
            <w:tcW w:w="4146" w:type="pct"/>
            <w:gridSpan w:val="4"/>
          </w:tcPr>
          <w:p w:rsidR="005E7EE4" w:rsidRPr="007D0E37" w:rsidRDefault="005E7EE4" w:rsidP="00B56181">
            <w:pPr>
              <w:pStyle w:val="TableText"/>
              <w:ind w:left="175" w:right="-91"/>
            </w:pPr>
            <w:r w:rsidRPr="007D0E37">
              <w:t>Using trial results: PURSUIT-M, PURSUIT-J, ULTRA 2 (Induction responders)</w:t>
            </w:r>
          </w:p>
        </w:tc>
        <w:tc>
          <w:tcPr>
            <w:tcW w:w="854" w:type="pct"/>
            <w:shd w:val="clear" w:color="auto" w:fill="auto"/>
          </w:tcPr>
          <w:p w:rsidR="005E7EE4" w:rsidRPr="00F86D7A" w:rsidRDefault="00F86D7A" w:rsidP="00B56181">
            <w:pPr>
              <w:spacing w:before="0" w:after="0"/>
              <w:ind w:left="-31" w:right="-91"/>
              <w:rPr>
                <w:rFonts w:ascii="Arial Narrow" w:hAnsi="Arial Narrow"/>
                <w:color w:val="000000"/>
                <w:sz w:val="20"/>
                <w:szCs w:val="20"/>
                <w:highlight w:val="black"/>
              </w:rPr>
            </w:pPr>
            <w:r>
              <w:rPr>
                <w:rFonts w:ascii="Arial Narrow" w:hAnsi="Arial Narrow"/>
                <w:noProof/>
                <w:color w:val="000000"/>
                <w:sz w:val="20"/>
                <w:szCs w:val="20"/>
                <w:highlight w:val="black"/>
              </w:rPr>
              <w:t>'''''''''' '''''''''''''' '''''''''''''</w:t>
            </w:r>
          </w:p>
        </w:tc>
      </w:tr>
      <w:tr w:rsidR="005E7EE4" w:rsidRPr="007D0E37" w:rsidTr="00B56181">
        <w:tc>
          <w:tcPr>
            <w:tcW w:w="4146" w:type="pct"/>
            <w:gridSpan w:val="4"/>
          </w:tcPr>
          <w:p w:rsidR="005E7EE4" w:rsidRPr="007D0E37" w:rsidRDefault="005E7EE4" w:rsidP="00B56181">
            <w:pPr>
              <w:pStyle w:val="TableText"/>
              <w:ind w:left="175" w:right="-91"/>
            </w:pPr>
            <w:r w:rsidRPr="007D0E37">
              <w:t>Using trial results: PURSUIT-M, PURSUIT-J, ULTRA 2 (anti-TNF naïve)</w:t>
            </w:r>
          </w:p>
        </w:tc>
        <w:tc>
          <w:tcPr>
            <w:tcW w:w="854" w:type="pct"/>
            <w:shd w:val="clear" w:color="auto" w:fill="auto"/>
          </w:tcPr>
          <w:p w:rsidR="005E7EE4" w:rsidRPr="00F86D7A" w:rsidRDefault="00F86D7A" w:rsidP="00B56181">
            <w:pPr>
              <w:spacing w:before="0" w:after="0"/>
              <w:ind w:left="-31" w:right="-91"/>
              <w:rPr>
                <w:rFonts w:ascii="Arial Narrow" w:hAnsi="Arial Narrow"/>
                <w:color w:val="000000"/>
                <w:sz w:val="20"/>
                <w:szCs w:val="20"/>
                <w:highlight w:val="black"/>
              </w:rPr>
            </w:pPr>
            <w:r>
              <w:rPr>
                <w:rFonts w:ascii="Arial Narrow" w:hAnsi="Arial Narrow"/>
                <w:noProof/>
                <w:color w:val="000000"/>
                <w:sz w:val="20"/>
                <w:szCs w:val="20"/>
                <w:highlight w:val="black"/>
              </w:rPr>
              <w:t>'''''''''' '''''''''''''' '''''''''''</w:t>
            </w:r>
          </w:p>
        </w:tc>
      </w:tr>
      <w:tr w:rsidR="005E7EE4" w:rsidRPr="007D0E37" w:rsidTr="00B56181">
        <w:tc>
          <w:tcPr>
            <w:tcW w:w="4146" w:type="pct"/>
            <w:gridSpan w:val="4"/>
          </w:tcPr>
          <w:p w:rsidR="005E7EE4" w:rsidRPr="007D0E37" w:rsidRDefault="005E7EE4" w:rsidP="00B56181">
            <w:pPr>
              <w:pStyle w:val="TableText"/>
              <w:ind w:left="175" w:right="-91"/>
            </w:pPr>
            <w:r w:rsidRPr="007D0E37">
              <w:t>Using trial results: PURSUIT-M, PURSUIT-J, ULTRA 2 (anti-TNF naïve, induction responders)</w:t>
            </w:r>
          </w:p>
        </w:tc>
        <w:tc>
          <w:tcPr>
            <w:tcW w:w="854" w:type="pct"/>
            <w:shd w:val="clear" w:color="auto" w:fill="auto"/>
          </w:tcPr>
          <w:p w:rsidR="005E7EE4" w:rsidRPr="00F86D7A" w:rsidRDefault="00F86D7A" w:rsidP="00B56181">
            <w:pPr>
              <w:spacing w:before="0" w:after="0"/>
              <w:ind w:left="-31" w:right="-91"/>
              <w:rPr>
                <w:rFonts w:ascii="Arial Narrow" w:hAnsi="Arial Narrow"/>
                <w:color w:val="000000"/>
                <w:sz w:val="20"/>
                <w:szCs w:val="20"/>
                <w:highlight w:val="black"/>
              </w:rPr>
            </w:pPr>
            <w:r>
              <w:rPr>
                <w:rFonts w:ascii="Arial Narrow" w:hAnsi="Arial Narrow"/>
                <w:noProof/>
                <w:color w:val="000000"/>
                <w:sz w:val="20"/>
                <w:szCs w:val="20"/>
                <w:highlight w:val="black"/>
              </w:rPr>
              <w:t>''''''''''' ''''''''''''''' ''''''''''''''</w:t>
            </w:r>
          </w:p>
        </w:tc>
      </w:tr>
      <w:tr w:rsidR="005E7EE4" w:rsidRPr="007D0E37" w:rsidTr="00AE22D9">
        <w:tc>
          <w:tcPr>
            <w:tcW w:w="4146" w:type="pct"/>
            <w:gridSpan w:val="4"/>
            <w:tcBorders>
              <w:right w:val="nil"/>
            </w:tcBorders>
          </w:tcPr>
          <w:p w:rsidR="005E7EE4" w:rsidRPr="007D0E37" w:rsidRDefault="005E7EE4" w:rsidP="00B56181">
            <w:pPr>
              <w:pStyle w:val="TableText"/>
              <w:ind w:left="-31" w:right="-91"/>
            </w:pPr>
            <w:r w:rsidRPr="007D0E37">
              <w:t>Indirect estimate of effect adjusted for the common reference (GOL vs VDZ)</w:t>
            </w:r>
          </w:p>
        </w:tc>
        <w:tc>
          <w:tcPr>
            <w:tcW w:w="854" w:type="pct"/>
            <w:tcBorders>
              <w:left w:val="nil"/>
              <w:right w:val="single" w:sz="4" w:space="0" w:color="auto"/>
            </w:tcBorders>
            <w:shd w:val="clear" w:color="auto" w:fill="auto"/>
          </w:tcPr>
          <w:p w:rsidR="005E7EE4" w:rsidRPr="00F86D7A" w:rsidRDefault="005E7EE4" w:rsidP="00B56181">
            <w:pPr>
              <w:spacing w:before="0" w:after="0"/>
              <w:ind w:left="-31" w:right="-91"/>
              <w:rPr>
                <w:rFonts w:ascii="Arial Narrow" w:hAnsi="Arial Narrow"/>
                <w:color w:val="000000"/>
                <w:sz w:val="20"/>
                <w:szCs w:val="20"/>
              </w:rPr>
            </w:pPr>
          </w:p>
        </w:tc>
      </w:tr>
      <w:tr w:rsidR="005E7EE4" w:rsidRPr="007D0E37" w:rsidTr="00B56181">
        <w:tc>
          <w:tcPr>
            <w:tcW w:w="4146" w:type="pct"/>
            <w:gridSpan w:val="4"/>
          </w:tcPr>
          <w:p w:rsidR="005E7EE4" w:rsidRPr="007D0E37" w:rsidRDefault="005E7EE4" w:rsidP="00B56181">
            <w:pPr>
              <w:pStyle w:val="TableText"/>
              <w:ind w:left="175" w:right="-91"/>
            </w:pPr>
            <w:r w:rsidRPr="007D0E37">
              <w:t>Using all trial results PURSUIT-M, GEMINI 1</w:t>
            </w:r>
          </w:p>
        </w:tc>
        <w:tc>
          <w:tcPr>
            <w:tcW w:w="854" w:type="pct"/>
            <w:shd w:val="clear" w:color="auto" w:fill="auto"/>
          </w:tcPr>
          <w:p w:rsidR="005E7EE4" w:rsidRPr="00F86D7A" w:rsidRDefault="00F86D7A" w:rsidP="00B56181">
            <w:pPr>
              <w:spacing w:before="0" w:after="0"/>
              <w:ind w:left="-31" w:right="-91"/>
              <w:rPr>
                <w:rFonts w:ascii="Arial Narrow" w:hAnsi="Arial Narrow"/>
                <w:color w:val="000000"/>
                <w:sz w:val="20"/>
                <w:szCs w:val="20"/>
                <w:highlight w:val="black"/>
              </w:rPr>
            </w:pPr>
            <w:r>
              <w:rPr>
                <w:rFonts w:ascii="Arial Narrow" w:hAnsi="Arial Narrow"/>
                <w:noProof/>
                <w:color w:val="000000"/>
                <w:sz w:val="20"/>
                <w:szCs w:val="20"/>
                <w:highlight w:val="black"/>
              </w:rPr>
              <w:t>''''''''''' ''''''''''''''' '''''''''</w:t>
            </w:r>
          </w:p>
        </w:tc>
      </w:tr>
    </w:tbl>
    <w:p w:rsidR="005E7EE4" w:rsidRPr="007D0E37" w:rsidRDefault="005E7EE4" w:rsidP="005E7EE4">
      <w:pPr>
        <w:pStyle w:val="TableFooter"/>
      </w:pPr>
      <w:r w:rsidRPr="007D0E37">
        <w:t>Abbreviations: ADA, adalimumab; CI, Confidence interval; GOL, golimumab; IFX, infliximab; n, number of participants with event; N, total number of participants in group; OR, Odds ratio; PBO, placebo; VDZ, vedolizumab.</w:t>
      </w:r>
      <w:r w:rsidR="00767CDD">
        <w:t xml:space="preserve"> </w:t>
      </w:r>
    </w:p>
    <w:p w:rsidR="005E7EE4" w:rsidRPr="007D0E37" w:rsidRDefault="005E7EE4" w:rsidP="005E7EE4">
      <w:pPr>
        <w:pStyle w:val="TableFooter"/>
      </w:pPr>
      <w:r w:rsidRPr="007D0E37">
        <w:t xml:space="preserve">Notes: </w:t>
      </w:r>
    </w:p>
    <w:p w:rsidR="005E7EE4" w:rsidRPr="007D0E37" w:rsidRDefault="005E7EE4" w:rsidP="005E7EE4">
      <w:pPr>
        <w:pStyle w:val="TableFooter"/>
      </w:pPr>
      <w:r w:rsidRPr="007D0E37">
        <w:t xml:space="preserve">Figures in bold are statistically significant. </w:t>
      </w:r>
    </w:p>
    <w:p w:rsidR="005E7EE4" w:rsidRPr="007D0E37" w:rsidRDefault="005E7EE4" w:rsidP="005E7EE4">
      <w:pPr>
        <w:pStyle w:val="TableFooter"/>
      </w:pPr>
      <w:r w:rsidRPr="007D0E37">
        <w:t xml:space="preserve">a Submission did not report (95% CI). </w:t>
      </w:r>
    </w:p>
    <w:p w:rsidR="005E7EE4" w:rsidRPr="007D0E37" w:rsidRDefault="005E7EE4" w:rsidP="005E7EE4">
      <w:pPr>
        <w:pStyle w:val="TableFooter"/>
      </w:pPr>
      <w:r w:rsidRPr="007D0E37">
        <w:t>b The denominator of the comparison of ‘Induction responders’ was not verified during the evaluation. It was unclear from the source provided whether the patients in clinical remission counted at Week 6 were the same subjects that were counted at Week 54.</w:t>
      </w:r>
    </w:p>
    <w:p w:rsidR="005E7EE4" w:rsidRPr="007D0E37" w:rsidRDefault="005E7EE4" w:rsidP="00145F64">
      <w:pPr>
        <w:pStyle w:val="TableFooter"/>
      </w:pPr>
      <w:r w:rsidRPr="007D0E37">
        <w:t>c The denominator of the comparison of ‘Induction responders’ was not verified during the evaluation. The submission did not provide the method of calculation from Sandborn 2012 Table 3 p262. It was unclear from the source provided whether the patients in clinical remission</w:t>
      </w:r>
      <w:r w:rsidR="00145F64" w:rsidRPr="007D0E37">
        <w:t>.</w:t>
      </w:r>
      <w:r w:rsidR="00767CDD">
        <w:t xml:space="preserve"> </w:t>
      </w:r>
    </w:p>
    <w:p w:rsidR="00AA11F8" w:rsidRPr="007D0E37" w:rsidRDefault="00AA11F8" w:rsidP="00AA11F8">
      <w:pPr>
        <w:pStyle w:val="TableFooter"/>
      </w:pPr>
      <w:r w:rsidRPr="007D0E37">
        <w:t xml:space="preserve">d Sustained response was defined in the PURSUIT trials as response at Week 30 and Week 54. </w:t>
      </w:r>
    </w:p>
    <w:p w:rsidR="005E7EE4" w:rsidRPr="007D0E37" w:rsidRDefault="005E7EE4" w:rsidP="005E7EE4">
      <w:pPr>
        <w:pStyle w:val="TableFooter"/>
      </w:pPr>
      <w:r w:rsidRPr="007D0E37">
        <w:t>Source: Table 2.6-3 p119 of the submission; Attachment 07-ITC_Analyses_0.1_10, Attachment 07-ITC_Analyses_11_12, Attachment 07-ITC_Analyses_13_16 of the submission; Sandborn 2012 Table 3 p262</w:t>
      </w:r>
      <w:r w:rsidR="00AA11F8" w:rsidRPr="007D0E37">
        <w:t>.</w:t>
      </w:r>
    </w:p>
    <w:bookmarkEnd w:id="23"/>
    <w:p w:rsidR="00596DBC" w:rsidRPr="000D0B63" w:rsidRDefault="00596DBC" w:rsidP="0060197D">
      <w:pPr>
        <w:pStyle w:val="ListParagraph"/>
        <w:numPr>
          <w:ilvl w:val="1"/>
          <w:numId w:val="13"/>
        </w:numPr>
        <w:jc w:val="both"/>
        <w:rPr>
          <w:rStyle w:val="CommentReference"/>
          <w:sz w:val="24"/>
          <w:szCs w:val="24"/>
        </w:rPr>
      </w:pPr>
      <w:r w:rsidRPr="000D0B63">
        <w:rPr>
          <w:szCs w:val="24"/>
        </w:rPr>
        <w:t xml:space="preserve">The </w:t>
      </w:r>
      <w:r w:rsidR="00E02B03">
        <w:rPr>
          <w:szCs w:val="24"/>
        </w:rPr>
        <w:t>PBAC</w:t>
      </w:r>
      <w:r w:rsidR="00F52FDB">
        <w:rPr>
          <w:szCs w:val="24"/>
        </w:rPr>
        <w:t xml:space="preserve"> </w:t>
      </w:r>
      <w:r w:rsidRPr="000D0B63">
        <w:rPr>
          <w:szCs w:val="24"/>
        </w:rPr>
        <w:t xml:space="preserve">considered that golimumab was </w:t>
      </w:r>
      <w:r w:rsidR="00D20D47" w:rsidRPr="000D0B63">
        <w:rPr>
          <w:szCs w:val="24"/>
        </w:rPr>
        <w:t xml:space="preserve">most likely </w:t>
      </w:r>
      <w:r w:rsidRPr="000D0B63">
        <w:rPr>
          <w:szCs w:val="24"/>
        </w:rPr>
        <w:t>non inferior in efficacy to adalimumab and vedolizumab for both induction and maintenance and inferior to infliximab for induction and non-inferior for maintenance.</w:t>
      </w:r>
    </w:p>
    <w:p w:rsidR="00C317F3" w:rsidRPr="007D0E37" w:rsidRDefault="00C317F3" w:rsidP="00772501">
      <w:pPr>
        <w:pStyle w:val="Heading2"/>
        <w:rPr>
          <w:i w:val="0"/>
        </w:rPr>
      </w:pPr>
      <w:bookmarkStart w:id="24" w:name="_Toc413139279"/>
      <w:bookmarkStart w:id="25" w:name="_Toc493062656"/>
      <w:r w:rsidRPr="007D0E37">
        <w:rPr>
          <w:i w:val="0"/>
        </w:rPr>
        <w:t>Comparative harms</w:t>
      </w:r>
      <w:bookmarkEnd w:id="24"/>
      <w:bookmarkEnd w:id="25"/>
    </w:p>
    <w:p w:rsidR="0082588C" w:rsidRPr="007D0E37" w:rsidRDefault="0065428E" w:rsidP="0060197D">
      <w:pPr>
        <w:pStyle w:val="ListParagraph"/>
        <w:numPr>
          <w:ilvl w:val="1"/>
          <w:numId w:val="13"/>
        </w:numPr>
        <w:jc w:val="both"/>
        <w:rPr>
          <w:rStyle w:val="CommentReference"/>
          <w:sz w:val="24"/>
          <w:szCs w:val="24"/>
        </w:rPr>
      </w:pPr>
      <w:r w:rsidRPr="007D0E37">
        <w:rPr>
          <w:rStyle w:val="CommentReference"/>
          <w:sz w:val="24"/>
          <w:szCs w:val="24"/>
        </w:rPr>
        <w:t xml:space="preserve">A summary of the adverse events for golimumab, infliximab, adalimumab and vedolizumab in patients with MSUC </w:t>
      </w:r>
      <w:r w:rsidR="008142DF" w:rsidRPr="007D0E37">
        <w:rPr>
          <w:rStyle w:val="CommentReference"/>
          <w:sz w:val="24"/>
          <w:szCs w:val="24"/>
        </w:rPr>
        <w:t xml:space="preserve">is </w:t>
      </w:r>
      <w:r w:rsidR="00F6631B" w:rsidRPr="007D0E37">
        <w:rPr>
          <w:rStyle w:val="CommentReference"/>
          <w:sz w:val="24"/>
          <w:szCs w:val="24"/>
        </w:rPr>
        <w:t xml:space="preserve">presented in Table </w:t>
      </w:r>
      <w:r w:rsidR="000E238D" w:rsidRPr="007D0E37">
        <w:rPr>
          <w:rStyle w:val="CommentReference"/>
          <w:sz w:val="24"/>
          <w:szCs w:val="24"/>
        </w:rPr>
        <w:t>10</w:t>
      </w:r>
      <w:r w:rsidR="00AA1EAB" w:rsidRPr="007D0E37">
        <w:rPr>
          <w:rStyle w:val="CommentReference"/>
          <w:sz w:val="24"/>
          <w:szCs w:val="24"/>
        </w:rPr>
        <w:t xml:space="preserve"> (induction) and Table 1</w:t>
      </w:r>
      <w:r w:rsidR="000E238D" w:rsidRPr="007D0E37">
        <w:rPr>
          <w:rStyle w:val="CommentReference"/>
          <w:sz w:val="24"/>
          <w:szCs w:val="24"/>
        </w:rPr>
        <w:t>1</w:t>
      </w:r>
      <w:r w:rsidR="00AA1EAB" w:rsidRPr="007D0E37">
        <w:rPr>
          <w:rStyle w:val="CommentReference"/>
          <w:sz w:val="24"/>
          <w:szCs w:val="24"/>
        </w:rPr>
        <w:t xml:space="preserve"> (maintenance)</w:t>
      </w:r>
      <w:r w:rsidRPr="007D0E37">
        <w:rPr>
          <w:rStyle w:val="CommentReference"/>
          <w:sz w:val="24"/>
          <w:szCs w:val="24"/>
        </w:rPr>
        <w:t xml:space="preserve">. </w:t>
      </w:r>
      <w:r w:rsidR="00B57190" w:rsidRPr="007D0E37">
        <w:rPr>
          <w:rStyle w:val="CommentReference"/>
          <w:sz w:val="24"/>
          <w:szCs w:val="24"/>
        </w:rPr>
        <w:t>D</w:t>
      </w:r>
      <w:r w:rsidRPr="007D0E37">
        <w:rPr>
          <w:rStyle w:val="CommentReference"/>
          <w:sz w:val="24"/>
          <w:szCs w:val="24"/>
        </w:rPr>
        <w:t xml:space="preserve">ata </w:t>
      </w:r>
      <w:r w:rsidR="00B57190" w:rsidRPr="007D0E37">
        <w:rPr>
          <w:rStyle w:val="CommentReference"/>
          <w:sz w:val="24"/>
          <w:szCs w:val="24"/>
        </w:rPr>
        <w:t xml:space="preserve">presented in the submission </w:t>
      </w:r>
      <w:r w:rsidRPr="007D0E37">
        <w:rPr>
          <w:rStyle w:val="CommentReference"/>
          <w:sz w:val="24"/>
          <w:szCs w:val="24"/>
        </w:rPr>
        <w:t>were obtained from the trials inclu</w:t>
      </w:r>
      <w:r w:rsidR="00F063DA" w:rsidRPr="007D0E37">
        <w:rPr>
          <w:rStyle w:val="CommentReference"/>
          <w:sz w:val="24"/>
          <w:szCs w:val="24"/>
        </w:rPr>
        <w:t>ded in the indirect comparison, the golimumab PSUR</w:t>
      </w:r>
      <w:r w:rsidR="00E4799C" w:rsidRPr="007D0E37">
        <w:rPr>
          <w:rStyle w:val="CommentReference"/>
          <w:sz w:val="24"/>
          <w:szCs w:val="24"/>
        </w:rPr>
        <w:t>,</w:t>
      </w:r>
      <w:r w:rsidR="00F063DA" w:rsidRPr="007D0E37">
        <w:rPr>
          <w:rStyle w:val="CommentReference"/>
          <w:sz w:val="24"/>
          <w:szCs w:val="24"/>
        </w:rPr>
        <w:t xml:space="preserve"> and </w:t>
      </w:r>
      <w:r w:rsidR="008142DF" w:rsidRPr="007D0E37">
        <w:rPr>
          <w:rStyle w:val="CommentReference"/>
          <w:sz w:val="24"/>
          <w:szCs w:val="24"/>
        </w:rPr>
        <w:t xml:space="preserve">the </w:t>
      </w:r>
      <w:r w:rsidR="00F063DA" w:rsidRPr="007D0E37">
        <w:rPr>
          <w:rStyle w:val="CommentReference"/>
          <w:sz w:val="24"/>
          <w:szCs w:val="24"/>
        </w:rPr>
        <w:t>long term extension of PURSUIT-M</w:t>
      </w:r>
      <w:r w:rsidR="007F6C3D" w:rsidRPr="007D0E37">
        <w:rPr>
          <w:rStyle w:val="CommentReference"/>
          <w:sz w:val="24"/>
          <w:szCs w:val="24"/>
        </w:rPr>
        <w:t xml:space="preserve"> (Gibson et al 2016). </w:t>
      </w:r>
    </w:p>
    <w:p w:rsidR="00AA1EAB" w:rsidRPr="007D0E37" w:rsidRDefault="00F6631B" w:rsidP="00AA1EAB">
      <w:pPr>
        <w:pStyle w:val="TableHeading0"/>
      </w:pPr>
      <w:r w:rsidRPr="007D0E37">
        <w:t xml:space="preserve">Table </w:t>
      </w:r>
      <w:r w:rsidR="000E238D" w:rsidRPr="007D0E37">
        <w:t>10</w:t>
      </w:r>
      <w:r w:rsidR="00AA1EAB" w:rsidRPr="007D0E37">
        <w:t>: Summary of adverse events in</w:t>
      </w:r>
      <w:r w:rsidR="009E0F03" w:rsidRPr="007D0E37">
        <w:t xml:space="preserve"> the induction phase for trials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666"/>
        <w:gridCol w:w="666"/>
        <w:gridCol w:w="667"/>
        <w:gridCol w:w="666"/>
        <w:gridCol w:w="666"/>
        <w:gridCol w:w="667"/>
        <w:gridCol w:w="666"/>
        <w:gridCol w:w="666"/>
        <w:gridCol w:w="667"/>
        <w:gridCol w:w="666"/>
        <w:gridCol w:w="666"/>
        <w:gridCol w:w="667"/>
      </w:tblGrid>
      <w:tr w:rsidR="00AA1EAB" w:rsidRPr="007D0E37" w:rsidTr="00BF48A2">
        <w:trPr>
          <w:tblHeader/>
        </w:trPr>
        <w:tc>
          <w:tcPr>
            <w:tcW w:w="1020" w:type="dxa"/>
            <w:vMerge w:val="restart"/>
            <w:shd w:val="clear" w:color="auto" w:fill="auto"/>
            <w:vAlign w:val="center"/>
          </w:tcPr>
          <w:p w:rsidR="00AA1EAB" w:rsidRPr="007D0E37" w:rsidRDefault="00AA1EAB" w:rsidP="00BF48A2">
            <w:pPr>
              <w:pStyle w:val="TableText"/>
              <w:ind w:left="-45"/>
              <w:rPr>
                <w:b/>
              </w:rPr>
            </w:pPr>
            <w:r w:rsidRPr="007D0E37">
              <w:rPr>
                <w:b/>
              </w:rPr>
              <w:t>AEs</w:t>
            </w:r>
          </w:p>
        </w:tc>
        <w:tc>
          <w:tcPr>
            <w:tcW w:w="1332" w:type="dxa"/>
            <w:gridSpan w:val="2"/>
            <w:shd w:val="clear" w:color="auto" w:fill="auto"/>
            <w:vAlign w:val="center"/>
          </w:tcPr>
          <w:p w:rsidR="00AA1EAB" w:rsidRPr="007D0E37" w:rsidRDefault="00AA1EAB" w:rsidP="00BF48A2">
            <w:pPr>
              <w:pStyle w:val="TableText"/>
              <w:ind w:left="-96" w:right="-23"/>
              <w:rPr>
                <w:b/>
              </w:rPr>
            </w:pPr>
            <w:r w:rsidRPr="007D0E37">
              <w:rPr>
                <w:b/>
              </w:rPr>
              <w:t>Golimumab</w:t>
            </w:r>
          </w:p>
        </w:tc>
        <w:tc>
          <w:tcPr>
            <w:tcW w:w="2666" w:type="dxa"/>
            <w:gridSpan w:val="4"/>
            <w:shd w:val="clear" w:color="auto" w:fill="auto"/>
            <w:vAlign w:val="center"/>
          </w:tcPr>
          <w:p w:rsidR="00AA1EAB" w:rsidRPr="007D0E37" w:rsidRDefault="00AA1EAB" w:rsidP="00BF48A2">
            <w:pPr>
              <w:pStyle w:val="TableText"/>
              <w:ind w:right="-23"/>
              <w:rPr>
                <w:b/>
              </w:rPr>
            </w:pPr>
            <w:r w:rsidRPr="007D0E37">
              <w:rPr>
                <w:b/>
              </w:rPr>
              <w:t>Infliximab</w:t>
            </w:r>
          </w:p>
        </w:tc>
        <w:tc>
          <w:tcPr>
            <w:tcW w:w="2665" w:type="dxa"/>
            <w:gridSpan w:val="4"/>
            <w:shd w:val="clear" w:color="auto" w:fill="auto"/>
          </w:tcPr>
          <w:p w:rsidR="00AA1EAB" w:rsidRPr="007D0E37" w:rsidRDefault="00AA1EAB" w:rsidP="00BF48A2">
            <w:pPr>
              <w:pStyle w:val="TableText"/>
              <w:ind w:left="-96" w:right="-23"/>
              <w:rPr>
                <w:b/>
              </w:rPr>
            </w:pPr>
            <w:r w:rsidRPr="007D0E37">
              <w:rPr>
                <w:b/>
              </w:rPr>
              <w:t>Adalimumab</w:t>
            </w:r>
          </w:p>
        </w:tc>
        <w:tc>
          <w:tcPr>
            <w:tcW w:w="1333" w:type="dxa"/>
            <w:gridSpan w:val="2"/>
            <w:shd w:val="clear" w:color="auto" w:fill="auto"/>
          </w:tcPr>
          <w:p w:rsidR="00AA1EAB" w:rsidRPr="007D0E37" w:rsidRDefault="00AA1EAB" w:rsidP="00BF48A2">
            <w:pPr>
              <w:pStyle w:val="TableText"/>
              <w:ind w:left="-96" w:right="-23"/>
              <w:rPr>
                <w:b/>
              </w:rPr>
            </w:pPr>
            <w:r w:rsidRPr="007D0E37">
              <w:rPr>
                <w:b/>
              </w:rPr>
              <w:t>Vedolizumab</w:t>
            </w:r>
          </w:p>
        </w:tc>
      </w:tr>
      <w:tr w:rsidR="00AA1EAB" w:rsidRPr="007D0E37" w:rsidTr="00BF48A2">
        <w:trPr>
          <w:tblHeader/>
        </w:trPr>
        <w:tc>
          <w:tcPr>
            <w:tcW w:w="1020" w:type="dxa"/>
            <w:vMerge/>
            <w:shd w:val="clear" w:color="auto" w:fill="auto"/>
            <w:vAlign w:val="center"/>
          </w:tcPr>
          <w:p w:rsidR="00AA1EAB" w:rsidRPr="007D0E37" w:rsidRDefault="00AA1EAB" w:rsidP="00BF48A2">
            <w:pPr>
              <w:pStyle w:val="TableText"/>
              <w:ind w:left="-45"/>
              <w:rPr>
                <w:b/>
              </w:rPr>
            </w:pPr>
          </w:p>
        </w:tc>
        <w:tc>
          <w:tcPr>
            <w:tcW w:w="1332" w:type="dxa"/>
            <w:gridSpan w:val="2"/>
            <w:shd w:val="clear" w:color="auto" w:fill="auto"/>
            <w:vAlign w:val="center"/>
          </w:tcPr>
          <w:p w:rsidR="00AA1EAB" w:rsidRPr="007D0E37" w:rsidRDefault="00AA1EAB" w:rsidP="00BF48A2">
            <w:pPr>
              <w:pStyle w:val="TableText"/>
              <w:ind w:left="-96" w:right="-23"/>
              <w:rPr>
                <w:b/>
              </w:rPr>
            </w:pPr>
            <w:r w:rsidRPr="007D0E37">
              <w:rPr>
                <w:b/>
              </w:rPr>
              <w:t>PURSUIT-SC</w:t>
            </w:r>
          </w:p>
        </w:tc>
        <w:tc>
          <w:tcPr>
            <w:tcW w:w="1333" w:type="dxa"/>
            <w:gridSpan w:val="2"/>
            <w:shd w:val="clear" w:color="auto" w:fill="auto"/>
            <w:vAlign w:val="center"/>
          </w:tcPr>
          <w:p w:rsidR="00AA1EAB" w:rsidRPr="007D0E37" w:rsidRDefault="00AA1EAB" w:rsidP="00BF48A2">
            <w:pPr>
              <w:pStyle w:val="TableText"/>
              <w:ind w:right="-23"/>
              <w:rPr>
                <w:b/>
              </w:rPr>
            </w:pPr>
            <w:r w:rsidRPr="007D0E37">
              <w:rPr>
                <w:b/>
              </w:rPr>
              <w:t>ACT I*</w:t>
            </w:r>
          </w:p>
        </w:tc>
        <w:tc>
          <w:tcPr>
            <w:tcW w:w="1333" w:type="dxa"/>
            <w:gridSpan w:val="2"/>
            <w:shd w:val="clear" w:color="auto" w:fill="auto"/>
            <w:vAlign w:val="center"/>
          </w:tcPr>
          <w:p w:rsidR="00AA1EAB" w:rsidRPr="007D0E37" w:rsidRDefault="00AA1EAB" w:rsidP="00BF48A2">
            <w:pPr>
              <w:pStyle w:val="TableText"/>
              <w:ind w:left="-96" w:right="-23"/>
              <w:rPr>
                <w:b/>
              </w:rPr>
            </w:pPr>
            <w:r w:rsidRPr="007D0E37">
              <w:rPr>
                <w:b/>
              </w:rPr>
              <w:t>ACT II*</w:t>
            </w:r>
          </w:p>
        </w:tc>
        <w:tc>
          <w:tcPr>
            <w:tcW w:w="1332" w:type="dxa"/>
            <w:gridSpan w:val="2"/>
            <w:shd w:val="clear" w:color="auto" w:fill="auto"/>
            <w:vAlign w:val="center"/>
          </w:tcPr>
          <w:p w:rsidR="00AA1EAB" w:rsidRPr="007D0E37" w:rsidRDefault="00AA1EAB" w:rsidP="00BF48A2">
            <w:pPr>
              <w:pStyle w:val="TableText"/>
              <w:ind w:right="-23"/>
              <w:rPr>
                <w:b/>
              </w:rPr>
            </w:pPr>
            <w:r w:rsidRPr="007D0E37">
              <w:rPr>
                <w:b/>
              </w:rPr>
              <w:t>ULTRA 1</w:t>
            </w:r>
          </w:p>
        </w:tc>
        <w:tc>
          <w:tcPr>
            <w:tcW w:w="1333" w:type="dxa"/>
            <w:gridSpan w:val="2"/>
            <w:shd w:val="clear" w:color="auto" w:fill="auto"/>
          </w:tcPr>
          <w:p w:rsidR="00AA1EAB" w:rsidRPr="007D0E37" w:rsidRDefault="00AA1EAB" w:rsidP="00BF48A2">
            <w:pPr>
              <w:pStyle w:val="TableText"/>
              <w:ind w:left="-96" w:right="-23"/>
              <w:rPr>
                <w:b/>
              </w:rPr>
            </w:pPr>
            <w:r w:rsidRPr="007D0E37">
              <w:rPr>
                <w:b/>
              </w:rPr>
              <w:t>Suzuki 2014</w:t>
            </w:r>
            <w:r w:rsidRPr="007D0E37">
              <w:rPr>
                <w:b/>
                <w:vertAlign w:val="superscript"/>
              </w:rPr>
              <w:t>†</w:t>
            </w:r>
          </w:p>
        </w:tc>
        <w:tc>
          <w:tcPr>
            <w:tcW w:w="1333" w:type="dxa"/>
            <w:gridSpan w:val="2"/>
            <w:shd w:val="clear" w:color="auto" w:fill="auto"/>
          </w:tcPr>
          <w:p w:rsidR="00AA1EAB" w:rsidRPr="007D0E37" w:rsidRDefault="00AA1EAB" w:rsidP="00BF48A2">
            <w:pPr>
              <w:pStyle w:val="TableText"/>
              <w:ind w:left="-96" w:right="-23"/>
              <w:rPr>
                <w:b/>
              </w:rPr>
            </w:pPr>
            <w:r w:rsidRPr="007D0E37">
              <w:rPr>
                <w:b/>
              </w:rPr>
              <w:t>GEMINI I</w:t>
            </w:r>
          </w:p>
        </w:tc>
      </w:tr>
      <w:tr w:rsidR="00AA1EAB" w:rsidRPr="007D0E37" w:rsidTr="00BF48A2">
        <w:trPr>
          <w:tblHeader/>
        </w:trPr>
        <w:tc>
          <w:tcPr>
            <w:tcW w:w="1020" w:type="dxa"/>
            <w:vMerge/>
            <w:shd w:val="clear" w:color="auto" w:fill="auto"/>
            <w:vAlign w:val="center"/>
          </w:tcPr>
          <w:p w:rsidR="00AA1EAB" w:rsidRPr="007D0E37" w:rsidRDefault="00AA1EAB" w:rsidP="00BF48A2">
            <w:pPr>
              <w:pStyle w:val="TableText"/>
              <w:ind w:left="-45"/>
              <w:rPr>
                <w:b/>
              </w:rPr>
            </w:pPr>
          </w:p>
        </w:tc>
        <w:tc>
          <w:tcPr>
            <w:tcW w:w="666" w:type="dxa"/>
            <w:shd w:val="clear" w:color="auto" w:fill="auto"/>
            <w:vAlign w:val="center"/>
          </w:tcPr>
          <w:p w:rsidR="00AA1EAB" w:rsidRPr="007D0E37" w:rsidRDefault="00AA1EAB" w:rsidP="00BF48A2">
            <w:pPr>
              <w:pStyle w:val="TableText"/>
              <w:ind w:left="-96" w:right="-23"/>
              <w:rPr>
                <w:b/>
              </w:rPr>
            </w:pPr>
            <w:r w:rsidRPr="007D0E37">
              <w:rPr>
                <w:b/>
              </w:rPr>
              <w:t>PBO</w:t>
            </w:r>
          </w:p>
        </w:tc>
        <w:tc>
          <w:tcPr>
            <w:tcW w:w="666" w:type="dxa"/>
            <w:shd w:val="clear" w:color="auto" w:fill="auto"/>
            <w:vAlign w:val="center"/>
          </w:tcPr>
          <w:p w:rsidR="00AA1EAB" w:rsidRPr="007D0E37" w:rsidRDefault="00AA1EAB" w:rsidP="00BF48A2">
            <w:pPr>
              <w:pStyle w:val="TableText"/>
              <w:ind w:left="-96" w:right="-23"/>
              <w:rPr>
                <w:b/>
              </w:rPr>
            </w:pPr>
            <w:r w:rsidRPr="007D0E37">
              <w:rPr>
                <w:b/>
              </w:rPr>
              <w:t xml:space="preserve">GOL </w:t>
            </w:r>
          </w:p>
        </w:tc>
        <w:tc>
          <w:tcPr>
            <w:tcW w:w="667" w:type="dxa"/>
            <w:shd w:val="clear" w:color="auto" w:fill="auto"/>
            <w:vAlign w:val="center"/>
          </w:tcPr>
          <w:p w:rsidR="00AA1EAB" w:rsidRPr="007D0E37" w:rsidRDefault="00AA1EAB" w:rsidP="00BF48A2">
            <w:pPr>
              <w:pStyle w:val="TableText"/>
              <w:ind w:left="-96" w:right="-23"/>
              <w:rPr>
                <w:b/>
              </w:rPr>
            </w:pPr>
            <w:r w:rsidRPr="007D0E37">
              <w:rPr>
                <w:b/>
              </w:rPr>
              <w:t>PBO</w:t>
            </w:r>
          </w:p>
        </w:tc>
        <w:tc>
          <w:tcPr>
            <w:tcW w:w="666" w:type="dxa"/>
            <w:shd w:val="clear" w:color="auto" w:fill="auto"/>
            <w:vAlign w:val="center"/>
          </w:tcPr>
          <w:p w:rsidR="00AA1EAB" w:rsidRPr="007D0E37" w:rsidRDefault="00AA1EAB" w:rsidP="00BF48A2">
            <w:pPr>
              <w:pStyle w:val="TableText"/>
              <w:ind w:left="-96" w:right="-23"/>
              <w:rPr>
                <w:b/>
              </w:rPr>
            </w:pPr>
            <w:r w:rsidRPr="007D0E37">
              <w:rPr>
                <w:b/>
              </w:rPr>
              <w:t>IFX</w:t>
            </w:r>
          </w:p>
        </w:tc>
        <w:tc>
          <w:tcPr>
            <w:tcW w:w="666" w:type="dxa"/>
            <w:shd w:val="clear" w:color="auto" w:fill="auto"/>
            <w:vAlign w:val="center"/>
          </w:tcPr>
          <w:p w:rsidR="00AA1EAB" w:rsidRPr="007D0E37" w:rsidRDefault="00AA1EAB" w:rsidP="00BF48A2">
            <w:pPr>
              <w:pStyle w:val="TableText"/>
              <w:ind w:left="-96" w:right="-23"/>
              <w:rPr>
                <w:b/>
              </w:rPr>
            </w:pPr>
            <w:r w:rsidRPr="007D0E37">
              <w:rPr>
                <w:b/>
              </w:rPr>
              <w:t>PBO</w:t>
            </w:r>
          </w:p>
        </w:tc>
        <w:tc>
          <w:tcPr>
            <w:tcW w:w="667" w:type="dxa"/>
            <w:shd w:val="clear" w:color="auto" w:fill="auto"/>
            <w:vAlign w:val="center"/>
          </w:tcPr>
          <w:p w:rsidR="00AA1EAB" w:rsidRPr="007D0E37" w:rsidRDefault="00AA1EAB" w:rsidP="00BF48A2">
            <w:pPr>
              <w:pStyle w:val="TableText"/>
              <w:ind w:left="-96" w:right="-23"/>
              <w:rPr>
                <w:b/>
              </w:rPr>
            </w:pPr>
            <w:r w:rsidRPr="007D0E37">
              <w:rPr>
                <w:b/>
              </w:rPr>
              <w:t>IFX</w:t>
            </w:r>
          </w:p>
        </w:tc>
        <w:tc>
          <w:tcPr>
            <w:tcW w:w="666" w:type="dxa"/>
            <w:shd w:val="clear" w:color="auto" w:fill="auto"/>
            <w:vAlign w:val="center"/>
          </w:tcPr>
          <w:p w:rsidR="00AA1EAB" w:rsidRPr="007D0E37" w:rsidRDefault="00AA1EAB" w:rsidP="00BF48A2">
            <w:pPr>
              <w:pStyle w:val="TableText"/>
              <w:ind w:left="-96" w:right="-23"/>
              <w:rPr>
                <w:b/>
              </w:rPr>
            </w:pPr>
            <w:r w:rsidRPr="007D0E37">
              <w:rPr>
                <w:b/>
              </w:rPr>
              <w:t>PBO</w:t>
            </w:r>
          </w:p>
        </w:tc>
        <w:tc>
          <w:tcPr>
            <w:tcW w:w="666" w:type="dxa"/>
            <w:shd w:val="clear" w:color="auto" w:fill="auto"/>
            <w:vAlign w:val="center"/>
          </w:tcPr>
          <w:p w:rsidR="00AA1EAB" w:rsidRPr="007D0E37" w:rsidRDefault="00AA1EAB" w:rsidP="00BF48A2">
            <w:pPr>
              <w:pStyle w:val="TableText"/>
              <w:ind w:left="-96" w:right="-23"/>
              <w:rPr>
                <w:b/>
              </w:rPr>
            </w:pPr>
            <w:r w:rsidRPr="007D0E37">
              <w:rPr>
                <w:b/>
              </w:rPr>
              <w:t>ADA</w:t>
            </w:r>
          </w:p>
        </w:tc>
        <w:tc>
          <w:tcPr>
            <w:tcW w:w="667" w:type="dxa"/>
            <w:shd w:val="clear" w:color="auto" w:fill="auto"/>
            <w:vAlign w:val="center"/>
          </w:tcPr>
          <w:p w:rsidR="00AA1EAB" w:rsidRPr="007D0E37" w:rsidRDefault="00AA1EAB" w:rsidP="00BF48A2">
            <w:pPr>
              <w:pStyle w:val="TableText"/>
              <w:ind w:left="-96" w:right="-23"/>
              <w:rPr>
                <w:b/>
              </w:rPr>
            </w:pPr>
            <w:r w:rsidRPr="007D0E37">
              <w:rPr>
                <w:b/>
              </w:rPr>
              <w:t>PBO</w:t>
            </w:r>
          </w:p>
        </w:tc>
        <w:tc>
          <w:tcPr>
            <w:tcW w:w="666" w:type="dxa"/>
            <w:shd w:val="clear" w:color="auto" w:fill="auto"/>
            <w:vAlign w:val="center"/>
          </w:tcPr>
          <w:p w:rsidR="00AA1EAB" w:rsidRPr="007D0E37" w:rsidRDefault="00AA1EAB" w:rsidP="00BF48A2">
            <w:pPr>
              <w:pStyle w:val="TableText"/>
              <w:ind w:left="-96" w:right="-23"/>
              <w:rPr>
                <w:b/>
              </w:rPr>
            </w:pPr>
            <w:r w:rsidRPr="007D0E37">
              <w:rPr>
                <w:b/>
              </w:rPr>
              <w:t>ADA</w:t>
            </w:r>
          </w:p>
        </w:tc>
        <w:tc>
          <w:tcPr>
            <w:tcW w:w="666" w:type="dxa"/>
            <w:shd w:val="clear" w:color="auto" w:fill="auto"/>
            <w:vAlign w:val="center"/>
          </w:tcPr>
          <w:p w:rsidR="00AA1EAB" w:rsidRPr="007D0E37" w:rsidRDefault="00AA1EAB" w:rsidP="00BF48A2">
            <w:pPr>
              <w:pStyle w:val="TableText"/>
              <w:ind w:left="-96" w:right="-23"/>
              <w:rPr>
                <w:b/>
              </w:rPr>
            </w:pPr>
            <w:r w:rsidRPr="007D0E37">
              <w:rPr>
                <w:b/>
              </w:rPr>
              <w:t>PBO</w:t>
            </w:r>
          </w:p>
        </w:tc>
        <w:tc>
          <w:tcPr>
            <w:tcW w:w="667" w:type="dxa"/>
            <w:shd w:val="clear" w:color="auto" w:fill="auto"/>
            <w:vAlign w:val="center"/>
          </w:tcPr>
          <w:p w:rsidR="00AA1EAB" w:rsidRPr="007D0E37" w:rsidRDefault="00AA1EAB" w:rsidP="00BF48A2">
            <w:pPr>
              <w:pStyle w:val="TableText"/>
              <w:ind w:left="-96" w:right="-23"/>
              <w:rPr>
                <w:b/>
              </w:rPr>
            </w:pPr>
            <w:r w:rsidRPr="007D0E37">
              <w:rPr>
                <w:b/>
              </w:rPr>
              <w:t>VDZ</w:t>
            </w:r>
          </w:p>
        </w:tc>
      </w:tr>
      <w:tr w:rsidR="00AA1EAB" w:rsidRPr="007D0E37" w:rsidTr="00BF48A2">
        <w:trPr>
          <w:tblHeader/>
        </w:trPr>
        <w:tc>
          <w:tcPr>
            <w:tcW w:w="1020" w:type="dxa"/>
            <w:shd w:val="clear" w:color="auto" w:fill="auto"/>
            <w:vAlign w:val="center"/>
          </w:tcPr>
          <w:p w:rsidR="00AA1EAB" w:rsidRPr="007D0E37" w:rsidRDefault="00AA1EAB" w:rsidP="00111F36">
            <w:pPr>
              <w:pStyle w:val="TableText"/>
              <w:ind w:left="-64"/>
            </w:pPr>
            <w:r w:rsidRPr="007D0E37">
              <w:t>N</w:t>
            </w:r>
          </w:p>
        </w:tc>
        <w:tc>
          <w:tcPr>
            <w:tcW w:w="666" w:type="dxa"/>
            <w:shd w:val="clear" w:color="auto" w:fill="auto"/>
            <w:vAlign w:val="center"/>
          </w:tcPr>
          <w:p w:rsidR="00AA1EAB" w:rsidRPr="007D0E37" w:rsidRDefault="00AA1EAB" w:rsidP="00111F36">
            <w:pPr>
              <w:pStyle w:val="TableText"/>
              <w:ind w:left="-103" w:right="-62"/>
            </w:pPr>
            <w:r w:rsidRPr="007D0E37">
              <w:t>330</w:t>
            </w:r>
          </w:p>
        </w:tc>
        <w:tc>
          <w:tcPr>
            <w:tcW w:w="666" w:type="dxa"/>
            <w:shd w:val="clear" w:color="auto" w:fill="auto"/>
            <w:vAlign w:val="center"/>
          </w:tcPr>
          <w:p w:rsidR="00AA1EAB" w:rsidRPr="007D0E37" w:rsidRDefault="00AA1EAB" w:rsidP="00111F36">
            <w:pPr>
              <w:pStyle w:val="TableText"/>
              <w:ind w:left="-103" w:right="-62"/>
            </w:pPr>
            <w:r w:rsidRPr="007D0E37">
              <w:t>331</w:t>
            </w:r>
          </w:p>
        </w:tc>
        <w:tc>
          <w:tcPr>
            <w:tcW w:w="667" w:type="dxa"/>
            <w:shd w:val="clear" w:color="auto" w:fill="auto"/>
            <w:vAlign w:val="center"/>
          </w:tcPr>
          <w:p w:rsidR="00AA1EAB" w:rsidRPr="007D0E37" w:rsidRDefault="00AA1EAB" w:rsidP="00111F36">
            <w:pPr>
              <w:pStyle w:val="TableText"/>
              <w:ind w:left="-103" w:right="-62"/>
            </w:pPr>
            <w:r w:rsidRPr="007D0E37">
              <w:t>121</w:t>
            </w:r>
          </w:p>
        </w:tc>
        <w:tc>
          <w:tcPr>
            <w:tcW w:w="666" w:type="dxa"/>
            <w:shd w:val="clear" w:color="auto" w:fill="auto"/>
            <w:vAlign w:val="center"/>
          </w:tcPr>
          <w:p w:rsidR="00AA1EAB" w:rsidRPr="007D0E37" w:rsidRDefault="00AA1EAB" w:rsidP="00111F36">
            <w:pPr>
              <w:pStyle w:val="TableText"/>
              <w:ind w:left="-103" w:right="-62"/>
            </w:pPr>
            <w:r w:rsidRPr="007D0E37">
              <w:t>121</w:t>
            </w:r>
          </w:p>
        </w:tc>
        <w:tc>
          <w:tcPr>
            <w:tcW w:w="666" w:type="dxa"/>
            <w:shd w:val="clear" w:color="auto" w:fill="auto"/>
            <w:vAlign w:val="center"/>
          </w:tcPr>
          <w:p w:rsidR="00AA1EAB" w:rsidRPr="007D0E37" w:rsidRDefault="00AA1EAB" w:rsidP="00111F36">
            <w:pPr>
              <w:pStyle w:val="TableText"/>
              <w:ind w:left="-103" w:right="-62"/>
            </w:pPr>
            <w:r w:rsidRPr="007D0E37">
              <w:t>123</w:t>
            </w:r>
          </w:p>
        </w:tc>
        <w:tc>
          <w:tcPr>
            <w:tcW w:w="667" w:type="dxa"/>
            <w:shd w:val="clear" w:color="auto" w:fill="auto"/>
            <w:vAlign w:val="center"/>
          </w:tcPr>
          <w:p w:rsidR="00AA1EAB" w:rsidRPr="007D0E37" w:rsidRDefault="00AA1EAB" w:rsidP="00111F36">
            <w:pPr>
              <w:pStyle w:val="TableText"/>
              <w:ind w:left="-103" w:right="-62"/>
            </w:pPr>
            <w:r w:rsidRPr="007D0E37">
              <w:t>121</w:t>
            </w:r>
          </w:p>
        </w:tc>
        <w:tc>
          <w:tcPr>
            <w:tcW w:w="666" w:type="dxa"/>
            <w:shd w:val="clear" w:color="auto" w:fill="auto"/>
            <w:vAlign w:val="center"/>
          </w:tcPr>
          <w:p w:rsidR="00AA1EAB" w:rsidRPr="007D0E37" w:rsidRDefault="00AA1EAB" w:rsidP="00111F36">
            <w:pPr>
              <w:pStyle w:val="TableText"/>
              <w:ind w:left="-103" w:right="-62"/>
            </w:pPr>
            <w:r w:rsidRPr="007D0E37">
              <w:t>223</w:t>
            </w:r>
          </w:p>
        </w:tc>
        <w:tc>
          <w:tcPr>
            <w:tcW w:w="666" w:type="dxa"/>
            <w:shd w:val="clear" w:color="auto" w:fill="auto"/>
            <w:vAlign w:val="center"/>
          </w:tcPr>
          <w:p w:rsidR="00AA1EAB" w:rsidRPr="007D0E37" w:rsidRDefault="00AA1EAB" w:rsidP="00111F36">
            <w:pPr>
              <w:pStyle w:val="TableText"/>
              <w:ind w:left="-103" w:right="-62"/>
            </w:pPr>
            <w:r w:rsidRPr="007D0E37">
              <w:t>223</w:t>
            </w:r>
          </w:p>
        </w:tc>
        <w:tc>
          <w:tcPr>
            <w:tcW w:w="667" w:type="dxa"/>
            <w:shd w:val="clear" w:color="auto" w:fill="auto"/>
            <w:vAlign w:val="center"/>
          </w:tcPr>
          <w:p w:rsidR="00AA1EAB" w:rsidRPr="007D0E37" w:rsidRDefault="00AA1EAB" w:rsidP="00111F36">
            <w:pPr>
              <w:pStyle w:val="TableText"/>
              <w:ind w:left="-103" w:right="-62"/>
            </w:pPr>
            <w:r w:rsidRPr="007D0E37">
              <w:t>96</w:t>
            </w:r>
          </w:p>
        </w:tc>
        <w:tc>
          <w:tcPr>
            <w:tcW w:w="666" w:type="dxa"/>
            <w:shd w:val="clear" w:color="auto" w:fill="auto"/>
            <w:vAlign w:val="center"/>
          </w:tcPr>
          <w:p w:rsidR="00AA1EAB" w:rsidRPr="007D0E37" w:rsidRDefault="00AA1EAB" w:rsidP="00111F36">
            <w:pPr>
              <w:pStyle w:val="TableText"/>
              <w:ind w:left="-103" w:right="-62"/>
            </w:pPr>
            <w:r w:rsidRPr="007D0E37">
              <w:t>90</w:t>
            </w:r>
          </w:p>
        </w:tc>
        <w:tc>
          <w:tcPr>
            <w:tcW w:w="666" w:type="dxa"/>
            <w:shd w:val="clear" w:color="auto" w:fill="auto"/>
            <w:vAlign w:val="center"/>
          </w:tcPr>
          <w:p w:rsidR="00AA1EAB" w:rsidRPr="007D0E37" w:rsidRDefault="00AA1EAB" w:rsidP="00111F36">
            <w:pPr>
              <w:pStyle w:val="TableText"/>
              <w:ind w:left="-103" w:right="-62"/>
            </w:pPr>
            <w:r w:rsidRPr="007D0E37">
              <w:t>149</w:t>
            </w:r>
          </w:p>
        </w:tc>
        <w:tc>
          <w:tcPr>
            <w:tcW w:w="667" w:type="dxa"/>
            <w:shd w:val="clear" w:color="auto" w:fill="auto"/>
            <w:vAlign w:val="center"/>
          </w:tcPr>
          <w:p w:rsidR="00AA1EAB" w:rsidRPr="007D0E37" w:rsidRDefault="00AA1EAB" w:rsidP="00111F36">
            <w:pPr>
              <w:pStyle w:val="TableText"/>
              <w:ind w:left="-103" w:right="-62"/>
            </w:pPr>
            <w:r w:rsidRPr="007D0E37">
              <w:t>225</w:t>
            </w:r>
          </w:p>
        </w:tc>
      </w:tr>
      <w:tr w:rsidR="00AA1EAB" w:rsidRPr="007D0E37" w:rsidTr="00BF48A2">
        <w:tc>
          <w:tcPr>
            <w:tcW w:w="1020" w:type="dxa"/>
            <w:shd w:val="clear" w:color="auto" w:fill="auto"/>
            <w:vAlign w:val="center"/>
          </w:tcPr>
          <w:p w:rsidR="00AA1EAB" w:rsidRPr="007D0E37" w:rsidRDefault="00AA1EAB" w:rsidP="00111F36">
            <w:pPr>
              <w:pStyle w:val="TableText"/>
              <w:ind w:left="-64"/>
            </w:pPr>
            <w:r w:rsidRPr="007D0E37">
              <w:t>Any AEs</w:t>
            </w:r>
          </w:p>
        </w:tc>
        <w:tc>
          <w:tcPr>
            <w:tcW w:w="666" w:type="dxa"/>
            <w:shd w:val="clear" w:color="auto" w:fill="auto"/>
            <w:vAlign w:val="center"/>
          </w:tcPr>
          <w:p w:rsidR="00AA1EAB" w:rsidRPr="007D0E37" w:rsidRDefault="00AA1EAB" w:rsidP="00111F36">
            <w:pPr>
              <w:pStyle w:val="TableText"/>
              <w:ind w:left="-103" w:right="-62"/>
            </w:pPr>
            <w:r w:rsidRPr="007D0E37">
              <w:t>126 (38.2)</w:t>
            </w:r>
          </w:p>
        </w:tc>
        <w:tc>
          <w:tcPr>
            <w:tcW w:w="666" w:type="dxa"/>
            <w:shd w:val="clear" w:color="auto" w:fill="auto"/>
            <w:vAlign w:val="center"/>
          </w:tcPr>
          <w:p w:rsidR="00AA1EAB" w:rsidRPr="007D0E37" w:rsidRDefault="00AA1EAB" w:rsidP="00111F36">
            <w:pPr>
              <w:pStyle w:val="TableText"/>
              <w:ind w:left="-103" w:right="-62"/>
            </w:pPr>
            <w:r w:rsidRPr="007D0E37">
              <w:t>124 (37.5)</w:t>
            </w:r>
          </w:p>
        </w:tc>
        <w:tc>
          <w:tcPr>
            <w:tcW w:w="667" w:type="dxa"/>
            <w:shd w:val="clear" w:color="auto" w:fill="auto"/>
            <w:vAlign w:val="center"/>
          </w:tcPr>
          <w:p w:rsidR="00AA1EAB" w:rsidRPr="007D0E37" w:rsidRDefault="00AA1EAB" w:rsidP="00111F36">
            <w:pPr>
              <w:pStyle w:val="TableText"/>
              <w:ind w:left="-103" w:right="-62"/>
            </w:pPr>
            <w:r w:rsidRPr="007D0E37">
              <w:t>98 (81.0)</w:t>
            </w:r>
          </w:p>
        </w:tc>
        <w:tc>
          <w:tcPr>
            <w:tcW w:w="666" w:type="dxa"/>
            <w:shd w:val="clear" w:color="auto" w:fill="auto"/>
            <w:vAlign w:val="center"/>
          </w:tcPr>
          <w:p w:rsidR="00AA1EAB" w:rsidRPr="007D0E37" w:rsidRDefault="00AA1EAB" w:rsidP="00111F36">
            <w:pPr>
              <w:pStyle w:val="TableText"/>
              <w:ind w:left="-103" w:right="-62"/>
            </w:pPr>
            <w:r w:rsidRPr="007D0E37">
              <w:t>103 (85.1)</w:t>
            </w:r>
          </w:p>
        </w:tc>
        <w:tc>
          <w:tcPr>
            <w:tcW w:w="666" w:type="dxa"/>
            <w:shd w:val="clear" w:color="auto" w:fill="auto"/>
            <w:vAlign w:val="center"/>
          </w:tcPr>
          <w:p w:rsidR="00AA1EAB" w:rsidRPr="007D0E37" w:rsidRDefault="00AA1EAB" w:rsidP="00111F36">
            <w:pPr>
              <w:pStyle w:val="TableText"/>
              <w:ind w:left="-103" w:right="-62"/>
            </w:pPr>
            <w:r w:rsidRPr="007D0E37">
              <w:t>90 (73.2)</w:t>
            </w:r>
          </w:p>
        </w:tc>
        <w:tc>
          <w:tcPr>
            <w:tcW w:w="667" w:type="dxa"/>
            <w:shd w:val="clear" w:color="auto" w:fill="auto"/>
            <w:vAlign w:val="center"/>
          </w:tcPr>
          <w:p w:rsidR="00AA1EAB" w:rsidRPr="007D0E37" w:rsidRDefault="00AA1EAB" w:rsidP="00111F36">
            <w:pPr>
              <w:pStyle w:val="TableText"/>
              <w:ind w:left="-103" w:right="-62"/>
            </w:pPr>
            <w:r w:rsidRPr="007D0E37">
              <w:t>99 (81.8)</w:t>
            </w:r>
          </w:p>
        </w:tc>
        <w:tc>
          <w:tcPr>
            <w:tcW w:w="666" w:type="dxa"/>
            <w:shd w:val="clear" w:color="auto" w:fill="auto"/>
            <w:vAlign w:val="center"/>
          </w:tcPr>
          <w:p w:rsidR="00AA1EAB" w:rsidRPr="007D0E37" w:rsidRDefault="00AA1EAB" w:rsidP="00111F36">
            <w:pPr>
              <w:pStyle w:val="TableText"/>
              <w:ind w:left="-103" w:right="-62"/>
            </w:pPr>
            <w:r w:rsidRPr="007D0E37">
              <w:t>108 (48.4)</w:t>
            </w:r>
          </w:p>
        </w:tc>
        <w:tc>
          <w:tcPr>
            <w:tcW w:w="666" w:type="dxa"/>
            <w:shd w:val="clear" w:color="auto" w:fill="auto"/>
            <w:vAlign w:val="center"/>
          </w:tcPr>
          <w:p w:rsidR="00AA1EAB" w:rsidRPr="007D0E37" w:rsidRDefault="00AA1EAB" w:rsidP="00111F36">
            <w:pPr>
              <w:pStyle w:val="TableText"/>
              <w:ind w:left="-103" w:right="-62"/>
            </w:pPr>
            <w:r w:rsidRPr="007D0E37">
              <w:t>112 (50.2)</w:t>
            </w:r>
          </w:p>
        </w:tc>
        <w:tc>
          <w:tcPr>
            <w:tcW w:w="667" w:type="dxa"/>
            <w:shd w:val="clear" w:color="auto" w:fill="auto"/>
            <w:vAlign w:val="center"/>
          </w:tcPr>
          <w:p w:rsidR="00AA1EAB" w:rsidRPr="007D0E37" w:rsidRDefault="00AA1EAB" w:rsidP="00111F36">
            <w:pPr>
              <w:pStyle w:val="TableText"/>
              <w:ind w:left="-103" w:right="-62"/>
            </w:pPr>
            <w:r w:rsidRPr="007D0E37">
              <w:t>45 (46.9)</w:t>
            </w:r>
          </w:p>
        </w:tc>
        <w:tc>
          <w:tcPr>
            <w:tcW w:w="666" w:type="dxa"/>
            <w:shd w:val="clear" w:color="auto" w:fill="auto"/>
            <w:vAlign w:val="center"/>
          </w:tcPr>
          <w:p w:rsidR="00AA1EAB" w:rsidRPr="007D0E37" w:rsidRDefault="00AA1EAB" w:rsidP="00111F36">
            <w:pPr>
              <w:pStyle w:val="TableText"/>
              <w:ind w:left="-103" w:right="-62"/>
            </w:pPr>
            <w:r w:rsidRPr="007D0E37">
              <w:t>40 (44.4)</w:t>
            </w:r>
          </w:p>
        </w:tc>
        <w:tc>
          <w:tcPr>
            <w:tcW w:w="666" w:type="dxa"/>
            <w:vAlign w:val="center"/>
          </w:tcPr>
          <w:p w:rsidR="00AA1EAB" w:rsidRPr="007D0E37" w:rsidRDefault="00AA1EAB" w:rsidP="00111F36">
            <w:pPr>
              <w:pStyle w:val="TableText"/>
              <w:ind w:left="-103" w:right="-62"/>
            </w:pPr>
            <w:r w:rsidRPr="007D0E37">
              <w:t>69 (46.3)</w:t>
            </w:r>
          </w:p>
        </w:tc>
        <w:tc>
          <w:tcPr>
            <w:tcW w:w="667" w:type="dxa"/>
            <w:vAlign w:val="center"/>
          </w:tcPr>
          <w:p w:rsidR="00AA1EAB" w:rsidRPr="007D0E37" w:rsidRDefault="00AA1EAB" w:rsidP="00111F36">
            <w:pPr>
              <w:pStyle w:val="TableText"/>
              <w:ind w:left="-103" w:right="-62"/>
            </w:pPr>
            <w:r w:rsidRPr="007D0E37">
              <w:t>90 (40.0)</w:t>
            </w:r>
          </w:p>
        </w:tc>
      </w:tr>
      <w:tr w:rsidR="00AA1EAB" w:rsidRPr="007D0E37" w:rsidTr="00BF48A2">
        <w:tc>
          <w:tcPr>
            <w:tcW w:w="1020" w:type="dxa"/>
            <w:shd w:val="clear" w:color="auto" w:fill="auto"/>
            <w:vAlign w:val="center"/>
          </w:tcPr>
          <w:p w:rsidR="00AA1EAB" w:rsidRPr="007D0E37" w:rsidRDefault="00AA1EAB" w:rsidP="00111F36">
            <w:pPr>
              <w:pStyle w:val="TableText"/>
              <w:ind w:left="-64"/>
            </w:pPr>
            <w:r w:rsidRPr="007D0E37">
              <w:t xml:space="preserve">SAEs </w:t>
            </w:r>
          </w:p>
        </w:tc>
        <w:tc>
          <w:tcPr>
            <w:tcW w:w="666" w:type="dxa"/>
            <w:shd w:val="clear" w:color="auto" w:fill="auto"/>
            <w:vAlign w:val="center"/>
          </w:tcPr>
          <w:p w:rsidR="00AA1EAB" w:rsidRPr="007D0E37" w:rsidRDefault="00AA1EAB" w:rsidP="00111F36">
            <w:pPr>
              <w:pStyle w:val="TableText"/>
              <w:ind w:left="-103" w:right="-62"/>
            </w:pPr>
            <w:r w:rsidRPr="007D0E37">
              <w:t>15 (4.5)</w:t>
            </w:r>
          </w:p>
        </w:tc>
        <w:tc>
          <w:tcPr>
            <w:tcW w:w="666" w:type="dxa"/>
            <w:shd w:val="clear" w:color="auto" w:fill="auto"/>
            <w:vAlign w:val="center"/>
          </w:tcPr>
          <w:p w:rsidR="00AA1EAB" w:rsidRPr="007D0E37" w:rsidRDefault="00AA1EAB" w:rsidP="00111F36">
            <w:pPr>
              <w:pStyle w:val="TableText"/>
              <w:ind w:left="-103" w:right="-62"/>
            </w:pPr>
            <w:r w:rsidRPr="007D0E37">
              <w:t>9 (2.7)</w:t>
            </w:r>
          </w:p>
        </w:tc>
        <w:tc>
          <w:tcPr>
            <w:tcW w:w="667" w:type="dxa"/>
            <w:shd w:val="clear" w:color="auto" w:fill="auto"/>
            <w:vAlign w:val="center"/>
          </w:tcPr>
          <w:p w:rsidR="00AA1EAB" w:rsidRPr="007D0E37" w:rsidRDefault="00AA1EAB" w:rsidP="00111F36">
            <w:pPr>
              <w:pStyle w:val="TableText"/>
              <w:ind w:left="-103" w:right="-62"/>
            </w:pPr>
            <w:r w:rsidRPr="007D0E37">
              <w:t>24 (19.8)</w:t>
            </w:r>
          </w:p>
        </w:tc>
        <w:tc>
          <w:tcPr>
            <w:tcW w:w="666" w:type="dxa"/>
            <w:shd w:val="clear" w:color="auto" w:fill="auto"/>
            <w:vAlign w:val="center"/>
          </w:tcPr>
          <w:p w:rsidR="00AA1EAB" w:rsidRPr="007D0E37" w:rsidRDefault="00AA1EAB" w:rsidP="00111F36">
            <w:pPr>
              <w:pStyle w:val="TableText"/>
              <w:ind w:left="-103" w:right="-62"/>
            </w:pPr>
            <w:r w:rsidRPr="007D0E37">
              <w:t>17 (14.0)</w:t>
            </w:r>
          </w:p>
        </w:tc>
        <w:tc>
          <w:tcPr>
            <w:tcW w:w="666" w:type="dxa"/>
            <w:shd w:val="clear" w:color="auto" w:fill="auto"/>
            <w:vAlign w:val="center"/>
          </w:tcPr>
          <w:p w:rsidR="00AA1EAB" w:rsidRPr="007D0E37" w:rsidRDefault="00AA1EAB" w:rsidP="00111F36">
            <w:pPr>
              <w:pStyle w:val="TableText"/>
              <w:ind w:left="-103" w:right="-62"/>
            </w:pPr>
            <w:r w:rsidRPr="007D0E37">
              <w:t>24 (19.5)</w:t>
            </w:r>
          </w:p>
        </w:tc>
        <w:tc>
          <w:tcPr>
            <w:tcW w:w="667" w:type="dxa"/>
            <w:shd w:val="clear" w:color="auto" w:fill="auto"/>
            <w:vAlign w:val="center"/>
          </w:tcPr>
          <w:p w:rsidR="00AA1EAB" w:rsidRPr="007D0E37" w:rsidRDefault="00AA1EAB" w:rsidP="00111F36">
            <w:pPr>
              <w:pStyle w:val="TableText"/>
              <w:ind w:left="-103" w:right="-62"/>
            </w:pPr>
            <w:r w:rsidRPr="007D0E37">
              <w:t>13 (10.7)</w:t>
            </w:r>
          </w:p>
        </w:tc>
        <w:tc>
          <w:tcPr>
            <w:tcW w:w="666" w:type="dxa"/>
            <w:shd w:val="clear" w:color="auto" w:fill="auto"/>
            <w:vAlign w:val="center"/>
          </w:tcPr>
          <w:p w:rsidR="00AA1EAB" w:rsidRPr="007D0E37" w:rsidRDefault="00AA1EAB" w:rsidP="00111F36">
            <w:pPr>
              <w:pStyle w:val="TableText"/>
              <w:ind w:left="-103" w:right="-62"/>
            </w:pPr>
            <w:r w:rsidRPr="007D0E37">
              <w:t>17 (17.6)</w:t>
            </w:r>
          </w:p>
        </w:tc>
        <w:tc>
          <w:tcPr>
            <w:tcW w:w="666" w:type="dxa"/>
            <w:shd w:val="clear" w:color="auto" w:fill="auto"/>
            <w:vAlign w:val="center"/>
          </w:tcPr>
          <w:p w:rsidR="00AA1EAB" w:rsidRPr="007D0E37" w:rsidRDefault="00AA1EAB" w:rsidP="00111F36">
            <w:pPr>
              <w:pStyle w:val="TableText"/>
              <w:ind w:left="-103" w:right="-62"/>
            </w:pPr>
            <w:r w:rsidRPr="007D0E37">
              <w:t>9 (4.0)</w:t>
            </w:r>
          </w:p>
        </w:tc>
        <w:tc>
          <w:tcPr>
            <w:tcW w:w="667" w:type="dxa"/>
            <w:shd w:val="clear" w:color="auto" w:fill="auto"/>
            <w:vAlign w:val="center"/>
          </w:tcPr>
          <w:p w:rsidR="00AA1EAB" w:rsidRPr="007D0E37" w:rsidRDefault="00AA1EAB" w:rsidP="00111F36">
            <w:pPr>
              <w:pStyle w:val="TableText"/>
              <w:ind w:left="-103" w:right="-62"/>
            </w:pPr>
            <w:r w:rsidRPr="007D0E37">
              <w:t>7 (7.3)</w:t>
            </w:r>
          </w:p>
        </w:tc>
        <w:tc>
          <w:tcPr>
            <w:tcW w:w="666" w:type="dxa"/>
            <w:shd w:val="clear" w:color="auto" w:fill="auto"/>
            <w:vAlign w:val="center"/>
          </w:tcPr>
          <w:p w:rsidR="00AA1EAB" w:rsidRPr="007D0E37" w:rsidRDefault="00AA1EAB" w:rsidP="00111F36">
            <w:pPr>
              <w:pStyle w:val="TableText"/>
              <w:ind w:left="-103" w:right="-62"/>
            </w:pPr>
            <w:r w:rsidRPr="007D0E37">
              <w:t>4 (4.4)</w:t>
            </w:r>
          </w:p>
        </w:tc>
        <w:tc>
          <w:tcPr>
            <w:tcW w:w="666" w:type="dxa"/>
            <w:vAlign w:val="center"/>
          </w:tcPr>
          <w:p w:rsidR="00AA1EAB" w:rsidRPr="007D0E37" w:rsidRDefault="00AA1EAB" w:rsidP="00111F36">
            <w:pPr>
              <w:pStyle w:val="TableText"/>
              <w:ind w:left="-103" w:right="-62"/>
            </w:pPr>
            <w:r w:rsidRPr="007D0E37">
              <w:t>10 (6.7)</w:t>
            </w:r>
          </w:p>
        </w:tc>
        <w:tc>
          <w:tcPr>
            <w:tcW w:w="667" w:type="dxa"/>
            <w:vAlign w:val="center"/>
          </w:tcPr>
          <w:p w:rsidR="00AA1EAB" w:rsidRPr="007D0E37" w:rsidRDefault="00AA1EAB" w:rsidP="00111F36">
            <w:pPr>
              <w:pStyle w:val="TableText"/>
              <w:ind w:left="-103" w:right="-62"/>
            </w:pPr>
            <w:r w:rsidRPr="007D0E37">
              <w:t>5 (2.2)</w:t>
            </w:r>
          </w:p>
        </w:tc>
      </w:tr>
      <w:tr w:rsidR="009D783D" w:rsidRPr="007D0E37" w:rsidTr="00BF48A2">
        <w:tc>
          <w:tcPr>
            <w:tcW w:w="1020" w:type="dxa"/>
            <w:shd w:val="clear" w:color="auto" w:fill="auto"/>
            <w:vAlign w:val="center"/>
          </w:tcPr>
          <w:p w:rsidR="009D783D" w:rsidRPr="007D0E37" w:rsidRDefault="009D783D" w:rsidP="009D783D">
            <w:pPr>
              <w:pStyle w:val="TableText"/>
              <w:ind w:left="-64"/>
            </w:pPr>
            <w:r w:rsidRPr="007D0E37">
              <w:t>Infections</w:t>
            </w:r>
          </w:p>
        </w:tc>
        <w:tc>
          <w:tcPr>
            <w:tcW w:w="666" w:type="dxa"/>
            <w:shd w:val="clear" w:color="auto" w:fill="auto"/>
            <w:vAlign w:val="center"/>
          </w:tcPr>
          <w:p w:rsidR="009D783D" w:rsidRPr="007D0E37" w:rsidRDefault="009D783D" w:rsidP="009D783D">
            <w:pPr>
              <w:pStyle w:val="TableText"/>
              <w:ind w:left="-103" w:right="-62"/>
            </w:pPr>
            <w:r w:rsidRPr="007D0E37">
              <w:t>40 (12.1)</w:t>
            </w:r>
          </w:p>
        </w:tc>
        <w:tc>
          <w:tcPr>
            <w:tcW w:w="666" w:type="dxa"/>
            <w:shd w:val="clear" w:color="auto" w:fill="auto"/>
            <w:vAlign w:val="center"/>
          </w:tcPr>
          <w:p w:rsidR="009D783D" w:rsidRPr="007D0E37" w:rsidRDefault="009D783D" w:rsidP="009D783D">
            <w:pPr>
              <w:pStyle w:val="TableText"/>
              <w:ind w:left="-103" w:right="-62"/>
            </w:pPr>
            <w:r w:rsidRPr="007D0E37">
              <w:t>39 (11.8)</w:t>
            </w:r>
          </w:p>
        </w:tc>
        <w:tc>
          <w:tcPr>
            <w:tcW w:w="667" w:type="dxa"/>
            <w:shd w:val="clear" w:color="auto" w:fill="auto"/>
            <w:vAlign w:val="center"/>
          </w:tcPr>
          <w:p w:rsidR="009D783D" w:rsidRPr="007D0E37" w:rsidRDefault="009D783D" w:rsidP="009D783D">
            <w:pPr>
              <w:pStyle w:val="TableText"/>
              <w:ind w:left="-103" w:right="-62"/>
            </w:pPr>
            <w:r w:rsidRPr="007D0E37">
              <w:t>20 (16.5)</w:t>
            </w:r>
            <w:r w:rsidRPr="007D0E37">
              <w:rPr>
                <w:vertAlign w:val="superscript"/>
              </w:rPr>
              <w:t>a</w:t>
            </w:r>
          </w:p>
        </w:tc>
        <w:tc>
          <w:tcPr>
            <w:tcW w:w="666" w:type="dxa"/>
            <w:shd w:val="clear" w:color="auto" w:fill="auto"/>
            <w:vAlign w:val="center"/>
          </w:tcPr>
          <w:p w:rsidR="009D783D" w:rsidRPr="007D0E37" w:rsidRDefault="009D783D" w:rsidP="009D783D">
            <w:pPr>
              <w:pStyle w:val="TableText"/>
              <w:ind w:left="-103" w:right="-62"/>
            </w:pPr>
            <w:r w:rsidRPr="007D0E37">
              <w:t>28 (23.5)</w:t>
            </w:r>
            <w:r w:rsidRPr="007D0E37">
              <w:rPr>
                <w:vertAlign w:val="superscript"/>
              </w:rPr>
              <w:t xml:space="preserve"> a</w:t>
            </w:r>
          </w:p>
        </w:tc>
        <w:tc>
          <w:tcPr>
            <w:tcW w:w="666" w:type="dxa"/>
            <w:shd w:val="clear" w:color="auto" w:fill="auto"/>
            <w:vAlign w:val="center"/>
          </w:tcPr>
          <w:p w:rsidR="009D783D" w:rsidRPr="007D0E37" w:rsidRDefault="009D783D" w:rsidP="009D783D">
            <w:pPr>
              <w:pStyle w:val="TableText"/>
              <w:ind w:left="-103" w:right="-62"/>
            </w:pPr>
            <w:r w:rsidRPr="007D0E37">
              <w:t>15 (12.2)</w:t>
            </w:r>
            <w:r w:rsidRPr="007D0E37">
              <w:rPr>
                <w:vertAlign w:val="superscript"/>
              </w:rPr>
              <w:t xml:space="preserve"> a</w:t>
            </w:r>
          </w:p>
        </w:tc>
        <w:tc>
          <w:tcPr>
            <w:tcW w:w="667" w:type="dxa"/>
            <w:shd w:val="clear" w:color="auto" w:fill="auto"/>
            <w:vAlign w:val="center"/>
          </w:tcPr>
          <w:p w:rsidR="009D783D" w:rsidRPr="007D0E37" w:rsidRDefault="009D783D" w:rsidP="009D783D">
            <w:pPr>
              <w:pStyle w:val="TableText"/>
              <w:ind w:left="-103" w:right="-62"/>
            </w:pPr>
            <w:r w:rsidRPr="007D0E37">
              <w:t>18 (14.9)</w:t>
            </w:r>
            <w:r w:rsidRPr="007D0E37">
              <w:rPr>
                <w:vertAlign w:val="superscript"/>
              </w:rPr>
              <w:t xml:space="preserve"> a</w:t>
            </w:r>
          </w:p>
        </w:tc>
        <w:tc>
          <w:tcPr>
            <w:tcW w:w="666" w:type="dxa"/>
            <w:shd w:val="clear" w:color="auto" w:fill="auto"/>
            <w:vAlign w:val="center"/>
          </w:tcPr>
          <w:p w:rsidR="009D783D" w:rsidRPr="007D0E37" w:rsidRDefault="009D783D" w:rsidP="009D783D">
            <w:pPr>
              <w:pStyle w:val="TableText"/>
              <w:ind w:left="-103" w:right="-62"/>
            </w:pPr>
            <w:r w:rsidRPr="007D0E37">
              <w:t>35 (15.7)</w:t>
            </w:r>
          </w:p>
        </w:tc>
        <w:tc>
          <w:tcPr>
            <w:tcW w:w="666" w:type="dxa"/>
            <w:shd w:val="clear" w:color="auto" w:fill="auto"/>
            <w:vAlign w:val="center"/>
          </w:tcPr>
          <w:p w:rsidR="009D783D" w:rsidRPr="007D0E37" w:rsidRDefault="009D783D" w:rsidP="009D783D">
            <w:pPr>
              <w:pStyle w:val="TableText"/>
              <w:ind w:left="-103" w:right="-62"/>
            </w:pPr>
            <w:r w:rsidRPr="007D0E37">
              <w:t>32 (14.3)</w:t>
            </w:r>
          </w:p>
        </w:tc>
        <w:tc>
          <w:tcPr>
            <w:tcW w:w="667" w:type="dxa"/>
            <w:shd w:val="clear" w:color="auto" w:fill="auto"/>
            <w:vAlign w:val="center"/>
          </w:tcPr>
          <w:p w:rsidR="009D783D" w:rsidRPr="007D0E37" w:rsidRDefault="009D783D" w:rsidP="009D783D">
            <w:pPr>
              <w:pStyle w:val="TableText"/>
              <w:ind w:left="-103" w:right="-62"/>
            </w:pPr>
            <w:r w:rsidRPr="007D0E37">
              <w:t>15 (15.6)</w:t>
            </w:r>
          </w:p>
        </w:tc>
        <w:tc>
          <w:tcPr>
            <w:tcW w:w="666" w:type="dxa"/>
            <w:shd w:val="clear" w:color="auto" w:fill="auto"/>
            <w:vAlign w:val="center"/>
          </w:tcPr>
          <w:p w:rsidR="009D783D" w:rsidRPr="007D0E37" w:rsidRDefault="009D783D" w:rsidP="009D783D">
            <w:pPr>
              <w:pStyle w:val="TableText"/>
              <w:ind w:left="-103" w:right="-62"/>
            </w:pPr>
            <w:r w:rsidRPr="007D0E37">
              <w:t>17 (18.9)</w:t>
            </w:r>
          </w:p>
        </w:tc>
        <w:tc>
          <w:tcPr>
            <w:tcW w:w="666" w:type="dxa"/>
            <w:vAlign w:val="center"/>
          </w:tcPr>
          <w:p w:rsidR="009D783D" w:rsidRPr="007D0E37" w:rsidRDefault="009D783D" w:rsidP="009D783D">
            <w:pPr>
              <w:pStyle w:val="TableText"/>
              <w:ind w:left="-103" w:right="-62"/>
            </w:pPr>
            <w:r w:rsidRPr="007D0E37">
              <w:t>22 (14.7)</w:t>
            </w:r>
          </w:p>
        </w:tc>
        <w:tc>
          <w:tcPr>
            <w:tcW w:w="667" w:type="dxa"/>
            <w:vAlign w:val="center"/>
          </w:tcPr>
          <w:p w:rsidR="009D783D" w:rsidRPr="007D0E37" w:rsidRDefault="009D783D" w:rsidP="009D783D">
            <w:pPr>
              <w:pStyle w:val="TableText"/>
              <w:ind w:left="-103" w:right="-62"/>
            </w:pPr>
            <w:r w:rsidRPr="007D0E37">
              <w:t>31 (13.8)</w:t>
            </w:r>
          </w:p>
        </w:tc>
      </w:tr>
      <w:tr w:rsidR="00AA1EAB" w:rsidRPr="007D0E37" w:rsidTr="00BF48A2">
        <w:tc>
          <w:tcPr>
            <w:tcW w:w="1020" w:type="dxa"/>
            <w:shd w:val="clear" w:color="auto" w:fill="auto"/>
            <w:vAlign w:val="center"/>
          </w:tcPr>
          <w:p w:rsidR="00AA1EAB" w:rsidRPr="007D0E37" w:rsidRDefault="00AA1EAB" w:rsidP="00111F36">
            <w:pPr>
              <w:pStyle w:val="TableText"/>
              <w:ind w:left="-64"/>
            </w:pPr>
            <w:r w:rsidRPr="007D0E37">
              <w:t>Serious infectious</w:t>
            </w:r>
          </w:p>
        </w:tc>
        <w:tc>
          <w:tcPr>
            <w:tcW w:w="666" w:type="dxa"/>
            <w:shd w:val="clear" w:color="auto" w:fill="auto"/>
            <w:vAlign w:val="center"/>
          </w:tcPr>
          <w:p w:rsidR="00AA1EAB" w:rsidRPr="007D0E37" w:rsidRDefault="00AA1EAB" w:rsidP="00111F36">
            <w:pPr>
              <w:pStyle w:val="TableText"/>
              <w:ind w:left="-103" w:right="-62"/>
            </w:pPr>
            <w:r w:rsidRPr="007D0E37">
              <w:t>6 (1.8)</w:t>
            </w:r>
          </w:p>
        </w:tc>
        <w:tc>
          <w:tcPr>
            <w:tcW w:w="666" w:type="dxa"/>
            <w:shd w:val="clear" w:color="auto" w:fill="auto"/>
            <w:vAlign w:val="center"/>
          </w:tcPr>
          <w:p w:rsidR="00AA1EAB" w:rsidRPr="007D0E37" w:rsidRDefault="00AA1EAB" w:rsidP="00111F36">
            <w:pPr>
              <w:pStyle w:val="TableText"/>
              <w:ind w:left="-103" w:right="-62"/>
            </w:pPr>
            <w:r w:rsidRPr="007D0E37">
              <w:t>1 (0.3)</w:t>
            </w:r>
          </w:p>
        </w:tc>
        <w:tc>
          <w:tcPr>
            <w:tcW w:w="667" w:type="dxa"/>
            <w:shd w:val="clear" w:color="auto" w:fill="auto"/>
            <w:vAlign w:val="center"/>
          </w:tcPr>
          <w:p w:rsidR="00AA1EAB" w:rsidRPr="007D0E37" w:rsidRDefault="00AA1EAB" w:rsidP="00111F36">
            <w:pPr>
              <w:pStyle w:val="TableText"/>
              <w:ind w:left="-103" w:right="-62"/>
            </w:pPr>
            <w:r w:rsidRPr="007D0E37">
              <w:t>2 (1.7)</w:t>
            </w:r>
          </w:p>
        </w:tc>
        <w:tc>
          <w:tcPr>
            <w:tcW w:w="666" w:type="dxa"/>
            <w:shd w:val="clear" w:color="auto" w:fill="auto"/>
            <w:vAlign w:val="center"/>
          </w:tcPr>
          <w:p w:rsidR="00AA1EAB" w:rsidRPr="007D0E37" w:rsidRDefault="00AA1EAB" w:rsidP="00111F36">
            <w:pPr>
              <w:pStyle w:val="TableText"/>
              <w:ind w:left="-103" w:right="-62"/>
            </w:pPr>
            <w:r w:rsidRPr="007D0E37">
              <w:t>1 (0.8)</w:t>
            </w:r>
          </w:p>
        </w:tc>
        <w:tc>
          <w:tcPr>
            <w:tcW w:w="666" w:type="dxa"/>
            <w:shd w:val="clear" w:color="auto" w:fill="auto"/>
            <w:vAlign w:val="center"/>
          </w:tcPr>
          <w:p w:rsidR="00AA1EAB" w:rsidRPr="007D0E37" w:rsidRDefault="00AA1EAB" w:rsidP="00111F36">
            <w:pPr>
              <w:pStyle w:val="TableText"/>
              <w:ind w:left="-103" w:right="-62"/>
            </w:pPr>
            <w:r w:rsidRPr="007D0E37">
              <w:t>1 (0.8)</w:t>
            </w:r>
          </w:p>
        </w:tc>
        <w:tc>
          <w:tcPr>
            <w:tcW w:w="667" w:type="dxa"/>
            <w:shd w:val="clear" w:color="auto" w:fill="auto"/>
            <w:vAlign w:val="center"/>
          </w:tcPr>
          <w:p w:rsidR="00AA1EAB" w:rsidRPr="007D0E37" w:rsidRDefault="00AA1EAB" w:rsidP="00111F36">
            <w:pPr>
              <w:pStyle w:val="TableText"/>
              <w:ind w:left="-103" w:right="-62"/>
            </w:pPr>
            <w:r w:rsidRPr="007D0E37">
              <w:t>2 (1.7)</w:t>
            </w:r>
          </w:p>
        </w:tc>
        <w:tc>
          <w:tcPr>
            <w:tcW w:w="666" w:type="dxa"/>
            <w:shd w:val="clear" w:color="auto" w:fill="auto"/>
            <w:vAlign w:val="center"/>
          </w:tcPr>
          <w:p w:rsidR="00AA1EAB" w:rsidRPr="007D0E37" w:rsidRDefault="00AA1EAB" w:rsidP="00111F36">
            <w:pPr>
              <w:pStyle w:val="TableText"/>
              <w:ind w:left="-103" w:right="-62"/>
            </w:pPr>
            <w:r w:rsidRPr="007D0E37">
              <w:t>3 (1.3)</w:t>
            </w:r>
          </w:p>
        </w:tc>
        <w:tc>
          <w:tcPr>
            <w:tcW w:w="666" w:type="dxa"/>
            <w:shd w:val="clear" w:color="auto" w:fill="auto"/>
            <w:vAlign w:val="center"/>
          </w:tcPr>
          <w:p w:rsidR="00AA1EAB" w:rsidRPr="007D0E37" w:rsidRDefault="00AA1EAB" w:rsidP="00111F36">
            <w:pPr>
              <w:pStyle w:val="TableText"/>
              <w:ind w:left="-103" w:right="-62"/>
            </w:pPr>
            <w:r w:rsidRPr="007D0E37">
              <w:t>0</w:t>
            </w:r>
          </w:p>
        </w:tc>
        <w:tc>
          <w:tcPr>
            <w:tcW w:w="667" w:type="dxa"/>
            <w:shd w:val="clear" w:color="auto" w:fill="auto"/>
            <w:vAlign w:val="center"/>
          </w:tcPr>
          <w:p w:rsidR="00AA1EAB" w:rsidRPr="007D0E37" w:rsidRDefault="00AA1EAB" w:rsidP="00111F36">
            <w:pPr>
              <w:pStyle w:val="TableText"/>
              <w:ind w:left="-103" w:right="-62"/>
            </w:pPr>
            <w:r w:rsidRPr="007D0E37">
              <w:t>0</w:t>
            </w:r>
          </w:p>
        </w:tc>
        <w:tc>
          <w:tcPr>
            <w:tcW w:w="666" w:type="dxa"/>
            <w:shd w:val="clear" w:color="auto" w:fill="auto"/>
            <w:vAlign w:val="center"/>
          </w:tcPr>
          <w:p w:rsidR="00AA1EAB" w:rsidRPr="007D0E37" w:rsidRDefault="00AA1EAB" w:rsidP="00111F36">
            <w:pPr>
              <w:pStyle w:val="TableText"/>
              <w:ind w:left="-103" w:right="-62"/>
            </w:pPr>
            <w:r w:rsidRPr="007D0E37">
              <w:t>3 (3.3)</w:t>
            </w:r>
          </w:p>
        </w:tc>
        <w:tc>
          <w:tcPr>
            <w:tcW w:w="666" w:type="dxa"/>
            <w:vAlign w:val="center"/>
          </w:tcPr>
          <w:p w:rsidR="00AA1EAB" w:rsidRPr="007D0E37" w:rsidRDefault="00AA1EAB" w:rsidP="00111F36">
            <w:pPr>
              <w:pStyle w:val="TableText"/>
              <w:ind w:left="-103" w:right="-62"/>
            </w:pPr>
            <w:r w:rsidRPr="007D0E37">
              <w:t>3 (2.0)</w:t>
            </w:r>
          </w:p>
        </w:tc>
        <w:tc>
          <w:tcPr>
            <w:tcW w:w="667" w:type="dxa"/>
            <w:vAlign w:val="center"/>
          </w:tcPr>
          <w:p w:rsidR="00AA1EAB" w:rsidRPr="007D0E37" w:rsidRDefault="00AA1EAB" w:rsidP="00111F36">
            <w:pPr>
              <w:pStyle w:val="TableText"/>
              <w:ind w:left="-103" w:right="-62"/>
            </w:pPr>
            <w:r w:rsidRPr="007D0E37">
              <w:t>1 (0.4)</w:t>
            </w:r>
          </w:p>
        </w:tc>
      </w:tr>
    </w:tbl>
    <w:p w:rsidR="00AA1EAB" w:rsidRPr="007D0E37" w:rsidRDefault="00AA1EAB" w:rsidP="00AA1EAB">
      <w:pPr>
        <w:pStyle w:val="TableFooter"/>
      </w:pPr>
      <w:r w:rsidRPr="007D0E37">
        <w:t xml:space="preserve">Source: </w:t>
      </w:r>
      <w:r w:rsidR="004204DD" w:rsidRPr="007D0E37">
        <w:t xml:space="preserve">Table 2.6-4 of the submission. </w:t>
      </w:r>
    </w:p>
    <w:p w:rsidR="00AA1EAB" w:rsidRPr="007D0E37" w:rsidRDefault="00AA1EAB" w:rsidP="00AA1EAB">
      <w:pPr>
        <w:pStyle w:val="TableFooter"/>
      </w:pPr>
      <w:r w:rsidRPr="007D0E37">
        <w:t>Abbreviations: AE = adverse event; ADA = adalimumab; GLM = golimumab; IFX = infliximab; NR = not reported; PBO = placebo; VDZ = vedolizumab</w:t>
      </w:r>
    </w:p>
    <w:p w:rsidR="00D02926" w:rsidRPr="007D0E37" w:rsidRDefault="009977E8" w:rsidP="00D02926">
      <w:pPr>
        <w:pStyle w:val="TableFooter"/>
      </w:pPr>
      <w:r w:rsidRPr="007D0E37">
        <w:t xml:space="preserve">Note: </w:t>
      </w:r>
      <w:r w:rsidR="00D02926" w:rsidRPr="007D0E37">
        <w:t xml:space="preserve">a Reported as infections requiring antimicrobial treatment. </w:t>
      </w:r>
    </w:p>
    <w:p w:rsidR="00D02926" w:rsidRPr="007D0E37" w:rsidRDefault="00D02926" w:rsidP="00AA1EAB">
      <w:pPr>
        <w:pStyle w:val="TableFooter"/>
      </w:pPr>
    </w:p>
    <w:p w:rsidR="00AA1EAB" w:rsidRPr="007D0E37" w:rsidRDefault="00AA1EAB" w:rsidP="00AA1EAB">
      <w:pPr>
        <w:pStyle w:val="TableHeading0"/>
      </w:pPr>
      <w:r w:rsidRPr="007D0E37">
        <w:t xml:space="preserve">Table </w:t>
      </w:r>
      <w:r w:rsidR="008142DF" w:rsidRPr="007D0E37">
        <w:t>1</w:t>
      </w:r>
      <w:r w:rsidR="000E238D" w:rsidRPr="007D0E37">
        <w:t>1</w:t>
      </w:r>
      <w:r w:rsidRPr="007D0E37">
        <w:t xml:space="preserve">: Summary of adverse events in the maintenance phase for trials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716"/>
        <w:gridCol w:w="821"/>
        <w:gridCol w:w="715"/>
        <w:gridCol w:w="717"/>
        <w:gridCol w:w="715"/>
        <w:gridCol w:w="717"/>
        <w:gridCol w:w="715"/>
        <w:gridCol w:w="715"/>
        <w:gridCol w:w="715"/>
        <w:gridCol w:w="710"/>
      </w:tblGrid>
      <w:tr w:rsidR="00AA1EAB" w:rsidRPr="007D0E37" w:rsidTr="00BF48A2">
        <w:trPr>
          <w:cantSplit/>
          <w:trHeight w:val="170"/>
          <w:tblHeader/>
        </w:trPr>
        <w:tc>
          <w:tcPr>
            <w:tcW w:w="1074" w:type="pct"/>
            <w:vMerge w:val="restart"/>
            <w:shd w:val="clear" w:color="auto" w:fill="auto"/>
            <w:vAlign w:val="center"/>
          </w:tcPr>
          <w:p w:rsidR="00AA1EAB" w:rsidRPr="007D0E37" w:rsidRDefault="00AA1EAB" w:rsidP="00BF48A2">
            <w:pPr>
              <w:pStyle w:val="TableText"/>
              <w:ind w:left="-45"/>
              <w:rPr>
                <w:b/>
              </w:rPr>
            </w:pPr>
            <w:r w:rsidRPr="007D0E37">
              <w:rPr>
                <w:b/>
              </w:rPr>
              <w:t>Adverse event</w:t>
            </w:r>
          </w:p>
        </w:tc>
        <w:tc>
          <w:tcPr>
            <w:tcW w:w="1606" w:type="pct"/>
            <w:gridSpan w:val="4"/>
            <w:shd w:val="clear" w:color="auto" w:fill="auto"/>
            <w:vAlign w:val="center"/>
          </w:tcPr>
          <w:p w:rsidR="00AA1EAB" w:rsidRPr="007D0E37" w:rsidRDefault="00AA1EAB" w:rsidP="00BF48A2">
            <w:pPr>
              <w:pStyle w:val="TableText"/>
              <w:ind w:left="-45"/>
              <w:rPr>
                <w:b/>
              </w:rPr>
            </w:pPr>
            <w:r w:rsidRPr="007D0E37">
              <w:rPr>
                <w:b/>
              </w:rPr>
              <w:t>Golimumab</w:t>
            </w:r>
          </w:p>
        </w:tc>
        <w:tc>
          <w:tcPr>
            <w:tcW w:w="775" w:type="pct"/>
            <w:gridSpan w:val="2"/>
            <w:shd w:val="clear" w:color="auto" w:fill="auto"/>
            <w:vAlign w:val="center"/>
          </w:tcPr>
          <w:p w:rsidR="00AA1EAB" w:rsidRPr="007D0E37" w:rsidRDefault="00AA1EAB" w:rsidP="00BF48A2">
            <w:pPr>
              <w:pStyle w:val="TableText"/>
              <w:ind w:left="-45"/>
              <w:rPr>
                <w:b/>
              </w:rPr>
            </w:pPr>
            <w:r w:rsidRPr="007D0E37">
              <w:rPr>
                <w:b/>
              </w:rPr>
              <w:t>Infliximab</w:t>
            </w:r>
          </w:p>
        </w:tc>
        <w:tc>
          <w:tcPr>
            <w:tcW w:w="774" w:type="pct"/>
            <w:gridSpan w:val="2"/>
            <w:shd w:val="clear" w:color="auto" w:fill="auto"/>
            <w:vAlign w:val="center"/>
          </w:tcPr>
          <w:p w:rsidR="00AA1EAB" w:rsidRPr="007D0E37" w:rsidRDefault="00AA1EAB" w:rsidP="00BF48A2">
            <w:pPr>
              <w:pStyle w:val="TableText"/>
              <w:ind w:left="-45"/>
              <w:rPr>
                <w:b/>
              </w:rPr>
            </w:pPr>
            <w:r w:rsidRPr="007D0E37">
              <w:rPr>
                <w:b/>
              </w:rPr>
              <w:t>Adalimumab</w:t>
            </w:r>
          </w:p>
        </w:tc>
        <w:tc>
          <w:tcPr>
            <w:tcW w:w="771" w:type="pct"/>
            <w:gridSpan w:val="2"/>
            <w:shd w:val="clear" w:color="auto" w:fill="auto"/>
            <w:vAlign w:val="center"/>
          </w:tcPr>
          <w:p w:rsidR="00AA1EAB" w:rsidRPr="007D0E37" w:rsidRDefault="00AA1EAB" w:rsidP="00BF48A2">
            <w:pPr>
              <w:pStyle w:val="TableText"/>
              <w:ind w:left="-45"/>
              <w:rPr>
                <w:b/>
              </w:rPr>
            </w:pPr>
            <w:r w:rsidRPr="007D0E37">
              <w:rPr>
                <w:b/>
              </w:rPr>
              <w:t>Vedolizumab</w:t>
            </w:r>
          </w:p>
        </w:tc>
      </w:tr>
      <w:tr w:rsidR="00AA1EAB" w:rsidRPr="007D0E37" w:rsidTr="00BF48A2">
        <w:trPr>
          <w:cantSplit/>
          <w:trHeight w:val="170"/>
          <w:tblHeader/>
        </w:trPr>
        <w:tc>
          <w:tcPr>
            <w:tcW w:w="1074" w:type="pct"/>
            <w:vMerge/>
            <w:shd w:val="clear" w:color="auto" w:fill="auto"/>
            <w:vAlign w:val="center"/>
          </w:tcPr>
          <w:p w:rsidR="00AA1EAB" w:rsidRPr="007D0E37" w:rsidRDefault="00AA1EAB" w:rsidP="00BF48A2">
            <w:pPr>
              <w:pStyle w:val="TableText"/>
              <w:ind w:left="-45"/>
              <w:rPr>
                <w:b/>
              </w:rPr>
            </w:pPr>
          </w:p>
        </w:tc>
        <w:tc>
          <w:tcPr>
            <w:tcW w:w="831" w:type="pct"/>
            <w:gridSpan w:val="2"/>
            <w:shd w:val="clear" w:color="auto" w:fill="auto"/>
            <w:vAlign w:val="center"/>
          </w:tcPr>
          <w:p w:rsidR="00AA1EAB" w:rsidRPr="007D0E37" w:rsidRDefault="00AA1EAB" w:rsidP="00BF48A2">
            <w:pPr>
              <w:pStyle w:val="TableText"/>
              <w:ind w:left="-45"/>
              <w:rPr>
                <w:b/>
              </w:rPr>
            </w:pPr>
            <w:r w:rsidRPr="007D0E37">
              <w:rPr>
                <w:b/>
              </w:rPr>
              <w:t>PURSUIT-M</w:t>
            </w:r>
          </w:p>
        </w:tc>
        <w:tc>
          <w:tcPr>
            <w:tcW w:w="775" w:type="pct"/>
            <w:gridSpan w:val="2"/>
            <w:shd w:val="clear" w:color="auto" w:fill="auto"/>
            <w:vAlign w:val="center"/>
          </w:tcPr>
          <w:p w:rsidR="00AA1EAB" w:rsidRPr="007D0E37" w:rsidRDefault="00AA1EAB" w:rsidP="00BF48A2">
            <w:pPr>
              <w:pStyle w:val="TableText"/>
              <w:ind w:left="-45"/>
              <w:rPr>
                <w:b/>
              </w:rPr>
            </w:pPr>
            <w:r w:rsidRPr="007D0E37">
              <w:rPr>
                <w:b/>
              </w:rPr>
              <w:t>PURSUIT-J</w:t>
            </w:r>
          </w:p>
        </w:tc>
        <w:tc>
          <w:tcPr>
            <w:tcW w:w="775" w:type="pct"/>
            <w:gridSpan w:val="2"/>
            <w:shd w:val="clear" w:color="auto" w:fill="auto"/>
            <w:vAlign w:val="center"/>
          </w:tcPr>
          <w:p w:rsidR="00AA1EAB" w:rsidRPr="007D0E37" w:rsidRDefault="00AA1EAB" w:rsidP="00BF48A2">
            <w:pPr>
              <w:pStyle w:val="TableText"/>
              <w:ind w:left="-45"/>
              <w:rPr>
                <w:b/>
              </w:rPr>
            </w:pPr>
            <w:r w:rsidRPr="007D0E37">
              <w:rPr>
                <w:b/>
              </w:rPr>
              <w:t>ACT I</w:t>
            </w:r>
          </w:p>
        </w:tc>
        <w:tc>
          <w:tcPr>
            <w:tcW w:w="774" w:type="pct"/>
            <w:gridSpan w:val="2"/>
            <w:shd w:val="clear" w:color="auto" w:fill="auto"/>
            <w:vAlign w:val="center"/>
          </w:tcPr>
          <w:p w:rsidR="00AA1EAB" w:rsidRPr="007D0E37" w:rsidRDefault="00AA1EAB" w:rsidP="00BF48A2">
            <w:pPr>
              <w:pStyle w:val="TableText"/>
              <w:ind w:left="-45"/>
              <w:rPr>
                <w:b/>
              </w:rPr>
            </w:pPr>
            <w:r w:rsidRPr="007D0E37">
              <w:rPr>
                <w:b/>
              </w:rPr>
              <w:t>ULTRA II</w:t>
            </w:r>
          </w:p>
        </w:tc>
        <w:tc>
          <w:tcPr>
            <w:tcW w:w="771" w:type="pct"/>
            <w:gridSpan w:val="2"/>
            <w:shd w:val="clear" w:color="auto" w:fill="auto"/>
            <w:vAlign w:val="center"/>
          </w:tcPr>
          <w:p w:rsidR="00AA1EAB" w:rsidRPr="007D0E37" w:rsidRDefault="00AA1EAB" w:rsidP="00BF48A2">
            <w:pPr>
              <w:pStyle w:val="TableText"/>
              <w:ind w:left="-45"/>
              <w:rPr>
                <w:b/>
              </w:rPr>
            </w:pPr>
            <w:r w:rsidRPr="007D0E37">
              <w:rPr>
                <w:b/>
              </w:rPr>
              <w:t>GEMINI I</w:t>
            </w:r>
          </w:p>
        </w:tc>
      </w:tr>
      <w:tr w:rsidR="00AA1EAB" w:rsidRPr="007D0E37" w:rsidTr="00BF48A2">
        <w:trPr>
          <w:cantSplit/>
          <w:trHeight w:val="170"/>
          <w:tblHeader/>
        </w:trPr>
        <w:tc>
          <w:tcPr>
            <w:tcW w:w="1074" w:type="pct"/>
            <w:vMerge/>
            <w:shd w:val="clear" w:color="auto" w:fill="auto"/>
            <w:vAlign w:val="center"/>
          </w:tcPr>
          <w:p w:rsidR="00AA1EAB" w:rsidRPr="007D0E37" w:rsidRDefault="00AA1EAB" w:rsidP="00BF48A2">
            <w:pPr>
              <w:pStyle w:val="TableText"/>
              <w:ind w:left="-45"/>
              <w:rPr>
                <w:b/>
              </w:rPr>
            </w:pPr>
          </w:p>
        </w:tc>
        <w:tc>
          <w:tcPr>
            <w:tcW w:w="387" w:type="pct"/>
            <w:shd w:val="clear" w:color="auto" w:fill="auto"/>
            <w:vAlign w:val="center"/>
          </w:tcPr>
          <w:p w:rsidR="00AA1EAB" w:rsidRPr="007D0E37" w:rsidRDefault="00AA1EAB" w:rsidP="00BF48A2">
            <w:pPr>
              <w:pStyle w:val="TableText"/>
              <w:ind w:left="-45"/>
              <w:rPr>
                <w:b/>
              </w:rPr>
            </w:pPr>
            <w:r w:rsidRPr="007D0E37">
              <w:rPr>
                <w:b/>
              </w:rPr>
              <w:t>PBO</w:t>
            </w:r>
          </w:p>
        </w:tc>
        <w:tc>
          <w:tcPr>
            <w:tcW w:w="444" w:type="pct"/>
            <w:shd w:val="clear" w:color="auto" w:fill="auto"/>
            <w:vAlign w:val="center"/>
          </w:tcPr>
          <w:p w:rsidR="00AA1EAB" w:rsidRPr="007D0E37" w:rsidRDefault="00AA1EAB" w:rsidP="00BF48A2">
            <w:pPr>
              <w:pStyle w:val="TableText"/>
              <w:ind w:left="-45"/>
              <w:rPr>
                <w:b/>
              </w:rPr>
            </w:pPr>
            <w:r w:rsidRPr="007D0E37">
              <w:rPr>
                <w:b/>
              </w:rPr>
              <w:t xml:space="preserve">GOL </w:t>
            </w:r>
          </w:p>
        </w:tc>
        <w:tc>
          <w:tcPr>
            <w:tcW w:w="387" w:type="pct"/>
            <w:shd w:val="clear" w:color="auto" w:fill="auto"/>
            <w:vAlign w:val="center"/>
          </w:tcPr>
          <w:p w:rsidR="00AA1EAB" w:rsidRPr="007D0E37" w:rsidRDefault="00AA1EAB" w:rsidP="00BF48A2">
            <w:pPr>
              <w:pStyle w:val="TableText"/>
              <w:ind w:left="-45"/>
              <w:rPr>
                <w:b/>
              </w:rPr>
            </w:pPr>
            <w:r w:rsidRPr="007D0E37">
              <w:rPr>
                <w:b/>
              </w:rPr>
              <w:t>PBO</w:t>
            </w:r>
          </w:p>
        </w:tc>
        <w:tc>
          <w:tcPr>
            <w:tcW w:w="388" w:type="pct"/>
            <w:shd w:val="clear" w:color="auto" w:fill="auto"/>
            <w:vAlign w:val="center"/>
          </w:tcPr>
          <w:p w:rsidR="00AA1EAB" w:rsidRPr="007D0E37" w:rsidRDefault="00AA1EAB" w:rsidP="00BF48A2">
            <w:pPr>
              <w:pStyle w:val="TableText"/>
              <w:ind w:left="-45"/>
              <w:rPr>
                <w:b/>
              </w:rPr>
            </w:pPr>
            <w:r w:rsidRPr="007D0E37">
              <w:rPr>
                <w:b/>
              </w:rPr>
              <w:t xml:space="preserve">GOL </w:t>
            </w:r>
          </w:p>
        </w:tc>
        <w:tc>
          <w:tcPr>
            <w:tcW w:w="387" w:type="pct"/>
            <w:shd w:val="clear" w:color="auto" w:fill="auto"/>
            <w:vAlign w:val="center"/>
          </w:tcPr>
          <w:p w:rsidR="00AA1EAB" w:rsidRPr="007D0E37" w:rsidRDefault="00AA1EAB" w:rsidP="00BF48A2">
            <w:pPr>
              <w:pStyle w:val="TableText"/>
              <w:ind w:left="-45"/>
              <w:rPr>
                <w:b/>
              </w:rPr>
            </w:pPr>
            <w:r w:rsidRPr="007D0E37">
              <w:rPr>
                <w:b/>
              </w:rPr>
              <w:t>PBO</w:t>
            </w:r>
          </w:p>
        </w:tc>
        <w:tc>
          <w:tcPr>
            <w:tcW w:w="388" w:type="pct"/>
            <w:shd w:val="clear" w:color="auto" w:fill="auto"/>
            <w:vAlign w:val="center"/>
          </w:tcPr>
          <w:p w:rsidR="00AA1EAB" w:rsidRPr="007D0E37" w:rsidRDefault="00AA1EAB" w:rsidP="00BF48A2">
            <w:pPr>
              <w:pStyle w:val="TableText"/>
              <w:ind w:left="-45"/>
              <w:rPr>
                <w:b/>
              </w:rPr>
            </w:pPr>
            <w:r w:rsidRPr="007D0E37">
              <w:rPr>
                <w:b/>
              </w:rPr>
              <w:t>IFX</w:t>
            </w:r>
          </w:p>
        </w:tc>
        <w:tc>
          <w:tcPr>
            <w:tcW w:w="387" w:type="pct"/>
            <w:shd w:val="clear" w:color="auto" w:fill="auto"/>
            <w:vAlign w:val="center"/>
          </w:tcPr>
          <w:p w:rsidR="00AA1EAB" w:rsidRPr="007D0E37" w:rsidRDefault="00AA1EAB" w:rsidP="00BF48A2">
            <w:pPr>
              <w:pStyle w:val="TableText"/>
              <w:ind w:left="-45"/>
              <w:rPr>
                <w:b/>
              </w:rPr>
            </w:pPr>
            <w:r w:rsidRPr="007D0E37">
              <w:rPr>
                <w:b/>
              </w:rPr>
              <w:t>PBO</w:t>
            </w:r>
          </w:p>
        </w:tc>
        <w:tc>
          <w:tcPr>
            <w:tcW w:w="387" w:type="pct"/>
            <w:shd w:val="clear" w:color="auto" w:fill="auto"/>
            <w:vAlign w:val="center"/>
          </w:tcPr>
          <w:p w:rsidR="00AA1EAB" w:rsidRPr="007D0E37" w:rsidRDefault="00AA1EAB" w:rsidP="00BF48A2">
            <w:pPr>
              <w:pStyle w:val="TableText"/>
              <w:ind w:left="-45"/>
              <w:rPr>
                <w:b/>
              </w:rPr>
            </w:pPr>
            <w:r w:rsidRPr="007D0E37">
              <w:rPr>
                <w:b/>
              </w:rPr>
              <w:t xml:space="preserve">ADA </w:t>
            </w:r>
          </w:p>
        </w:tc>
        <w:tc>
          <w:tcPr>
            <w:tcW w:w="387" w:type="pct"/>
            <w:shd w:val="clear" w:color="auto" w:fill="auto"/>
            <w:vAlign w:val="center"/>
          </w:tcPr>
          <w:p w:rsidR="00AA1EAB" w:rsidRPr="007D0E37" w:rsidRDefault="00AA1EAB" w:rsidP="00BF48A2">
            <w:pPr>
              <w:pStyle w:val="TableText"/>
              <w:ind w:left="-45"/>
              <w:rPr>
                <w:b/>
              </w:rPr>
            </w:pPr>
            <w:r w:rsidRPr="007D0E37">
              <w:rPr>
                <w:b/>
              </w:rPr>
              <w:t>PBO</w:t>
            </w:r>
          </w:p>
        </w:tc>
        <w:tc>
          <w:tcPr>
            <w:tcW w:w="384" w:type="pct"/>
            <w:shd w:val="clear" w:color="auto" w:fill="auto"/>
            <w:vAlign w:val="center"/>
          </w:tcPr>
          <w:p w:rsidR="00AA1EAB" w:rsidRPr="007D0E37" w:rsidRDefault="00AA1EAB" w:rsidP="00BF48A2">
            <w:pPr>
              <w:pStyle w:val="TableText"/>
              <w:ind w:left="-45"/>
              <w:rPr>
                <w:b/>
              </w:rPr>
            </w:pPr>
            <w:r w:rsidRPr="007D0E37">
              <w:rPr>
                <w:b/>
              </w:rPr>
              <w:t>VDZ</w:t>
            </w:r>
          </w:p>
        </w:tc>
      </w:tr>
      <w:tr w:rsidR="00AA1EAB" w:rsidRPr="007D0E37" w:rsidTr="00BF48A2">
        <w:trPr>
          <w:cantSplit/>
          <w:trHeight w:val="170"/>
          <w:tblHeader/>
        </w:trPr>
        <w:tc>
          <w:tcPr>
            <w:tcW w:w="1074" w:type="pct"/>
            <w:shd w:val="clear" w:color="auto" w:fill="auto"/>
            <w:vAlign w:val="center"/>
          </w:tcPr>
          <w:p w:rsidR="00AA1EAB" w:rsidRPr="007D0E37" w:rsidRDefault="00AA1EAB" w:rsidP="00111F36">
            <w:pPr>
              <w:pStyle w:val="TableText"/>
              <w:ind w:left="-64"/>
            </w:pPr>
            <w:r w:rsidRPr="007D0E37">
              <w:t>N</w:t>
            </w:r>
          </w:p>
        </w:tc>
        <w:tc>
          <w:tcPr>
            <w:tcW w:w="387" w:type="pct"/>
            <w:shd w:val="clear" w:color="auto" w:fill="auto"/>
            <w:vAlign w:val="center"/>
          </w:tcPr>
          <w:p w:rsidR="00AA1EAB" w:rsidRPr="007D0E37" w:rsidRDefault="00AA1EAB" w:rsidP="00111F36">
            <w:pPr>
              <w:pStyle w:val="TableText"/>
              <w:ind w:left="-103" w:right="-62"/>
            </w:pPr>
            <w:r w:rsidRPr="007D0E37">
              <w:t>156</w:t>
            </w:r>
          </w:p>
        </w:tc>
        <w:tc>
          <w:tcPr>
            <w:tcW w:w="444" w:type="pct"/>
            <w:shd w:val="clear" w:color="auto" w:fill="auto"/>
            <w:vAlign w:val="center"/>
          </w:tcPr>
          <w:p w:rsidR="00AA1EAB" w:rsidRPr="007D0E37" w:rsidRDefault="00AA1EAB" w:rsidP="00111F36">
            <w:pPr>
              <w:pStyle w:val="TableText"/>
              <w:ind w:left="-103" w:right="-62"/>
            </w:pPr>
            <w:r w:rsidRPr="007D0E37">
              <w:t>154</w:t>
            </w:r>
          </w:p>
        </w:tc>
        <w:tc>
          <w:tcPr>
            <w:tcW w:w="387" w:type="pct"/>
            <w:shd w:val="clear" w:color="auto" w:fill="auto"/>
            <w:vAlign w:val="center"/>
          </w:tcPr>
          <w:p w:rsidR="00AA1EAB" w:rsidRPr="007D0E37" w:rsidRDefault="00AA1EAB" w:rsidP="00111F36">
            <w:pPr>
              <w:pStyle w:val="TableText"/>
              <w:ind w:left="-103" w:right="-62"/>
            </w:pPr>
            <w:r w:rsidRPr="007D0E37">
              <w:t>31</w:t>
            </w:r>
          </w:p>
        </w:tc>
        <w:tc>
          <w:tcPr>
            <w:tcW w:w="388" w:type="pct"/>
            <w:shd w:val="clear" w:color="auto" w:fill="auto"/>
            <w:vAlign w:val="center"/>
          </w:tcPr>
          <w:p w:rsidR="00AA1EAB" w:rsidRPr="007D0E37" w:rsidRDefault="00AA1EAB" w:rsidP="00111F36">
            <w:pPr>
              <w:pStyle w:val="TableText"/>
              <w:ind w:left="-103" w:right="-62"/>
            </w:pPr>
            <w:r w:rsidRPr="007D0E37">
              <w:t>32</w:t>
            </w:r>
          </w:p>
        </w:tc>
        <w:tc>
          <w:tcPr>
            <w:tcW w:w="387" w:type="pct"/>
            <w:shd w:val="clear" w:color="auto" w:fill="auto"/>
            <w:vAlign w:val="center"/>
          </w:tcPr>
          <w:p w:rsidR="00AA1EAB" w:rsidRPr="007D0E37" w:rsidRDefault="00AA1EAB" w:rsidP="00111F36">
            <w:pPr>
              <w:pStyle w:val="TableText"/>
              <w:ind w:left="-103" w:right="-62"/>
            </w:pPr>
            <w:r w:rsidRPr="007D0E37">
              <w:t>121</w:t>
            </w:r>
          </w:p>
        </w:tc>
        <w:tc>
          <w:tcPr>
            <w:tcW w:w="388" w:type="pct"/>
            <w:shd w:val="clear" w:color="auto" w:fill="auto"/>
            <w:vAlign w:val="center"/>
          </w:tcPr>
          <w:p w:rsidR="00AA1EAB" w:rsidRPr="007D0E37" w:rsidRDefault="00AA1EAB" w:rsidP="00111F36">
            <w:pPr>
              <w:pStyle w:val="TableText"/>
              <w:ind w:left="-103" w:right="-62"/>
            </w:pPr>
            <w:r w:rsidRPr="007D0E37">
              <w:t>121</w:t>
            </w:r>
          </w:p>
        </w:tc>
        <w:tc>
          <w:tcPr>
            <w:tcW w:w="387" w:type="pct"/>
            <w:shd w:val="clear" w:color="auto" w:fill="auto"/>
            <w:vAlign w:val="center"/>
          </w:tcPr>
          <w:p w:rsidR="00AA1EAB" w:rsidRPr="007D0E37" w:rsidRDefault="00AA1EAB" w:rsidP="00111F36">
            <w:pPr>
              <w:pStyle w:val="TableText"/>
              <w:ind w:left="-103" w:right="-62"/>
            </w:pPr>
            <w:r w:rsidRPr="007D0E37">
              <w:t>260</w:t>
            </w:r>
          </w:p>
        </w:tc>
        <w:tc>
          <w:tcPr>
            <w:tcW w:w="387" w:type="pct"/>
            <w:shd w:val="clear" w:color="auto" w:fill="auto"/>
            <w:vAlign w:val="center"/>
          </w:tcPr>
          <w:p w:rsidR="00AA1EAB" w:rsidRPr="007D0E37" w:rsidRDefault="00AA1EAB" w:rsidP="00111F36">
            <w:pPr>
              <w:pStyle w:val="TableText"/>
              <w:ind w:left="-103" w:right="-62"/>
            </w:pPr>
            <w:r w:rsidRPr="007D0E37">
              <w:t>257</w:t>
            </w:r>
          </w:p>
        </w:tc>
        <w:tc>
          <w:tcPr>
            <w:tcW w:w="387" w:type="pct"/>
            <w:shd w:val="clear" w:color="auto" w:fill="auto"/>
            <w:vAlign w:val="center"/>
          </w:tcPr>
          <w:p w:rsidR="00AA1EAB" w:rsidRPr="007D0E37" w:rsidRDefault="00AA1EAB" w:rsidP="00111F36">
            <w:pPr>
              <w:pStyle w:val="TableText"/>
              <w:ind w:left="-103" w:right="-62"/>
            </w:pPr>
            <w:r w:rsidRPr="007D0E37">
              <w:t>275</w:t>
            </w:r>
          </w:p>
        </w:tc>
        <w:tc>
          <w:tcPr>
            <w:tcW w:w="384" w:type="pct"/>
            <w:shd w:val="clear" w:color="auto" w:fill="auto"/>
            <w:vAlign w:val="center"/>
          </w:tcPr>
          <w:p w:rsidR="00AA1EAB" w:rsidRPr="007D0E37" w:rsidRDefault="00AA1EAB" w:rsidP="00111F36">
            <w:pPr>
              <w:pStyle w:val="TableText"/>
              <w:ind w:left="-103" w:right="-62"/>
            </w:pPr>
            <w:r w:rsidRPr="007D0E37">
              <w:t>620</w:t>
            </w:r>
          </w:p>
        </w:tc>
      </w:tr>
      <w:tr w:rsidR="00AA1EAB" w:rsidRPr="007D0E37" w:rsidTr="00BF48A2">
        <w:trPr>
          <w:cantSplit/>
          <w:trHeight w:val="170"/>
        </w:trPr>
        <w:tc>
          <w:tcPr>
            <w:tcW w:w="1074" w:type="pct"/>
            <w:shd w:val="clear" w:color="auto" w:fill="FFFFFF"/>
            <w:vAlign w:val="center"/>
          </w:tcPr>
          <w:p w:rsidR="00AA1EAB" w:rsidRPr="007D0E37" w:rsidRDefault="00AA1EAB" w:rsidP="00111F36">
            <w:pPr>
              <w:pStyle w:val="TableText"/>
              <w:ind w:left="-64"/>
            </w:pPr>
            <w:r w:rsidRPr="007D0E37">
              <w:t>Any adverse event</w:t>
            </w:r>
          </w:p>
        </w:tc>
        <w:tc>
          <w:tcPr>
            <w:tcW w:w="387" w:type="pct"/>
            <w:shd w:val="clear" w:color="auto" w:fill="FFFFFF"/>
            <w:vAlign w:val="center"/>
          </w:tcPr>
          <w:p w:rsidR="00AA1EAB" w:rsidRPr="007D0E37" w:rsidRDefault="00AA1EAB" w:rsidP="00111F36">
            <w:pPr>
              <w:pStyle w:val="TableText"/>
              <w:ind w:left="-103" w:right="-62"/>
            </w:pPr>
            <w:r w:rsidRPr="007D0E37">
              <w:t>103 (66.0)</w:t>
            </w:r>
          </w:p>
        </w:tc>
        <w:tc>
          <w:tcPr>
            <w:tcW w:w="444" w:type="pct"/>
            <w:shd w:val="clear" w:color="auto" w:fill="FFFFFF"/>
            <w:vAlign w:val="center"/>
          </w:tcPr>
          <w:p w:rsidR="00AA1EAB" w:rsidRPr="007D0E37" w:rsidRDefault="00AA1EAB" w:rsidP="00111F36">
            <w:pPr>
              <w:pStyle w:val="TableText"/>
              <w:ind w:left="-103" w:right="-62"/>
            </w:pPr>
            <w:r w:rsidRPr="007D0E37">
              <w:t>113 (73.4)</w:t>
            </w:r>
          </w:p>
        </w:tc>
        <w:tc>
          <w:tcPr>
            <w:tcW w:w="387" w:type="pct"/>
            <w:shd w:val="clear" w:color="auto" w:fill="FFFFFF"/>
            <w:vAlign w:val="center"/>
          </w:tcPr>
          <w:p w:rsidR="00AA1EAB" w:rsidRPr="007D0E37" w:rsidRDefault="00AA1EAB" w:rsidP="00111F36">
            <w:pPr>
              <w:pStyle w:val="TableText"/>
              <w:ind w:left="-103" w:right="-62"/>
            </w:pPr>
            <w:r w:rsidRPr="007D0E37">
              <w:t>22 (71.0)</w:t>
            </w:r>
          </w:p>
        </w:tc>
        <w:tc>
          <w:tcPr>
            <w:tcW w:w="388" w:type="pct"/>
            <w:shd w:val="clear" w:color="auto" w:fill="FFFFFF"/>
            <w:vAlign w:val="center"/>
          </w:tcPr>
          <w:p w:rsidR="00AA1EAB" w:rsidRPr="007D0E37" w:rsidRDefault="00AA1EAB" w:rsidP="00111F36">
            <w:pPr>
              <w:pStyle w:val="TableText"/>
              <w:ind w:left="-103" w:right="-62"/>
            </w:pPr>
            <w:r w:rsidRPr="007D0E37">
              <w:t>31 (96.9)</w:t>
            </w:r>
          </w:p>
        </w:tc>
        <w:tc>
          <w:tcPr>
            <w:tcW w:w="387" w:type="pct"/>
            <w:shd w:val="clear" w:color="auto" w:fill="FFFFFF"/>
            <w:vAlign w:val="center"/>
          </w:tcPr>
          <w:p w:rsidR="00AA1EAB" w:rsidRPr="007D0E37" w:rsidRDefault="00AA1EAB" w:rsidP="00111F36">
            <w:pPr>
              <w:pStyle w:val="TableText"/>
              <w:ind w:left="-103" w:right="-62"/>
            </w:pPr>
            <w:r w:rsidRPr="007D0E37">
              <w:t>103 (85.1)</w:t>
            </w:r>
          </w:p>
        </w:tc>
        <w:tc>
          <w:tcPr>
            <w:tcW w:w="388" w:type="pct"/>
            <w:shd w:val="clear" w:color="auto" w:fill="FFFFFF"/>
            <w:vAlign w:val="center"/>
          </w:tcPr>
          <w:p w:rsidR="00AA1EAB" w:rsidRPr="007D0E37" w:rsidRDefault="00AA1EAB" w:rsidP="00111F36">
            <w:pPr>
              <w:pStyle w:val="TableText"/>
              <w:ind w:left="-103" w:right="-62"/>
            </w:pPr>
            <w:r w:rsidRPr="007D0E37">
              <w:t>106 (87.6)</w:t>
            </w:r>
          </w:p>
        </w:tc>
        <w:tc>
          <w:tcPr>
            <w:tcW w:w="387" w:type="pct"/>
            <w:shd w:val="clear" w:color="auto" w:fill="FFFFFF"/>
            <w:vAlign w:val="center"/>
          </w:tcPr>
          <w:p w:rsidR="00AA1EAB" w:rsidRPr="007D0E37" w:rsidRDefault="00AA1EAB" w:rsidP="00111F36">
            <w:pPr>
              <w:pStyle w:val="TableText"/>
              <w:ind w:left="-103" w:right="-62"/>
            </w:pPr>
            <w:r w:rsidRPr="007D0E37">
              <w:t>218 (83.8)</w:t>
            </w:r>
          </w:p>
        </w:tc>
        <w:tc>
          <w:tcPr>
            <w:tcW w:w="387" w:type="pct"/>
            <w:shd w:val="clear" w:color="auto" w:fill="FFFFFF"/>
            <w:vAlign w:val="center"/>
          </w:tcPr>
          <w:p w:rsidR="00AA1EAB" w:rsidRPr="007D0E37" w:rsidRDefault="00AA1EAB" w:rsidP="00111F36">
            <w:pPr>
              <w:pStyle w:val="TableText"/>
              <w:ind w:left="-103" w:right="-62"/>
            </w:pPr>
            <w:r w:rsidRPr="007D0E37">
              <w:t>213 (82.9)</w:t>
            </w:r>
          </w:p>
        </w:tc>
        <w:tc>
          <w:tcPr>
            <w:tcW w:w="387" w:type="pct"/>
            <w:shd w:val="clear" w:color="auto" w:fill="FFFFFF"/>
            <w:vAlign w:val="center"/>
          </w:tcPr>
          <w:p w:rsidR="00AA1EAB" w:rsidRPr="007D0E37" w:rsidRDefault="00AA1EAB" w:rsidP="00111F36">
            <w:pPr>
              <w:pStyle w:val="TableText"/>
              <w:ind w:left="-103" w:right="-62"/>
            </w:pPr>
            <w:r w:rsidRPr="007D0E37">
              <w:t>220 (80)</w:t>
            </w:r>
          </w:p>
        </w:tc>
        <w:tc>
          <w:tcPr>
            <w:tcW w:w="384" w:type="pct"/>
            <w:shd w:val="clear" w:color="auto" w:fill="FFFFFF"/>
            <w:vAlign w:val="center"/>
          </w:tcPr>
          <w:p w:rsidR="00AA1EAB" w:rsidRPr="007D0E37" w:rsidRDefault="00AA1EAB" w:rsidP="00111F36">
            <w:pPr>
              <w:pStyle w:val="TableText"/>
              <w:ind w:left="-103" w:right="-62"/>
            </w:pPr>
            <w:r w:rsidRPr="007D0E37">
              <w:t>497 (80)</w:t>
            </w:r>
          </w:p>
        </w:tc>
      </w:tr>
      <w:tr w:rsidR="00AA1EAB" w:rsidRPr="007D0E37" w:rsidTr="00BF48A2">
        <w:trPr>
          <w:cantSplit/>
          <w:trHeight w:val="170"/>
        </w:trPr>
        <w:tc>
          <w:tcPr>
            <w:tcW w:w="1074" w:type="pct"/>
            <w:shd w:val="clear" w:color="auto" w:fill="FFFFFF"/>
            <w:vAlign w:val="center"/>
          </w:tcPr>
          <w:p w:rsidR="00AA1EAB" w:rsidRPr="007D0E37" w:rsidRDefault="00AA1EAB" w:rsidP="00111F36">
            <w:pPr>
              <w:pStyle w:val="TableText"/>
              <w:ind w:left="-64"/>
            </w:pPr>
            <w:r w:rsidRPr="007D0E37">
              <w:t xml:space="preserve">Serious adverse event </w:t>
            </w:r>
          </w:p>
        </w:tc>
        <w:tc>
          <w:tcPr>
            <w:tcW w:w="387" w:type="pct"/>
            <w:shd w:val="clear" w:color="auto" w:fill="FFFFFF"/>
            <w:vAlign w:val="center"/>
          </w:tcPr>
          <w:p w:rsidR="00AA1EAB" w:rsidRPr="007D0E37" w:rsidRDefault="00AA1EAB" w:rsidP="00111F36">
            <w:pPr>
              <w:pStyle w:val="TableText"/>
              <w:ind w:left="-103" w:right="-62"/>
            </w:pPr>
            <w:r w:rsidRPr="007D0E37">
              <w:t>13 (8.3)</w:t>
            </w:r>
          </w:p>
        </w:tc>
        <w:tc>
          <w:tcPr>
            <w:tcW w:w="444" w:type="pct"/>
            <w:shd w:val="clear" w:color="auto" w:fill="FFFFFF"/>
            <w:vAlign w:val="center"/>
          </w:tcPr>
          <w:p w:rsidR="00AA1EAB" w:rsidRPr="007D0E37" w:rsidRDefault="00AA1EAB" w:rsidP="00111F36">
            <w:pPr>
              <w:pStyle w:val="TableText"/>
              <w:ind w:left="-103" w:right="-62"/>
            </w:pPr>
            <w:r w:rsidRPr="007D0E37">
              <w:t>22 (14.3)</w:t>
            </w:r>
          </w:p>
        </w:tc>
        <w:tc>
          <w:tcPr>
            <w:tcW w:w="387" w:type="pct"/>
            <w:shd w:val="clear" w:color="auto" w:fill="FFFFFF"/>
            <w:vAlign w:val="center"/>
          </w:tcPr>
          <w:p w:rsidR="00AA1EAB" w:rsidRPr="007D0E37" w:rsidRDefault="00AA1EAB" w:rsidP="00111F36">
            <w:pPr>
              <w:pStyle w:val="TableText"/>
              <w:ind w:left="-103" w:right="-62"/>
            </w:pPr>
            <w:r w:rsidRPr="007D0E37">
              <w:t>4 (12.9)</w:t>
            </w:r>
          </w:p>
        </w:tc>
        <w:tc>
          <w:tcPr>
            <w:tcW w:w="388" w:type="pct"/>
            <w:shd w:val="clear" w:color="auto" w:fill="FFFFFF"/>
            <w:vAlign w:val="center"/>
          </w:tcPr>
          <w:p w:rsidR="00AA1EAB" w:rsidRPr="007D0E37" w:rsidRDefault="00AA1EAB" w:rsidP="00111F36">
            <w:pPr>
              <w:pStyle w:val="TableText"/>
              <w:ind w:left="-103" w:right="-62"/>
            </w:pPr>
            <w:r w:rsidRPr="007D0E37">
              <w:t>1 (3.1)</w:t>
            </w:r>
          </w:p>
        </w:tc>
        <w:tc>
          <w:tcPr>
            <w:tcW w:w="387" w:type="pct"/>
            <w:shd w:val="clear" w:color="auto" w:fill="FFFFFF"/>
            <w:vAlign w:val="center"/>
          </w:tcPr>
          <w:p w:rsidR="00AA1EAB" w:rsidRPr="007D0E37" w:rsidRDefault="00AA1EAB" w:rsidP="00111F36">
            <w:pPr>
              <w:pStyle w:val="TableText"/>
              <w:ind w:left="-103" w:right="-62"/>
            </w:pPr>
            <w:r w:rsidRPr="007D0E37">
              <w:t>31 (25.6)</w:t>
            </w:r>
          </w:p>
        </w:tc>
        <w:tc>
          <w:tcPr>
            <w:tcW w:w="388" w:type="pct"/>
            <w:shd w:val="clear" w:color="auto" w:fill="FFFFFF"/>
            <w:vAlign w:val="center"/>
          </w:tcPr>
          <w:p w:rsidR="00AA1EAB" w:rsidRPr="007D0E37" w:rsidRDefault="00AA1EAB" w:rsidP="00111F36">
            <w:pPr>
              <w:pStyle w:val="TableText"/>
              <w:ind w:left="-103" w:right="-62"/>
            </w:pPr>
            <w:r w:rsidRPr="007D0E37">
              <w:t>26 (21.5)</w:t>
            </w:r>
          </w:p>
        </w:tc>
        <w:tc>
          <w:tcPr>
            <w:tcW w:w="387" w:type="pct"/>
            <w:shd w:val="clear" w:color="auto" w:fill="FFFFFF"/>
            <w:vAlign w:val="center"/>
          </w:tcPr>
          <w:p w:rsidR="00AA1EAB" w:rsidRPr="007D0E37" w:rsidRDefault="00AA1EAB" w:rsidP="00111F36">
            <w:pPr>
              <w:pStyle w:val="TableText"/>
              <w:ind w:left="-103" w:right="-62"/>
            </w:pPr>
            <w:r w:rsidRPr="007D0E37">
              <w:t>32 (12.3)</w:t>
            </w:r>
          </w:p>
        </w:tc>
        <w:tc>
          <w:tcPr>
            <w:tcW w:w="387" w:type="pct"/>
            <w:shd w:val="clear" w:color="auto" w:fill="FFFFFF"/>
            <w:vAlign w:val="center"/>
          </w:tcPr>
          <w:p w:rsidR="00AA1EAB" w:rsidRPr="007D0E37" w:rsidRDefault="00AA1EAB" w:rsidP="00111F36">
            <w:pPr>
              <w:pStyle w:val="TableText"/>
              <w:ind w:left="-103" w:right="-62"/>
            </w:pPr>
            <w:r w:rsidRPr="007D0E37">
              <w:t>31 (12.1)</w:t>
            </w:r>
          </w:p>
        </w:tc>
        <w:tc>
          <w:tcPr>
            <w:tcW w:w="387" w:type="pct"/>
            <w:shd w:val="clear" w:color="auto" w:fill="FFFFFF"/>
            <w:vAlign w:val="center"/>
          </w:tcPr>
          <w:p w:rsidR="00AA1EAB" w:rsidRPr="007D0E37" w:rsidRDefault="00AA1EAB" w:rsidP="00111F36">
            <w:pPr>
              <w:pStyle w:val="TableText"/>
              <w:ind w:left="-103" w:right="-62"/>
            </w:pPr>
            <w:r w:rsidRPr="007D0E37">
              <w:t>37 (13.5)</w:t>
            </w:r>
          </w:p>
        </w:tc>
        <w:tc>
          <w:tcPr>
            <w:tcW w:w="384" w:type="pct"/>
            <w:shd w:val="clear" w:color="auto" w:fill="FFFFFF"/>
            <w:vAlign w:val="center"/>
          </w:tcPr>
          <w:p w:rsidR="00AA1EAB" w:rsidRPr="007D0E37" w:rsidRDefault="00AA1EAB" w:rsidP="00111F36">
            <w:pPr>
              <w:pStyle w:val="TableText"/>
              <w:ind w:left="-103" w:right="-62"/>
            </w:pPr>
            <w:r w:rsidRPr="007D0E37">
              <w:t>77 (12.4)</w:t>
            </w:r>
          </w:p>
        </w:tc>
      </w:tr>
      <w:tr w:rsidR="00AA1EAB" w:rsidRPr="007D0E37" w:rsidTr="00BF48A2">
        <w:trPr>
          <w:cantSplit/>
          <w:trHeight w:val="170"/>
        </w:trPr>
        <w:tc>
          <w:tcPr>
            <w:tcW w:w="1074" w:type="pct"/>
            <w:shd w:val="clear" w:color="auto" w:fill="FFFFFF"/>
            <w:vAlign w:val="center"/>
          </w:tcPr>
          <w:p w:rsidR="00AA1EAB" w:rsidRPr="007D0E37" w:rsidRDefault="00AA1EAB" w:rsidP="00111F36">
            <w:pPr>
              <w:pStyle w:val="TableText"/>
              <w:ind w:left="-64"/>
            </w:pPr>
            <w:r w:rsidRPr="007D0E37">
              <w:t>Infections</w:t>
            </w:r>
          </w:p>
        </w:tc>
        <w:tc>
          <w:tcPr>
            <w:tcW w:w="387" w:type="pct"/>
            <w:shd w:val="clear" w:color="auto" w:fill="FFFFFF"/>
            <w:vAlign w:val="center"/>
          </w:tcPr>
          <w:p w:rsidR="00AA1EAB" w:rsidRPr="007D0E37" w:rsidRDefault="00AA1EAB" w:rsidP="00111F36">
            <w:pPr>
              <w:pStyle w:val="TableText"/>
              <w:ind w:left="-103" w:right="-62"/>
            </w:pPr>
            <w:r w:rsidRPr="007D0E37">
              <w:t>44 (28.2)</w:t>
            </w:r>
          </w:p>
        </w:tc>
        <w:tc>
          <w:tcPr>
            <w:tcW w:w="444" w:type="pct"/>
            <w:shd w:val="clear" w:color="auto" w:fill="FFFFFF"/>
            <w:vAlign w:val="center"/>
          </w:tcPr>
          <w:p w:rsidR="00AA1EAB" w:rsidRPr="007D0E37" w:rsidRDefault="00AA1EAB" w:rsidP="00111F36">
            <w:pPr>
              <w:pStyle w:val="TableText"/>
              <w:ind w:left="-103" w:right="-62"/>
            </w:pPr>
            <w:r w:rsidRPr="007D0E37">
              <w:t>60 (39.0)</w:t>
            </w:r>
          </w:p>
        </w:tc>
        <w:tc>
          <w:tcPr>
            <w:tcW w:w="387" w:type="pct"/>
            <w:shd w:val="clear" w:color="auto" w:fill="FFFFFF"/>
            <w:vAlign w:val="center"/>
          </w:tcPr>
          <w:p w:rsidR="00AA1EAB" w:rsidRPr="007D0E37" w:rsidRDefault="00AA1EAB" w:rsidP="00111F36">
            <w:pPr>
              <w:pStyle w:val="TableText"/>
              <w:ind w:left="-103" w:right="-62"/>
            </w:pPr>
            <w:r w:rsidRPr="007D0E37">
              <w:t>11 (35.5)</w:t>
            </w:r>
          </w:p>
        </w:tc>
        <w:tc>
          <w:tcPr>
            <w:tcW w:w="388" w:type="pct"/>
            <w:shd w:val="clear" w:color="auto" w:fill="FFFFFF"/>
            <w:vAlign w:val="center"/>
          </w:tcPr>
          <w:p w:rsidR="00AA1EAB" w:rsidRPr="007D0E37" w:rsidRDefault="00AA1EAB" w:rsidP="00111F36">
            <w:pPr>
              <w:pStyle w:val="TableText"/>
              <w:ind w:left="-103" w:right="-62"/>
            </w:pPr>
            <w:r w:rsidRPr="007D0E37">
              <w:t>21 (65.6)</w:t>
            </w:r>
          </w:p>
        </w:tc>
        <w:tc>
          <w:tcPr>
            <w:tcW w:w="387" w:type="pct"/>
            <w:shd w:val="clear" w:color="auto" w:fill="FFFFFF"/>
            <w:vAlign w:val="center"/>
          </w:tcPr>
          <w:p w:rsidR="00AA1EAB" w:rsidRPr="007D0E37" w:rsidRDefault="00AA1EAB" w:rsidP="00111F36">
            <w:pPr>
              <w:pStyle w:val="TableText"/>
              <w:ind w:left="-103" w:right="-62"/>
            </w:pPr>
            <w:r w:rsidRPr="007D0E37">
              <w:t>37 (38.8)</w:t>
            </w:r>
          </w:p>
        </w:tc>
        <w:tc>
          <w:tcPr>
            <w:tcW w:w="388" w:type="pct"/>
            <w:shd w:val="clear" w:color="auto" w:fill="FFFFFF"/>
            <w:vAlign w:val="center"/>
          </w:tcPr>
          <w:p w:rsidR="00AA1EAB" w:rsidRPr="007D0E37" w:rsidRDefault="00AA1EAB" w:rsidP="00111F36">
            <w:pPr>
              <w:pStyle w:val="TableText"/>
              <w:ind w:left="-103" w:right="-62"/>
            </w:pPr>
            <w:r w:rsidRPr="007D0E37">
              <w:t>53 (43.8)</w:t>
            </w:r>
          </w:p>
        </w:tc>
        <w:tc>
          <w:tcPr>
            <w:tcW w:w="387" w:type="pct"/>
            <w:shd w:val="clear" w:color="auto" w:fill="FFFFFF"/>
            <w:vAlign w:val="center"/>
          </w:tcPr>
          <w:p w:rsidR="00AA1EAB" w:rsidRPr="007D0E37" w:rsidRDefault="00AA1EAB" w:rsidP="00111F36">
            <w:pPr>
              <w:pStyle w:val="TableText"/>
              <w:ind w:left="-103" w:right="-62"/>
            </w:pPr>
            <w:r w:rsidRPr="007D0E37">
              <w:t>103 (39.6)</w:t>
            </w:r>
          </w:p>
        </w:tc>
        <w:tc>
          <w:tcPr>
            <w:tcW w:w="387" w:type="pct"/>
            <w:shd w:val="clear" w:color="auto" w:fill="FFFFFF"/>
            <w:vAlign w:val="center"/>
          </w:tcPr>
          <w:p w:rsidR="00AA1EAB" w:rsidRPr="007D0E37" w:rsidRDefault="00AA1EAB" w:rsidP="00111F36">
            <w:pPr>
              <w:pStyle w:val="TableText"/>
              <w:ind w:left="-103" w:right="-62"/>
            </w:pPr>
            <w:r w:rsidRPr="007D0E37">
              <w:t>116 (45.1)</w:t>
            </w:r>
          </w:p>
        </w:tc>
        <w:tc>
          <w:tcPr>
            <w:tcW w:w="387" w:type="pct"/>
            <w:shd w:val="clear" w:color="auto" w:fill="FFFFFF"/>
            <w:vAlign w:val="center"/>
          </w:tcPr>
          <w:p w:rsidR="00AA1EAB" w:rsidRPr="007D0E37" w:rsidRDefault="00AA1EAB" w:rsidP="00111F36">
            <w:pPr>
              <w:pStyle w:val="TableText"/>
              <w:ind w:left="-103" w:right="-62"/>
            </w:pPr>
            <w:r w:rsidRPr="007D0E37">
              <w:t>155 (56)</w:t>
            </w:r>
          </w:p>
        </w:tc>
        <w:tc>
          <w:tcPr>
            <w:tcW w:w="384" w:type="pct"/>
            <w:shd w:val="clear" w:color="auto" w:fill="FFFFFF"/>
            <w:vAlign w:val="center"/>
          </w:tcPr>
          <w:p w:rsidR="00AA1EAB" w:rsidRPr="007D0E37" w:rsidRDefault="00AA1EAB" w:rsidP="00111F36">
            <w:pPr>
              <w:pStyle w:val="TableText"/>
              <w:ind w:left="-103" w:right="-62"/>
            </w:pPr>
            <w:r w:rsidRPr="007D0E37">
              <w:t>371 (60)</w:t>
            </w:r>
          </w:p>
        </w:tc>
      </w:tr>
      <w:tr w:rsidR="00AA1EAB" w:rsidRPr="007D0E37" w:rsidTr="00BF48A2">
        <w:trPr>
          <w:cantSplit/>
          <w:trHeight w:val="170"/>
        </w:trPr>
        <w:tc>
          <w:tcPr>
            <w:tcW w:w="1074" w:type="pct"/>
            <w:shd w:val="clear" w:color="auto" w:fill="FFFFFF"/>
            <w:vAlign w:val="center"/>
          </w:tcPr>
          <w:p w:rsidR="00AA1EAB" w:rsidRPr="007D0E37" w:rsidRDefault="00AA1EAB" w:rsidP="00111F36">
            <w:pPr>
              <w:pStyle w:val="TableText"/>
              <w:ind w:left="-64"/>
            </w:pPr>
            <w:r w:rsidRPr="007D0E37">
              <w:t>Serious infectious</w:t>
            </w:r>
          </w:p>
        </w:tc>
        <w:tc>
          <w:tcPr>
            <w:tcW w:w="387" w:type="pct"/>
            <w:shd w:val="clear" w:color="auto" w:fill="FFFFFF"/>
            <w:vAlign w:val="center"/>
          </w:tcPr>
          <w:p w:rsidR="00AA1EAB" w:rsidRPr="007D0E37" w:rsidRDefault="00AA1EAB" w:rsidP="00111F36">
            <w:pPr>
              <w:pStyle w:val="TableText"/>
              <w:ind w:left="-103" w:right="-62"/>
            </w:pPr>
            <w:r w:rsidRPr="007D0E37">
              <w:t>3 (1.9)</w:t>
            </w:r>
          </w:p>
        </w:tc>
        <w:tc>
          <w:tcPr>
            <w:tcW w:w="444" w:type="pct"/>
            <w:shd w:val="clear" w:color="auto" w:fill="FFFFFF"/>
            <w:vAlign w:val="center"/>
          </w:tcPr>
          <w:p w:rsidR="00AA1EAB" w:rsidRPr="007D0E37" w:rsidRDefault="00AA1EAB" w:rsidP="00111F36">
            <w:pPr>
              <w:pStyle w:val="TableText"/>
              <w:ind w:left="-103" w:right="-62"/>
            </w:pPr>
            <w:r w:rsidRPr="007D0E37">
              <w:t>5 (3.2)</w:t>
            </w:r>
          </w:p>
        </w:tc>
        <w:tc>
          <w:tcPr>
            <w:tcW w:w="387" w:type="pct"/>
            <w:shd w:val="clear" w:color="auto" w:fill="FFFFFF"/>
            <w:vAlign w:val="center"/>
          </w:tcPr>
          <w:p w:rsidR="00AA1EAB" w:rsidRPr="007D0E37" w:rsidRDefault="00AA1EAB" w:rsidP="00111F36">
            <w:pPr>
              <w:pStyle w:val="TableText"/>
              <w:ind w:left="-103" w:right="-62"/>
            </w:pPr>
            <w:r w:rsidRPr="007D0E37">
              <w:t>NR</w:t>
            </w:r>
          </w:p>
        </w:tc>
        <w:tc>
          <w:tcPr>
            <w:tcW w:w="388" w:type="pct"/>
            <w:shd w:val="clear" w:color="auto" w:fill="FFFFFF"/>
            <w:vAlign w:val="center"/>
          </w:tcPr>
          <w:p w:rsidR="00AA1EAB" w:rsidRPr="007D0E37" w:rsidRDefault="00AA1EAB" w:rsidP="00111F36">
            <w:pPr>
              <w:pStyle w:val="TableText"/>
              <w:ind w:left="-103" w:right="-62"/>
            </w:pPr>
            <w:r w:rsidRPr="007D0E37">
              <w:t>NR</w:t>
            </w:r>
          </w:p>
        </w:tc>
        <w:tc>
          <w:tcPr>
            <w:tcW w:w="387" w:type="pct"/>
            <w:shd w:val="clear" w:color="auto" w:fill="FFFFFF"/>
            <w:vAlign w:val="center"/>
          </w:tcPr>
          <w:p w:rsidR="00AA1EAB" w:rsidRPr="007D0E37" w:rsidRDefault="00AA1EAB" w:rsidP="00111F36">
            <w:pPr>
              <w:pStyle w:val="TableText"/>
              <w:ind w:left="-103" w:right="-62"/>
            </w:pPr>
            <w:r w:rsidRPr="007D0E37">
              <w:t>5 (4.1)</w:t>
            </w:r>
          </w:p>
        </w:tc>
        <w:tc>
          <w:tcPr>
            <w:tcW w:w="388" w:type="pct"/>
            <w:shd w:val="clear" w:color="auto" w:fill="FFFFFF"/>
            <w:vAlign w:val="center"/>
          </w:tcPr>
          <w:p w:rsidR="00AA1EAB" w:rsidRPr="007D0E37" w:rsidRDefault="00AA1EAB" w:rsidP="00111F36">
            <w:pPr>
              <w:pStyle w:val="TableText"/>
              <w:ind w:left="-103" w:right="-62"/>
            </w:pPr>
            <w:r w:rsidRPr="007D0E37">
              <w:t>3 (2.5)</w:t>
            </w:r>
          </w:p>
        </w:tc>
        <w:tc>
          <w:tcPr>
            <w:tcW w:w="387" w:type="pct"/>
            <w:shd w:val="clear" w:color="auto" w:fill="FFFFFF"/>
            <w:vAlign w:val="center"/>
          </w:tcPr>
          <w:p w:rsidR="00AA1EAB" w:rsidRPr="007D0E37" w:rsidRDefault="00AA1EAB" w:rsidP="00111F36">
            <w:pPr>
              <w:pStyle w:val="TableText"/>
              <w:ind w:left="-103" w:right="-62"/>
            </w:pPr>
            <w:r w:rsidRPr="007D0E37">
              <w:t>5 (1.9)</w:t>
            </w:r>
          </w:p>
        </w:tc>
        <w:tc>
          <w:tcPr>
            <w:tcW w:w="387" w:type="pct"/>
            <w:shd w:val="clear" w:color="auto" w:fill="FFFFFF"/>
            <w:vAlign w:val="center"/>
          </w:tcPr>
          <w:p w:rsidR="00AA1EAB" w:rsidRPr="007D0E37" w:rsidRDefault="00AA1EAB" w:rsidP="00111F36">
            <w:pPr>
              <w:pStyle w:val="TableText"/>
              <w:ind w:left="-103" w:right="-62"/>
            </w:pPr>
            <w:r w:rsidRPr="007D0E37">
              <w:t>4 (1.6)</w:t>
            </w:r>
          </w:p>
        </w:tc>
        <w:tc>
          <w:tcPr>
            <w:tcW w:w="387" w:type="pct"/>
            <w:shd w:val="clear" w:color="auto" w:fill="FFFFFF"/>
            <w:vAlign w:val="center"/>
          </w:tcPr>
          <w:p w:rsidR="00AA1EAB" w:rsidRPr="007D0E37" w:rsidRDefault="00AA1EAB" w:rsidP="00111F36">
            <w:pPr>
              <w:pStyle w:val="TableText"/>
              <w:ind w:left="-103" w:right="-62"/>
            </w:pPr>
            <w:r w:rsidRPr="007D0E37">
              <w:t>8 (2.9)</w:t>
            </w:r>
          </w:p>
        </w:tc>
        <w:tc>
          <w:tcPr>
            <w:tcW w:w="384" w:type="pct"/>
            <w:shd w:val="clear" w:color="auto" w:fill="FFFFFF"/>
            <w:vAlign w:val="center"/>
          </w:tcPr>
          <w:p w:rsidR="00AA1EAB" w:rsidRPr="007D0E37" w:rsidRDefault="00AA1EAB" w:rsidP="00111F36">
            <w:pPr>
              <w:pStyle w:val="TableText"/>
              <w:ind w:left="-103" w:right="-62"/>
            </w:pPr>
            <w:r w:rsidRPr="007D0E37">
              <w:t>12 (1.9)</w:t>
            </w:r>
          </w:p>
        </w:tc>
      </w:tr>
      <w:tr w:rsidR="00AA1EAB" w:rsidRPr="007D0E37" w:rsidTr="00BF48A2">
        <w:trPr>
          <w:cantSplit/>
          <w:trHeight w:val="170"/>
        </w:trPr>
        <w:tc>
          <w:tcPr>
            <w:tcW w:w="1074" w:type="pct"/>
            <w:shd w:val="clear" w:color="auto" w:fill="FFFFFF"/>
            <w:vAlign w:val="center"/>
          </w:tcPr>
          <w:p w:rsidR="00AA1EAB" w:rsidRPr="007D0E37" w:rsidRDefault="00AA1EAB" w:rsidP="00111F36">
            <w:pPr>
              <w:pStyle w:val="TableText"/>
              <w:ind w:left="-64"/>
            </w:pPr>
            <w:r w:rsidRPr="007D0E37">
              <w:t>Deaths</w:t>
            </w:r>
          </w:p>
        </w:tc>
        <w:tc>
          <w:tcPr>
            <w:tcW w:w="387" w:type="pct"/>
            <w:shd w:val="clear" w:color="auto" w:fill="FFFFFF"/>
            <w:vAlign w:val="center"/>
          </w:tcPr>
          <w:p w:rsidR="00AA1EAB" w:rsidRPr="007D0E37" w:rsidRDefault="00AA1EAB" w:rsidP="00111F36">
            <w:pPr>
              <w:pStyle w:val="TableText"/>
              <w:ind w:left="-103" w:right="-62"/>
            </w:pPr>
            <w:r w:rsidRPr="007D0E37">
              <w:t>0</w:t>
            </w:r>
          </w:p>
        </w:tc>
        <w:tc>
          <w:tcPr>
            <w:tcW w:w="444" w:type="pct"/>
            <w:shd w:val="clear" w:color="auto" w:fill="FFFFFF"/>
            <w:vAlign w:val="center"/>
          </w:tcPr>
          <w:p w:rsidR="00AA1EAB" w:rsidRPr="007D0E37" w:rsidRDefault="00AA1EAB" w:rsidP="00111F36">
            <w:pPr>
              <w:pStyle w:val="TableText"/>
              <w:ind w:left="-103" w:right="-62"/>
            </w:pPr>
            <w:r w:rsidRPr="007D0E37">
              <w:t>2 (1.3)</w:t>
            </w:r>
            <w:r w:rsidRPr="007D0E37">
              <w:rPr>
                <w:rFonts w:cs="Arial Narrow"/>
              </w:rPr>
              <w:t>ꝉ</w:t>
            </w:r>
          </w:p>
        </w:tc>
        <w:tc>
          <w:tcPr>
            <w:tcW w:w="387" w:type="pct"/>
            <w:shd w:val="clear" w:color="auto" w:fill="FFFFFF"/>
            <w:vAlign w:val="center"/>
          </w:tcPr>
          <w:p w:rsidR="00AA1EAB" w:rsidRPr="007D0E37" w:rsidRDefault="00AA1EAB" w:rsidP="00111F36">
            <w:pPr>
              <w:pStyle w:val="TableText"/>
              <w:ind w:left="-103" w:right="-62"/>
            </w:pPr>
            <w:r w:rsidRPr="007D0E37">
              <w:t>0</w:t>
            </w:r>
          </w:p>
        </w:tc>
        <w:tc>
          <w:tcPr>
            <w:tcW w:w="388" w:type="pct"/>
            <w:shd w:val="clear" w:color="auto" w:fill="FFFFFF"/>
            <w:vAlign w:val="center"/>
          </w:tcPr>
          <w:p w:rsidR="00AA1EAB" w:rsidRPr="007D0E37" w:rsidRDefault="00AA1EAB" w:rsidP="00111F36">
            <w:pPr>
              <w:pStyle w:val="TableText"/>
              <w:ind w:left="-103" w:right="-62"/>
            </w:pPr>
            <w:r w:rsidRPr="007D0E37">
              <w:t>0</w:t>
            </w:r>
          </w:p>
        </w:tc>
        <w:tc>
          <w:tcPr>
            <w:tcW w:w="387" w:type="pct"/>
            <w:shd w:val="clear" w:color="auto" w:fill="FFFFFF"/>
            <w:vAlign w:val="center"/>
          </w:tcPr>
          <w:p w:rsidR="00AA1EAB" w:rsidRPr="007D0E37" w:rsidRDefault="00AA1EAB" w:rsidP="00111F36">
            <w:pPr>
              <w:pStyle w:val="TableText"/>
              <w:ind w:left="-103" w:right="-62"/>
            </w:pPr>
            <w:r w:rsidRPr="007D0E37">
              <w:t>0</w:t>
            </w:r>
          </w:p>
        </w:tc>
        <w:tc>
          <w:tcPr>
            <w:tcW w:w="388" w:type="pct"/>
            <w:shd w:val="clear" w:color="auto" w:fill="FFFFFF"/>
            <w:vAlign w:val="center"/>
          </w:tcPr>
          <w:p w:rsidR="00AA1EAB" w:rsidRPr="007D0E37" w:rsidRDefault="00AA1EAB" w:rsidP="00111F36">
            <w:pPr>
              <w:pStyle w:val="TableText"/>
              <w:ind w:left="-103" w:right="-62"/>
            </w:pPr>
            <w:r w:rsidRPr="007D0E37">
              <w:t>0</w:t>
            </w:r>
          </w:p>
        </w:tc>
        <w:tc>
          <w:tcPr>
            <w:tcW w:w="387" w:type="pct"/>
            <w:shd w:val="clear" w:color="auto" w:fill="FFFFFF"/>
            <w:vAlign w:val="center"/>
          </w:tcPr>
          <w:p w:rsidR="00AA1EAB" w:rsidRPr="007D0E37" w:rsidRDefault="00AA1EAB" w:rsidP="00111F36">
            <w:pPr>
              <w:pStyle w:val="TableText"/>
              <w:ind w:left="-103" w:right="-62"/>
            </w:pPr>
            <w:r w:rsidRPr="007D0E37">
              <w:t>0</w:t>
            </w:r>
          </w:p>
        </w:tc>
        <w:tc>
          <w:tcPr>
            <w:tcW w:w="387" w:type="pct"/>
            <w:shd w:val="clear" w:color="auto" w:fill="FFFFFF"/>
            <w:vAlign w:val="center"/>
          </w:tcPr>
          <w:p w:rsidR="00AA1EAB" w:rsidRPr="007D0E37" w:rsidRDefault="00AA1EAB" w:rsidP="00111F36">
            <w:pPr>
              <w:pStyle w:val="TableText"/>
              <w:ind w:left="-103" w:right="-62"/>
            </w:pPr>
            <w:r w:rsidRPr="007D0E37">
              <w:t>0</w:t>
            </w:r>
          </w:p>
        </w:tc>
        <w:tc>
          <w:tcPr>
            <w:tcW w:w="387" w:type="pct"/>
            <w:shd w:val="clear" w:color="auto" w:fill="FFFFFF"/>
            <w:vAlign w:val="center"/>
          </w:tcPr>
          <w:p w:rsidR="00AA1EAB" w:rsidRPr="007D0E37" w:rsidRDefault="00AA1EAB" w:rsidP="00111F36">
            <w:pPr>
              <w:pStyle w:val="TableText"/>
              <w:ind w:left="-103" w:right="-62"/>
            </w:pPr>
            <w:r w:rsidRPr="007D0E37">
              <w:t>NR</w:t>
            </w:r>
          </w:p>
        </w:tc>
        <w:tc>
          <w:tcPr>
            <w:tcW w:w="384" w:type="pct"/>
            <w:shd w:val="clear" w:color="auto" w:fill="FFFFFF"/>
            <w:vAlign w:val="center"/>
          </w:tcPr>
          <w:p w:rsidR="00AA1EAB" w:rsidRPr="007D0E37" w:rsidRDefault="00AA1EAB" w:rsidP="00111F36">
            <w:pPr>
              <w:pStyle w:val="TableText"/>
              <w:ind w:left="-103" w:right="-62"/>
            </w:pPr>
            <w:r w:rsidRPr="007D0E37">
              <w:t>NR</w:t>
            </w:r>
          </w:p>
        </w:tc>
      </w:tr>
    </w:tbl>
    <w:p w:rsidR="00AA1EAB" w:rsidRPr="007D0E37" w:rsidRDefault="00AA1EAB" w:rsidP="00AA1EAB">
      <w:pPr>
        <w:pStyle w:val="TableFooter"/>
      </w:pPr>
      <w:r w:rsidRPr="007D0E37">
        <w:t xml:space="preserve">Source: </w:t>
      </w:r>
      <w:r w:rsidR="00BE0779" w:rsidRPr="007D0E37">
        <w:t xml:space="preserve">Source: Table 2.6-5 p124 of the submission. </w:t>
      </w:r>
    </w:p>
    <w:p w:rsidR="00AA1EAB" w:rsidRPr="007D0E37" w:rsidRDefault="00AA1EAB" w:rsidP="00AA1EAB">
      <w:pPr>
        <w:pStyle w:val="TableFooter"/>
      </w:pPr>
      <w:r w:rsidRPr="007D0E37">
        <w:t>Abbreviations: AE = adverse event; ADA = adalimumab; GLM = golimumab; IFX = infliximab; NR = not reported; PBO = placebo; VDZ = vedolizumab</w:t>
      </w:r>
    </w:p>
    <w:p w:rsidR="00AA1EAB" w:rsidRPr="007D0E37" w:rsidRDefault="00AA1EAB" w:rsidP="00AA1EAB">
      <w:pPr>
        <w:pStyle w:val="TableFooter"/>
      </w:pPr>
      <w:r w:rsidRPr="007D0E37">
        <w:t>Note:</w:t>
      </w:r>
      <w:r w:rsidR="009977E8" w:rsidRPr="007D0E37">
        <w:t xml:space="preserve"> </w:t>
      </w:r>
      <w:r w:rsidRPr="007D0E37">
        <w:t>For Suzuki 2014, values were reported in events per 100 patient years, therefore they are not included in this table</w:t>
      </w:r>
    </w:p>
    <w:p w:rsidR="0065428E" w:rsidRPr="007D0E37" w:rsidRDefault="009977E8" w:rsidP="00D84335">
      <w:pPr>
        <w:pStyle w:val="TableFooter"/>
      </w:pPr>
      <w:r w:rsidRPr="007D0E37">
        <w:rPr>
          <w:rFonts w:cs="Arial Narrow"/>
        </w:rPr>
        <w:t>a</w:t>
      </w:r>
      <w:r w:rsidR="00AA1EAB" w:rsidRPr="007D0E37">
        <w:t xml:space="preserve"> Includes a patient who died durin</w:t>
      </w:r>
      <w:r w:rsidR="00D84335" w:rsidRPr="007D0E37">
        <w:t>g the long-term study extension</w:t>
      </w:r>
    </w:p>
    <w:p w:rsidR="008B118C" w:rsidRPr="007D0E37" w:rsidRDefault="008B118C" w:rsidP="0060197D">
      <w:pPr>
        <w:pStyle w:val="ListParagraph"/>
        <w:numPr>
          <w:ilvl w:val="1"/>
          <w:numId w:val="13"/>
        </w:numPr>
        <w:jc w:val="both"/>
        <w:rPr>
          <w:rStyle w:val="CommentReference"/>
          <w:sz w:val="24"/>
          <w:szCs w:val="24"/>
        </w:rPr>
      </w:pPr>
      <w:bookmarkStart w:id="26" w:name="_Toc413139281"/>
      <w:r w:rsidRPr="007D0E37">
        <w:rPr>
          <w:rStyle w:val="CommentReference"/>
          <w:sz w:val="24"/>
          <w:szCs w:val="24"/>
        </w:rPr>
        <w:t xml:space="preserve">The submission did not conduct an indirect comparison of safety for golimumab with any of the comparators (infliximab, adalimumab or vedolizumab). </w:t>
      </w:r>
    </w:p>
    <w:p w:rsidR="00207CCE" w:rsidRPr="007D0E37" w:rsidRDefault="008B118C" w:rsidP="0060197D">
      <w:pPr>
        <w:pStyle w:val="ListParagraph"/>
        <w:numPr>
          <w:ilvl w:val="1"/>
          <w:numId w:val="13"/>
        </w:numPr>
        <w:jc w:val="both"/>
      </w:pPr>
      <w:r w:rsidRPr="007D0E37">
        <w:rPr>
          <w:rStyle w:val="CommentReference"/>
          <w:sz w:val="24"/>
          <w:szCs w:val="24"/>
        </w:rPr>
        <w:t>Three publications (</w:t>
      </w:r>
      <w:r w:rsidR="008142DF" w:rsidRPr="007D0E37">
        <w:rPr>
          <w:rStyle w:val="CommentReference"/>
          <w:sz w:val="24"/>
          <w:szCs w:val="24"/>
        </w:rPr>
        <w:t xml:space="preserve">a </w:t>
      </w:r>
      <w:r w:rsidRPr="007D0E37">
        <w:rPr>
          <w:rStyle w:val="CommentReference"/>
          <w:sz w:val="24"/>
          <w:szCs w:val="24"/>
        </w:rPr>
        <w:t>systematic review, meta-</w:t>
      </w:r>
      <w:r w:rsidR="008142DF" w:rsidRPr="007D0E37">
        <w:rPr>
          <w:rStyle w:val="CommentReference"/>
          <w:sz w:val="24"/>
          <w:szCs w:val="24"/>
        </w:rPr>
        <w:t xml:space="preserve">analysis </w:t>
      </w:r>
      <w:r w:rsidRPr="007D0E37">
        <w:rPr>
          <w:rStyle w:val="CommentReference"/>
          <w:sz w:val="24"/>
          <w:szCs w:val="24"/>
        </w:rPr>
        <w:t>and indirect comparison) of the safety of golimumab, infliximab, adalimumab and vedolizumab noted that these drugs have generally similar AE profiles (Mocko et al. 2016</w:t>
      </w:r>
      <w:r w:rsidR="008142DF" w:rsidRPr="007D0E37">
        <w:rPr>
          <w:rStyle w:val="CommentReference"/>
          <w:sz w:val="24"/>
          <w:szCs w:val="24"/>
        </w:rPr>
        <w:t xml:space="preserve">, </w:t>
      </w:r>
      <w:r w:rsidRPr="007D0E37">
        <w:rPr>
          <w:rStyle w:val="CommentReference"/>
          <w:sz w:val="24"/>
          <w:szCs w:val="24"/>
        </w:rPr>
        <w:t xml:space="preserve">Danese et al. 2014 and Mei et al. 2015). </w:t>
      </w:r>
      <w:r w:rsidR="008142DF" w:rsidRPr="007D0E37">
        <w:rPr>
          <w:rStyle w:val="CommentReference"/>
          <w:sz w:val="24"/>
          <w:szCs w:val="24"/>
        </w:rPr>
        <w:t>A fourth publication (</w:t>
      </w:r>
      <w:r w:rsidRPr="007D0E37">
        <w:rPr>
          <w:rStyle w:val="CommentReference"/>
          <w:sz w:val="24"/>
          <w:szCs w:val="24"/>
        </w:rPr>
        <w:t>Kawalec and Pilc 2016</w:t>
      </w:r>
      <w:r w:rsidR="008142DF" w:rsidRPr="007D0E37">
        <w:rPr>
          <w:rStyle w:val="CommentReference"/>
          <w:sz w:val="24"/>
          <w:szCs w:val="24"/>
        </w:rPr>
        <w:t>)</w:t>
      </w:r>
      <w:r w:rsidRPr="007D0E37">
        <w:rPr>
          <w:rStyle w:val="CommentReference"/>
          <w:sz w:val="24"/>
          <w:szCs w:val="24"/>
        </w:rPr>
        <w:t xml:space="preserve"> reported a higher risk of SAEs with golimumab compared with infliximab (RR 0.41, 95% CI 0.19-0.87, p=0.0205).</w:t>
      </w:r>
      <w:r w:rsidR="00FE2431" w:rsidRPr="007D0E37">
        <w:rPr>
          <w:rStyle w:val="CommentReference"/>
          <w:sz w:val="24"/>
          <w:szCs w:val="24"/>
        </w:rPr>
        <w:t xml:space="preserve"> </w:t>
      </w:r>
    </w:p>
    <w:p w:rsidR="00C317F3" w:rsidRPr="007D0E37" w:rsidRDefault="008058E8" w:rsidP="002D2788">
      <w:pPr>
        <w:pStyle w:val="Heading2"/>
        <w:jc w:val="both"/>
        <w:rPr>
          <w:i w:val="0"/>
        </w:rPr>
      </w:pPr>
      <w:bookmarkStart w:id="27" w:name="_Toc493062657"/>
      <w:bookmarkEnd w:id="26"/>
      <w:r w:rsidRPr="007D0E37">
        <w:rPr>
          <w:i w:val="0"/>
        </w:rPr>
        <w:t>Interpretation of clinical evidence</w:t>
      </w:r>
      <w:bookmarkEnd w:id="27"/>
    </w:p>
    <w:p w:rsidR="00C317F3" w:rsidRPr="007D0E37" w:rsidRDefault="00222CD6" w:rsidP="0060197D">
      <w:pPr>
        <w:pStyle w:val="ListParagraph"/>
        <w:numPr>
          <w:ilvl w:val="1"/>
          <w:numId w:val="13"/>
        </w:numPr>
        <w:jc w:val="both"/>
        <w:rPr>
          <w:rStyle w:val="CommentReference"/>
          <w:sz w:val="24"/>
          <w:szCs w:val="24"/>
        </w:rPr>
      </w:pPr>
      <w:r w:rsidRPr="007D0E37">
        <w:rPr>
          <w:rStyle w:val="CommentReference"/>
          <w:sz w:val="24"/>
          <w:szCs w:val="24"/>
        </w:rPr>
        <w:t>The submission described golimumab as</w:t>
      </w:r>
      <w:r w:rsidR="00162B89" w:rsidRPr="007D0E37">
        <w:rPr>
          <w:rStyle w:val="CommentReference"/>
          <w:sz w:val="24"/>
          <w:szCs w:val="24"/>
        </w:rPr>
        <w:t>:</w:t>
      </w:r>
      <w:r w:rsidRPr="007D0E37">
        <w:rPr>
          <w:rStyle w:val="CommentReference"/>
          <w:sz w:val="24"/>
          <w:szCs w:val="24"/>
        </w:rPr>
        <w:t xml:space="preserve"> </w:t>
      </w:r>
    </w:p>
    <w:p w:rsidR="00162B89" w:rsidRPr="007D0E37" w:rsidRDefault="00162B89" w:rsidP="0060197D">
      <w:pPr>
        <w:pStyle w:val="ListParagraph"/>
        <w:numPr>
          <w:ilvl w:val="0"/>
          <w:numId w:val="7"/>
        </w:numPr>
        <w:ind w:left="1134"/>
        <w:jc w:val="both"/>
      </w:pPr>
      <w:r w:rsidRPr="007D0E37">
        <w:t>Use in induction therapy:</w:t>
      </w:r>
    </w:p>
    <w:p w:rsidR="00162B89" w:rsidRPr="007D0E37" w:rsidRDefault="00162B89" w:rsidP="0060197D">
      <w:pPr>
        <w:pStyle w:val="ListParagraph"/>
        <w:numPr>
          <w:ilvl w:val="1"/>
          <w:numId w:val="7"/>
        </w:numPr>
        <w:jc w:val="both"/>
      </w:pPr>
      <w:r w:rsidRPr="007D0E37">
        <w:t xml:space="preserve">less effective (efficacy) for induction therapy compared with infliximab; and </w:t>
      </w:r>
    </w:p>
    <w:p w:rsidR="00162B89" w:rsidRPr="007D0E37" w:rsidRDefault="00162B89" w:rsidP="0060197D">
      <w:pPr>
        <w:pStyle w:val="ListParagraph"/>
        <w:numPr>
          <w:ilvl w:val="1"/>
          <w:numId w:val="7"/>
        </w:numPr>
        <w:jc w:val="both"/>
      </w:pPr>
      <w:r w:rsidRPr="007D0E37">
        <w:t>non-inferior (efficacy) to adalimumab and vedolizumab.</w:t>
      </w:r>
    </w:p>
    <w:p w:rsidR="00162B89" w:rsidRPr="007D0E37" w:rsidRDefault="00162B89" w:rsidP="0060197D">
      <w:pPr>
        <w:pStyle w:val="ListParagraph"/>
        <w:numPr>
          <w:ilvl w:val="0"/>
          <w:numId w:val="7"/>
        </w:numPr>
        <w:ind w:left="1134"/>
        <w:jc w:val="both"/>
      </w:pPr>
      <w:r w:rsidRPr="007D0E37">
        <w:t>Use in maintenance therapy: non-inferior (efficacy) compared with infliximab, adalimumab and vedolizumab.</w:t>
      </w:r>
    </w:p>
    <w:p w:rsidR="00162B89" w:rsidRPr="007D0E37" w:rsidRDefault="00162B89" w:rsidP="0060197D">
      <w:pPr>
        <w:pStyle w:val="ListParagraph"/>
        <w:numPr>
          <w:ilvl w:val="0"/>
          <w:numId w:val="7"/>
        </w:numPr>
        <w:ind w:left="1134"/>
        <w:jc w:val="both"/>
      </w:pPr>
      <w:r w:rsidRPr="007D0E37">
        <w:t>Non-inferior in terms of safety for induction compared with infliximab, adalimumab and vedolizumab.</w:t>
      </w:r>
    </w:p>
    <w:p w:rsidR="008142DF" w:rsidRPr="007D0E37" w:rsidRDefault="00DD7EA6" w:rsidP="0060197D">
      <w:pPr>
        <w:pStyle w:val="ListParagraph"/>
        <w:numPr>
          <w:ilvl w:val="1"/>
          <w:numId w:val="13"/>
        </w:numPr>
        <w:jc w:val="both"/>
        <w:rPr>
          <w:rStyle w:val="CommentReference"/>
          <w:sz w:val="24"/>
          <w:szCs w:val="24"/>
        </w:rPr>
      </w:pPr>
      <w:r w:rsidRPr="007D0E37">
        <w:rPr>
          <w:rStyle w:val="CommentReference"/>
          <w:sz w:val="24"/>
          <w:szCs w:val="24"/>
        </w:rPr>
        <w:t xml:space="preserve">The </w:t>
      </w:r>
      <w:r w:rsidR="007F455B">
        <w:rPr>
          <w:rStyle w:val="CommentReference"/>
          <w:sz w:val="24"/>
          <w:szCs w:val="24"/>
        </w:rPr>
        <w:t xml:space="preserve">PBAC considered the </w:t>
      </w:r>
      <w:r w:rsidRPr="007D0E37">
        <w:rPr>
          <w:rStyle w:val="CommentReference"/>
          <w:sz w:val="24"/>
          <w:szCs w:val="24"/>
        </w:rPr>
        <w:t xml:space="preserve">efficacy and safety claims </w:t>
      </w:r>
      <w:r w:rsidR="007F455B">
        <w:rPr>
          <w:rStyle w:val="CommentReference"/>
          <w:sz w:val="24"/>
          <w:szCs w:val="24"/>
        </w:rPr>
        <w:t>to</w:t>
      </w:r>
      <w:r w:rsidRPr="007D0E37">
        <w:rPr>
          <w:rStyle w:val="CommentReference"/>
          <w:sz w:val="24"/>
          <w:szCs w:val="24"/>
        </w:rPr>
        <w:t xml:space="preserve"> be reasonable for the induction phase of treatment, when comparing golimumab with all three comparators.</w:t>
      </w:r>
      <w:r w:rsidR="009B653D" w:rsidRPr="007D0E37">
        <w:rPr>
          <w:rStyle w:val="CommentReference"/>
          <w:sz w:val="24"/>
          <w:szCs w:val="24"/>
        </w:rPr>
        <w:t xml:space="preserve"> </w:t>
      </w:r>
    </w:p>
    <w:p w:rsidR="009B653D" w:rsidRDefault="008142DF" w:rsidP="0060197D">
      <w:pPr>
        <w:pStyle w:val="ListParagraph"/>
        <w:numPr>
          <w:ilvl w:val="1"/>
          <w:numId w:val="13"/>
        </w:numPr>
        <w:jc w:val="both"/>
        <w:rPr>
          <w:rStyle w:val="CommentReference"/>
          <w:sz w:val="24"/>
          <w:szCs w:val="24"/>
        </w:rPr>
      </w:pPr>
      <w:r w:rsidRPr="007D0E37">
        <w:rPr>
          <w:rStyle w:val="CommentReference"/>
          <w:sz w:val="24"/>
          <w:szCs w:val="24"/>
        </w:rPr>
        <w:t>In the maintenance phase, differences between the study designs (largely due to PURSUIT-M enrolling golimumab responders only) mean that the non-inferior</w:t>
      </w:r>
      <w:r w:rsidR="00576846" w:rsidRPr="007D0E37">
        <w:rPr>
          <w:rStyle w:val="CommentReference"/>
          <w:sz w:val="24"/>
          <w:szCs w:val="24"/>
        </w:rPr>
        <w:t>i</w:t>
      </w:r>
      <w:r w:rsidRPr="007D0E37">
        <w:rPr>
          <w:rStyle w:val="CommentReference"/>
          <w:sz w:val="24"/>
          <w:szCs w:val="24"/>
        </w:rPr>
        <w:t xml:space="preserve">ty claim </w:t>
      </w:r>
      <w:r w:rsidR="002C5B51" w:rsidRPr="007D0E37">
        <w:rPr>
          <w:rStyle w:val="CommentReference"/>
          <w:sz w:val="24"/>
          <w:szCs w:val="24"/>
        </w:rPr>
        <w:t xml:space="preserve">is uncertain, but likely to be supported. </w:t>
      </w:r>
      <w:r w:rsidR="009B653D" w:rsidRPr="007D0E37">
        <w:rPr>
          <w:rStyle w:val="CommentReference"/>
          <w:sz w:val="24"/>
          <w:szCs w:val="24"/>
        </w:rPr>
        <w:t xml:space="preserve">However, </w:t>
      </w:r>
      <w:r w:rsidR="002C5B51" w:rsidRPr="007D0E37">
        <w:rPr>
          <w:rStyle w:val="CommentReference"/>
          <w:sz w:val="24"/>
          <w:szCs w:val="24"/>
        </w:rPr>
        <w:t>t</w:t>
      </w:r>
      <w:r w:rsidR="009B653D" w:rsidRPr="007D0E37">
        <w:rPr>
          <w:rStyle w:val="CommentReference"/>
          <w:sz w:val="24"/>
          <w:szCs w:val="24"/>
        </w:rPr>
        <w:t xml:space="preserve">he </w:t>
      </w:r>
      <w:r w:rsidR="006A4700" w:rsidRPr="007D0E37">
        <w:rPr>
          <w:rStyle w:val="CommentReference"/>
          <w:sz w:val="24"/>
          <w:szCs w:val="24"/>
        </w:rPr>
        <w:t xml:space="preserve">efficacy </w:t>
      </w:r>
      <w:r w:rsidR="009B653D" w:rsidRPr="007D0E37">
        <w:rPr>
          <w:rStyle w:val="CommentReference"/>
          <w:sz w:val="24"/>
          <w:szCs w:val="24"/>
        </w:rPr>
        <w:t xml:space="preserve">results for PURSUIT-SC and PURSUIT-J </w:t>
      </w:r>
      <w:r w:rsidR="006A4700" w:rsidRPr="007D0E37">
        <w:rPr>
          <w:rStyle w:val="CommentReference"/>
          <w:sz w:val="24"/>
          <w:szCs w:val="24"/>
        </w:rPr>
        <w:t xml:space="preserve">presented in the submission </w:t>
      </w:r>
      <w:r w:rsidR="009B653D" w:rsidRPr="007D0E37">
        <w:rPr>
          <w:rStyle w:val="CommentReference"/>
          <w:sz w:val="24"/>
          <w:szCs w:val="24"/>
        </w:rPr>
        <w:t>are for a maximum of 54 week</w:t>
      </w:r>
      <w:r w:rsidR="002C5B51" w:rsidRPr="007D0E37">
        <w:rPr>
          <w:rStyle w:val="CommentReference"/>
          <w:sz w:val="24"/>
          <w:szCs w:val="24"/>
        </w:rPr>
        <w:t>s</w:t>
      </w:r>
      <w:r w:rsidR="009B653D" w:rsidRPr="007D0E37">
        <w:rPr>
          <w:rStyle w:val="CommentReference"/>
          <w:sz w:val="24"/>
          <w:szCs w:val="24"/>
        </w:rPr>
        <w:t xml:space="preserve"> of treatment.</w:t>
      </w:r>
      <w:r w:rsidR="008D4BD9" w:rsidRPr="007D0E37">
        <w:rPr>
          <w:rStyle w:val="CommentReference"/>
          <w:sz w:val="24"/>
          <w:szCs w:val="24"/>
        </w:rPr>
        <w:t xml:space="preserve"> The submission did not present the longer term efficacy data for PURSUIT-M published by Gibson et al (2016)</w:t>
      </w:r>
      <w:r w:rsidR="00C92B08" w:rsidRPr="007D0E37">
        <w:rPr>
          <w:rStyle w:val="CommentReference"/>
          <w:sz w:val="24"/>
          <w:szCs w:val="24"/>
        </w:rPr>
        <w:t xml:space="preserve">. </w:t>
      </w:r>
    </w:p>
    <w:p w:rsidR="000E4944" w:rsidRPr="00872F6B" w:rsidRDefault="007F455B" w:rsidP="0060197D">
      <w:pPr>
        <w:pStyle w:val="ListParagraph"/>
        <w:numPr>
          <w:ilvl w:val="1"/>
          <w:numId w:val="13"/>
        </w:numPr>
        <w:spacing w:before="0" w:after="120"/>
        <w:jc w:val="both"/>
        <w:rPr>
          <w:rFonts w:cs="Arial"/>
          <w:snapToGrid w:val="0"/>
          <w:szCs w:val="20"/>
        </w:rPr>
      </w:pPr>
      <w:r>
        <w:rPr>
          <w:rFonts w:cs="Arial"/>
          <w:snapToGrid w:val="0"/>
          <w:szCs w:val="20"/>
        </w:rPr>
        <w:t>On balance, t</w:t>
      </w:r>
      <w:r w:rsidR="00872F6B" w:rsidRPr="00872F6B">
        <w:rPr>
          <w:rFonts w:cs="Arial"/>
          <w:snapToGrid w:val="0"/>
          <w:szCs w:val="20"/>
        </w:rPr>
        <w:t xml:space="preserve">he PBAC considered that the claim of non-inferior comparative effectiveness </w:t>
      </w:r>
      <w:r>
        <w:rPr>
          <w:rFonts w:cs="Arial"/>
          <w:snapToGrid w:val="0"/>
          <w:szCs w:val="20"/>
        </w:rPr>
        <w:t xml:space="preserve">in the maintenance phase </w:t>
      </w:r>
      <w:r w:rsidR="00872F6B" w:rsidRPr="00872F6B">
        <w:rPr>
          <w:rFonts w:cs="Arial"/>
          <w:snapToGrid w:val="0"/>
          <w:szCs w:val="20"/>
        </w:rPr>
        <w:t>was reasonable.</w:t>
      </w:r>
    </w:p>
    <w:p w:rsidR="000E4944" w:rsidRPr="00872F6B" w:rsidRDefault="00872F6B" w:rsidP="0060197D">
      <w:pPr>
        <w:pStyle w:val="ListParagraph"/>
        <w:numPr>
          <w:ilvl w:val="1"/>
          <w:numId w:val="13"/>
        </w:numPr>
        <w:spacing w:before="0" w:after="120"/>
        <w:jc w:val="both"/>
        <w:rPr>
          <w:rStyle w:val="CommentReference"/>
          <w:rFonts w:cs="Arial"/>
          <w:snapToGrid w:val="0"/>
          <w:sz w:val="24"/>
          <w:szCs w:val="20"/>
        </w:rPr>
      </w:pPr>
      <w:r w:rsidRPr="00872F6B">
        <w:rPr>
          <w:rFonts w:cs="Arial"/>
          <w:snapToGrid w:val="0"/>
          <w:szCs w:val="20"/>
        </w:rPr>
        <w:t>The PBAC considered that the claim of non-inferior comparative safety</w:t>
      </w:r>
      <w:r w:rsidR="007F455B">
        <w:rPr>
          <w:rFonts w:cs="Arial"/>
          <w:snapToGrid w:val="0"/>
          <w:szCs w:val="20"/>
        </w:rPr>
        <w:t xml:space="preserve"> </w:t>
      </w:r>
      <w:r w:rsidRPr="00872F6B">
        <w:rPr>
          <w:rFonts w:cs="Arial"/>
          <w:snapToGrid w:val="0"/>
          <w:szCs w:val="20"/>
        </w:rPr>
        <w:t>was reasonable.</w:t>
      </w:r>
    </w:p>
    <w:p w:rsidR="00C317F3" w:rsidRPr="007D0E37" w:rsidRDefault="00C317F3" w:rsidP="002D2788">
      <w:pPr>
        <w:pStyle w:val="Heading2"/>
        <w:jc w:val="both"/>
        <w:rPr>
          <w:i w:val="0"/>
        </w:rPr>
      </w:pPr>
      <w:bookmarkStart w:id="28" w:name="_Toc413139282"/>
      <w:bookmarkStart w:id="29" w:name="_Toc493062658"/>
      <w:r w:rsidRPr="007D0E37">
        <w:rPr>
          <w:i w:val="0"/>
        </w:rPr>
        <w:t>Economic analysis</w:t>
      </w:r>
      <w:bookmarkEnd w:id="28"/>
      <w:bookmarkEnd w:id="29"/>
    </w:p>
    <w:p w:rsidR="00205E4E" w:rsidRPr="000D0B63" w:rsidRDefault="00205E4E" w:rsidP="0060197D">
      <w:pPr>
        <w:pStyle w:val="ListParagraph"/>
        <w:numPr>
          <w:ilvl w:val="1"/>
          <w:numId w:val="13"/>
        </w:numPr>
        <w:jc w:val="both"/>
        <w:rPr>
          <w:rStyle w:val="CommentReference"/>
          <w:rFonts w:eastAsiaTheme="majorEastAsia" w:cstheme="majorBidi"/>
          <w:b/>
          <w:sz w:val="24"/>
          <w:szCs w:val="24"/>
        </w:rPr>
      </w:pPr>
      <w:r w:rsidRPr="000D0B63">
        <w:t xml:space="preserve">The submission nominated adalimumab as the comparator for pricing purposes on the basis that it was the lowest priced drug in this indication. The ESC </w:t>
      </w:r>
      <w:r w:rsidR="00E02B03">
        <w:t xml:space="preserve">and PBAC </w:t>
      </w:r>
      <w:r w:rsidRPr="000D0B63">
        <w:t>considered that the least expensive of adalimumab</w:t>
      </w:r>
      <w:r w:rsidR="001B053C">
        <w:t>,</w:t>
      </w:r>
      <w:r w:rsidRPr="000D0B63">
        <w:t xml:space="preserve"> infliximab </w:t>
      </w:r>
      <w:r w:rsidR="001B053C">
        <w:t xml:space="preserve">and </w:t>
      </w:r>
      <w:r w:rsidR="001B053C" w:rsidRPr="00BE5999">
        <w:t>vedolizumab</w:t>
      </w:r>
      <w:r w:rsidR="001B053C" w:rsidRPr="000D0B63">
        <w:t xml:space="preserve"> </w:t>
      </w:r>
      <w:r w:rsidRPr="000D0B63">
        <w:t>was the appropriate comparator</w:t>
      </w:r>
      <w:r w:rsidR="007F455B">
        <w:t xml:space="preserve"> for pricing purposes</w:t>
      </w:r>
      <w:r w:rsidRPr="000D0B63">
        <w:t>.</w:t>
      </w:r>
    </w:p>
    <w:p w:rsidR="008401A5" w:rsidRPr="007D0E37" w:rsidRDefault="00700BB6" w:rsidP="0060197D">
      <w:pPr>
        <w:pStyle w:val="ListParagraph"/>
        <w:numPr>
          <w:ilvl w:val="1"/>
          <w:numId w:val="13"/>
        </w:numPr>
        <w:jc w:val="both"/>
        <w:rPr>
          <w:rStyle w:val="CommentReference"/>
          <w:rFonts w:eastAsiaTheme="majorEastAsia" w:cstheme="majorBidi"/>
          <w:b/>
          <w:sz w:val="24"/>
          <w:szCs w:val="24"/>
        </w:rPr>
      </w:pPr>
      <w:r w:rsidRPr="007D0E37">
        <w:rPr>
          <w:rStyle w:val="CommentReference"/>
          <w:sz w:val="24"/>
          <w:szCs w:val="24"/>
        </w:rPr>
        <w:t xml:space="preserve">The equi-effective doses in the submission were golimumab 100 mg monthly and </w:t>
      </w:r>
      <w:r w:rsidR="00F53CE1" w:rsidRPr="007D0E37">
        <w:rPr>
          <w:rStyle w:val="CommentReference"/>
          <w:sz w:val="24"/>
          <w:szCs w:val="24"/>
        </w:rPr>
        <w:t xml:space="preserve">two doses of </w:t>
      </w:r>
      <w:r w:rsidRPr="007D0E37">
        <w:rPr>
          <w:rStyle w:val="CommentReference"/>
          <w:sz w:val="24"/>
          <w:szCs w:val="24"/>
        </w:rPr>
        <w:t xml:space="preserve">adalimumab 40 mg </w:t>
      </w:r>
      <w:r w:rsidR="00F53CE1" w:rsidRPr="007D0E37">
        <w:rPr>
          <w:rStyle w:val="CommentReference"/>
          <w:sz w:val="24"/>
          <w:szCs w:val="24"/>
        </w:rPr>
        <w:t xml:space="preserve">given </w:t>
      </w:r>
      <w:r w:rsidRPr="007D0E37">
        <w:rPr>
          <w:rStyle w:val="CommentReference"/>
          <w:sz w:val="24"/>
          <w:szCs w:val="24"/>
        </w:rPr>
        <w:t>every other week</w:t>
      </w:r>
      <w:r w:rsidR="00F53CE1" w:rsidRPr="007D0E37">
        <w:rPr>
          <w:rStyle w:val="CommentReference"/>
          <w:sz w:val="24"/>
          <w:szCs w:val="24"/>
        </w:rPr>
        <w:t xml:space="preserve"> (i.e. 28 </w:t>
      </w:r>
      <w:r w:rsidR="00576846" w:rsidRPr="007D0E37">
        <w:rPr>
          <w:rStyle w:val="CommentReference"/>
          <w:sz w:val="24"/>
          <w:szCs w:val="24"/>
        </w:rPr>
        <w:t>days’</w:t>
      </w:r>
      <w:r w:rsidR="00F53CE1" w:rsidRPr="007D0E37">
        <w:rPr>
          <w:rStyle w:val="CommentReference"/>
          <w:sz w:val="24"/>
          <w:szCs w:val="24"/>
        </w:rPr>
        <w:t xml:space="preserve"> supply)</w:t>
      </w:r>
      <w:r w:rsidRPr="007D0E37">
        <w:rPr>
          <w:rStyle w:val="CommentReference"/>
          <w:sz w:val="24"/>
          <w:szCs w:val="24"/>
        </w:rPr>
        <w:t>. This estimation was based on the indirect comparison of golimumab</w:t>
      </w:r>
      <w:r w:rsidR="00B2608F" w:rsidRPr="007D0E37">
        <w:rPr>
          <w:rStyle w:val="CommentReference"/>
          <w:sz w:val="24"/>
          <w:szCs w:val="24"/>
        </w:rPr>
        <w:t xml:space="preserve"> (PURSUIT-M)</w:t>
      </w:r>
      <w:r w:rsidRPr="007D0E37">
        <w:rPr>
          <w:rStyle w:val="CommentReference"/>
          <w:sz w:val="24"/>
          <w:szCs w:val="24"/>
        </w:rPr>
        <w:t xml:space="preserve"> and adalimumab</w:t>
      </w:r>
      <w:r w:rsidR="00B2608F" w:rsidRPr="007D0E37">
        <w:rPr>
          <w:rStyle w:val="CommentReference"/>
          <w:sz w:val="24"/>
          <w:szCs w:val="24"/>
        </w:rPr>
        <w:t xml:space="preserve"> (ULTRA 2)</w:t>
      </w:r>
      <w:r w:rsidRPr="007D0E37">
        <w:rPr>
          <w:rStyle w:val="CommentReference"/>
          <w:sz w:val="24"/>
          <w:szCs w:val="24"/>
        </w:rPr>
        <w:t xml:space="preserve"> in the maintenance phase of treatment.</w:t>
      </w:r>
      <w:r w:rsidR="005B0854" w:rsidRPr="007D0E37">
        <w:rPr>
          <w:rStyle w:val="CommentReference"/>
          <w:sz w:val="24"/>
          <w:szCs w:val="24"/>
        </w:rPr>
        <w:t xml:space="preserve"> The estimation of the equi-effective dose excluded treatment in the induction period</w:t>
      </w:r>
      <w:r w:rsidR="008401A5" w:rsidRPr="007D0E37">
        <w:rPr>
          <w:rStyle w:val="CommentReference"/>
          <w:sz w:val="24"/>
          <w:szCs w:val="24"/>
        </w:rPr>
        <w:t>, and assumed golimumab dosing was on a monthly rather than four weekly basis</w:t>
      </w:r>
      <w:r w:rsidR="005B0854" w:rsidRPr="007D0E37">
        <w:rPr>
          <w:rStyle w:val="CommentReference"/>
          <w:sz w:val="24"/>
          <w:szCs w:val="24"/>
        </w:rPr>
        <w:t xml:space="preserve">. </w:t>
      </w:r>
    </w:p>
    <w:p w:rsidR="005B0854" w:rsidRPr="007D0E37" w:rsidRDefault="009D390C" w:rsidP="0060197D">
      <w:pPr>
        <w:pStyle w:val="ListParagraph"/>
        <w:numPr>
          <w:ilvl w:val="1"/>
          <w:numId w:val="13"/>
        </w:numPr>
        <w:jc w:val="both"/>
        <w:rPr>
          <w:rStyle w:val="CommentReference"/>
          <w:sz w:val="24"/>
          <w:szCs w:val="24"/>
        </w:rPr>
      </w:pPr>
      <w:r w:rsidRPr="007D0E37">
        <w:rPr>
          <w:rStyle w:val="CommentReference"/>
          <w:sz w:val="24"/>
          <w:szCs w:val="24"/>
        </w:rPr>
        <w:t>Th</w:t>
      </w:r>
      <w:r w:rsidR="008401A5" w:rsidRPr="007D0E37">
        <w:rPr>
          <w:rStyle w:val="CommentReference"/>
          <w:sz w:val="24"/>
          <w:szCs w:val="24"/>
        </w:rPr>
        <w:t>e exclusion of induction dosing wa</w:t>
      </w:r>
      <w:r w:rsidRPr="007D0E37">
        <w:rPr>
          <w:rStyle w:val="CommentReference"/>
          <w:sz w:val="24"/>
          <w:szCs w:val="24"/>
        </w:rPr>
        <w:t>s in</w:t>
      </w:r>
      <w:r w:rsidR="005B0854" w:rsidRPr="007D0E37">
        <w:rPr>
          <w:rStyle w:val="CommentReference"/>
          <w:sz w:val="24"/>
          <w:szCs w:val="24"/>
        </w:rPr>
        <w:t xml:space="preserve">consistent with the method used to estimate </w:t>
      </w:r>
      <w:r w:rsidR="008401A5" w:rsidRPr="007D0E37">
        <w:rPr>
          <w:rStyle w:val="CommentReference"/>
          <w:sz w:val="24"/>
          <w:szCs w:val="24"/>
        </w:rPr>
        <w:t xml:space="preserve">the </w:t>
      </w:r>
      <w:r w:rsidR="005B0854" w:rsidRPr="007D0E37">
        <w:rPr>
          <w:rStyle w:val="CommentReference"/>
          <w:sz w:val="24"/>
          <w:szCs w:val="24"/>
        </w:rPr>
        <w:t>equi-effective doses</w:t>
      </w:r>
      <w:r w:rsidR="003C75DF" w:rsidRPr="007D0E37">
        <w:rPr>
          <w:rStyle w:val="CommentReference"/>
          <w:sz w:val="24"/>
          <w:szCs w:val="24"/>
        </w:rPr>
        <w:t xml:space="preserve"> for adalimumab and vedolizumab where</w:t>
      </w:r>
      <w:r w:rsidR="005B0854" w:rsidRPr="007D0E37">
        <w:rPr>
          <w:rStyle w:val="CommentReference"/>
          <w:sz w:val="24"/>
          <w:szCs w:val="24"/>
        </w:rPr>
        <w:t xml:space="preserve"> the equi-effective doses include</w:t>
      </w:r>
      <w:r w:rsidR="003C75DF" w:rsidRPr="007D0E37">
        <w:rPr>
          <w:rStyle w:val="CommentReference"/>
          <w:sz w:val="24"/>
          <w:szCs w:val="24"/>
        </w:rPr>
        <w:t>d</w:t>
      </w:r>
      <w:r w:rsidR="005B0854" w:rsidRPr="007D0E37">
        <w:rPr>
          <w:rStyle w:val="CommentReference"/>
          <w:sz w:val="24"/>
          <w:szCs w:val="24"/>
        </w:rPr>
        <w:t xml:space="preserve"> the induction and maintenance treatment phases: </w:t>
      </w:r>
    </w:p>
    <w:p w:rsidR="005B0854" w:rsidRPr="007D0E37" w:rsidRDefault="005B0854" w:rsidP="0060197D">
      <w:pPr>
        <w:pStyle w:val="ListParagraph"/>
        <w:numPr>
          <w:ilvl w:val="2"/>
          <w:numId w:val="5"/>
        </w:numPr>
        <w:spacing w:before="0" w:after="120"/>
        <w:ind w:left="993" w:hanging="284"/>
        <w:jc w:val="both"/>
      </w:pPr>
      <w:r w:rsidRPr="007D0E37">
        <w:t>“The equi-effective doses are based on the following: adalimumab 160 mg at week 0 and 80 mg week 2, then 40 mg fortnightly thereafter and infliximab 5 mg/kg (weeks 0, 2, and 6 then every 8 weeks thereafter).”</w:t>
      </w:r>
    </w:p>
    <w:p w:rsidR="006D614F" w:rsidRDefault="005B0854" w:rsidP="0060197D">
      <w:pPr>
        <w:pStyle w:val="ListParagraph"/>
        <w:numPr>
          <w:ilvl w:val="2"/>
          <w:numId w:val="5"/>
        </w:numPr>
        <w:spacing w:before="0" w:after="120"/>
        <w:ind w:left="993" w:hanging="284"/>
        <w:jc w:val="both"/>
      </w:pPr>
      <w:r w:rsidRPr="007D0E37">
        <w:t>“The equi-effective doses are: Vedolizumab – 300 mg administered at week 0, week 2, week 6 and then every 8 weeks thereafter; and Infliximab – 5 mg/kg administered at week 0, week 2, week 6 and then every 8 weeks thereafter.”</w:t>
      </w:r>
    </w:p>
    <w:p w:rsidR="00CC5950" w:rsidRPr="000D0B63" w:rsidRDefault="00596DBC" w:rsidP="00A133F2">
      <w:pPr>
        <w:pStyle w:val="ListParagraph"/>
        <w:ind w:left="709"/>
      </w:pPr>
      <w:r w:rsidRPr="000D0B63">
        <w:t>The ESC noted tha</w:t>
      </w:r>
      <w:r w:rsidR="00BD14AC" w:rsidRPr="000D0B63">
        <w:t>t</w:t>
      </w:r>
      <w:r w:rsidRPr="000D0B63">
        <w:t xml:space="preserve"> t</w:t>
      </w:r>
      <w:r w:rsidR="005E4CA9" w:rsidRPr="000D0B63">
        <w:t>he PSCR acknowledged (p3) that equi-effective dosing of golimumab should include the doses given for induction.</w:t>
      </w:r>
    </w:p>
    <w:p w:rsidR="008401A5" w:rsidRDefault="008401A5" w:rsidP="0060197D">
      <w:pPr>
        <w:pStyle w:val="ListParagraph"/>
        <w:numPr>
          <w:ilvl w:val="1"/>
          <w:numId w:val="13"/>
        </w:numPr>
        <w:jc w:val="both"/>
        <w:rPr>
          <w:rStyle w:val="CommentReference"/>
          <w:sz w:val="24"/>
          <w:szCs w:val="24"/>
        </w:rPr>
      </w:pPr>
      <w:r w:rsidRPr="007D0E37">
        <w:rPr>
          <w:rStyle w:val="CommentReference"/>
          <w:sz w:val="24"/>
          <w:szCs w:val="24"/>
        </w:rPr>
        <w:t xml:space="preserve">Assuming monthly rather than four weekly dosing for golimumab results in one less administration of drug per 12 month period. </w:t>
      </w:r>
    </w:p>
    <w:p w:rsidR="0043425F" w:rsidRPr="000D0B63" w:rsidRDefault="0043425F" w:rsidP="0060197D">
      <w:pPr>
        <w:pStyle w:val="ListParagraph"/>
        <w:numPr>
          <w:ilvl w:val="0"/>
          <w:numId w:val="16"/>
        </w:numPr>
        <w:rPr>
          <w:rStyle w:val="CommentReference"/>
          <w:sz w:val="24"/>
          <w:szCs w:val="24"/>
        </w:rPr>
      </w:pPr>
      <w:r w:rsidRPr="000D0B63">
        <w:rPr>
          <w:rStyle w:val="CommentReference"/>
          <w:sz w:val="24"/>
          <w:szCs w:val="24"/>
        </w:rPr>
        <w:t>T</w:t>
      </w:r>
      <w:r w:rsidR="00BD14AC" w:rsidRPr="000D0B63">
        <w:rPr>
          <w:rStyle w:val="CommentReference"/>
          <w:sz w:val="24"/>
          <w:szCs w:val="24"/>
        </w:rPr>
        <w:t>he ESC</w:t>
      </w:r>
      <w:r w:rsidR="00E02B03">
        <w:rPr>
          <w:rStyle w:val="CommentReference"/>
          <w:sz w:val="24"/>
          <w:szCs w:val="24"/>
        </w:rPr>
        <w:t xml:space="preserve"> </w:t>
      </w:r>
      <w:r w:rsidR="00BD14AC" w:rsidRPr="000D0B63">
        <w:rPr>
          <w:rStyle w:val="CommentReference"/>
          <w:sz w:val="24"/>
          <w:szCs w:val="24"/>
        </w:rPr>
        <w:t>noted that t</w:t>
      </w:r>
      <w:r w:rsidRPr="000D0B63">
        <w:rPr>
          <w:rStyle w:val="CommentReference"/>
          <w:sz w:val="24"/>
          <w:szCs w:val="24"/>
        </w:rPr>
        <w:t>he PSCR argued (p3) that the dosing of golimumab would likely be monthly and not every 28 days, thereby increasing adherence and effectiveness.</w:t>
      </w:r>
    </w:p>
    <w:p w:rsidR="0043425F" w:rsidRPr="000D0B63" w:rsidRDefault="00D20D47" w:rsidP="0060197D">
      <w:pPr>
        <w:pStyle w:val="ListParagraph"/>
        <w:numPr>
          <w:ilvl w:val="0"/>
          <w:numId w:val="16"/>
        </w:numPr>
        <w:rPr>
          <w:rStyle w:val="CommentReference"/>
          <w:sz w:val="24"/>
          <w:szCs w:val="24"/>
        </w:rPr>
      </w:pPr>
      <w:r w:rsidRPr="000D0B63">
        <w:rPr>
          <w:rStyle w:val="CommentReference"/>
          <w:sz w:val="24"/>
          <w:szCs w:val="24"/>
        </w:rPr>
        <w:t xml:space="preserve">The ESC noted that in this submission the dosing in the PI and associated trial was every 28 days and considered that treatment every 4 weeks was appropriate for the purposes of the economic analysis. </w:t>
      </w:r>
      <w:r w:rsidR="0043425F" w:rsidRPr="000D0B63">
        <w:rPr>
          <w:rStyle w:val="CommentReference"/>
          <w:sz w:val="24"/>
          <w:szCs w:val="24"/>
        </w:rPr>
        <w:t xml:space="preserve">The ESC </w:t>
      </w:r>
      <w:r w:rsidRPr="000D0B63">
        <w:rPr>
          <w:rStyle w:val="CommentReference"/>
          <w:sz w:val="24"/>
          <w:szCs w:val="24"/>
        </w:rPr>
        <w:t xml:space="preserve">further </w:t>
      </w:r>
      <w:r w:rsidR="0043425F" w:rsidRPr="000D0B63">
        <w:rPr>
          <w:rStyle w:val="CommentReference"/>
          <w:sz w:val="24"/>
          <w:szCs w:val="24"/>
        </w:rPr>
        <w:t xml:space="preserve">noted that the PBAC had </w:t>
      </w:r>
      <w:r w:rsidR="00BD14AC" w:rsidRPr="000D0B63">
        <w:rPr>
          <w:rStyle w:val="CommentReference"/>
          <w:sz w:val="24"/>
          <w:szCs w:val="24"/>
        </w:rPr>
        <w:t xml:space="preserve">previously </w:t>
      </w:r>
      <w:r w:rsidR="0043425F" w:rsidRPr="000D0B63">
        <w:rPr>
          <w:rStyle w:val="CommentReference"/>
          <w:sz w:val="24"/>
          <w:szCs w:val="24"/>
        </w:rPr>
        <w:t xml:space="preserve">considered that the pricing of golimumab for other indications should be based on administration once every four weeks, consistent with the trials presented in their respective submissions. </w:t>
      </w:r>
    </w:p>
    <w:p w:rsidR="001B053C" w:rsidRPr="001B053C" w:rsidRDefault="001B053C" w:rsidP="0060197D">
      <w:pPr>
        <w:pStyle w:val="ListParagraph"/>
        <w:numPr>
          <w:ilvl w:val="1"/>
          <w:numId w:val="13"/>
        </w:numPr>
        <w:jc w:val="both"/>
        <w:rPr>
          <w:szCs w:val="24"/>
        </w:rPr>
      </w:pPr>
      <w:r>
        <w:rPr>
          <w:szCs w:val="24"/>
        </w:rPr>
        <w:t xml:space="preserve">The PBAC </w:t>
      </w:r>
      <w:r w:rsidR="00EC4C49">
        <w:rPr>
          <w:szCs w:val="24"/>
        </w:rPr>
        <w:t>noted the pre-PBAC response that claimed that “</w:t>
      </w:r>
      <w:r w:rsidR="00EC4C49" w:rsidRPr="00EC4C49">
        <w:rPr>
          <w:szCs w:val="24"/>
          <w:lang w:val="en-GB"/>
        </w:rPr>
        <w:t>clinicians (and patients) are most likely to administer golimumab on a monthly basis</w:t>
      </w:r>
      <w:r w:rsidR="00EC4C49">
        <w:rPr>
          <w:szCs w:val="24"/>
          <w:lang w:val="en-GB"/>
        </w:rPr>
        <w:t>” however it</w:t>
      </w:r>
      <w:r w:rsidR="00EC4C49" w:rsidRPr="00EC4C49">
        <w:rPr>
          <w:szCs w:val="24"/>
        </w:rPr>
        <w:t xml:space="preserve"> </w:t>
      </w:r>
      <w:r>
        <w:rPr>
          <w:szCs w:val="24"/>
        </w:rPr>
        <w:t xml:space="preserve">considered that the economic analysis should be conducted on the basis of 4 weekly dosing </w:t>
      </w:r>
      <w:r w:rsidR="00EC4C49">
        <w:rPr>
          <w:szCs w:val="24"/>
        </w:rPr>
        <w:t>as used in the clinical trial and reported in the PI</w:t>
      </w:r>
      <w:r>
        <w:rPr>
          <w:szCs w:val="24"/>
        </w:rPr>
        <w:t>.</w:t>
      </w:r>
    </w:p>
    <w:p w:rsidR="00C317F3" w:rsidRPr="007D0E37" w:rsidRDefault="00A92D97" w:rsidP="0060197D">
      <w:pPr>
        <w:pStyle w:val="ListParagraph"/>
        <w:numPr>
          <w:ilvl w:val="1"/>
          <w:numId w:val="13"/>
        </w:numPr>
        <w:jc w:val="both"/>
        <w:rPr>
          <w:szCs w:val="24"/>
        </w:rPr>
      </w:pPr>
      <w:r w:rsidRPr="007D0E37">
        <w:t xml:space="preserve">The submission considered that there would be additional administration costs for a proportion of patients </w:t>
      </w:r>
      <w:r w:rsidR="009B1DFC" w:rsidRPr="007D0E37">
        <w:t xml:space="preserve">who </w:t>
      </w:r>
      <w:r w:rsidRPr="007D0E37">
        <w:t>are unable to self-inject treatment</w:t>
      </w:r>
      <w:r w:rsidR="000C5DED" w:rsidRPr="007D0E37">
        <w:t xml:space="preserve"> and factored the cost-offset </w:t>
      </w:r>
      <w:r w:rsidR="008401A5" w:rsidRPr="007D0E37">
        <w:t xml:space="preserve">(associated with less frequent dosing) </w:t>
      </w:r>
      <w:r w:rsidR="000C5DED" w:rsidRPr="007D0E37">
        <w:t>into the requested price of golimumab</w:t>
      </w:r>
      <w:r w:rsidRPr="007D0E37">
        <w:t>. The cost offset used for administration was consistent with previous submissions considered for golimumab in the indications for the treatment of ankylosing spondylitis, psoriatic arthritis and rheumatoid arthritis. The submission’s estimate of a reduction of $</w:t>
      </w:r>
      <w:r w:rsidR="00F86D7A">
        <w:rPr>
          <w:noProof/>
          <w:color w:val="000000"/>
          <w:highlight w:val="black"/>
        </w:rPr>
        <w:t>''''''''</w:t>
      </w:r>
      <w:r w:rsidRPr="007D0E37">
        <w:t xml:space="preserve"> per injection was based on the assumption that golimumab is administered monthly. A revised estimated cost </w:t>
      </w:r>
      <w:r w:rsidR="009B1DFC" w:rsidRPr="007D0E37">
        <w:t xml:space="preserve">offset </w:t>
      </w:r>
      <w:r w:rsidRPr="007D0E37">
        <w:t>of $</w:t>
      </w:r>
      <w:r w:rsidR="00F86D7A">
        <w:rPr>
          <w:noProof/>
          <w:color w:val="000000"/>
          <w:highlight w:val="black"/>
        </w:rPr>
        <w:t>'''''''''</w:t>
      </w:r>
      <w:r w:rsidRPr="007D0E37">
        <w:t xml:space="preserve"> per injection over one year was calculated during the evaluation based on golimumab dosing every four weeks. Including dosing given during the induction period and adjusting for dosing over two years</w:t>
      </w:r>
      <w:r w:rsidR="009B1DFC" w:rsidRPr="007D0E37">
        <w:t>,</w:t>
      </w:r>
      <w:r w:rsidRPr="007D0E37">
        <w:t xml:space="preserve"> the estimated cost </w:t>
      </w:r>
      <w:r w:rsidR="009B1DFC" w:rsidRPr="007D0E37">
        <w:t>offset</w:t>
      </w:r>
      <w:r w:rsidRPr="007D0E37">
        <w:t xml:space="preserve"> decreased to $</w:t>
      </w:r>
      <w:r w:rsidR="00F86D7A">
        <w:rPr>
          <w:noProof/>
          <w:color w:val="000000"/>
          <w:highlight w:val="black"/>
        </w:rPr>
        <w:t>''''''''</w:t>
      </w:r>
      <w:r w:rsidRPr="007D0E37">
        <w:t xml:space="preserve"> per injection.</w:t>
      </w:r>
      <w:r w:rsidR="00767CDD">
        <w:t xml:space="preserve"> </w:t>
      </w:r>
    </w:p>
    <w:p w:rsidR="00C317F3" w:rsidRPr="007D0E37" w:rsidRDefault="00A54567" w:rsidP="0060197D">
      <w:pPr>
        <w:pStyle w:val="ListParagraph"/>
        <w:numPr>
          <w:ilvl w:val="1"/>
          <w:numId w:val="13"/>
        </w:numPr>
        <w:tabs>
          <w:tab w:val="left" w:pos="3969"/>
        </w:tabs>
        <w:jc w:val="both"/>
        <w:rPr>
          <w:rStyle w:val="CommentReference"/>
          <w:sz w:val="24"/>
          <w:szCs w:val="24"/>
        </w:rPr>
      </w:pPr>
      <w:r w:rsidRPr="007D0E37">
        <w:rPr>
          <w:rStyle w:val="CommentReference"/>
          <w:sz w:val="24"/>
          <w:szCs w:val="24"/>
        </w:rPr>
        <w:t xml:space="preserve">During the evaluation the DPMQ </w:t>
      </w:r>
      <w:r w:rsidR="00826C93" w:rsidRPr="007D0E37">
        <w:rPr>
          <w:rStyle w:val="CommentReference"/>
          <w:sz w:val="24"/>
          <w:szCs w:val="24"/>
        </w:rPr>
        <w:t xml:space="preserve">based on the published prices </w:t>
      </w:r>
      <w:r w:rsidRPr="007D0E37">
        <w:rPr>
          <w:rStyle w:val="CommentReference"/>
          <w:sz w:val="24"/>
          <w:szCs w:val="24"/>
        </w:rPr>
        <w:t xml:space="preserve">was re-calculated using the equi-effective doses </w:t>
      </w:r>
      <w:r w:rsidR="000551C3" w:rsidRPr="007D0E37">
        <w:rPr>
          <w:rStyle w:val="CommentReference"/>
          <w:sz w:val="24"/>
          <w:szCs w:val="24"/>
        </w:rPr>
        <w:t xml:space="preserve">(induction and maintenance) </w:t>
      </w:r>
      <w:r w:rsidRPr="007D0E37">
        <w:rPr>
          <w:rStyle w:val="CommentReference"/>
          <w:sz w:val="24"/>
          <w:szCs w:val="24"/>
        </w:rPr>
        <w:t xml:space="preserve">based on the dosing schedule used in the trials. The revised price cost-minimised to adalimumab over a two year treatment period </w:t>
      </w:r>
      <w:r w:rsidR="000551C3" w:rsidRPr="007D0E37">
        <w:rPr>
          <w:rStyle w:val="CommentReference"/>
          <w:sz w:val="24"/>
          <w:szCs w:val="24"/>
        </w:rPr>
        <w:t>was</w:t>
      </w:r>
      <w:r w:rsidRPr="007D0E37">
        <w:rPr>
          <w:rStyle w:val="CommentReference"/>
          <w:sz w:val="24"/>
          <w:szCs w:val="24"/>
        </w:rPr>
        <w:t xml:space="preserve"> $</w:t>
      </w:r>
      <w:r w:rsidR="00F86D7A">
        <w:rPr>
          <w:rStyle w:val="CommentReference"/>
          <w:noProof/>
          <w:color w:val="000000"/>
          <w:sz w:val="24"/>
          <w:szCs w:val="24"/>
          <w:highlight w:val="black"/>
        </w:rPr>
        <w:t>''''''''''''''''</w:t>
      </w:r>
      <w:r w:rsidRPr="007D0E37">
        <w:rPr>
          <w:rStyle w:val="CommentReference"/>
          <w:sz w:val="24"/>
          <w:szCs w:val="24"/>
        </w:rPr>
        <w:t xml:space="preserve">. When factoring the price premium requested </w:t>
      </w:r>
      <w:r w:rsidR="00EE703F" w:rsidRPr="007D0E37">
        <w:rPr>
          <w:rStyle w:val="CommentReference"/>
          <w:sz w:val="24"/>
          <w:szCs w:val="24"/>
        </w:rPr>
        <w:t xml:space="preserve">to include </w:t>
      </w:r>
      <w:r w:rsidRPr="007D0E37">
        <w:rPr>
          <w:rStyle w:val="CommentReference"/>
          <w:sz w:val="24"/>
          <w:szCs w:val="24"/>
        </w:rPr>
        <w:t>the cost-offset proposed</w:t>
      </w:r>
      <w:r w:rsidR="00EE703F" w:rsidRPr="007D0E37">
        <w:rPr>
          <w:rStyle w:val="CommentReference"/>
          <w:sz w:val="24"/>
          <w:szCs w:val="24"/>
        </w:rPr>
        <w:t>,</w:t>
      </w:r>
      <w:r w:rsidRPr="007D0E37">
        <w:rPr>
          <w:rStyle w:val="CommentReference"/>
          <w:sz w:val="24"/>
          <w:szCs w:val="24"/>
        </w:rPr>
        <w:t xml:space="preserve"> the revised price </w:t>
      </w:r>
      <w:r w:rsidR="000551C3" w:rsidRPr="007D0E37">
        <w:rPr>
          <w:rStyle w:val="CommentReference"/>
          <w:sz w:val="24"/>
          <w:szCs w:val="24"/>
        </w:rPr>
        <w:t>wa</w:t>
      </w:r>
      <w:r w:rsidRPr="007D0E37">
        <w:rPr>
          <w:rStyle w:val="CommentReference"/>
          <w:sz w:val="24"/>
          <w:szCs w:val="24"/>
        </w:rPr>
        <w:t>s $</w:t>
      </w:r>
      <w:r w:rsidR="00F86D7A">
        <w:rPr>
          <w:rStyle w:val="CommentReference"/>
          <w:noProof/>
          <w:color w:val="000000"/>
          <w:sz w:val="24"/>
          <w:szCs w:val="24"/>
          <w:highlight w:val="black"/>
        </w:rPr>
        <w:t>'''''''''''''''</w:t>
      </w:r>
      <w:r w:rsidRPr="007D0E37">
        <w:rPr>
          <w:rStyle w:val="CommentReference"/>
          <w:sz w:val="24"/>
          <w:szCs w:val="24"/>
        </w:rPr>
        <w:t xml:space="preserve">. </w:t>
      </w:r>
    </w:p>
    <w:p w:rsidR="00C317F3" w:rsidRPr="007D0E37" w:rsidRDefault="00F05CA0" w:rsidP="00772501">
      <w:pPr>
        <w:pStyle w:val="Heading2"/>
        <w:rPr>
          <w:i w:val="0"/>
        </w:rPr>
      </w:pPr>
      <w:bookmarkStart w:id="30" w:name="_Toc413139283"/>
      <w:bookmarkStart w:id="31" w:name="_Toc493062659"/>
      <w:r w:rsidRPr="007D0E37">
        <w:rPr>
          <w:i w:val="0"/>
        </w:rPr>
        <w:t>Drug cost/patient/</w:t>
      </w:r>
      <w:r w:rsidR="00C317F3" w:rsidRPr="007D0E37">
        <w:rPr>
          <w:i w:val="0"/>
        </w:rPr>
        <w:t>year</w:t>
      </w:r>
      <w:bookmarkEnd w:id="30"/>
      <w:r w:rsidRPr="007D0E37">
        <w:rPr>
          <w:i w:val="0"/>
        </w:rPr>
        <w:t xml:space="preserve">: </w:t>
      </w:r>
      <w:r w:rsidR="00D87CE1" w:rsidRPr="007D0E37">
        <w:rPr>
          <w:i w:val="0"/>
        </w:rPr>
        <w:t>$</w:t>
      </w:r>
      <w:bookmarkEnd w:id="31"/>
      <w:r w:rsidR="00F86D7A">
        <w:rPr>
          <w:i w:val="0"/>
          <w:noProof/>
          <w:color w:val="000000"/>
          <w:highlight w:val="black"/>
        </w:rPr>
        <w:t>''''''''''''''</w:t>
      </w:r>
    </w:p>
    <w:p w:rsidR="00D87CE1" w:rsidRPr="007D0E37" w:rsidRDefault="000F2B94" w:rsidP="0060197D">
      <w:pPr>
        <w:pStyle w:val="ListParagraph"/>
        <w:numPr>
          <w:ilvl w:val="1"/>
          <w:numId w:val="13"/>
        </w:numPr>
        <w:jc w:val="both"/>
        <w:rPr>
          <w:rStyle w:val="CommentReference"/>
          <w:sz w:val="24"/>
          <w:szCs w:val="24"/>
        </w:rPr>
      </w:pPr>
      <w:r w:rsidRPr="007D0E37">
        <w:rPr>
          <w:rStyle w:val="CommentReference"/>
          <w:sz w:val="24"/>
          <w:szCs w:val="24"/>
        </w:rPr>
        <w:t>Using the published price requested in the submission, t</w:t>
      </w:r>
      <w:r w:rsidR="00D87CE1" w:rsidRPr="007D0E37">
        <w:rPr>
          <w:rStyle w:val="CommentReference"/>
          <w:sz w:val="24"/>
          <w:szCs w:val="24"/>
        </w:rPr>
        <w:t xml:space="preserve">he cost per pack of golimumab (28 days treatment) </w:t>
      </w:r>
      <w:r w:rsidR="000551C3" w:rsidRPr="007D0E37">
        <w:rPr>
          <w:rStyle w:val="CommentReference"/>
          <w:sz w:val="24"/>
          <w:szCs w:val="24"/>
        </w:rPr>
        <w:t>was</w:t>
      </w:r>
      <w:r w:rsidR="00D87CE1" w:rsidRPr="007D0E37">
        <w:rPr>
          <w:rStyle w:val="CommentReference"/>
          <w:sz w:val="24"/>
          <w:szCs w:val="24"/>
        </w:rPr>
        <w:t xml:space="preserve"> $</w:t>
      </w:r>
      <w:r w:rsidR="00F86D7A">
        <w:rPr>
          <w:rStyle w:val="CommentReference"/>
          <w:noProof/>
          <w:color w:val="000000"/>
          <w:sz w:val="24"/>
          <w:szCs w:val="24"/>
          <w:highlight w:val="black"/>
        </w:rPr>
        <w:t>'''''''''''''''''</w:t>
      </w:r>
      <w:r w:rsidR="00D87CE1" w:rsidRPr="007D0E37">
        <w:rPr>
          <w:rStyle w:val="CommentReference"/>
          <w:sz w:val="24"/>
          <w:szCs w:val="24"/>
        </w:rPr>
        <w:t>. Assuming 1</w:t>
      </w:r>
      <w:r w:rsidR="00C10D15" w:rsidRPr="007D0E37">
        <w:rPr>
          <w:rStyle w:val="CommentReference"/>
          <w:sz w:val="24"/>
          <w:szCs w:val="24"/>
        </w:rPr>
        <w:t>3</w:t>
      </w:r>
      <w:r w:rsidR="00D87CE1" w:rsidRPr="007D0E37">
        <w:rPr>
          <w:rStyle w:val="CommentReference"/>
          <w:sz w:val="24"/>
          <w:szCs w:val="24"/>
        </w:rPr>
        <w:t xml:space="preserve"> packs per patient per year are dispensed </w:t>
      </w:r>
      <w:r w:rsidR="005C2EA9" w:rsidRPr="007D0E37">
        <w:rPr>
          <w:rStyle w:val="CommentReference"/>
          <w:sz w:val="24"/>
          <w:szCs w:val="24"/>
        </w:rPr>
        <w:t xml:space="preserve">in the maintenance </w:t>
      </w:r>
      <w:r w:rsidR="00C316AE" w:rsidRPr="007D0E37">
        <w:rPr>
          <w:rStyle w:val="CommentReference"/>
          <w:sz w:val="24"/>
          <w:szCs w:val="24"/>
        </w:rPr>
        <w:t>treatment</w:t>
      </w:r>
      <w:r w:rsidR="005C2EA9" w:rsidRPr="007D0E37">
        <w:rPr>
          <w:rStyle w:val="CommentReference"/>
          <w:sz w:val="24"/>
          <w:szCs w:val="24"/>
        </w:rPr>
        <w:t xml:space="preserve"> phase </w:t>
      </w:r>
      <w:r w:rsidR="00D87CE1" w:rsidRPr="007D0E37">
        <w:rPr>
          <w:rStyle w:val="CommentReference"/>
          <w:sz w:val="24"/>
          <w:szCs w:val="24"/>
        </w:rPr>
        <w:t>the cost would be $</w:t>
      </w:r>
      <w:r w:rsidR="00F86D7A">
        <w:rPr>
          <w:rStyle w:val="CommentReference"/>
          <w:noProof/>
          <w:color w:val="000000"/>
          <w:sz w:val="24"/>
          <w:szCs w:val="24"/>
          <w:highlight w:val="black"/>
        </w:rPr>
        <w:t>'''''''''''''</w:t>
      </w:r>
      <w:r w:rsidR="00D87CE1" w:rsidRPr="007D0E37">
        <w:rPr>
          <w:rStyle w:val="CommentReference"/>
          <w:sz w:val="24"/>
          <w:szCs w:val="24"/>
        </w:rPr>
        <w:t xml:space="preserve"> per patient. Treatment is ongoing for the lifetime of the patient.</w:t>
      </w:r>
      <w:r w:rsidR="00576846" w:rsidRPr="007D0E37">
        <w:rPr>
          <w:rStyle w:val="CommentReference"/>
          <w:sz w:val="24"/>
          <w:szCs w:val="24"/>
        </w:rPr>
        <w:t xml:space="preserve"> Using the re-estimated cost-minimising price of $</w:t>
      </w:r>
      <w:r w:rsidR="00F86D7A">
        <w:rPr>
          <w:rStyle w:val="CommentReference"/>
          <w:noProof/>
          <w:color w:val="000000"/>
          <w:sz w:val="24"/>
          <w:szCs w:val="24"/>
          <w:highlight w:val="black"/>
        </w:rPr>
        <w:t>'''''''''''''''</w:t>
      </w:r>
      <w:r w:rsidR="00576846" w:rsidRPr="007D0E37">
        <w:rPr>
          <w:rStyle w:val="CommentReference"/>
          <w:sz w:val="24"/>
          <w:szCs w:val="24"/>
        </w:rPr>
        <w:t xml:space="preserve">, the resulting cost per year of </w:t>
      </w:r>
      <w:r w:rsidR="009B1DFC" w:rsidRPr="007D0E37">
        <w:rPr>
          <w:rStyle w:val="CommentReference"/>
          <w:sz w:val="24"/>
          <w:szCs w:val="24"/>
        </w:rPr>
        <w:t xml:space="preserve">maintenance </w:t>
      </w:r>
      <w:r w:rsidR="00576846" w:rsidRPr="007D0E37">
        <w:rPr>
          <w:rStyle w:val="CommentReference"/>
          <w:sz w:val="24"/>
          <w:szCs w:val="24"/>
        </w:rPr>
        <w:t>treatment was $</w:t>
      </w:r>
      <w:r w:rsidR="00F86D7A">
        <w:rPr>
          <w:rStyle w:val="CommentReference"/>
          <w:noProof/>
          <w:color w:val="000000"/>
          <w:sz w:val="24"/>
          <w:szCs w:val="24"/>
          <w:highlight w:val="black"/>
        </w:rPr>
        <w:t>''''''''''''</w:t>
      </w:r>
      <w:r w:rsidR="00576846" w:rsidRPr="007D0E37">
        <w:rPr>
          <w:rStyle w:val="CommentReference"/>
          <w:sz w:val="24"/>
          <w:szCs w:val="24"/>
        </w:rPr>
        <w:t xml:space="preserve"> per patient.</w:t>
      </w:r>
    </w:p>
    <w:p w:rsidR="00C317F3" w:rsidRPr="007D0E37" w:rsidRDefault="00C317F3" w:rsidP="002D2788">
      <w:pPr>
        <w:pStyle w:val="Heading2"/>
        <w:jc w:val="both"/>
        <w:rPr>
          <w:i w:val="0"/>
        </w:rPr>
      </w:pPr>
      <w:bookmarkStart w:id="32" w:name="_Toc413139284"/>
      <w:bookmarkStart w:id="33" w:name="_Toc493062660"/>
      <w:r w:rsidRPr="007D0E37">
        <w:rPr>
          <w:i w:val="0"/>
        </w:rPr>
        <w:t>Estimated PBS usage &amp; financial implications</w:t>
      </w:r>
      <w:bookmarkEnd w:id="32"/>
      <w:bookmarkEnd w:id="33"/>
    </w:p>
    <w:p w:rsidR="00DA1C0A" w:rsidRPr="007D0E37" w:rsidRDefault="00C317F3" w:rsidP="0060197D">
      <w:pPr>
        <w:pStyle w:val="ListParagraph"/>
        <w:numPr>
          <w:ilvl w:val="1"/>
          <w:numId w:val="13"/>
        </w:numPr>
        <w:jc w:val="both"/>
        <w:rPr>
          <w:rStyle w:val="CommentReference"/>
          <w:rFonts w:eastAsiaTheme="majorEastAsia" w:cstheme="majorBidi"/>
          <w:b/>
          <w:sz w:val="24"/>
          <w:szCs w:val="24"/>
        </w:rPr>
      </w:pPr>
      <w:r w:rsidRPr="007D0E37">
        <w:rPr>
          <w:rStyle w:val="CommentReference"/>
          <w:sz w:val="24"/>
          <w:szCs w:val="24"/>
        </w:rPr>
        <w:t xml:space="preserve">This submission </w:t>
      </w:r>
      <w:r w:rsidR="00454493" w:rsidRPr="007D0E37">
        <w:rPr>
          <w:rStyle w:val="CommentReference"/>
          <w:sz w:val="24"/>
          <w:szCs w:val="24"/>
        </w:rPr>
        <w:t>w</w:t>
      </w:r>
      <w:r w:rsidR="007D0E37">
        <w:rPr>
          <w:rStyle w:val="CommentReference"/>
          <w:sz w:val="24"/>
          <w:szCs w:val="24"/>
        </w:rPr>
        <w:t>as</w:t>
      </w:r>
      <w:r w:rsidR="00454493" w:rsidRPr="007D0E37">
        <w:rPr>
          <w:rStyle w:val="CommentReference"/>
          <w:sz w:val="24"/>
          <w:szCs w:val="24"/>
        </w:rPr>
        <w:t xml:space="preserve"> </w:t>
      </w:r>
      <w:r w:rsidR="00133E04" w:rsidRPr="007D0E37">
        <w:rPr>
          <w:rStyle w:val="CommentReference"/>
          <w:sz w:val="24"/>
          <w:szCs w:val="24"/>
        </w:rPr>
        <w:t>not</w:t>
      </w:r>
      <w:r w:rsidRPr="007D0E37">
        <w:rPr>
          <w:rStyle w:val="CommentReference"/>
          <w:sz w:val="24"/>
          <w:szCs w:val="24"/>
        </w:rPr>
        <w:t xml:space="preserve"> considered by DUSC. </w:t>
      </w:r>
    </w:p>
    <w:p w:rsidR="00C550BB" w:rsidRPr="00E36D03" w:rsidRDefault="00DA1C0A" w:rsidP="00E36D03">
      <w:pPr>
        <w:pStyle w:val="ListParagraph"/>
        <w:numPr>
          <w:ilvl w:val="1"/>
          <w:numId w:val="13"/>
        </w:numPr>
        <w:jc w:val="both"/>
        <w:rPr>
          <w:szCs w:val="24"/>
        </w:rPr>
      </w:pPr>
      <w:r w:rsidRPr="00E36D03">
        <w:rPr>
          <w:rStyle w:val="CommentReference"/>
          <w:sz w:val="24"/>
          <w:szCs w:val="24"/>
        </w:rPr>
        <w:t xml:space="preserve">The submission adopted a market share approach in estimating the potential utilisation of golimumab on the PBS. </w:t>
      </w:r>
      <w:r w:rsidR="00395B42" w:rsidRPr="00E36D03">
        <w:rPr>
          <w:rStyle w:val="CommentReference"/>
          <w:sz w:val="24"/>
          <w:szCs w:val="24"/>
        </w:rPr>
        <w:t xml:space="preserve">A summary of the estimated use and financial implications for listing golimumab for the treatment of MSUC </w:t>
      </w:r>
      <w:r w:rsidR="00E70590" w:rsidRPr="00E36D03">
        <w:rPr>
          <w:rStyle w:val="CommentReference"/>
          <w:sz w:val="24"/>
          <w:szCs w:val="24"/>
        </w:rPr>
        <w:t xml:space="preserve">to the PBS </w:t>
      </w:r>
      <w:r w:rsidR="00395B42" w:rsidRPr="00E36D03">
        <w:rPr>
          <w:rStyle w:val="CommentReference"/>
          <w:sz w:val="24"/>
          <w:szCs w:val="24"/>
        </w:rPr>
        <w:t xml:space="preserve">is presented in Table </w:t>
      </w:r>
      <w:r w:rsidR="00D43ED8" w:rsidRPr="00E36D03">
        <w:rPr>
          <w:rStyle w:val="CommentReference"/>
          <w:sz w:val="24"/>
          <w:szCs w:val="24"/>
        </w:rPr>
        <w:t>1</w:t>
      </w:r>
      <w:r w:rsidR="00D23DF8" w:rsidRPr="00E36D03">
        <w:rPr>
          <w:rStyle w:val="CommentReference"/>
          <w:sz w:val="24"/>
          <w:szCs w:val="24"/>
        </w:rPr>
        <w:t>2</w:t>
      </w:r>
      <w:r w:rsidR="00D43ED8" w:rsidRPr="00E36D03">
        <w:rPr>
          <w:rStyle w:val="CommentReference"/>
          <w:sz w:val="24"/>
          <w:szCs w:val="24"/>
        </w:rPr>
        <w:t xml:space="preserve">. </w:t>
      </w:r>
      <w:r w:rsidR="00D20A74" w:rsidRPr="00E36D03">
        <w:rPr>
          <w:rStyle w:val="CommentReference"/>
          <w:sz w:val="24"/>
          <w:szCs w:val="24"/>
        </w:rPr>
        <w:t xml:space="preserve">The submission assumed that golimumab </w:t>
      </w:r>
      <w:r w:rsidR="000551C3" w:rsidRPr="00E36D03">
        <w:rPr>
          <w:rStyle w:val="CommentReference"/>
          <w:sz w:val="24"/>
          <w:szCs w:val="24"/>
        </w:rPr>
        <w:t>wa</w:t>
      </w:r>
      <w:r w:rsidR="00D20A74" w:rsidRPr="00E36D03">
        <w:rPr>
          <w:rStyle w:val="CommentReference"/>
          <w:sz w:val="24"/>
          <w:szCs w:val="24"/>
        </w:rPr>
        <w:t>s administered monthly (rather than every four weeks).</w:t>
      </w:r>
      <w:r w:rsidR="00BE7643" w:rsidRPr="00E36D03">
        <w:rPr>
          <w:rStyle w:val="CommentReference"/>
          <w:sz w:val="24"/>
          <w:szCs w:val="24"/>
        </w:rPr>
        <w:t xml:space="preserve"> </w:t>
      </w:r>
      <w:r w:rsidR="00874F8D" w:rsidRPr="00E36D03">
        <w:rPr>
          <w:rStyle w:val="CommentReference"/>
          <w:sz w:val="24"/>
          <w:szCs w:val="24"/>
        </w:rPr>
        <w:t>Based on the requested published price, o</w:t>
      </w:r>
      <w:r w:rsidR="00D20A74" w:rsidRPr="00E36D03">
        <w:rPr>
          <w:rStyle w:val="CommentReference"/>
          <w:sz w:val="24"/>
          <w:szCs w:val="24"/>
        </w:rPr>
        <w:t xml:space="preserve">nce dosing for golimumab </w:t>
      </w:r>
      <w:r w:rsidR="000551C3" w:rsidRPr="00E36D03">
        <w:rPr>
          <w:rStyle w:val="CommentReference"/>
          <w:sz w:val="24"/>
          <w:szCs w:val="24"/>
        </w:rPr>
        <w:t>wa</w:t>
      </w:r>
      <w:r w:rsidR="00D20A74" w:rsidRPr="00E36D03">
        <w:rPr>
          <w:rStyle w:val="CommentReference"/>
          <w:sz w:val="24"/>
          <w:szCs w:val="24"/>
        </w:rPr>
        <w:t xml:space="preserve">s adjusted to every four weeks, listing of golimumab </w:t>
      </w:r>
      <w:r w:rsidR="000551C3" w:rsidRPr="00E36D03">
        <w:rPr>
          <w:rStyle w:val="CommentReference"/>
          <w:sz w:val="24"/>
          <w:szCs w:val="24"/>
        </w:rPr>
        <w:t>wa</w:t>
      </w:r>
      <w:r w:rsidR="00D20A74" w:rsidRPr="00E36D03">
        <w:rPr>
          <w:rStyle w:val="CommentReference"/>
          <w:sz w:val="24"/>
          <w:szCs w:val="24"/>
        </w:rPr>
        <w:t xml:space="preserve">s no longer cost saving to the PBS. The cost of listing golimumab </w:t>
      </w:r>
      <w:r w:rsidR="00EE703F" w:rsidRPr="00E36D03">
        <w:rPr>
          <w:rStyle w:val="CommentReference"/>
          <w:sz w:val="24"/>
          <w:szCs w:val="24"/>
        </w:rPr>
        <w:t>on</w:t>
      </w:r>
      <w:r w:rsidR="00D20A74" w:rsidRPr="00E36D03">
        <w:rPr>
          <w:rStyle w:val="CommentReference"/>
          <w:sz w:val="24"/>
          <w:szCs w:val="24"/>
        </w:rPr>
        <w:t xml:space="preserve"> the PBS increased to </w:t>
      </w:r>
      <w:r w:rsidR="00C135AB" w:rsidRPr="00E36D03">
        <w:rPr>
          <w:rFonts w:cs="Times New Roman"/>
          <w:szCs w:val="24"/>
        </w:rPr>
        <w:t>less than $10 million per year</w:t>
      </w:r>
      <w:r w:rsidR="00D20A74" w:rsidRPr="00E36D03">
        <w:rPr>
          <w:rStyle w:val="CommentReference"/>
          <w:sz w:val="24"/>
          <w:szCs w:val="24"/>
        </w:rPr>
        <w:t xml:space="preserve"> in year 1, up to </w:t>
      </w:r>
      <w:r w:rsidR="00C135AB" w:rsidRPr="00E36D03">
        <w:rPr>
          <w:rFonts w:cs="Times New Roman"/>
          <w:szCs w:val="24"/>
        </w:rPr>
        <w:t>less than $10 million per year</w:t>
      </w:r>
      <w:r w:rsidR="00C135AB" w:rsidRPr="00E36D03" w:rsidDel="00C135AB">
        <w:rPr>
          <w:rStyle w:val="CommentReference"/>
          <w:sz w:val="24"/>
          <w:szCs w:val="24"/>
        </w:rPr>
        <w:t xml:space="preserve"> </w:t>
      </w:r>
      <w:r w:rsidR="00D20A74" w:rsidRPr="00E36D03">
        <w:rPr>
          <w:rStyle w:val="CommentReference"/>
          <w:sz w:val="24"/>
          <w:szCs w:val="24"/>
        </w:rPr>
        <w:t xml:space="preserve">in year 6. </w:t>
      </w:r>
      <w:r w:rsidR="00A94EA7" w:rsidRPr="00E36D03">
        <w:rPr>
          <w:rStyle w:val="CommentReference"/>
          <w:sz w:val="24"/>
          <w:szCs w:val="24"/>
        </w:rPr>
        <w:t xml:space="preserve">A summary of the estimated use and financial implications for listing golimumab </w:t>
      </w:r>
      <w:r w:rsidR="000551C3" w:rsidRPr="00E36D03">
        <w:rPr>
          <w:rStyle w:val="CommentReference"/>
          <w:sz w:val="24"/>
          <w:szCs w:val="24"/>
        </w:rPr>
        <w:t xml:space="preserve">on </w:t>
      </w:r>
      <w:r w:rsidR="00A94EA7" w:rsidRPr="00E36D03">
        <w:rPr>
          <w:rStyle w:val="CommentReference"/>
          <w:sz w:val="24"/>
          <w:szCs w:val="24"/>
        </w:rPr>
        <w:t>the PBS</w:t>
      </w:r>
      <w:r w:rsidR="000551C3" w:rsidRPr="00E36D03">
        <w:rPr>
          <w:rStyle w:val="CommentReference"/>
          <w:sz w:val="24"/>
          <w:szCs w:val="24"/>
        </w:rPr>
        <w:t>,</w:t>
      </w:r>
      <w:r w:rsidR="00A94EA7" w:rsidRPr="00E36D03">
        <w:rPr>
          <w:rStyle w:val="CommentReference"/>
          <w:sz w:val="24"/>
          <w:szCs w:val="24"/>
        </w:rPr>
        <w:t xml:space="preserve"> assuming 13 units of golimumab are dispensed per patient per year</w:t>
      </w:r>
      <w:r w:rsidR="000551C3" w:rsidRPr="00E36D03">
        <w:rPr>
          <w:rStyle w:val="CommentReference"/>
          <w:sz w:val="24"/>
          <w:szCs w:val="24"/>
        </w:rPr>
        <w:t>,</w:t>
      </w:r>
      <w:r w:rsidR="00A94EA7" w:rsidRPr="00E36D03">
        <w:rPr>
          <w:rStyle w:val="CommentReference"/>
          <w:sz w:val="24"/>
          <w:szCs w:val="24"/>
        </w:rPr>
        <w:t xml:space="preserve"> is presented in Table 1</w:t>
      </w:r>
      <w:r w:rsidR="00D23DF8" w:rsidRPr="00E36D03">
        <w:rPr>
          <w:rStyle w:val="CommentReference"/>
          <w:sz w:val="24"/>
          <w:szCs w:val="24"/>
        </w:rPr>
        <w:t>3</w:t>
      </w:r>
      <w:r w:rsidR="00A94EA7" w:rsidRPr="00E36D03">
        <w:rPr>
          <w:rStyle w:val="CommentReference"/>
          <w:sz w:val="24"/>
          <w:szCs w:val="24"/>
        </w:rPr>
        <w:t xml:space="preserve">. </w:t>
      </w:r>
    </w:p>
    <w:p w:rsidR="00C317F3" w:rsidRPr="007D0E37" w:rsidRDefault="00395B42" w:rsidP="00772501">
      <w:pPr>
        <w:pStyle w:val="TableHeading0"/>
      </w:pPr>
      <w:r w:rsidRPr="007D0E37">
        <w:t>Table 1</w:t>
      </w:r>
      <w:r w:rsidR="00D23DF8">
        <w:t>2</w:t>
      </w:r>
      <w:r w:rsidR="00C317F3" w:rsidRPr="007D0E37">
        <w:t>: Estimated use and financial implications</w:t>
      </w:r>
      <w:r w:rsidR="00E3338E" w:rsidRPr="007D0E37">
        <w:t xml:space="preserve"> (submission)</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14"/>
        <w:gridCol w:w="1165"/>
        <w:gridCol w:w="1165"/>
        <w:gridCol w:w="1165"/>
        <w:gridCol w:w="1165"/>
        <w:gridCol w:w="1165"/>
        <w:gridCol w:w="1165"/>
      </w:tblGrid>
      <w:tr w:rsidR="00E37424" w:rsidRPr="007D0E37" w:rsidTr="00E37424">
        <w:trPr>
          <w:tblHeader/>
        </w:trPr>
        <w:tc>
          <w:tcPr>
            <w:tcW w:w="1118" w:type="pct"/>
            <w:shd w:val="clear" w:color="auto" w:fill="auto"/>
            <w:vAlign w:val="center"/>
          </w:tcPr>
          <w:p w:rsidR="00E37424" w:rsidRPr="007D0E37" w:rsidRDefault="00E37424" w:rsidP="00772501">
            <w:pPr>
              <w:pStyle w:val="TableText"/>
            </w:pPr>
          </w:p>
        </w:tc>
        <w:tc>
          <w:tcPr>
            <w:tcW w:w="647" w:type="pct"/>
            <w:shd w:val="clear" w:color="auto" w:fill="auto"/>
            <w:vAlign w:val="center"/>
          </w:tcPr>
          <w:p w:rsidR="00E37424" w:rsidRPr="007D0E37" w:rsidRDefault="00E37424" w:rsidP="00772501">
            <w:pPr>
              <w:pStyle w:val="TableText"/>
              <w:jc w:val="center"/>
              <w:rPr>
                <w:b/>
              </w:rPr>
            </w:pPr>
            <w:r w:rsidRPr="007D0E37">
              <w:rPr>
                <w:b/>
              </w:rPr>
              <w:t>Year 1</w:t>
            </w:r>
          </w:p>
        </w:tc>
        <w:tc>
          <w:tcPr>
            <w:tcW w:w="647" w:type="pct"/>
            <w:shd w:val="clear" w:color="auto" w:fill="auto"/>
            <w:vAlign w:val="center"/>
          </w:tcPr>
          <w:p w:rsidR="00E37424" w:rsidRPr="007D0E37" w:rsidRDefault="00E37424" w:rsidP="00772501">
            <w:pPr>
              <w:pStyle w:val="TableText"/>
              <w:jc w:val="center"/>
              <w:rPr>
                <w:b/>
              </w:rPr>
            </w:pPr>
            <w:r w:rsidRPr="007D0E37">
              <w:rPr>
                <w:b/>
              </w:rPr>
              <w:t>Year 2</w:t>
            </w:r>
          </w:p>
        </w:tc>
        <w:tc>
          <w:tcPr>
            <w:tcW w:w="647" w:type="pct"/>
            <w:shd w:val="clear" w:color="auto" w:fill="auto"/>
            <w:vAlign w:val="center"/>
          </w:tcPr>
          <w:p w:rsidR="00E37424" w:rsidRPr="007D0E37" w:rsidRDefault="00E37424" w:rsidP="00772501">
            <w:pPr>
              <w:pStyle w:val="TableText"/>
              <w:jc w:val="center"/>
              <w:rPr>
                <w:b/>
              </w:rPr>
            </w:pPr>
            <w:r w:rsidRPr="007D0E37">
              <w:rPr>
                <w:b/>
              </w:rPr>
              <w:t>Year 3</w:t>
            </w:r>
          </w:p>
        </w:tc>
        <w:tc>
          <w:tcPr>
            <w:tcW w:w="647" w:type="pct"/>
            <w:shd w:val="clear" w:color="auto" w:fill="auto"/>
            <w:vAlign w:val="center"/>
          </w:tcPr>
          <w:p w:rsidR="00E37424" w:rsidRPr="007D0E37" w:rsidRDefault="00E37424" w:rsidP="00772501">
            <w:pPr>
              <w:pStyle w:val="TableText"/>
              <w:jc w:val="center"/>
              <w:rPr>
                <w:b/>
              </w:rPr>
            </w:pPr>
            <w:r w:rsidRPr="007D0E37">
              <w:rPr>
                <w:b/>
              </w:rPr>
              <w:t>Year 4</w:t>
            </w:r>
          </w:p>
        </w:tc>
        <w:tc>
          <w:tcPr>
            <w:tcW w:w="647" w:type="pct"/>
            <w:shd w:val="clear" w:color="auto" w:fill="auto"/>
            <w:vAlign w:val="center"/>
          </w:tcPr>
          <w:p w:rsidR="00E37424" w:rsidRPr="007D0E37" w:rsidRDefault="00E37424" w:rsidP="00772501">
            <w:pPr>
              <w:pStyle w:val="TableText"/>
              <w:jc w:val="center"/>
              <w:rPr>
                <w:b/>
              </w:rPr>
            </w:pPr>
            <w:r w:rsidRPr="007D0E37">
              <w:rPr>
                <w:b/>
              </w:rPr>
              <w:t>Year 5</w:t>
            </w:r>
          </w:p>
        </w:tc>
        <w:tc>
          <w:tcPr>
            <w:tcW w:w="647" w:type="pct"/>
          </w:tcPr>
          <w:p w:rsidR="00E37424" w:rsidRPr="007D0E37" w:rsidRDefault="00E37424" w:rsidP="00772501">
            <w:pPr>
              <w:pStyle w:val="TableText"/>
              <w:jc w:val="center"/>
              <w:rPr>
                <w:b/>
              </w:rPr>
            </w:pPr>
            <w:r w:rsidRPr="007D0E37">
              <w:rPr>
                <w:b/>
              </w:rPr>
              <w:t>Year 6</w:t>
            </w:r>
          </w:p>
        </w:tc>
      </w:tr>
      <w:tr w:rsidR="00E37424" w:rsidRPr="007D0E37" w:rsidTr="00E37424">
        <w:tc>
          <w:tcPr>
            <w:tcW w:w="5000" w:type="pct"/>
            <w:gridSpan w:val="7"/>
            <w:shd w:val="clear" w:color="auto" w:fill="auto"/>
            <w:vAlign w:val="center"/>
          </w:tcPr>
          <w:p w:rsidR="00E37424" w:rsidRPr="007D0E37" w:rsidRDefault="00CF308F" w:rsidP="00772501">
            <w:pPr>
              <w:pStyle w:val="TableText"/>
              <w:rPr>
                <w:b/>
                <w:bCs/>
                <w:color w:val="000000"/>
              </w:rPr>
            </w:pPr>
            <w:r w:rsidRPr="007D0E37">
              <w:rPr>
                <w:b/>
                <w:bCs/>
                <w:color w:val="000000"/>
              </w:rPr>
              <w:t>Total market bDMARDs (infliximab, adalimumab and vedolizumab) for MSUC</w:t>
            </w:r>
          </w:p>
        </w:tc>
      </w:tr>
      <w:tr w:rsidR="00CF308F" w:rsidRPr="007D0E37" w:rsidTr="00AC1799">
        <w:tc>
          <w:tcPr>
            <w:tcW w:w="1118" w:type="pct"/>
            <w:tcBorders>
              <w:bottom w:val="single" w:sz="4" w:space="0" w:color="auto"/>
            </w:tcBorders>
            <w:shd w:val="clear" w:color="auto" w:fill="auto"/>
            <w:vAlign w:val="center"/>
          </w:tcPr>
          <w:p w:rsidR="00CF308F" w:rsidRPr="007D0E37" w:rsidRDefault="00CF308F" w:rsidP="00CF308F">
            <w:pPr>
              <w:pStyle w:val="TableText"/>
              <w:rPr>
                <w:rFonts w:ascii="Times" w:eastAsia="Times New Roman" w:hAnsi="Times" w:cs="Times New Roman"/>
              </w:rPr>
            </w:pPr>
            <w:r w:rsidRPr="007D0E37">
              <w:t>Net cost to PBS</w:t>
            </w:r>
          </w:p>
        </w:tc>
        <w:tc>
          <w:tcPr>
            <w:tcW w:w="647" w:type="pct"/>
            <w:tcBorders>
              <w:bottom w:val="single" w:sz="4" w:space="0" w:color="auto"/>
            </w:tcBorders>
            <w:shd w:val="clear" w:color="auto" w:fill="auto"/>
            <w:vAlign w:val="bottom"/>
          </w:tcPr>
          <w:p w:rsidR="00CF308F" w:rsidRPr="007D0E37" w:rsidRDefault="00CF308F" w:rsidP="007A45C3">
            <w:pPr>
              <w:pStyle w:val="TableText"/>
              <w:jc w:val="right"/>
              <w:rPr>
                <w:bCs/>
                <w:color w:val="000000"/>
              </w:rPr>
            </w:pPr>
            <w:r w:rsidRPr="007D0E37">
              <w:t>$</w:t>
            </w:r>
            <w:r w:rsidR="00F86D7A">
              <w:rPr>
                <w:noProof/>
                <w:color w:val="000000"/>
                <w:highlight w:val="black"/>
              </w:rPr>
              <w:t>'''''''''''''''''''''''</w:t>
            </w:r>
          </w:p>
        </w:tc>
        <w:tc>
          <w:tcPr>
            <w:tcW w:w="647" w:type="pct"/>
            <w:tcBorders>
              <w:bottom w:val="single" w:sz="4" w:space="0" w:color="auto"/>
            </w:tcBorders>
            <w:shd w:val="clear" w:color="auto" w:fill="auto"/>
            <w:vAlign w:val="bottom"/>
          </w:tcPr>
          <w:p w:rsidR="00CF308F" w:rsidRPr="007D0E37" w:rsidRDefault="00CF308F" w:rsidP="007A45C3">
            <w:pPr>
              <w:pStyle w:val="TableText"/>
              <w:jc w:val="right"/>
              <w:rPr>
                <w:bCs/>
                <w:color w:val="000000"/>
              </w:rPr>
            </w:pPr>
            <w:r w:rsidRPr="007D0E37">
              <w:t>$</w:t>
            </w:r>
            <w:r w:rsidR="00F86D7A">
              <w:rPr>
                <w:noProof/>
                <w:color w:val="000000"/>
                <w:highlight w:val="black"/>
              </w:rPr>
              <w:t>'''''''''''''''''''''''''''</w:t>
            </w:r>
          </w:p>
        </w:tc>
        <w:tc>
          <w:tcPr>
            <w:tcW w:w="647" w:type="pct"/>
            <w:tcBorders>
              <w:bottom w:val="single" w:sz="4" w:space="0" w:color="auto"/>
            </w:tcBorders>
            <w:shd w:val="clear" w:color="auto" w:fill="auto"/>
            <w:vAlign w:val="bottom"/>
          </w:tcPr>
          <w:p w:rsidR="00CF308F" w:rsidRPr="007D0E37" w:rsidRDefault="00CF308F" w:rsidP="007A45C3">
            <w:pPr>
              <w:pStyle w:val="TableText"/>
              <w:jc w:val="right"/>
              <w:rPr>
                <w:bCs/>
                <w:color w:val="000000"/>
              </w:rPr>
            </w:pPr>
            <w:r w:rsidRPr="007D0E37">
              <w:t>$</w:t>
            </w:r>
            <w:r w:rsidR="00F86D7A">
              <w:rPr>
                <w:noProof/>
                <w:color w:val="000000"/>
                <w:highlight w:val="black"/>
              </w:rPr>
              <w:t>'''''''''''''''''''''''''</w:t>
            </w:r>
          </w:p>
        </w:tc>
        <w:tc>
          <w:tcPr>
            <w:tcW w:w="647" w:type="pct"/>
            <w:tcBorders>
              <w:bottom w:val="single" w:sz="4" w:space="0" w:color="auto"/>
            </w:tcBorders>
            <w:shd w:val="clear" w:color="auto" w:fill="auto"/>
            <w:vAlign w:val="bottom"/>
          </w:tcPr>
          <w:p w:rsidR="00CF308F" w:rsidRPr="007D0E37" w:rsidRDefault="00CF308F" w:rsidP="007A45C3">
            <w:pPr>
              <w:pStyle w:val="TableText"/>
              <w:jc w:val="right"/>
              <w:rPr>
                <w:bCs/>
                <w:color w:val="000000"/>
              </w:rPr>
            </w:pPr>
            <w:r w:rsidRPr="007D0E37">
              <w:t>$</w:t>
            </w:r>
            <w:r w:rsidR="00F86D7A">
              <w:rPr>
                <w:noProof/>
                <w:color w:val="000000"/>
                <w:highlight w:val="black"/>
              </w:rPr>
              <w:t>''''''''''''''''''''''''''</w:t>
            </w:r>
          </w:p>
        </w:tc>
        <w:tc>
          <w:tcPr>
            <w:tcW w:w="647" w:type="pct"/>
            <w:tcBorders>
              <w:bottom w:val="single" w:sz="4" w:space="0" w:color="auto"/>
            </w:tcBorders>
            <w:shd w:val="clear" w:color="auto" w:fill="auto"/>
            <w:vAlign w:val="bottom"/>
          </w:tcPr>
          <w:p w:rsidR="00CF308F" w:rsidRPr="007D0E37" w:rsidRDefault="00CF308F" w:rsidP="007A45C3">
            <w:pPr>
              <w:pStyle w:val="TableText"/>
              <w:jc w:val="right"/>
              <w:rPr>
                <w:bCs/>
                <w:color w:val="000000"/>
              </w:rPr>
            </w:pPr>
            <w:r w:rsidRPr="007D0E37">
              <w:t>$</w:t>
            </w:r>
            <w:r w:rsidR="00F86D7A">
              <w:rPr>
                <w:noProof/>
                <w:color w:val="000000"/>
                <w:highlight w:val="black"/>
              </w:rPr>
              <w:t>''''''''''''''''''''''''</w:t>
            </w:r>
          </w:p>
        </w:tc>
        <w:tc>
          <w:tcPr>
            <w:tcW w:w="647" w:type="pct"/>
            <w:tcBorders>
              <w:bottom w:val="single" w:sz="4" w:space="0" w:color="auto"/>
            </w:tcBorders>
            <w:vAlign w:val="bottom"/>
          </w:tcPr>
          <w:p w:rsidR="00CF308F" w:rsidRPr="007D0E37" w:rsidRDefault="00CF308F" w:rsidP="007A45C3">
            <w:pPr>
              <w:pStyle w:val="TableText"/>
              <w:jc w:val="right"/>
              <w:rPr>
                <w:bCs/>
                <w:color w:val="000000"/>
              </w:rPr>
            </w:pPr>
            <w:r w:rsidRPr="007D0E37">
              <w:t>$</w:t>
            </w:r>
            <w:r w:rsidR="00F86D7A">
              <w:rPr>
                <w:noProof/>
                <w:color w:val="000000"/>
                <w:highlight w:val="black"/>
              </w:rPr>
              <w:t>'''''''''''''''''''''''''''''</w:t>
            </w:r>
          </w:p>
        </w:tc>
      </w:tr>
      <w:tr w:rsidR="00B824DB" w:rsidRPr="007D0E37" w:rsidTr="00B824DB">
        <w:tc>
          <w:tcPr>
            <w:tcW w:w="5000" w:type="pct"/>
            <w:gridSpan w:val="7"/>
            <w:shd w:val="clear" w:color="auto" w:fill="auto"/>
            <w:vAlign w:val="center"/>
          </w:tcPr>
          <w:p w:rsidR="00B824DB" w:rsidRPr="007D0E37" w:rsidRDefault="00B824DB" w:rsidP="007943FA">
            <w:pPr>
              <w:pStyle w:val="TableText"/>
              <w:rPr>
                <w:b/>
              </w:rPr>
            </w:pPr>
            <w:r w:rsidRPr="007D0E37">
              <w:rPr>
                <w:b/>
                <w:bCs/>
              </w:rPr>
              <w:t>Estimated extent of use</w:t>
            </w:r>
            <w:r w:rsidRPr="007D0E37">
              <w:rPr>
                <w:b/>
              </w:rPr>
              <w:t xml:space="preserve"> of golimumab</w:t>
            </w:r>
          </w:p>
        </w:tc>
      </w:tr>
      <w:tr w:rsidR="00CF308F" w:rsidRPr="007D0E37" w:rsidTr="00AC1799">
        <w:tc>
          <w:tcPr>
            <w:tcW w:w="1118" w:type="pct"/>
            <w:shd w:val="clear" w:color="auto" w:fill="auto"/>
            <w:vAlign w:val="center"/>
          </w:tcPr>
          <w:p w:rsidR="00CF308F" w:rsidRPr="007D0E37" w:rsidRDefault="00CF308F" w:rsidP="00CF308F">
            <w:pPr>
              <w:pStyle w:val="TableText"/>
            </w:pPr>
            <w:r w:rsidRPr="007D0E37">
              <w:t>Number of scripts dispensed</w:t>
            </w:r>
            <w:r w:rsidRPr="007D0E37">
              <w:rPr>
                <w:vertAlign w:val="superscript"/>
              </w:rPr>
              <w:t>a</w:t>
            </w:r>
          </w:p>
        </w:tc>
        <w:tc>
          <w:tcPr>
            <w:tcW w:w="647" w:type="pct"/>
            <w:shd w:val="clear" w:color="auto" w:fill="auto"/>
            <w:vAlign w:val="center"/>
          </w:tcPr>
          <w:p w:rsidR="00CF308F" w:rsidRPr="00F86D7A" w:rsidRDefault="00F86D7A" w:rsidP="007A45C3">
            <w:pPr>
              <w:pStyle w:val="TableText"/>
              <w:jc w:val="center"/>
              <w:rPr>
                <w:highlight w:val="black"/>
              </w:rPr>
            </w:pPr>
            <w:r>
              <w:rPr>
                <w:noProof/>
                <w:color w:val="000000"/>
                <w:highlight w:val="black"/>
              </w:rPr>
              <w:t>'''''''''''''</w:t>
            </w:r>
          </w:p>
        </w:tc>
        <w:tc>
          <w:tcPr>
            <w:tcW w:w="647" w:type="pct"/>
            <w:shd w:val="clear" w:color="auto" w:fill="auto"/>
            <w:vAlign w:val="center"/>
          </w:tcPr>
          <w:p w:rsidR="00CF308F" w:rsidRPr="00F86D7A" w:rsidRDefault="00F86D7A" w:rsidP="007A45C3">
            <w:pPr>
              <w:pStyle w:val="TableText"/>
              <w:jc w:val="center"/>
              <w:rPr>
                <w:highlight w:val="black"/>
              </w:rPr>
            </w:pPr>
            <w:r>
              <w:rPr>
                <w:noProof/>
                <w:color w:val="000000"/>
                <w:highlight w:val="black"/>
              </w:rPr>
              <w:t>''''''''''''''</w:t>
            </w:r>
          </w:p>
        </w:tc>
        <w:tc>
          <w:tcPr>
            <w:tcW w:w="647" w:type="pct"/>
            <w:shd w:val="clear" w:color="auto" w:fill="auto"/>
            <w:vAlign w:val="center"/>
          </w:tcPr>
          <w:p w:rsidR="00CF308F" w:rsidRPr="00F86D7A" w:rsidRDefault="00F86D7A" w:rsidP="007A45C3">
            <w:pPr>
              <w:pStyle w:val="TableText"/>
              <w:jc w:val="center"/>
              <w:rPr>
                <w:highlight w:val="black"/>
              </w:rPr>
            </w:pPr>
            <w:r>
              <w:rPr>
                <w:noProof/>
                <w:color w:val="000000"/>
                <w:highlight w:val="black"/>
              </w:rPr>
              <w:t>'''''''''''''</w:t>
            </w:r>
          </w:p>
        </w:tc>
        <w:tc>
          <w:tcPr>
            <w:tcW w:w="647" w:type="pct"/>
            <w:shd w:val="clear" w:color="auto" w:fill="auto"/>
            <w:vAlign w:val="center"/>
          </w:tcPr>
          <w:p w:rsidR="00CF308F" w:rsidRPr="00F86D7A" w:rsidRDefault="00F86D7A" w:rsidP="007A45C3">
            <w:pPr>
              <w:pStyle w:val="TableText"/>
              <w:jc w:val="center"/>
              <w:rPr>
                <w:highlight w:val="black"/>
              </w:rPr>
            </w:pPr>
            <w:r>
              <w:rPr>
                <w:noProof/>
                <w:color w:val="000000"/>
                <w:highlight w:val="black"/>
              </w:rPr>
              <w:t>''''''''''''</w:t>
            </w:r>
          </w:p>
        </w:tc>
        <w:tc>
          <w:tcPr>
            <w:tcW w:w="647" w:type="pct"/>
            <w:shd w:val="clear" w:color="auto" w:fill="auto"/>
            <w:vAlign w:val="center"/>
          </w:tcPr>
          <w:p w:rsidR="00CF308F" w:rsidRPr="00F86D7A" w:rsidRDefault="00F86D7A" w:rsidP="007A45C3">
            <w:pPr>
              <w:pStyle w:val="TableText"/>
              <w:jc w:val="center"/>
              <w:rPr>
                <w:highlight w:val="black"/>
              </w:rPr>
            </w:pPr>
            <w:r>
              <w:rPr>
                <w:noProof/>
                <w:color w:val="000000"/>
                <w:highlight w:val="black"/>
              </w:rPr>
              <w:t>''''''''''''''</w:t>
            </w:r>
          </w:p>
        </w:tc>
        <w:tc>
          <w:tcPr>
            <w:tcW w:w="647" w:type="pct"/>
            <w:vAlign w:val="center"/>
          </w:tcPr>
          <w:p w:rsidR="00CF308F" w:rsidRPr="00F86D7A" w:rsidRDefault="00F86D7A" w:rsidP="007A45C3">
            <w:pPr>
              <w:pStyle w:val="TableText"/>
              <w:jc w:val="center"/>
              <w:rPr>
                <w:highlight w:val="black"/>
              </w:rPr>
            </w:pPr>
            <w:r>
              <w:rPr>
                <w:noProof/>
                <w:color w:val="000000"/>
                <w:highlight w:val="black"/>
              </w:rPr>
              <w:t>'''''''''''''''</w:t>
            </w:r>
          </w:p>
        </w:tc>
      </w:tr>
      <w:tr w:rsidR="00E37424" w:rsidRPr="007D0E37" w:rsidTr="00E37424">
        <w:tc>
          <w:tcPr>
            <w:tcW w:w="5000" w:type="pct"/>
            <w:gridSpan w:val="7"/>
            <w:shd w:val="clear" w:color="auto" w:fill="auto"/>
            <w:vAlign w:val="center"/>
          </w:tcPr>
          <w:p w:rsidR="00E37424" w:rsidRPr="007D0E37" w:rsidRDefault="00E37424" w:rsidP="00772501">
            <w:pPr>
              <w:pStyle w:val="TableText"/>
              <w:rPr>
                <w:b/>
                <w:bCs/>
                <w:color w:val="000000"/>
              </w:rPr>
            </w:pPr>
            <w:r w:rsidRPr="007D0E37">
              <w:rPr>
                <w:b/>
                <w:bCs/>
                <w:color w:val="000000"/>
              </w:rPr>
              <w:t xml:space="preserve">Estimated </w:t>
            </w:r>
            <w:r w:rsidR="00607758" w:rsidRPr="007D0E37">
              <w:rPr>
                <w:b/>
                <w:bCs/>
                <w:color w:val="000000"/>
              </w:rPr>
              <w:t xml:space="preserve">financial implications of </w:t>
            </w:r>
            <w:r w:rsidR="007943FA" w:rsidRPr="007D0E37">
              <w:rPr>
                <w:b/>
                <w:bCs/>
                <w:color w:val="000000"/>
              </w:rPr>
              <w:t>golimumab</w:t>
            </w:r>
          </w:p>
        </w:tc>
      </w:tr>
      <w:tr w:rsidR="009800DF" w:rsidRPr="007D0E37" w:rsidTr="00AC1799">
        <w:tc>
          <w:tcPr>
            <w:tcW w:w="1118" w:type="pct"/>
            <w:shd w:val="clear" w:color="auto" w:fill="auto"/>
            <w:vAlign w:val="center"/>
          </w:tcPr>
          <w:p w:rsidR="009800DF" w:rsidRPr="007D0E37" w:rsidRDefault="009800DF" w:rsidP="009800DF">
            <w:pPr>
              <w:pStyle w:val="TableText"/>
              <w:rPr>
                <w:rFonts w:ascii="Times" w:eastAsia="Times New Roman" w:hAnsi="Times" w:cs="Times New Roman"/>
              </w:rPr>
            </w:pPr>
            <w:r w:rsidRPr="007D0E37">
              <w:rPr>
                <w:sz w:val="19"/>
                <w:szCs w:val="19"/>
              </w:rPr>
              <w:t>Cost to PBS/RPBS</w:t>
            </w:r>
          </w:p>
        </w:tc>
        <w:tc>
          <w:tcPr>
            <w:tcW w:w="647" w:type="pct"/>
            <w:shd w:val="clear" w:color="auto" w:fill="auto"/>
            <w:vAlign w:val="bottom"/>
          </w:tcPr>
          <w:p w:rsidR="009800DF" w:rsidRPr="007D0E37" w:rsidRDefault="009800DF" w:rsidP="007A45C3">
            <w:pPr>
              <w:pStyle w:val="TableText"/>
              <w:jc w:val="right"/>
              <w:rPr>
                <w:bCs/>
                <w:color w:val="000000"/>
              </w:rPr>
            </w:pPr>
            <w:r w:rsidRPr="007D0E37">
              <w:t>$</w:t>
            </w:r>
            <w:r w:rsidR="00F86D7A">
              <w:rPr>
                <w:noProof/>
                <w:color w:val="000000"/>
                <w:highlight w:val="black"/>
              </w:rPr>
              <w:t>'''''''''''''''''''''''''</w:t>
            </w:r>
          </w:p>
        </w:tc>
        <w:tc>
          <w:tcPr>
            <w:tcW w:w="647" w:type="pct"/>
            <w:shd w:val="clear" w:color="auto" w:fill="auto"/>
            <w:vAlign w:val="bottom"/>
          </w:tcPr>
          <w:p w:rsidR="009800DF" w:rsidRPr="007D0E37" w:rsidRDefault="009800DF" w:rsidP="007A45C3">
            <w:pPr>
              <w:pStyle w:val="TableText"/>
              <w:jc w:val="right"/>
              <w:rPr>
                <w:bCs/>
                <w:color w:val="000000"/>
              </w:rPr>
            </w:pPr>
            <w:r w:rsidRPr="007D0E37">
              <w:t>$</w:t>
            </w:r>
            <w:r w:rsidR="00F86D7A">
              <w:rPr>
                <w:noProof/>
                <w:color w:val="000000"/>
                <w:highlight w:val="black"/>
              </w:rPr>
              <w:t>'''''''''''''''''''''''</w:t>
            </w:r>
          </w:p>
        </w:tc>
        <w:tc>
          <w:tcPr>
            <w:tcW w:w="647" w:type="pct"/>
            <w:shd w:val="clear" w:color="auto" w:fill="auto"/>
            <w:vAlign w:val="bottom"/>
          </w:tcPr>
          <w:p w:rsidR="009800DF" w:rsidRPr="007D0E37" w:rsidRDefault="009800DF" w:rsidP="007A45C3">
            <w:pPr>
              <w:pStyle w:val="TableText"/>
              <w:jc w:val="right"/>
              <w:rPr>
                <w:bCs/>
                <w:color w:val="000000"/>
              </w:rPr>
            </w:pPr>
            <w:r w:rsidRPr="007D0E37">
              <w:t>$</w:t>
            </w:r>
            <w:r w:rsidR="00F86D7A">
              <w:rPr>
                <w:noProof/>
                <w:color w:val="000000"/>
                <w:highlight w:val="black"/>
              </w:rPr>
              <w:t>'''''''''''''''''''''</w:t>
            </w:r>
          </w:p>
        </w:tc>
        <w:tc>
          <w:tcPr>
            <w:tcW w:w="647" w:type="pct"/>
            <w:shd w:val="clear" w:color="auto" w:fill="auto"/>
            <w:vAlign w:val="bottom"/>
          </w:tcPr>
          <w:p w:rsidR="009800DF" w:rsidRPr="007D0E37" w:rsidRDefault="009800DF" w:rsidP="007A45C3">
            <w:pPr>
              <w:pStyle w:val="TableText"/>
              <w:jc w:val="right"/>
              <w:rPr>
                <w:bCs/>
                <w:color w:val="000000"/>
              </w:rPr>
            </w:pPr>
            <w:r w:rsidRPr="007D0E37">
              <w:t>$</w:t>
            </w:r>
            <w:r w:rsidR="00F86D7A">
              <w:rPr>
                <w:noProof/>
                <w:color w:val="000000"/>
                <w:highlight w:val="black"/>
              </w:rPr>
              <w:t>'''''''''''''''''''''''''</w:t>
            </w:r>
          </w:p>
        </w:tc>
        <w:tc>
          <w:tcPr>
            <w:tcW w:w="647" w:type="pct"/>
            <w:shd w:val="clear" w:color="auto" w:fill="auto"/>
            <w:vAlign w:val="bottom"/>
          </w:tcPr>
          <w:p w:rsidR="009800DF" w:rsidRPr="007D0E37" w:rsidRDefault="009800DF" w:rsidP="007A45C3">
            <w:pPr>
              <w:pStyle w:val="TableText"/>
              <w:jc w:val="right"/>
              <w:rPr>
                <w:bCs/>
                <w:color w:val="000000"/>
              </w:rPr>
            </w:pPr>
            <w:r w:rsidRPr="007D0E37">
              <w:t>$</w:t>
            </w:r>
            <w:r w:rsidR="00F86D7A">
              <w:rPr>
                <w:noProof/>
                <w:color w:val="000000"/>
                <w:highlight w:val="black"/>
              </w:rPr>
              <w:t>'''''''''''''''''''''''</w:t>
            </w:r>
          </w:p>
        </w:tc>
        <w:tc>
          <w:tcPr>
            <w:tcW w:w="647" w:type="pct"/>
            <w:vAlign w:val="bottom"/>
          </w:tcPr>
          <w:p w:rsidR="009800DF" w:rsidRPr="007D0E37" w:rsidRDefault="009800DF" w:rsidP="007A45C3">
            <w:pPr>
              <w:pStyle w:val="TableText"/>
              <w:jc w:val="right"/>
              <w:rPr>
                <w:bCs/>
                <w:color w:val="000000"/>
              </w:rPr>
            </w:pPr>
            <w:r w:rsidRPr="007D0E37">
              <w:t>$</w:t>
            </w:r>
            <w:r w:rsidR="00F86D7A">
              <w:rPr>
                <w:noProof/>
                <w:color w:val="000000"/>
                <w:highlight w:val="black"/>
              </w:rPr>
              <w:t>'''''''''''''''''''''''''''</w:t>
            </w:r>
          </w:p>
        </w:tc>
      </w:tr>
      <w:tr w:rsidR="009800DF" w:rsidRPr="007D0E37" w:rsidTr="00AC1799">
        <w:tc>
          <w:tcPr>
            <w:tcW w:w="1118" w:type="pct"/>
            <w:shd w:val="clear" w:color="auto" w:fill="auto"/>
            <w:vAlign w:val="center"/>
          </w:tcPr>
          <w:p w:rsidR="009800DF" w:rsidRPr="007D0E37" w:rsidRDefault="009800DF" w:rsidP="009800DF">
            <w:pPr>
              <w:pStyle w:val="TableText"/>
              <w:rPr>
                <w:sz w:val="19"/>
                <w:szCs w:val="19"/>
              </w:rPr>
            </w:pPr>
            <w:r w:rsidRPr="007D0E37">
              <w:rPr>
                <w:sz w:val="19"/>
                <w:szCs w:val="19"/>
              </w:rPr>
              <w:t>Copayments</w:t>
            </w:r>
          </w:p>
        </w:tc>
        <w:tc>
          <w:tcPr>
            <w:tcW w:w="647" w:type="pct"/>
            <w:shd w:val="clear" w:color="auto" w:fill="auto"/>
            <w:vAlign w:val="bottom"/>
          </w:tcPr>
          <w:p w:rsidR="009800DF" w:rsidRPr="007D0E37" w:rsidRDefault="009800DF" w:rsidP="007A45C3">
            <w:pPr>
              <w:pStyle w:val="TableText"/>
              <w:jc w:val="right"/>
              <w:rPr>
                <w:bCs/>
                <w:color w:val="000000"/>
              </w:rPr>
            </w:pPr>
            <w:r w:rsidRPr="007D0E37">
              <w:t>$</w:t>
            </w:r>
            <w:r w:rsidR="00F86D7A">
              <w:rPr>
                <w:noProof/>
                <w:color w:val="000000"/>
                <w:highlight w:val="black"/>
              </w:rPr>
              <w:t>''''''''''''''''</w:t>
            </w:r>
            <w:r w:rsidRPr="007D0E37">
              <w:t xml:space="preserve"> </w:t>
            </w:r>
          </w:p>
        </w:tc>
        <w:tc>
          <w:tcPr>
            <w:tcW w:w="647" w:type="pct"/>
            <w:shd w:val="clear" w:color="auto" w:fill="auto"/>
            <w:vAlign w:val="bottom"/>
          </w:tcPr>
          <w:p w:rsidR="009800DF" w:rsidRPr="007D0E37" w:rsidRDefault="009800DF" w:rsidP="007A45C3">
            <w:pPr>
              <w:pStyle w:val="TableText"/>
              <w:jc w:val="right"/>
              <w:rPr>
                <w:bCs/>
                <w:color w:val="000000"/>
              </w:rPr>
            </w:pPr>
            <w:r w:rsidRPr="007D0E37">
              <w:t>$</w:t>
            </w:r>
            <w:r w:rsidR="00F86D7A">
              <w:rPr>
                <w:noProof/>
                <w:color w:val="000000"/>
                <w:highlight w:val="black"/>
              </w:rPr>
              <w:t>'''''''''''''''</w:t>
            </w:r>
            <w:r w:rsidRPr="007D0E37">
              <w:t xml:space="preserve"> </w:t>
            </w:r>
          </w:p>
        </w:tc>
        <w:tc>
          <w:tcPr>
            <w:tcW w:w="647" w:type="pct"/>
            <w:shd w:val="clear" w:color="auto" w:fill="auto"/>
            <w:vAlign w:val="bottom"/>
          </w:tcPr>
          <w:p w:rsidR="009800DF" w:rsidRPr="007D0E37" w:rsidRDefault="009800DF" w:rsidP="007A45C3">
            <w:pPr>
              <w:pStyle w:val="TableText"/>
              <w:jc w:val="right"/>
              <w:rPr>
                <w:bCs/>
                <w:color w:val="000000"/>
              </w:rPr>
            </w:pPr>
            <w:r w:rsidRPr="007D0E37">
              <w:t>$</w:t>
            </w:r>
            <w:r w:rsidR="00F86D7A">
              <w:rPr>
                <w:noProof/>
                <w:color w:val="000000"/>
                <w:highlight w:val="black"/>
              </w:rPr>
              <w:t>''''''''''''''''''</w:t>
            </w:r>
            <w:r w:rsidRPr="007D0E37">
              <w:t xml:space="preserve"> </w:t>
            </w:r>
          </w:p>
        </w:tc>
        <w:tc>
          <w:tcPr>
            <w:tcW w:w="647" w:type="pct"/>
            <w:shd w:val="clear" w:color="auto" w:fill="auto"/>
            <w:vAlign w:val="bottom"/>
          </w:tcPr>
          <w:p w:rsidR="009800DF" w:rsidRPr="007D0E37" w:rsidRDefault="009800DF" w:rsidP="007A45C3">
            <w:pPr>
              <w:pStyle w:val="TableText"/>
              <w:jc w:val="right"/>
              <w:rPr>
                <w:bCs/>
                <w:color w:val="000000"/>
              </w:rPr>
            </w:pPr>
            <w:r w:rsidRPr="007D0E37">
              <w:t>$</w:t>
            </w:r>
            <w:r w:rsidR="00F86D7A">
              <w:rPr>
                <w:noProof/>
                <w:color w:val="000000"/>
                <w:highlight w:val="black"/>
              </w:rPr>
              <w:t>'''''''''''''''''''''</w:t>
            </w:r>
            <w:r w:rsidRPr="007D0E37">
              <w:t xml:space="preserve"> </w:t>
            </w:r>
          </w:p>
        </w:tc>
        <w:tc>
          <w:tcPr>
            <w:tcW w:w="647" w:type="pct"/>
            <w:shd w:val="clear" w:color="auto" w:fill="auto"/>
            <w:vAlign w:val="bottom"/>
          </w:tcPr>
          <w:p w:rsidR="009800DF" w:rsidRPr="007D0E37" w:rsidRDefault="009800DF" w:rsidP="007A45C3">
            <w:pPr>
              <w:pStyle w:val="TableText"/>
              <w:jc w:val="right"/>
              <w:rPr>
                <w:bCs/>
                <w:color w:val="000000"/>
              </w:rPr>
            </w:pPr>
            <w:r w:rsidRPr="007D0E37">
              <w:t>$</w:t>
            </w:r>
            <w:r w:rsidR="00F86D7A">
              <w:rPr>
                <w:noProof/>
                <w:color w:val="000000"/>
                <w:highlight w:val="black"/>
              </w:rPr>
              <w:t>'''''''''''''''''''</w:t>
            </w:r>
            <w:r w:rsidRPr="007D0E37">
              <w:t xml:space="preserve"> </w:t>
            </w:r>
          </w:p>
        </w:tc>
        <w:tc>
          <w:tcPr>
            <w:tcW w:w="647" w:type="pct"/>
            <w:vAlign w:val="bottom"/>
          </w:tcPr>
          <w:p w:rsidR="009800DF" w:rsidRPr="007D0E37" w:rsidRDefault="009800DF" w:rsidP="007A45C3">
            <w:pPr>
              <w:pStyle w:val="TableText"/>
              <w:jc w:val="right"/>
              <w:rPr>
                <w:bCs/>
                <w:color w:val="000000"/>
              </w:rPr>
            </w:pPr>
            <w:r w:rsidRPr="007D0E37">
              <w:t>$</w:t>
            </w:r>
            <w:r w:rsidR="00F86D7A">
              <w:rPr>
                <w:noProof/>
                <w:color w:val="000000"/>
                <w:highlight w:val="black"/>
              </w:rPr>
              <w:t>''''''''''''''''''''</w:t>
            </w:r>
            <w:r w:rsidRPr="007D0E37">
              <w:t xml:space="preserve"> </w:t>
            </w:r>
          </w:p>
        </w:tc>
      </w:tr>
      <w:tr w:rsidR="009800DF" w:rsidRPr="007D0E37" w:rsidTr="00AC1799">
        <w:tc>
          <w:tcPr>
            <w:tcW w:w="1118" w:type="pct"/>
            <w:shd w:val="clear" w:color="auto" w:fill="auto"/>
            <w:vAlign w:val="center"/>
          </w:tcPr>
          <w:p w:rsidR="009800DF" w:rsidRPr="007D0E37" w:rsidRDefault="009800DF" w:rsidP="009800DF">
            <w:pPr>
              <w:pStyle w:val="TableText"/>
              <w:rPr>
                <w:sz w:val="19"/>
                <w:szCs w:val="19"/>
              </w:rPr>
            </w:pPr>
            <w:r w:rsidRPr="007D0E37">
              <w:rPr>
                <w:sz w:val="19"/>
                <w:szCs w:val="19"/>
              </w:rPr>
              <w:t>Cost to PBS/RPBS less copayments</w:t>
            </w:r>
          </w:p>
        </w:tc>
        <w:tc>
          <w:tcPr>
            <w:tcW w:w="647" w:type="pct"/>
            <w:shd w:val="clear" w:color="auto" w:fill="auto"/>
            <w:vAlign w:val="bottom"/>
          </w:tcPr>
          <w:p w:rsidR="009800DF" w:rsidRPr="007D0E37" w:rsidRDefault="009800DF" w:rsidP="007A45C3">
            <w:pPr>
              <w:pStyle w:val="TableText"/>
              <w:jc w:val="right"/>
              <w:rPr>
                <w:bCs/>
                <w:color w:val="000000"/>
              </w:rPr>
            </w:pPr>
            <w:r w:rsidRPr="007D0E37">
              <w:t>$</w:t>
            </w:r>
            <w:r w:rsidR="00F86D7A">
              <w:rPr>
                <w:noProof/>
                <w:color w:val="000000"/>
                <w:highlight w:val="black"/>
              </w:rPr>
              <w:t>'''''''''''''''''''''''</w:t>
            </w:r>
          </w:p>
        </w:tc>
        <w:tc>
          <w:tcPr>
            <w:tcW w:w="647" w:type="pct"/>
            <w:shd w:val="clear" w:color="auto" w:fill="auto"/>
            <w:vAlign w:val="bottom"/>
          </w:tcPr>
          <w:p w:rsidR="009800DF" w:rsidRPr="007D0E37" w:rsidRDefault="009800DF" w:rsidP="007A45C3">
            <w:pPr>
              <w:pStyle w:val="TableText"/>
              <w:jc w:val="right"/>
              <w:rPr>
                <w:bCs/>
                <w:color w:val="000000"/>
              </w:rPr>
            </w:pPr>
            <w:r w:rsidRPr="007D0E37">
              <w:t>$</w:t>
            </w:r>
            <w:r w:rsidR="00F86D7A">
              <w:rPr>
                <w:noProof/>
                <w:color w:val="000000"/>
                <w:highlight w:val="black"/>
              </w:rPr>
              <w:t>''''''''''''''''''''''</w:t>
            </w:r>
          </w:p>
        </w:tc>
        <w:tc>
          <w:tcPr>
            <w:tcW w:w="647" w:type="pct"/>
            <w:shd w:val="clear" w:color="auto" w:fill="auto"/>
            <w:vAlign w:val="bottom"/>
          </w:tcPr>
          <w:p w:rsidR="009800DF" w:rsidRPr="007D0E37" w:rsidRDefault="009800DF" w:rsidP="007A45C3">
            <w:pPr>
              <w:pStyle w:val="TableText"/>
              <w:jc w:val="right"/>
              <w:rPr>
                <w:bCs/>
                <w:color w:val="000000"/>
              </w:rPr>
            </w:pPr>
            <w:r w:rsidRPr="007D0E37">
              <w:t>$</w:t>
            </w:r>
            <w:r w:rsidR="00F86D7A">
              <w:rPr>
                <w:noProof/>
                <w:color w:val="000000"/>
                <w:highlight w:val="black"/>
              </w:rPr>
              <w:t>'''''''''''''''''''''''''</w:t>
            </w:r>
          </w:p>
        </w:tc>
        <w:tc>
          <w:tcPr>
            <w:tcW w:w="647" w:type="pct"/>
            <w:shd w:val="clear" w:color="auto" w:fill="auto"/>
            <w:vAlign w:val="bottom"/>
          </w:tcPr>
          <w:p w:rsidR="009800DF" w:rsidRPr="007D0E37" w:rsidRDefault="009800DF" w:rsidP="007A45C3">
            <w:pPr>
              <w:pStyle w:val="TableText"/>
              <w:jc w:val="right"/>
              <w:rPr>
                <w:bCs/>
                <w:color w:val="000000"/>
              </w:rPr>
            </w:pPr>
            <w:r w:rsidRPr="007D0E37">
              <w:t>$</w:t>
            </w:r>
            <w:r w:rsidR="00F86D7A">
              <w:rPr>
                <w:noProof/>
                <w:color w:val="000000"/>
                <w:highlight w:val="black"/>
              </w:rPr>
              <w:t>''''''''''''''''''''''''</w:t>
            </w:r>
          </w:p>
        </w:tc>
        <w:tc>
          <w:tcPr>
            <w:tcW w:w="647" w:type="pct"/>
            <w:shd w:val="clear" w:color="auto" w:fill="auto"/>
            <w:vAlign w:val="bottom"/>
          </w:tcPr>
          <w:p w:rsidR="009800DF" w:rsidRPr="007D0E37" w:rsidRDefault="009800DF" w:rsidP="007A45C3">
            <w:pPr>
              <w:pStyle w:val="TableText"/>
              <w:jc w:val="right"/>
              <w:rPr>
                <w:bCs/>
                <w:color w:val="000000"/>
              </w:rPr>
            </w:pPr>
            <w:r w:rsidRPr="007D0E37">
              <w:t>$</w:t>
            </w:r>
            <w:r w:rsidR="00F86D7A">
              <w:rPr>
                <w:noProof/>
                <w:color w:val="000000"/>
                <w:highlight w:val="black"/>
              </w:rPr>
              <w:t>''''''''''''''''''''''''''''</w:t>
            </w:r>
          </w:p>
        </w:tc>
        <w:tc>
          <w:tcPr>
            <w:tcW w:w="647" w:type="pct"/>
            <w:vAlign w:val="bottom"/>
          </w:tcPr>
          <w:p w:rsidR="009800DF" w:rsidRPr="007D0E37" w:rsidRDefault="009800DF" w:rsidP="007A45C3">
            <w:pPr>
              <w:pStyle w:val="TableText"/>
              <w:jc w:val="right"/>
              <w:rPr>
                <w:bCs/>
                <w:color w:val="000000"/>
              </w:rPr>
            </w:pPr>
            <w:r w:rsidRPr="007D0E37">
              <w:t>$</w:t>
            </w:r>
            <w:r w:rsidR="00F86D7A">
              <w:rPr>
                <w:noProof/>
                <w:color w:val="000000"/>
                <w:highlight w:val="black"/>
              </w:rPr>
              <w:t>''''''''''''''''''''''''''</w:t>
            </w:r>
          </w:p>
        </w:tc>
      </w:tr>
      <w:tr w:rsidR="00607758" w:rsidRPr="007D0E37" w:rsidTr="00607758">
        <w:tc>
          <w:tcPr>
            <w:tcW w:w="5000" w:type="pct"/>
            <w:gridSpan w:val="7"/>
            <w:shd w:val="clear" w:color="auto" w:fill="auto"/>
            <w:vAlign w:val="center"/>
          </w:tcPr>
          <w:p w:rsidR="00607758" w:rsidRPr="007D0E37" w:rsidRDefault="00607758" w:rsidP="00772501">
            <w:pPr>
              <w:pStyle w:val="TableText"/>
              <w:rPr>
                <w:bCs/>
                <w:color w:val="000000"/>
              </w:rPr>
            </w:pPr>
            <w:r w:rsidRPr="007D0E37">
              <w:rPr>
                <w:b/>
                <w:bCs/>
                <w:color w:val="000000"/>
              </w:rPr>
              <w:t xml:space="preserve">Estimated </w:t>
            </w:r>
            <w:r w:rsidR="009800DF" w:rsidRPr="007D0E37">
              <w:rPr>
                <w:b/>
                <w:bCs/>
                <w:color w:val="000000"/>
              </w:rPr>
              <w:t>financial implications for infliximab, adalimumab and vedolizumab</w:t>
            </w:r>
            <w:r w:rsidR="00062836" w:rsidRPr="007D0E37">
              <w:rPr>
                <w:b/>
                <w:bCs/>
                <w:color w:val="000000"/>
              </w:rPr>
              <w:t xml:space="preserve"> if golimumab is listed</w:t>
            </w:r>
          </w:p>
        </w:tc>
      </w:tr>
      <w:tr w:rsidR="00CF308F" w:rsidRPr="007D0E37" w:rsidTr="00AC1799">
        <w:tc>
          <w:tcPr>
            <w:tcW w:w="1118" w:type="pct"/>
            <w:shd w:val="clear" w:color="auto" w:fill="auto"/>
            <w:vAlign w:val="center"/>
          </w:tcPr>
          <w:p w:rsidR="00CF308F" w:rsidRPr="007D0E37" w:rsidRDefault="00CF308F" w:rsidP="00CF308F">
            <w:pPr>
              <w:pStyle w:val="TableText"/>
              <w:rPr>
                <w:sz w:val="19"/>
                <w:szCs w:val="19"/>
              </w:rPr>
            </w:pPr>
            <w:r w:rsidRPr="007D0E37">
              <w:rPr>
                <w:sz w:val="19"/>
                <w:szCs w:val="19"/>
              </w:rPr>
              <w:t>Cost to PBS/RPBS</w:t>
            </w:r>
          </w:p>
        </w:tc>
        <w:tc>
          <w:tcPr>
            <w:tcW w:w="647" w:type="pct"/>
            <w:shd w:val="clear" w:color="auto" w:fill="auto"/>
            <w:vAlign w:val="bottom"/>
          </w:tcPr>
          <w:p w:rsidR="00CF308F" w:rsidRPr="007D0E37" w:rsidRDefault="00CF308F" w:rsidP="007A45C3">
            <w:pPr>
              <w:pStyle w:val="TableText"/>
              <w:jc w:val="right"/>
              <w:rPr>
                <w:bCs/>
                <w:color w:val="000000"/>
              </w:rPr>
            </w:pPr>
            <w:r w:rsidRPr="007D0E37">
              <w:rPr>
                <w:color w:val="000000"/>
                <w:szCs w:val="20"/>
              </w:rPr>
              <w:t>$</w:t>
            </w:r>
            <w:r w:rsidR="00F86D7A">
              <w:rPr>
                <w:noProof/>
                <w:color w:val="000000"/>
                <w:szCs w:val="20"/>
                <w:highlight w:val="black"/>
              </w:rPr>
              <w:t>'''''''''''''''''''''''''</w:t>
            </w:r>
          </w:p>
        </w:tc>
        <w:tc>
          <w:tcPr>
            <w:tcW w:w="647" w:type="pct"/>
            <w:shd w:val="clear" w:color="auto" w:fill="auto"/>
            <w:vAlign w:val="bottom"/>
          </w:tcPr>
          <w:p w:rsidR="00CF308F" w:rsidRPr="007D0E37" w:rsidRDefault="00CF308F" w:rsidP="007A45C3">
            <w:pPr>
              <w:pStyle w:val="TableText"/>
              <w:jc w:val="right"/>
              <w:rPr>
                <w:bCs/>
                <w:color w:val="000000"/>
              </w:rPr>
            </w:pPr>
            <w:r w:rsidRPr="007D0E37">
              <w:rPr>
                <w:color w:val="000000"/>
                <w:szCs w:val="20"/>
              </w:rPr>
              <w:t>$</w:t>
            </w:r>
            <w:r w:rsidR="00F86D7A">
              <w:rPr>
                <w:noProof/>
                <w:color w:val="000000"/>
                <w:szCs w:val="20"/>
                <w:highlight w:val="black"/>
              </w:rPr>
              <w:t>'''''''''''''''''''''''''''''</w:t>
            </w:r>
          </w:p>
        </w:tc>
        <w:tc>
          <w:tcPr>
            <w:tcW w:w="647" w:type="pct"/>
            <w:shd w:val="clear" w:color="auto" w:fill="auto"/>
            <w:vAlign w:val="bottom"/>
          </w:tcPr>
          <w:p w:rsidR="00CF308F" w:rsidRPr="007D0E37" w:rsidRDefault="00CF308F" w:rsidP="007A45C3">
            <w:pPr>
              <w:pStyle w:val="TableText"/>
              <w:jc w:val="right"/>
              <w:rPr>
                <w:bCs/>
                <w:color w:val="000000"/>
              </w:rPr>
            </w:pPr>
            <w:r w:rsidRPr="007D0E37">
              <w:rPr>
                <w:color w:val="000000"/>
                <w:szCs w:val="20"/>
              </w:rPr>
              <w:t>$</w:t>
            </w:r>
            <w:r w:rsidR="00F86D7A">
              <w:rPr>
                <w:noProof/>
                <w:color w:val="000000"/>
                <w:szCs w:val="20"/>
                <w:highlight w:val="black"/>
              </w:rPr>
              <w:t>'''''''''''''''''''''''</w:t>
            </w:r>
          </w:p>
        </w:tc>
        <w:tc>
          <w:tcPr>
            <w:tcW w:w="647" w:type="pct"/>
            <w:shd w:val="clear" w:color="auto" w:fill="auto"/>
            <w:vAlign w:val="bottom"/>
          </w:tcPr>
          <w:p w:rsidR="00CF308F" w:rsidRPr="007D0E37" w:rsidRDefault="00CF308F" w:rsidP="007A45C3">
            <w:pPr>
              <w:pStyle w:val="TableText"/>
              <w:jc w:val="right"/>
              <w:rPr>
                <w:bCs/>
                <w:color w:val="000000"/>
              </w:rPr>
            </w:pPr>
            <w:r w:rsidRPr="007D0E37">
              <w:rPr>
                <w:color w:val="000000"/>
                <w:szCs w:val="20"/>
              </w:rPr>
              <w:t>$</w:t>
            </w:r>
            <w:r w:rsidR="00F86D7A">
              <w:rPr>
                <w:noProof/>
                <w:color w:val="000000"/>
                <w:szCs w:val="20"/>
                <w:highlight w:val="black"/>
              </w:rPr>
              <w:t>'''''''''''''''''''''''''''</w:t>
            </w:r>
          </w:p>
        </w:tc>
        <w:tc>
          <w:tcPr>
            <w:tcW w:w="647" w:type="pct"/>
            <w:shd w:val="clear" w:color="auto" w:fill="auto"/>
            <w:vAlign w:val="bottom"/>
          </w:tcPr>
          <w:p w:rsidR="00CF308F" w:rsidRPr="007D0E37" w:rsidRDefault="00CF308F" w:rsidP="007A45C3">
            <w:pPr>
              <w:pStyle w:val="TableText"/>
              <w:jc w:val="right"/>
              <w:rPr>
                <w:bCs/>
                <w:color w:val="000000"/>
              </w:rPr>
            </w:pPr>
            <w:r w:rsidRPr="007D0E37">
              <w:rPr>
                <w:color w:val="000000"/>
                <w:szCs w:val="20"/>
              </w:rPr>
              <w:t>$</w:t>
            </w:r>
            <w:r w:rsidR="00F86D7A">
              <w:rPr>
                <w:noProof/>
                <w:color w:val="000000"/>
                <w:szCs w:val="20"/>
                <w:highlight w:val="black"/>
              </w:rPr>
              <w:t>''''''''''''''''''''''''''</w:t>
            </w:r>
          </w:p>
        </w:tc>
        <w:tc>
          <w:tcPr>
            <w:tcW w:w="647" w:type="pct"/>
            <w:vAlign w:val="bottom"/>
          </w:tcPr>
          <w:p w:rsidR="00CF308F" w:rsidRPr="007D0E37" w:rsidRDefault="00CF308F" w:rsidP="007A45C3">
            <w:pPr>
              <w:pStyle w:val="TableText"/>
              <w:jc w:val="right"/>
              <w:rPr>
                <w:bCs/>
                <w:color w:val="000000"/>
              </w:rPr>
            </w:pPr>
            <w:r w:rsidRPr="007D0E37">
              <w:rPr>
                <w:color w:val="000000"/>
                <w:szCs w:val="20"/>
              </w:rPr>
              <w:t>$</w:t>
            </w:r>
            <w:r w:rsidR="00F86D7A">
              <w:rPr>
                <w:noProof/>
                <w:color w:val="000000"/>
                <w:szCs w:val="20"/>
                <w:highlight w:val="black"/>
              </w:rPr>
              <w:t>''''''''''''''''''''''''</w:t>
            </w:r>
          </w:p>
        </w:tc>
      </w:tr>
      <w:tr w:rsidR="00CF308F" w:rsidRPr="007D0E37" w:rsidTr="00AC1799">
        <w:tc>
          <w:tcPr>
            <w:tcW w:w="1118" w:type="pct"/>
            <w:shd w:val="clear" w:color="auto" w:fill="auto"/>
            <w:vAlign w:val="center"/>
          </w:tcPr>
          <w:p w:rsidR="00CF308F" w:rsidRPr="007D0E37" w:rsidRDefault="00CF308F" w:rsidP="00CF308F">
            <w:pPr>
              <w:pStyle w:val="TableText"/>
              <w:rPr>
                <w:sz w:val="19"/>
                <w:szCs w:val="19"/>
              </w:rPr>
            </w:pPr>
            <w:r w:rsidRPr="007D0E37">
              <w:rPr>
                <w:sz w:val="19"/>
                <w:szCs w:val="19"/>
              </w:rPr>
              <w:t>Copayments</w:t>
            </w:r>
          </w:p>
        </w:tc>
        <w:tc>
          <w:tcPr>
            <w:tcW w:w="647" w:type="pct"/>
            <w:shd w:val="clear" w:color="auto" w:fill="auto"/>
            <w:vAlign w:val="bottom"/>
          </w:tcPr>
          <w:p w:rsidR="00CF308F" w:rsidRPr="007D0E37" w:rsidRDefault="00CF308F" w:rsidP="007A45C3">
            <w:pPr>
              <w:pStyle w:val="TableText"/>
              <w:jc w:val="right"/>
              <w:rPr>
                <w:bCs/>
                <w:color w:val="000000"/>
              </w:rPr>
            </w:pPr>
            <w:r w:rsidRPr="007D0E37">
              <w:rPr>
                <w:color w:val="000000"/>
                <w:szCs w:val="20"/>
              </w:rPr>
              <w:t>$</w:t>
            </w:r>
            <w:r w:rsidR="00F86D7A">
              <w:rPr>
                <w:noProof/>
                <w:color w:val="000000"/>
                <w:szCs w:val="20"/>
                <w:highlight w:val="black"/>
              </w:rPr>
              <w:t>''''''''''''''''''</w:t>
            </w:r>
          </w:p>
        </w:tc>
        <w:tc>
          <w:tcPr>
            <w:tcW w:w="647" w:type="pct"/>
            <w:shd w:val="clear" w:color="auto" w:fill="auto"/>
            <w:vAlign w:val="bottom"/>
          </w:tcPr>
          <w:p w:rsidR="00CF308F" w:rsidRPr="007D0E37" w:rsidRDefault="00CF308F" w:rsidP="007A45C3">
            <w:pPr>
              <w:pStyle w:val="TableText"/>
              <w:jc w:val="right"/>
              <w:rPr>
                <w:bCs/>
                <w:color w:val="000000"/>
              </w:rPr>
            </w:pPr>
            <w:r w:rsidRPr="007D0E37">
              <w:rPr>
                <w:color w:val="000000"/>
                <w:szCs w:val="20"/>
              </w:rPr>
              <w:t>$</w:t>
            </w:r>
            <w:r w:rsidR="00F86D7A">
              <w:rPr>
                <w:noProof/>
                <w:color w:val="000000"/>
                <w:szCs w:val="20"/>
                <w:highlight w:val="black"/>
              </w:rPr>
              <w:t>'''''''''''''''''''''</w:t>
            </w:r>
          </w:p>
        </w:tc>
        <w:tc>
          <w:tcPr>
            <w:tcW w:w="647" w:type="pct"/>
            <w:shd w:val="clear" w:color="auto" w:fill="auto"/>
            <w:vAlign w:val="bottom"/>
          </w:tcPr>
          <w:p w:rsidR="00CF308F" w:rsidRPr="007D0E37" w:rsidRDefault="00CF308F" w:rsidP="007A45C3">
            <w:pPr>
              <w:pStyle w:val="TableText"/>
              <w:jc w:val="right"/>
              <w:rPr>
                <w:bCs/>
                <w:color w:val="000000"/>
              </w:rPr>
            </w:pPr>
            <w:r w:rsidRPr="007D0E37">
              <w:rPr>
                <w:color w:val="000000"/>
                <w:szCs w:val="20"/>
              </w:rPr>
              <w:t>$</w:t>
            </w:r>
            <w:r w:rsidR="00F86D7A">
              <w:rPr>
                <w:noProof/>
                <w:color w:val="000000"/>
                <w:szCs w:val="20"/>
                <w:highlight w:val="black"/>
              </w:rPr>
              <w:t>'''''''''''''''''''</w:t>
            </w:r>
          </w:p>
        </w:tc>
        <w:tc>
          <w:tcPr>
            <w:tcW w:w="647" w:type="pct"/>
            <w:shd w:val="clear" w:color="auto" w:fill="auto"/>
            <w:vAlign w:val="bottom"/>
          </w:tcPr>
          <w:p w:rsidR="00CF308F" w:rsidRPr="007D0E37" w:rsidRDefault="00CF308F" w:rsidP="007A45C3">
            <w:pPr>
              <w:pStyle w:val="TableText"/>
              <w:jc w:val="right"/>
              <w:rPr>
                <w:bCs/>
                <w:color w:val="000000"/>
              </w:rPr>
            </w:pPr>
            <w:r w:rsidRPr="007D0E37">
              <w:rPr>
                <w:color w:val="000000"/>
                <w:szCs w:val="20"/>
              </w:rPr>
              <w:t>$</w:t>
            </w:r>
            <w:r w:rsidR="00F86D7A">
              <w:rPr>
                <w:noProof/>
                <w:color w:val="000000"/>
                <w:szCs w:val="20"/>
                <w:highlight w:val="black"/>
              </w:rPr>
              <w:t>''''''''''''''''''''</w:t>
            </w:r>
          </w:p>
        </w:tc>
        <w:tc>
          <w:tcPr>
            <w:tcW w:w="647" w:type="pct"/>
            <w:shd w:val="clear" w:color="auto" w:fill="auto"/>
            <w:vAlign w:val="bottom"/>
          </w:tcPr>
          <w:p w:rsidR="00CF308F" w:rsidRPr="007D0E37" w:rsidRDefault="00CF308F" w:rsidP="007A45C3">
            <w:pPr>
              <w:pStyle w:val="TableText"/>
              <w:jc w:val="right"/>
              <w:rPr>
                <w:bCs/>
                <w:color w:val="000000"/>
              </w:rPr>
            </w:pPr>
            <w:r w:rsidRPr="007D0E37">
              <w:rPr>
                <w:color w:val="000000"/>
                <w:szCs w:val="20"/>
              </w:rPr>
              <w:t>$</w:t>
            </w:r>
            <w:r w:rsidR="00F86D7A">
              <w:rPr>
                <w:noProof/>
                <w:color w:val="000000"/>
                <w:szCs w:val="20"/>
                <w:highlight w:val="black"/>
              </w:rPr>
              <w:t>'''''''''''''''''''''''</w:t>
            </w:r>
          </w:p>
        </w:tc>
        <w:tc>
          <w:tcPr>
            <w:tcW w:w="647" w:type="pct"/>
            <w:vAlign w:val="bottom"/>
          </w:tcPr>
          <w:p w:rsidR="00CF308F" w:rsidRPr="007D0E37" w:rsidRDefault="00CF308F" w:rsidP="007A45C3">
            <w:pPr>
              <w:pStyle w:val="TableText"/>
              <w:jc w:val="right"/>
              <w:rPr>
                <w:bCs/>
                <w:color w:val="000000"/>
              </w:rPr>
            </w:pPr>
            <w:r w:rsidRPr="007D0E37">
              <w:rPr>
                <w:color w:val="000000"/>
                <w:szCs w:val="20"/>
              </w:rPr>
              <w:t>$</w:t>
            </w:r>
            <w:r w:rsidR="00F86D7A">
              <w:rPr>
                <w:noProof/>
                <w:color w:val="000000"/>
                <w:szCs w:val="20"/>
                <w:highlight w:val="black"/>
              </w:rPr>
              <w:t>''''''''''''''''''''''</w:t>
            </w:r>
          </w:p>
        </w:tc>
      </w:tr>
      <w:tr w:rsidR="00CF308F" w:rsidRPr="007D0E37" w:rsidTr="00AC1799">
        <w:tc>
          <w:tcPr>
            <w:tcW w:w="1118" w:type="pct"/>
            <w:shd w:val="clear" w:color="auto" w:fill="auto"/>
            <w:vAlign w:val="center"/>
          </w:tcPr>
          <w:p w:rsidR="00CF308F" w:rsidRPr="007D0E37" w:rsidRDefault="00CF308F" w:rsidP="00CF308F">
            <w:pPr>
              <w:pStyle w:val="TableText"/>
              <w:rPr>
                <w:sz w:val="19"/>
                <w:szCs w:val="19"/>
              </w:rPr>
            </w:pPr>
            <w:r w:rsidRPr="007D0E37">
              <w:rPr>
                <w:sz w:val="19"/>
                <w:szCs w:val="19"/>
              </w:rPr>
              <w:t>Cost to PBS/RPBS less copayments</w:t>
            </w:r>
          </w:p>
        </w:tc>
        <w:tc>
          <w:tcPr>
            <w:tcW w:w="647" w:type="pct"/>
            <w:shd w:val="clear" w:color="auto" w:fill="auto"/>
            <w:vAlign w:val="bottom"/>
          </w:tcPr>
          <w:p w:rsidR="00CF308F" w:rsidRPr="007D0E37" w:rsidRDefault="00CF308F" w:rsidP="007A45C3">
            <w:pPr>
              <w:pStyle w:val="TableText"/>
              <w:jc w:val="right"/>
              <w:rPr>
                <w:bCs/>
                <w:color w:val="000000"/>
              </w:rPr>
            </w:pPr>
            <w:r w:rsidRPr="007D0E37">
              <w:rPr>
                <w:color w:val="000000"/>
                <w:szCs w:val="20"/>
              </w:rPr>
              <w:t>$</w:t>
            </w:r>
            <w:r w:rsidR="00F86D7A">
              <w:rPr>
                <w:noProof/>
                <w:color w:val="000000"/>
                <w:szCs w:val="20"/>
                <w:highlight w:val="black"/>
              </w:rPr>
              <w:t>'''''''''''''''''''''''''''''</w:t>
            </w:r>
          </w:p>
        </w:tc>
        <w:tc>
          <w:tcPr>
            <w:tcW w:w="647" w:type="pct"/>
            <w:shd w:val="clear" w:color="auto" w:fill="auto"/>
            <w:vAlign w:val="bottom"/>
          </w:tcPr>
          <w:p w:rsidR="00CF308F" w:rsidRPr="007D0E37" w:rsidRDefault="00CF308F" w:rsidP="007A45C3">
            <w:pPr>
              <w:pStyle w:val="TableText"/>
              <w:jc w:val="right"/>
              <w:rPr>
                <w:bCs/>
                <w:color w:val="000000"/>
              </w:rPr>
            </w:pPr>
            <w:r w:rsidRPr="007D0E37">
              <w:rPr>
                <w:color w:val="000000"/>
                <w:szCs w:val="20"/>
              </w:rPr>
              <w:t>$</w:t>
            </w:r>
            <w:r w:rsidR="00F86D7A">
              <w:rPr>
                <w:noProof/>
                <w:color w:val="000000"/>
                <w:szCs w:val="20"/>
                <w:highlight w:val="black"/>
              </w:rPr>
              <w:t>'''''''''''''''''''''''''''</w:t>
            </w:r>
          </w:p>
        </w:tc>
        <w:tc>
          <w:tcPr>
            <w:tcW w:w="647" w:type="pct"/>
            <w:shd w:val="clear" w:color="auto" w:fill="auto"/>
            <w:vAlign w:val="bottom"/>
          </w:tcPr>
          <w:p w:rsidR="00CF308F" w:rsidRPr="007D0E37" w:rsidRDefault="00CF308F" w:rsidP="007A45C3">
            <w:pPr>
              <w:pStyle w:val="TableText"/>
              <w:jc w:val="right"/>
              <w:rPr>
                <w:bCs/>
                <w:color w:val="000000"/>
              </w:rPr>
            </w:pPr>
            <w:r w:rsidRPr="007D0E37">
              <w:rPr>
                <w:color w:val="000000"/>
                <w:szCs w:val="20"/>
              </w:rPr>
              <w:t>$</w:t>
            </w:r>
            <w:r w:rsidR="00F86D7A">
              <w:rPr>
                <w:noProof/>
                <w:color w:val="000000"/>
                <w:szCs w:val="20"/>
                <w:highlight w:val="black"/>
              </w:rPr>
              <w:t>''''''''''''''''''''''''''''</w:t>
            </w:r>
          </w:p>
        </w:tc>
        <w:tc>
          <w:tcPr>
            <w:tcW w:w="647" w:type="pct"/>
            <w:shd w:val="clear" w:color="auto" w:fill="auto"/>
            <w:vAlign w:val="bottom"/>
          </w:tcPr>
          <w:p w:rsidR="00CF308F" w:rsidRPr="007D0E37" w:rsidRDefault="00CF308F" w:rsidP="007A45C3">
            <w:pPr>
              <w:pStyle w:val="TableText"/>
              <w:jc w:val="right"/>
              <w:rPr>
                <w:bCs/>
                <w:color w:val="000000"/>
              </w:rPr>
            </w:pPr>
            <w:r w:rsidRPr="007D0E37">
              <w:rPr>
                <w:color w:val="000000"/>
                <w:szCs w:val="20"/>
              </w:rPr>
              <w:t>$</w:t>
            </w:r>
            <w:r w:rsidR="00F86D7A">
              <w:rPr>
                <w:noProof/>
                <w:color w:val="000000"/>
                <w:szCs w:val="20"/>
                <w:highlight w:val="black"/>
              </w:rPr>
              <w:t>''''''''''''''''''''''''''</w:t>
            </w:r>
          </w:p>
        </w:tc>
        <w:tc>
          <w:tcPr>
            <w:tcW w:w="647" w:type="pct"/>
            <w:shd w:val="clear" w:color="auto" w:fill="auto"/>
            <w:vAlign w:val="bottom"/>
          </w:tcPr>
          <w:p w:rsidR="00CF308F" w:rsidRPr="007D0E37" w:rsidRDefault="00CF308F" w:rsidP="007A45C3">
            <w:pPr>
              <w:pStyle w:val="TableText"/>
              <w:jc w:val="right"/>
              <w:rPr>
                <w:bCs/>
                <w:color w:val="000000"/>
              </w:rPr>
            </w:pPr>
            <w:r w:rsidRPr="007D0E37">
              <w:rPr>
                <w:color w:val="000000"/>
                <w:szCs w:val="20"/>
              </w:rPr>
              <w:t>$</w:t>
            </w:r>
            <w:r w:rsidR="00F86D7A">
              <w:rPr>
                <w:noProof/>
                <w:color w:val="000000"/>
                <w:szCs w:val="20"/>
                <w:highlight w:val="black"/>
              </w:rPr>
              <w:t>''''''''''''''''''''''''</w:t>
            </w:r>
          </w:p>
        </w:tc>
        <w:tc>
          <w:tcPr>
            <w:tcW w:w="647" w:type="pct"/>
            <w:vAlign w:val="bottom"/>
          </w:tcPr>
          <w:p w:rsidR="00CF308F" w:rsidRPr="007D0E37" w:rsidRDefault="00CF308F" w:rsidP="007A45C3">
            <w:pPr>
              <w:pStyle w:val="TableText"/>
              <w:jc w:val="right"/>
              <w:rPr>
                <w:bCs/>
                <w:color w:val="000000"/>
              </w:rPr>
            </w:pPr>
            <w:r w:rsidRPr="007D0E37">
              <w:rPr>
                <w:color w:val="000000"/>
                <w:szCs w:val="20"/>
              </w:rPr>
              <w:t>$</w:t>
            </w:r>
            <w:r w:rsidR="00F86D7A">
              <w:rPr>
                <w:noProof/>
                <w:color w:val="000000"/>
                <w:szCs w:val="20"/>
                <w:highlight w:val="black"/>
              </w:rPr>
              <w:t>'''''''''''''''''''''''''''''</w:t>
            </w:r>
          </w:p>
        </w:tc>
      </w:tr>
      <w:tr w:rsidR="00607758" w:rsidRPr="007D0E37" w:rsidTr="00607758">
        <w:tc>
          <w:tcPr>
            <w:tcW w:w="5000" w:type="pct"/>
            <w:gridSpan w:val="7"/>
            <w:shd w:val="clear" w:color="auto" w:fill="auto"/>
            <w:vAlign w:val="center"/>
          </w:tcPr>
          <w:p w:rsidR="00607758" w:rsidRPr="007D0E37" w:rsidRDefault="00FC22AB" w:rsidP="00772501">
            <w:pPr>
              <w:pStyle w:val="TableText"/>
              <w:rPr>
                <w:b/>
                <w:bCs/>
                <w:color w:val="000000"/>
              </w:rPr>
            </w:pPr>
            <w:r w:rsidRPr="007D0E37">
              <w:rPr>
                <w:b/>
                <w:bCs/>
                <w:color w:val="000000"/>
              </w:rPr>
              <w:t>Net financial implications</w:t>
            </w:r>
          </w:p>
        </w:tc>
      </w:tr>
      <w:tr w:rsidR="00B24E5F" w:rsidRPr="007D0E37" w:rsidTr="00AC1799">
        <w:tc>
          <w:tcPr>
            <w:tcW w:w="1118" w:type="pct"/>
            <w:shd w:val="clear" w:color="auto" w:fill="auto"/>
            <w:vAlign w:val="center"/>
          </w:tcPr>
          <w:p w:rsidR="00B24E5F" w:rsidRPr="007D0E37" w:rsidRDefault="00B24E5F" w:rsidP="00B24E5F">
            <w:pPr>
              <w:pStyle w:val="TableText"/>
              <w:rPr>
                <w:sz w:val="19"/>
                <w:szCs w:val="19"/>
              </w:rPr>
            </w:pPr>
            <w:r w:rsidRPr="007D0E37">
              <w:rPr>
                <w:b/>
                <w:sz w:val="19"/>
                <w:szCs w:val="19"/>
              </w:rPr>
              <w:t>Net reductio</w:t>
            </w:r>
            <w:r w:rsidRPr="00322405">
              <w:rPr>
                <w:b/>
                <w:sz w:val="19"/>
                <w:szCs w:val="19"/>
              </w:rPr>
              <w:t>n</w:t>
            </w:r>
            <w:r w:rsidRPr="008E42B9">
              <w:rPr>
                <w:b/>
                <w:sz w:val="19"/>
                <w:szCs w:val="19"/>
              </w:rPr>
              <w:t xml:space="preserve"> in cost to PBS</w:t>
            </w:r>
          </w:p>
        </w:tc>
        <w:tc>
          <w:tcPr>
            <w:tcW w:w="647" w:type="pct"/>
            <w:shd w:val="clear" w:color="auto" w:fill="auto"/>
            <w:vAlign w:val="bottom"/>
          </w:tcPr>
          <w:p w:rsidR="00B24E5F" w:rsidRPr="007D0E37" w:rsidRDefault="00B24E5F" w:rsidP="007A45C3">
            <w:pPr>
              <w:pStyle w:val="TableText"/>
              <w:jc w:val="right"/>
              <w:rPr>
                <w:bCs/>
                <w:color w:val="000000"/>
              </w:rPr>
            </w:pPr>
            <w:r w:rsidRPr="007D0E37">
              <w:t>$</w:t>
            </w:r>
            <w:r w:rsidR="00F86D7A">
              <w:rPr>
                <w:noProof/>
                <w:color w:val="000000"/>
                <w:highlight w:val="black"/>
              </w:rPr>
              <w:t>'''''''''''''''</w:t>
            </w:r>
          </w:p>
        </w:tc>
        <w:tc>
          <w:tcPr>
            <w:tcW w:w="647" w:type="pct"/>
            <w:shd w:val="clear" w:color="auto" w:fill="auto"/>
            <w:vAlign w:val="bottom"/>
          </w:tcPr>
          <w:p w:rsidR="00B24E5F" w:rsidRPr="007D0E37" w:rsidRDefault="00B24E5F" w:rsidP="007A45C3">
            <w:pPr>
              <w:pStyle w:val="TableText"/>
              <w:jc w:val="right"/>
              <w:rPr>
                <w:bCs/>
                <w:color w:val="000000"/>
              </w:rPr>
            </w:pPr>
            <w:r w:rsidRPr="007D0E37">
              <w:t>$</w:t>
            </w:r>
            <w:r w:rsidR="00F86D7A">
              <w:rPr>
                <w:noProof/>
                <w:color w:val="000000"/>
                <w:highlight w:val="black"/>
              </w:rPr>
              <w:t>'''''''''''''''''</w:t>
            </w:r>
          </w:p>
        </w:tc>
        <w:tc>
          <w:tcPr>
            <w:tcW w:w="647" w:type="pct"/>
            <w:shd w:val="clear" w:color="auto" w:fill="auto"/>
            <w:vAlign w:val="bottom"/>
          </w:tcPr>
          <w:p w:rsidR="00B24E5F" w:rsidRPr="007D0E37" w:rsidRDefault="00B24E5F" w:rsidP="007A45C3">
            <w:pPr>
              <w:pStyle w:val="TableText"/>
              <w:jc w:val="right"/>
              <w:rPr>
                <w:bCs/>
                <w:color w:val="000000"/>
              </w:rPr>
            </w:pPr>
            <w:r w:rsidRPr="007D0E37">
              <w:t>$</w:t>
            </w:r>
            <w:r w:rsidR="00F86D7A">
              <w:rPr>
                <w:noProof/>
                <w:color w:val="000000"/>
                <w:highlight w:val="black"/>
              </w:rPr>
              <w:t>''''''''''''''''</w:t>
            </w:r>
          </w:p>
        </w:tc>
        <w:tc>
          <w:tcPr>
            <w:tcW w:w="647" w:type="pct"/>
            <w:shd w:val="clear" w:color="auto" w:fill="auto"/>
            <w:vAlign w:val="bottom"/>
          </w:tcPr>
          <w:p w:rsidR="00B24E5F" w:rsidRPr="007D0E37" w:rsidRDefault="00B24E5F" w:rsidP="007A45C3">
            <w:pPr>
              <w:pStyle w:val="TableText"/>
              <w:jc w:val="right"/>
              <w:rPr>
                <w:bCs/>
                <w:color w:val="000000"/>
              </w:rPr>
            </w:pPr>
            <w:r w:rsidRPr="007D0E37">
              <w:t>$</w:t>
            </w:r>
            <w:r w:rsidR="00F86D7A">
              <w:rPr>
                <w:noProof/>
                <w:color w:val="000000"/>
                <w:highlight w:val="black"/>
              </w:rPr>
              <w:t>''''''''''''''''</w:t>
            </w:r>
          </w:p>
        </w:tc>
        <w:tc>
          <w:tcPr>
            <w:tcW w:w="647" w:type="pct"/>
            <w:shd w:val="clear" w:color="auto" w:fill="auto"/>
            <w:vAlign w:val="bottom"/>
          </w:tcPr>
          <w:p w:rsidR="00B24E5F" w:rsidRPr="007D0E37" w:rsidRDefault="00B24E5F" w:rsidP="007A45C3">
            <w:pPr>
              <w:pStyle w:val="TableText"/>
              <w:jc w:val="right"/>
              <w:rPr>
                <w:bCs/>
                <w:color w:val="000000"/>
              </w:rPr>
            </w:pPr>
            <w:r w:rsidRPr="007D0E37">
              <w:t>$</w:t>
            </w:r>
            <w:r w:rsidR="00F86D7A">
              <w:rPr>
                <w:noProof/>
                <w:color w:val="000000"/>
                <w:highlight w:val="black"/>
              </w:rPr>
              <w:t>''''''''''''''''''</w:t>
            </w:r>
          </w:p>
        </w:tc>
        <w:tc>
          <w:tcPr>
            <w:tcW w:w="647" w:type="pct"/>
            <w:vAlign w:val="bottom"/>
          </w:tcPr>
          <w:p w:rsidR="00B24E5F" w:rsidRPr="007D0E37" w:rsidRDefault="00B24E5F" w:rsidP="007A45C3">
            <w:pPr>
              <w:pStyle w:val="TableText"/>
              <w:jc w:val="right"/>
              <w:rPr>
                <w:bCs/>
                <w:color w:val="000000"/>
              </w:rPr>
            </w:pPr>
            <w:r w:rsidRPr="007D0E37">
              <w:t>$</w:t>
            </w:r>
            <w:r w:rsidR="00F86D7A">
              <w:rPr>
                <w:noProof/>
                <w:color w:val="000000"/>
                <w:highlight w:val="black"/>
              </w:rPr>
              <w:t>'''''''''''''''''''''</w:t>
            </w:r>
          </w:p>
        </w:tc>
      </w:tr>
    </w:tbl>
    <w:p w:rsidR="00C317F3" w:rsidRPr="007D0E37" w:rsidRDefault="00C317F3" w:rsidP="008E42B9">
      <w:pPr>
        <w:pStyle w:val="TableFooter"/>
        <w:spacing w:after="0"/>
        <w:contextualSpacing w:val="0"/>
      </w:pPr>
      <w:r w:rsidRPr="007D0E37">
        <w:rPr>
          <w:vertAlign w:val="superscript"/>
        </w:rPr>
        <w:t>a</w:t>
      </w:r>
      <w:r w:rsidRPr="007D0E37">
        <w:t xml:space="preserve"> Assuming </w:t>
      </w:r>
      <w:r w:rsidR="00DA1C0A" w:rsidRPr="007D0E37">
        <w:t>12 administrations per year</w:t>
      </w:r>
      <w:r w:rsidRPr="007D0E37">
        <w:t>.</w:t>
      </w:r>
    </w:p>
    <w:p w:rsidR="004A4FE6" w:rsidRDefault="00C317F3" w:rsidP="008E42B9">
      <w:pPr>
        <w:pStyle w:val="TableFooter"/>
        <w:contextualSpacing w:val="0"/>
      </w:pPr>
      <w:r w:rsidRPr="007D0E37">
        <w:t xml:space="preserve">Source: </w:t>
      </w:r>
      <w:r w:rsidR="009651C1" w:rsidRPr="007D0E37">
        <w:t xml:space="preserve">Table 4.2.2, Table 4.2.3, Table 4.3.2, and Table 4.4.1 of the Commentary. </w:t>
      </w:r>
    </w:p>
    <w:p w:rsidR="00820F7A" w:rsidRPr="00820F7A" w:rsidRDefault="00820F7A" w:rsidP="008E42B9">
      <w:pPr>
        <w:pStyle w:val="TableFooter"/>
        <w:spacing w:before="120" w:after="160"/>
        <w:rPr>
          <w:rFonts w:asciiTheme="minorHAnsi" w:hAnsiTheme="minorHAnsi"/>
          <w:sz w:val="24"/>
          <w:szCs w:val="24"/>
        </w:rPr>
      </w:pPr>
      <w:r w:rsidRPr="00570EA1">
        <w:rPr>
          <w:rFonts w:asciiTheme="minorHAnsi" w:hAnsiTheme="minorHAnsi"/>
          <w:sz w:val="24"/>
          <w:szCs w:val="24"/>
        </w:rPr>
        <w:t>The redacted table shows that a</w:t>
      </w:r>
      <w:r>
        <w:rPr>
          <w:rFonts w:asciiTheme="minorHAnsi" w:hAnsiTheme="minorHAnsi"/>
          <w:sz w:val="24"/>
          <w:szCs w:val="24"/>
        </w:rPr>
        <w:t xml:space="preserve">t year </w:t>
      </w:r>
      <w:r w:rsidR="002F57FE">
        <w:rPr>
          <w:rFonts w:asciiTheme="minorHAnsi" w:hAnsiTheme="minorHAnsi"/>
          <w:sz w:val="24"/>
          <w:szCs w:val="24"/>
        </w:rPr>
        <w:t>5</w:t>
      </w:r>
      <w:r w:rsidRPr="00570EA1">
        <w:rPr>
          <w:rFonts w:asciiTheme="minorHAnsi" w:hAnsiTheme="minorHAnsi"/>
          <w:sz w:val="24"/>
          <w:szCs w:val="24"/>
        </w:rPr>
        <w:t xml:space="preserve">, the estimated number of </w:t>
      </w:r>
      <w:r>
        <w:rPr>
          <w:rFonts w:asciiTheme="minorHAnsi" w:hAnsiTheme="minorHAnsi"/>
          <w:sz w:val="24"/>
          <w:szCs w:val="24"/>
        </w:rPr>
        <w:t>script</w:t>
      </w:r>
      <w:r w:rsidRPr="00570EA1">
        <w:rPr>
          <w:rFonts w:asciiTheme="minorHAnsi" w:hAnsiTheme="minorHAnsi"/>
          <w:sz w:val="24"/>
          <w:szCs w:val="24"/>
        </w:rPr>
        <w:t xml:space="preserve">s was </w:t>
      </w:r>
      <w:r w:rsidRPr="00820F7A">
        <w:rPr>
          <w:rFonts w:asciiTheme="minorHAnsi" w:hAnsiTheme="minorHAnsi"/>
          <w:sz w:val="24"/>
          <w:szCs w:val="24"/>
        </w:rPr>
        <w:t>less than 10,000 per year</w:t>
      </w:r>
      <w:r w:rsidRPr="00570EA1">
        <w:rPr>
          <w:rFonts w:asciiTheme="minorHAnsi" w:hAnsiTheme="minorHAnsi"/>
          <w:sz w:val="24"/>
          <w:szCs w:val="24"/>
        </w:rPr>
        <w:t xml:space="preserve"> and the net </w:t>
      </w:r>
      <w:r>
        <w:rPr>
          <w:rFonts w:asciiTheme="minorHAnsi" w:hAnsiTheme="minorHAnsi"/>
          <w:sz w:val="24"/>
          <w:szCs w:val="24"/>
        </w:rPr>
        <w:t>reduction in cost</w:t>
      </w:r>
      <w:r w:rsidRPr="00570EA1">
        <w:rPr>
          <w:rFonts w:asciiTheme="minorHAnsi" w:hAnsiTheme="minorHAnsi"/>
          <w:sz w:val="24"/>
          <w:szCs w:val="24"/>
        </w:rPr>
        <w:t xml:space="preserve"> to the PBS would be </w:t>
      </w:r>
      <w:r w:rsidRPr="00820F7A">
        <w:rPr>
          <w:rFonts w:asciiTheme="minorHAnsi" w:hAnsiTheme="minorHAnsi"/>
          <w:sz w:val="24"/>
          <w:szCs w:val="24"/>
        </w:rPr>
        <w:t>less than $10 million per year</w:t>
      </w:r>
      <w:r>
        <w:rPr>
          <w:rFonts w:asciiTheme="minorHAnsi" w:hAnsiTheme="minorHAnsi"/>
          <w:sz w:val="24"/>
          <w:szCs w:val="24"/>
        </w:rPr>
        <w:t>.</w:t>
      </w:r>
    </w:p>
    <w:p w:rsidR="00E3338E" w:rsidRPr="007D0E37" w:rsidRDefault="00E3338E" w:rsidP="00E3338E">
      <w:pPr>
        <w:pStyle w:val="TableHeading0"/>
      </w:pPr>
      <w:r w:rsidRPr="007D0E37">
        <w:t>Table 1</w:t>
      </w:r>
      <w:r w:rsidR="00D23DF8">
        <w:t>3</w:t>
      </w:r>
      <w:r w:rsidRPr="007D0E37">
        <w:t>: Estimated use and financial implications: Commentary</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14"/>
        <w:gridCol w:w="1165"/>
        <w:gridCol w:w="1165"/>
        <w:gridCol w:w="1165"/>
        <w:gridCol w:w="1165"/>
        <w:gridCol w:w="1165"/>
        <w:gridCol w:w="1165"/>
      </w:tblGrid>
      <w:tr w:rsidR="00E3338E" w:rsidRPr="007D0E37" w:rsidTr="00AC1799">
        <w:trPr>
          <w:tblHeader/>
        </w:trPr>
        <w:tc>
          <w:tcPr>
            <w:tcW w:w="1118" w:type="pct"/>
            <w:shd w:val="clear" w:color="auto" w:fill="auto"/>
            <w:vAlign w:val="center"/>
          </w:tcPr>
          <w:p w:rsidR="00E3338E" w:rsidRPr="007D0E37" w:rsidRDefault="00E3338E" w:rsidP="00AC1799">
            <w:pPr>
              <w:pStyle w:val="TableText"/>
            </w:pPr>
          </w:p>
        </w:tc>
        <w:tc>
          <w:tcPr>
            <w:tcW w:w="647" w:type="pct"/>
            <w:shd w:val="clear" w:color="auto" w:fill="auto"/>
            <w:vAlign w:val="center"/>
          </w:tcPr>
          <w:p w:rsidR="00E3338E" w:rsidRPr="007D0E37" w:rsidRDefault="00E3338E" w:rsidP="00AC1799">
            <w:pPr>
              <w:pStyle w:val="TableText"/>
              <w:jc w:val="center"/>
              <w:rPr>
                <w:b/>
              </w:rPr>
            </w:pPr>
            <w:r w:rsidRPr="007D0E37">
              <w:rPr>
                <w:b/>
              </w:rPr>
              <w:t>Year 1</w:t>
            </w:r>
          </w:p>
        </w:tc>
        <w:tc>
          <w:tcPr>
            <w:tcW w:w="647" w:type="pct"/>
            <w:shd w:val="clear" w:color="auto" w:fill="auto"/>
            <w:vAlign w:val="center"/>
          </w:tcPr>
          <w:p w:rsidR="00E3338E" w:rsidRPr="007D0E37" w:rsidRDefault="00E3338E" w:rsidP="00AC1799">
            <w:pPr>
              <w:pStyle w:val="TableText"/>
              <w:jc w:val="center"/>
              <w:rPr>
                <w:b/>
              </w:rPr>
            </w:pPr>
            <w:r w:rsidRPr="007D0E37">
              <w:rPr>
                <w:b/>
              </w:rPr>
              <w:t>Year 2</w:t>
            </w:r>
          </w:p>
        </w:tc>
        <w:tc>
          <w:tcPr>
            <w:tcW w:w="647" w:type="pct"/>
            <w:shd w:val="clear" w:color="auto" w:fill="auto"/>
            <w:vAlign w:val="center"/>
          </w:tcPr>
          <w:p w:rsidR="00E3338E" w:rsidRPr="007D0E37" w:rsidRDefault="00E3338E" w:rsidP="00AC1799">
            <w:pPr>
              <w:pStyle w:val="TableText"/>
              <w:jc w:val="center"/>
              <w:rPr>
                <w:b/>
              </w:rPr>
            </w:pPr>
            <w:r w:rsidRPr="007D0E37">
              <w:rPr>
                <w:b/>
              </w:rPr>
              <w:t>Year 3</w:t>
            </w:r>
          </w:p>
        </w:tc>
        <w:tc>
          <w:tcPr>
            <w:tcW w:w="647" w:type="pct"/>
            <w:shd w:val="clear" w:color="auto" w:fill="auto"/>
            <w:vAlign w:val="center"/>
          </w:tcPr>
          <w:p w:rsidR="00E3338E" w:rsidRPr="007D0E37" w:rsidRDefault="00E3338E" w:rsidP="00AC1799">
            <w:pPr>
              <w:pStyle w:val="TableText"/>
              <w:jc w:val="center"/>
              <w:rPr>
                <w:b/>
              </w:rPr>
            </w:pPr>
            <w:r w:rsidRPr="007D0E37">
              <w:rPr>
                <w:b/>
              </w:rPr>
              <w:t>Year 4</w:t>
            </w:r>
          </w:p>
        </w:tc>
        <w:tc>
          <w:tcPr>
            <w:tcW w:w="647" w:type="pct"/>
            <w:shd w:val="clear" w:color="auto" w:fill="auto"/>
            <w:vAlign w:val="center"/>
          </w:tcPr>
          <w:p w:rsidR="00E3338E" w:rsidRPr="007D0E37" w:rsidRDefault="00E3338E" w:rsidP="00AC1799">
            <w:pPr>
              <w:pStyle w:val="TableText"/>
              <w:jc w:val="center"/>
              <w:rPr>
                <w:b/>
              </w:rPr>
            </w:pPr>
            <w:r w:rsidRPr="007D0E37">
              <w:rPr>
                <w:b/>
              </w:rPr>
              <w:t>Year 5</w:t>
            </w:r>
          </w:p>
        </w:tc>
        <w:tc>
          <w:tcPr>
            <w:tcW w:w="647" w:type="pct"/>
          </w:tcPr>
          <w:p w:rsidR="00E3338E" w:rsidRPr="007D0E37" w:rsidRDefault="00E3338E" w:rsidP="00AC1799">
            <w:pPr>
              <w:pStyle w:val="TableText"/>
              <w:jc w:val="center"/>
              <w:rPr>
                <w:b/>
              </w:rPr>
            </w:pPr>
            <w:r w:rsidRPr="007D0E37">
              <w:rPr>
                <w:b/>
              </w:rPr>
              <w:t>Year 6</w:t>
            </w:r>
          </w:p>
        </w:tc>
      </w:tr>
      <w:tr w:rsidR="00E3338E" w:rsidRPr="007D0E37" w:rsidTr="00AC1799">
        <w:tc>
          <w:tcPr>
            <w:tcW w:w="5000" w:type="pct"/>
            <w:gridSpan w:val="7"/>
            <w:shd w:val="clear" w:color="auto" w:fill="auto"/>
            <w:vAlign w:val="center"/>
          </w:tcPr>
          <w:p w:rsidR="00E3338E" w:rsidRPr="007D0E37" w:rsidRDefault="00E3338E" w:rsidP="00AC1799">
            <w:pPr>
              <w:pStyle w:val="TableText"/>
              <w:rPr>
                <w:b/>
                <w:bCs/>
                <w:color w:val="000000"/>
              </w:rPr>
            </w:pPr>
            <w:r w:rsidRPr="007D0E37">
              <w:rPr>
                <w:b/>
                <w:bCs/>
                <w:color w:val="000000"/>
              </w:rPr>
              <w:t>Total market bDMARDs (infliximab, adalimumab and vedolizumab) for MSUC</w:t>
            </w:r>
          </w:p>
        </w:tc>
      </w:tr>
      <w:tr w:rsidR="00E3338E" w:rsidRPr="007D0E37" w:rsidTr="00AC1799">
        <w:tc>
          <w:tcPr>
            <w:tcW w:w="1118" w:type="pct"/>
            <w:tcBorders>
              <w:bottom w:val="single" w:sz="4" w:space="0" w:color="auto"/>
            </w:tcBorders>
            <w:shd w:val="clear" w:color="auto" w:fill="auto"/>
            <w:vAlign w:val="center"/>
          </w:tcPr>
          <w:p w:rsidR="00E3338E" w:rsidRPr="007D0E37" w:rsidRDefault="00E3338E" w:rsidP="00AC1799">
            <w:pPr>
              <w:pStyle w:val="TableText"/>
              <w:rPr>
                <w:rFonts w:ascii="Times" w:eastAsia="Times New Roman" w:hAnsi="Times" w:cs="Times New Roman"/>
              </w:rPr>
            </w:pPr>
            <w:r w:rsidRPr="007D0E37">
              <w:t>Net cost to PBS</w:t>
            </w:r>
          </w:p>
        </w:tc>
        <w:tc>
          <w:tcPr>
            <w:tcW w:w="647" w:type="pct"/>
            <w:tcBorders>
              <w:bottom w:val="single" w:sz="4" w:space="0" w:color="auto"/>
            </w:tcBorders>
            <w:shd w:val="clear" w:color="auto" w:fill="auto"/>
            <w:vAlign w:val="bottom"/>
          </w:tcPr>
          <w:p w:rsidR="00E3338E" w:rsidRPr="007D0E37" w:rsidRDefault="00E3338E" w:rsidP="007A45C3">
            <w:pPr>
              <w:pStyle w:val="TableText"/>
              <w:jc w:val="right"/>
              <w:rPr>
                <w:bCs/>
                <w:color w:val="000000"/>
              </w:rPr>
            </w:pPr>
            <w:r w:rsidRPr="007D0E37">
              <w:t>$</w:t>
            </w:r>
            <w:r w:rsidR="00F86D7A">
              <w:rPr>
                <w:noProof/>
                <w:color w:val="000000"/>
                <w:highlight w:val="black"/>
              </w:rPr>
              <w:t>'''''''''''''''''''''''''''</w:t>
            </w:r>
          </w:p>
        </w:tc>
        <w:tc>
          <w:tcPr>
            <w:tcW w:w="647" w:type="pct"/>
            <w:tcBorders>
              <w:bottom w:val="single" w:sz="4" w:space="0" w:color="auto"/>
            </w:tcBorders>
            <w:shd w:val="clear" w:color="auto" w:fill="auto"/>
            <w:vAlign w:val="bottom"/>
          </w:tcPr>
          <w:p w:rsidR="00E3338E" w:rsidRPr="007D0E37" w:rsidRDefault="00E3338E" w:rsidP="007A45C3">
            <w:pPr>
              <w:pStyle w:val="TableText"/>
              <w:jc w:val="right"/>
              <w:rPr>
                <w:bCs/>
                <w:color w:val="000000"/>
              </w:rPr>
            </w:pPr>
            <w:r w:rsidRPr="007D0E37">
              <w:t>$</w:t>
            </w:r>
            <w:r w:rsidR="00F86D7A">
              <w:rPr>
                <w:noProof/>
                <w:color w:val="000000"/>
                <w:highlight w:val="black"/>
              </w:rPr>
              <w:t>''''''''''''''''''''''''''''</w:t>
            </w:r>
          </w:p>
        </w:tc>
        <w:tc>
          <w:tcPr>
            <w:tcW w:w="647" w:type="pct"/>
            <w:tcBorders>
              <w:bottom w:val="single" w:sz="4" w:space="0" w:color="auto"/>
            </w:tcBorders>
            <w:shd w:val="clear" w:color="auto" w:fill="auto"/>
            <w:vAlign w:val="bottom"/>
          </w:tcPr>
          <w:p w:rsidR="00E3338E" w:rsidRPr="007D0E37" w:rsidRDefault="00E3338E" w:rsidP="007A45C3">
            <w:pPr>
              <w:pStyle w:val="TableText"/>
              <w:jc w:val="right"/>
              <w:rPr>
                <w:bCs/>
                <w:color w:val="000000"/>
              </w:rPr>
            </w:pPr>
            <w:r w:rsidRPr="007D0E37">
              <w:t>$</w:t>
            </w:r>
            <w:r w:rsidR="00F86D7A">
              <w:rPr>
                <w:noProof/>
                <w:color w:val="000000"/>
                <w:highlight w:val="black"/>
              </w:rPr>
              <w:t>''''''''''''''''''''''''''</w:t>
            </w:r>
          </w:p>
        </w:tc>
        <w:tc>
          <w:tcPr>
            <w:tcW w:w="647" w:type="pct"/>
            <w:tcBorders>
              <w:bottom w:val="single" w:sz="4" w:space="0" w:color="auto"/>
            </w:tcBorders>
            <w:shd w:val="clear" w:color="auto" w:fill="auto"/>
            <w:vAlign w:val="bottom"/>
          </w:tcPr>
          <w:p w:rsidR="00E3338E" w:rsidRPr="007D0E37" w:rsidRDefault="00E3338E" w:rsidP="007A45C3">
            <w:pPr>
              <w:pStyle w:val="TableText"/>
              <w:jc w:val="right"/>
              <w:rPr>
                <w:bCs/>
                <w:color w:val="000000"/>
              </w:rPr>
            </w:pPr>
            <w:r w:rsidRPr="007D0E37">
              <w:t>$</w:t>
            </w:r>
            <w:r w:rsidR="00F86D7A">
              <w:rPr>
                <w:noProof/>
                <w:color w:val="000000"/>
                <w:highlight w:val="black"/>
              </w:rPr>
              <w:t>''''''''''''''''''''''''''</w:t>
            </w:r>
          </w:p>
        </w:tc>
        <w:tc>
          <w:tcPr>
            <w:tcW w:w="647" w:type="pct"/>
            <w:tcBorders>
              <w:bottom w:val="single" w:sz="4" w:space="0" w:color="auto"/>
            </w:tcBorders>
            <w:shd w:val="clear" w:color="auto" w:fill="auto"/>
            <w:vAlign w:val="bottom"/>
          </w:tcPr>
          <w:p w:rsidR="00E3338E" w:rsidRPr="007D0E37" w:rsidRDefault="00E3338E" w:rsidP="007A45C3">
            <w:pPr>
              <w:pStyle w:val="TableText"/>
              <w:jc w:val="right"/>
              <w:rPr>
                <w:bCs/>
                <w:color w:val="000000"/>
              </w:rPr>
            </w:pPr>
            <w:r w:rsidRPr="007D0E37">
              <w:t>$</w:t>
            </w:r>
            <w:r w:rsidR="00F86D7A">
              <w:rPr>
                <w:noProof/>
                <w:color w:val="000000"/>
                <w:highlight w:val="black"/>
              </w:rPr>
              <w:t>''''''''''''''''''''''''</w:t>
            </w:r>
          </w:p>
        </w:tc>
        <w:tc>
          <w:tcPr>
            <w:tcW w:w="647" w:type="pct"/>
            <w:tcBorders>
              <w:bottom w:val="single" w:sz="4" w:space="0" w:color="auto"/>
            </w:tcBorders>
            <w:vAlign w:val="bottom"/>
          </w:tcPr>
          <w:p w:rsidR="00E3338E" w:rsidRPr="007D0E37" w:rsidRDefault="00E3338E" w:rsidP="007A45C3">
            <w:pPr>
              <w:pStyle w:val="TableText"/>
              <w:jc w:val="right"/>
              <w:rPr>
                <w:bCs/>
                <w:color w:val="000000"/>
              </w:rPr>
            </w:pPr>
            <w:r w:rsidRPr="007D0E37">
              <w:t>$</w:t>
            </w:r>
            <w:r w:rsidR="00F86D7A">
              <w:rPr>
                <w:noProof/>
                <w:color w:val="000000"/>
                <w:highlight w:val="black"/>
              </w:rPr>
              <w:t>''''''''''''''''''''''''''''</w:t>
            </w:r>
          </w:p>
        </w:tc>
      </w:tr>
      <w:tr w:rsidR="00E3338E" w:rsidRPr="007D0E37" w:rsidTr="00AC1799">
        <w:tc>
          <w:tcPr>
            <w:tcW w:w="5000" w:type="pct"/>
            <w:gridSpan w:val="7"/>
            <w:shd w:val="clear" w:color="auto" w:fill="auto"/>
            <w:vAlign w:val="center"/>
          </w:tcPr>
          <w:p w:rsidR="00E3338E" w:rsidRPr="007D0E37" w:rsidRDefault="00E3338E" w:rsidP="00AC1799">
            <w:pPr>
              <w:pStyle w:val="TableText"/>
              <w:rPr>
                <w:b/>
              </w:rPr>
            </w:pPr>
            <w:r w:rsidRPr="007D0E37">
              <w:rPr>
                <w:b/>
                <w:bCs/>
              </w:rPr>
              <w:t>Estimated extent of use</w:t>
            </w:r>
            <w:r w:rsidRPr="007D0E37">
              <w:rPr>
                <w:b/>
              </w:rPr>
              <w:t xml:space="preserve"> of golimumab</w:t>
            </w:r>
          </w:p>
        </w:tc>
      </w:tr>
      <w:tr w:rsidR="004A136F" w:rsidRPr="007D0E37" w:rsidTr="00AC1799">
        <w:tc>
          <w:tcPr>
            <w:tcW w:w="1118" w:type="pct"/>
            <w:shd w:val="clear" w:color="auto" w:fill="auto"/>
            <w:vAlign w:val="center"/>
          </w:tcPr>
          <w:p w:rsidR="004A136F" w:rsidRPr="007D0E37" w:rsidRDefault="004A136F" w:rsidP="004A136F">
            <w:pPr>
              <w:pStyle w:val="TableText"/>
            </w:pPr>
            <w:r w:rsidRPr="007D0E37">
              <w:t>Number of scripts dispensed</w:t>
            </w:r>
            <w:r w:rsidRPr="007D0E37">
              <w:rPr>
                <w:vertAlign w:val="superscript"/>
              </w:rPr>
              <w:t>a</w:t>
            </w:r>
          </w:p>
        </w:tc>
        <w:tc>
          <w:tcPr>
            <w:tcW w:w="647" w:type="pct"/>
            <w:shd w:val="clear" w:color="auto" w:fill="auto"/>
          </w:tcPr>
          <w:p w:rsidR="004A136F" w:rsidRPr="00F86D7A" w:rsidRDefault="00F86D7A" w:rsidP="007A45C3">
            <w:pPr>
              <w:pStyle w:val="TableText"/>
              <w:jc w:val="center"/>
              <w:rPr>
                <w:highlight w:val="black"/>
              </w:rPr>
            </w:pPr>
            <w:r>
              <w:rPr>
                <w:noProof/>
                <w:color w:val="000000"/>
                <w:highlight w:val="black"/>
              </w:rPr>
              <w:t>''''''''''''''</w:t>
            </w:r>
          </w:p>
        </w:tc>
        <w:tc>
          <w:tcPr>
            <w:tcW w:w="647" w:type="pct"/>
            <w:shd w:val="clear" w:color="auto" w:fill="auto"/>
          </w:tcPr>
          <w:p w:rsidR="004A136F" w:rsidRPr="00F86D7A" w:rsidRDefault="00F86D7A" w:rsidP="007A45C3">
            <w:pPr>
              <w:pStyle w:val="TableText"/>
              <w:jc w:val="center"/>
              <w:rPr>
                <w:highlight w:val="black"/>
              </w:rPr>
            </w:pPr>
            <w:r>
              <w:rPr>
                <w:noProof/>
                <w:color w:val="000000"/>
                <w:highlight w:val="black"/>
              </w:rPr>
              <w:t>''''''''''''''</w:t>
            </w:r>
          </w:p>
        </w:tc>
        <w:tc>
          <w:tcPr>
            <w:tcW w:w="647" w:type="pct"/>
            <w:shd w:val="clear" w:color="auto" w:fill="auto"/>
          </w:tcPr>
          <w:p w:rsidR="004A136F" w:rsidRPr="00F86D7A" w:rsidRDefault="00F86D7A" w:rsidP="007A45C3">
            <w:pPr>
              <w:pStyle w:val="TableText"/>
              <w:jc w:val="center"/>
              <w:rPr>
                <w:highlight w:val="black"/>
              </w:rPr>
            </w:pPr>
            <w:r>
              <w:rPr>
                <w:noProof/>
                <w:color w:val="000000"/>
                <w:highlight w:val="black"/>
              </w:rPr>
              <w:t>'''''''''''''</w:t>
            </w:r>
          </w:p>
        </w:tc>
        <w:tc>
          <w:tcPr>
            <w:tcW w:w="647" w:type="pct"/>
            <w:shd w:val="clear" w:color="auto" w:fill="auto"/>
          </w:tcPr>
          <w:p w:rsidR="004A136F" w:rsidRPr="00F86D7A" w:rsidRDefault="00F86D7A" w:rsidP="007A45C3">
            <w:pPr>
              <w:pStyle w:val="TableText"/>
              <w:jc w:val="center"/>
              <w:rPr>
                <w:highlight w:val="black"/>
              </w:rPr>
            </w:pPr>
            <w:r>
              <w:rPr>
                <w:noProof/>
                <w:color w:val="000000"/>
                <w:highlight w:val="black"/>
              </w:rPr>
              <w:t>''''''''''''</w:t>
            </w:r>
          </w:p>
        </w:tc>
        <w:tc>
          <w:tcPr>
            <w:tcW w:w="647" w:type="pct"/>
            <w:shd w:val="clear" w:color="auto" w:fill="auto"/>
          </w:tcPr>
          <w:p w:rsidR="004A136F" w:rsidRPr="00F86D7A" w:rsidRDefault="00F86D7A" w:rsidP="007A45C3">
            <w:pPr>
              <w:pStyle w:val="TableText"/>
              <w:jc w:val="center"/>
              <w:rPr>
                <w:highlight w:val="black"/>
              </w:rPr>
            </w:pPr>
            <w:r>
              <w:rPr>
                <w:noProof/>
                <w:color w:val="000000"/>
                <w:highlight w:val="black"/>
              </w:rPr>
              <w:t>'''''''''''''</w:t>
            </w:r>
          </w:p>
        </w:tc>
        <w:tc>
          <w:tcPr>
            <w:tcW w:w="647" w:type="pct"/>
          </w:tcPr>
          <w:p w:rsidR="004A136F" w:rsidRPr="00F86D7A" w:rsidRDefault="00F86D7A" w:rsidP="007A45C3">
            <w:pPr>
              <w:pStyle w:val="TableText"/>
              <w:jc w:val="center"/>
              <w:rPr>
                <w:highlight w:val="black"/>
              </w:rPr>
            </w:pPr>
            <w:r>
              <w:rPr>
                <w:noProof/>
                <w:color w:val="000000"/>
                <w:highlight w:val="black"/>
              </w:rPr>
              <w:t>'''''''''''''''</w:t>
            </w:r>
          </w:p>
        </w:tc>
      </w:tr>
      <w:tr w:rsidR="00E3338E" w:rsidRPr="007D0E37" w:rsidTr="00AC1799">
        <w:tc>
          <w:tcPr>
            <w:tcW w:w="5000" w:type="pct"/>
            <w:gridSpan w:val="7"/>
            <w:shd w:val="clear" w:color="auto" w:fill="auto"/>
            <w:vAlign w:val="center"/>
          </w:tcPr>
          <w:p w:rsidR="00E3338E" w:rsidRPr="007D0E37" w:rsidRDefault="00E3338E" w:rsidP="00AC1799">
            <w:pPr>
              <w:pStyle w:val="TableText"/>
              <w:rPr>
                <w:b/>
                <w:bCs/>
                <w:color w:val="000000"/>
              </w:rPr>
            </w:pPr>
            <w:r w:rsidRPr="007D0E37">
              <w:rPr>
                <w:b/>
                <w:bCs/>
                <w:color w:val="000000"/>
              </w:rPr>
              <w:t>Estimated financial implications of golimumab</w:t>
            </w:r>
          </w:p>
        </w:tc>
      </w:tr>
      <w:tr w:rsidR="004A136F" w:rsidRPr="007D0E37" w:rsidTr="00AC1799">
        <w:tc>
          <w:tcPr>
            <w:tcW w:w="1118" w:type="pct"/>
            <w:shd w:val="clear" w:color="auto" w:fill="auto"/>
            <w:vAlign w:val="center"/>
          </w:tcPr>
          <w:p w:rsidR="004A136F" w:rsidRPr="007D0E37" w:rsidRDefault="004A136F" w:rsidP="004A136F">
            <w:pPr>
              <w:pStyle w:val="TableText"/>
              <w:rPr>
                <w:rFonts w:ascii="Times" w:eastAsia="Times New Roman" w:hAnsi="Times" w:cs="Times New Roman"/>
              </w:rPr>
            </w:pPr>
            <w:r w:rsidRPr="007D0E37">
              <w:rPr>
                <w:sz w:val="19"/>
                <w:szCs w:val="19"/>
              </w:rPr>
              <w:t>Cost to PBS/RPBS</w:t>
            </w:r>
          </w:p>
        </w:tc>
        <w:tc>
          <w:tcPr>
            <w:tcW w:w="647" w:type="pct"/>
            <w:shd w:val="clear" w:color="auto" w:fill="auto"/>
          </w:tcPr>
          <w:p w:rsidR="004A136F" w:rsidRPr="007D0E37" w:rsidRDefault="004A136F" w:rsidP="007A45C3">
            <w:pPr>
              <w:pStyle w:val="TableText"/>
              <w:jc w:val="right"/>
              <w:rPr>
                <w:bCs/>
                <w:color w:val="000000"/>
              </w:rPr>
            </w:pPr>
            <w:r w:rsidRPr="007D0E37">
              <w:t>$</w:t>
            </w:r>
            <w:r w:rsidR="00F86D7A">
              <w:rPr>
                <w:noProof/>
                <w:color w:val="000000"/>
                <w:highlight w:val="black"/>
              </w:rPr>
              <w:t>''''''''''''''''''''''''</w:t>
            </w:r>
          </w:p>
        </w:tc>
        <w:tc>
          <w:tcPr>
            <w:tcW w:w="647" w:type="pct"/>
            <w:shd w:val="clear" w:color="auto" w:fill="auto"/>
          </w:tcPr>
          <w:p w:rsidR="004A136F" w:rsidRPr="007D0E37" w:rsidRDefault="004A136F" w:rsidP="007A45C3">
            <w:pPr>
              <w:pStyle w:val="TableText"/>
              <w:jc w:val="right"/>
              <w:rPr>
                <w:bCs/>
                <w:color w:val="000000"/>
              </w:rPr>
            </w:pPr>
            <w:r w:rsidRPr="007D0E37">
              <w:t>$</w:t>
            </w:r>
            <w:r w:rsidR="00F86D7A">
              <w:rPr>
                <w:noProof/>
                <w:color w:val="000000"/>
                <w:highlight w:val="black"/>
              </w:rPr>
              <w:t>'''''''''''''''''''''''</w:t>
            </w:r>
          </w:p>
        </w:tc>
        <w:tc>
          <w:tcPr>
            <w:tcW w:w="647" w:type="pct"/>
            <w:shd w:val="clear" w:color="auto" w:fill="auto"/>
          </w:tcPr>
          <w:p w:rsidR="004A136F" w:rsidRPr="007D0E37" w:rsidRDefault="004A136F" w:rsidP="007A45C3">
            <w:pPr>
              <w:pStyle w:val="TableText"/>
              <w:jc w:val="right"/>
              <w:rPr>
                <w:bCs/>
                <w:color w:val="000000"/>
              </w:rPr>
            </w:pPr>
            <w:r w:rsidRPr="007D0E37">
              <w:t>$</w:t>
            </w:r>
            <w:r w:rsidR="00F86D7A">
              <w:rPr>
                <w:noProof/>
                <w:color w:val="000000"/>
                <w:highlight w:val="black"/>
              </w:rPr>
              <w:t>'''''''''''''''''''''''</w:t>
            </w:r>
          </w:p>
        </w:tc>
        <w:tc>
          <w:tcPr>
            <w:tcW w:w="647" w:type="pct"/>
            <w:shd w:val="clear" w:color="auto" w:fill="auto"/>
          </w:tcPr>
          <w:p w:rsidR="004A136F" w:rsidRPr="007D0E37" w:rsidRDefault="004A136F" w:rsidP="007A45C3">
            <w:pPr>
              <w:pStyle w:val="TableText"/>
              <w:jc w:val="right"/>
              <w:rPr>
                <w:bCs/>
                <w:color w:val="000000"/>
              </w:rPr>
            </w:pPr>
            <w:r w:rsidRPr="007D0E37">
              <w:t>$</w:t>
            </w:r>
            <w:r w:rsidR="00F86D7A">
              <w:rPr>
                <w:noProof/>
                <w:color w:val="000000"/>
                <w:highlight w:val="black"/>
              </w:rPr>
              <w:t>''''''''''''''''''''''</w:t>
            </w:r>
          </w:p>
        </w:tc>
        <w:tc>
          <w:tcPr>
            <w:tcW w:w="647" w:type="pct"/>
            <w:shd w:val="clear" w:color="auto" w:fill="auto"/>
          </w:tcPr>
          <w:p w:rsidR="004A136F" w:rsidRPr="007D0E37" w:rsidRDefault="004A136F" w:rsidP="007A45C3">
            <w:pPr>
              <w:pStyle w:val="TableText"/>
              <w:jc w:val="right"/>
              <w:rPr>
                <w:bCs/>
                <w:color w:val="000000"/>
              </w:rPr>
            </w:pPr>
            <w:r w:rsidRPr="007D0E37">
              <w:t>$</w:t>
            </w:r>
            <w:r w:rsidR="00F86D7A">
              <w:rPr>
                <w:noProof/>
                <w:color w:val="000000"/>
                <w:highlight w:val="black"/>
              </w:rPr>
              <w:t>'''''''''''''''''''''''''</w:t>
            </w:r>
          </w:p>
        </w:tc>
        <w:tc>
          <w:tcPr>
            <w:tcW w:w="647" w:type="pct"/>
          </w:tcPr>
          <w:p w:rsidR="004A136F" w:rsidRPr="007D0E37" w:rsidRDefault="004A136F" w:rsidP="007A45C3">
            <w:pPr>
              <w:pStyle w:val="TableText"/>
              <w:jc w:val="right"/>
              <w:rPr>
                <w:bCs/>
                <w:color w:val="000000"/>
              </w:rPr>
            </w:pPr>
            <w:r w:rsidRPr="007D0E37">
              <w:t>$</w:t>
            </w:r>
            <w:r w:rsidR="00F86D7A">
              <w:rPr>
                <w:noProof/>
                <w:color w:val="000000"/>
                <w:highlight w:val="black"/>
              </w:rPr>
              <w:t>'''''''''''''''''''''''''''''</w:t>
            </w:r>
          </w:p>
        </w:tc>
      </w:tr>
      <w:tr w:rsidR="004A136F" w:rsidRPr="007D0E37" w:rsidTr="00AC1799">
        <w:tc>
          <w:tcPr>
            <w:tcW w:w="1118" w:type="pct"/>
            <w:shd w:val="clear" w:color="auto" w:fill="auto"/>
            <w:vAlign w:val="center"/>
          </w:tcPr>
          <w:p w:rsidR="004A136F" w:rsidRPr="007D0E37" w:rsidRDefault="004A136F" w:rsidP="004A136F">
            <w:pPr>
              <w:pStyle w:val="TableText"/>
              <w:rPr>
                <w:sz w:val="19"/>
                <w:szCs w:val="19"/>
              </w:rPr>
            </w:pPr>
            <w:r w:rsidRPr="007D0E37">
              <w:rPr>
                <w:sz w:val="19"/>
                <w:szCs w:val="19"/>
              </w:rPr>
              <w:t>Copayments</w:t>
            </w:r>
          </w:p>
        </w:tc>
        <w:tc>
          <w:tcPr>
            <w:tcW w:w="647" w:type="pct"/>
            <w:shd w:val="clear" w:color="auto" w:fill="auto"/>
          </w:tcPr>
          <w:p w:rsidR="004A136F" w:rsidRPr="007D0E37" w:rsidRDefault="004A136F" w:rsidP="007A45C3">
            <w:pPr>
              <w:pStyle w:val="TableText"/>
              <w:jc w:val="right"/>
              <w:rPr>
                <w:bCs/>
                <w:color w:val="000000"/>
              </w:rPr>
            </w:pPr>
            <w:r w:rsidRPr="007D0E37">
              <w:t>$</w:t>
            </w:r>
            <w:r w:rsidR="00F86D7A">
              <w:rPr>
                <w:noProof/>
                <w:color w:val="000000"/>
                <w:highlight w:val="black"/>
              </w:rPr>
              <w:t>'''''''''''''''''</w:t>
            </w:r>
            <w:r w:rsidRPr="007D0E37">
              <w:t xml:space="preserve"> </w:t>
            </w:r>
          </w:p>
        </w:tc>
        <w:tc>
          <w:tcPr>
            <w:tcW w:w="647" w:type="pct"/>
            <w:shd w:val="clear" w:color="auto" w:fill="auto"/>
          </w:tcPr>
          <w:p w:rsidR="004A136F" w:rsidRPr="007D0E37" w:rsidRDefault="004A136F" w:rsidP="007A45C3">
            <w:pPr>
              <w:pStyle w:val="TableText"/>
              <w:jc w:val="right"/>
              <w:rPr>
                <w:bCs/>
                <w:color w:val="000000"/>
              </w:rPr>
            </w:pPr>
            <w:r w:rsidRPr="007D0E37">
              <w:t>$</w:t>
            </w:r>
            <w:r w:rsidR="00F86D7A">
              <w:rPr>
                <w:noProof/>
                <w:color w:val="000000"/>
                <w:highlight w:val="black"/>
              </w:rPr>
              <w:t>'''''''''''''''''''</w:t>
            </w:r>
            <w:r w:rsidRPr="007D0E37">
              <w:t xml:space="preserve"> </w:t>
            </w:r>
          </w:p>
        </w:tc>
        <w:tc>
          <w:tcPr>
            <w:tcW w:w="647" w:type="pct"/>
            <w:shd w:val="clear" w:color="auto" w:fill="auto"/>
          </w:tcPr>
          <w:p w:rsidR="004A136F" w:rsidRPr="007D0E37" w:rsidRDefault="004A136F" w:rsidP="007A45C3">
            <w:pPr>
              <w:pStyle w:val="TableText"/>
              <w:jc w:val="right"/>
              <w:rPr>
                <w:bCs/>
                <w:color w:val="000000"/>
              </w:rPr>
            </w:pPr>
            <w:r w:rsidRPr="007D0E37">
              <w:t>$</w:t>
            </w:r>
            <w:r w:rsidR="00F86D7A">
              <w:rPr>
                <w:noProof/>
                <w:color w:val="000000"/>
                <w:highlight w:val="black"/>
              </w:rPr>
              <w:t>'''''''''''''''''''</w:t>
            </w:r>
            <w:r w:rsidRPr="007D0E37">
              <w:t xml:space="preserve"> </w:t>
            </w:r>
          </w:p>
        </w:tc>
        <w:tc>
          <w:tcPr>
            <w:tcW w:w="647" w:type="pct"/>
            <w:shd w:val="clear" w:color="auto" w:fill="auto"/>
          </w:tcPr>
          <w:p w:rsidR="004A136F" w:rsidRPr="007D0E37" w:rsidRDefault="004A136F" w:rsidP="007A45C3">
            <w:pPr>
              <w:pStyle w:val="TableText"/>
              <w:jc w:val="right"/>
              <w:rPr>
                <w:bCs/>
                <w:color w:val="000000"/>
              </w:rPr>
            </w:pPr>
            <w:r w:rsidRPr="007D0E37">
              <w:t>$</w:t>
            </w:r>
            <w:r w:rsidR="00F86D7A">
              <w:rPr>
                <w:noProof/>
                <w:color w:val="000000"/>
                <w:highlight w:val="black"/>
              </w:rPr>
              <w:t>''''''''''''''''''</w:t>
            </w:r>
            <w:r w:rsidRPr="007D0E37">
              <w:t xml:space="preserve"> </w:t>
            </w:r>
          </w:p>
        </w:tc>
        <w:tc>
          <w:tcPr>
            <w:tcW w:w="647" w:type="pct"/>
            <w:shd w:val="clear" w:color="auto" w:fill="auto"/>
          </w:tcPr>
          <w:p w:rsidR="004A136F" w:rsidRPr="007D0E37" w:rsidRDefault="004A136F" w:rsidP="007A45C3">
            <w:pPr>
              <w:pStyle w:val="TableText"/>
              <w:jc w:val="right"/>
              <w:rPr>
                <w:bCs/>
                <w:color w:val="000000"/>
              </w:rPr>
            </w:pPr>
            <w:r w:rsidRPr="007D0E37">
              <w:t>$</w:t>
            </w:r>
            <w:r w:rsidR="00F86D7A">
              <w:rPr>
                <w:noProof/>
                <w:color w:val="000000"/>
                <w:highlight w:val="black"/>
              </w:rPr>
              <w:t>'''''''''''''''''''''</w:t>
            </w:r>
            <w:r w:rsidRPr="007D0E37">
              <w:t xml:space="preserve"> </w:t>
            </w:r>
          </w:p>
        </w:tc>
        <w:tc>
          <w:tcPr>
            <w:tcW w:w="647" w:type="pct"/>
          </w:tcPr>
          <w:p w:rsidR="004A136F" w:rsidRPr="007D0E37" w:rsidRDefault="004A136F" w:rsidP="007A45C3">
            <w:pPr>
              <w:pStyle w:val="TableText"/>
              <w:jc w:val="right"/>
              <w:rPr>
                <w:bCs/>
                <w:color w:val="000000"/>
              </w:rPr>
            </w:pPr>
            <w:r w:rsidRPr="007D0E37">
              <w:t>$</w:t>
            </w:r>
            <w:r w:rsidR="00F86D7A">
              <w:rPr>
                <w:noProof/>
                <w:color w:val="000000"/>
                <w:highlight w:val="black"/>
              </w:rPr>
              <w:t>''''''''''''''''''''''</w:t>
            </w:r>
            <w:r w:rsidRPr="007D0E37">
              <w:t xml:space="preserve"> </w:t>
            </w:r>
          </w:p>
        </w:tc>
      </w:tr>
      <w:tr w:rsidR="004A136F" w:rsidRPr="007D0E37" w:rsidTr="00AC1799">
        <w:tc>
          <w:tcPr>
            <w:tcW w:w="1118" w:type="pct"/>
            <w:shd w:val="clear" w:color="auto" w:fill="auto"/>
            <w:vAlign w:val="center"/>
          </w:tcPr>
          <w:p w:rsidR="004A136F" w:rsidRPr="007D0E37" w:rsidRDefault="004A136F" w:rsidP="004A136F">
            <w:pPr>
              <w:pStyle w:val="TableText"/>
              <w:rPr>
                <w:sz w:val="19"/>
                <w:szCs w:val="19"/>
              </w:rPr>
            </w:pPr>
            <w:r w:rsidRPr="007D0E37">
              <w:rPr>
                <w:sz w:val="19"/>
                <w:szCs w:val="19"/>
              </w:rPr>
              <w:t>Cost to PBS/RPBS less copayments</w:t>
            </w:r>
          </w:p>
        </w:tc>
        <w:tc>
          <w:tcPr>
            <w:tcW w:w="647" w:type="pct"/>
            <w:shd w:val="clear" w:color="auto" w:fill="auto"/>
          </w:tcPr>
          <w:p w:rsidR="004A136F" w:rsidRPr="007D0E37" w:rsidRDefault="004A136F" w:rsidP="007A45C3">
            <w:pPr>
              <w:pStyle w:val="TableText"/>
              <w:jc w:val="right"/>
              <w:rPr>
                <w:bCs/>
                <w:color w:val="000000"/>
              </w:rPr>
            </w:pPr>
            <w:r w:rsidRPr="007D0E37">
              <w:t>$</w:t>
            </w:r>
            <w:r w:rsidR="00F86D7A">
              <w:rPr>
                <w:noProof/>
                <w:color w:val="000000"/>
                <w:highlight w:val="black"/>
              </w:rPr>
              <w:t>''''''''''''''''''''''''</w:t>
            </w:r>
          </w:p>
        </w:tc>
        <w:tc>
          <w:tcPr>
            <w:tcW w:w="647" w:type="pct"/>
            <w:shd w:val="clear" w:color="auto" w:fill="auto"/>
          </w:tcPr>
          <w:p w:rsidR="004A136F" w:rsidRPr="007D0E37" w:rsidRDefault="004A136F" w:rsidP="007A45C3">
            <w:pPr>
              <w:pStyle w:val="TableText"/>
              <w:jc w:val="right"/>
              <w:rPr>
                <w:bCs/>
                <w:color w:val="000000"/>
              </w:rPr>
            </w:pPr>
            <w:r w:rsidRPr="007D0E37">
              <w:t>$</w:t>
            </w:r>
            <w:r w:rsidR="00F86D7A">
              <w:rPr>
                <w:noProof/>
                <w:color w:val="000000"/>
                <w:highlight w:val="black"/>
              </w:rPr>
              <w:t>'''''''''''''''''''''''''</w:t>
            </w:r>
          </w:p>
        </w:tc>
        <w:tc>
          <w:tcPr>
            <w:tcW w:w="647" w:type="pct"/>
            <w:shd w:val="clear" w:color="auto" w:fill="auto"/>
          </w:tcPr>
          <w:p w:rsidR="004A136F" w:rsidRPr="007D0E37" w:rsidRDefault="004A136F" w:rsidP="007A45C3">
            <w:pPr>
              <w:pStyle w:val="TableText"/>
              <w:jc w:val="right"/>
              <w:rPr>
                <w:bCs/>
                <w:color w:val="000000"/>
              </w:rPr>
            </w:pPr>
            <w:r w:rsidRPr="007D0E37">
              <w:t>$</w:t>
            </w:r>
            <w:r w:rsidR="00F86D7A">
              <w:rPr>
                <w:noProof/>
                <w:color w:val="000000"/>
                <w:highlight w:val="black"/>
              </w:rPr>
              <w:t>''''''''''''''''''''''</w:t>
            </w:r>
          </w:p>
        </w:tc>
        <w:tc>
          <w:tcPr>
            <w:tcW w:w="647" w:type="pct"/>
            <w:shd w:val="clear" w:color="auto" w:fill="auto"/>
          </w:tcPr>
          <w:p w:rsidR="004A136F" w:rsidRPr="007D0E37" w:rsidRDefault="004A136F" w:rsidP="007A45C3">
            <w:pPr>
              <w:pStyle w:val="TableText"/>
              <w:jc w:val="right"/>
              <w:rPr>
                <w:bCs/>
                <w:color w:val="000000"/>
              </w:rPr>
            </w:pPr>
            <w:r w:rsidRPr="007D0E37">
              <w:t>$</w:t>
            </w:r>
            <w:r w:rsidR="00F86D7A">
              <w:rPr>
                <w:noProof/>
                <w:color w:val="000000"/>
                <w:highlight w:val="black"/>
              </w:rPr>
              <w:t>''''''''''''''''''''''</w:t>
            </w:r>
          </w:p>
        </w:tc>
        <w:tc>
          <w:tcPr>
            <w:tcW w:w="647" w:type="pct"/>
            <w:shd w:val="clear" w:color="auto" w:fill="auto"/>
          </w:tcPr>
          <w:p w:rsidR="004A136F" w:rsidRPr="007D0E37" w:rsidRDefault="004A136F" w:rsidP="007A45C3">
            <w:pPr>
              <w:pStyle w:val="TableText"/>
              <w:jc w:val="right"/>
              <w:rPr>
                <w:bCs/>
                <w:color w:val="000000"/>
              </w:rPr>
            </w:pPr>
            <w:r w:rsidRPr="007D0E37">
              <w:t>$</w:t>
            </w:r>
            <w:r w:rsidR="00F86D7A">
              <w:rPr>
                <w:noProof/>
                <w:color w:val="000000"/>
                <w:highlight w:val="black"/>
              </w:rPr>
              <w:t>'''''''''''''''''''''''''''''</w:t>
            </w:r>
          </w:p>
        </w:tc>
        <w:tc>
          <w:tcPr>
            <w:tcW w:w="647" w:type="pct"/>
          </w:tcPr>
          <w:p w:rsidR="004A136F" w:rsidRPr="007D0E37" w:rsidRDefault="004A136F" w:rsidP="007A45C3">
            <w:pPr>
              <w:pStyle w:val="TableText"/>
              <w:jc w:val="right"/>
              <w:rPr>
                <w:bCs/>
                <w:color w:val="000000"/>
              </w:rPr>
            </w:pPr>
            <w:r w:rsidRPr="007D0E37">
              <w:t>$</w:t>
            </w:r>
            <w:r w:rsidR="00F86D7A">
              <w:rPr>
                <w:noProof/>
                <w:color w:val="000000"/>
                <w:highlight w:val="black"/>
              </w:rPr>
              <w:t>'''''''''''''''''''''''''''</w:t>
            </w:r>
          </w:p>
        </w:tc>
      </w:tr>
      <w:tr w:rsidR="00E3338E" w:rsidRPr="007D0E37" w:rsidTr="00AC1799">
        <w:tc>
          <w:tcPr>
            <w:tcW w:w="5000" w:type="pct"/>
            <w:gridSpan w:val="7"/>
            <w:shd w:val="clear" w:color="auto" w:fill="auto"/>
            <w:vAlign w:val="center"/>
          </w:tcPr>
          <w:p w:rsidR="00E3338E" w:rsidRPr="007D0E37" w:rsidRDefault="00E3338E" w:rsidP="00AC1799">
            <w:pPr>
              <w:pStyle w:val="TableText"/>
              <w:rPr>
                <w:bCs/>
                <w:color w:val="000000"/>
              </w:rPr>
            </w:pPr>
            <w:r w:rsidRPr="007D0E37">
              <w:rPr>
                <w:b/>
                <w:bCs/>
                <w:color w:val="000000"/>
              </w:rPr>
              <w:t>Estimated financial implications for infliximab, adalimumab and vedolizumab if golimumab is listed</w:t>
            </w:r>
          </w:p>
        </w:tc>
      </w:tr>
      <w:tr w:rsidR="00E3338E" w:rsidRPr="007D0E37" w:rsidTr="00AC1799">
        <w:tc>
          <w:tcPr>
            <w:tcW w:w="1118" w:type="pct"/>
            <w:shd w:val="clear" w:color="auto" w:fill="auto"/>
            <w:vAlign w:val="center"/>
          </w:tcPr>
          <w:p w:rsidR="00E3338E" w:rsidRPr="007D0E37" w:rsidRDefault="00E3338E" w:rsidP="00AC1799">
            <w:pPr>
              <w:pStyle w:val="TableText"/>
              <w:rPr>
                <w:sz w:val="19"/>
                <w:szCs w:val="19"/>
              </w:rPr>
            </w:pPr>
            <w:r w:rsidRPr="007D0E37">
              <w:rPr>
                <w:sz w:val="19"/>
                <w:szCs w:val="19"/>
              </w:rPr>
              <w:t>Cost to PBS/RPBS</w:t>
            </w:r>
          </w:p>
        </w:tc>
        <w:tc>
          <w:tcPr>
            <w:tcW w:w="647" w:type="pct"/>
            <w:shd w:val="clear" w:color="auto" w:fill="auto"/>
            <w:vAlign w:val="bottom"/>
          </w:tcPr>
          <w:p w:rsidR="00E3338E" w:rsidRPr="007D0E37" w:rsidRDefault="00E3338E" w:rsidP="007A45C3">
            <w:pPr>
              <w:pStyle w:val="TableText"/>
              <w:jc w:val="right"/>
              <w:rPr>
                <w:bCs/>
                <w:color w:val="000000"/>
              </w:rPr>
            </w:pPr>
            <w:r w:rsidRPr="007D0E37">
              <w:rPr>
                <w:color w:val="000000"/>
                <w:szCs w:val="20"/>
              </w:rPr>
              <w:t>$</w:t>
            </w:r>
            <w:r w:rsidR="00F86D7A">
              <w:rPr>
                <w:noProof/>
                <w:color w:val="000000"/>
                <w:szCs w:val="20"/>
                <w:highlight w:val="black"/>
              </w:rPr>
              <w:t>'''''''''''''''''''''''''</w:t>
            </w:r>
          </w:p>
        </w:tc>
        <w:tc>
          <w:tcPr>
            <w:tcW w:w="647" w:type="pct"/>
            <w:shd w:val="clear" w:color="auto" w:fill="auto"/>
            <w:vAlign w:val="bottom"/>
          </w:tcPr>
          <w:p w:rsidR="00E3338E" w:rsidRPr="007D0E37" w:rsidRDefault="00E3338E" w:rsidP="007A45C3">
            <w:pPr>
              <w:pStyle w:val="TableText"/>
              <w:jc w:val="right"/>
              <w:rPr>
                <w:bCs/>
                <w:color w:val="000000"/>
              </w:rPr>
            </w:pPr>
            <w:r w:rsidRPr="007D0E37">
              <w:rPr>
                <w:color w:val="000000"/>
                <w:szCs w:val="20"/>
              </w:rPr>
              <w:t>$</w:t>
            </w:r>
            <w:r w:rsidR="00F86D7A">
              <w:rPr>
                <w:noProof/>
                <w:color w:val="000000"/>
                <w:szCs w:val="20"/>
                <w:highlight w:val="black"/>
              </w:rPr>
              <w:t>''''''''''''''''''''''''</w:t>
            </w:r>
          </w:p>
        </w:tc>
        <w:tc>
          <w:tcPr>
            <w:tcW w:w="647" w:type="pct"/>
            <w:shd w:val="clear" w:color="auto" w:fill="auto"/>
            <w:vAlign w:val="bottom"/>
          </w:tcPr>
          <w:p w:rsidR="00E3338E" w:rsidRPr="007D0E37" w:rsidRDefault="00E3338E" w:rsidP="007A45C3">
            <w:pPr>
              <w:pStyle w:val="TableText"/>
              <w:jc w:val="right"/>
              <w:rPr>
                <w:bCs/>
                <w:color w:val="000000"/>
              </w:rPr>
            </w:pPr>
            <w:r w:rsidRPr="007D0E37">
              <w:rPr>
                <w:color w:val="000000"/>
                <w:szCs w:val="20"/>
              </w:rPr>
              <w:t>$</w:t>
            </w:r>
            <w:r w:rsidR="00F86D7A">
              <w:rPr>
                <w:noProof/>
                <w:color w:val="000000"/>
                <w:szCs w:val="20"/>
                <w:highlight w:val="black"/>
              </w:rPr>
              <w:t>'''''''''''''''''''''''''''''</w:t>
            </w:r>
          </w:p>
        </w:tc>
        <w:tc>
          <w:tcPr>
            <w:tcW w:w="647" w:type="pct"/>
            <w:shd w:val="clear" w:color="auto" w:fill="auto"/>
            <w:vAlign w:val="bottom"/>
          </w:tcPr>
          <w:p w:rsidR="00E3338E" w:rsidRPr="007D0E37" w:rsidRDefault="00E3338E" w:rsidP="007A45C3">
            <w:pPr>
              <w:pStyle w:val="TableText"/>
              <w:jc w:val="right"/>
              <w:rPr>
                <w:bCs/>
                <w:color w:val="000000"/>
              </w:rPr>
            </w:pPr>
            <w:r w:rsidRPr="007D0E37">
              <w:rPr>
                <w:color w:val="000000"/>
                <w:szCs w:val="20"/>
              </w:rPr>
              <w:t>$</w:t>
            </w:r>
            <w:r w:rsidR="00F86D7A">
              <w:rPr>
                <w:noProof/>
                <w:color w:val="000000"/>
                <w:szCs w:val="20"/>
                <w:highlight w:val="black"/>
              </w:rPr>
              <w:t>'''''''''''''''''''''''''''</w:t>
            </w:r>
          </w:p>
        </w:tc>
        <w:tc>
          <w:tcPr>
            <w:tcW w:w="647" w:type="pct"/>
            <w:shd w:val="clear" w:color="auto" w:fill="auto"/>
            <w:vAlign w:val="bottom"/>
          </w:tcPr>
          <w:p w:rsidR="00E3338E" w:rsidRPr="007D0E37" w:rsidRDefault="00E3338E" w:rsidP="007A45C3">
            <w:pPr>
              <w:pStyle w:val="TableText"/>
              <w:jc w:val="right"/>
              <w:rPr>
                <w:bCs/>
                <w:color w:val="000000"/>
              </w:rPr>
            </w:pPr>
            <w:r w:rsidRPr="007D0E37">
              <w:rPr>
                <w:color w:val="000000"/>
                <w:szCs w:val="20"/>
              </w:rPr>
              <w:t>$</w:t>
            </w:r>
            <w:r w:rsidR="00F86D7A">
              <w:rPr>
                <w:noProof/>
                <w:color w:val="000000"/>
                <w:szCs w:val="20"/>
                <w:highlight w:val="black"/>
              </w:rPr>
              <w:t>''''''''''''''''''''''''''</w:t>
            </w:r>
          </w:p>
        </w:tc>
        <w:tc>
          <w:tcPr>
            <w:tcW w:w="647" w:type="pct"/>
            <w:vAlign w:val="bottom"/>
          </w:tcPr>
          <w:p w:rsidR="00E3338E" w:rsidRPr="007D0E37" w:rsidRDefault="00E3338E" w:rsidP="007A45C3">
            <w:pPr>
              <w:pStyle w:val="TableText"/>
              <w:jc w:val="right"/>
              <w:rPr>
                <w:bCs/>
                <w:color w:val="000000"/>
              </w:rPr>
            </w:pPr>
            <w:r w:rsidRPr="007D0E37">
              <w:rPr>
                <w:color w:val="000000"/>
                <w:szCs w:val="20"/>
              </w:rPr>
              <w:t>$</w:t>
            </w:r>
            <w:r w:rsidR="00F86D7A">
              <w:rPr>
                <w:noProof/>
                <w:color w:val="000000"/>
                <w:szCs w:val="20"/>
                <w:highlight w:val="black"/>
              </w:rPr>
              <w:t>''''''''''''''''''''''''''</w:t>
            </w:r>
          </w:p>
        </w:tc>
      </w:tr>
      <w:tr w:rsidR="00E3338E" w:rsidRPr="007D0E37" w:rsidTr="00AC1799">
        <w:tc>
          <w:tcPr>
            <w:tcW w:w="1118" w:type="pct"/>
            <w:shd w:val="clear" w:color="auto" w:fill="auto"/>
            <w:vAlign w:val="center"/>
          </w:tcPr>
          <w:p w:rsidR="00E3338E" w:rsidRPr="007D0E37" w:rsidRDefault="00E3338E" w:rsidP="00AC1799">
            <w:pPr>
              <w:pStyle w:val="TableText"/>
              <w:rPr>
                <w:sz w:val="19"/>
                <w:szCs w:val="19"/>
              </w:rPr>
            </w:pPr>
            <w:r w:rsidRPr="007D0E37">
              <w:rPr>
                <w:sz w:val="19"/>
                <w:szCs w:val="19"/>
              </w:rPr>
              <w:t>Copayments</w:t>
            </w:r>
          </w:p>
        </w:tc>
        <w:tc>
          <w:tcPr>
            <w:tcW w:w="647" w:type="pct"/>
            <w:shd w:val="clear" w:color="auto" w:fill="auto"/>
            <w:vAlign w:val="bottom"/>
          </w:tcPr>
          <w:p w:rsidR="00E3338E" w:rsidRPr="007D0E37" w:rsidRDefault="00E3338E" w:rsidP="007A45C3">
            <w:pPr>
              <w:pStyle w:val="TableText"/>
              <w:jc w:val="right"/>
              <w:rPr>
                <w:bCs/>
                <w:color w:val="000000"/>
              </w:rPr>
            </w:pPr>
            <w:r w:rsidRPr="007D0E37">
              <w:rPr>
                <w:color w:val="000000"/>
                <w:szCs w:val="20"/>
              </w:rPr>
              <w:t>$</w:t>
            </w:r>
            <w:r w:rsidR="00F86D7A">
              <w:rPr>
                <w:noProof/>
                <w:color w:val="000000"/>
                <w:szCs w:val="20"/>
                <w:highlight w:val="black"/>
              </w:rPr>
              <w:t>'''''''''''''''''''''</w:t>
            </w:r>
          </w:p>
        </w:tc>
        <w:tc>
          <w:tcPr>
            <w:tcW w:w="647" w:type="pct"/>
            <w:shd w:val="clear" w:color="auto" w:fill="auto"/>
            <w:vAlign w:val="bottom"/>
          </w:tcPr>
          <w:p w:rsidR="00E3338E" w:rsidRPr="007D0E37" w:rsidRDefault="00E3338E" w:rsidP="007A45C3">
            <w:pPr>
              <w:pStyle w:val="TableText"/>
              <w:jc w:val="right"/>
              <w:rPr>
                <w:bCs/>
                <w:color w:val="000000"/>
              </w:rPr>
            </w:pPr>
            <w:r w:rsidRPr="007D0E37">
              <w:rPr>
                <w:color w:val="000000"/>
                <w:szCs w:val="20"/>
              </w:rPr>
              <w:t>$</w:t>
            </w:r>
            <w:r w:rsidR="00F86D7A">
              <w:rPr>
                <w:noProof/>
                <w:color w:val="000000"/>
                <w:szCs w:val="20"/>
                <w:highlight w:val="black"/>
              </w:rPr>
              <w:t>''''''''''''''''''''''</w:t>
            </w:r>
          </w:p>
        </w:tc>
        <w:tc>
          <w:tcPr>
            <w:tcW w:w="647" w:type="pct"/>
            <w:shd w:val="clear" w:color="auto" w:fill="auto"/>
            <w:vAlign w:val="bottom"/>
          </w:tcPr>
          <w:p w:rsidR="00E3338E" w:rsidRPr="007D0E37" w:rsidRDefault="00E3338E" w:rsidP="007A45C3">
            <w:pPr>
              <w:pStyle w:val="TableText"/>
              <w:jc w:val="right"/>
              <w:rPr>
                <w:bCs/>
                <w:color w:val="000000"/>
              </w:rPr>
            </w:pPr>
            <w:r w:rsidRPr="007D0E37">
              <w:rPr>
                <w:color w:val="000000"/>
                <w:szCs w:val="20"/>
              </w:rPr>
              <w:t>$</w:t>
            </w:r>
            <w:r w:rsidR="00F86D7A">
              <w:rPr>
                <w:noProof/>
                <w:color w:val="000000"/>
                <w:szCs w:val="20"/>
                <w:highlight w:val="black"/>
              </w:rPr>
              <w:t>'''''''''''''''''''''</w:t>
            </w:r>
          </w:p>
        </w:tc>
        <w:tc>
          <w:tcPr>
            <w:tcW w:w="647" w:type="pct"/>
            <w:shd w:val="clear" w:color="auto" w:fill="auto"/>
            <w:vAlign w:val="bottom"/>
          </w:tcPr>
          <w:p w:rsidR="00E3338E" w:rsidRPr="007D0E37" w:rsidRDefault="00E3338E" w:rsidP="007A45C3">
            <w:pPr>
              <w:pStyle w:val="TableText"/>
              <w:jc w:val="right"/>
              <w:rPr>
                <w:bCs/>
                <w:color w:val="000000"/>
              </w:rPr>
            </w:pPr>
            <w:r w:rsidRPr="007D0E37">
              <w:rPr>
                <w:color w:val="000000"/>
                <w:szCs w:val="20"/>
              </w:rPr>
              <w:t>$</w:t>
            </w:r>
            <w:r w:rsidR="00F86D7A">
              <w:rPr>
                <w:noProof/>
                <w:color w:val="000000"/>
                <w:szCs w:val="20"/>
                <w:highlight w:val="black"/>
              </w:rPr>
              <w:t>'''''''''''''''''''</w:t>
            </w:r>
          </w:p>
        </w:tc>
        <w:tc>
          <w:tcPr>
            <w:tcW w:w="647" w:type="pct"/>
            <w:shd w:val="clear" w:color="auto" w:fill="auto"/>
            <w:vAlign w:val="bottom"/>
          </w:tcPr>
          <w:p w:rsidR="00E3338E" w:rsidRPr="007D0E37" w:rsidRDefault="00E3338E" w:rsidP="007A45C3">
            <w:pPr>
              <w:pStyle w:val="TableText"/>
              <w:jc w:val="right"/>
              <w:rPr>
                <w:bCs/>
                <w:color w:val="000000"/>
              </w:rPr>
            </w:pPr>
            <w:r w:rsidRPr="007D0E37">
              <w:rPr>
                <w:color w:val="000000"/>
                <w:szCs w:val="20"/>
              </w:rPr>
              <w:t>$</w:t>
            </w:r>
            <w:r w:rsidR="00F86D7A">
              <w:rPr>
                <w:noProof/>
                <w:color w:val="000000"/>
                <w:szCs w:val="20"/>
                <w:highlight w:val="black"/>
              </w:rPr>
              <w:t>''''''''''''''''''''''</w:t>
            </w:r>
          </w:p>
        </w:tc>
        <w:tc>
          <w:tcPr>
            <w:tcW w:w="647" w:type="pct"/>
            <w:vAlign w:val="bottom"/>
          </w:tcPr>
          <w:p w:rsidR="00E3338E" w:rsidRPr="007D0E37" w:rsidRDefault="00E3338E" w:rsidP="007A45C3">
            <w:pPr>
              <w:pStyle w:val="TableText"/>
              <w:jc w:val="right"/>
              <w:rPr>
                <w:bCs/>
                <w:color w:val="000000"/>
              </w:rPr>
            </w:pPr>
            <w:r w:rsidRPr="007D0E37">
              <w:rPr>
                <w:color w:val="000000"/>
                <w:szCs w:val="20"/>
              </w:rPr>
              <w:t>$</w:t>
            </w:r>
            <w:r w:rsidR="00F86D7A">
              <w:rPr>
                <w:noProof/>
                <w:color w:val="000000"/>
                <w:szCs w:val="20"/>
                <w:highlight w:val="black"/>
              </w:rPr>
              <w:t>'''''''''''''''''''''</w:t>
            </w:r>
          </w:p>
        </w:tc>
      </w:tr>
      <w:tr w:rsidR="00E3338E" w:rsidRPr="007D0E37" w:rsidTr="00AC1799">
        <w:tc>
          <w:tcPr>
            <w:tcW w:w="1118" w:type="pct"/>
            <w:shd w:val="clear" w:color="auto" w:fill="auto"/>
            <w:vAlign w:val="center"/>
          </w:tcPr>
          <w:p w:rsidR="00E3338E" w:rsidRPr="007D0E37" w:rsidRDefault="00E3338E" w:rsidP="00AC1799">
            <w:pPr>
              <w:pStyle w:val="TableText"/>
              <w:rPr>
                <w:sz w:val="19"/>
                <w:szCs w:val="19"/>
              </w:rPr>
            </w:pPr>
            <w:r w:rsidRPr="007D0E37">
              <w:rPr>
                <w:sz w:val="19"/>
                <w:szCs w:val="19"/>
              </w:rPr>
              <w:t>Cost to PBS/RPBS less copayments</w:t>
            </w:r>
          </w:p>
        </w:tc>
        <w:tc>
          <w:tcPr>
            <w:tcW w:w="647" w:type="pct"/>
            <w:shd w:val="clear" w:color="auto" w:fill="auto"/>
            <w:vAlign w:val="bottom"/>
          </w:tcPr>
          <w:p w:rsidR="00E3338E" w:rsidRPr="007D0E37" w:rsidRDefault="00E3338E" w:rsidP="007A45C3">
            <w:pPr>
              <w:pStyle w:val="TableText"/>
              <w:jc w:val="right"/>
              <w:rPr>
                <w:bCs/>
                <w:color w:val="000000"/>
              </w:rPr>
            </w:pPr>
            <w:r w:rsidRPr="007D0E37">
              <w:rPr>
                <w:color w:val="000000"/>
                <w:szCs w:val="20"/>
              </w:rPr>
              <w:t>$</w:t>
            </w:r>
            <w:r w:rsidR="00F86D7A">
              <w:rPr>
                <w:noProof/>
                <w:color w:val="000000"/>
                <w:szCs w:val="20"/>
                <w:highlight w:val="black"/>
              </w:rPr>
              <w:t>'''''''''''''''''''''''''''</w:t>
            </w:r>
          </w:p>
        </w:tc>
        <w:tc>
          <w:tcPr>
            <w:tcW w:w="647" w:type="pct"/>
            <w:shd w:val="clear" w:color="auto" w:fill="auto"/>
            <w:vAlign w:val="bottom"/>
          </w:tcPr>
          <w:p w:rsidR="00E3338E" w:rsidRPr="007D0E37" w:rsidRDefault="00E3338E" w:rsidP="007A45C3">
            <w:pPr>
              <w:pStyle w:val="TableText"/>
              <w:jc w:val="right"/>
              <w:rPr>
                <w:bCs/>
                <w:color w:val="000000"/>
              </w:rPr>
            </w:pPr>
            <w:r w:rsidRPr="007D0E37">
              <w:rPr>
                <w:color w:val="000000"/>
                <w:szCs w:val="20"/>
              </w:rPr>
              <w:t>$</w:t>
            </w:r>
            <w:r w:rsidR="00F86D7A">
              <w:rPr>
                <w:noProof/>
                <w:color w:val="000000"/>
                <w:szCs w:val="20"/>
                <w:highlight w:val="black"/>
              </w:rPr>
              <w:t>''''''''''''''''''''''''''</w:t>
            </w:r>
          </w:p>
        </w:tc>
        <w:tc>
          <w:tcPr>
            <w:tcW w:w="647" w:type="pct"/>
            <w:shd w:val="clear" w:color="auto" w:fill="auto"/>
            <w:vAlign w:val="bottom"/>
          </w:tcPr>
          <w:p w:rsidR="00E3338E" w:rsidRPr="007D0E37" w:rsidRDefault="00E3338E" w:rsidP="007A45C3">
            <w:pPr>
              <w:pStyle w:val="TableText"/>
              <w:jc w:val="right"/>
              <w:rPr>
                <w:bCs/>
                <w:color w:val="000000"/>
              </w:rPr>
            </w:pPr>
            <w:r w:rsidRPr="007D0E37">
              <w:rPr>
                <w:color w:val="000000"/>
                <w:szCs w:val="20"/>
              </w:rPr>
              <w:t>$</w:t>
            </w:r>
            <w:r w:rsidR="00F86D7A">
              <w:rPr>
                <w:noProof/>
                <w:color w:val="000000"/>
                <w:szCs w:val="20"/>
                <w:highlight w:val="black"/>
              </w:rPr>
              <w:t>'''''''''''''''''''''''''</w:t>
            </w:r>
          </w:p>
        </w:tc>
        <w:tc>
          <w:tcPr>
            <w:tcW w:w="647" w:type="pct"/>
            <w:shd w:val="clear" w:color="auto" w:fill="auto"/>
            <w:vAlign w:val="bottom"/>
          </w:tcPr>
          <w:p w:rsidR="00E3338E" w:rsidRPr="007D0E37" w:rsidRDefault="00E3338E" w:rsidP="007A45C3">
            <w:pPr>
              <w:pStyle w:val="TableText"/>
              <w:jc w:val="right"/>
              <w:rPr>
                <w:bCs/>
                <w:color w:val="000000"/>
              </w:rPr>
            </w:pPr>
            <w:r w:rsidRPr="007D0E37">
              <w:rPr>
                <w:color w:val="000000"/>
                <w:szCs w:val="20"/>
              </w:rPr>
              <w:t>$</w:t>
            </w:r>
            <w:r w:rsidR="00F86D7A">
              <w:rPr>
                <w:noProof/>
                <w:color w:val="000000"/>
                <w:szCs w:val="20"/>
                <w:highlight w:val="black"/>
              </w:rPr>
              <w:t>'''''''''''''''''''''''''''</w:t>
            </w:r>
          </w:p>
        </w:tc>
        <w:tc>
          <w:tcPr>
            <w:tcW w:w="647" w:type="pct"/>
            <w:shd w:val="clear" w:color="auto" w:fill="auto"/>
            <w:vAlign w:val="bottom"/>
          </w:tcPr>
          <w:p w:rsidR="00E3338E" w:rsidRPr="007D0E37" w:rsidRDefault="00E3338E" w:rsidP="007A45C3">
            <w:pPr>
              <w:pStyle w:val="TableText"/>
              <w:jc w:val="right"/>
              <w:rPr>
                <w:bCs/>
                <w:color w:val="000000"/>
              </w:rPr>
            </w:pPr>
            <w:r w:rsidRPr="007D0E37">
              <w:rPr>
                <w:color w:val="000000"/>
                <w:szCs w:val="20"/>
              </w:rPr>
              <w:t>$</w:t>
            </w:r>
            <w:r w:rsidR="00F86D7A">
              <w:rPr>
                <w:noProof/>
                <w:color w:val="000000"/>
                <w:szCs w:val="20"/>
                <w:highlight w:val="black"/>
              </w:rPr>
              <w:t>''''''''''''''''''''''''''''</w:t>
            </w:r>
          </w:p>
        </w:tc>
        <w:tc>
          <w:tcPr>
            <w:tcW w:w="647" w:type="pct"/>
            <w:vAlign w:val="bottom"/>
          </w:tcPr>
          <w:p w:rsidR="00E3338E" w:rsidRPr="007D0E37" w:rsidRDefault="00E3338E" w:rsidP="007A45C3">
            <w:pPr>
              <w:pStyle w:val="TableText"/>
              <w:jc w:val="right"/>
              <w:rPr>
                <w:bCs/>
                <w:color w:val="000000"/>
              </w:rPr>
            </w:pPr>
            <w:r w:rsidRPr="007D0E37">
              <w:rPr>
                <w:color w:val="000000"/>
                <w:szCs w:val="20"/>
              </w:rPr>
              <w:t>$</w:t>
            </w:r>
            <w:r w:rsidR="00F86D7A">
              <w:rPr>
                <w:noProof/>
                <w:color w:val="000000"/>
                <w:szCs w:val="20"/>
                <w:highlight w:val="black"/>
              </w:rPr>
              <w:t>''''''''''''''''''''''''''</w:t>
            </w:r>
          </w:p>
        </w:tc>
      </w:tr>
      <w:tr w:rsidR="00E3338E" w:rsidRPr="007D0E37" w:rsidTr="00AC1799">
        <w:tc>
          <w:tcPr>
            <w:tcW w:w="5000" w:type="pct"/>
            <w:gridSpan w:val="7"/>
            <w:shd w:val="clear" w:color="auto" w:fill="auto"/>
            <w:vAlign w:val="center"/>
          </w:tcPr>
          <w:p w:rsidR="00E3338E" w:rsidRPr="007D0E37" w:rsidRDefault="00E3338E" w:rsidP="00AC1799">
            <w:pPr>
              <w:pStyle w:val="TableText"/>
              <w:rPr>
                <w:b/>
                <w:bCs/>
                <w:color w:val="000000"/>
              </w:rPr>
            </w:pPr>
            <w:r w:rsidRPr="007D0E37">
              <w:rPr>
                <w:b/>
                <w:bCs/>
                <w:color w:val="000000"/>
              </w:rPr>
              <w:t>Net financial implications</w:t>
            </w:r>
          </w:p>
        </w:tc>
      </w:tr>
      <w:tr w:rsidR="004A136F" w:rsidRPr="007D0E37" w:rsidTr="00AC1799">
        <w:tc>
          <w:tcPr>
            <w:tcW w:w="1118" w:type="pct"/>
            <w:shd w:val="clear" w:color="auto" w:fill="auto"/>
            <w:vAlign w:val="center"/>
          </w:tcPr>
          <w:p w:rsidR="004A136F" w:rsidRPr="007D0E37" w:rsidRDefault="004A136F" w:rsidP="004A136F">
            <w:pPr>
              <w:pStyle w:val="TableText"/>
              <w:rPr>
                <w:sz w:val="19"/>
                <w:szCs w:val="19"/>
              </w:rPr>
            </w:pPr>
            <w:r w:rsidRPr="007D0E37">
              <w:rPr>
                <w:b/>
                <w:sz w:val="19"/>
                <w:szCs w:val="19"/>
              </w:rPr>
              <w:t xml:space="preserve">Net </w:t>
            </w:r>
            <w:r w:rsidRPr="00322405">
              <w:rPr>
                <w:b/>
                <w:sz w:val="19"/>
                <w:szCs w:val="19"/>
              </w:rPr>
              <w:t>increase</w:t>
            </w:r>
            <w:r w:rsidRPr="008E42B9">
              <w:rPr>
                <w:b/>
                <w:sz w:val="19"/>
                <w:szCs w:val="19"/>
              </w:rPr>
              <w:t xml:space="preserve"> in cost to PBS</w:t>
            </w:r>
          </w:p>
        </w:tc>
        <w:tc>
          <w:tcPr>
            <w:tcW w:w="647" w:type="pct"/>
            <w:shd w:val="clear" w:color="auto" w:fill="auto"/>
          </w:tcPr>
          <w:p w:rsidR="004A136F" w:rsidRPr="007D0E37" w:rsidRDefault="004A136F" w:rsidP="007A45C3">
            <w:pPr>
              <w:pStyle w:val="TableText"/>
              <w:jc w:val="right"/>
              <w:rPr>
                <w:bCs/>
                <w:color w:val="000000"/>
              </w:rPr>
            </w:pPr>
            <w:r w:rsidRPr="007D0E37">
              <w:t>$</w:t>
            </w:r>
            <w:r w:rsidR="00F86D7A">
              <w:rPr>
                <w:noProof/>
                <w:color w:val="000000"/>
                <w:highlight w:val="black"/>
              </w:rPr>
              <w:t>''''''''''''''''''</w:t>
            </w:r>
          </w:p>
        </w:tc>
        <w:tc>
          <w:tcPr>
            <w:tcW w:w="647" w:type="pct"/>
            <w:shd w:val="clear" w:color="auto" w:fill="auto"/>
          </w:tcPr>
          <w:p w:rsidR="004A136F" w:rsidRPr="007D0E37" w:rsidRDefault="004A136F" w:rsidP="007A45C3">
            <w:pPr>
              <w:pStyle w:val="TableText"/>
              <w:jc w:val="right"/>
              <w:rPr>
                <w:bCs/>
                <w:color w:val="000000"/>
              </w:rPr>
            </w:pPr>
            <w:r w:rsidRPr="007D0E37">
              <w:t>$</w:t>
            </w:r>
            <w:r w:rsidR="00F86D7A">
              <w:rPr>
                <w:noProof/>
                <w:color w:val="000000"/>
                <w:highlight w:val="black"/>
              </w:rPr>
              <w:t>''''''''''''''''''''''</w:t>
            </w:r>
          </w:p>
        </w:tc>
        <w:tc>
          <w:tcPr>
            <w:tcW w:w="647" w:type="pct"/>
            <w:shd w:val="clear" w:color="auto" w:fill="auto"/>
          </w:tcPr>
          <w:p w:rsidR="004A136F" w:rsidRPr="007D0E37" w:rsidRDefault="004A136F" w:rsidP="007A45C3">
            <w:pPr>
              <w:pStyle w:val="TableText"/>
              <w:jc w:val="right"/>
              <w:rPr>
                <w:bCs/>
                <w:color w:val="000000"/>
              </w:rPr>
            </w:pPr>
            <w:r w:rsidRPr="007D0E37">
              <w:t>$</w:t>
            </w:r>
            <w:r w:rsidR="00F86D7A">
              <w:rPr>
                <w:noProof/>
                <w:color w:val="000000"/>
                <w:highlight w:val="black"/>
              </w:rPr>
              <w:t>''''''''''''''''''''</w:t>
            </w:r>
          </w:p>
        </w:tc>
        <w:tc>
          <w:tcPr>
            <w:tcW w:w="647" w:type="pct"/>
            <w:shd w:val="clear" w:color="auto" w:fill="auto"/>
          </w:tcPr>
          <w:p w:rsidR="004A136F" w:rsidRPr="007D0E37" w:rsidRDefault="004A136F" w:rsidP="007A45C3">
            <w:pPr>
              <w:pStyle w:val="TableText"/>
              <w:jc w:val="right"/>
              <w:rPr>
                <w:bCs/>
                <w:color w:val="000000"/>
              </w:rPr>
            </w:pPr>
            <w:r w:rsidRPr="007D0E37">
              <w:t>$</w:t>
            </w:r>
            <w:r w:rsidR="00F86D7A">
              <w:rPr>
                <w:noProof/>
                <w:color w:val="000000"/>
                <w:highlight w:val="black"/>
              </w:rPr>
              <w:t>'''''''''''''''''''</w:t>
            </w:r>
          </w:p>
        </w:tc>
        <w:tc>
          <w:tcPr>
            <w:tcW w:w="647" w:type="pct"/>
            <w:shd w:val="clear" w:color="auto" w:fill="auto"/>
          </w:tcPr>
          <w:p w:rsidR="004A136F" w:rsidRPr="007D0E37" w:rsidRDefault="004A136F" w:rsidP="007A45C3">
            <w:pPr>
              <w:pStyle w:val="TableText"/>
              <w:jc w:val="right"/>
              <w:rPr>
                <w:bCs/>
                <w:color w:val="000000"/>
              </w:rPr>
            </w:pPr>
            <w:r w:rsidRPr="007D0E37">
              <w:t>$</w:t>
            </w:r>
            <w:r w:rsidR="00F86D7A">
              <w:rPr>
                <w:noProof/>
                <w:color w:val="000000"/>
                <w:highlight w:val="black"/>
              </w:rPr>
              <w:t>'''''''''''''''''</w:t>
            </w:r>
          </w:p>
        </w:tc>
        <w:tc>
          <w:tcPr>
            <w:tcW w:w="647" w:type="pct"/>
          </w:tcPr>
          <w:p w:rsidR="004A136F" w:rsidRPr="007D0E37" w:rsidRDefault="004A136F" w:rsidP="007A45C3">
            <w:pPr>
              <w:pStyle w:val="TableText"/>
              <w:jc w:val="right"/>
              <w:rPr>
                <w:bCs/>
                <w:color w:val="000000"/>
              </w:rPr>
            </w:pPr>
            <w:r w:rsidRPr="007D0E37">
              <w:t>$</w:t>
            </w:r>
            <w:r w:rsidR="00F86D7A">
              <w:rPr>
                <w:noProof/>
                <w:color w:val="000000"/>
                <w:highlight w:val="black"/>
              </w:rPr>
              <w:t>'''''''''''''''''''''</w:t>
            </w:r>
          </w:p>
        </w:tc>
      </w:tr>
    </w:tbl>
    <w:p w:rsidR="00E3338E" w:rsidRPr="007D0E37" w:rsidRDefault="00E3338E" w:rsidP="00E3338E">
      <w:pPr>
        <w:pStyle w:val="TableFooter"/>
      </w:pPr>
      <w:r w:rsidRPr="007D0E37">
        <w:rPr>
          <w:vertAlign w:val="superscript"/>
        </w:rPr>
        <w:t>a</w:t>
      </w:r>
      <w:r w:rsidRPr="007D0E37">
        <w:t xml:space="preserve"> Assuming </w:t>
      </w:r>
      <w:r w:rsidR="00DA1C0A" w:rsidRPr="007D0E37">
        <w:t xml:space="preserve">13 rather than 12 administrations per </w:t>
      </w:r>
      <w:r w:rsidRPr="007D0E37">
        <w:t>year.</w:t>
      </w:r>
    </w:p>
    <w:p w:rsidR="00AB7E58" w:rsidRPr="007D0E37" w:rsidRDefault="00AB7E58" w:rsidP="00E3338E">
      <w:pPr>
        <w:pStyle w:val="TableFooter"/>
      </w:pPr>
      <w:r w:rsidRPr="007D0E37">
        <w:t>Source: Table 4.2.2, Table 4.2.3, Table 4.3.2</w:t>
      </w:r>
      <w:r w:rsidR="0013466D" w:rsidRPr="007D0E37">
        <w:t>, and Table 4.4.2</w:t>
      </w:r>
      <w:r w:rsidR="00065C8F" w:rsidRPr="007D0E37">
        <w:t xml:space="preserve"> </w:t>
      </w:r>
      <w:r w:rsidRPr="007D0E37">
        <w:t xml:space="preserve">of the Commentary. </w:t>
      </w:r>
    </w:p>
    <w:p w:rsidR="00C317F3" w:rsidRPr="007D0E37" w:rsidRDefault="007C693B" w:rsidP="00081264">
      <w:pPr>
        <w:spacing w:before="0" w:after="120"/>
        <w:jc w:val="both"/>
      </w:pPr>
      <w:r w:rsidRPr="00570EA1">
        <w:rPr>
          <w:rFonts w:cs="Arial"/>
          <w:szCs w:val="24"/>
        </w:rPr>
        <w:t>The redacted table shows that a</w:t>
      </w:r>
      <w:r>
        <w:rPr>
          <w:szCs w:val="24"/>
        </w:rPr>
        <w:t xml:space="preserve">t year </w:t>
      </w:r>
      <w:r w:rsidR="005512EC">
        <w:rPr>
          <w:szCs w:val="24"/>
        </w:rPr>
        <w:t>5</w:t>
      </w:r>
      <w:r w:rsidRPr="00570EA1">
        <w:rPr>
          <w:rFonts w:cs="Arial"/>
          <w:szCs w:val="24"/>
        </w:rPr>
        <w:t xml:space="preserve">, the estimated number of </w:t>
      </w:r>
      <w:r>
        <w:rPr>
          <w:szCs w:val="24"/>
        </w:rPr>
        <w:t>script</w:t>
      </w:r>
      <w:r w:rsidRPr="00570EA1">
        <w:rPr>
          <w:rFonts w:cs="Arial"/>
          <w:szCs w:val="24"/>
        </w:rPr>
        <w:t xml:space="preserve">s was </w:t>
      </w:r>
      <w:r w:rsidRPr="00820F7A">
        <w:rPr>
          <w:szCs w:val="24"/>
        </w:rPr>
        <w:t>less than 10,000 per year</w:t>
      </w:r>
      <w:r w:rsidRPr="00570EA1">
        <w:rPr>
          <w:rFonts w:cs="Arial"/>
          <w:szCs w:val="24"/>
        </w:rPr>
        <w:t xml:space="preserve"> and the net </w:t>
      </w:r>
      <w:r w:rsidR="00322405">
        <w:rPr>
          <w:rFonts w:cs="Arial"/>
          <w:szCs w:val="24"/>
        </w:rPr>
        <w:t>increase</w:t>
      </w:r>
      <w:r>
        <w:rPr>
          <w:szCs w:val="24"/>
        </w:rPr>
        <w:t xml:space="preserve"> in cost</w:t>
      </w:r>
      <w:r w:rsidRPr="00570EA1">
        <w:rPr>
          <w:rFonts w:cs="Arial"/>
          <w:szCs w:val="24"/>
        </w:rPr>
        <w:t xml:space="preserve"> to the PBS would be </w:t>
      </w:r>
      <w:r w:rsidRPr="00820F7A">
        <w:rPr>
          <w:szCs w:val="24"/>
        </w:rPr>
        <w:t>less than $10 million per year</w:t>
      </w:r>
      <w:r>
        <w:rPr>
          <w:szCs w:val="24"/>
        </w:rPr>
        <w:t>.</w:t>
      </w:r>
    </w:p>
    <w:p w:rsidR="00C317F3" w:rsidRPr="007D0E37" w:rsidRDefault="00C317F3" w:rsidP="00772501">
      <w:pPr>
        <w:pStyle w:val="Heading2"/>
        <w:rPr>
          <w:i w:val="0"/>
        </w:rPr>
      </w:pPr>
      <w:bookmarkStart w:id="34" w:name="_Toc413139285"/>
      <w:bookmarkStart w:id="35" w:name="_Toc493062661"/>
      <w:r w:rsidRPr="007D0E37">
        <w:rPr>
          <w:i w:val="0"/>
        </w:rPr>
        <w:t xml:space="preserve">Quality </w:t>
      </w:r>
      <w:r w:rsidR="00661286" w:rsidRPr="007D0E37">
        <w:rPr>
          <w:i w:val="0"/>
        </w:rPr>
        <w:t>u</w:t>
      </w:r>
      <w:r w:rsidRPr="007D0E37">
        <w:rPr>
          <w:i w:val="0"/>
        </w:rPr>
        <w:t xml:space="preserve">se of </w:t>
      </w:r>
      <w:r w:rsidR="00661286" w:rsidRPr="007D0E37">
        <w:rPr>
          <w:i w:val="0"/>
        </w:rPr>
        <w:t>m</w:t>
      </w:r>
      <w:r w:rsidRPr="007D0E37">
        <w:rPr>
          <w:i w:val="0"/>
        </w:rPr>
        <w:t>edicines</w:t>
      </w:r>
      <w:bookmarkEnd w:id="34"/>
      <w:bookmarkEnd w:id="35"/>
    </w:p>
    <w:p w:rsidR="00C317F3" w:rsidRDefault="00814AAB" w:rsidP="0060197D">
      <w:pPr>
        <w:pStyle w:val="ListParagraph"/>
        <w:numPr>
          <w:ilvl w:val="1"/>
          <w:numId w:val="13"/>
        </w:numPr>
        <w:jc w:val="both"/>
        <w:rPr>
          <w:rStyle w:val="CommentReference"/>
          <w:sz w:val="24"/>
          <w:szCs w:val="24"/>
        </w:rPr>
      </w:pPr>
      <w:r w:rsidRPr="007D0E37">
        <w:rPr>
          <w:rStyle w:val="CommentReference"/>
          <w:sz w:val="24"/>
          <w:szCs w:val="24"/>
        </w:rPr>
        <w:t>No quality use of medicine</w:t>
      </w:r>
      <w:r w:rsidR="00DA1C0A" w:rsidRPr="007D0E37">
        <w:rPr>
          <w:rStyle w:val="CommentReference"/>
          <w:sz w:val="24"/>
          <w:szCs w:val="24"/>
        </w:rPr>
        <w:t>s</w:t>
      </w:r>
      <w:r w:rsidRPr="007D0E37">
        <w:rPr>
          <w:rStyle w:val="CommentReference"/>
          <w:sz w:val="24"/>
          <w:szCs w:val="24"/>
        </w:rPr>
        <w:t xml:space="preserve"> information was provided in the submission. </w:t>
      </w:r>
      <w:r w:rsidR="0073068B" w:rsidRPr="007D0E37">
        <w:rPr>
          <w:rStyle w:val="CommentReference"/>
          <w:sz w:val="24"/>
          <w:szCs w:val="24"/>
        </w:rPr>
        <w:t>There is</w:t>
      </w:r>
      <w:r w:rsidR="00DA1C0A" w:rsidRPr="007D0E37">
        <w:rPr>
          <w:rStyle w:val="CommentReference"/>
          <w:sz w:val="24"/>
          <w:szCs w:val="24"/>
        </w:rPr>
        <w:t xml:space="preserve"> the potential for confusion between monthly and four weekly dosing.</w:t>
      </w:r>
    </w:p>
    <w:p w:rsidR="004241D2" w:rsidRPr="00AD3FE1" w:rsidRDefault="004241D2" w:rsidP="00AD3FE1">
      <w:pPr>
        <w:pStyle w:val="ListParagraph"/>
        <w:jc w:val="both"/>
        <w:rPr>
          <w:rStyle w:val="CommentReference"/>
          <w:i/>
          <w:sz w:val="24"/>
          <w:szCs w:val="22"/>
        </w:rPr>
      </w:pPr>
      <w:r w:rsidRPr="00AD3FE1">
        <w:rPr>
          <w:i/>
        </w:rPr>
        <w:t>For more detail on PBAC’s view, see section 7 PBAC outcome.</w:t>
      </w:r>
    </w:p>
    <w:p w:rsidR="000E4944" w:rsidRPr="00BE5999" w:rsidRDefault="000E4944" w:rsidP="000E4944">
      <w:pPr>
        <w:pStyle w:val="Heading1"/>
        <w:ind w:left="709" w:hanging="709"/>
      </w:pPr>
      <w:r w:rsidRPr="00BE5999">
        <w:t>PBAC Outcome</w:t>
      </w:r>
    </w:p>
    <w:p w:rsidR="00C465EC" w:rsidRDefault="005B2B3C" w:rsidP="0060197D">
      <w:pPr>
        <w:widowControl w:val="0"/>
        <w:numPr>
          <w:ilvl w:val="1"/>
          <w:numId w:val="15"/>
        </w:numPr>
        <w:spacing w:before="0" w:after="120"/>
        <w:jc w:val="both"/>
        <w:rPr>
          <w:rFonts w:cs="Arial"/>
          <w:bCs/>
          <w:snapToGrid w:val="0"/>
          <w:lang w:val="en-GB"/>
        </w:rPr>
      </w:pPr>
      <w:r w:rsidRPr="00BE5999">
        <w:rPr>
          <w:rFonts w:cs="Arial"/>
          <w:bCs/>
          <w:snapToGrid w:val="0"/>
          <w:lang w:val="en-GB"/>
        </w:rPr>
        <w:t xml:space="preserve">The PBAC recommended the Authority Required, listing of </w:t>
      </w:r>
      <w:r w:rsidR="00495B99" w:rsidRPr="00BE5999">
        <w:rPr>
          <w:rFonts w:cs="Arial"/>
          <w:bCs/>
          <w:snapToGrid w:val="0"/>
          <w:lang w:val="en-GB"/>
        </w:rPr>
        <w:t>golimumab for the treatment of moderate to severe ulcerative colitis</w:t>
      </w:r>
      <w:r w:rsidR="00C465EC">
        <w:rPr>
          <w:rFonts w:cs="Arial"/>
          <w:bCs/>
          <w:snapToGrid w:val="0"/>
          <w:lang w:val="en-GB"/>
        </w:rPr>
        <w:t>.</w:t>
      </w:r>
    </w:p>
    <w:p w:rsidR="00C465EC" w:rsidRDefault="00C465EC" w:rsidP="0060197D">
      <w:pPr>
        <w:widowControl w:val="0"/>
        <w:numPr>
          <w:ilvl w:val="1"/>
          <w:numId w:val="15"/>
        </w:numPr>
        <w:spacing w:before="0" w:after="120"/>
        <w:jc w:val="both"/>
        <w:rPr>
          <w:rFonts w:cs="Arial"/>
          <w:bCs/>
          <w:snapToGrid w:val="0"/>
          <w:lang w:val="en-GB"/>
        </w:rPr>
      </w:pPr>
      <w:r w:rsidRPr="00C465EC">
        <w:rPr>
          <w:rFonts w:cs="Arial"/>
          <w:bCs/>
          <w:snapToGrid w:val="0"/>
          <w:lang w:val="en-GB"/>
        </w:rPr>
        <w:t xml:space="preserve">The PBAC accepted that the clinical place for therapy of </w:t>
      </w:r>
      <w:r>
        <w:rPr>
          <w:rFonts w:cs="Arial"/>
          <w:bCs/>
          <w:snapToGrid w:val="0"/>
          <w:lang w:val="en-GB"/>
        </w:rPr>
        <w:t>golimumab</w:t>
      </w:r>
      <w:r w:rsidRPr="00C465EC">
        <w:rPr>
          <w:rFonts w:cs="Arial"/>
          <w:bCs/>
          <w:snapToGrid w:val="0"/>
          <w:lang w:val="en-GB"/>
        </w:rPr>
        <w:t xml:space="preserve"> would be as an alternative treatment option to the currently PBS listed bDMARDs</w:t>
      </w:r>
      <w:r>
        <w:rPr>
          <w:rFonts w:cs="Arial"/>
          <w:bCs/>
          <w:snapToGrid w:val="0"/>
          <w:lang w:val="en-GB"/>
        </w:rPr>
        <w:t xml:space="preserve">: </w:t>
      </w:r>
      <w:r w:rsidRPr="00C465EC">
        <w:rPr>
          <w:rFonts w:cs="Arial"/>
          <w:bCs/>
          <w:snapToGrid w:val="0"/>
          <w:lang w:val="en-GB"/>
        </w:rPr>
        <w:t>adalimumab, infliximab and vedolizumab.</w:t>
      </w:r>
      <w:r w:rsidR="00767CDD">
        <w:rPr>
          <w:rFonts w:cs="Arial"/>
          <w:bCs/>
          <w:snapToGrid w:val="0"/>
          <w:lang w:val="en-GB"/>
        </w:rPr>
        <w:t xml:space="preserve"> </w:t>
      </w:r>
    </w:p>
    <w:p w:rsidR="00C465EC" w:rsidRPr="00C465EC" w:rsidRDefault="00C465EC" w:rsidP="0060197D">
      <w:pPr>
        <w:pStyle w:val="ListParagraph"/>
        <w:numPr>
          <w:ilvl w:val="1"/>
          <w:numId w:val="15"/>
        </w:numPr>
        <w:rPr>
          <w:rFonts w:cs="Arial"/>
          <w:bCs/>
          <w:snapToGrid w:val="0"/>
          <w:lang w:val="en-GB"/>
        </w:rPr>
      </w:pPr>
      <w:r w:rsidRPr="00C465EC">
        <w:rPr>
          <w:rFonts w:cs="Arial"/>
          <w:bCs/>
          <w:snapToGrid w:val="0"/>
          <w:lang w:val="en-GB"/>
        </w:rPr>
        <w:t>The PBAC considered that any of the currently PBS listed bDMARDs could be an appropriate comparator. The PBAC accepted that golimumab was non-inferior in efficacy and safet</w:t>
      </w:r>
      <w:r>
        <w:rPr>
          <w:rFonts w:cs="Arial"/>
          <w:bCs/>
          <w:snapToGrid w:val="0"/>
          <w:lang w:val="en-GB"/>
        </w:rPr>
        <w:t>y to vedolizumab and adalimumab in both induction and maintenance therapy</w:t>
      </w:r>
      <w:r w:rsidR="00133A91">
        <w:rPr>
          <w:rFonts w:cs="Arial"/>
          <w:bCs/>
          <w:snapToGrid w:val="0"/>
          <w:lang w:val="en-GB"/>
        </w:rPr>
        <w:t>;</w:t>
      </w:r>
      <w:r>
        <w:rPr>
          <w:rFonts w:cs="Arial"/>
          <w:bCs/>
          <w:snapToGrid w:val="0"/>
          <w:lang w:val="en-GB"/>
        </w:rPr>
        <w:t xml:space="preserve"> and inferior to infliximab for efficacy for induction</w:t>
      </w:r>
      <w:r w:rsidR="00133A91">
        <w:rPr>
          <w:rFonts w:cs="Arial"/>
          <w:bCs/>
          <w:snapToGrid w:val="0"/>
          <w:lang w:val="en-GB"/>
        </w:rPr>
        <w:t>,</w:t>
      </w:r>
      <w:r>
        <w:rPr>
          <w:rFonts w:cs="Arial"/>
          <w:bCs/>
          <w:snapToGrid w:val="0"/>
          <w:lang w:val="en-GB"/>
        </w:rPr>
        <w:t xml:space="preserve"> but non-inferior to infliximab for safety and for efficacy in maintenance</w:t>
      </w:r>
      <w:r w:rsidR="00133A91">
        <w:rPr>
          <w:rFonts w:cs="Arial"/>
          <w:bCs/>
          <w:snapToGrid w:val="0"/>
          <w:lang w:val="en-GB"/>
        </w:rPr>
        <w:t xml:space="preserve"> therapy</w:t>
      </w:r>
      <w:r>
        <w:rPr>
          <w:rFonts w:cs="Arial"/>
          <w:bCs/>
          <w:snapToGrid w:val="0"/>
          <w:lang w:val="en-GB"/>
        </w:rPr>
        <w:t xml:space="preserve">. </w:t>
      </w:r>
    </w:p>
    <w:p w:rsidR="00495B99" w:rsidRDefault="00133A91" w:rsidP="0060197D">
      <w:pPr>
        <w:widowControl w:val="0"/>
        <w:numPr>
          <w:ilvl w:val="1"/>
          <w:numId w:val="15"/>
        </w:numPr>
        <w:spacing w:before="0" w:after="120"/>
        <w:jc w:val="both"/>
        <w:rPr>
          <w:rFonts w:cs="Arial"/>
          <w:bCs/>
          <w:snapToGrid w:val="0"/>
          <w:lang w:val="en-GB"/>
        </w:rPr>
      </w:pPr>
      <w:r w:rsidRPr="00133A91">
        <w:rPr>
          <w:rFonts w:cs="Arial"/>
          <w:bCs/>
          <w:snapToGrid w:val="0"/>
          <w:lang w:val="en-GB"/>
        </w:rPr>
        <w:t>The PBAC considered that in the absence of demonstrated superior comparative effectiveness or safety over the</w:t>
      </w:r>
      <w:r>
        <w:rPr>
          <w:rFonts w:cs="Arial"/>
          <w:bCs/>
          <w:snapToGrid w:val="0"/>
          <w:lang w:val="en-GB"/>
        </w:rPr>
        <w:t>se</w:t>
      </w:r>
      <w:r w:rsidRPr="00133A91">
        <w:rPr>
          <w:rFonts w:cs="Arial"/>
          <w:bCs/>
          <w:snapToGrid w:val="0"/>
          <w:lang w:val="en-GB"/>
        </w:rPr>
        <w:t xml:space="preserve"> alternative bDMARDs</w:t>
      </w:r>
      <w:r>
        <w:rPr>
          <w:rFonts w:cs="Arial"/>
          <w:bCs/>
          <w:snapToGrid w:val="0"/>
          <w:lang w:val="en-GB"/>
        </w:rPr>
        <w:t xml:space="preserve">, golimumab should be listed </w:t>
      </w:r>
      <w:r w:rsidR="001B053C">
        <w:rPr>
          <w:rFonts w:cs="Arial"/>
          <w:bCs/>
          <w:snapToGrid w:val="0"/>
          <w:lang w:val="en-GB"/>
        </w:rPr>
        <w:t xml:space="preserve">on the </w:t>
      </w:r>
      <w:r w:rsidR="001B053C" w:rsidRPr="00BE5999">
        <w:t xml:space="preserve">basis </w:t>
      </w:r>
      <w:r w:rsidR="001B053C">
        <w:t xml:space="preserve">of </w:t>
      </w:r>
      <w:r w:rsidR="001B053C" w:rsidRPr="00BE5999">
        <w:t>a cost-minimisation analysis against</w:t>
      </w:r>
      <w:r w:rsidR="001B053C">
        <w:t xml:space="preserve"> the least expensive </w:t>
      </w:r>
      <w:r>
        <w:t>bDMARD, but it must also be less expensive than infliximab to account for its inferiority in induction therapy.</w:t>
      </w:r>
      <w:r w:rsidR="00495B99" w:rsidRPr="00BE5999">
        <w:rPr>
          <w:rFonts w:cs="Arial"/>
          <w:bCs/>
          <w:snapToGrid w:val="0"/>
          <w:lang w:val="en-GB"/>
        </w:rPr>
        <w:t xml:space="preserve"> </w:t>
      </w:r>
    </w:p>
    <w:p w:rsidR="00EC4C49" w:rsidRPr="00EC4C49" w:rsidRDefault="00EC4C49" w:rsidP="0060197D">
      <w:pPr>
        <w:widowControl w:val="0"/>
        <w:numPr>
          <w:ilvl w:val="1"/>
          <w:numId w:val="15"/>
        </w:numPr>
        <w:spacing w:before="0" w:after="120"/>
        <w:jc w:val="both"/>
        <w:rPr>
          <w:rFonts w:cs="Arial"/>
          <w:bCs/>
          <w:snapToGrid w:val="0"/>
          <w:lang w:val="en-GB"/>
        </w:rPr>
      </w:pPr>
      <w:r w:rsidRPr="00BE5999">
        <w:rPr>
          <w:rFonts w:cs="Arial"/>
          <w:bCs/>
          <w:snapToGrid w:val="0"/>
          <w:lang w:val="en-GB"/>
        </w:rPr>
        <w:t xml:space="preserve">The PBAC noted that the Pre-Sub Committee Response (PSCR) </w:t>
      </w:r>
      <w:r>
        <w:rPr>
          <w:rFonts w:cs="Arial"/>
          <w:bCs/>
          <w:snapToGrid w:val="0"/>
          <w:lang w:val="en-GB"/>
        </w:rPr>
        <w:t xml:space="preserve">(p3) and the pre-PBAC response (p2) </w:t>
      </w:r>
      <w:r w:rsidRPr="00BE5999">
        <w:rPr>
          <w:rFonts w:cs="Arial"/>
          <w:bCs/>
          <w:snapToGrid w:val="0"/>
          <w:lang w:val="en-GB"/>
        </w:rPr>
        <w:t>acknowledged that equi-effective dosing of golimumab should include the doses given for induction.</w:t>
      </w:r>
    </w:p>
    <w:p w:rsidR="00993EFB" w:rsidRDefault="00D64CBF" w:rsidP="0060197D">
      <w:pPr>
        <w:widowControl w:val="0"/>
        <w:numPr>
          <w:ilvl w:val="1"/>
          <w:numId w:val="15"/>
        </w:numPr>
        <w:spacing w:before="0" w:after="120"/>
        <w:jc w:val="both"/>
        <w:rPr>
          <w:rFonts w:cs="Arial"/>
          <w:bCs/>
          <w:snapToGrid w:val="0"/>
          <w:lang w:val="en-GB"/>
        </w:rPr>
      </w:pPr>
      <w:r>
        <w:rPr>
          <w:rFonts w:cs="Arial"/>
          <w:bCs/>
          <w:snapToGrid w:val="0"/>
          <w:lang w:val="en-GB"/>
        </w:rPr>
        <w:t>The PBAC considered that the equi-effective doses were:</w:t>
      </w:r>
    </w:p>
    <w:p w:rsidR="00D64CBF" w:rsidRDefault="00D64CBF" w:rsidP="00AD3FE1">
      <w:pPr>
        <w:widowControl w:val="0"/>
        <w:spacing w:before="0" w:after="120"/>
        <w:ind w:left="993"/>
        <w:jc w:val="both"/>
        <w:rPr>
          <w:rFonts w:cs="Arial"/>
          <w:bCs/>
          <w:snapToGrid w:val="0"/>
        </w:rPr>
      </w:pPr>
      <w:r>
        <w:rPr>
          <w:rFonts w:cs="Arial"/>
          <w:bCs/>
          <w:snapToGrid w:val="0"/>
          <w:lang w:val="en-GB"/>
        </w:rPr>
        <w:t xml:space="preserve">Golimumab - </w:t>
      </w:r>
      <w:r w:rsidR="00EC4C49" w:rsidRPr="00EC4C49">
        <w:rPr>
          <w:rFonts w:cs="Arial"/>
          <w:bCs/>
          <w:snapToGrid w:val="0"/>
        </w:rPr>
        <w:t>200 mg at Week 0, 100 mg at Week 2, then 100 mg every 4 weeks</w:t>
      </w:r>
    </w:p>
    <w:p w:rsidR="00D64CBF" w:rsidRPr="007D0E37" w:rsidRDefault="00AD3FE1" w:rsidP="00AD3FE1">
      <w:pPr>
        <w:pStyle w:val="ListParagraph"/>
        <w:spacing w:before="0" w:after="120"/>
        <w:ind w:left="993"/>
        <w:jc w:val="both"/>
      </w:pPr>
      <w:r>
        <w:t>A</w:t>
      </w:r>
      <w:r w:rsidRPr="007D0E37">
        <w:t xml:space="preserve">dalimumab </w:t>
      </w:r>
      <w:r w:rsidR="00D64CBF">
        <w:t xml:space="preserve">- </w:t>
      </w:r>
      <w:r w:rsidR="00D64CBF" w:rsidRPr="007D0E37">
        <w:t xml:space="preserve">160 mg at week 0 and 80 mg week 2, then 40 mg fortnightly thereafter </w:t>
      </w:r>
    </w:p>
    <w:p w:rsidR="00D64CBF" w:rsidRDefault="00D64CBF" w:rsidP="00AD3FE1">
      <w:pPr>
        <w:widowControl w:val="0"/>
        <w:spacing w:before="0" w:after="120"/>
        <w:ind w:left="993"/>
        <w:jc w:val="both"/>
      </w:pPr>
      <w:r w:rsidRPr="007D0E37">
        <w:t xml:space="preserve">Vedolizumab – 300 mg administered at week 0, week 2, week 6 and then every 8 weeks thereafter; and </w:t>
      </w:r>
    </w:p>
    <w:p w:rsidR="00D64CBF" w:rsidRPr="00BE5999" w:rsidRDefault="00D64CBF" w:rsidP="00AD3FE1">
      <w:pPr>
        <w:widowControl w:val="0"/>
        <w:spacing w:before="0" w:after="120"/>
        <w:ind w:left="993"/>
        <w:jc w:val="both"/>
        <w:rPr>
          <w:rFonts w:cs="Arial"/>
          <w:bCs/>
          <w:snapToGrid w:val="0"/>
          <w:lang w:val="en-GB"/>
        </w:rPr>
      </w:pPr>
      <w:r w:rsidRPr="007D0E37">
        <w:t>Infliximab – 5 mg/kg administered at week 0, week 2, week 6 and then every 8 weeks thereafter.</w:t>
      </w:r>
    </w:p>
    <w:p w:rsidR="00A7070D" w:rsidRPr="00A7070D" w:rsidRDefault="00A7070D" w:rsidP="0060197D">
      <w:pPr>
        <w:widowControl w:val="0"/>
        <w:numPr>
          <w:ilvl w:val="1"/>
          <w:numId w:val="15"/>
        </w:numPr>
        <w:spacing w:before="0" w:after="120"/>
        <w:jc w:val="both"/>
        <w:rPr>
          <w:rFonts w:cs="Arial"/>
          <w:bCs/>
          <w:snapToGrid w:val="0"/>
          <w:lang w:val="en-GB"/>
        </w:rPr>
      </w:pPr>
      <w:r w:rsidRPr="00A7070D">
        <w:rPr>
          <w:rFonts w:cs="Arial"/>
          <w:bCs/>
          <w:snapToGrid w:val="0"/>
          <w:lang w:val="en-GB"/>
        </w:rPr>
        <w:t xml:space="preserve">The PBAC recommended that the Early Supply Rule should apply to golimumab. </w:t>
      </w:r>
    </w:p>
    <w:p w:rsidR="003125C7" w:rsidRPr="00DF05DB" w:rsidRDefault="003125C7" w:rsidP="0060197D">
      <w:pPr>
        <w:pStyle w:val="ListParagraph"/>
        <w:numPr>
          <w:ilvl w:val="1"/>
          <w:numId w:val="15"/>
        </w:numPr>
        <w:jc w:val="both"/>
        <w:rPr>
          <w:rFonts w:cs="Arial"/>
          <w:bCs/>
          <w:snapToGrid w:val="0"/>
          <w:lang w:val="en-GB"/>
        </w:rPr>
      </w:pPr>
      <w:r w:rsidRPr="00BE5999">
        <w:rPr>
          <w:rFonts w:cs="Arial"/>
          <w:bCs/>
          <w:snapToGrid w:val="0"/>
          <w:lang w:val="en-GB"/>
        </w:rPr>
        <w:t xml:space="preserve">The PBAC advised that golimumab </w:t>
      </w:r>
      <w:r w:rsidR="00F45C30">
        <w:rPr>
          <w:rFonts w:cs="Arial"/>
          <w:bCs/>
          <w:snapToGrid w:val="0"/>
          <w:lang w:val="en-GB"/>
        </w:rPr>
        <w:t xml:space="preserve">was </w:t>
      </w:r>
      <w:r w:rsidR="00F45C30" w:rsidRPr="00F45C30">
        <w:rPr>
          <w:rFonts w:cs="Arial"/>
          <w:bCs/>
          <w:snapToGrid w:val="0"/>
          <w:lang w:val="en-GB"/>
        </w:rPr>
        <w:t xml:space="preserve">not suitable for </w:t>
      </w:r>
      <w:r w:rsidR="00AD3FE1" w:rsidRPr="00BE5999">
        <w:rPr>
          <w:rFonts w:cs="Arial"/>
          <w:bCs/>
          <w:snapToGrid w:val="0"/>
          <w:lang w:val="en-GB"/>
        </w:rPr>
        <w:t>prescribi</w:t>
      </w:r>
      <w:r w:rsidR="00AD3FE1">
        <w:rPr>
          <w:rFonts w:cs="Arial"/>
          <w:bCs/>
          <w:snapToGrid w:val="0"/>
          <w:lang w:val="en-GB"/>
        </w:rPr>
        <w:t>ng</w:t>
      </w:r>
      <w:r w:rsidRPr="00BE5999">
        <w:rPr>
          <w:rFonts w:cs="Arial"/>
          <w:bCs/>
          <w:snapToGrid w:val="0"/>
          <w:lang w:val="en-GB"/>
        </w:rPr>
        <w:t xml:space="preserve"> by nurse practitioners as </w:t>
      </w:r>
      <w:r w:rsidR="00BE5999" w:rsidRPr="00BE5999">
        <w:rPr>
          <w:rFonts w:cs="Arial"/>
          <w:bCs/>
          <w:snapToGrid w:val="0"/>
          <w:lang w:val="en-GB"/>
        </w:rPr>
        <w:t xml:space="preserve">antineoplastic and immunomodulating </w:t>
      </w:r>
      <w:r w:rsidRPr="00BE5999">
        <w:rPr>
          <w:rFonts w:cs="Arial"/>
          <w:bCs/>
          <w:snapToGrid w:val="0"/>
          <w:lang w:val="en-GB"/>
        </w:rPr>
        <w:t>agents are currently out</w:t>
      </w:r>
      <w:r w:rsidR="00F45C30">
        <w:rPr>
          <w:rFonts w:cs="Arial"/>
          <w:bCs/>
          <w:snapToGrid w:val="0"/>
          <w:lang w:val="en-GB"/>
        </w:rPr>
        <w:t>side</w:t>
      </w:r>
      <w:r w:rsidRPr="00BE5999">
        <w:rPr>
          <w:rFonts w:cs="Arial"/>
          <w:bCs/>
          <w:snapToGrid w:val="0"/>
          <w:lang w:val="en-GB"/>
        </w:rPr>
        <w:t xml:space="preserve"> of</w:t>
      </w:r>
      <w:r w:rsidR="00F45C30">
        <w:rPr>
          <w:rFonts w:cs="Arial"/>
          <w:bCs/>
          <w:snapToGrid w:val="0"/>
          <w:lang w:val="en-GB"/>
        </w:rPr>
        <w:t xml:space="preserve"> the</w:t>
      </w:r>
      <w:r w:rsidRPr="00BE5999">
        <w:rPr>
          <w:rFonts w:cs="Arial"/>
          <w:bCs/>
          <w:snapToGrid w:val="0"/>
          <w:lang w:val="en-GB"/>
        </w:rPr>
        <w:t xml:space="preserve"> scope for prescribing by</w:t>
      </w:r>
      <w:r w:rsidRPr="00DF05DB">
        <w:rPr>
          <w:rFonts w:cs="Arial"/>
          <w:bCs/>
          <w:snapToGrid w:val="0"/>
          <w:lang w:val="en-GB"/>
        </w:rPr>
        <w:t xml:space="preserve"> nurse practitioners.</w:t>
      </w:r>
    </w:p>
    <w:p w:rsidR="000D7F87" w:rsidRPr="00AD3FE1" w:rsidRDefault="00DE60DB" w:rsidP="0060197D">
      <w:pPr>
        <w:widowControl w:val="0"/>
        <w:numPr>
          <w:ilvl w:val="1"/>
          <w:numId w:val="15"/>
        </w:numPr>
        <w:spacing w:before="0" w:after="120"/>
        <w:jc w:val="both"/>
        <w:rPr>
          <w:rFonts w:cs="Arial"/>
          <w:bCs/>
          <w:snapToGrid w:val="0"/>
          <w:lang w:val="en-GB"/>
        </w:rPr>
      </w:pPr>
      <w:r w:rsidRPr="00DE60DB">
        <w:rPr>
          <w:rFonts w:cs="Arial"/>
          <w:bCs/>
          <w:snapToGrid w:val="0"/>
          <w:lang w:val="en-GB"/>
        </w:rPr>
        <w:t>The PBAC did not recommend that golimumab should be treated as interchangeable on an individual patient basis with any other drug.</w:t>
      </w:r>
      <w:r w:rsidR="00767CDD">
        <w:rPr>
          <w:rFonts w:ascii="Arial" w:hAnsi="Arial" w:cs="Arial"/>
          <w:color w:val="1F497D"/>
          <w:sz w:val="18"/>
          <w:szCs w:val="18"/>
        </w:rPr>
        <w:t xml:space="preserve"> </w:t>
      </w:r>
      <w:r w:rsidR="000D7F87" w:rsidRPr="00AD3FE1">
        <w:rPr>
          <w:rFonts w:cs="Arial"/>
          <w:bCs/>
          <w:snapToGrid w:val="0"/>
          <w:lang w:val="en-GB"/>
        </w:rPr>
        <w:t xml:space="preserve"> </w:t>
      </w:r>
    </w:p>
    <w:p w:rsidR="003125C7" w:rsidRDefault="003125C7" w:rsidP="0060197D">
      <w:pPr>
        <w:pStyle w:val="ListParagraph"/>
        <w:numPr>
          <w:ilvl w:val="1"/>
          <w:numId w:val="15"/>
        </w:numPr>
        <w:jc w:val="both"/>
        <w:rPr>
          <w:rFonts w:cs="Arial"/>
          <w:bCs/>
          <w:snapToGrid w:val="0"/>
          <w:lang w:val="en-GB"/>
        </w:rPr>
      </w:pPr>
      <w:r w:rsidRPr="00F0337E">
        <w:rPr>
          <w:rFonts w:cs="Arial"/>
          <w:bCs/>
          <w:snapToGrid w:val="0"/>
          <w:lang w:val="en-GB"/>
        </w:rPr>
        <w:t xml:space="preserve">The PBAC noted that this submission is not eligible for an Independent Review because it </w:t>
      </w:r>
      <w:r>
        <w:rPr>
          <w:rFonts w:cs="Arial"/>
          <w:bCs/>
          <w:snapToGrid w:val="0"/>
          <w:lang w:val="en-GB"/>
        </w:rPr>
        <w:t>has received a positive recommendation</w:t>
      </w:r>
      <w:r w:rsidRPr="00F0337E">
        <w:rPr>
          <w:rFonts w:cs="Arial"/>
          <w:bCs/>
          <w:snapToGrid w:val="0"/>
          <w:lang w:val="en-GB"/>
        </w:rPr>
        <w:t xml:space="preserve">. </w:t>
      </w:r>
    </w:p>
    <w:p w:rsidR="000E4944" w:rsidRPr="005B2B3C" w:rsidRDefault="000E4944" w:rsidP="000E4944">
      <w:pPr>
        <w:spacing w:before="240"/>
        <w:rPr>
          <w:rFonts w:cs="Arial"/>
          <w:b/>
          <w:bCs/>
          <w:snapToGrid w:val="0"/>
          <w:lang w:val="en-GB"/>
        </w:rPr>
      </w:pPr>
      <w:r w:rsidRPr="005B2B3C">
        <w:rPr>
          <w:rFonts w:cs="Arial"/>
          <w:b/>
          <w:bCs/>
          <w:snapToGrid w:val="0"/>
          <w:lang w:val="en-GB"/>
        </w:rPr>
        <w:t>Outcome:</w:t>
      </w:r>
    </w:p>
    <w:p w:rsidR="000E4944" w:rsidRPr="005B2B3C" w:rsidRDefault="000E4944" w:rsidP="000E4944">
      <w:pPr>
        <w:rPr>
          <w:rFonts w:cs="Arial"/>
          <w:bCs/>
          <w:snapToGrid w:val="0"/>
          <w:lang w:val="en-GB"/>
        </w:rPr>
      </w:pPr>
      <w:r w:rsidRPr="005B2B3C">
        <w:rPr>
          <w:rFonts w:cs="Arial"/>
          <w:bCs/>
          <w:snapToGrid w:val="0"/>
          <w:lang w:val="en-GB"/>
        </w:rPr>
        <w:t xml:space="preserve">Recommended </w:t>
      </w:r>
    </w:p>
    <w:p w:rsidR="0039450B" w:rsidRPr="005A48A5" w:rsidRDefault="0039450B" w:rsidP="000E4944">
      <w:pPr>
        <w:widowControl w:val="0"/>
        <w:rPr>
          <w:rFonts w:cs="Arial"/>
          <w:bCs/>
          <w:snapToGrid w:val="0"/>
          <w:highlight w:val="yellow"/>
        </w:rPr>
      </w:pPr>
    </w:p>
    <w:p w:rsidR="0039450B" w:rsidRDefault="0039450B">
      <w:pPr>
        <w:spacing w:before="0" w:line="259" w:lineRule="auto"/>
        <w:rPr>
          <w:rFonts w:eastAsiaTheme="majorEastAsia" w:cstheme="majorBidi"/>
          <w:b/>
          <w:sz w:val="32"/>
          <w:szCs w:val="28"/>
        </w:rPr>
      </w:pPr>
      <w:r>
        <w:br w:type="page"/>
      </w:r>
    </w:p>
    <w:p w:rsidR="000E4944" w:rsidRPr="000D7F87" w:rsidRDefault="000E4944" w:rsidP="000E4944">
      <w:pPr>
        <w:pStyle w:val="Heading1"/>
        <w:ind w:left="709" w:hanging="709"/>
      </w:pPr>
      <w:r w:rsidRPr="000D7F87">
        <w:t>Recommended listing</w:t>
      </w:r>
    </w:p>
    <w:p w:rsidR="000E4944" w:rsidRPr="000D7F87" w:rsidRDefault="000E4944" w:rsidP="000E4944">
      <w:pPr>
        <w:widowControl w:val="0"/>
        <w:ind w:firstLine="720"/>
        <w:rPr>
          <w:rFonts w:cs="Arial"/>
          <w:bCs/>
          <w:snapToGrid w:val="0"/>
        </w:rPr>
      </w:pPr>
      <w:r w:rsidRPr="000D7F87">
        <w:rPr>
          <w:rFonts w:cs="Arial"/>
          <w:bCs/>
          <w:snapToGrid w:val="0"/>
        </w:rPr>
        <w:t>Add new item</w:t>
      </w:r>
      <w:r w:rsidR="00970A4B">
        <w:rPr>
          <w:rFonts w:cs="Arial"/>
          <w:bCs/>
          <w:snapToGrid w:val="0"/>
        </w:rPr>
        <w:t>s</w:t>
      </w:r>
      <w:r w:rsidRPr="000D7F87">
        <w:rPr>
          <w:rFonts w:cs="Arial"/>
          <w:bCs/>
          <w:snapToGrid w:val="0"/>
        </w:rPr>
        <w:t>:</w:t>
      </w:r>
    </w:p>
    <w:tbl>
      <w:tblPr>
        <w:tblW w:w="5010" w:type="pct"/>
        <w:tblCellMar>
          <w:left w:w="28" w:type="dxa"/>
          <w:right w:w="28" w:type="dxa"/>
        </w:tblCellMar>
        <w:tblLook w:val="0000" w:firstRow="0" w:lastRow="0" w:firstColumn="0" w:lastColumn="0" w:noHBand="0" w:noVBand="0"/>
      </w:tblPr>
      <w:tblGrid>
        <w:gridCol w:w="24"/>
        <w:gridCol w:w="1980"/>
        <w:gridCol w:w="1369"/>
        <w:gridCol w:w="763"/>
        <w:gridCol w:w="919"/>
        <w:gridCol w:w="1654"/>
        <w:gridCol w:w="992"/>
        <w:gridCol w:w="1383"/>
        <w:gridCol w:w="16"/>
      </w:tblGrid>
      <w:tr w:rsidR="00EB29D6" w:rsidRPr="00691913" w:rsidTr="00F52FDB">
        <w:trPr>
          <w:gridAfter w:val="1"/>
          <w:wAfter w:w="9" w:type="pct"/>
          <w:cantSplit/>
          <w:trHeight w:val="463"/>
        </w:trPr>
        <w:tc>
          <w:tcPr>
            <w:tcW w:w="1853" w:type="pct"/>
            <w:gridSpan w:val="3"/>
            <w:tcBorders>
              <w:top w:val="single" w:sz="4" w:space="0" w:color="auto"/>
              <w:bottom w:val="single" w:sz="4" w:space="0" w:color="auto"/>
            </w:tcBorders>
            <w:vAlign w:val="center"/>
          </w:tcPr>
          <w:p w:rsidR="00EB29D6" w:rsidRPr="00984441" w:rsidRDefault="00EB29D6" w:rsidP="00F52FDB">
            <w:pPr>
              <w:pStyle w:val="TableText"/>
              <w:keepNext w:val="0"/>
              <w:rPr>
                <w:b/>
              </w:rPr>
            </w:pPr>
            <w:r w:rsidRPr="00984441">
              <w:rPr>
                <w:b/>
              </w:rPr>
              <w:t>Name, Restriction,</w:t>
            </w:r>
          </w:p>
          <w:p w:rsidR="00EB29D6" w:rsidRPr="00984441" w:rsidRDefault="00EB29D6" w:rsidP="00F52FDB">
            <w:pPr>
              <w:pStyle w:val="TableText"/>
              <w:keepNext w:val="0"/>
              <w:rPr>
                <w:b/>
              </w:rPr>
            </w:pPr>
            <w:r w:rsidRPr="00984441">
              <w:rPr>
                <w:b/>
              </w:rPr>
              <w:t>Manner of administration and form</w:t>
            </w:r>
          </w:p>
        </w:tc>
        <w:tc>
          <w:tcPr>
            <w:tcW w:w="419" w:type="pct"/>
            <w:tcBorders>
              <w:top w:val="single" w:sz="4" w:space="0" w:color="auto"/>
              <w:bottom w:val="single" w:sz="4" w:space="0" w:color="auto"/>
            </w:tcBorders>
            <w:vAlign w:val="center"/>
          </w:tcPr>
          <w:p w:rsidR="00EB29D6" w:rsidRPr="00984441" w:rsidRDefault="00EB29D6" w:rsidP="00F52FDB">
            <w:pPr>
              <w:pStyle w:val="TableText"/>
              <w:keepNext w:val="0"/>
              <w:rPr>
                <w:b/>
              </w:rPr>
            </w:pPr>
            <w:r w:rsidRPr="00984441">
              <w:rPr>
                <w:b/>
              </w:rPr>
              <w:t>Max.</w:t>
            </w:r>
          </w:p>
          <w:p w:rsidR="00EB29D6" w:rsidRPr="00984441" w:rsidRDefault="00EB29D6" w:rsidP="00F52FDB">
            <w:pPr>
              <w:pStyle w:val="TableText"/>
              <w:keepNext w:val="0"/>
              <w:rPr>
                <w:b/>
              </w:rPr>
            </w:pPr>
            <w:r w:rsidRPr="00984441">
              <w:rPr>
                <w:b/>
              </w:rPr>
              <w:t xml:space="preserve">Qty </w:t>
            </w:r>
          </w:p>
        </w:tc>
        <w:tc>
          <w:tcPr>
            <w:tcW w:w="505" w:type="pct"/>
            <w:tcBorders>
              <w:top w:val="single" w:sz="4" w:space="0" w:color="auto"/>
              <w:bottom w:val="single" w:sz="4" w:space="0" w:color="auto"/>
            </w:tcBorders>
            <w:vAlign w:val="center"/>
          </w:tcPr>
          <w:p w:rsidR="00EB29D6" w:rsidRPr="00984441" w:rsidRDefault="00EB29D6" w:rsidP="00F52FDB">
            <w:pPr>
              <w:pStyle w:val="TableText"/>
              <w:keepNext w:val="0"/>
              <w:rPr>
                <w:b/>
              </w:rPr>
            </w:pPr>
            <w:r w:rsidRPr="00984441">
              <w:rPr>
                <w:b/>
              </w:rPr>
              <w:t>№.of</w:t>
            </w:r>
          </w:p>
          <w:p w:rsidR="00EB29D6" w:rsidRPr="00984441" w:rsidRDefault="00EB29D6" w:rsidP="00F52FDB">
            <w:pPr>
              <w:pStyle w:val="TableText"/>
              <w:keepNext w:val="0"/>
              <w:rPr>
                <w:b/>
              </w:rPr>
            </w:pPr>
            <w:r w:rsidRPr="00984441">
              <w:rPr>
                <w:b/>
              </w:rPr>
              <w:t>Rpts</w:t>
            </w:r>
          </w:p>
        </w:tc>
        <w:tc>
          <w:tcPr>
            <w:tcW w:w="909" w:type="pct"/>
            <w:tcBorders>
              <w:top w:val="single" w:sz="4" w:space="0" w:color="auto"/>
              <w:bottom w:val="single" w:sz="4" w:space="0" w:color="auto"/>
            </w:tcBorders>
            <w:vAlign w:val="center"/>
          </w:tcPr>
          <w:p w:rsidR="00EB29D6" w:rsidRPr="00984441" w:rsidRDefault="00EB29D6" w:rsidP="00F52FDB">
            <w:pPr>
              <w:pStyle w:val="TableText"/>
              <w:keepNext w:val="0"/>
              <w:rPr>
                <w:b/>
              </w:rPr>
            </w:pPr>
          </w:p>
        </w:tc>
        <w:tc>
          <w:tcPr>
            <w:tcW w:w="1305" w:type="pct"/>
            <w:gridSpan w:val="2"/>
            <w:tcBorders>
              <w:top w:val="single" w:sz="4" w:space="0" w:color="auto"/>
              <w:bottom w:val="single" w:sz="4" w:space="0" w:color="auto"/>
            </w:tcBorders>
            <w:vAlign w:val="center"/>
          </w:tcPr>
          <w:p w:rsidR="00EB29D6" w:rsidRPr="00984441" w:rsidRDefault="00EB29D6" w:rsidP="00F52FDB">
            <w:pPr>
              <w:pStyle w:val="TableText"/>
              <w:keepNext w:val="0"/>
              <w:rPr>
                <w:b/>
                <w:lang w:val="fr-FR"/>
              </w:rPr>
            </w:pPr>
            <w:r w:rsidRPr="00984441">
              <w:rPr>
                <w:b/>
              </w:rPr>
              <w:t>Proprietary Name and Manufacturer</w:t>
            </w:r>
          </w:p>
        </w:tc>
      </w:tr>
      <w:tr w:rsidR="00EB29D6" w:rsidRPr="00691913" w:rsidTr="00F52FDB">
        <w:trPr>
          <w:gridAfter w:val="1"/>
          <w:wAfter w:w="9" w:type="pct"/>
          <w:cantSplit/>
          <w:trHeight w:val="182"/>
        </w:trPr>
        <w:tc>
          <w:tcPr>
            <w:tcW w:w="1853" w:type="pct"/>
            <w:gridSpan w:val="3"/>
            <w:tcBorders>
              <w:top w:val="single" w:sz="4" w:space="0" w:color="auto"/>
              <w:bottom w:val="single" w:sz="4" w:space="0" w:color="auto"/>
            </w:tcBorders>
            <w:vAlign w:val="center"/>
          </w:tcPr>
          <w:p w:rsidR="00EB29D6" w:rsidRPr="00691913" w:rsidRDefault="00EB29D6" w:rsidP="00F52FDB">
            <w:pPr>
              <w:pStyle w:val="TableText"/>
              <w:keepNext w:val="0"/>
            </w:pPr>
            <w:r>
              <w:t>Induction treatment</w:t>
            </w:r>
          </w:p>
        </w:tc>
        <w:tc>
          <w:tcPr>
            <w:tcW w:w="419" w:type="pct"/>
            <w:tcBorders>
              <w:top w:val="single" w:sz="4" w:space="0" w:color="auto"/>
              <w:bottom w:val="single" w:sz="4" w:space="0" w:color="auto"/>
            </w:tcBorders>
            <w:vAlign w:val="center"/>
          </w:tcPr>
          <w:p w:rsidR="00EB29D6" w:rsidRPr="00691913" w:rsidRDefault="00EB29D6" w:rsidP="00F52FDB">
            <w:pPr>
              <w:pStyle w:val="TableText"/>
              <w:keepNext w:val="0"/>
            </w:pPr>
          </w:p>
        </w:tc>
        <w:tc>
          <w:tcPr>
            <w:tcW w:w="505" w:type="pct"/>
            <w:tcBorders>
              <w:top w:val="single" w:sz="4" w:space="0" w:color="auto"/>
              <w:bottom w:val="single" w:sz="4" w:space="0" w:color="auto"/>
            </w:tcBorders>
            <w:vAlign w:val="center"/>
          </w:tcPr>
          <w:p w:rsidR="00EB29D6" w:rsidRPr="00691913" w:rsidRDefault="00EB29D6" w:rsidP="00F52FDB">
            <w:pPr>
              <w:pStyle w:val="TableText"/>
              <w:keepNext w:val="0"/>
            </w:pPr>
          </w:p>
        </w:tc>
        <w:tc>
          <w:tcPr>
            <w:tcW w:w="909" w:type="pct"/>
            <w:tcBorders>
              <w:top w:val="single" w:sz="4" w:space="0" w:color="auto"/>
              <w:bottom w:val="single" w:sz="4" w:space="0" w:color="auto"/>
            </w:tcBorders>
            <w:vAlign w:val="center"/>
          </w:tcPr>
          <w:p w:rsidR="00EB29D6" w:rsidRPr="00691913" w:rsidRDefault="00EB29D6" w:rsidP="00F52FDB">
            <w:pPr>
              <w:pStyle w:val="TableText"/>
              <w:keepNext w:val="0"/>
            </w:pPr>
          </w:p>
        </w:tc>
        <w:tc>
          <w:tcPr>
            <w:tcW w:w="545" w:type="pct"/>
            <w:tcBorders>
              <w:top w:val="single" w:sz="4" w:space="0" w:color="auto"/>
              <w:bottom w:val="single" w:sz="4" w:space="0" w:color="auto"/>
            </w:tcBorders>
            <w:vAlign w:val="center"/>
          </w:tcPr>
          <w:p w:rsidR="00EB29D6" w:rsidRPr="00691913" w:rsidRDefault="00EB29D6" w:rsidP="00F52FDB">
            <w:pPr>
              <w:pStyle w:val="TableText"/>
              <w:keepNext w:val="0"/>
            </w:pPr>
          </w:p>
        </w:tc>
        <w:tc>
          <w:tcPr>
            <w:tcW w:w="760" w:type="pct"/>
            <w:tcBorders>
              <w:top w:val="single" w:sz="4" w:space="0" w:color="auto"/>
              <w:bottom w:val="single" w:sz="4" w:space="0" w:color="auto"/>
            </w:tcBorders>
            <w:vAlign w:val="center"/>
          </w:tcPr>
          <w:p w:rsidR="00EB29D6" w:rsidRPr="00691913" w:rsidRDefault="00EB29D6" w:rsidP="00F52FDB">
            <w:pPr>
              <w:pStyle w:val="TableText"/>
              <w:keepNext w:val="0"/>
            </w:pPr>
          </w:p>
        </w:tc>
      </w:tr>
      <w:tr w:rsidR="00EB29D6" w:rsidRPr="00691913" w:rsidTr="00F52FDB">
        <w:trPr>
          <w:gridAfter w:val="1"/>
          <w:wAfter w:w="9" w:type="pct"/>
          <w:cantSplit/>
          <w:trHeight w:val="567"/>
        </w:trPr>
        <w:tc>
          <w:tcPr>
            <w:tcW w:w="1853" w:type="pct"/>
            <w:gridSpan w:val="3"/>
            <w:tcBorders>
              <w:top w:val="single" w:sz="4" w:space="0" w:color="auto"/>
              <w:bottom w:val="single" w:sz="4" w:space="0" w:color="auto"/>
            </w:tcBorders>
            <w:vAlign w:val="center"/>
          </w:tcPr>
          <w:p w:rsidR="00EB29D6" w:rsidRPr="00E240F6" w:rsidRDefault="00EB29D6" w:rsidP="00F52FDB">
            <w:pPr>
              <w:pStyle w:val="TableText"/>
              <w:keepNext w:val="0"/>
              <w:spacing w:before="0" w:after="0"/>
              <w:rPr>
                <w:smallCaps/>
                <w:szCs w:val="20"/>
              </w:rPr>
            </w:pPr>
            <w:r w:rsidRPr="00E240F6">
              <w:rPr>
                <w:smallCaps/>
                <w:szCs w:val="20"/>
              </w:rPr>
              <w:t>Golimumab</w:t>
            </w:r>
          </w:p>
          <w:p w:rsidR="00EB29D6" w:rsidRPr="00E240F6" w:rsidRDefault="00EB29D6" w:rsidP="00F52FDB">
            <w:pPr>
              <w:spacing w:before="0" w:after="0"/>
              <w:rPr>
                <w:rFonts w:ascii="Arial Narrow" w:hAnsi="Arial Narrow"/>
                <w:sz w:val="20"/>
                <w:szCs w:val="20"/>
              </w:rPr>
            </w:pPr>
            <w:r w:rsidRPr="00E240F6">
              <w:rPr>
                <w:rFonts w:ascii="Arial Narrow" w:hAnsi="Arial Narrow"/>
                <w:sz w:val="20"/>
                <w:szCs w:val="20"/>
              </w:rPr>
              <w:t>100 mg/1.0 ml injection</w:t>
            </w:r>
          </w:p>
          <w:p w:rsidR="00EB29D6" w:rsidRPr="00E240F6" w:rsidRDefault="00EB29D6" w:rsidP="00F52FDB">
            <w:pPr>
              <w:spacing w:before="0" w:after="0"/>
              <w:rPr>
                <w:sz w:val="20"/>
                <w:szCs w:val="20"/>
              </w:rPr>
            </w:pPr>
            <w:r w:rsidRPr="00E240F6">
              <w:rPr>
                <w:rFonts w:ascii="Arial Narrow" w:hAnsi="Arial Narrow"/>
                <w:sz w:val="20"/>
                <w:szCs w:val="20"/>
              </w:rPr>
              <w:t>solution for injection in a pre-filled syringe</w:t>
            </w:r>
          </w:p>
        </w:tc>
        <w:tc>
          <w:tcPr>
            <w:tcW w:w="419" w:type="pct"/>
            <w:tcBorders>
              <w:top w:val="single" w:sz="4" w:space="0" w:color="auto"/>
              <w:bottom w:val="single" w:sz="4" w:space="0" w:color="auto"/>
            </w:tcBorders>
            <w:vAlign w:val="center"/>
          </w:tcPr>
          <w:p w:rsidR="00EB29D6" w:rsidRPr="00E240F6" w:rsidRDefault="00EB29D6" w:rsidP="00F52FDB">
            <w:pPr>
              <w:pStyle w:val="TableText"/>
              <w:keepNext w:val="0"/>
              <w:spacing w:before="0" w:after="0"/>
              <w:rPr>
                <w:szCs w:val="20"/>
              </w:rPr>
            </w:pPr>
            <w:r w:rsidRPr="00E240F6">
              <w:rPr>
                <w:szCs w:val="20"/>
              </w:rPr>
              <w:t>1</w:t>
            </w:r>
          </w:p>
        </w:tc>
        <w:tc>
          <w:tcPr>
            <w:tcW w:w="505" w:type="pct"/>
            <w:tcBorders>
              <w:top w:val="single" w:sz="4" w:space="0" w:color="auto"/>
              <w:bottom w:val="single" w:sz="4" w:space="0" w:color="auto"/>
            </w:tcBorders>
            <w:vAlign w:val="center"/>
          </w:tcPr>
          <w:p w:rsidR="00EB29D6" w:rsidRPr="00E240F6" w:rsidRDefault="00EB29D6" w:rsidP="00F52FDB">
            <w:pPr>
              <w:pStyle w:val="TableText"/>
              <w:keepNext w:val="0"/>
              <w:spacing w:before="0" w:after="0"/>
              <w:rPr>
                <w:szCs w:val="20"/>
              </w:rPr>
            </w:pPr>
            <w:r w:rsidRPr="00E240F6">
              <w:rPr>
                <w:szCs w:val="20"/>
              </w:rPr>
              <w:t>4</w:t>
            </w:r>
          </w:p>
        </w:tc>
        <w:tc>
          <w:tcPr>
            <w:tcW w:w="909" w:type="pct"/>
            <w:tcBorders>
              <w:top w:val="single" w:sz="4" w:space="0" w:color="auto"/>
              <w:bottom w:val="single" w:sz="4" w:space="0" w:color="auto"/>
            </w:tcBorders>
            <w:vAlign w:val="center"/>
          </w:tcPr>
          <w:p w:rsidR="00EB29D6" w:rsidRPr="00596DBC" w:rsidRDefault="00EB29D6" w:rsidP="00F52FDB">
            <w:pPr>
              <w:pStyle w:val="TableText"/>
              <w:keepNext w:val="0"/>
              <w:spacing w:before="0" w:after="0"/>
              <w:rPr>
                <w:szCs w:val="20"/>
              </w:rPr>
            </w:pPr>
          </w:p>
        </w:tc>
        <w:tc>
          <w:tcPr>
            <w:tcW w:w="545" w:type="pct"/>
            <w:tcBorders>
              <w:top w:val="single" w:sz="4" w:space="0" w:color="auto"/>
              <w:bottom w:val="single" w:sz="4" w:space="0" w:color="auto"/>
            </w:tcBorders>
            <w:vAlign w:val="center"/>
          </w:tcPr>
          <w:p w:rsidR="00EB29D6" w:rsidRPr="00596DBC" w:rsidRDefault="00EB29D6" w:rsidP="00F52FDB">
            <w:pPr>
              <w:pStyle w:val="TableText"/>
              <w:keepNext w:val="0"/>
              <w:spacing w:before="0" w:after="0"/>
              <w:rPr>
                <w:szCs w:val="20"/>
              </w:rPr>
            </w:pPr>
            <w:r w:rsidRPr="00596DBC">
              <w:rPr>
                <w:szCs w:val="20"/>
              </w:rPr>
              <w:t>SIMPONI ®</w:t>
            </w:r>
          </w:p>
        </w:tc>
        <w:tc>
          <w:tcPr>
            <w:tcW w:w="760" w:type="pct"/>
            <w:tcBorders>
              <w:top w:val="single" w:sz="4" w:space="0" w:color="auto"/>
              <w:bottom w:val="single" w:sz="4" w:space="0" w:color="auto"/>
            </w:tcBorders>
            <w:vAlign w:val="center"/>
          </w:tcPr>
          <w:p w:rsidR="00EB29D6" w:rsidRPr="00596DBC" w:rsidRDefault="00EB29D6" w:rsidP="00F52FDB">
            <w:pPr>
              <w:pStyle w:val="TableText"/>
              <w:keepNext w:val="0"/>
              <w:spacing w:before="0" w:after="0"/>
              <w:rPr>
                <w:szCs w:val="20"/>
              </w:rPr>
            </w:pPr>
            <w:r w:rsidRPr="00596DBC">
              <w:rPr>
                <w:szCs w:val="20"/>
              </w:rPr>
              <w:t>Janssen-Cilag Pty Ltd</w:t>
            </w:r>
          </w:p>
        </w:tc>
      </w:tr>
      <w:tr w:rsidR="00EB29D6" w:rsidRPr="00691913" w:rsidTr="00F52FDB">
        <w:trPr>
          <w:gridAfter w:val="1"/>
          <w:wAfter w:w="9" w:type="pct"/>
          <w:cantSplit/>
          <w:trHeight w:val="70"/>
        </w:trPr>
        <w:tc>
          <w:tcPr>
            <w:tcW w:w="1853" w:type="pct"/>
            <w:gridSpan w:val="3"/>
            <w:tcBorders>
              <w:top w:val="single" w:sz="4" w:space="0" w:color="auto"/>
              <w:bottom w:val="single" w:sz="4" w:space="0" w:color="auto"/>
            </w:tcBorders>
            <w:vAlign w:val="center"/>
          </w:tcPr>
          <w:p w:rsidR="00EB29D6" w:rsidRPr="00691913" w:rsidRDefault="00EB29D6" w:rsidP="00F52FDB">
            <w:pPr>
              <w:pStyle w:val="TableText"/>
              <w:keepNext w:val="0"/>
              <w:rPr>
                <w:smallCaps/>
              </w:rPr>
            </w:pPr>
            <w:r>
              <w:t>Continuing</w:t>
            </w:r>
            <w:r w:rsidR="00767CDD">
              <w:t xml:space="preserve"> </w:t>
            </w:r>
            <w:r>
              <w:t>treatment</w:t>
            </w:r>
          </w:p>
        </w:tc>
        <w:tc>
          <w:tcPr>
            <w:tcW w:w="419" w:type="pct"/>
            <w:tcBorders>
              <w:top w:val="single" w:sz="4" w:space="0" w:color="auto"/>
              <w:bottom w:val="single" w:sz="4" w:space="0" w:color="auto"/>
            </w:tcBorders>
            <w:vAlign w:val="center"/>
          </w:tcPr>
          <w:p w:rsidR="00EB29D6" w:rsidRPr="00691913" w:rsidRDefault="00EB29D6" w:rsidP="00F52FDB">
            <w:pPr>
              <w:pStyle w:val="TableText"/>
              <w:keepNext w:val="0"/>
            </w:pPr>
          </w:p>
        </w:tc>
        <w:tc>
          <w:tcPr>
            <w:tcW w:w="505" w:type="pct"/>
            <w:tcBorders>
              <w:top w:val="single" w:sz="4" w:space="0" w:color="auto"/>
              <w:bottom w:val="single" w:sz="4" w:space="0" w:color="auto"/>
            </w:tcBorders>
            <w:vAlign w:val="center"/>
          </w:tcPr>
          <w:p w:rsidR="00EB29D6" w:rsidRPr="00691913" w:rsidRDefault="00EB29D6" w:rsidP="00F52FDB">
            <w:pPr>
              <w:pStyle w:val="TableText"/>
              <w:keepNext w:val="0"/>
            </w:pPr>
          </w:p>
        </w:tc>
        <w:tc>
          <w:tcPr>
            <w:tcW w:w="909" w:type="pct"/>
            <w:tcBorders>
              <w:top w:val="single" w:sz="4" w:space="0" w:color="auto"/>
              <w:bottom w:val="single" w:sz="4" w:space="0" w:color="auto"/>
            </w:tcBorders>
            <w:vAlign w:val="center"/>
          </w:tcPr>
          <w:p w:rsidR="00EB29D6" w:rsidRPr="00691913" w:rsidRDefault="00EB29D6" w:rsidP="00F52FDB">
            <w:pPr>
              <w:pStyle w:val="TableText"/>
              <w:keepNext w:val="0"/>
            </w:pPr>
          </w:p>
        </w:tc>
        <w:tc>
          <w:tcPr>
            <w:tcW w:w="545" w:type="pct"/>
            <w:tcBorders>
              <w:top w:val="single" w:sz="4" w:space="0" w:color="auto"/>
              <w:bottom w:val="single" w:sz="4" w:space="0" w:color="auto"/>
            </w:tcBorders>
            <w:vAlign w:val="center"/>
          </w:tcPr>
          <w:p w:rsidR="00EB29D6" w:rsidRPr="00691913" w:rsidRDefault="00EB29D6" w:rsidP="00F52FDB">
            <w:pPr>
              <w:pStyle w:val="TableText"/>
              <w:keepNext w:val="0"/>
            </w:pPr>
          </w:p>
        </w:tc>
        <w:tc>
          <w:tcPr>
            <w:tcW w:w="760" w:type="pct"/>
            <w:tcBorders>
              <w:top w:val="single" w:sz="4" w:space="0" w:color="auto"/>
              <w:bottom w:val="single" w:sz="4" w:space="0" w:color="auto"/>
            </w:tcBorders>
            <w:vAlign w:val="center"/>
          </w:tcPr>
          <w:p w:rsidR="00EB29D6" w:rsidRPr="00691913" w:rsidRDefault="00EB29D6" w:rsidP="00F52FDB">
            <w:pPr>
              <w:pStyle w:val="TableText"/>
              <w:keepNext w:val="0"/>
            </w:pPr>
          </w:p>
        </w:tc>
      </w:tr>
      <w:tr w:rsidR="00EB29D6" w:rsidRPr="00691913" w:rsidTr="00F52FDB">
        <w:trPr>
          <w:gridAfter w:val="1"/>
          <w:wAfter w:w="9" w:type="pct"/>
          <w:cantSplit/>
          <w:trHeight w:val="567"/>
        </w:trPr>
        <w:tc>
          <w:tcPr>
            <w:tcW w:w="1853" w:type="pct"/>
            <w:gridSpan w:val="3"/>
            <w:tcBorders>
              <w:top w:val="single" w:sz="4" w:space="0" w:color="auto"/>
            </w:tcBorders>
            <w:vAlign w:val="center"/>
          </w:tcPr>
          <w:p w:rsidR="00EB29D6" w:rsidRPr="00A27858" w:rsidRDefault="00EB29D6" w:rsidP="00F52FDB">
            <w:pPr>
              <w:pStyle w:val="TableText"/>
              <w:keepNext w:val="0"/>
              <w:rPr>
                <w:smallCaps/>
              </w:rPr>
            </w:pPr>
            <w:r w:rsidRPr="00A27858">
              <w:rPr>
                <w:smallCaps/>
              </w:rPr>
              <w:t>Golimumab</w:t>
            </w:r>
          </w:p>
          <w:p w:rsidR="00EB29D6" w:rsidRPr="00E240F6" w:rsidRDefault="00EB29D6" w:rsidP="00F52FDB">
            <w:pPr>
              <w:spacing w:before="0" w:after="0"/>
              <w:rPr>
                <w:rFonts w:ascii="Arial Narrow" w:hAnsi="Arial Narrow"/>
                <w:sz w:val="20"/>
                <w:szCs w:val="20"/>
              </w:rPr>
            </w:pPr>
            <w:r w:rsidRPr="00E240F6">
              <w:rPr>
                <w:rFonts w:ascii="Arial Narrow" w:hAnsi="Arial Narrow"/>
                <w:sz w:val="20"/>
                <w:szCs w:val="20"/>
              </w:rPr>
              <w:t>100 mg/1.0 mL injection</w:t>
            </w:r>
          </w:p>
          <w:p w:rsidR="00EB29D6" w:rsidRPr="00691913" w:rsidRDefault="00EB29D6" w:rsidP="00F52FDB">
            <w:pPr>
              <w:spacing w:before="0" w:after="0"/>
            </w:pPr>
            <w:r w:rsidRPr="00E240F6">
              <w:rPr>
                <w:rFonts w:ascii="Arial Narrow" w:hAnsi="Arial Narrow"/>
                <w:sz w:val="20"/>
                <w:szCs w:val="20"/>
              </w:rPr>
              <w:t>Solution for Injection in a pre-filled syringe</w:t>
            </w:r>
          </w:p>
        </w:tc>
        <w:tc>
          <w:tcPr>
            <w:tcW w:w="419" w:type="pct"/>
            <w:tcBorders>
              <w:top w:val="single" w:sz="4" w:space="0" w:color="auto"/>
            </w:tcBorders>
            <w:vAlign w:val="center"/>
          </w:tcPr>
          <w:p w:rsidR="00EB29D6" w:rsidRPr="00691913" w:rsidRDefault="00EB29D6" w:rsidP="00F52FDB">
            <w:pPr>
              <w:pStyle w:val="TableText"/>
              <w:keepNext w:val="0"/>
            </w:pPr>
            <w:r>
              <w:t>1</w:t>
            </w:r>
          </w:p>
        </w:tc>
        <w:tc>
          <w:tcPr>
            <w:tcW w:w="505" w:type="pct"/>
            <w:tcBorders>
              <w:top w:val="single" w:sz="4" w:space="0" w:color="auto"/>
            </w:tcBorders>
            <w:vAlign w:val="center"/>
          </w:tcPr>
          <w:p w:rsidR="00EB29D6" w:rsidRPr="00691913" w:rsidRDefault="00EB29D6" w:rsidP="00F52FDB">
            <w:pPr>
              <w:pStyle w:val="TableText"/>
              <w:keepNext w:val="0"/>
            </w:pPr>
            <w:r>
              <w:t>5</w:t>
            </w:r>
          </w:p>
        </w:tc>
        <w:tc>
          <w:tcPr>
            <w:tcW w:w="909" w:type="pct"/>
            <w:tcBorders>
              <w:top w:val="single" w:sz="4" w:space="0" w:color="auto"/>
            </w:tcBorders>
            <w:vAlign w:val="center"/>
          </w:tcPr>
          <w:p w:rsidR="00EB29D6" w:rsidRPr="00691913" w:rsidRDefault="00EB29D6" w:rsidP="00F52FDB">
            <w:pPr>
              <w:pStyle w:val="TableText"/>
              <w:keepNext w:val="0"/>
            </w:pPr>
          </w:p>
        </w:tc>
        <w:tc>
          <w:tcPr>
            <w:tcW w:w="545" w:type="pct"/>
            <w:tcBorders>
              <w:top w:val="single" w:sz="4" w:space="0" w:color="auto"/>
            </w:tcBorders>
            <w:vAlign w:val="center"/>
          </w:tcPr>
          <w:p w:rsidR="00EB29D6" w:rsidRPr="00691913" w:rsidRDefault="00EB29D6" w:rsidP="00F52FDB">
            <w:pPr>
              <w:pStyle w:val="TableText"/>
              <w:keepNext w:val="0"/>
            </w:pPr>
            <w:r>
              <w:t>SIMPONI ®</w:t>
            </w:r>
          </w:p>
        </w:tc>
        <w:tc>
          <w:tcPr>
            <w:tcW w:w="760" w:type="pct"/>
            <w:tcBorders>
              <w:top w:val="single" w:sz="4" w:space="0" w:color="auto"/>
            </w:tcBorders>
            <w:vAlign w:val="center"/>
          </w:tcPr>
          <w:p w:rsidR="00EB29D6" w:rsidRPr="00691913" w:rsidRDefault="00EB29D6" w:rsidP="00F52FDB">
            <w:pPr>
              <w:pStyle w:val="TableText"/>
              <w:keepNext w:val="0"/>
            </w:pPr>
            <w:r w:rsidRPr="00181AA0">
              <w:t>Janssen-Cilag Pty Ltd</w:t>
            </w:r>
          </w:p>
        </w:tc>
      </w:tr>
      <w:tr w:rsidR="00EB29D6" w:rsidTr="00F52FDB">
        <w:tblPrEx>
          <w:tblCellMar>
            <w:left w:w="108" w:type="dxa"/>
            <w:right w:w="108" w:type="dxa"/>
          </w:tblCellMar>
        </w:tblPrEx>
        <w:trPr>
          <w:gridBefore w:val="1"/>
          <w:wBefore w:w="13" w:type="pct"/>
          <w:cantSplit/>
          <w:trHeight w:val="360"/>
        </w:trPr>
        <w:tc>
          <w:tcPr>
            <w:tcW w:w="1088" w:type="pct"/>
            <w:tcBorders>
              <w:top w:val="single" w:sz="4" w:space="0" w:color="auto"/>
              <w:left w:val="single" w:sz="4" w:space="0" w:color="auto"/>
              <w:bottom w:val="single" w:sz="4" w:space="0" w:color="auto"/>
              <w:right w:val="single" w:sz="4" w:space="0" w:color="auto"/>
            </w:tcBorders>
          </w:tcPr>
          <w:p w:rsidR="00EB29D6" w:rsidRDefault="00EB29D6" w:rsidP="00F52FDB">
            <w:pPr>
              <w:pStyle w:val="TableText"/>
              <w:keepNext w:val="0"/>
            </w:pPr>
            <w:r w:rsidRPr="00260CE3">
              <w:t>Category / Program</w:t>
            </w:r>
            <w:r>
              <w:t>:</w:t>
            </w:r>
          </w:p>
        </w:tc>
        <w:tc>
          <w:tcPr>
            <w:tcW w:w="3899" w:type="pct"/>
            <w:gridSpan w:val="7"/>
            <w:tcBorders>
              <w:top w:val="single" w:sz="4" w:space="0" w:color="auto"/>
              <w:left w:val="single" w:sz="4" w:space="0" w:color="auto"/>
              <w:bottom w:val="single" w:sz="4" w:space="0" w:color="auto"/>
              <w:right w:val="single" w:sz="4" w:space="0" w:color="auto"/>
            </w:tcBorders>
          </w:tcPr>
          <w:p w:rsidR="00EB29D6" w:rsidRPr="000D7F87" w:rsidRDefault="00EB29D6" w:rsidP="00F52FDB">
            <w:pPr>
              <w:pStyle w:val="TableText"/>
              <w:keepNext w:val="0"/>
              <w:rPr>
                <w:strike/>
              </w:rPr>
            </w:pPr>
            <w:r w:rsidRPr="000D7F87">
              <w:rPr>
                <w:rFonts w:cs="Arial"/>
                <w:szCs w:val="20"/>
              </w:rPr>
              <w:t>GENERAL – General Schedule (Code GE)</w:t>
            </w:r>
          </w:p>
        </w:tc>
      </w:tr>
      <w:tr w:rsidR="00EB29D6" w:rsidRPr="00260CE3" w:rsidTr="00F52FDB">
        <w:tblPrEx>
          <w:tblCellMar>
            <w:left w:w="108" w:type="dxa"/>
            <w:right w:w="108" w:type="dxa"/>
          </w:tblCellMar>
        </w:tblPrEx>
        <w:trPr>
          <w:gridBefore w:val="1"/>
          <w:wBefore w:w="13" w:type="pct"/>
          <w:cantSplit/>
          <w:trHeight w:val="360"/>
        </w:trPr>
        <w:tc>
          <w:tcPr>
            <w:tcW w:w="1088" w:type="pct"/>
            <w:tcBorders>
              <w:top w:val="single" w:sz="4" w:space="0" w:color="auto"/>
              <w:left w:val="single" w:sz="4" w:space="0" w:color="auto"/>
              <w:bottom w:val="single" w:sz="4" w:space="0" w:color="auto"/>
              <w:right w:val="single" w:sz="4" w:space="0" w:color="auto"/>
            </w:tcBorders>
          </w:tcPr>
          <w:p w:rsidR="00EB29D6" w:rsidRPr="00E240F6" w:rsidRDefault="00EB29D6" w:rsidP="00F52FDB">
            <w:pPr>
              <w:pStyle w:val="TableText"/>
              <w:keepNext w:val="0"/>
            </w:pPr>
            <w:r w:rsidRPr="00E240F6">
              <w:t>Restriction Level / Method:</w:t>
            </w:r>
          </w:p>
          <w:p w:rsidR="00EB29D6" w:rsidRPr="00E240F6" w:rsidRDefault="00EB29D6" w:rsidP="00F52FDB">
            <w:pPr>
              <w:pStyle w:val="TableText"/>
              <w:keepNext w:val="0"/>
            </w:pPr>
          </w:p>
        </w:tc>
        <w:tc>
          <w:tcPr>
            <w:tcW w:w="3899" w:type="pct"/>
            <w:gridSpan w:val="7"/>
            <w:tcBorders>
              <w:top w:val="single" w:sz="4" w:space="0" w:color="auto"/>
              <w:left w:val="single" w:sz="4" w:space="0" w:color="auto"/>
              <w:bottom w:val="single" w:sz="4" w:space="0" w:color="auto"/>
              <w:right w:val="single" w:sz="4" w:space="0" w:color="auto"/>
            </w:tcBorders>
          </w:tcPr>
          <w:p w:rsidR="00EB29D6" w:rsidRPr="00E240F6" w:rsidRDefault="00EB29D6" w:rsidP="00F52FDB">
            <w:pPr>
              <w:pStyle w:val="TableText"/>
              <w:keepNext w:val="0"/>
            </w:pPr>
            <w:r w:rsidRPr="00E240F6">
              <w:fldChar w:fldCharType="begin">
                <w:ffData>
                  <w:name w:val="Check1"/>
                  <w:enabled/>
                  <w:calcOnExit w:val="0"/>
                  <w:checkBox>
                    <w:sizeAuto/>
                    <w:default w:val="0"/>
                  </w:checkBox>
                </w:ffData>
              </w:fldChar>
            </w:r>
            <w:r w:rsidRPr="00E240F6">
              <w:instrText xml:space="preserve"> FORMCHECKBOX </w:instrText>
            </w:r>
            <w:r w:rsidR="00F86D7A">
              <w:fldChar w:fldCharType="separate"/>
            </w:r>
            <w:r w:rsidRPr="00E240F6">
              <w:fldChar w:fldCharType="end"/>
            </w:r>
            <w:r w:rsidRPr="00E240F6">
              <w:t>Restricted benefit</w:t>
            </w:r>
          </w:p>
          <w:p w:rsidR="00EB29D6" w:rsidRPr="00E240F6" w:rsidRDefault="00EB29D6" w:rsidP="00F52FDB">
            <w:pPr>
              <w:pStyle w:val="TableText"/>
              <w:keepNext w:val="0"/>
            </w:pPr>
            <w:r>
              <w:fldChar w:fldCharType="begin">
                <w:ffData>
                  <w:name w:val=""/>
                  <w:enabled/>
                  <w:calcOnExit w:val="0"/>
                  <w:checkBox>
                    <w:sizeAuto/>
                    <w:default w:val="1"/>
                  </w:checkBox>
                </w:ffData>
              </w:fldChar>
            </w:r>
            <w:r>
              <w:instrText xml:space="preserve"> FORMCHECKBOX </w:instrText>
            </w:r>
            <w:r w:rsidR="00F86D7A">
              <w:fldChar w:fldCharType="separate"/>
            </w:r>
            <w:r>
              <w:fldChar w:fldCharType="end"/>
            </w:r>
            <w:r w:rsidRPr="00E240F6">
              <w:t>Authority Req</w:t>
            </w:r>
            <w:r>
              <w:t>uired</w:t>
            </w:r>
          </w:p>
          <w:p w:rsidR="00EB29D6" w:rsidRPr="00E240F6" w:rsidRDefault="00EB29D6" w:rsidP="00F52FDB">
            <w:pPr>
              <w:pStyle w:val="TableText"/>
              <w:keepNext w:val="0"/>
              <w:rPr>
                <w:strike/>
              </w:rPr>
            </w:pPr>
            <w:r w:rsidRPr="00E240F6">
              <w:fldChar w:fldCharType="begin">
                <w:ffData>
                  <w:name w:val="Check5"/>
                  <w:enabled/>
                  <w:calcOnExit w:val="0"/>
                  <w:checkBox>
                    <w:sizeAuto/>
                    <w:default w:val="0"/>
                  </w:checkBox>
                </w:ffData>
              </w:fldChar>
            </w:r>
            <w:r w:rsidRPr="00E240F6">
              <w:instrText xml:space="preserve"> FORMCHECKBOX </w:instrText>
            </w:r>
            <w:r w:rsidR="00F86D7A">
              <w:fldChar w:fldCharType="separate"/>
            </w:r>
            <w:r w:rsidRPr="00E240F6">
              <w:fldChar w:fldCharType="end"/>
            </w:r>
            <w:r w:rsidRPr="00E240F6">
              <w:t>Streamlined</w:t>
            </w:r>
          </w:p>
        </w:tc>
      </w:tr>
      <w:tr w:rsidR="00EB29D6" w:rsidTr="00F52FDB">
        <w:tblPrEx>
          <w:tblCellMar>
            <w:left w:w="108" w:type="dxa"/>
            <w:right w:w="108" w:type="dxa"/>
          </w:tblCellMar>
        </w:tblPrEx>
        <w:trPr>
          <w:gridBefore w:val="1"/>
          <w:wBefore w:w="13" w:type="pct"/>
          <w:cantSplit/>
          <w:trHeight w:val="360"/>
        </w:trPr>
        <w:tc>
          <w:tcPr>
            <w:tcW w:w="1088" w:type="pct"/>
            <w:tcBorders>
              <w:top w:val="single" w:sz="4" w:space="0" w:color="auto"/>
              <w:left w:val="single" w:sz="4" w:space="0" w:color="auto"/>
              <w:bottom w:val="single" w:sz="4" w:space="0" w:color="auto"/>
              <w:right w:val="single" w:sz="4" w:space="0" w:color="auto"/>
            </w:tcBorders>
          </w:tcPr>
          <w:p w:rsidR="00EB29D6" w:rsidRDefault="00EB29D6" w:rsidP="00F52FDB">
            <w:pPr>
              <w:pStyle w:val="TableText"/>
              <w:keepNext w:val="0"/>
              <w:rPr>
                <w:rFonts w:ascii="Times" w:eastAsia="Times New Roman" w:hAnsi="Times" w:cs="Times New Roman"/>
                <w:szCs w:val="20"/>
                <w:lang w:val="en-US"/>
              </w:rPr>
            </w:pPr>
            <w:r>
              <w:t>PBS Indication:</w:t>
            </w:r>
          </w:p>
        </w:tc>
        <w:tc>
          <w:tcPr>
            <w:tcW w:w="3899" w:type="pct"/>
            <w:gridSpan w:val="7"/>
            <w:tcBorders>
              <w:top w:val="single" w:sz="4" w:space="0" w:color="auto"/>
              <w:left w:val="single" w:sz="4" w:space="0" w:color="auto"/>
              <w:bottom w:val="single" w:sz="4" w:space="0" w:color="auto"/>
              <w:right w:val="single" w:sz="4" w:space="0" w:color="auto"/>
            </w:tcBorders>
          </w:tcPr>
          <w:p w:rsidR="00EB29D6" w:rsidRDefault="00EB29D6" w:rsidP="00F52FDB">
            <w:pPr>
              <w:pStyle w:val="TableText"/>
              <w:keepNext w:val="0"/>
            </w:pPr>
            <w:r>
              <w:t>Moderate to Severe Ulcerative Colitis</w:t>
            </w:r>
          </w:p>
        </w:tc>
      </w:tr>
      <w:tr w:rsidR="00EB29D6" w:rsidTr="00F52FDB">
        <w:tblPrEx>
          <w:tblCellMar>
            <w:left w:w="108" w:type="dxa"/>
            <w:right w:w="108" w:type="dxa"/>
          </w:tblCellMar>
        </w:tblPrEx>
        <w:trPr>
          <w:gridBefore w:val="1"/>
          <w:wBefore w:w="13" w:type="pct"/>
          <w:cantSplit/>
          <w:trHeight w:val="360"/>
        </w:trPr>
        <w:tc>
          <w:tcPr>
            <w:tcW w:w="1088" w:type="pct"/>
            <w:tcBorders>
              <w:top w:val="single" w:sz="4" w:space="0" w:color="auto"/>
              <w:left w:val="single" w:sz="4" w:space="0" w:color="auto"/>
              <w:bottom w:val="single" w:sz="4" w:space="0" w:color="auto"/>
              <w:right w:val="single" w:sz="4" w:space="0" w:color="auto"/>
            </w:tcBorders>
          </w:tcPr>
          <w:p w:rsidR="00EB29D6" w:rsidRPr="00791DE1" w:rsidRDefault="00EB29D6" w:rsidP="00F52FDB">
            <w:pPr>
              <w:pStyle w:val="TableText"/>
              <w:keepNext w:val="0"/>
            </w:pPr>
            <w:r>
              <w:t>Treatment phase:</w:t>
            </w:r>
          </w:p>
        </w:tc>
        <w:tc>
          <w:tcPr>
            <w:tcW w:w="3899" w:type="pct"/>
            <w:gridSpan w:val="7"/>
            <w:tcBorders>
              <w:top w:val="single" w:sz="4" w:space="0" w:color="auto"/>
              <w:left w:val="single" w:sz="4" w:space="0" w:color="auto"/>
              <w:bottom w:val="single" w:sz="4" w:space="0" w:color="auto"/>
              <w:right w:val="single" w:sz="4" w:space="0" w:color="auto"/>
            </w:tcBorders>
          </w:tcPr>
          <w:p w:rsidR="00EB29D6" w:rsidRDefault="00EB29D6" w:rsidP="00F52FDB">
            <w:pPr>
              <w:pStyle w:val="TableText"/>
              <w:keepNext w:val="0"/>
            </w:pPr>
            <w:r>
              <w:t>Induction treatment; and continuing treatment</w:t>
            </w:r>
          </w:p>
        </w:tc>
      </w:tr>
    </w:tbl>
    <w:p w:rsidR="000E04DF" w:rsidRDefault="000E04DF" w:rsidP="00406184">
      <w:pPr>
        <w:rPr>
          <w:rFonts w:cs="Arial"/>
          <w:b/>
          <w:bCs/>
          <w:snapToGrid w:val="0"/>
          <w:lang w:val="en-GB"/>
        </w:rPr>
      </w:pPr>
    </w:p>
    <w:tbl>
      <w:tblPr>
        <w:tblW w:w="5010" w:type="pct"/>
        <w:tblCellMar>
          <w:left w:w="28" w:type="dxa"/>
          <w:right w:w="28" w:type="dxa"/>
        </w:tblCellMar>
        <w:tblLook w:val="0000" w:firstRow="0" w:lastRow="0" w:firstColumn="0" w:lastColumn="0" w:noHBand="0" w:noVBand="0"/>
      </w:tblPr>
      <w:tblGrid>
        <w:gridCol w:w="24"/>
        <w:gridCol w:w="1980"/>
        <w:gridCol w:w="1369"/>
        <w:gridCol w:w="763"/>
        <w:gridCol w:w="919"/>
        <w:gridCol w:w="1654"/>
        <w:gridCol w:w="992"/>
        <w:gridCol w:w="1383"/>
        <w:gridCol w:w="16"/>
      </w:tblGrid>
      <w:tr w:rsidR="00970A4B" w:rsidRPr="00691913" w:rsidTr="003429B2">
        <w:trPr>
          <w:gridAfter w:val="1"/>
          <w:wAfter w:w="9" w:type="pct"/>
          <w:cantSplit/>
          <w:trHeight w:val="463"/>
        </w:trPr>
        <w:tc>
          <w:tcPr>
            <w:tcW w:w="1853" w:type="pct"/>
            <w:gridSpan w:val="3"/>
            <w:tcBorders>
              <w:top w:val="single" w:sz="4" w:space="0" w:color="auto"/>
              <w:bottom w:val="single" w:sz="4" w:space="0" w:color="auto"/>
            </w:tcBorders>
            <w:vAlign w:val="center"/>
          </w:tcPr>
          <w:p w:rsidR="00970A4B" w:rsidRPr="00984441" w:rsidRDefault="00970A4B" w:rsidP="003429B2">
            <w:pPr>
              <w:pStyle w:val="TableText"/>
              <w:keepNext w:val="0"/>
              <w:rPr>
                <w:b/>
              </w:rPr>
            </w:pPr>
            <w:r w:rsidRPr="00984441">
              <w:rPr>
                <w:b/>
              </w:rPr>
              <w:t>Name, Restriction,</w:t>
            </w:r>
          </w:p>
          <w:p w:rsidR="00970A4B" w:rsidRPr="00984441" w:rsidRDefault="00970A4B" w:rsidP="003429B2">
            <w:pPr>
              <w:pStyle w:val="TableText"/>
              <w:keepNext w:val="0"/>
              <w:rPr>
                <w:b/>
              </w:rPr>
            </w:pPr>
            <w:r w:rsidRPr="00984441">
              <w:rPr>
                <w:b/>
              </w:rPr>
              <w:t>Manner of administration and form</w:t>
            </w:r>
          </w:p>
        </w:tc>
        <w:tc>
          <w:tcPr>
            <w:tcW w:w="419" w:type="pct"/>
            <w:tcBorders>
              <w:top w:val="single" w:sz="4" w:space="0" w:color="auto"/>
              <w:bottom w:val="single" w:sz="4" w:space="0" w:color="auto"/>
            </w:tcBorders>
            <w:vAlign w:val="center"/>
          </w:tcPr>
          <w:p w:rsidR="00970A4B" w:rsidRPr="00984441" w:rsidRDefault="00970A4B" w:rsidP="003429B2">
            <w:pPr>
              <w:pStyle w:val="TableText"/>
              <w:keepNext w:val="0"/>
              <w:rPr>
                <w:b/>
              </w:rPr>
            </w:pPr>
            <w:r w:rsidRPr="00984441">
              <w:rPr>
                <w:b/>
              </w:rPr>
              <w:t>Max.</w:t>
            </w:r>
          </w:p>
          <w:p w:rsidR="00970A4B" w:rsidRPr="00984441" w:rsidRDefault="00970A4B" w:rsidP="003429B2">
            <w:pPr>
              <w:pStyle w:val="TableText"/>
              <w:keepNext w:val="0"/>
              <w:rPr>
                <w:b/>
              </w:rPr>
            </w:pPr>
            <w:r w:rsidRPr="00984441">
              <w:rPr>
                <w:b/>
              </w:rPr>
              <w:t xml:space="preserve">Qty </w:t>
            </w:r>
          </w:p>
        </w:tc>
        <w:tc>
          <w:tcPr>
            <w:tcW w:w="505" w:type="pct"/>
            <w:tcBorders>
              <w:top w:val="single" w:sz="4" w:space="0" w:color="auto"/>
              <w:bottom w:val="single" w:sz="4" w:space="0" w:color="auto"/>
            </w:tcBorders>
            <w:vAlign w:val="center"/>
          </w:tcPr>
          <w:p w:rsidR="00970A4B" w:rsidRPr="00984441" w:rsidRDefault="00970A4B" w:rsidP="003429B2">
            <w:pPr>
              <w:pStyle w:val="TableText"/>
              <w:keepNext w:val="0"/>
              <w:rPr>
                <w:b/>
              </w:rPr>
            </w:pPr>
            <w:r w:rsidRPr="00984441">
              <w:rPr>
                <w:b/>
              </w:rPr>
              <w:t>№.of</w:t>
            </w:r>
          </w:p>
          <w:p w:rsidR="00970A4B" w:rsidRPr="00984441" w:rsidRDefault="00970A4B" w:rsidP="003429B2">
            <w:pPr>
              <w:pStyle w:val="TableText"/>
              <w:keepNext w:val="0"/>
              <w:rPr>
                <w:b/>
              </w:rPr>
            </w:pPr>
            <w:r w:rsidRPr="00984441">
              <w:rPr>
                <w:b/>
              </w:rPr>
              <w:t>Rpts</w:t>
            </w:r>
          </w:p>
        </w:tc>
        <w:tc>
          <w:tcPr>
            <w:tcW w:w="909" w:type="pct"/>
            <w:tcBorders>
              <w:top w:val="single" w:sz="4" w:space="0" w:color="auto"/>
              <w:bottom w:val="single" w:sz="4" w:space="0" w:color="auto"/>
            </w:tcBorders>
            <w:vAlign w:val="center"/>
          </w:tcPr>
          <w:p w:rsidR="00970A4B" w:rsidRPr="00984441" w:rsidRDefault="00970A4B" w:rsidP="003429B2">
            <w:pPr>
              <w:pStyle w:val="TableText"/>
              <w:keepNext w:val="0"/>
              <w:rPr>
                <w:b/>
              </w:rPr>
            </w:pPr>
          </w:p>
        </w:tc>
        <w:tc>
          <w:tcPr>
            <w:tcW w:w="1305" w:type="pct"/>
            <w:gridSpan w:val="2"/>
            <w:tcBorders>
              <w:top w:val="single" w:sz="4" w:space="0" w:color="auto"/>
              <w:bottom w:val="single" w:sz="4" w:space="0" w:color="auto"/>
            </w:tcBorders>
            <w:vAlign w:val="center"/>
          </w:tcPr>
          <w:p w:rsidR="00970A4B" w:rsidRPr="00984441" w:rsidRDefault="00970A4B" w:rsidP="003429B2">
            <w:pPr>
              <w:pStyle w:val="TableText"/>
              <w:keepNext w:val="0"/>
              <w:rPr>
                <w:b/>
                <w:lang w:val="fr-FR"/>
              </w:rPr>
            </w:pPr>
            <w:r w:rsidRPr="00984441">
              <w:rPr>
                <w:b/>
              </w:rPr>
              <w:t>Proprietary Name and Manufacturer</w:t>
            </w:r>
          </w:p>
        </w:tc>
      </w:tr>
      <w:tr w:rsidR="00970A4B" w:rsidRPr="00691913" w:rsidTr="003429B2">
        <w:trPr>
          <w:gridAfter w:val="1"/>
          <w:wAfter w:w="9" w:type="pct"/>
          <w:cantSplit/>
          <w:trHeight w:val="182"/>
        </w:trPr>
        <w:tc>
          <w:tcPr>
            <w:tcW w:w="1853" w:type="pct"/>
            <w:gridSpan w:val="3"/>
            <w:tcBorders>
              <w:top w:val="single" w:sz="4" w:space="0" w:color="auto"/>
              <w:bottom w:val="single" w:sz="4" w:space="0" w:color="auto"/>
            </w:tcBorders>
            <w:vAlign w:val="center"/>
          </w:tcPr>
          <w:p w:rsidR="00970A4B" w:rsidRPr="00691913" w:rsidRDefault="00970A4B" w:rsidP="003429B2">
            <w:pPr>
              <w:pStyle w:val="TableText"/>
              <w:keepNext w:val="0"/>
            </w:pPr>
            <w:r>
              <w:t>Induction treatment</w:t>
            </w:r>
          </w:p>
        </w:tc>
        <w:tc>
          <w:tcPr>
            <w:tcW w:w="419" w:type="pct"/>
            <w:tcBorders>
              <w:top w:val="single" w:sz="4" w:space="0" w:color="auto"/>
              <w:bottom w:val="single" w:sz="4" w:space="0" w:color="auto"/>
            </w:tcBorders>
            <w:vAlign w:val="center"/>
          </w:tcPr>
          <w:p w:rsidR="00970A4B" w:rsidRPr="00691913" w:rsidRDefault="00970A4B" w:rsidP="003429B2">
            <w:pPr>
              <w:pStyle w:val="TableText"/>
              <w:keepNext w:val="0"/>
            </w:pPr>
          </w:p>
        </w:tc>
        <w:tc>
          <w:tcPr>
            <w:tcW w:w="505" w:type="pct"/>
            <w:tcBorders>
              <w:top w:val="single" w:sz="4" w:space="0" w:color="auto"/>
              <w:bottom w:val="single" w:sz="4" w:space="0" w:color="auto"/>
            </w:tcBorders>
            <w:vAlign w:val="center"/>
          </w:tcPr>
          <w:p w:rsidR="00970A4B" w:rsidRPr="00691913" w:rsidRDefault="00970A4B" w:rsidP="003429B2">
            <w:pPr>
              <w:pStyle w:val="TableText"/>
              <w:keepNext w:val="0"/>
            </w:pPr>
          </w:p>
        </w:tc>
        <w:tc>
          <w:tcPr>
            <w:tcW w:w="909" w:type="pct"/>
            <w:tcBorders>
              <w:top w:val="single" w:sz="4" w:space="0" w:color="auto"/>
              <w:bottom w:val="single" w:sz="4" w:space="0" w:color="auto"/>
            </w:tcBorders>
            <w:vAlign w:val="center"/>
          </w:tcPr>
          <w:p w:rsidR="00970A4B" w:rsidRPr="00691913" w:rsidRDefault="00970A4B" w:rsidP="003429B2">
            <w:pPr>
              <w:pStyle w:val="TableText"/>
              <w:keepNext w:val="0"/>
            </w:pPr>
          </w:p>
        </w:tc>
        <w:tc>
          <w:tcPr>
            <w:tcW w:w="545" w:type="pct"/>
            <w:tcBorders>
              <w:top w:val="single" w:sz="4" w:space="0" w:color="auto"/>
              <w:bottom w:val="single" w:sz="4" w:space="0" w:color="auto"/>
            </w:tcBorders>
            <w:vAlign w:val="center"/>
          </w:tcPr>
          <w:p w:rsidR="00970A4B" w:rsidRPr="00691913" w:rsidRDefault="00970A4B" w:rsidP="003429B2">
            <w:pPr>
              <w:pStyle w:val="TableText"/>
              <w:keepNext w:val="0"/>
            </w:pPr>
          </w:p>
        </w:tc>
        <w:tc>
          <w:tcPr>
            <w:tcW w:w="760" w:type="pct"/>
            <w:tcBorders>
              <w:top w:val="single" w:sz="4" w:space="0" w:color="auto"/>
              <w:bottom w:val="single" w:sz="4" w:space="0" w:color="auto"/>
            </w:tcBorders>
            <w:vAlign w:val="center"/>
          </w:tcPr>
          <w:p w:rsidR="00970A4B" w:rsidRPr="00691913" w:rsidRDefault="00970A4B" w:rsidP="003429B2">
            <w:pPr>
              <w:pStyle w:val="TableText"/>
              <w:keepNext w:val="0"/>
            </w:pPr>
          </w:p>
        </w:tc>
      </w:tr>
      <w:tr w:rsidR="00970A4B" w:rsidRPr="00691913" w:rsidTr="003429B2">
        <w:trPr>
          <w:gridAfter w:val="1"/>
          <w:wAfter w:w="9" w:type="pct"/>
          <w:cantSplit/>
          <w:trHeight w:val="567"/>
        </w:trPr>
        <w:tc>
          <w:tcPr>
            <w:tcW w:w="1853" w:type="pct"/>
            <w:gridSpan w:val="3"/>
            <w:tcBorders>
              <w:top w:val="single" w:sz="4" w:space="0" w:color="auto"/>
              <w:bottom w:val="single" w:sz="4" w:space="0" w:color="auto"/>
            </w:tcBorders>
            <w:vAlign w:val="center"/>
          </w:tcPr>
          <w:p w:rsidR="00970A4B" w:rsidRPr="00E240F6" w:rsidRDefault="00970A4B" w:rsidP="003429B2">
            <w:pPr>
              <w:pStyle w:val="TableText"/>
              <w:keepNext w:val="0"/>
              <w:spacing w:before="0" w:after="0"/>
              <w:rPr>
                <w:smallCaps/>
                <w:szCs w:val="20"/>
              </w:rPr>
            </w:pPr>
            <w:r w:rsidRPr="00E240F6">
              <w:rPr>
                <w:smallCaps/>
                <w:szCs w:val="20"/>
              </w:rPr>
              <w:t>Golimumab</w:t>
            </w:r>
          </w:p>
          <w:p w:rsidR="00970A4B" w:rsidRPr="00E240F6" w:rsidRDefault="00970A4B" w:rsidP="003429B2">
            <w:pPr>
              <w:spacing w:before="0" w:after="0"/>
              <w:rPr>
                <w:rFonts w:ascii="Arial Narrow" w:hAnsi="Arial Narrow"/>
                <w:sz w:val="20"/>
                <w:szCs w:val="20"/>
              </w:rPr>
            </w:pPr>
            <w:r w:rsidRPr="00E240F6">
              <w:rPr>
                <w:rFonts w:ascii="Arial Narrow" w:hAnsi="Arial Narrow"/>
                <w:sz w:val="20"/>
                <w:szCs w:val="20"/>
              </w:rPr>
              <w:t>100 mg/1.0 ml injection</w:t>
            </w:r>
            <w:r>
              <w:rPr>
                <w:rFonts w:ascii="Arial Narrow" w:hAnsi="Arial Narrow"/>
                <w:sz w:val="20"/>
                <w:szCs w:val="20"/>
              </w:rPr>
              <w:t>,</w:t>
            </w:r>
          </w:p>
          <w:p w:rsidR="00970A4B" w:rsidRPr="00E240F6" w:rsidRDefault="00970A4B" w:rsidP="003429B2">
            <w:pPr>
              <w:spacing w:before="0" w:after="0"/>
              <w:rPr>
                <w:sz w:val="20"/>
                <w:szCs w:val="20"/>
              </w:rPr>
            </w:pPr>
            <w:r w:rsidRPr="0092532A">
              <w:rPr>
                <w:rFonts w:ascii="Arial Narrow" w:hAnsi="Arial Narrow"/>
                <w:sz w:val="20"/>
                <w:szCs w:val="20"/>
              </w:rPr>
              <w:t>1 mL injection device</w:t>
            </w:r>
          </w:p>
        </w:tc>
        <w:tc>
          <w:tcPr>
            <w:tcW w:w="419" w:type="pct"/>
            <w:tcBorders>
              <w:top w:val="single" w:sz="4" w:space="0" w:color="auto"/>
              <w:bottom w:val="single" w:sz="4" w:space="0" w:color="auto"/>
            </w:tcBorders>
            <w:vAlign w:val="center"/>
          </w:tcPr>
          <w:p w:rsidR="00970A4B" w:rsidRPr="00E240F6" w:rsidRDefault="00970A4B" w:rsidP="003429B2">
            <w:pPr>
              <w:pStyle w:val="TableText"/>
              <w:keepNext w:val="0"/>
              <w:spacing w:before="0" w:after="0"/>
              <w:rPr>
                <w:szCs w:val="20"/>
              </w:rPr>
            </w:pPr>
            <w:r w:rsidRPr="00E240F6">
              <w:rPr>
                <w:szCs w:val="20"/>
              </w:rPr>
              <w:t>1</w:t>
            </w:r>
          </w:p>
        </w:tc>
        <w:tc>
          <w:tcPr>
            <w:tcW w:w="505" w:type="pct"/>
            <w:tcBorders>
              <w:top w:val="single" w:sz="4" w:space="0" w:color="auto"/>
              <w:bottom w:val="single" w:sz="4" w:space="0" w:color="auto"/>
            </w:tcBorders>
            <w:vAlign w:val="center"/>
          </w:tcPr>
          <w:p w:rsidR="00970A4B" w:rsidRPr="00E240F6" w:rsidRDefault="00970A4B" w:rsidP="003429B2">
            <w:pPr>
              <w:pStyle w:val="TableText"/>
              <w:keepNext w:val="0"/>
              <w:spacing w:before="0" w:after="0"/>
              <w:rPr>
                <w:szCs w:val="20"/>
              </w:rPr>
            </w:pPr>
            <w:r w:rsidRPr="00E240F6">
              <w:rPr>
                <w:szCs w:val="20"/>
              </w:rPr>
              <w:t>4</w:t>
            </w:r>
          </w:p>
        </w:tc>
        <w:tc>
          <w:tcPr>
            <w:tcW w:w="909" w:type="pct"/>
            <w:tcBorders>
              <w:top w:val="single" w:sz="4" w:space="0" w:color="auto"/>
              <w:bottom w:val="single" w:sz="4" w:space="0" w:color="auto"/>
            </w:tcBorders>
            <w:vAlign w:val="center"/>
          </w:tcPr>
          <w:p w:rsidR="00970A4B" w:rsidRPr="00596DBC" w:rsidRDefault="00970A4B" w:rsidP="003429B2">
            <w:pPr>
              <w:pStyle w:val="TableText"/>
              <w:keepNext w:val="0"/>
              <w:spacing w:before="0" w:after="0"/>
              <w:rPr>
                <w:szCs w:val="20"/>
              </w:rPr>
            </w:pPr>
          </w:p>
        </w:tc>
        <w:tc>
          <w:tcPr>
            <w:tcW w:w="545" w:type="pct"/>
            <w:tcBorders>
              <w:top w:val="single" w:sz="4" w:space="0" w:color="auto"/>
              <w:bottom w:val="single" w:sz="4" w:space="0" w:color="auto"/>
            </w:tcBorders>
            <w:vAlign w:val="center"/>
          </w:tcPr>
          <w:p w:rsidR="00970A4B" w:rsidRPr="00596DBC" w:rsidRDefault="00970A4B" w:rsidP="003429B2">
            <w:pPr>
              <w:pStyle w:val="TableText"/>
              <w:keepNext w:val="0"/>
              <w:spacing w:before="0" w:after="0"/>
              <w:rPr>
                <w:szCs w:val="20"/>
              </w:rPr>
            </w:pPr>
            <w:r>
              <w:rPr>
                <w:szCs w:val="20"/>
              </w:rPr>
              <w:t xml:space="preserve">SIMPONI </w:t>
            </w:r>
            <w:r w:rsidRPr="00834200">
              <w:rPr>
                <w:rFonts w:cstheme="minorHAnsi"/>
                <w:sz w:val="22"/>
              </w:rPr>
              <w:t>Smartject</w:t>
            </w:r>
          </w:p>
        </w:tc>
        <w:tc>
          <w:tcPr>
            <w:tcW w:w="760" w:type="pct"/>
            <w:tcBorders>
              <w:top w:val="single" w:sz="4" w:space="0" w:color="auto"/>
              <w:bottom w:val="single" w:sz="4" w:space="0" w:color="auto"/>
            </w:tcBorders>
            <w:vAlign w:val="center"/>
          </w:tcPr>
          <w:p w:rsidR="00970A4B" w:rsidRPr="00596DBC" w:rsidRDefault="00970A4B" w:rsidP="003429B2">
            <w:pPr>
              <w:pStyle w:val="TableText"/>
              <w:keepNext w:val="0"/>
              <w:spacing w:before="0" w:after="0"/>
              <w:rPr>
                <w:szCs w:val="20"/>
              </w:rPr>
            </w:pPr>
            <w:r w:rsidRPr="00596DBC">
              <w:rPr>
                <w:szCs w:val="20"/>
              </w:rPr>
              <w:t>Janssen-Cilag Pty Ltd</w:t>
            </w:r>
          </w:p>
        </w:tc>
      </w:tr>
      <w:tr w:rsidR="00970A4B" w:rsidRPr="00691913" w:rsidTr="003429B2">
        <w:trPr>
          <w:gridAfter w:val="1"/>
          <w:wAfter w:w="9" w:type="pct"/>
          <w:cantSplit/>
          <w:trHeight w:val="70"/>
        </w:trPr>
        <w:tc>
          <w:tcPr>
            <w:tcW w:w="1853" w:type="pct"/>
            <w:gridSpan w:val="3"/>
            <w:tcBorders>
              <w:top w:val="single" w:sz="4" w:space="0" w:color="auto"/>
              <w:bottom w:val="single" w:sz="4" w:space="0" w:color="auto"/>
            </w:tcBorders>
            <w:vAlign w:val="center"/>
          </w:tcPr>
          <w:p w:rsidR="00970A4B" w:rsidRPr="00691913" w:rsidRDefault="00970A4B" w:rsidP="003429B2">
            <w:pPr>
              <w:pStyle w:val="TableText"/>
              <w:keepNext w:val="0"/>
              <w:rPr>
                <w:smallCaps/>
              </w:rPr>
            </w:pPr>
            <w:r>
              <w:t>Continuing treatment</w:t>
            </w:r>
          </w:p>
        </w:tc>
        <w:tc>
          <w:tcPr>
            <w:tcW w:w="419" w:type="pct"/>
            <w:tcBorders>
              <w:top w:val="single" w:sz="4" w:space="0" w:color="auto"/>
              <w:bottom w:val="single" w:sz="4" w:space="0" w:color="auto"/>
            </w:tcBorders>
            <w:vAlign w:val="center"/>
          </w:tcPr>
          <w:p w:rsidR="00970A4B" w:rsidRPr="00691913" w:rsidRDefault="00970A4B" w:rsidP="003429B2">
            <w:pPr>
              <w:pStyle w:val="TableText"/>
              <w:keepNext w:val="0"/>
            </w:pPr>
          </w:p>
        </w:tc>
        <w:tc>
          <w:tcPr>
            <w:tcW w:w="505" w:type="pct"/>
            <w:tcBorders>
              <w:top w:val="single" w:sz="4" w:space="0" w:color="auto"/>
              <w:bottom w:val="single" w:sz="4" w:space="0" w:color="auto"/>
            </w:tcBorders>
            <w:vAlign w:val="center"/>
          </w:tcPr>
          <w:p w:rsidR="00970A4B" w:rsidRPr="00691913" w:rsidRDefault="00970A4B" w:rsidP="003429B2">
            <w:pPr>
              <w:pStyle w:val="TableText"/>
              <w:keepNext w:val="0"/>
            </w:pPr>
          </w:p>
        </w:tc>
        <w:tc>
          <w:tcPr>
            <w:tcW w:w="909" w:type="pct"/>
            <w:tcBorders>
              <w:top w:val="single" w:sz="4" w:space="0" w:color="auto"/>
              <w:bottom w:val="single" w:sz="4" w:space="0" w:color="auto"/>
            </w:tcBorders>
            <w:vAlign w:val="center"/>
          </w:tcPr>
          <w:p w:rsidR="00970A4B" w:rsidRPr="00691913" w:rsidRDefault="00970A4B" w:rsidP="003429B2">
            <w:pPr>
              <w:pStyle w:val="TableText"/>
              <w:keepNext w:val="0"/>
            </w:pPr>
          </w:p>
        </w:tc>
        <w:tc>
          <w:tcPr>
            <w:tcW w:w="545" w:type="pct"/>
            <w:tcBorders>
              <w:top w:val="single" w:sz="4" w:space="0" w:color="auto"/>
              <w:bottom w:val="single" w:sz="4" w:space="0" w:color="auto"/>
            </w:tcBorders>
            <w:vAlign w:val="center"/>
          </w:tcPr>
          <w:p w:rsidR="00970A4B" w:rsidRPr="00691913" w:rsidRDefault="00970A4B" w:rsidP="003429B2">
            <w:pPr>
              <w:pStyle w:val="TableText"/>
              <w:keepNext w:val="0"/>
            </w:pPr>
          </w:p>
        </w:tc>
        <w:tc>
          <w:tcPr>
            <w:tcW w:w="760" w:type="pct"/>
            <w:tcBorders>
              <w:top w:val="single" w:sz="4" w:space="0" w:color="auto"/>
              <w:bottom w:val="single" w:sz="4" w:space="0" w:color="auto"/>
            </w:tcBorders>
            <w:vAlign w:val="center"/>
          </w:tcPr>
          <w:p w:rsidR="00970A4B" w:rsidRPr="00691913" w:rsidRDefault="00970A4B" w:rsidP="003429B2">
            <w:pPr>
              <w:pStyle w:val="TableText"/>
              <w:keepNext w:val="0"/>
            </w:pPr>
          </w:p>
        </w:tc>
      </w:tr>
      <w:tr w:rsidR="00970A4B" w:rsidRPr="00691913" w:rsidTr="003429B2">
        <w:trPr>
          <w:gridAfter w:val="1"/>
          <w:wAfter w:w="9" w:type="pct"/>
          <w:cantSplit/>
          <w:trHeight w:val="567"/>
        </w:trPr>
        <w:tc>
          <w:tcPr>
            <w:tcW w:w="1853" w:type="pct"/>
            <w:gridSpan w:val="3"/>
            <w:tcBorders>
              <w:top w:val="single" w:sz="4" w:space="0" w:color="auto"/>
            </w:tcBorders>
            <w:vAlign w:val="center"/>
          </w:tcPr>
          <w:p w:rsidR="00970A4B" w:rsidRPr="00A27858" w:rsidRDefault="00970A4B" w:rsidP="003429B2">
            <w:pPr>
              <w:pStyle w:val="TableText"/>
              <w:keepNext w:val="0"/>
              <w:rPr>
                <w:smallCaps/>
              </w:rPr>
            </w:pPr>
            <w:r w:rsidRPr="00A27858">
              <w:rPr>
                <w:smallCaps/>
              </w:rPr>
              <w:t>Golimumab</w:t>
            </w:r>
          </w:p>
          <w:p w:rsidR="00970A4B" w:rsidRPr="00E240F6" w:rsidRDefault="00970A4B" w:rsidP="003429B2">
            <w:pPr>
              <w:spacing w:before="0" w:after="0"/>
              <w:rPr>
                <w:rFonts w:ascii="Arial Narrow" w:hAnsi="Arial Narrow"/>
                <w:sz w:val="20"/>
                <w:szCs w:val="20"/>
              </w:rPr>
            </w:pPr>
            <w:r w:rsidRPr="00E240F6">
              <w:rPr>
                <w:rFonts w:ascii="Arial Narrow" w:hAnsi="Arial Narrow"/>
                <w:sz w:val="20"/>
                <w:szCs w:val="20"/>
              </w:rPr>
              <w:t>100 mg/1.0 mL injection</w:t>
            </w:r>
            <w:r>
              <w:rPr>
                <w:rFonts w:ascii="Arial Narrow" w:hAnsi="Arial Narrow"/>
                <w:sz w:val="20"/>
                <w:szCs w:val="20"/>
              </w:rPr>
              <w:t>,</w:t>
            </w:r>
          </w:p>
          <w:p w:rsidR="00970A4B" w:rsidRPr="00691913" w:rsidRDefault="00970A4B" w:rsidP="003429B2">
            <w:pPr>
              <w:spacing w:before="0" w:after="0"/>
            </w:pPr>
            <w:r w:rsidRPr="0092532A">
              <w:rPr>
                <w:rFonts w:ascii="Arial Narrow" w:hAnsi="Arial Narrow"/>
                <w:sz w:val="20"/>
                <w:szCs w:val="20"/>
              </w:rPr>
              <w:t>1 mL injection device</w:t>
            </w:r>
          </w:p>
        </w:tc>
        <w:tc>
          <w:tcPr>
            <w:tcW w:w="419" w:type="pct"/>
            <w:tcBorders>
              <w:top w:val="single" w:sz="4" w:space="0" w:color="auto"/>
            </w:tcBorders>
            <w:vAlign w:val="center"/>
          </w:tcPr>
          <w:p w:rsidR="00970A4B" w:rsidRPr="00691913" w:rsidRDefault="00970A4B" w:rsidP="003429B2">
            <w:pPr>
              <w:pStyle w:val="TableText"/>
              <w:keepNext w:val="0"/>
            </w:pPr>
            <w:r>
              <w:t>1</w:t>
            </w:r>
          </w:p>
        </w:tc>
        <w:tc>
          <w:tcPr>
            <w:tcW w:w="505" w:type="pct"/>
            <w:tcBorders>
              <w:top w:val="single" w:sz="4" w:space="0" w:color="auto"/>
            </w:tcBorders>
            <w:vAlign w:val="center"/>
          </w:tcPr>
          <w:p w:rsidR="00970A4B" w:rsidRPr="00691913" w:rsidRDefault="00970A4B" w:rsidP="003429B2">
            <w:pPr>
              <w:pStyle w:val="TableText"/>
              <w:keepNext w:val="0"/>
            </w:pPr>
            <w:r>
              <w:t>5</w:t>
            </w:r>
          </w:p>
        </w:tc>
        <w:tc>
          <w:tcPr>
            <w:tcW w:w="909" w:type="pct"/>
            <w:tcBorders>
              <w:top w:val="single" w:sz="4" w:space="0" w:color="auto"/>
            </w:tcBorders>
            <w:vAlign w:val="center"/>
          </w:tcPr>
          <w:p w:rsidR="00970A4B" w:rsidRPr="00691913" w:rsidRDefault="00970A4B" w:rsidP="003429B2">
            <w:pPr>
              <w:pStyle w:val="TableText"/>
              <w:keepNext w:val="0"/>
            </w:pPr>
          </w:p>
        </w:tc>
        <w:tc>
          <w:tcPr>
            <w:tcW w:w="545" w:type="pct"/>
            <w:tcBorders>
              <w:top w:val="single" w:sz="4" w:space="0" w:color="auto"/>
            </w:tcBorders>
            <w:vAlign w:val="center"/>
          </w:tcPr>
          <w:p w:rsidR="00970A4B" w:rsidRPr="00691913" w:rsidRDefault="00970A4B" w:rsidP="003429B2">
            <w:pPr>
              <w:pStyle w:val="TableText"/>
              <w:keepNext w:val="0"/>
            </w:pPr>
            <w:r>
              <w:t xml:space="preserve">SIMPONI </w:t>
            </w:r>
            <w:r w:rsidRPr="00834200">
              <w:rPr>
                <w:rFonts w:cstheme="minorHAnsi"/>
                <w:sz w:val="22"/>
              </w:rPr>
              <w:t>Smartject</w:t>
            </w:r>
          </w:p>
        </w:tc>
        <w:tc>
          <w:tcPr>
            <w:tcW w:w="760" w:type="pct"/>
            <w:tcBorders>
              <w:top w:val="single" w:sz="4" w:space="0" w:color="auto"/>
            </w:tcBorders>
            <w:vAlign w:val="center"/>
          </w:tcPr>
          <w:p w:rsidR="00970A4B" w:rsidRPr="00691913" w:rsidRDefault="00970A4B" w:rsidP="003429B2">
            <w:pPr>
              <w:pStyle w:val="TableText"/>
              <w:keepNext w:val="0"/>
            </w:pPr>
            <w:r w:rsidRPr="00181AA0">
              <w:t>Janssen-Cilag Pty Ltd</w:t>
            </w:r>
          </w:p>
        </w:tc>
      </w:tr>
      <w:tr w:rsidR="00970A4B" w:rsidTr="003429B2">
        <w:tblPrEx>
          <w:tblCellMar>
            <w:left w:w="108" w:type="dxa"/>
            <w:right w:w="108" w:type="dxa"/>
          </w:tblCellMar>
        </w:tblPrEx>
        <w:trPr>
          <w:gridBefore w:val="1"/>
          <w:wBefore w:w="13" w:type="pct"/>
          <w:cantSplit/>
          <w:trHeight w:val="360"/>
        </w:trPr>
        <w:tc>
          <w:tcPr>
            <w:tcW w:w="1088" w:type="pct"/>
            <w:tcBorders>
              <w:top w:val="single" w:sz="4" w:space="0" w:color="auto"/>
              <w:left w:val="single" w:sz="4" w:space="0" w:color="auto"/>
              <w:bottom w:val="single" w:sz="4" w:space="0" w:color="auto"/>
              <w:right w:val="single" w:sz="4" w:space="0" w:color="auto"/>
            </w:tcBorders>
          </w:tcPr>
          <w:p w:rsidR="00970A4B" w:rsidRDefault="00970A4B" w:rsidP="003429B2">
            <w:pPr>
              <w:pStyle w:val="TableText"/>
              <w:keepNext w:val="0"/>
            </w:pPr>
            <w:r w:rsidRPr="00260CE3">
              <w:t>Category / Program</w:t>
            </w:r>
            <w:r>
              <w:t>:</w:t>
            </w:r>
          </w:p>
        </w:tc>
        <w:tc>
          <w:tcPr>
            <w:tcW w:w="3899" w:type="pct"/>
            <w:gridSpan w:val="7"/>
            <w:tcBorders>
              <w:top w:val="single" w:sz="4" w:space="0" w:color="auto"/>
              <w:left w:val="single" w:sz="4" w:space="0" w:color="auto"/>
              <w:bottom w:val="single" w:sz="4" w:space="0" w:color="auto"/>
              <w:right w:val="single" w:sz="4" w:space="0" w:color="auto"/>
            </w:tcBorders>
          </w:tcPr>
          <w:p w:rsidR="00970A4B" w:rsidRPr="000D7F87" w:rsidRDefault="00970A4B" w:rsidP="003429B2">
            <w:pPr>
              <w:pStyle w:val="TableText"/>
              <w:keepNext w:val="0"/>
              <w:rPr>
                <w:strike/>
              </w:rPr>
            </w:pPr>
            <w:r w:rsidRPr="000D7F87">
              <w:rPr>
                <w:rFonts w:cs="Arial"/>
                <w:szCs w:val="20"/>
              </w:rPr>
              <w:t>GENERAL – General Schedule (Code GE)</w:t>
            </w:r>
          </w:p>
        </w:tc>
      </w:tr>
      <w:tr w:rsidR="00970A4B" w:rsidRPr="00260CE3" w:rsidTr="003429B2">
        <w:tblPrEx>
          <w:tblCellMar>
            <w:left w:w="108" w:type="dxa"/>
            <w:right w:w="108" w:type="dxa"/>
          </w:tblCellMar>
        </w:tblPrEx>
        <w:trPr>
          <w:gridBefore w:val="1"/>
          <w:wBefore w:w="13" w:type="pct"/>
          <w:cantSplit/>
          <w:trHeight w:val="360"/>
        </w:trPr>
        <w:tc>
          <w:tcPr>
            <w:tcW w:w="1088" w:type="pct"/>
            <w:tcBorders>
              <w:top w:val="single" w:sz="4" w:space="0" w:color="auto"/>
              <w:left w:val="single" w:sz="4" w:space="0" w:color="auto"/>
              <w:bottom w:val="single" w:sz="4" w:space="0" w:color="auto"/>
              <w:right w:val="single" w:sz="4" w:space="0" w:color="auto"/>
            </w:tcBorders>
          </w:tcPr>
          <w:p w:rsidR="00970A4B" w:rsidRPr="00E240F6" w:rsidRDefault="00970A4B" w:rsidP="003429B2">
            <w:pPr>
              <w:pStyle w:val="TableText"/>
              <w:keepNext w:val="0"/>
            </w:pPr>
            <w:r w:rsidRPr="00E240F6">
              <w:t>Restriction Level / Method:</w:t>
            </w:r>
          </w:p>
          <w:p w:rsidR="00970A4B" w:rsidRPr="00E240F6" w:rsidRDefault="00970A4B" w:rsidP="003429B2">
            <w:pPr>
              <w:pStyle w:val="TableText"/>
              <w:keepNext w:val="0"/>
            </w:pPr>
          </w:p>
        </w:tc>
        <w:tc>
          <w:tcPr>
            <w:tcW w:w="3899" w:type="pct"/>
            <w:gridSpan w:val="7"/>
            <w:tcBorders>
              <w:top w:val="single" w:sz="4" w:space="0" w:color="auto"/>
              <w:left w:val="single" w:sz="4" w:space="0" w:color="auto"/>
              <w:bottom w:val="single" w:sz="4" w:space="0" w:color="auto"/>
              <w:right w:val="single" w:sz="4" w:space="0" w:color="auto"/>
            </w:tcBorders>
          </w:tcPr>
          <w:p w:rsidR="00970A4B" w:rsidRPr="00E240F6" w:rsidRDefault="00970A4B" w:rsidP="003429B2">
            <w:pPr>
              <w:pStyle w:val="TableText"/>
              <w:keepNext w:val="0"/>
            </w:pPr>
            <w:r w:rsidRPr="00E240F6">
              <w:fldChar w:fldCharType="begin">
                <w:ffData>
                  <w:name w:val="Check1"/>
                  <w:enabled/>
                  <w:calcOnExit w:val="0"/>
                  <w:checkBox>
                    <w:sizeAuto/>
                    <w:default w:val="0"/>
                  </w:checkBox>
                </w:ffData>
              </w:fldChar>
            </w:r>
            <w:r w:rsidRPr="00E240F6">
              <w:instrText xml:space="preserve"> FORMCHECKBOX </w:instrText>
            </w:r>
            <w:r w:rsidR="00F86D7A">
              <w:fldChar w:fldCharType="separate"/>
            </w:r>
            <w:r w:rsidRPr="00E240F6">
              <w:fldChar w:fldCharType="end"/>
            </w:r>
            <w:r w:rsidRPr="00E240F6">
              <w:t>Restricted benefit</w:t>
            </w:r>
          </w:p>
          <w:p w:rsidR="00970A4B" w:rsidRPr="00E240F6" w:rsidRDefault="00970A4B" w:rsidP="003429B2">
            <w:pPr>
              <w:pStyle w:val="TableText"/>
              <w:keepNext w:val="0"/>
            </w:pPr>
            <w:r>
              <w:fldChar w:fldCharType="begin">
                <w:ffData>
                  <w:name w:val=""/>
                  <w:enabled/>
                  <w:calcOnExit w:val="0"/>
                  <w:checkBox>
                    <w:sizeAuto/>
                    <w:default w:val="1"/>
                  </w:checkBox>
                </w:ffData>
              </w:fldChar>
            </w:r>
            <w:r>
              <w:instrText xml:space="preserve"> FORMCHECKBOX </w:instrText>
            </w:r>
            <w:r w:rsidR="00F86D7A">
              <w:fldChar w:fldCharType="separate"/>
            </w:r>
            <w:r>
              <w:fldChar w:fldCharType="end"/>
            </w:r>
            <w:r w:rsidRPr="00E240F6">
              <w:t>Authority Req</w:t>
            </w:r>
            <w:r>
              <w:t>uired</w:t>
            </w:r>
          </w:p>
          <w:p w:rsidR="00970A4B" w:rsidRPr="00E240F6" w:rsidRDefault="00970A4B" w:rsidP="003429B2">
            <w:pPr>
              <w:pStyle w:val="TableText"/>
              <w:keepNext w:val="0"/>
              <w:rPr>
                <w:strike/>
              </w:rPr>
            </w:pPr>
            <w:r w:rsidRPr="00E240F6">
              <w:fldChar w:fldCharType="begin">
                <w:ffData>
                  <w:name w:val="Check5"/>
                  <w:enabled/>
                  <w:calcOnExit w:val="0"/>
                  <w:checkBox>
                    <w:sizeAuto/>
                    <w:default w:val="0"/>
                  </w:checkBox>
                </w:ffData>
              </w:fldChar>
            </w:r>
            <w:r w:rsidRPr="00E240F6">
              <w:instrText xml:space="preserve"> FORMCHECKBOX </w:instrText>
            </w:r>
            <w:r w:rsidR="00F86D7A">
              <w:fldChar w:fldCharType="separate"/>
            </w:r>
            <w:r w:rsidRPr="00E240F6">
              <w:fldChar w:fldCharType="end"/>
            </w:r>
            <w:r w:rsidRPr="00E240F6">
              <w:t>Streamlined</w:t>
            </w:r>
          </w:p>
        </w:tc>
      </w:tr>
      <w:tr w:rsidR="00970A4B" w:rsidTr="003429B2">
        <w:tblPrEx>
          <w:tblCellMar>
            <w:left w:w="108" w:type="dxa"/>
            <w:right w:w="108" w:type="dxa"/>
          </w:tblCellMar>
        </w:tblPrEx>
        <w:trPr>
          <w:gridBefore w:val="1"/>
          <w:wBefore w:w="13" w:type="pct"/>
          <w:cantSplit/>
          <w:trHeight w:val="360"/>
        </w:trPr>
        <w:tc>
          <w:tcPr>
            <w:tcW w:w="1088" w:type="pct"/>
            <w:tcBorders>
              <w:top w:val="single" w:sz="4" w:space="0" w:color="auto"/>
              <w:left w:val="single" w:sz="4" w:space="0" w:color="auto"/>
              <w:bottom w:val="single" w:sz="4" w:space="0" w:color="auto"/>
              <w:right w:val="single" w:sz="4" w:space="0" w:color="auto"/>
            </w:tcBorders>
          </w:tcPr>
          <w:p w:rsidR="00970A4B" w:rsidRDefault="00970A4B" w:rsidP="003429B2">
            <w:pPr>
              <w:pStyle w:val="TableText"/>
              <w:keepNext w:val="0"/>
              <w:rPr>
                <w:rFonts w:ascii="Times" w:eastAsia="Times New Roman" w:hAnsi="Times" w:cs="Times New Roman"/>
                <w:szCs w:val="20"/>
                <w:lang w:val="en-US"/>
              </w:rPr>
            </w:pPr>
            <w:r>
              <w:t>PBS Indication:</w:t>
            </w:r>
          </w:p>
        </w:tc>
        <w:tc>
          <w:tcPr>
            <w:tcW w:w="3899" w:type="pct"/>
            <w:gridSpan w:val="7"/>
            <w:tcBorders>
              <w:top w:val="single" w:sz="4" w:space="0" w:color="auto"/>
              <w:left w:val="single" w:sz="4" w:space="0" w:color="auto"/>
              <w:bottom w:val="single" w:sz="4" w:space="0" w:color="auto"/>
              <w:right w:val="single" w:sz="4" w:space="0" w:color="auto"/>
            </w:tcBorders>
          </w:tcPr>
          <w:p w:rsidR="00970A4B" w:rsidRDefault="00970A4B" w:rsidP="003429B2">
            <w:pPr>
              <w:pStyle w:val="TableText"/>
              <w:keepNext w:val="0"/>
            </w:pPr>
            <w:r>
              <w:t>Moderate to Severe Ulcerative Colitis</w:t>
            </w:r>
          </w:p>
        </w:tc>
      </w:tr>
      <w:tr w:rsidR="00970A4B" w:rsidTr="003429B2">
        <w:tblPrEx>
          <w:tblCellMar>
            <w:left w:w="108" w:type="dxa"/>
            <w:right w:w="108" w:type="dxa"/>
          </w:tblCellMar>
        </w:tblPrEx>
        <w:trPr>
          <w:gridBefore w:val="1"/>
          <w:wBefore w:w="13" w:type="pct"/>
          <w:cantSplit/>
          <w:trHeight w:val="360"/>
        </w:trPr>
        <w:tc>
          <w:tcPr>
            <w:tcW w:w="1088" w:type="pct"/>
            <w:tcBorders>
              <w:top w:val="single" w:sz="4" w:space="0" w:color="auto"/>
              <w:left w:val="single" w:sz="4" w:space="0" w:color="auto"/>
              <w:bottom w:val="single" w:sz="4" w:space="0" w:color="auto"/>
              <w:right w:val="single" w:sz="4" w:space="0" w:color="auto"/>
            </w:tcBorders>
          </w:tcPr>
          <w:p w:rsidR="00970A4B" w:rsidRPr="00791DE1" w:rsidRDefault="00970A4B" w:rsidP="003429B2">
            <w:pPr>
              <w:pStyle w:val="TableText"/>
              <w:keepNext w:val="0"/>
            </w:pPr>
            <w:r>
              <w:t>Treatment phase:</w:t>
            </w:r>
          </w:p>
        </w:tc>
        <w:tc>
          <w:tcPr>
            <w:tcW w:w="3899" w:type="pct"/>
            <w:gridSpan w:val="7"/>
            <w:tcBorders>
              <w:top w:val="single" w:sz="4" w:space="0" w:color="auto"/>
              <w:left w:val="single" w:sz="4" w:space="0" w:color="auto"/>
              <w:bottom w:val="single" w:sz="4" w:space="0" w:color="auto"/>
              <w:right w:val="single" w:sz="4" w:space="0" w:color="auto"/>
            </w:tcBorders>
          </w:tcPr>
          <w:p w:rsidR="00970A4B" w:rsidRDefault="00970A4B" w:rsidP="003429B2">
            <w:pPr>
              <w:pStyle w:val="TableText"/>
              <w:keepNext w:val="0"/>
            </w:pPr>
            <w:r>
              <w:t>Induction treatment; and continuing treatment</w:t>
            </w:r>
          </w:p>
        </w:tc>
      </w:tr>
    </w:tbl>
    <w:p w:rsidR="0060197D" w:rsidRPr="0060197D" w:rsidRDefault="0060197D" w:rsidP="0060197D">
      <w:pPr>
        <w:pStyle w:val="Heading1"/>
        <w:ind w:left="709" w:hanging="709"/>
      </w:pPr>
      <w:r w:rsidRPr="0060197D">
        <w:t>Context for Decision</w:t>
      </w:r>
    </w:p>
    <w:p w:rsidR="0060197D" w:rsidRPr="003D3A59" w:rsidRDefault="0060197D" w:rsidP="00E26724">
      <w:pPr>
        <w:spacing w:after="0"/>
        <w:ind w:left="709"/>
        <w:jc w:val="both"/>
        <w:rPr>
          <w:rFonts w:cs="Arial"/>
          <w:szCs w:val="24"/>
        </w:rPr>
      </w:pPr>
      <w:r w:rsidRPr="003D3A59">
        <w:rPr>
          <w:rFonts w:cs="Arial"/>
          <w:szCs w:val="24"/>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60197D" w:rsidRPr="003D3A59" w:rsidRDefault="0060197D" w:rsidP="0060197D">
      <w:pPr>
        <w:ind w:left="426"/>
        <w:jc w:val="both"/>
        <w:rPr>
          <w:rFonts w:cs="Arial"/>
          <w:szCs w:val="24"/>
        </w:rPr>
      </w:pPr>
    </w:p>
    <w:p w:rsidR="0060197D" w:rsidRPr="0060197D" w:rsidRDefault="0060197D" w:rsidP="0060197D">
      <w:pPr>
        <w:pStyle w:val="Heading1"/>
        <w:ind w:left="709" w:hanging="709"/>
      </w:pPr>
      <w:r w:rsidRPr="0060197D">
        <w:t>Sponsor’s Comment</w:t>
      </w:r>
    </w:p>
    <w:p w:rsidR="00BE4747" w:rsidRPr="006B2EA9" w:rsidRDefault="0060197D" w:rsidP="00264232">
      <w:pPr>
        <w:ind w:firstLine="709"/>
        <w:rPr>
          <w:i/>
        </w:rPr>
      </w:pPr>
      <w:r w:rsidRPr="003D3A59">
        <w:rPr>
          <w:rFonts w:cs="Arial"/>
          <w:bCs/>
          <w:szCs w:val="24"/>
        </w:rPr>
        <w:t>The sponsor had no comment.</w:t>
      </w:r>
    </w:p>
    <w:sectPr w:rsidR="00BE4747" w:rsidRPr="006B2EA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D7A" w:rsidRDefault="00F86D7A" w:rsidP="00BA3306">
      <w:pPr>
        <w:spacing w:before="0" w:after="0"/>
      </w:pPr>
      <w:r>
        <w:separator/>
      </w:r>
    </w:p>
  </w:endnote>
  <w:endnote w:type="continuationSeparator" w:id="0">
    <w:p w:rsidR="00F86D7A" w:rsidRDefault="00F86D7A" w:rsidP="00BA33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2EC" w:rsidRDefault="00B312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973322"/>
      <w:docPartObj>
        <w:docPartGallery w:val="Page Numbers (Bottom of Page)"/>
        <w:docPartUnique/>
      </w:docPartObj>
    </w:sdtPr>
    <w:sdtEndPr>
      <w:rPr>
        <w:noProof/>
      </w:rPr>
    </w:sdtEndPr>
    <w:sdtContent>
      <w:p w:rsidR="00B312EC" w:rsidRDefault="00B312EC">
        <w:pPr>
          <w:pStyle w:val="Footer"/>
          <w:jc w:val="center"/>
        </w:pPr>
        <w:r>
          <w:fldChar w:fldCharType="begin"/>
        </w:r>
        <w:r>
          <w:instrText xml:space="preserve"> PAGE   \* MERGEFORMAT </w:instrText>
        </w:r>
        <w:r>
          <w:fldChar w:fldCharType="separate"/>
        </w:r>
        <w:r w:rsidR="00F86D7A">
          <w:rPr>
            <w:noProof/>
          </w:rPr>
          <w:t>1</w:t>
        </w:r>
        <w:r>
          <w:rPr>
            <w:noProof/>
          </w:rPr>
          <w:fldChar w:fldCharType="end"/>
        </w:r>
      </w:p>
    </w:sdtContent>
  </w:sdt>
  <w:p w:rsidR="00B312EC" w:rsidRPr="00791341" w:rsidRDefault="00B312EC" w:rsidP="00542F46">
    <w:pPr>
      <w:pStyle w:val="Footer"/>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2EC" w:rsidRDefault="00B312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D7A" w:rsidRDefault="00F86D7A" w:rsidP="00BA3306">
      <w:pPr>
        <w:spacing w:before="0" w:after="0"/>
      </w:pPr>
      <w:r>
        <w:separator/>
      </w:r>
    </w:p>
  </w:footnote>
  <w:footnote w:type="continuationSeparator" w:id="0">
    <w:p w:rsidR="00F86D7A" w:rsidRDefault="00F86D7A" w:rsidP="00BA330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2EC" w:rsidRDefault="00B312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2EC" w:rsidRPr="00B624FB" w:rsidRDefault="00B312EC" w:rsidP="00B624FB">
    <w:pPr>
      <w:pStyle w:val="Header"/>
      <w:tabs>
        <w:tab w:val="left" w:pos="1725"/>
        <w:tab w:val="left" w:pos="7725"/>
      </w:tabs>
      <w:jc w:val="center"/>
      <w:rPr>
        <w:i/>
      </w:rPr>
    </w:pPr>
    <w:r>
      <w:rPr>
        <w:i/>
      </w:rPr>
      <w:t>Public Summary Document</w:t>
    </w:r>
    <w:r w:rsidRPr="00F84F56">
      <w:rPr>
        <w:i/>
      </w:rPr>
      <w:t xml:space="preserve"> – November 2017 PBAC Meeting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2EC" w:rsidRDefault="00B312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17DF2"/>
    <w:multiLevelType w:val="multilevel"/>
    <w:tmpl w:val="C6705010"/>
    <w:lvl w:ilvl="0">
      <w:start w:val="1"/>
      <w:numFmt w:val="decimal"/>
      <w:lvlText w:val="%1"/>
      <w:lvlJc w:val="left"/>
      <w:pPr>
        <w:ind w:left="720" w:hanging="720"/>
      </w:pPr>
      <w:rPr>
        <w:rFonts w:hint="default"/>
        <w:b/>
      </w:rPr>
    </w:lvl>
    <w:lvl w:ilvl="1">
      <w:start w:val="1"/>
      <w:numFmt w:val="decimal"/>
      <w:lvlText w:val="6.%2"/>
      <w:lvlJc w:val="left"/>
      <w:pPr>
        <w:ind w:left="720" w:hanging="720"/>
      </w:pPr>
      <w:rPr>
        <w:rFonts w:hint="default"/>
        <w:b w:val="0"/>
        <w:i w:val="0"/>
        <w:color w:val="auto"/>
      </w:rPr>
    </w:lvl>
    <w:lvl w:ilvl="2">
      <w:start w:val="1"/>
      <w:numFmt w:val="bullet"/>
      <w:lvlText w:val=""/>
      <w:lvlJc w:val="left"/>
      <w:pPr>
        <w:ind w:left="720" w:hanging="720"/>
      </w:pPr>
      <w:rPr>
        <w:rFonts w:ascii="Symbol" w:hAnsi="Symbol"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8FB1481"/>
    <w:multiLevelType w:val="hybridMultilevel"/>
    <w:tmpl w:val="9AE00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C0069E0"/>
    <w:multiLevelType w:val="hybridMultilevel"/>
    <w:tmpl w:val="2E8408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1480B0C"/>
    <w:multiLevelType w:val="multilevel"/>
    <w:tmpl w:val="70BC3D42"/>
    <w:lvl w:ilvl="0">
      <w:start w:val="1"/>
      <w:numFmt w:val="decimal"/>
      <w:pStyle w:val="PBACHeading1"/>
      <w:lvlText w:val="%1"/>
      <w:lvlJc w:val="left"/>
      <w:pPr>
        <w:ind w:left="720" w:hanging="720"/>
      </w:pPr>
      <w:rPr>
        <w:rFonts w:hint="default"/>
        <w:b/>
      </w:rPr>
    </w:lvl>
    <w:lvl w:ilvl="1">
      <w:start w:val="1"/>
      <w:numFmt w:val="decimal"/>
      <w:lvlText w:val="2.%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328A0D95"/>
    <w:multiLevelType w:val="multilevel"/>
    <w:tmpl w:val="0FE883CE"/>
    <w:lvl w:ilvl="0">
      <w:start w:val="1"/>
      <w:numFmt w:val="decimal"/>
      <w:lvlText w:val="%1"/>
      <w:lvlJc w:val="left"/>
      <w:pPr>
        <w:ind w:left="720" w:hanging="720"/>
      </w:pPr>
      <w:rPr>
        <w:rFonts w:hint="default"/>
        <w:b/>
      </w:rPr>
    </w:lvl>
    <w:lvl w:ilvl="1">
      <w:start w:val="1"/>
      <w:numFmt w:val="decimal"/>
      <w:lvlText w:val="4.%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34306016"/>
    <w:multiLevelType w:val="multilevel"/>
    <w:tmpl w:val="3542AF18"/>
    <w:lvl w:ilvl="0">
      <w:start w:val="1"/>
      <w:numFmt w:val="decimal"/>
      <w:lvlText w:val="%1"/>
      <w:lvlJc w:val="left"/>
      <w:pPr>
        <w:ind w:left="720" w:hanging="720"/>
      </w:pPr>
      <w:rPr>
        <w:rFonts w:hint="default"/>
        <w:b/>
      </w:rPr>
    </w:lvl>
    <w:lvl w:ilvl="1">
      <w:start w:val="1"/>
      <w:numFmt w:val="decimal"/>
      <w:lvlText w:val="3.%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F01450F"/>
    <w:multiLevelType w:val="hybridMultilevel"/>
    <w:tmpl w:val="1BFA88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B275591"/>
    <w:multiLevelType w:val="multilevel"/>
    <w:tmpl w:val="1E621378"/>
    <w:lvl w:ilvl="0">
      <w:start w:val="1"/>
      <w:numFmt w:val="decimal"/>
      <w:lvlText w:val="%1"/>
      <w:lvlJc w:val="left"/>
      <w:pPr>
        <w:ind w:left="720" w:hanging="720"/>
      </w:pPr>
      <w:rPr>
        <w:rFonts w:hint="default"/>
        <w:b/>
      </w:rPr>
    </w:lvl>
    <w:lvl w:ilvl="1">
      <w:start w:val="1"/>
      <w:numFmt w:val="decimal"/>
      <w:lvlText w:val="5.%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6530422"/>
    <w:multiLevelType w:val="hybridMultilevel"/>
    <w:tmpl w:val="632AAB5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920477B"/>
    <w:multiLevelType w:val="multilevel"/>
    <w:tmpl w:val="74BE0A20"/>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6FAE412C"/>
    <w:multiLevelType w:val="hybridMultilevel"/>
    <w:tmpl w:val="E6561294"/>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4">
    <w:nsid w:val="73FC5650"/>
    <w:multiLevelType w:val="multilevel"/>
    <w:tmpl w:val="7090DC60"/>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bullet"/>
      <w:lvlText w:val="o"/>
      <w:lvlJc w:val="left"/>
      <w:pPr>
        <w:ind w:left="1440" w:hanging="1440"/>
      </w:pPr>
      <w:rPr>
        <w:rFonts w:ascii="Courier New" w:hAnsi="Courier New" w:cs="Courier New"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784D033C"/>
    <w:multiLevelType w:val="multilevel"/>
    <w:tmpl w:val="BC0A6F0A"/>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5"/>
  </w:num>
  <w:num w:numId="3">
    <w:abstractNumId w:val="4"/>
  </w:num>
  <w:num w:numId="4">
    <w:abstractNumId w:val="11"/>
  </w:num>
  <w:num w:numId="5">
    <w:abstractNumId w:val="14"/>
  </w:num>
  <w:num w:numId="6">
    <w:abstractNumId w:val="7"/>
  </w:num>
  <w:num w:numId="7">
    <w:abstractNumId w:val="2"/>
  </w:num>
  <w:num w:numId="8">
    <w:abstractNumId w:val="10"/>
  </w:num>
  <w:num w:numId="9">
    <w:abstractNumId w:val="3"/>
  </w:num>
  <w:num w:numId="10">
    <w:abstractNumId w:val="6"/>
  </w:num>
  <w:num w:numId="11">
    <w:abstractNumId w:val="5"/>
  </w:num>
  <w:num w:numId="12">
    <w:abstractNumId w:val="8"/>
  </w:num>
  <w:num w:numId="13">
    <w:abstractNumId w:val="0"/>
  </w:num>
  <w:num w:numId="14">
    <w:abstractNumId w:val="1"/>
  </w:num>
  <w:num w:numId="15">
    <w:abstractNumId w:val="12"/>
  </w:num>
  <w:num w:numId="1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A29"/>
    <w:rsid w:val="00000698"/>
    <w:rsid w:val="00000A15"/>
    <w:rsid w:val="000013D9"/>
    <w:rsid w:val="00001AB4"/>
    <w:rsid w:val="00002229"/>
    <w:rsid w:val="000026BB"/>
    <w:rsid w:val="00002872"/>
    <w:rsid w:val="00002AD3"/>
    <w:rsid w:val="00003292"/>
    <w:rsid w:val="00003C62"/>
    <w:rsid w:val="00003D5F"/>
    <w:rsid w:val="00004A67"/>
    <w:rsid w:val="00004D87"/>
    <w:rsid w:val="000052F7"/>
    <w:rsid w:val="00005E53"/>
    <w:rsid w:val="00005EE5"/>
    <w:rsid w:val="000060B4"/>
    <w:rsid w:val="000065AB"/>
    <w:rsid w:val="000065BA"/>
    <w:rsid w:val="000068A4"/>
    <w:rsid w:val="00006AE3"/>
    <w:rsid w:val="00006C1D"/>
    <w:rsid w:val="00007C66"/>
    <w:rsid w:val="000101E9"/>
    <w:rsid w:val="0001021B"/>
    <w:rsid w:val="0001038F"/>
    <w:rsid w:val="0001066F"/>
    <w:rsid w:val="00010C68"/>
    <w:rsid w:val="00011174"/>
    <w:rsid w:val="000111D1"/>
    <w:rsid w:val="000112BB"/>
    <w:rsid w:val="000113EB"/>
    <w:rsid w:val="00012192"/>
    <w:rsid w:val="000122B2"/>
    <w:rsid w:val="00012736"/>
    <w:rsid w:val="00012AC8"/>
    <w:rsid w:val="00012C22"/>
    <w:rsid w:val="00012CC0"/>
    <w:rsid w:val="00012E21"/>
    <w:rsid w:val="0001303F"/>
    <w:rsid w:val="00013222"/>
    <w:rsid w:val="0001395C"/>
    <w:rsid w:val="00013BF0"/>
    <w:rsid w:val="00013CC0"/>
    <w:rsid w:val="00013D0A"/>
    <w:rsid w:val="00014158"/>
    <w:rsid w:val="0001451D"/>
    <w:rsid w:val="00014C49"/>
    <w:rsid w:val="00014CA1"/>
    <w:rsid w:val="0001549D"/>
    <w:rsid w:val="0001563B"/>
    <w:rsid w:val="00015841"/>
    <w:rsid w:val="00015C2B"/>
    <w:rsid w:val="00016CCE"/>
    <w:rsid w:val="00016F64"/>
    <w:rsid w:val="00017042"/>
    <w:rsid w:val="00017672"/>
    <w:rsid w:val="0001789C"/>
    <w:rsid w:val="00017B6D"/>
    <w:rsid w:val="0002095B"/>
    <w:rsid w:val="00020ABA"/>
    <w:rsid w:val="00021151"/>
    <w:rsid w:val="00021658"/>
    <w:rsid w:val="00021843"/>
    <w:rsid w:val="00021DA5"/>
    <w:rsid w:val="00021DBA"/>
    <w:rsid w:val="00021FE9"/>
    <w:rsid w:val="00022041"/>
    <w:rsid w:val="000224BE"/>
    <w:rsid w:val="000228EE"/>
    <w:rsid w:val="00022EBB"/>
    <w:rsid w:val="000232EC"/>
    <w:rsid w:val="00023564"/>
    <w:rsid w:val="00023BEC"/>
    <w:rsid w:val="0002461D"/>
    <w:rsid w:val="00024B64"/>
    <w:rsid w:val="00024CB3"/>
    <w:rsid w:val="00024ECD"/>
    <w:rsid w:val="00025046"/>
    <w:rsid w:val="0002507E"/>
    <w:rsid w:val="00025274"/>
    <w:rsid w:val="00025A17"/>
    <w:rsid w:val="00025CB5"/>
    <w:rsid w:val="00025CD8"/>
    <w:rsid w:val="00025DBE"/>
    <w:rsid w:val="0002631F"/>
    <w:rsid w:val="00026584"/>
    <w:rsid w:val="0002691F"/>
    <w:rsid w:val="00026BA1"/>
    <w:rsid w:val="00026F94"/>
    <w:rsid w:val="0002726D"/>
    <w:rsid w:val="000279AD"/>
    <w:rsid w:val="00027A04"/>
    <w:rsid w:val="00027C5D"/>
    <w:rsid w:val="00030405"/>
    <w:rsid w:val="00030554"/>
    <w:rsid w:val="0003077E"/>
    <w:rsid w:val="000314E0"/>
    <w:rsid w:val="00031D1C"/>
    <w:rsid w:val="000322CC"/>
    <w:rsid w:val="00032E6C"/>
    <w:rsid w:val="0003365E"/>
    <w:rsid w:val="0003378A"/>
    <w:rsid w:val="00033817"/>
    <w:rsid w:val="00033A10"/>
    <w:rsid w:val="00033F97"/>
    <w:rsid w:val="0003404A"/>
    <w:rsid w:val="00034404"/>
    <w:rsid w:val="00034793"/>
    <w:rsid w:val="000347DE"/>
    <w:rsid w:val="0003511A"/>
    <w:rsid w:val="00035A7C"/>
    <w:rsid w:val="00035C37"/>
    <w:rsid w:val="00035CE8"/>
    <w:rsid w:val="00035E54"/>
    <w:rsid w:val="00035F9A"/>
    <w:rsid w:val="00036714"/>
    <w:rsid w:val="00036810"/>
    <w:rsid w:val="0003687A"/>
    <w:rsid w:val="00036D36"/>
    <w:rsid w:val="0003711F"/>
    <w:rsid w:val="000372DC"/>
    <w:rsid w:val="000376BD"/>
    <w:rsid w:val="0004008C"/>
    <w:rsid w:val="0004070E"/>
    <w:rsid w:val="0004076D"/>
    <w:rsid w:val="0004082D"/>
    <w:rsid w:val="00040896"/>
    <w:rsid w:val="00040E93"/>
    <w:rsid w:val="00041A1F"/>
    <w:rsid w:val="00041A44"/>
    <w:rsid w:val="00041A91"/>
    <w:rsid w:val="00041B32"/>
    <w:rsid w:val="00042B76"/>
    <w:rsid w:val="00042E9E"/>
    <w:rsid w:val="0004314F"/>
    <w:rsid w:val="00043CF0"/>
    <w:rsid w:val="00043E72"/>
    <w:rsid w:val="00043EA6"/>
    <w:rsid w:val="00044138"/>
    <w:rsid w:val="00044A03"/>
    <w:rsid w:val="00044B5C"/>
    <w:rsid w:val="00044E03"/>
    <w:rsid w:val="00045123"/>
    <w:rsid w:val="0004518C"/>
    <w:rsid w:val="000451C5"/>
    <w:rsid w:val="000453C1"/>
    <w:rsid w:val="000459C6"/>
    <w:rsid w:val="00045B51"/>
    <w:rsid w:val="00045DC1"/>
    <w:rsid w:val="00045DDE"/>
    <w:rsid w:val="00045F8C"/>
    <w:rsid w:val="000461C5"/>
    <w:rsid w:val="000461CF"/>
    <w:rsid w:val="0004652F"/>
    <w:rsid w:val="00046565"/>
    <w:rsid w:val="0004702C"/>
    <w:rsid w:val="00047251"/>
    <w:rsid w:val="0004774B"/>
    <w:rsid w:val="00047A1E"/>
    <w:rsid w:val="00047F07"/>
    <w:rsid w:val="000504B5"/>
    <w:rsid w:val="00050804"/>
    <w:rsid w:val="00050A97"/>
    <w:rsid w:val="00050D62"/>
    <w:rsid w:val="00050F50"/>
    <w:rsid w:val="00051520"/>
    <w:rsid w:val="000517FA"/>
    <w:rsid w:val="0005188E"/>
    <w:rsid w:val="00051C79"/>
    <w:rsid w:val="00052118"/>
    <w:rsid w:val="00052269"/>
    <w:rsid w:val="000522FE"/>
    <w:rsid w:val="00052552"/>
    <w:rsid w:val="000526DD"/>
    <w:rsid w:val="00052B7C"/>
    <w:rsid w:val="00052E2E"/>
    <w:rsid w:val="0005335E"/>
    <w:rsid w:val="000539A9"/>
    <w:rsid w:val="0005421F"/>
    <w:rsid w:val="00054705"/>
    <w:rsid w:val="000548FF"/>
    <w:rsid w:val="00054ABA"/>
    <w:rsid w:val="00054D68"/>
    <w:rsid w:val="00054DBF"/>
    <w:rsid w:val="00054DC9"/>
    <w:rsid w:val="000551C3"/>
    <w:rsid w:val="0005525F"/>
    <w:rsid w:val="00055B90"/>
    <w:rsid w:val="00055D29"/>
    <w:rsid w:val="00055FB1"/>
    <w:rsid w:val="0005612B"/>
    <w:rsid w:val="000561CA"/>
    <w:rsid w:val="00056648"/>
    <w:rsid w:val="000566FF"/>
    <w:rsid w:val="000568B3"/>
    <w:rsid w:val="0005698F"/>
    <w:rsid w:val="00056DA0"/>
    <w:rsid w:val="00056E1A"/>
    <w:rsid w:val="00057530"/>
    <w:rsid w:val="0005771A"/>
    <w:rsid w:val="00057BFC"/>
    <w:rsid w:val="00057C29"/>
    <w:rsid w:val="00057F71"/>
    <w:rsid w:val="000600B1"/>
    <w:rsid w:val="0006010F"/>
    <w:rsid w:val="0006030F"/>
    <w:rsid w:val="0006035D"/>
    <w:rsid w:val="00060463"/>
    <w:rsid w:val="00060485"/>
    <w:rsid w:val="0006085F"/>
    <w:rsid w:val="00060BDC"/>
    <w:rsid w:val="00060D4A"/>
    <w:rsid w:val="00060F33"/>
    <w:rsid w:val="00061792"/>
    <w:rsid w:val="00061CF6"/>
    <w:rsid w:val="00061F4B"/>
    <w:rsid w:val="00062067"/>
    <w:rsid w:val="00062364"/>
    <w:rsid w:val="00062836"/>
    <w:rsid w:val="000628AF"/>
    <w:rsid w:val="00062E30"/>
    <w:rsid w:val="000631CD"/>
    <w:rsid w:val="0006340B"/>
    <w:rsid w:val="00063465"/>
    <w:rsid w:val="000634D5"/>
    <w:rsid w:val="00064A89"/>
    <w:rsid w:val="00064BE8"/>
    <w:rsid w:val="00064E64"/>
    <w:rsid w:val="000650DA"/>
    <w:rsid w:val="00065420"/>
    <w:rsid w:val="00065C62"/>
    <w:rsid w:val="00065C79"/>
    <w:rsid w:val="00065C8F"/>
    <w:rsid w:val="00065CDE"/>
    <w:rsid w:val="00065F4A"/>
    <w:rsid w:val="00066360"/>
    <w:rsid w:val="00066589"/>
    <w:rsid w:val="0006691B"/>
    <w:rsid w:val="00066E31"/>
    <w:rsid w:val="00066F1C"/>
    <w:rsid w:val="00067809"/>
    <w:rsid w:val="00067C68"/>
    <w:rsid w:val="00067C8C"/>
    <w:rsid w:val="00067D00"/>
    <w:rsid w:val="00070046"/>
    <w:rsid w:val="000700AD"/>
    <w:rsid w:val="00070641"/>
    <w:rsid w:val="00070661"/>
    <w:rsid w:val="00070A8F"/>
    <w:rsid w:val="00070CDC"/>
    <w:rsid w:val="00070EA2"/>
    <w:rsid w:val="000716DF"/>
    <w:rsid w:val="00071CB8"/>
    <w:rsid w:val="00071F5A"/>
    <w:rsid w:val="00071F7E"/>
    <w:rsid w:val="00072CDD"/>
    <w:rsid w:val="00072D5E"/>
    <w:rsid w:val="000738A3"/>
    <w:rsid w:val="00074045"/>
    <w:rsid w:val="0007425B"/>
    <w:rsid w:val="000742F9"/>
    <w:rsid w:val="000744D9"/>
    <w:rsid w:val="00074B19"/>
    <w:rsid w:val="00074D90"/>
    <w:rsid w:val="00075140"/>
    <w:rsid w:val="000752DA"/>
    <w:rsid w:val="000752F3"/>
    <w:rsid w:val="00075CA7"/>
    <w:rsid w:val="00075CC2"/>
    <w:rsid w:val="00076CDA"/>
    <w:rsid w:val="0007758A"/>
    <w:rsid w:val="000776BF"/>
    <w:rsid w:val="00077A74"/>
    <w:rsid w:val="00077B54"/>
    <w:rsid w:val="00077DB4"/>
    <w:rsid w:val="00077E79"/>
    <w:rsid w:val="00077FED"/>
    <w:rsid w:val="000805D3"/>
    <w:rsid w:val="00080693"/>
    <w:rsid w:val="00080FF3"/>
    <w:rsid w:val="00081264"/>
    <w:rsid w:val="00081BCC"/>
    <w:rsid w:val="000821D1"/>
    <w:rsid w:val="000824F0"/>
    <w:rsid w:val="0008274E"/>
    <w:rsid w:val="000827AA"/>
    <w:rsid w:val="00082C74"/>
    <w:rsid w:val="00082ECA"/>
    <w:rsid w:val="00082F6B"/>
    <w:rsid w:val="00083409"/>
    <w:rsid w:val="000838F2"/>
    <w:rsid w:val="00083AE7"/>
    <w:rsid w:val="00083C5A"/>
    <w:rsid w:val="00083E9B"/>
    <w:rsid w:val="00083FEF"/>
    <w:rsid w:val="00084378"/>
    <w:rsid w:val="000844F7"/>
    <w:rsid w:val="00084680"/>
    <w:rsid w:val="000847FE"/>
    <w:rsid w:val="00084A61"/>
    <w:rsid w:val="00084AB9"/>
    <w:rsid w:val="00084BBB"/>
    <w:rsid w:val="00084C9B"/>
    <w:rsid w:val="00084D58"/>
    <w:rsid w:val="000855A2"/>
    <w:rsid w:val="000857CA"/>
    <w:rsid w:val="000859CC"/>
    <w:rsid w:val="00085B31"/>
    <w:rsid w:val="00085DB6"/>
    <w:rsid w:val="0008602A"/>
    <w:rsid w:val="00086133"/>
    <w:rsid w:val="00086346"/>
    <w:rsid w:val="000864FB"/>
    <w:rsid w:val="00086E46"/>
    <w:rsid w:val="00086F3B"/>
    <w:rsid w:val="00087262"/>
    <w:rsid w:val="0008745A"/>
    <w:rsid w:val="000875C6"/>
    <w:rsid w:val="00087805"/>
    <w:rsid w:val="00087900"/>
    <w:rsid w:val="00087953"/>
    <w:rsid w:val="00090954"/>
    <w:rsid w:val="00090AF2"/>
    <w:rsid w:val="00090B12"/>
    <w:rsid w:val="00090BE5"/>
    <w:rsid w:val="00090DDE"/>
    <w:rsid w:val="00090FB2"/>
    <w:rsid w:val="0009113F"/>
    <w:rsid w:val="000912D0"/>
    <w:rsid w:val="000916ED"/>
    <w:rsid w:val="00091C1E"/>
    <w:rsid w:val="00091F89"/>
    <w:rsid w:val="000920A1"/>
    <w:rsid w:val="00092324"/>
    <w:rsid w:val="00092364"/>
    <w:rsid w:val="00092798"/>
    <w:rsid w:val="00092D5F"/>
    <w:rsid w:val="000931A6"/>
    <w:rsid w:val="000932A6"/>
    <w:rsid w:val="00093403"/>
    <w:rsid w:val="000937CC"/>
    <w:rsid w:val="000939CA"/>
    <w:rsid w:val="00093CDD"/>
    <w:rsid w:val="00093DE1"/>
    <w:rsid w:val="0009449B"/>
    <w:rsid w:val="00094614"/>
    <w:rsid w:val="000947D6"/>
    <w:rsid w:val="00094822"/>
    <w:rsid w:val="00094856"/>
    <w:rsid w:val="000950A3"/>
    <w:rsid w:val="000951FF"/>
    <w:rsid w:val="00095777"/>
    <w:rsid w:val="000960BF"/>
    <w:rsid w:val="00096551"/>
    <w:rsid w:val="000967B5"/>
    <w:rsid w:val="00096A5C"/>
    <w:rsid w:val="00096CBE"/>
    <w:rsid w:val="0009700E"/>
    <w:rsid w:val="00097300"/>
    <w:rsid w:val="00097807"/>
    <w:rsid w:val="000978FA"/>
    <w:rsid w:val="000979A4"/>
    <w:rsid w:val="00097DC1"/>
    <w:rsid w:val="000A078F"/>
    <w:rsid w:val="000A0991"/>
    <w:rsid w:val="000A101F"/>
    <w:rsid w:val="000A115B"/>
    <w:rsid w:val="000A1489"/>
    <w:rsid w:val="000A1538"/>
    <w:rsid w:val="000A17DF"/>
    <w:rsid w:val="000A17FE"/>
    <w:rsid w:val="000A1AFD"/>
    <w:rsid w:val="000A1CFF"/>
    <w:rsid w:val="000A209B"/>
    <w:rsid w:val="000A22A2"/>
    <w:rsid w:val="000A2390"/>
    <w:rsid w:val="000A259F"/>
    <w:rsid w:val="000A2694"/>
    <w:rsid w:val="000A273E"/>
    <w:rsid w:val="000A2EF1"/>
    <w:rsid w:val="000A3031"/>
    <w:rsid w:val="000A33C6"/>
    <w:rsid w:val="000A3426"/>
    <w:rsid w:val="000A3887"/>
    <w:rsid w:val="000A3A0A"/>
    <w:rsid w:val="000A3D77"/>
    <w:rsid w:val="000A3E79"/>
    <w:rsid w:val="000A4126"/>
    <w:rsid w:val="000A4834"/>
    <w:rsid w:val="000A49D8"/>
    <w:rsid w:val="000A4A62"/>
    <w:rsid w:val="000A4EC6"/>
    <w:rsid w:val="000A5D0F"/>
    <w:rsid w:val="000A5F07"/>
    <w:rsid w:val="000A60B4"/>
    <w:rsid w:val="000A61A1"/>
    <w:rsid w:val="000A6242"/>
    <w:rsid w:val="000A696D"/>
    <w:rsid w:val="000A6F84"/>
    <w:rsid w:val="000A6FBD"/>
    <w:rsid w:val="000A75D1"/>
    <w:rsid w:val="000A78EC"/>
    <w:rsid w:val="000A7FDC"/>
    <w:rsid w:val="000B04CA"/>
    <w:rsid w:val="000B118F"/>
    <w:rsid w:val="000B1836"/>
    <w:rsid w:val="000B24FA"/>
    <w:rsid w:val="000B2B80"/>
    <w:rsid w:val="000B31E2"/>
    <w:rsid w:val="000B36B7"/>
    <w:rsid w:val="000B370E"/>
    <w:rsid w:val="000B3A00"/>
    <w:rsid w:val="000B3A53"/>
    <w:rsid w:val="000B3FC8"/>
    <w:rsid w:val="000B42C2"/>
    <w:rsid w:val="000B472D"/>
    <w:rsid w:val="000B524B"/>
    <w:rsid w:val="000B56CD"/>
    <w:rsid w:val="000B5CD1"/>
    <w:rsid w:val="000B5EC4"/>
    <w:rsid w:val="000B5FC7"/>
    <w:rsid w:val="000B6400"/>
    <w:rsid w:val="000B6AEC"/>
    <w:rsid w:val="000B6B3B"/>
    <w:rsid w:val="000B6B69"/>
    <w:rsid w:val="000B6C5F"/>
    <w:rsid w:val="000B6E3A"/>
    <w:rsid w:val="000B7B1A"/>
    <w:rsid w:val="000B7C6A"/>
    <w:rsid w:val="000B7C9B"/>
    <w:rsid w:val="000B7FD2"/>
    <w:rsid w:val="000C0142"/>
    <w:rsid w:val="000C0156"/>
    <w:rsid w:val="000C0B79"/>
    <w:rsid w:val="000C0D62"/>
    <w:rsid w:val="000C0E2D"/>
    <w:rsid w:val="000C0EE2"/>
    <w:rsid w:val="000C143B"/>
    <w:rsid w:val="000C1D79"/>
    <w:rsid w:val="000C236D"/>
    <w:rsid w:val="000C26AF"/>
    <w:rsid w:val="000C2717"/>
    <w:rsid w:val="000C28F8"/>
    <w:rsid w:val="000C3301"/>
    <w:rsid w:val="000C389E"/>
    <w:rsid w:val="000C38C0"/>
    <w:rsid w:val="000C3D5A"/>
    <w:rsid w:val="000C3F0D"/>
    <w:rsid w:val="000C480F"/>
    <w:rsid w:val="000C4A50"/>
    <w:rsid w:val="000C4C8E"/>
    <w:rsid w:val="000C4E8E"/>
    <w:rsid w:val="000C4F30"/>
    <w:rsid w:val="000C52EF"/>
    <w:rsid w:val="000C5A15"/>
    <w:rsid w:val="000C5DED"/>
    <w:rsid w:val="000C5FD9"/>
    <w:rsid w:val="000C6076"/>
    <w:rsid w:val="000C64FD"/>
    <w:rsid w:val="000C6858"/>
    <w:rsid w:val="000C6A40"/>
    <w:rsid w:val="000C6A75"/>
    <w:rsid w:val="000C73FF"/>
    <w:rsid w:val="000C79E0"/>
    <w:rsid w:val="000D0023"/>
    <w:rsid w:val="000D02E9"/>
    <w:rsid w:val="000D04CA"/>
    <w:rsid w:val="000D04F6"/>
    <w:rsid w:val="000D051B"/>
    <w:rsid w:val="000D0B63"/>
    <w:rsid w:val="000D0BB1"/>
    <w:rsid w:val="000D0C12"/>
    <w:rsid w:val="000D1656"/>
    <w:rsid w:val="000D1CDA"/>
    <w:rsid w:val="000D1CFE"/>
    <w:rsid w:val="000D2385"/>
    <w:rsid w:val="000D2E92"/>
    <w:rsid w:val="000D38E9"/>
    <w:rsid w:val="000D3A94"/>
    <w:rsid w:val="000D3F43"/>
    <w:rsid w:val="000D47E9"/>
    <w:rsid w:val="000D4ADC"/>
    <w:rsid w:val="000D4E64"/>
    <w:rsid w:val="000D536A"/>
    <w:rsid w:val="000D53DA"/>
    <w:rsid w:val="000D56F3"/>
    <w:rsid w:val="000D6043"/>
    <w:rsid w:val="000D609D"/>
    <w:rsid w:val="000D661B"/>
    <w:rsid w:val="000D679E"/>
    <w:rsid w:val="000D70AC"/>
    <w:rsid w:val="000D70B4"/>
    <w:rsid w:val="000D7293"/>
    <w:rsid w:val="000D74C0"/>
    <w:rsid w:val="000D79F7"/>
    <w:rsid w:val="000D7B2A"/>
    <w:rsid w:val="000D7B9B"/>
    <w:rsid w:val="000D7DE0"/>
    <w:rsid w:val="000D7F87"/>
    <w:rsid w:val="000E042E"/>
    <w:rsid w:val="000E04DF"/>
    <w:rsid w:val="000E05AF"/>
    <w:rsid w:val="000E0BA7"/>
    <w:rsid w:val="000E0D7E"/>
    <w:rsid w:val="000E0F0A"/>
    <w:rsid w:val="000E1124"/>
    <w:rsid w:val="000E1281"/>
    <w:rsid w:val="000E1398"/>
    <w:rsid w:val="000E14D6"/>
    <w:rsid w:val="000E16AF"/>
    <w:rsid w:val="000E1950"/>
    <w:rsid w:val="000E1ACB"/>
    <w:rsid w:val="000E1F4D"/>
    <w:rsid w:val="000E238D"/>
    <w:rsid w:val="000E28A2"/>
    <w:rsid w:val="000E2D21"/>
    <w:rsid w:val="000E30C5"/>
    <w:rsid w:val="000E3255"/>
    <w:rsid w:val="000E327B"/>
    <w:rsid w:val="000E32F6"/>
    <w:rsid w:val="000E3F4A"/>
    <w:rsid w:val="000E4944"/>
    <w:rsid w:val="000E49E6"/>
    <w:rsid w:val="000E5835"/>
    <w:rsid w:val="000E5C96"/>
    <w:rsid w:val="000E5D02"/>
    <w:rsid w:val="000E6194"/>
    <w:rsid w:val="000E6441"/>
    <w:rsid w:val="000E716B"/>
    <w:rsid w:val="000E71AF"/>
    <w:rsid w:val="000E7F07"/>
    <w:rsid w:val="000F0285"/>
    <w:rsid w:val="000F0609"/>
    <w:rsid w:val="000F061A"/>
    <w:rsid w:val="000F06B4"/>
    <w:rsid w:val="000F1537"/>
    <w:rsid w:val="000F1757"/>
    <w:rsid w:val="000F1776"/>
    <w:rsid w:val="000F1858"/>
    <w:rsid w:val="000F1C42"/>
    <w:rsid w:val="000F2264"/>
    <w:rsid w:val="000F23C7"/>
    <w:rsid w:val="000F2534"/>
    <w:rsid w:val="000F2B94"/>
    <w:rsid w:val="000F2CE4"/>
    <w:rsid w:val="000F2ED2"/>
    <w:rsid w:val="000F314A"/>
    <w:rsid w:val="000F3652"/>
    <w:rsid w:val="000F3ADD"/>
    <w:rsid w:val="000F3B6B"/>
    <w:rsid w:val="000F4247"/>
    <w:rsid w:val="000F4424"/>
    <w:rsid w:val="000F45F8"/>
    <w:rsid w:val="000F465A"/>
    <w:rsid w:val="000F4859"/>
    <w:rsid w:val="000F4995"/>
    <w:rsid w:val="000F56D8"/>
    <w:rsid w:val="000F5E05"/>
    <w:rsid w:val="000F6006"/>
    <w:rsid w:val="000F600B"/>
    <w:rsid w:val="000F608E"/>
    <w:rsid w:val="000F630A"/>
    <w:rsid w:val="000F6494"/>
    <w:rsid w:val="000F6799"/>
    <w:rsid w:val="000F6C66"/>
    <w:rsid w:val="000F6D83"/>
    <w:rsid w:val="000F7065"/>
    <w:rsid w:val="000F7296"/>
    <w:rsid w:val="000F7473"/>
    <w:rsid w:val="000F782D"/>
    <w:rsid w:val="000F7872"/>
    <w:rsid w:val="000F7907"/>
    <w:rsid w:val="000F79E8"/>
    <w:rsid w:val="000F7BE8"/>
    <w:rsid w:val="0010015E"/>
    <w:rsid w:val="0010056D"/>
    <w:rsid w:val="00100E06"/>
    <w:rsid w:val="00100EDB"/>
    <w:rsid w:val="001011EF"/>
    <w:rsid w:val="00101539"/>
    <w:rsid w:val="00101629"/>
    <w:rsid w:val="00101CB3"/>
    <w:rsid w:val="00101DB0"/>
    <w:rsid w:val="00101F16"/>
    <w:rsid w:val="00102579"/>
    <w:rsid w:val="00102627"/>
    <w:rsid w:val="00102630"/>
    <w:rsid w:val="0010268B"/>
    <w:rsid w:val="001027B3"/>
    <w:rsid w:val="00102AF0"/>
    <w:rsid w:val="00102B38"/>
    <w:rsid w:val="0010305B"/>
    <w:rsid w:val="00103375"/>
    <w:rsid w:val="00103380"/>
    <w:rsid w:val="0010382B"/>
    <w:rsid w:val="00103BE9"/>
    <w:rsid w:val="00103C5E"/>
    <w:rsid w:val="00103EBF"/>
    <w:rsid w:val="001046E3"/>
    <w:rsid w:val="00104AE5"/>
    <w:rsid w:val="00104E4A"/>
    <w:rsid w:val="0010505D"/>
    <w:rsid w:val="00105D29"/>
    <w:rsid w:val="00105E8B"/>
    <w:rsid w:val="00106242"/>
    <w:rsid w:val="001073E2"/>
    <w:rsid w:val="0010750F"/>
    <w:rsid w:val="0010785C"/>
    <w:rsid w:val="00107BC1"/>
    <w:rsid w:val="00107D41"/>
    <w:rsid w:val="00107E80"/>
    <w:rsid w:val="001109D6"/>
    <w:rsid w:val="00111035"/>
    <w:rsid w:val="00111BC2"/>
    <w:rsid w:val="00111F36"/>
    <w:rsid w:val="001120DF"/>
    <w:rsid w:val="0011291D"/>
    <w:rsid w:val="00112976"/>
    <w:rsid w:val="00112AE9"/>
    <w:rsid w:val="00112EBC"/>
    <w:rsid w:val="001131CD"/>
    <w:rsid w:val="00113274"/>
    <w:rsid w:val="001133A6"/>
    <w:rsid w:val="001134A2"/>
    <w:rsid w:val="00113880"/>
    <w:rsid w:val="00113C72"/>
    <w:rsid w:val="00113CA5"/>
    <w:rsid w:val="0011438E"/>
    <w:rsid w:val="00114C1D"/>
    <w:rsid w:val="00114C9A"/>
    <w:rsid w:val="00114D64"/>
    <w:rsid w:val="0011525B"/>
    <w:rsid w:val="001154D6"/>
    <w:rsid w:val="00115595"/>
    <w:rsid w:val="001158C1"/>
    <w:rsid w:val="00115B3E"/>
    <w:rsid w:val="00115E34"/>
    <w:rsid w:val="00116319"/>
    <w:rsid w:val="00116882"/>
    <w:rsid w:val="00117494"/>
    <w:rsid w:val="001174AF"/>
    <w:rsid w:val="00117B00"/>
    <w:rsid w:val="00120642"/>
    <w:rsid w:val="0012105B"/>
    <w:rsid w:val="001213C2"/>
    <w:rsid w:val="00121882"/>
    <w:rsid w:val="00121DAE"/>
    <w:rsid w:val="001223AB"/>
    <w:rsid w:val="00122550"/>
    <w:rsid w:val="00122A9D"/>
    <w:rsid w:val="00122CB3"/>
    <w:rsid w:val="00122E86"/>
    <w:rsid w:val="00123348"/>
    <w:rsid w:val="0012361C"/>
    <w:rsid w:val="00123A45"/>
    <w:rsid w:val="00124681"/>
    <w:rsid w:val="00124EE7"/>
    <w:rsid w:val="00125223"/>
    <w:rsid w:val="0012545C"/>
    <w:rsid w:val="0012554A"/>
    <w:rsid w:val="001256EA"/>
    <w:rsid w:val="0012573B"/>
    <w:rsid w:val="0012588D"/>
    <w:rsid w:val="001258FC"/>
    <w:rsid w:val="001259A7"/>
    <w:rsid w:val="00125B99"/>
    <w:rsid w:val="00125D54"/>
    <w:rsid w:val="00126375"/>
    <w:rsid w:val="00126597"/>
    <w:rsid w:val="00126991"/>
    <w:rsid w:val="001269AF"/>
    <w:rsid w:val="00126A24"/>
    <w:rsid w:val="00126B12"/>
    <w:rsid w:val="00126C7E"/>
    <w:rsid w:val="0012700A"/>
    <w:rsid w:val="0012701F"/>
    <w:rsid w:val="00127121"/>
    <w:rsid w:val="001279AE"/>
    <w:rsid w:val="00127F28"/>
    <w:rsid w:val="001300E5"/>
    <w:rsid w:val="00130398"/>
    <w:rsid w:val="0013092C"/>
    <w:rsid w:val="001309E1"/>
    <w:rsid w:val="00130C5F"/>
    <w:rsid w:val="00131061"/>
    <w:rsid w:val="001311EF"/>
    <w:rsid w:val="0013141E"/>
    <w:rsid w:val="00131704"/>
    <w:rsid w:val="00131C78"/>
    <w:rsid w:val="00132392"/>
    <w:rsid w:val="001323D1"/>
    <w:rsid w:val="00132516"/>
    <w:rsid w:val="00132813"/>
    <w:rsid w:val="00132AAD"/>
    <w:rsid w:val="00132FF5"/>
    <w:rsid w:val="001331DD"/>
    <w:rsid w:val="001338A0"/>
    <w:rsid w:val="00133A91"/>
    <w:rsid w:val="00133CD0"/>
    <w:rsid w:val="00133E04"/>
    <w:rsid w:val="0013465E"/>
    <w:rsid w:val="0013466D"/>
    <w:rsid w:val="00134671"/>
    <w:rsid w:val="00134EAA"/>
    <w:rsid w:val="001350BA"/>
    <w:rsid w:val="0013510C"/>
    <w:rsid w:val="00135168"/>
    <w:rsid w:val="00135181"/>
    <w:rsid w:val="001357B3"/>
    <w:rsid w:val="00135916"/>
    <w:rsid w:val="00135A57"/>
    <w:rsid w:val="00135BD2"/>
    <w:rsid w:val="00135DD3"/>
    <w:rsid w:val="00136481"/>
    <w:rsid w:val="00136796"/>
    <w:rsid w:val="001368F0"/>
    <w:rsid w:val="00136E76"/>
    <w:rsid w:val="0013705B"/>
    <w:rsid w:val="00137659"/>
    <w:rsid w:val="0014026D"/>
    <w:rsid w:val="00140579"/>
    <w:rsid w:val="0014090F"/>
    <w:rsid w:val="00140B60"/>
    <w:rsid w:val="00140C4E"/>
    <w:rsid w:val="00140DFE"/>
    <w:rsid w:val="00141038"/>
    <w:rsid w:val="0014118C"/>
    <w:rsid w:val="00141B21"/>
    <w:rsid w:val="0014251A"/>
    <w:rsid w:val="001425E7"/>
    <w:rsid w:val="001426D6"/>
    <w:rsid w:val="00142730"/>
    <w:rsid w:val="00142BBA"/>
    <w:rsid w:val="00142CD2"/>
    <w:rsid w:val="0014331E"/>
    <w:rsid w:val="00143377"/>
    <w:rsid w:val="00143588"/>
    <w:rsid w:val="001435FC"/>
    <w:rsid w:val="00143C5D"/>
    <w:rsid w:val="00143D2A"/>
    <w:rsid w:val="00143DF7"/>
    <w:rsid w:val="00144670"/>
    <w:rsid w:val="001448C6"/>
    <w:rsid w:val="00144977"/>
    <w:rsid w:val="00144CE7"/>
    <w:rsid w:val="00144E7E"/>
    <w:rsid w:val="00144F5D"/>
    <w:rsid w:val="00144F69"/>
    <w:rsid w:val="00145219"/>
    <w:rsid w:val="00145612"/>
    <w:rsid w:val="001457F9"/>
    <w:rsid w:val="001459FF"/>
    <w:rsid w:val="00145F64"/>
    <w:rsid w:val="00145F72"/>
    <w:rsid w:val="001465E7"/>
    <w:rsid w:val="001468C6"/>
    <w:rsid w:val="001469E2"/>
    <w:rsid w:val="001469F4"/>
    <w:rsid w:val="00146B22"/>
    <w:rsid w:val="00146C47"/>
    <w:rsid w:val="00146C99"/>
    <w:rsid w:val="00146DD9"/>
    <w:rsid w:val="0014714E"/>
    <w:rsid w:val="001473EF"/>
    <w:rsid w:val="00147429"/>
    <w:rsid w:val="001474E5"/>
    <w:rsid w:val="001477C8"/>
    <w:rsid w:val="00147EA2"/>
    <w:rsid w:val="00150032"/>
    <w:rsid w:val="0015045B"/>
    <w:rsid w:val="00150477"/>
    <w:rsid w:val="00150504"/>
    <w:rsid w:val="00150565"/>
    <w:rsid w:val="00150ABB"/>
    <w:rsid w:val="00150B3C"/>
    <w:rsid w:val="00150F68"/>
    <w:rsid w:val="00151142"/>
    <w:rsid w:val="00151340"/>
    <w:rsid w:val="0015166C"/>
    <w:rsid w:val="001516B2"/>
    <w:rsid w:val="001519C8"/>
    <w:rsid w:val="00151B4F"/>
    <w:rsid w:val="0015245F"/>
    <w:rsid w:val="00152537"/>
    <w:rsid w:val="001527EB"/>
    <w:rsid w:val="00152994"/>
    <w:rsid w:val="00153164"/>
    <w:rsid w:val="00153216"/>
    <w:rsid w:val="00153722"/>
    <w:rsid w:val="00154941"/>
    <w:rsid w:val="00154B44"/>
    <w:rsid w:val="00154FBD"/>
    <w:rsid w:val="00155313"/>
    <w:rsid w:val="001553D7"/>
    <w:rsid w:val="001558CA"/>
    <w:rsid w:val="001561C7"/>
    <w:rsid w:val="0015688E"/>
    <w:rsid w:val="00156BF8"/>
    <w:rsid w:val="00156C3B"/>
    <w:rsid w:val="00157090"/>
    <w:rsid w:val="00157382"/>
    <w:rsid w:val="00157691"/>
    <w:rsid w:val="001578D5"/>
    <w:rsid w:val="00157AC0"/>
    <w:rsid w:val="00157BCA"/>
    <w:rsid w:val="00157D3A"/>
    <w:rsid w:val="00157ED6"/>
    <w:rsid w:val="001607A0"/>
    <w:rsid w:val="001609AB"/>
    <w:rsid w:val="00160DA0"/>
    <w:rsid w:val="00161049"/>
    <w:rsid w:val="001610C2"/>
    <w:rsid w:val="00161AF5"/>
    <w:rsid w:val="00161D90"/>
    <w:rsid w:val="0016207F"/>
    <w:rsid w:val="00162547"/>
    <w:rsid w:val="0016299B"/>
    <w:rsid w:val="001629C4"/>
    <w:rsid w:val="00162B89"/>
    <w:rsid w:val="00162BF4"/>
    <w:rsid w:val="00162DD1"/>
    <w:rsid w:val="00162DEF"/>
    <w:rsid w:val="00162E05"/>
    <w:rsid w:val="00162F98"/>
    <w:rsid w:val="001631A2"/>
    <w:rsid w:val="001637D8"/>
    <w:rsid w:val="00163A2E"/>
    <w:rsid w:val="00163B8E"/>
    <w:rsid w:val="00163E1B"/>
    <w:rsid w:val="001640E9"/>
    <w:rsid w:val="001647C6"/>
    <w:rsid w:val="00165469"/>
    <w:rsid w:val="001656E6"/>
    <w:rsid w:val="00165A49"/>
    <w:rsid w:val="00165B4A"/>
    <w:rsid w:val="00165D83"/>
    <w:rsid w:val="001662B1"/>
    <w:rsid w:val="00166714"/>
    <w:rsid w:val="001667A5"/>
    <w:rsid w:val="00166978"/>
    <w:rsid w:val="00166BE5"/>
    <w:rsid w:val="001670BF"/>
    <w:rsid w:val="00167670"/>
    <w:rsid w:val="0017055D"/>
    <w:rsid w:val="00170975"/>
    <w:rsid w:val="001709BA"/>
    <w:rsid w:val="00170D70"/>
    <w:rsid w:val="00170DBB"/>
    <w:rsid w:val="00170EE3"/>
    <w:rsid w:val="00171112"/>
    <w:rsid w:val="0017140D"/>
    <w:rsid w:val="001715D6"/>
    <w:rsid w:val="001716E3"/>
    <w:rsid w:val="001717AB"/>
    <w:rsid w:val="00171A5F"/>
    <w:rsid w:val="00171CCA"/>
    <w:rsid w:val="001722AD"/>
    <w:rsid w:val="00172687"/>
    <w:rsid w:val="001726CB"/>
    <w:rsid w:val="001727EA"/>
    <w:rsid w:val="0017296B"/>
    <w:rsid w:val="00173577"/>
    <w:rsid w:val="00173599"/>
    <w:rsid w:val="00173980"/>
    <w:rsid w:val="00173B2C"/>
    <w:rsid w:val="0017408C"/>
    <w:rsid w:val="001749B8"/>
    <w:rsid w:val="00174B65"/>
    <w:rsid w:val="00174B73"/>
    <w:rsid w:val="00174BD4"/>
    <w:rsid w:val="001751EE"/>
    <w:rsid w:val="00175260"/>
    <w:rsid w:val="00175462"/>
    <w:rsid w:val="00175677"/>
    <w:rsid w:val="00175C5A"/>
    <w:rsid w:val="001762F0"/>
    <w:rsid w:val="00176358"/>
    <w:rsid w:val="0017638E"/>
    <w:rsid w:val="0017657F"/>
    <w:rsid w:val="001765BC"/>
    <w:rsid w:val="001768DD"/>
    <w:rsid w:val="00176AA5"/>
    <w:rsid w:val="00176C15"/>
    <w:rsid w:val="0017720E"/>
    <w:rsid w:val="00177433"/>
    <w:rsid w:val="0017748D"/>
    <w:rsid w:val="001774A1"/>
    <w:rsid w:val="001774C1"/>
    <w:rsid w:val="00177511"/>
    <w:rsid w:val="00177683"/>
    <w:rsid w:val="00177893"/>
    <w:rsid w:val="00177A8B"/>
    <w:rsid w:val="00177B46"/>
    <w:rsid w:val="00177D7D"/>
    <w:rsid w:val="00177E03"/>
    <w:rsid w:val="001807F1"/>
    <w:rsid w:val="00180A87"/>
    <w:rsid w:val="00180AF2"/>
    <w:rsid w:val="00180B82"/>
    <w:rsid w:val="00180C87"/>
    <w:rsid w:val="00180CEB"/>
    <w:rsid w:val="0018115D"/>
    <w:rsid w:val="00181170"/>
    <w:rsid w:val="00181406"/>
    <w:rsid w:val="00181A9C"/>
    <w:rsid w:val="00181AA0"/>
    <w:rsid w:val="00181C2E"/>
    <w:rsid w:val="00181DAA"/>
    <w:rsid w:val="00182291"/>
    <w:rsid w:val="0018242C"/>
    <w:rsid w:val="001824B1"/>
    <w:rsid w:val="0018252D"/>
    <w:rsid w:val="00182579"/>
    <w:rsid w:val="00182886"/>
    <w:rsid w:val="00182887"/>
    <w:rsid w:val="00182A4D"/>
    <w:rsid w:val="00182EF3"/>
    <w:rsid w:val="00183605"/>
    <w:rsid w:val="00183812"/>
    <w:rsid w:val="00183AD4"/>
    <w:rsid w:val="0018400D"/>
    <w:rsid w:val="00184084"/>
    <w:rsid w:val="00184221"/>
    <w:rsid w:val="00184776"/>
    <w:rsid w:val="0018501B"/>
    <w:rsid w:val="0018504D"/>
    <w:rsid w:val="00185050"/>
    <w:rsid w:val="0018538F"/>
    <w:rsid w:val="001857BE"/>
    <w:rsid w:val="00185CB2"/>
    <w:rsid w:val="00185DA2"/>
    <w:rsid w:val="00185F2A"/>
    <w:rsid w:val="00185F83"/>
    <w:rsid w:val="0018611E"/>
    <w:rsid w:val="00186307"/>
    <w:rsid w:val="00186714"/>
    <w:rsid w:val="0018682B"/>
    <w:rsid w:val="00186C06"/>
    <w:rsid w:val="00186E1F"/>
    <w:rsid w:val="00186EBC"/>
    <w:rsid w:val="00186EFE"/>
    <w:rsid w:val="00187341"/>
    <w:rsid w:val="00187BD8"/>
    <w:rsid w:val="00187C52"/>
    <w:rsid w:val="00190174"/>
    <w:rsid w:val="00190241"/>
    <w:rsid w:val="001903F5"/>
    <w:rsid w:val="00190E5C"/>
    <w:rsid w:val="00191052"/>
    <w:rsid w:val="00191275"/>
    <w:rsid w:val="00191368"/>
    <w:rsid w:val="00191417"/>
    <w:rsid w:val="0019141F"/>
    <w:rsid w:val="00191427"/>
    <w:rsid w:val="001915B4"/>
    <w:rsid w:val="001915C7"/>
    <w:rsid w:val="00191886"/>
    <w:rsid w:val="00191A39"/>
    <w:rsid w:val="00191C3B"/>
    <w:rsid w:val="00191FF7"/>
    <w:rsid w:val="00192413"/>
    <w:rsid w:val="001925D3"/>
    <w:rsid w:val="00192712"/>
    <w:rsid w:val="0019273E"/>
    <w:rsid w:val="00192D0D"/>
    <w:rsid w:val="0019334F"/>
    <w:rsid w:val="001933ED"/>
    <w:rsid w:val="00193647"/>
    <w:rsid w:val="001937AF"/>
    <w:rsid w:val="00193828"/>
    <w:rsid w:val="001938B6"/>
    <w:rsid w:val="001938CA"/>
    <w:rsid w:val="00193A2A"/>
    <w:rsid w:val="00194993"/>
    <w:rsid w:val="001950F7"/>
    <w:rsid w:val="0019527F"/>
    <w:rsid w:val="00195483"/>
    <w:rsid w:val="00195923"/>
    <w:rsid w:val="00195DA4"/>
    <w:rsid w:val="00195F10"/>
    <w:rsid w:val="00195FEF"/>
    <w:rsid w:val="00196397"/>
    <w:rsid w:val="00196591"/>
    <w:rsid w:val="00196661"/>
    <w:rsid w:val="00196D63"/>
    <w:rsid w:val="001972B1"/>
    <w:rsid w:val="0019743A"/>
    <w:rsid w:val="001975BE"/>
    <w:rsid w:val="001976A1"/>
    <w:rsid w:val="00197D8A"/>
    <w:rsid w:val="001A0142"/>
    <w:rsid w:val="001A02B2"/>
    <w:rsid w:val="001A1CDD"/>
    <w:rsid w:val="001A1D2E"/>
    <w:rsid w:val="001A1D7B"/>
    <w:rsid w:val="001A2365"/>
    <w:rsid w:val="001A2474"/>
    <w:rsid w:val="001A28C0"/>
    <w:rsid w:val="001A28C1"/>
    <w:rsid w:val="001A28D1"/>
    <w:rsid w:val="001A2EFB"/>
    <w:rsid w:val="001A3448"/>
    <w:rsid w:val="001A35AA"/>
    <w:rsid w:val="001A3C3B"/>
    <w:rsid w:val="001A4012"/>
    <w:rsid w:val="001A50AB"/>
    <w:rsid w:val="001A5751"/>
    <w:rsid w:val="001A589A"/>
    <w:rsid w:val="001A58DF"/>
    <w:rsid w:val="001A5907"/>
    <w:rsid w:val="001A5CDE"/>
    <w:rsid w:val="001A5D73"/>
    <w:rsid w:val="001A5F57"/>
    <w:rsid w:val="001A69F9"/>
    <w:rsid w:val="001A6B23"/>
    <w:rsid w:val="001A6B65"/>
    <w:rsid w:val="001A7211"/>
    <w:rsid w:val="001A7247"/>
    <w:rsid w:val="001A7329"/>
    <w:rsid w:val="001A737B"/>
    <w:rsid w:val="001A7676"/>
    <w:rsid w:val="001A769A"/>
    <w:rsid w:val="001A7ADE"/>
    <w:rsid w:val="001A7C3D"/>
    <w:rsid w:val="001B00CE"/>
    <w:rsid w:val="001B00EF"/>
    <w:rsid w:val="001B037A"/>
    <w:rsid w:val="001B053C"/>
    <w:rsid w:val="001B0A33"/>
    <w:rsid w:val="001B0DBF"/>
    <w:rsid w:val="001B0F67"/>
    <w:rsid w:val="001B135E"/>
    <w:rsid w:val="001B146A"/>
    <w:rsid w:val="001B154F"/>
    <w:rsid w:val="001B15D2"/>
    <w:rsid w:val="001B15FD"/>
    <w:rsid w:val="001B1624"/>
    <w:rsid w:val="001B19EA"/>
    <w:rsid w:val="001B1B47"/>
    <w:rsid w:val="001B25A9"/>
    <w:rsid w:val="001B2A40"/>
    <w:rsid w:val="001B376B"/>
    <w:rsid w:val="001B3906"/>
    <w:rsid w:val="001B3AFB"/>
    <w:rsid w:val="001B3BDD"/>
    <w:rsid w:val="001B3D47"/>
    <w:rsid w:val="001B3D6D"/>
    <w:rsid w:val="001B3DC7"/>
    <w:rsid w:val="001B3DF7"/>
    <w:rsid w:val="001B423A"/>
    <w:rsid w:val="001B4CBF"/>
    <w:rsid w:val="001B567D"/>
    <w:rsid w:val="001B5FA9"/>
    <w:rsid w:val="001B613B"/>
    <w:rsid w:val="001B628C"/>
    <w:rsid w:val="001B6389"/>
    <w:rsid w:val="001B6559"/>
    <w:rsid w:val="001B67E5"/>
    <w:rsid w:val="001B698B"/>
    <w:rsid w:val="001B74A7"/>
    <w:rsid w:val="001B7D9E"/>
    <w:rsid w:val="001B7F76"/>
    <w:rsid w:val="001C020C"/>
    <w:rsid w:val="001C04CC"/>
    <w:rsid w:val="001C051E"/>
    <w:rsid w:val="001C063E"/>
    <w:rsid w:val="001C06A4"/>
    <w:rsid w:val="001C0C78"/>
    <w:rsid w:val="001C129B"/>
    <w:rsid w:val="001C1624"/>
    <w:rsid w:val="001C1660"/>
    <w:rsid w:val="001C186D"/>
    <w:rsid w:val="001C1E21"/>
    <w:rsid w:val="001C1EBB"/>
    <w:rsid w:val="001C2162"/>
    <w:rsid w:val="001C24DC"/>
    <w:rsid w:val="001C2798"/>
    <w:rsid w:val="001C2938"/>
    <w:rsid w:val="001C2996"/>
    <w:rsid w:val="001C2E12"/>
    <w:rsid w:val="001C2E6E"/>
    <w:rsid w:val="001C2ECB"/>
    <w:rsid w:val="001C30D2"/>
    <w:rsid w:val="001C3225"/>
    <w:rsid w:val="001C348E"/>
    <w:rsid w:val="001C34F5"/>
    <w:rsid w:val="001C37A6"/>
    <w:rsid w:val="001C3962"/>
    <w:rsid w:val="001C3A6D"/>
    <w:rsid w:val="001C4129"/>
    <w:rsid w:val="001C4A47"/>
    <w:rsid w:val="001C4B15"/>
    <w:rsid w:val="001C4CD3"/>
    <w:rsid w:val="001C4CF6"/>
    <w:rsid w:val="001C5C95"/>
    <w:rsid w:val="001C6284"/>
    <w:rsid w:val="001C6383"/>
    <w:rsid w:val="001C6684"/>
    <w:rsid w:val="001C7219"/>
    <w:rsid w:val="001C7864"/>
    <w:rsid w:val="001C7CE8"/>
    <w:rsid w:val="001C7EDD"/>
    <w:rsid w:val="001D028D"/>
    <w:rsid w:val="001D02F2"/>
    <w:rsid w:val="001D0304"/>
    <w:rsid w:val="001D08B9"/>
    <w:rsid w:val="001D096C"/>
    <w:rsid w:val="001D0AE3"/>
    <w:rsid w:val="001D0B7D"/>
    <w:rsid w:val="001D1057"/>
    <w:rsid w:val="001D112E"/>
    <w:rsid w:val="001D11A4"/>
    <w:rsid w:val="001D1504"/>
    <w:rsid w:val="001D17B6"/>
    <w:rsid w:val="001D1ACE"/>
    <w:rsid w:val="001D1D89"/>
    <w:rsid w:val="001D1F3F"/>
    <w:rsid w:val="001D220D"/>
    <w:rsid w:val="001D222A"/>
    <w:rsid w:val="001D233B"/>
    <w:rsid w:val="001D2396"/>
    <w:rsid w:val="001D263D"/>
    <w:rsid w:val="001D2BE1"/>
    <w:rsid w:val="001D2C4A"/>
    <w:rsid w:val="001D42EF"/>
    <w:rsid w:val="001D4898"/>
    <w:rsid w:val="001D4906"/>
    <w:rsid w:val="001D4CE1"/>
    <w:rsid w:val="001D5637"/>
    <w:rsid w:val="001D5BC5"/>
    <w:rsid w:val="001D5DE3"/>
    <w:rsid w:val="001D636A"/>
    <w:rsid w:val="001D6498"/>
    <w:rsid w:val="001D6703"/>
    <w:rsid w:val="001D67CC"/>
    <w:rsid w:val="001D69A2"/>
    <w:rsid w:val="001D69EF"/>
    <w:rsid w:val="001D6A50"/>
    <w:rsid w:val="001D6BC1"/>
    <w:rsid w:val="001D7391"/>
    <w:rsid w:val="001D78DA"/>
    <w:rsid w:val="001D7E16"/>
    <w:rsid w:val="001E0115"/>
    <w:rsid w:val="001E0755"/>
    <w:rsid w:val="001E07E3"/>
    <w:rsid w:val="001E0856"/>
    <w:rsid w:val="001E0FC8"/>
    <w:rsid w:val="001E1247"/>
    <w:rsid w:val="001E12D1"/>
    <w:rsid w:val="001E1467"/>
    <w:rsid w:val="001E1470"/>
    <w:rsid w:val="001E15A5"/>
    <w:rsid w:val="001E18BA"/>
    <w:rsid w:val="001E19E8"/>
    <w:rsid w:val="001E1F88"/>
    <w:rsid w:val="001E212F"/>
    <w:rsid w:val="001E246C"/>
    <w:rsid w:val="001E2EC6"/>
    <w:rsid w:val="001E348B"/>
    <w:rsid w:val="001E3918"/>
    <w:rsid w:val="001E393C"/>
    <w:rsid w:val="001E3A41"/>
    <w:rsid w:val="001E3E3B"/>
    <w:rsid w:val="001E3F17"/>
    <w:rsid w:val="001E421A"/>
    <w:rsid w:val="001E4361"/>
    <w:rsid w:val="001E437A"/>
    <w:rsid w:val="001E45A6"/>
    <w:rsid w:val="001E4639"/>
    <w:rsid w:val="001E4AF5"/>
    <w:rsid w:val="001E50B4"/>
    <w:rsid w:val="001E5176"/>
    <w:rsid w:val="001E5918"/>
    <w:rsid w:val="001E5B74"/>
    <w:rsid w:val="001E60AE"/>
    <w:rsid w:val="001E6146"/>
    <w:rsid w:val="001E6447"/>
    <w:rsid w:val="001E671A"/>
    <w:rsid w:val="001E6819"/>
    <w:rsid w:val="001E6C28"/>
    <w:rsid w:val="001E6F7B"/>
    <w:rsid w:val="001E7001"/>
    <w:rsid w:val="001E724C"/>
    <w:rsid w:val="001E764B"/>
    <w:rsid w:val="001E7801"/>
    <w:rsid w:val="001E7882"/>
    <w:rsid w:val="001E78D0"/>
    <w:rsid w:val="001E7A4B"/>
    <w:rsid w:val="001F073C"/>
    <w:rsid w:val="001F07E4"/>
    <w:rsid w:val="001F0DEE"/>
    <w:rsid w:val="001F0F29"/>
    <w:rsid w:val="001F0F39"/>
    <w:rsid w:val="001F11EA"/>
    <w:rsid w:val="001F156C"/>
    <w:rsid w:val="001F176C"/>
    <w:rsid w:val="001F1AC9"/>
    <w:rsid w:val="001F1C80"/>
    <w:rsid w:val="001F1CC2"/>
    <w:rsid w:val="001F1DAC"/>
    <w:rsid w:val="001F2674"/>
    <w:rsid w:val="001F2912"/>
    <w:rsid w:val="001F29E5"/>
    <w:rsid w:val="001F2B57"/>
    <w:rsid w:val="001F2C5E"/>
    <w:rsid w:val="001F3557"/>
    <w:rsid w:val="001F39E9"/>
    <w:rsid w:val="001F429B"/>
    <w:rsid w:val="001F477B"/>
    <w:rsid w:val="001F5180"/>
    <w:rsid w:val="001F5349"/>
    <w:rsid w:val="001F5779"/>
    <w:rsid w:val="001F5D8B"/>
    <w:rsid w:val="001F5E04"/>
    <w:rsid w:val="001F6058"/>
    <w:rsid w:val="001F60E7"/>
    <w:rsid w:val="001F6254"/>
    <w:rsid w:val="001F6F5A"/>
    <w:rsid w:val="001F6F94"/>
    <w:rsid w:val="001F72E7"/>
    <w:rsid w:val="001F739C"/>
    <w:rsid w:val="001F73D2"/>
    <w:rsid w:val="001F766F"/>
    <w:rsid w:val="001F76C5"/>
    <w:rsid w:val="001F7898"/>
    <w:rsid w:val="002001C6"/>
    <w:rsid w:val="00200296"/>
    <w:rsid w:val="00200543"/>
    <w:rsid w:val="00200931"/>
    <w:rsid w:val="00200A87"/>
    <w:rsid w:val="00201885"/>
    <w:rsid w:val="0020189A"/>
    <w:rsid w:val="00201ADB"/>
    <w:rsid w:val="00201EA0"/>
    <w:rsid w:val="0020204E"/>
    <w:rsid w:val="00202396"/>
    <w:rsid w:val="002024D8"/>
    <w:rsid w:val="00202E07"/>
    <w:rsid w:val="0020370B"/>
    <w:rsid w:val="00203878"/>
    <w:rsid w:val="00203C40"/>
    <w:rsid w:val="00203C8C"/>
    <w:rsid w:val="002045AA"/>
    <w:rsid w:val="00204920"/>
    <w:rsid w:val="00204E99"/>
    <w:rsid w:val="0020510F"/>
    <w:rsid w:val="00205492"/>
    <w:rsid w:val="002056E1"/>
    <w:rsid w:val="002058E5"/>
    <w:rsid w:val="00205A75"/>
    <w:rsid w:val="00205AFA"/>
    <w:rsid w:val="00205C15"/>
    <w:rsid w:val="00205C24"/>
    <w:rsid w:val="00205D0D"/>
    <w:rsid w:val="00205E4E"/>
    <w:rsid w:val="0020613B"/>
    <w:rsid w:val="002061D1"/>
    <w:rsid w:val="002065A6"/>
    <w:rsid w:val="0020694F"/>
    <w:rsid w:val="00206C33"/>
    <w:rsid w:val="00206DAD"/>
    <w:rsid w:val="00206EF9"/>
    <w:rsid w:val="0020712A"/>
    <w:rsid w:val="00207193"/>
    <w:rsid w:val="002071A5"/>
    <w:rsid w:val="00207241"/>
    <w:rsid w:val="002075DB"/>
    <w:rsid w:val="00207BD1"/>
    <w:rsid w:val="00207CCE"/>
    <w:rsid w:val="00210130"/>
    <w:rsid w:val="0021042A"/>
    <w:rsid w:val="00210588"/>
    <w:rsid w:val="00210DB6"/>
    <w:rsid w:val="00210FAA"/>
    <w:rsid w:val="00211375"/>
    <w:rsid w:val="00211578"/>
    <w:rsid w:val="0021159A"/>
    <w:rsid w:val="0021233A"/>
    <w:rsid w:val="0021284B"/>
    <w:rsid w:val="00212AFA"/>
    <w:rsid w:val="00212B6C"/>
    <w:rsid w:val="00212E34"/>
    <w:rsid w:val="002130A6"/>
    <w:rsid w:val="00213616"/>
    <w:rsid w:val="002136EA"/>
    <w:rsid w:val="00213C0E"/>
    <w:rsid w:val="00214428"/>
    <w:rsid w:val="0021461E"/>
    <w:rsid w:val="00214D42"/>
    <w:rsid w:val="00214E84"/>
    <w:rsid w:val="002154E6"/>
    <w:rsid w:val="00215A6E"/>
    <w:rsid w:val="00215CA6"/>
    <w:rsid w:val="002163B2"/>
    <w:rsid w:val="00216494"/>
    <w:rsid w:val="00216835"/>
    <w:rsid w:val="002169A2"/>
    <w:rsid w:val="00216AE0"/>
    <w:rsid w:val="00216D06"/>
    <w:rsid w:val="0021702A"/>
    <w:rsid w:val="0021708E"/>
    <w:rsid w:val="002174D1"/>
    <w:rsid w:val="00217936"/>
    <w:rsid w:val="00217FD5"/>
    <w:rsid w:val="002200DA"/>
    <w:rsid w:val="00220147"/>
    <w:rsid w:val="00220873"/>
    <w:rsid w:val="00220946"/>
    <w:rsid w:val="00220A06"/>
    <w:rsid w:val="00220CE7"/>
    <w:rsid w:val="0022136F"/>
    <w:rsid w:val="002213B2"/>
    <w:rsid w:val="002214F6"/>
    <w:rsid w:val="00221E6F"/>
    <w:rsid w:val="00222525"/>
    <w:rsid w:val="00222B69"/>
    <w:rsid w:val="00222CD6"/>
    <w:rsid w:val="00222E97"/>
    <w:rsid w:val="00223269"/>
    <w:rsid w:val="002234A6"/>
    <w:rsid w:val="002237D7"/>
    <w:rsid w:val="00223BBE"/>
    <w:rsid w:val="00223D1D"/>
    <w:rsid w:val="00223F4E"/>
    <w:rsid w:val="00224340"/>
    <w:rsid w:val="00224384"/>
    <w:rsid w:val="00224441"/>
    <w:rsid w:val="0022480C"/>
    <w:rsid w:val="00224B7F"/>
    <w:rsid w:val="00224B86"/>
    <w:rsid w:val="00224DAA"/>
    <w:rsid w:val="002250FE"/>
    <w:rsid w:val="002254A4"/>
    <w:rsid w:val="0022569F"/>
    <w:rsid w:val="002256AA"/>
    <w:rsid w:val="002256AE"/>
    <w:rsid w:val="0022588C"/>
    <w:rsid w:val="00225B7E"/>
    <w:rsid w:val="00225CF6"/>
    <w:rsid w:val="0022618B"/>
    <w:rsid w:val="002263A4"/>
    <w:rsid w:val="0022645B"/>
    <w:rsid w:val="00226ADD"/>
    <w:rsid w:val="00226CA2"/>
    <w:rsid w:val="00227023"/>
    <w:rsid w:val="002271DD"/>
    <w:rsid w:val="002271F6"/>
    <w:rsid w:val="002278D3"/>
    <w:rsid w:val="00227A30"/>
    <w:rsid w:val="00227A81"/>
    <w:rsid w:val="00230141"/>
    <w:rsid w:val="00230831"/>
    <w:rsid w:val="00230C81"/>
    <w:rsid w:val="00231200"/>
    <w:rsid w:val="00231446"/>
    <w:rsid w:val="002315C7"/>
    <w:rsid w:val="00232A5F"/>
    <w:rsid w:val="00232A86"/>
    <w:rsid w:val="00232E21"/>
    <w:rsid w:val="0023330A"/>
    <w:rsid w:val="0023332C"/>
    <w:rsid w:val="00233B9F"/>
    <w:rsid w:val="002340BE"/>
    <w:rsid w:val="00234269"/>
    <w:rsid w:val="00234D6B"/>
    <w:rsid w:val="00234E34"/>
    <w:rsid w:val="00234E65"/>
    <w:rsid w:val="00235007"/>
    <w:rsid w:val="00235241"/>
    <w:rsid w:val="0023529C"/>
    <w:rsid w:val="00235D96"/>
    <w:rsid w:val="00236566"/>
    <w:rsid w:val="002367A8"/>
    <w:rsid w:val="00236A18"/>
    <w:rsid w:val="002371E2"/>
    <w:rsid w:val="00237969"/>
    <w:rsid w:val="00237BDD"/>
    <w:rsid w:val="00237C9A"/>
    <w:rsid w:val="0024019D"/>
    <w:rsid w:val="002402B7"/>
    <w:rsid w:val="00240EE1"/>
    <w:rsid w:val="00240F4D"/>
    <w:rsid w:val="00241033"/>
    <w:rsid w:val="00241210"/>
    <w:rsid w:val="00241935"/>
    <w:rsid w:val="00241C62"/>
    <w:rsid w:val="002425EA"/>
    <w:rsid w:val="002429E4"/>
    <w:rsid w:val="00242BAB"/>
    <w:rsid w:val="00242C42"/>
    <w:rsid w:val="00242DB0"/>
    <w:rsid w:val="00242E07"/>
    <w:rsid w:val="00242EA0"/>
    <w:rsid w:val="00242F89"/>
    <w:rsid w:val="002431A5"/>
    <w:rsid w:val="0024348C"/>
    <w:rsid w:val="0024358A"/>
    <w:rsid w:val="00243685"/>
    <w:rsid w:val="0024381D"/>
    <w:rsid w:val="00244461"/>
    <w:rsid w:val="00244534"/>
    <w:rsid w:val="00244729"/>
    <w:rsid w:val="00244930"/>
    <w:rsid w:val="00244BD3"/>
    <w:rsid w:val="00244E6E"/>
    <w:rsid w:val="0024618B"/>
    <w:rsid w:val="00246A1A"/>
    <w:rsid w:val="002471A7"/>
    <w:rsid w:val="00247810"/>
    <w:rsid w:val="00247A74"/>
    <w:rsid w:val="00250769"/>
    <w:rsid w:val="002507B2"/>
    <w:rsid w:val="002508C6"/>
    <w:rsid w:val="00250B0C"/>
    <w:rsid w:val="00250E57"/>
    <w:rsid w:val="00250FCA"/>
    <w:rsid w:val="0025123D"/>
    <w:rsid w:val="00251567"/>
    <w:rsid w:val="00251A80"/>
    <w:rsid w:val="00251DD0"/>
    <w:rsid w:val="00252380"/>
    <w:rsid w:val="00252B0B"/>
    <w:rsid w:val="00252D84"/>
    <w:rsid w:val="00253544"/>
    <w:rsid w:val="0025357F"/>
    <w:rsid w:val="0025371C"/>
    <w:rsid w:val="002539BE"/>
    <w:rsid w:val="00253D30"/>
    <w:rsid w:val="00253E12"/>
    <w:rsid w:val="002542E9"/>
    <w:rsid w:val="00254829"/>
    <w:rsid w:val="00254ED6"/>
    <w:rsid w:val="00254F2E"/>
    <w:rsid w:val="00255AF9"/>
    <w:rsid w:val="00255D9D"/>
    <w:rsid w:val="00255F1E"/>
    <w:rsid w:val="0025613F"/>
    <w:rsid w:val="0025615F"/>
    <w:rsid w:val="00256280"/>
    <w:rsid w:val="00256516"/>
    <w:rsid w:val="002566CB"/>
    <w:rsid w:val="002569CA"/>
    <w:rsid w:val="00256AF0"/>
    <w:rsid w:val="002572A1"/>
    <w:rsid w:val="002574C8"/>
    <w:rsid w:val="0025753E"/>
    <w:rsid w:val="00257842"/>
    <w:rsid w:val="00257A68"/>
    <w:rsid w:val="00257AC3"/>
    <w:rsid w:val="00257C88"/>
    <w:rsid w:val="00257CB5"/>
    <w:rsid w:val="00257D8E"/>
    <w:rsid w:val="00260006"/>
    <w:rsid w:val="002604B7"/>
    <w:rsid w:val="0026052B"/>
    <w:rsid w:val="002607DD"/>
    <w:rsid w:val="00260F7D"/>
    <w:rsid w:val="0026103A"/>
    <w:rsid w:val="00261DC6"/>
    <w:rsid w:val="00262298"/>
    <w:rsid w:val="00262E04"/>
    <w:rsid w:val="0026301E"/>
    <w:rsid w:val="00263A6F"/>
    <w:rsid w:val="00264062"/>
    <w:rsid w:val="00264232"/>
    <w:rsid w:val="00264623"/>
    <w:rsid w:val="00264638"/>
    <w:rsid w:val="002648A0"/>
    <w:rsid w:val="002648F1"/>
    <w:rsid w:val="0026499F"/>
    <w:rsid w:val="00265046"/>
    <w:rsid w:val="002651BC"/>
    <w:rsid w:val="002652DB"/>
    <w:rsid w:val="002652E7"/>
    <w:rsid w:val="00265C38"/>
    <w:rsid w:val="00265E6E"/>
    <w:rsid w:val="00266430"/>
    <w:rsid w:val="002664AB"/>
    <w:rsid w:val="00266BF3"/>
    <w:rsid w:val="0026753A"/>
    <w:rsid w:val="00267C8D"/>
    <w:rsid w:val="00267EFD"/>
    <w:rsid w:val="002700A5"/>
    <w:rsid w:val="002703A9"/>
    <w:rsid w:val="00270824"/>
    <w:rsid w:val="00270849"/>
    <w:rsid w:val="00270B3C"/>
    <w:rsid w:val="00270B41"/>
    <w:rsid w:val="00270C4F"/>
    <w:rsid w:val="002710E7"/>
    <w:rsid w:val="0027134F"/>
    <w:rsid w:val="002714F1"/>
    <w:rsid w:val="00271604"/>
    <w:rsid w:val="00271E5C"/>
    <w:rsid w:val="00272027"/>
    <w:rsid w:val="00272B14"/>
    <w:rsid w:val="00273229"/>
    <w:rsid w:val="002737ED"/>
    <w:rsid w:val="002738CC"/>
    <w:rsid w:val="002739B3"/>
    <w:rsid w:val="00273C92"/>
    <w:rsid w:val="00273CA9"/>
    <w:rsid w:val="00273E9C"/>
    <w:rsid w:val="00273F29"/>
    <w:rsid w:val="002748EC"/>
    <w:rsid w:val="0027531C"/>
    <w:rsid w:val="00275DA5"/>
    <w:rsid w:val="00275E95"/>
    <w:rsid w:val="0027630E"/>
    <w:rsid w:val="00276481"/>
    <w:rsid w:val="0027654C"/>
    <w:rsid w:val="00276592"/>
    <w:rsid w:val="00276802"/>
    <w:rsid w:val="002768D1"/>
    <w:rsid w:val="00277154"/>
    <w:rsid w:val="002772F7"/>
    <w:rsid w:val="002777C2"/>
    <w:rsid w:val="0027781E"/>
    <w:rsid w:val="00277D55"/>
    <w:rsid w:val="00277F86"/>
    <w:rsid w:val="0028013D"/>
    <w:rsid w:val="00280498"/>
    <w:rsid w:val="002807CD"/>
    <w:rsid w:val="00280951"/>
    <w:rsid w:val="00280B5B"/>
    <w:rsid w:val="00280DEE"/>
    <w:rsid w:val="0028110A"/>
    <w:rsid w:val="002811D3"/>
    <w:rsid w:val="00281232"/>
    <w:rsid w:val="00281DB6"/>
    <w:rsid w:val="00281FC4"/>
    <w:rsid w:val="002825BD"/>
    <w:rsid w:val="002825D7"/>
    <w:rsid w:val="00282B9A"/>
    <w:rsid w:val="00282BAB"/>
    <w:rsid w:val="00282D1F"/>
    <w:rsid w:val="00282D9A"/>
    <w:rsid w:val="002836DF"/>
    <w:rsid w:val="002838C2"/>
    <w:rsid w:val="00283960"/>
    <w:rsid w:val="00283CBE"/>
    <w:rsid w:val="00283E71"/>
    <w:rsid w:val="002845AF"/>
    <w:rsid w:val="002848B2"/>
    <w:rsid w:val="00284CA9"/>
    <w:rsid w:val="00285593"/>
    <w:rsid w:val="00285AAE"/>
    <w:rsid w:val="00285B2F"/>
    <w:rsid w:val="002860F4"/>
    <w:rsid w:val="002861B2"/>
    <w:rsid w:val="002864EF"/>
    <w:rsid w:val="002865BA"/>
    <w:rsid w:val="0028679E"/>
    <w:rsid w:val="00286969"/>
    <w:rsid w:val="0028747E"/>
    <w:rsid w:val="00287573"/>
    <w:rsid w:val="00287C1A"/>
    <w:rsid w:val="00287D50"/>
    <w:rsid w:val="002901DF"/>
    <w:rsid w:val="002902DA"/>
    <w:rsid w:val="002907A1"/>
    <w:rsid w:val="002909F4"/>
    <w:rsid w:val="002914B4"/>
    <w:rsid w:val="00291690"/>
    <w:rsid w:val="00291999"/>
    <w:rsid w:val="00291B50"/>
    <w:rsid w:val="00291D2F"/>
    <w:rsid w:val="00291DDC"/>
    <w:rsid w:val="002922FE"/>
    <w:rsid w:val="0029251E"/>
    <w:rsid w:val="002928F4"/>
    <w:rsid w:val="00292CD0"/>
    <w:rsid w:val="00293040"/>
    <w:rsid w:val="0029309E"/>
    <w:rsid w:val="00293474"/>
    <w:rsid w:val="002935A5"/>
    <w:rsid w:val="00293B87"/>
    <w:rsid w:val="00293CFC"/>
    <w:rsid w:val="00293DAC"/>
    <w:rsid w:val="00294108"/>
    <w:rsid w:val="0029451B"/>
    <w:rsid w:val="002946CF"/>
    <w:rsid w:val="00294A8D"/>
    <w:rsid w:val="00294AD7"/>
    <w:rsid w:val="002956A1"/>
    <w:rsid w:val="0029589B"/>
    <w:rsid w:val="002958CA"/>
    <w:rsid w:val="002958D1"/>
    <w:rsid w:val="00295D94"/>
    <w:rsid w:val="00295FF3"/>
    <w:rsid w:val="00296444"/>
    <w:rsid w:val="0029662C"/>
    <w:rsid w:val="002969E9"/>
    <w:rsid w:val="00296A7F"/>
    <w:rsid w:val="00296E83"/>
    <w:rsid w:val="002970E1"/>
    <w:rsid w:val="00297150"/>
    <w:rsid w:val="002972EE"/>
    <w:rsid w:val="0029772A"/>
    <w:rsid w:val="0029777B"/>
    <w:rsid w:val="00297B58"/>
    <w:rsid w:val="00297BC3"/>
    <w:rsid w:val="00297F95"/>
    <w:rsid w:val="002A0755"/>
    <w:rsid w:val="002A0DD8"/>
    <w:rsid w:val="002A0E26"/>
    <w:rsid w:val="002A1036"/>
    <w:rsid w:val="002A1256"/>
    <w:rsid w:val="002A15D3"/>
    <w:rsid w:val="002A17E0"/>
    <w:rsid w:val="002A23FE"/>
    <w:rsid w:val="002A25DA"/>
    <w:rsid w:val="002A3BDC"/>
    <w:rsid w:val="002A3C86"/>
    <w:rsid w:val="002A3F97"/>
    <w:rsid w:val="002A403A"/>
    <w:rsid w:val="002A4503"/>
    <w:rsid w:val="002A4529"/>
    <w:rsid w:val="002A45E5"/>
    <w:rsid w:val="002A46DF"/>
    <w:rsid w:val="002A49CC"/>
    <w:rsid w:val="002A4ACC"/>
    <w:rsid w:val="002A4E7F"/>
    <w:rsid w:val="002A4EC4"/>
    <w:rsid w:val="002A50FA"/>
    <w:rsid w:val="002A51A8"/>
    <w:rsid w:val="002A5895"/>
    <w:rsid w:val="002A5BFF"/>
    <w:rsid w:val="002A6B33"/>
    <w:rsid w:val="002A703B"/>
    <w:rsid w:val="002A732D"/>
    <w:rsid w:val="002B0306"/>
    <w:rsid w:val="002B0455"/>
    <w:rsid w:val="002B057D"/>
    <w:rsid w:val="002B08D4"/>
    <w:rsid w:val="002B0FC9"/>
    <w:rsid w:val="002B153A"/>
    <w:rsid w:val="002B1545"/>
    <w:rsid w:val="002B1B91"/>
    <w:rsid w:val="002B252A"/>
    <w:rsid w:val="002B2938"/>
    <w:rsid w:val="002B2E41"/>
    <w:rsid w:val="002B3303"/>
    <w:rsid w:val="002B37A0"/>
    <w:rsid w:val="002B39A2"/>
    <w:rsid w:val="002B4148"/>
    <w:rsid w:val="002B45B9"/>
    <w:rsid w:val="002B4941"/>
    <w:rsid w:val="002B5139"/>
    <w:rsid w:val="002B5786"/>
    <w:rsid w:val="002B5D74"/>
    <w:rsid w:val="002B5FE9"/>
    <w:rsid w:val="002B6000"/>
    <w:rsid w:val="002B60C2"/>
    <w:rsid w:val="002B6A06"/>
    <w:rsid w:val="002B702B"/>
    <w:rsid w:val="002B7905"/>
    <w:rsid w:val="002B7ADB"/>
    <w:rsid w:val="002C0055"/>
    <w:rsid w:val="002C0161"/>
    <w:rsid w:val="002C01DE"/>
    <w:rsid w:val="002C069B"/>
    <w:rsid w:val="002C0856"/>
    <w:rsid w:val="002C098D"/>
    <w:rsid w:val="002C0B1D"/>
    <w:rsid w:val="002C0FB8"/>
    <w:rsid w:val="002C1613"/>
    <w:rsid w:val="002C1D2F"/>
    <w:rsid w:val="002C1E42"/>
    <w:rsid w:val="002C1FEE"/>
    <w:rsid w:val="002C24A9"/>
    <w:rsid w:val="002C25F7"/>
    <w:rsid w:val="002C2C52"/>
    <w:rsid w:val="002C2E29"/>
    <w:rsid w:val="002C319F"/>
    <w:rsid w:val="002C33BA"/>
    <w:rsid w:val="002C3759"/>
    <w:rsid w:val="002C37F2"/>
    <w:rsid w:val="002C385D"/>
    <w:rsid w:val="002C3906"/>
    <w:rsid w:val="002C396C"/>
    <w:rsid w:val="002C3A36"/>
    <w:rsid w:val="002C40F7"/>
    <w:rsid w:val="002C411E"/>
    <w:rsid w:val="002C439A"/>
    <w:rsid w:val="002C4B7E"/>
    <w:rsid w:val="002C4F76"/>
    <w:rsid w:val="002C5B51"/>
    <w:rsid w:val="002C5F1F"/>
    <w:rsid w:val="002C6233"/>
    <w:rsid w:val="002C676D"/>
    <w:rsid w:val="002C6E49"/>
    <w:rsid w:val="002C7120"/>
    <w:rsid w:val="002C715F"/>
    <w:rsid w:val="002C7A0B"/>
    <w:rsid w:val="002C7AFC"/>
    <w:rsid w:val="002D0920"/>
    <w:rsid w:val="002D0994"/>
    <w:rsid w:val="002D0BAC"/>
    <w:rsid w:val="002D0E9B"/>
    <w:rsid w:val="002D107D"/>
    <w:rsid w:val="002D11BF"/>
    <w:rsid w:val="002D13C7"/>
    <w:rsid w:val="002D1AB6"/>
    <w:rsid w:val="002D1B18"/>
    <w:rsid w:val="002D1B9B"/>
    <w:rsid w:val="002D1D1D"/>
    <w:rsid w:val="002D1DDB"/>
    <w:rsid w:val="002D1E39"/>
    <w:rsid w:val="002D1F56"/>
    <w:rsid w:val="002D22D6"/>
    <w:rsid w:val="002D23A8"/>
    <w:rsid w:val="002D25B3"/>
    <w:rsid w:val="002D2788"/>
    <w:rsid w:val="002D298F"/>
    <w:rsid w:val="002D2FCA"/>
    <w:rsid w:val="002D3006"/>
    <w:rsid w:val="002D328F"/>
    <w:rsid w:val="002D332C"/>
    <w:rsid w:val="002D34C2"/>
    <w:rsid w:val="002D3660"/>
    <w:rsid w:val="002D37A0"/>
    <w:rsid w:val="002D3866"/>
    <w:rsid w:val="002D3A3A"/>
    <w:rsid w:val="002D3E97"/>
    <w:rsid w:val="002D40FA"/>
    <w:rsid w:val="002D4937"/>
    <w:rsid w:val="002D49A7"/>
    <w:rsid w:val="002D4D47"/>
    <w:rsid w:val="002D51D7"/>
    <w:rsid w:val="002D56B3"/>
    <w:rsid w:val="002D5E82"/>
    <w:rsid w:val="002D66C8"/>
    <w:rsid w:val="002D69A2"/>
    <w:rsid w:val="002D6A50"/>
    <w:rsid w:val="002D72BF"/>
    <w:rsid w:val="002D73FD"/>
    <w:rsid w:val="002D7671"/>
    <w:rsid w:val="002D7823"/>
    <w:rsid w:val="002D7957"/>
    <w:rsid w:val="002E0432"/>
    <w:rsid w:val="002E0445"/>
    <w:rsid w:val="002E08DF"/>
    <w:rsid w:val="002E09AE"/>
    <w:rsid w:val="002E12E4"/>
    <w:rsid w:val="002E12E6"/>
    <w:rsid w:val="002E1893"/>
    <w:rsid w:val="002E18E9"/>
    <w:rsid w:val="002E1BD5"/>
    <w:rsid w:val="002E1E94"/>
    <w:rsid w:val="002E1F2C"/>
    <w:rsid w:val="002E1FBD"/>
    <w:rsid w:val="002E2E7F"/>
    <w:rsid w:val="002E3412"/>
    <w:rsid w:val="002E3BB8"/>
    <w:rsid w:val="002E3D3E"/>
    <w:rsid w:val="002E3D77"/>
    <w:rsid w:val="002E42FD"/>
    <w:rsid w:val="002E4ADF"/>
    <w:rsid w:val="002E4C2D"/>
    <w:rsid w:val="002E4EA0"/>
    <w:rsid w:val="002E5001"/>
    <w:rsid w:val="002E57E2"/>
    <w:rsid w:val="002E58CA"/>
    <w:rsid w:val="002E5AB9"/>
    <w:rsid w:val="002E5DEA"/>
    <w:rsid w:val="002E6046"/>
    <w:rsid w:val="002E65B0"/>
    <w:rsid w:val="002E6987"/>
    <w:rsid w:val="002E6FA3"/>
    <w:rsid w:val="002E724A"/>
    <w:rsid w:val="002E725A"/>
    <w:rsid w:val="002E72E5"/>
    <w:rsid w:val="002E73CC"/>
    <w:rsid w:val="002E744A"/>
    <w:rsid w:val="002E748D"/>
    <w:rsid w:val="002E7590"/>
    <w:rsid w:val="002E75A3"/>
    <w:rsid w:val="002E76C7"/>
    <w:rsid w:val="002E7D85"/>
    <w:rsid w:val="002E7FFB"/>
    <w:rsid w:val="002F0195"/>
    <w:rsid w:val="002F05D8"/>
    <w:rsid w:val="002F0CC4"/>
    <w:rsid w:val="002F129E"/>
    <w:rsid w:val="002F1473"/>
    <w:rsid w:val="002F14F2"/>
    <w:rsid w:val="002F158C"/>
    <w:rsid w:val="002F2007"/>
    <w:rsid w:val="002F20F5"/>
    <w:rsid w:val="002F253C"/>
    <w:rsid w:val="002F2F85"/>
    <w:rsid w:val="002F2FCD"/>
    <w:rsid w:val="002F311E"/>
    <w:rsid w:val="002F3300"/>
    <w:rsid w:val="002F3511"/>
    <w:rsid w:val="002F3E93"/>
    <w:rsid w:val="002F43D8"/>
    <w:rsid w:val="002F444E"/>
    <w:rsid w:val="002F44F0"/>
    <w:rsid w:val="002F46E7"/>
    <w:rsid w:val="002F4C02"/>
    <w:rsid w:val="002F5121"/>
    <w:rsid w:val="002F53C3"/>
    <w:rsid w:val="002F57FE"/>
    <w:rsid w:val="002F59EB"/>
    <w:rsid w:val="002F668D"/>
    <w:rsid w:val="002F6DAA"/>
    <w:rsid w:val="002F702A"/>
    <w:rsid w:val="002F71B8"/>
    <w:rsid w:val="002F74DF"/>
    <w:rsid w:val="002F765F"/>
    <w:rsid w:val="002F795D"/>
    <w:rsid w:val="002F7A2C"/>
    <w:rsid w:val="002F7B04"/>
    <w:rsid w:val="002F7CF1"/>
    <w:rsid w:val="002F7D5F"/>
    <w:rsid w:val="002F7E3B"/>
    <w:rsid w:val="003000DE"/>
    <w:rsid w:val="003001E1"/>
    <w:rsid w:val="00300244"/>
    <w:rsid w:val="0030057F"/>
    <w:rsid w:val="003006CA"/>
    <w:rsid w:val="00300889"/>
    <w:rsid w:val="00301311"/>
    <w:rsid w:val="00301EA1"/>
    <w:rsid w:val="00302041"/>
    <w:rsid w:val="00302265"/>
    <w:rsid w:val="003022FC"/>
    <w:rsid w:val="00302491"/>
    <w:rsid w:val="0030282B"/>
    <w:rsid w:val="00302897"/>
    <w:rsid w:val="00302FCC"/>
    <w:rsid w:val="0030308F"/>
    <w:rsid w:val="003031E2"/>
    <w:rsid w:val="003032E0"/>
    <w:rsid w:val="00303317"/>
    <w:rsid w:val="0030331B"/>
    <w:rsid w:val="00303F34"/>
    <w:rsid w:val="00304398"/>
    <w:rsid w:val="00304E5C"/>
    <w:rsid w:val="00304E5F"/>
    <w:rsid w:val="003050A9"/>
    <w:rsid w:val="0030539C"/>
    <w:rsid w:val="003056F0"/>
    <w:rsid w:val="0030586D"/>
    <w:rsid w:val="003058EC"/>
    <w:rsid w:val="00305959"/>
    <w:rsid w:val="00305A65"/>
    <w:rsid w:val="00305B3D"/>
    <w:rsid w:val="00305DAE"/>
    <w:rsid w:val="00305EB6"/>
    <w:rsid w:val="0030621D"/>
    <w:rsid w:val="003062AE"/>
    <w:rsid w:val="003062F6"/>
    <w:rsid w:val="003064DC"/>
    <w:rsid w:val="003065A9"/>
    <w:rsid w:val="0030669D"/>
    <w:rsid w:val="00306BAD"/>
    <w:rsid w:val="00307128"/>
    <w:rsid w:val="00307806"/>
    <w:rsid w:val="00307846"/>
    <w:rsid w:val="003078EC"/>
    <w:rsid w:val="00307CF1"/>
    <w:rsid w:val="00307D49"/>
    <w:rsid w:val="00307F1A"/>
    <w:rsid w:val="0031027A"/>
    <w:rsid w:val="00310537"/>
    <w:rsid w:val="00310570"/>
    <w:rsid w:val="0031077A"/>
    <w:rsid w:val="003107C3"/>
    <w:rsid w:val="00310B53"/>
    <w:rsid w:val="00310C3D"/>
    <w:rsid w:val="00310CE5"/>
    <w:rsid w:val="00311380"/>
    <w:rsid w:val="0031173C"/>
    <w:rsid w:val="00311A77"/>
    <w:rsid w:val="0031226B"/>
    <w:rsid w:val="0031228F"/>
    <w:rsid w:val="003125C7"/>
    <w:rsid w:val="003125FB"/>
    <w:rsid w:val="00312830"/>
    <w:rsid w:val="003128E8"/>
    <w:rsid w:val="00312F94"/>
    <w:rsid w:val="00313443"/>
    <w:rsid w:val="00313707"/>
    <w:rsid w:val="00313779"/>
    <w:rsid w:val="0031465F"/>
    <w:rsid w:val="00314696"/>
    <w:rsid w:val="0031482A"/>
    <w:rsid w:val="00314985"/>
    <w:rsid w:val="00314C5E"/>
    <w:rsid w:val="00314FBF"/>
    <w:rsid w:val="003150F5"/>
    <w:rsid w:val="0031515C"/>
    <w:rsid w:val="00315514"/>
    <w:rsid w:val="00315FEF"/>
    <w:rsid w:val="00316170"/>
    <w:rsid w:val="003164DB"/>
    <w:rsid w:val="00316504"/>
    <w:rsid w:val="003169D1"/>
    <w:rsid w:val="00316C35"/>
    <w:rsid w:val="00317099"/>
    <w:rsid w:val="0031746B"/>
    <w:rsid w:val="00317838"/>
    <w:rsid w:val="00317C0C"/>
    <w:rsid w:val="00317C34"/>
    <w:rsid w:val="00317F94"/>
    <w:rsid w:val="003203EC"/>
    <w:rsid w:val="00320994"/>
    <w:rsid w:val="00320B02"/>
    <w:rsid w:val="00320BA2"/>
    <w:rsid w:val="00320C72"/>
    <w:rsid w:val="00320D67"/>
    <w:rsid w:val="00320DCB"/>
    <w:rsid w:val="00320F6C"/>
    <w:rsid w:val="00321469"/>
    <w:rsid w:val="003217C9"/>
    <w:rsid w:val="003218DD"/>
    <w:rsid w:val="00321B22"/>
    <w:rsid w:val="00321D4D"/>
    <w:rsid w:val="003222CA"/>
    <w:rsid w:val="00322405"/>
    <w:rsid w:val="00322668"/>
    <w:rsid w:val="003227C4"/>
    <w:rsid w:val="00322CDC"/>
    <w:rsid w:val="003239A7"/>
    <w:rsid w:val="00323BAA"/>
    <w:rsid w:val="00324ADA"/>
    <w:rsid w:val="00324D4D"/>
    <w:rsid w:val="00324D8D"/>
    <w:rsid w:val="00325082"/>
    <w:rsid w:val="003251DE"/>
    <w:rsid w:val="0032572B"/>
    <w:rsid w:val="0032599F"/>
    <w:rsid w:val="003259D6"/>
    <w:rsid w:val="003268BA"/>
    <w:rsid w:val="00326F21"/>
    <w:rsid w:val="00327294"/>
    <w:rsid w:val="00327378"/>
    <w:rsid w:val="003274E7"/>
    <w:rsid w:val="00327643"/>
    <w:rsid w:val="00327A0E"/>
    <w:rsid w:val="00327A29"/>
    <w:rsid w:val="00327B93"/>
    <w:rsid w:val="00327DB4"/>
    <w:rsid w:val="00327DC9"/>
    <w:rsid w:val="0033012D"/>
    <w:rsid w:val="003307A1"/>
    <w:rsid w:val="003307A8"/>
    <w:rsid w:val="00330B54"/>
    <w:rsid w:val="00330C3C"/>
    <w:rsid w:val="00330D9B"/>
    <w:rsid w:val="00331E13"/>
    <w:rsid w:val="0033266C"/>
    <w:rsid w:val="00332934"/>
    <w:rsid w:val="00332A2C"/>
    <w:rsid w:val="00333842"/>
    <w:rsid w:val="00333DA2"/>
    <w:rsid w:val="00333EA4"/>
    <w:rsid w:val="00334331"/>
    <w:rsid w:val="003346B0"/>
    <w:rsid w:val="003347A1"/>
    <w:rsid w:val="00334ACF"/>
    <w:rsid w:val="00335368"/>
    <w:rsid w:val="00335B10"/>
    <w:rsid w:val="00335B11"/>
    <w:rsid w:val="00335E41"/>
    <w:rsid w:val="00336443"/>
    <w:rsid w:val="00336466"/>
    <w:rsid w:val="00336553"/>
    <w:rsid w:val="003367DE"/>
    <w:rsid w:val="003367F2"/>
    <w:rsid w:val="003368A6"/>
    <w:rsid w:val="00336F26"/>
    <w:rsid w:val="003372E5"/>
    <w:rsid w:val="003375C4"/>
    <w:rsid w:val="00337AE3"/>
    <w:rsid w:val="00337B9F"/>
    <w:rsid w:val="00337EFC"/>
    <w:rsid w:val="003400AA"/>
    <w:rsid w:val="003401E4"/>
    <w:rsid w:val="00340326"/>
    <w:rsid w:val="00340441"/>
    <w:rsid w:val="003407FA"/>
    <w:rsid w:val="003409DC"/>
    <w:rsid w:val="00340CEA"/>
    <w:rsid w:val="00340F56"/>
    <w:rsid w:val="0034194B"/>
    <w:rsid w:val="00341A14"/>
    <w:rsid w:val="00341D8E"/>
    <w:rsid w:val="00342302"/>
    <w:rsid w:val="0034264C"/>
    <w:rsid w:val="003429B2"/>
    <w:rsid w:val="00342A90"/>
    <w:rsid w:val="00342AE2"/>
    <w:rsid w:val="00342C69"/>
    <w:rsid w:val="00342D45"/>
    <w:rsid w:val="00343355"/>
    <w:rsid w:val="00343522"/>
    <w:rsid w:val="003439D4"/>
    <w:rsid w:val="0034454B"/>
    <w:rsid w:val="00344937"/>
    <w:rsid w:val="003449B5"/>
    <w:rsid w:val="00344A27"/>
    <w:rsid w:val="00344C11"/>
    <w:rsid w:val="00344C13"/>
    <w:rsid w:val="00346434"/>
    <w:rsid w:val="003469D8"/>
    <w:rsid w:val="00346A4D"/>
    <w:rsid w:val="00346AC6"/>
    <w:rsid w:val="00346B6D"/>
    <w:rsid w:val="00346DB8"/>
    <w:rsid w:val="00347043"/>
    <w:rsid w:val="00347202"/>
    <w:rsid w:val="00347A3F"/>
    <w:rsid w:val="0035033D"/>
    <w:rsid w:val="00350756"/>
    <w:rsid w:val="003508FD"/>
    <w:rsid w:val="00350B0A"/>
    <w:rsid w:val="00350D65"/>
    <w:rsid w:val="00350FAB"/>
    <w:rsid w:val="00351381"/>
    <w:rsid w:val="00351636"/>
    <w:rsid w:val="00351834"/>
    <w:rsid w:val="00351E75"/>
    <w:rsid w:val="0035232F"/>
    <w:rsid w:val="00352A66"/>
    <w:rsid w:val="00352C7F"/>
    <w:rsid w:val="00352E54"/>
    <w:rsid w:val="003530A6"/>
    <w:rsid w:val="00353502"/>
    <w:rsid w:val="00353627"/>
    <w:rsid w:val="003537AB"/>
    <w:rsid w:val="003538C5"/>
    <w:rsid w:val="003539FB"/>
    <w:rsid w:val="00353D6F"/>
    <w:rsid w:val="00354466"/>
    <w:rsid w:val="0035454C"/>
    <w:rsid w:val="0035476C"/>
    <w:rsid w:val="0035490C"/>
    <w:rsid w:val="003549F3"/>
    <w:rsid w:val="00354A1B"/>
    <w:rsid w:val="00354CC2"/>
    <w:rsid w:val="00355552"/>
    <w:rsid w:val="003557C7"/>
    <w:rsid w:val="00355C6C"/>
    <w:rsid w:val="00355C90"/>
    <w:rsid w:val="00355CD6"/>
    <w:rsid w:val="00355F72"/>
    <w:rsid w:val="0035609A"/>
    <w:rsid w:val="00356355"/>
    <w:rsid w:val="00356518"/>
    <w:rsid w:val="00356697"/>
    <w:rsid w:val="00356815"/>
    <w:rsid w:val="00356A5D"/>
    <w:rsid w:val="00356EFA"/>
    <w:rsid w:val="00357061"/>
    <w:rsid w:val="00357079"/>
    <w:rsid w:val="003572D1"/>
    <w:rsid w:val="00357393"/>
    <w:rsid w:val="00357657"/>
    <w:rsid w:val="003576FA"/>
    <w:rsid w:val="003577C1"/>
    <w:rsid w:val="00357FF6"/>
    <w:rsid w:val="00360077"/>
    <w:rsid w:val="00360758"/>
    <w:rsid w:val="003608A4"/>
    <w:rsid w:val="00360B1A"/>
    <w:rsid w:val="00360DBA"/>
    <w:rsid w:val="00360F4D"/>
    <w:rsid w:val="003612C9"/>
    <w:rsid w:val="003615DE"/>
    <w:rsid w:val="003617A1"/>
    <w:rsid w:val="00361B49"/>
    <w:rsid w:val="00361BEE"/>
    <w:rsid w:val="00361E55"/>
    <w:rsid w:val="003626E9"/>
    <w:rsid w:val="00362945"/>
    <w:rsid w:val="003629A0"/>
    <w:rsid w:val="00362B31"/>
    <w:rsid w:val="00362D9C"/>
    <w:rsid w:val="00362E11"/>
    <w:rsid w:val="0036382E"/>
    <w:rsid w:val="003639A6"/>
    <w:rsid w:val="003639C8"/>
    <w:rsid w:val="00363A62"/>
    <w:rsid w:val="00363AFE"/>
    <w:rsid w:val="003645C0"/>
    <w:rsid w:val="00364732"/>
    <w:rsid w:val="00364DD8"/>
    <w:rsid w:val="00364F3F"/>
    <w:rsid w:val="00364FB0"/>
    <w:rsid w:val="00365040"/>
    <w:rsid w:val="00365215"/>
    <w:rsid w:val="00365408"/>
    <w:rsid w:val="00365575"/>
    <w:rsid w:val="003655E8"/>
    <w:rsid w:val="003656E0"/>
    <w:rsid w:val="00365B1E"/>
    <w:rsid w:val="00365CA0"/>
    <w:rsid w:val="00365F45"/>
    <w:rsid w:val="00366063"/>
    <w:rsid w:val="0036608A"/>
    <w:rsid w:val="003664D2"/>
    <w:rsid w:val="003668DA"/>
    <w:rsid w:val="00366BF2"/>
    <w:rsid w:val="00366DA1"/>
    <w:rsid w:val="003671F1"/>
    <w:rsid w:val="003674BF"/>
    <w:rsid w:val="0036774D"/>
    <w:rsid w:val="0036774E"/>
    <w:rsid w:val="003679AE"/>
    <w:rsid w:val="003679DA"/>
    <w:rsid w:val="00367B94"/>
    <w:rsid w:val="00367D90"/>
    <w:rsid w:val="003703B2"/>
    <w:rsid w:val="0037069F"/>
    <w:rsid w:val="003717DD"/>
    <w:rsid w:val="0037186D"/>
    <w:rsid w:val="003719E7"/>
    <w:rsid w:val="00371ABC"/>
    <w:rsid w:val="00371E96"/>
    <w:rsid w:val="00371EB4"/>
    <w:rsid w:val="003725B4"/>
    <w:rsid w:val="003728B7"/>
    <w:rsid w:val="00372B70"/>
    <w:rsid w:val="00372C9A"/>
    <w:rsid w:val="00372DC7"/>
    <w:rsid w:val="0037307E"/>
    <w:rsid w:val="00373119"/>
    <w:rsid w:val="00373D67"/>
    <w:rsid w:val="00373F05"/>
    <w:rsid w:val="00374050"/>
    <w:rsid w:val="003745F8"/>
    <w:rsid w:val="003749C6"/>
    <w:rsid w:val="00374D85"/>
    <w:rsid w:val="0037545D"/>
    <w:rsid w:val="00375A99"/>
    <w:rsid w:val="00375E74"/>
    <w:rsid w:val="003761E9"/>
    <w:rsid w:val="0037728F"/>
    <w:rsid w:val="00377472"/>
    <w:rsid w:val="003774D5"/>
    <w:rsid w:val="0037751D"/>
    <w:rsid w:val="0037770F"/>
    <w:rsid w:val="00377A13"/>
    <w:rsid w:val="00377D79"/>
    <w:rsid w:val="00377F1E"/>
    <w:rsid w:val="0038031E"/>
    <w:rsid w:val="0038048B"/>
    <w:rsid w:val="003808A6"/>
    <w:rsid w:val="00381067"/>
    <w:rsid w:val="003816C2"/>
    <w:rsid w:val="00381D87"/>
    <w:rsid w:val="003821EB"/>
    <w:rsid w:val="003825AA"/>
    <w:rsid w:val="0038281C"/>
    <w:rsid w:val="0038283F"/>
    <w:rsid w:val="00382CD4"/>
    <w:rsid w:val="003836BC"/>
    <w:rsid w:val="00383884"/>
    <w:rsid w:val="003838BB"/>
    <w:rsid w:val="00383BB7"/>
    <w:rsid w:val="0038439E"/>
    <w:rsid w:val="003844F9"/>
    <w:rsid w:val="00384CEA"/>
    <w:rsid w:val="00384D14"/>
    <w:rsid w:val="00385058"/>
    <w:rsid w:val="003851E4"/>
    <w:rsid w:val="003851FE"/>
    <w:rsid w:val="00385203"/>
    <w:rsid w:val="00385559"/>
    <w:rsid w:val="0038560C"/>
    <w:rsid w:val="00385733"/>
    <w:rsid w:val="00385A64"/>
    <w:rsid w:val="00385F81"/>
    <w:rsid w:val="00385FDD"/>
    <w:rsid w:val="003862A8"/>
    <w:rsid w:val="0038636B"/>
    <w:rsid w:val="00386B05"/>
    <w:rsid w:val="00386D1A"/>
    <w:rsid w:val="0038717A"/>
    <w:rsid w:val="00387769"/>
    <w:rsid w:val="003900B0"/>
    <w:rsid w:val="003900C5"/>
    <w:rsid w:val="0039073C"/>
    <w:rsid w:val="003907C9"/>
    <w:rsid w:val="00390C49"/>
    <w:rsid w:val="00390E46"/>
    <w:rsid w:val="003916B5"/>
    <w:rsid w:val="003917FC"/>
    <w:rsid w:val="0039217B"/>
    <w:rsid w:val="00392526"/>
    <w:rsid w:val="00392682"/>
    <w:rsid w:val="0039272D"/>
    <w:rsid w:val="00392741"/>
    <w:rsid w:val="00392B1E"/>
    <w:rsid w:val="00392B57"/>
    <w:rsid w:val="00393933"/>
    <w:rsid w:val="00393A84"/>
    <w:rsid w:val="00393B89"/>
    <w:rsid w:val="00393BAC"/>
    <w:rsid w:val="00393C20"/>
    <w:rsid w:val="00393F99"/>
    <w:rsid w:val="00394214"/>
    <w:rsid w:val="0039423C"/>
    <w:rsid w:val="0039450B"/>
    <w:rsid w:val="003945B5"/>
    <w:rsid w:val="003945C2"/>
    <w:rsid w:val="0039497B"/>
    <w:rsid w:val="003951E7"/>
    <w:rsid w:val="003954D3"/>
    <w:rsid w:val="0039559D"/>
    <w:rsid w:val="00395845"/>
    <w:rsid w:val="00395B42"/>
    <w:rsid w:val="00395EDB"/>
    <w:rsid w:val="003960DF"/>
    <w:rsid w:val="00396322"/>
    <w:rsid w:val="003963ED"/>
    <w:rsid w:val="00396860"/>
    <w:rsid w:val="003968A5"/>
    <w:rsid w:val="00397049"/>
    <w:rsid w:val="0039715C"/>
    <w:rsid w:val="00397170"/>
    <w:rsid w:val="00397B62"/>
    <w:rsid w:val="003A0137"/>
    <w:rsid w:val="003A0276"/>
    <w:rsid w:val="003A0852"/>
    <w:rsid w:val="003A0A1F"/>
    <w:rsid w:val="003A0F66"/>
    <w:rsid w:val="003A149B"/>
    <w:rsid w:val="003A28B4"/>
    <w:rsid w:val="003A2F3B"/>
    <w:rsid w:val="003A3026"/>
    <w:rsid w:val="003A33D4"/>
    <w:rsid w:val="003A3433"/>
    <w:rsid w:val="003A3CBA"/>
    <w:rsid w:val="003A42CD"/>
    <w:rsid w:val="003A4994"/>
    <w:rsid w:val="003A4A6A"/>
    <w:rsid w:val="003A4C39"/>
    <w:rsid w:val="003A4C53"/>
    <w:rsid w:val="003A4DD0"/>
    <w:rsid w:val="003A51FC"/>
    <w:rsid w:val="003A537E"/>
    <w:rsid w:val="003A5965"/>
    <w:rsid w:val="003A5B25"/>
    <w:rsid w:val="003A5DC5"/>
    <w:rsid w:val="003A5F57"/>
    <w:rsid w:val="003A5FBD"/>
    <w:rsid w:val="003A660F"/>
    <w:rsid w:val="003A68A3"/>
    <w:rsid w:val="003A71FB"/>
    <w:rsid w:val="003A789B"/>
    <w:rsid w:val="003A79AB"/>
    <w:rsid w:val="003B01F3"/>
    <w:rsid w:val="003B032B"/>
    <w:rsid w:val="003B036D"/>
    <w:rsid w:val="003B03E9"/>
    <w:rsid w:val="003B0526"/>
    <w:rsid w:val="003B05AB"/>
    <w:rsid w:val="003B095E"/>
    <w:rsid w:val="003B0A55"/>
    <w:rsid w:val="003B1A36"/>
    <w:rsid w:val="003B1C29"/>
    <w:rsid w:val="003B1E49"/>
    <w:rsid w:val="003B2244"/>
    <w:rsid w:val="003B224D"/>
    <w:rsid w:val="003B2286"/>
    <w:rsid w:val="003B2301"/>
    <w:rsid w:val="003B243E"/>
    <w:rsid w:val="003B268C"/>
    <w:rsid w:val="003B2D0F"/>
    <w:rsid w:val="003B2E35"/>
    <w:rsid w:val="003B2F46"/>
    <w:rsid w:val="003B30F2"/>
    <w:rsid w:val="003B32D3"/>
    <w:rsid w:val="003B3454"/>
    <w:rsid w:val="003B3EE1"/>
    <w:rsid w:val="003B4181"/>
    <w:rsid w:val="003B4A68"/>
    <w:rsid w:val="003B5008"/>
    <w:rsid w:val="003B547A"/>
    <w:rsid w:val="003B54D1"/>
    <w:rsid w:val="003B54D7"/>
    <w:rsid w:val="003B56EC"/>
    <w:rsid w:val="003B5853"/>
    <w:rsid w:val="003B5ADA"/>
    <w:rsid w:val="003B5C65"/>
    <w:rsid w:val="003B60D8"/>
    <w:rsid w:val="003B6155"/>
    <w:rsid w:val="003B63EE"/>
    <w:rsid w:val="003B6678"/>
    <w:rsid w:val="003B6785"/>
    <w:rsid w:val="003B7308"/>
    <w:rsid w:val="003B7370"/>
    <w:rsid w:val="003B741E"/>
    <w:rsid w:val="003B7FF0"/>
    <w:rsid w:val="003C0419"/>
    <w:rsid w:val="003C0BF9"/>
    <w:rsid w:val="003C0EAF"/>
    <w:rsid w:val="003C108B"/>
    <w:rsid w:val="003C1394"/>
    <w:rsid w:val="003C17E2"/>
    <w:rsid w:val="003C1A9F"/>
    <w:rsid w:val="003C1D6E"/>
    <w:rsid w:val="003C1EAE"/>
    <w:rsid w:val="003C21E1"/>
    <w:rsid w:val="003C23DC"/>
    <w:rsid w:val="003C2544"/>
    <w:rsid w:val="003C2712"/>
    <w:rsid w:val="003C2806"/>
    <w:rsid w:val="003C2858"/>
    <w:rsid w:val="003C3032"/>
    <w:rsid w:val="003C30A0"/>
    <w:rsid w:val="003C30D6"/>
    <w:rsid w:val="003C3126"/>
    <w:rsid w:val="003C3139"/>
    <w:rsid w:val="003C350E"/>
    <w:rsid w:val="003C3A87"/>
    <w:rsid w:val="003C3C3E"/>
    <w:rsid w:val="003C3FD3"/>
    <w:rsid w:val="003C4330"/>
    <w:rsid w:val="003C439B"/>
    <w:rsid w:val="003C43F9"/>
    <w:rsid w:val="003C44DA"/>
    <w:rsid w:val="003C4B97"/>
    <w:rsid w:val="003C52E1"/>
    <w:rsid w:val="003C5634"/>
    <w:rsid w:val="003C5C52"/>
    <w:rsid w:val="003C5E1D"/>
    <w:rsid w:val="003C5F28"/>
    <w:rsid w:val="003C60BE"/>
    <w:rsid w:val="003C627A"/>
    <w:rsid w:val="003C65F1"/>
    <w:rsid w:val="003C6787"/>
    <w:rsid w:val="003C6DF5"/>
    <w:rsid w:val="003C6EA5"/>
    <w:rsid w:val="003C735E"/>
    <w:rsid w:val="003C7525"/>
    <w:rsid w:val="003C75DF"/>
    <w:rsid w:val="003C764C"/>
    <w:rsid w:val="003C7868"/>
    <w:rsid w:val="003C795F"/>
    <w:rsid w:val="003C7CCF"/>
    <w:rsid w:val="003C7E32"/>
    <w:rsid w:val="003D0312"/>
    <w:rsid w:val="003D04A5"/>
    <w:rsid w:val="003D0D31"/>
    <w:rsid w:val="003D0E58"/>
    <w:rsid w:val="003D11A9"/>
    <w:rsid w:val="003D13CC"/>
    <w:rsid w:val="003D1745"/>
    <w:rsid w:val="003D18DC"/>
    <w:rsid w:val="003D1DBC"/>
    <w:rsid w:val="003D1FC3"/>
    <w:rsid w:val="003D2053"/>
    <w:rsid w:val="003D2693"/>
    <w:rsid w:val="003D295A"/>
    <w:rsid w:val="003D2A10"/>
    <w:rsid w:val="003D2A37"/>
    <w:rsid w:val="003D35D2"/>
    <w:rsid w:val="003D3E81"/>
    <w:rsid w:val="003D4139"/>
    <w:rsid w:val="003D418A"/>
    <w:rsid w:val="003D4314"/>
    <w:rsid w:val="003D4376"/>
    <w:rsid w:val="003D43A9"/>
    <w:rsid w:val="003D48CA"/>
    <w:rsid w:val="003D500D"/>
    <w:rsid w:val="003D5530"/>
    <w:rsid w:val="003D5C7A"/>
    <w:rsid w:val="003D5EDD"/>
    <w:rsid w:val="003D5FF2"/>
    <w:rsid w:val="003D610C"/>
    <w:rsid w:val="003D6248"/>
    <w:rsid w:val="003D665C"/>
    <w:rsid w:val="003D6760"/>
    <w:rsid w:val="003D68F3"/>
    <w:rsid w:val="003D691B"/>
    <w:rsid w:val="003D69EF"/>
    <w:rsid w:val="003D6EA1"/>
    <w:rsid w:val="003D6ECE"/>
    <w:rsid w:val="003D7406"/>
    <w:rsid w:val="003D7437"/>
    <w:rsid w:val="003D770C"/>
    <w:rsid w:val="003D7A1E"/>
    <w:rsid w:val="003D7B3F"/>
    <w:rsid w:val="003D7B4E"/>
    <w:rsid w:val="003D7E39"/>
    <w:rsid w:val="003D7F8C"/>
    <w:rsid w:val="003E01C8"/>
    <w:rsid w:val="003E0267"/>
    <w:rsid w:val="003E0316"/>
    <w:rsid w:val="003E0328"/>
    <w:rsid w:val="003E085C"/>
    <w:rsid w:val="003E0C5B"/>
    <w:rsid w:val="003E0EDB"/>
    <w:rsid w:val="003E1714"/>
    <w:rsid w:val="003E19C4"/>
    <w:rsid w:val="003E1A2E"/>
    <w:rsid w:val="003E1AE8"/>
    <w:rsid w:val="003E1D90"/>
    <w:rsid w:val="003E2354"/>
    <w:rsid w:val="003E2752"/>
    <w:rsid w:val="003E3463"/>
    <w:rsid w:val="003E3467"/>
    <w:rsid w:val="003E3759"/>
    <w:rsid w:val="003E380B"/>
    <w:rsid w:val="003E38AB"/>
    <w:rsid w:val="003E39AC"/>
    <w:rsid w:val="003E3AFA"/>
    <w:rsid w:val="003E3CF5"/>
    <w:rsid w:val="003E3EFD"/>
    <w:rsid w:val="003E4080"/>
    <w:rsid w:val="003E40ED"/>
    <w:rsid w:val="003E4552"/>
    <w:rsid w:val="003E4DBA"/>
    <w:rsid w:val="003E530E"/>
    <w:rsid w:val="003E56B6"/>
    <w:rsid w:val="003E604A"/>
    <w:rsid w:val="003E6085"/>
    <w:rsid w:val="003E6108"/>
    <w:rsid w:val="003E619F"/>
    <w:rsid w:val="003E6475"/>
    <w:rsid w:val="003E69DA"/>
    <w:rsid w:val="003E6A2B"/>
    <w:rsid w:val="003E6D09"/>
    <w:rsid w:val="003E75F9"/>
    <w:rsid w:val="003E7663"/>
    <w:rsid w:val="003E7BAF"/>
    <w:rsid w:val="003F01F8"/>
    <w:rsid w:val="003F06F2"/>
    <w:rsid w:val="003F09B0"/>
    <w:rsid w:val="003F0C9A"/>
    <w:rsid w:val="003F0F08"/>
    <w:rsid w:val="003F105A"/>
    <w:rsid w:val="003F16BD"/>
    <w:rsid w:val="003F1B88"/>
    <w:rsid w:val="003F1D63"/>
    <w:rsid w:val="003F2609"/>
    <w:rsid w:val="003F283D"/>
    <w:rsid w:val="003F2A9B"/>
    <w:rsid w:val="003F3ED7"/>
    <w:rsid w:val="003F4516"/>
    <w:rsid w:val="003F45BE"/>
    <w:rsid w:val="003F45DC"/>
    <w:rsid w:val="003F46D1"/>
    <w:rsid w:val="003F4C0C"/>
    <w:rsid w:val="003F4C8B"/>
    <w:rsid w:val="003F4CE9"/>
    <w:rsid w:val="003F4F1D"/>
    <w:rsid w:val="003F4F21"/>
    <w:rsid w:val="003F561B"/>
    <w:rsid w:val="003F5982"/>
    <w:rsid w:val="003F5983"/>
    <w:rsid w:val="003F59CA"/>
    <w:rsid w:val="003F5D02"/>
    <w:rsid w:val="003F6199"/>
    <w:rsid w:val="003F6BE7"/>
    <w:rsid w:val="003F7224"/>
    <w:rsid w:val="003F7245"/>
    <w:rsid w:val="003F731E"/>
    <w:rsid w:val="003F79FB"/>
    <w:rsid w:val="003F7C87"/>
    <w:rsid w:val="003F7ED5"/>
    <w:rsid w:val="00400720"/>
    <w:rsid w:val="004007BB"/>
    <w:rsid w:val="0040097F"/>
    <w:rsid w:val="00400D2A"/>
    <w:rsid w:val="00401318"/>
    <w:rsid w:val="004018F6"/>
    <w:rsid w:val="004019DC"/>
    <w:rsid w:val="00401A9C"/>
    <w:rsid w:val="00401B1C"/>
    <w:rsid w:val="0040234F"/>
    <w:rsid w:val="00402620"/>
    <w:rsid w:val="0040287C"/>
    <w:rsid w:val="00402A3D"/>
    <w:rsid w:val="004033BF"/>
    <w:rsid w:val="00403924"/>
    <w:rsid w:val="00403926"/>
    <w:rsid w:val="00403D9D"/>
    <w:rsid w:val="00403EA2"/>
    <w:rsid w:val="00403EA8"/>
    <w:rsid w:val="00403FCF"/>
    <w:rsid w:val="004057FB"/>
    <w:rsid w:val="00405AC7"/>
    <w:rsid w:val="00405D68"/>
    <w:rsid w:val="00405EC1"/>
    <w:rsid w:val="00406170"/>
    <w:rsid w:val="00406184"/>
    <w:rsid w:val="004062F1"/>
    <w:rsid w:val="004064CE"/>
    <w:rsid w:val="00406CDF"/>
    <w:rsid w:val="004070BB"/>
    <w:rsid w:val="00407673"/>
    <w:rsid w:val="0040773F"/>
    <w:rsid w:val="00407D2B"/>
    <w:rsid w:val="004101B9"/>
    <w:rsid w:val="0041040B"/>
    <w:rsid w:val="00410D66"/>
    <w:rsid w:val="0041119A"/>
    <w:rsid w:val="004113AA"/>
    <w:rsid w:val="0041175F"/>
    <w:rsid w:val="00411DC7"/>
    <w:rsid w:val="004122D6"/>
    <w:rsid w:val="00412379"/>
    <w:rsid w:val="00412387"/>
    <w:rsid w:val="004125FD"/>
    <w:rsid w:val="0041269F"/>
    <w:rsid w:val="004127C2"/>
    <w:rsid w:val="0041291B"/>
    <w:rsid w:val="00412B58"/>
    <w:rsid w:val="0041304E"/>
    <w:rsid w:val="00413061"/>
    <w:rsid w:val="00413314"/>
    <w:rsid w:val="0041341D"/>
    <w:rsid w:val="00413501"/>
    <w:rsid w:val="00413AC8"/>
    <w:rsid w:val="00413BEA"/>
    <w:rsid w:val="00413CE4"/>
    <w:rsid w:val="00413EBF"/>
    <w:rsid w:val="00414025"/>
    <w:rsid w:val="00414522"/>
    <w:rsid w:val="004145EA"/>
    <w:rsid w:val="004146CE"/>
    <w:rsid w:val="00414988"/>
    <w:rsid w:val="0041523F"/>
    <w:rsid w:val="004155FD"/>
    <w:rsid w:val="004156EE"/>
    <w:rsid w:val="0041587B"/>
    <w:rsid w:val="004158CA"/>
    <w:rsid w:val="00415933"/>
    <w:rsid w:val="00415B91"/>
    <w:rsid w:val="00415C14"/>
    <w:rsid w:val="00415C67"/>
    <w:rsid w:val="00416628"/>
    <w:rsid w:val="004169B3"/>
    <w:rsid w:val="00416EC5"/>
    <w:rsid w:val="00416F60"/>
    <w:rsid w:val="00417306"/>
    <w:rsid w:val="00417624"/>
    <w:rsid w:val="00417BF7"/>
    <w:rsid w:val="00417C46"/>
    <w:rsid w:val="00417DA7"/>
    <w:rsid w:val="00420437"/>
    <w:rsid w:val="004204DD"/>
    <w:rsid w:val="00420F3B"/>
    <w:rsid w:val="00421450"/>
    <w:rsid w:val="004217D0"/>
    <w:rsid w:val="004219A8"/>
    <w:rsid w:val="00421F30"/>
    <w:rsid w:val="004223D0"/>
    <w:rsid w:val="00422763"/>
    <w:rsid w:val="00422EFC"/>
    <w:rsid w:val="004231B7"/>
    <w:rsid w:val="00423A4F"/>
    <w:rsid w:val="00423CBE"/>
    <w:rsid w:val="00424148"/>
    <w:rsid w:val="004241D2"/>
    <w:rsid w:val="004242AB"/>
    <w:rsid w:val="00424424"/>
    <w:rsid w:val="00424483"/>
    <w:rsid w:val="004247EC"/>
    <w:rsid w:val="004248B5"/>
    <w:rsid w:val="00424A20"/>
    <w:rsid w:val="00424AAC"/>
    <w:rsid w:val="00424EF8"/>
    <w:rsid w:val="00424FC0"/>
    <w:rsid w:val="004254AA"/>
    <w:rsid w:val="00425596"/>
    <w:rsid w:val="00425933"/>
    <w:rsid w:val="00425986"/>
    <w:rsid w:val="00425AD6"/>
    <w:rsid w:val="00425B89"/>
    <w:rsid w:val="00426082"/>
    <w:rsid w:val="00426103"/>
    <w:rsid w:val="00426587"/>
    <w:rsid w:val="004265F6"/>
    <w:rsid w:val="0042687B"/>
    <w:rsid w:val="0042688B"/>
    <w:rsid w:val="00427BFD"/>
    <w:rsid w:val="00427C0E"/>
    <w:rsid w:val="00427E55"/>
    <w:rsid w:val="00427F2F"/>
    <w:rsid w:val="004303BD"/>
    <w:rsid w:val="00430532"/>
    <w:rsid w:val="00430647"/>
    <w:rsid w:val="0043176D"/>
    <w:rsid w:val="00431A97"/>
    <w:rsid w:val="00431B79"/>
    <w:rsid w:val="00431CF3"/>
    <w:rsid w:val="00431D64"/>
    <w:rsid w:val="00431ECE"/>
    <w:rsid w:val="00431FEB"/>
    <w:rsid w:val="0043210F"/>
    <w:rsid w:val="00432899"/>
    <w:rsid w:val="00432B5C"/>
    <w:rsid w:val="0043337A"/>
    <w:rsid w:val="004339E1"/>
    <w:rsid w:val="00433B40"/>
    <w:rsid w:val="00433D8D"/>
    <w:rsid w:val="00433FAE"/>
    <w:rsid w:val="0043401D"/>
    <w:rsid w:val="0043425F"/>
    <w:rsid w:val="00434382"/>
    <w:rsid w:val="00434852"/>
    <w:rsid w:val="004353B4"/>
    <w:rsid w:val="00435858"/>
    <w:rsid w:val="00435B0F"/>
    <w:rsid w:val="00435B3D"/>
    <w:rsid w:val="00435D12"/>
    <w:rsid w:val="00435E7A"/>
    <w:rsid w:val="00435EE3"/>
    <w:rsid w:val="004363F1"/>
    <w:rsid w:val="00436C04"/>
    <w:rsid w:val="004374D0"/>
    <w:rsid w:val="00437BB5"/>
    <w:rsid w:val="00437E31"/>
    <w:rsid w:val="0044072F"/>
    <w:rsid w:val="00440A2D"/>
    <w:rsid w:val="00440D71"/>
    <w:rsid w:val="00441931"/>
    <w:rsid w:val="00441C60"/>
    <w:rsid w:val="00441CAB"/>
    <w:rsid w:val="00441E7C"/>
    <w:rsid w:val="004420C5"/>
    <w:rsid w:val="004421DB"/>
    <w:rsid w:val="00442A30"/>
    <w:rsid w:val="00442FE8"/>
    <w:rsid w:val="0044321B"/>
    <w:rsid w:val="00443857"/>
    <w:rsid w:val="0044387A"/>
    <w:rsid w:val="00443B6F"/>
    <w:rsid w:val="00443DB6"/>
    <w:rsid w:val="00443FB0"/>
    <w:rsid w:val="0044446F"/>
    <w:rsid w:val="00444BA3"/>
    <w:rsid w:val="00444BA8"/>
    <w:rsid w:val="00445629"/>
    <w:rsid w:val="00445729"/>
    <w:rsid w:val="0044584F"/>
    <w:rsid w:val="00445867"/>
    <w:rsid w:val="00445A31"/>
    <w:rsid w:val="00445A85"/>
    <w:rsid w:val="00445C26"/>
    <w:rsid w:val="00446B7B"/>
    <w:rsid w:val="00446F93"/>
    <w:rsid w:val="0044721C"/>
    <w:rsid w:val="0044744F"/>
    <w:rsid w:val="00447545"/>
    <w:rsid w:val="00447B72"/>
    <w:rsid w:val="0045041A"/>
    <w:rsid w:val="0045078B"/>
    <w:rsid w:val="004508A5"/>
    <w:rsid w:val="00450963"/>
    <w:rsid w:val="00450AE8"/>
    <w:rsid w:val="00450DF7"/>
    <w:rsid w:val="00451469"/>
    <w:rsid w:val="0045166B"/>
    <w:rsid w:val="0045185C"/>
    <w:rsid w:val="0045225D"/>
    <w:rsid w:val="004522E2"/>
    <w:rsid w:val="00452334"/>
    <w:rsid w:val="00452846"/>
    <w:rsid w:val="00452F37"/>
    <w:rsid w:val="004532DC"/>
    <w:rsid w:val="00453577"/>
    <w:rsid w:val="00453AA4"/>
    <w:rsid w:val="00453BAE"/>
    <w:rsid w:val="00453C95"/>
    <w:rsid w:val="00453D59"/>
    <w:rsid w:val="00453DDF"/>
    <w:rsid w:val="00454003"/>
    <w:rsid w:val="004542BF"/>
    <w:rsid w:val="00454493"/>
    <w:rsid w:val="004548CA"/>
    <w:rsid w:val="00454CBD"/>
    <w:rsid w:val="004551CF"/>
    <w:rsid w:val="004551FF"/>
    <w:rsid w:val="00455D0C"/>
    <w:rsid w:val="00456539"/>
    <w:rsid w:val="00456B6B"/>
    <w:rsid w:val="00456BDF"/>
    <w:rsid w:val="00456E09"/>
    <w:rsid w:val="00456EA3"/>
    <w:rsid w:val="00457C0B"/>
    <w:rsid w:val="00457E13"/>
    <w:rsid w:val="00457E30"/>
    <w:rsid w:val="00457FF3"/>
    <w:rsid w:val="00460239"/>
    <w:rsid w:val="00460664"/>
    <w:rsid w:val="00460E3C"/>
    <w:rsid w:val="004619BB"/>
    <w:rsid w:val="004619FC"/>
    <w:rsid w:val="00461F5B"/>
    <w:rsid w:val="0046235A"/>
    <w:rsid w:val="00462AD1"/>
    <w:rsid w:val="0046310F"/>
    <w:rsid w:val="004640AF"/>
    <w:rsid w:val="00464611"/>
    <w:rsid w:val="004648AC"/>
    <w:rsid w:val="00464FC2"/>
    <w:rsid w:val="0046505D"/>
    <w:rsid w:val="00465360"/>
    <w:rsid w:val="004654AF"/>
    <w:rsid w:val="004655B6"/>
    <w:rsid w:val="00465A21"/>
    <w:rsid w:val="00465C4D"/>
    <w:rsid w:val="00465CC9"/>
    <w:rsid w:val="00465D3F"/>
    <w:rsid w:val="00465DBA"/>
    <w:rsid w:val="0046621E"/>
    <w:rsid w:val="004663D8"/>
    <w:rsid w:val="00466593"/>
    <w:rsid w:val="004666F4"/>
    <w:rsid w:val="004668B8"/>
    <w:rsid w:val="00466AE6"/>
    <w:rsid w:val="00466D26"/>
    <w:rsid w:val="00466E72"/>
    <w:rsid w:val="00466ED5"/>
    <w:rsid w:val="004670F3"/>
    <w:rsid w:val="004672C2"/>
    <w:rsid w:val="00467872"/>
    <w:rsid w:val="004678D4"/>
    <w:rsid w:val="00467DE5"/>
    <w:rsid w:val="00470192"/>
    <w:rsid w:val="0047073F"/>
    <w:rsid w:val="00470A4A"/>
    <w:rsid w:val="00470C62"/>
    <w:rsid w:val="004710BC"/>
    <w:rsid w:val="0047190A"/>
    <w:rsid w:val="00471D02"/>
    <w:rsid w:val="00471E72"/>
    <w:rsid w:val="004725A2"/>
    <w:rsid w:val="00472D4D"/>
    <w:rsid w:val="0047300C"/>
    <w:rsid w:val="0047339D"/>
    <w:rsid w:val="00473BE1"/>
    <w:rsid w:val="00473FA2"/>
    <w:rsid w:val="00473FA5"/>
    <w:rsid w:val="004740BF"/>
    <w:rsid w:val="0047414C"/>
    <w:rsid w:val="00474259"/>
    <w:rsid w:val="0047426A"/>
    <w:rsid w:val="00474C18"/>
    <w:rsid w:val="00474C52"/>
    <w:rsid w:val="00474C9B"/>
    <w:rsid w:val="004750C3"/>
    <w:rsid w:val="004752F9"/>
    <w:rsid w:val="00475568"/>
    <w:rsid w:val="0047564A"/>
    <w:rsid w:val="00475719"/>
    <w:rsid w:val="00475741"/>
    <w:rsid w:val="00475C1A"/>
    <w:rsid w:val="0047604C"/>
    <w:rsid w:val="0047612B"/>
    <w:rsid w:val="0047622F"/>
    <w:rsid w:val="004773A0"/>
    <w:rsid w:val="00477AC7"/>
    <w:rsid w:val="00477E39"/>
    <w:rsid w:val="004807B5"/>
    <w:rsid w:val="004807C4"/>
    <w:rsid w:val="004809B5"/>
    <w:rsid w:val="00480DCA"/>
    <w:rsid w:val="00481814"/>
    <w:rsid w:val="00481D4B"/>
    <w:rsid w:val="0048211F"/>
    <w:rsid w:val="00482353"/>
    <w:rsid w:val="004825C0"/>
    <w:rsid w:val="0048266C"/>
    <w:rsid w:val="00482844"/>
    <w:rsid w:val="00482A71"/>
    <w:rsid w:val="0048304C"/>
    <w:rsid w:val="004830A2"/>
    <w:rsid w:val="00483848"/>
    <w:rsid w:val="004838CB"/>
    <w:rsid w:val="00483970"/>
    <w:rsid w:val="00483E40"/>
    <w:rsid w:val="00484299"/>
    <w:rsid w:val="004842D4"/>
    <w:rsid w:val="00484590"/>
    <w:rsid w:val="00484CC5"/>
    <w:rsid w:val="00484D08"/>
    <w:rsid w:val="00484DA4"/>
    <w:rsid w:val="00484F13"/>
    <w:rsid w:val="004857FE"/>
    <w:rsid w:val="004859E7"/>
    <w:rsid w:val="00485D66"/>
    <w:rsid w:val="004868A9"/>
    <w:rsid w:val="004879B2"/>
    <w:rsid w:val="00487CD9"/>
    <w:rsid w:val="00487DCD"/>
    <w:rsid w:val="00490377"/>
    <w:rsid w:val="00490791"/>
    <w:rsid w:val="00490A58"/>
    <w:rsid w:val="00490D50"/>
    <w:rsid w:val="00490FA1"/>
    <w:rsid w:val="0049158F"/>
    <w:rsid w:val="00491971"/>
    <w:rsid w:val="004919DD"/>
    <w:rsid w:val="004919EA"/>
    <w:rsid w:val="00492074"/>
    <w:rsid w:val="00492239"/>
    <w:rsid w:val="004923A6"/>
    <w:rsid w:val="0049261D"/>
    <w:rsid w:val="00492BDF"/>
    <w:rsid w:val="00492C53"/>
    <w:rsid w:val="00492F28"/>
    <w:rsid w:val="00493A6D"/>
    <w:rsid w:val="00493EAE"/>
    <w:rsid w:val="00494436"/>
    <w:rsid w:val="00494C30"/>
    <w:rsid w:val="00494C6C"/>
    <w:rsid w:val="00494D7E"/>
    <w:rsid w:val="00494F7C"/>
    <w:rsid w:val="0049520D"/>
    <w:rsid w:val="00495504"/>
    <w:rsid w:val="00495507"/>
    <w:rsid w:val="00495767"/>
    <w:rsid w:val="00495B99"/>
    <w:rsid w:val="00496116"/>
    <w:rsid w:val="0049627A"/>
    <w:rsid w:val="00496355"/>
    <w:rsid w:val="00496374"/>
    <w:rsid w:val="00496425"/>
    <w:rsid w:val="00496C60"/>
    <w:rsid w:val="00497264"/>
    <w:rsid w:val="004978AC"/>
    <w:rsid w:val="00497940"/>
    <w:rsid w:val="00497976"/>
    <w:rsid w:val="00497C6E"/>
    <w:rsid w:val="00497ED6"/>
    <w:rsid w:val="004A0680"/>
    <w:rsid w:val="004A06E9"/>
    <w:rsid w:val="004A087F"/>
    <w:rsid w:val="004A0FA4"/>
    <w:rsid w:val="004A1126"/>
    <w:rsid w:val="004A1163"/>
    <w:rsid w:val="004A136F"/>
    <w:rsid w:val="004A13B2"/>
    <w:rsid w:val="004A1B20"/>
    <w:rsid w:val="004A1D7D"/>
    <w:rsid w:val="004A1F05"/>
    <w:rsid w:val="004A1FAB"/>
    <w:rsid w:val="004A2288"/>
    <w:rsid w:val="004A23E5"/>
    <w:rsid w:val="004A26F7"/>
    <w:rsid w:val="004A2DF5"/>
    <w:rsid w:val="004A3367"/>
    <w:rsid w:val="004A348E"/>
    <w:rsid w:val="004A3E37"/>
    <w:rsid w:val="004A3E90"/>
    <w:rsid w:val="004A3F23"/>
    <w:rsid w:val="004A4728"/>
    <w:rsid w:val="004A4BA4"/>
    <w:rsid w:val="004A4BD0"/>
    <w:rsid w:val="004A4CF8"/>
    <w:rsid w:val="004A4D27"/>
    <w:rsid w:val="004A4EF3"/>
    <w:rsid w:val="004A4FE6"/>
    <w:rsid w:val="004A569F"/>
    <w:rsid w:val="004A5819"/>
    <w:rsid w:val="004A5A99"/>
    <w:rsid w:val="004A5AF8"/>
    <w:rsid w:val="004A5D30"/>
    <w:rsid w:val="004A6241"/>
    <w:rsid w:val="004A6DFC"/>
    <w:rsid w:val="004A6E48"/>
    <w:rsid w:val="004A6EFA"/>
    <w:rsid w:val="004A741B"/>
    <w:rsid w:val="004A790E"/>
    <w:rsid w:val="004A793C"/>
    <w:rsid w:val="004A7B98"/>
    <w:rsid w:val="004A7E49"/>
    <w:rsid w:val="004A7FB9"/>
    <w:rsid w:val="004B06E6"/>
    <w:rsid w:val="004B0722"/>
    <w:rsid w:val="004B07BE"/>
    <w:rsid w:val="004B08AD"/>
    <w:rsid w:val="004B0B76"/>
    <w:rsid w:val="004B0BD4"/>
    <w:rsid w:val="004B0CA9"/>
    <w:rsid w:val="004B0F5D"/>
    <w:rsid w:val="004B1044"/>
    <w:rsid w:val="004B1D41"/>
    <w:rsid w:val="004B1F7D"/>
    <w:rsid w:val="004B242A"/>
    <w:rsid w:val="004B2453"/>
    <w:rsid w:val="004B2BA9"/>
    <w:rsid w:val="004B2C57"/>
    <w:rsid w:val="004B3003"/>
    <w:rsid w:val="004B31E8"/>
    <w:rsid w:val="004B3562"/>
    <w:rsid w:val="004B3799"/>
    <w:rsid w:val="004B38F0"/>
    <w:rsid w:val="004B3A9D"/>
    <w:rsid w:val="004B3C00"/>
    <w:rsid w:val="004B3D90"/>
    <w:rsid w:val="004B4076"/>
    <w:rsid w:val="004B4548"/>
    <w:rsid w:val="004B4660"/>
    <w:rsid w:val="004B4A37"/>
    <w:rsid w:val="004B4C0E"/>
    <w:rsid w:val="004B4D93"/>
    <w:rsid w:val="004B4EE2"/>
    <w:rsid w:val="004B5182"/>
    <w:rsid w:val="004B51A8"/>
    <w:rsid w:val="004B52BD"/>
    <w:rsid w:val="004B52E5"/>
    <w:rsid w:val="004B56E0"/>
    <w:rsid w:val="004B6226"/>
    <w:rsid w:val="004B62CC"/>
    <w:rsid w:val="004B6366"/>
    <w:rsid w:val="004B6D88"/>
    <w:rsid w:val="004B73ED"/>
    <w:rsid w:val="004B7451"/>
    <w:rsid w:val="004B7483"/>
    <w:rsid w:val="004B7612"/>
    <w:rsid w:val="004B7DB5"/>
    <w:rsid w:val="004B7E63"/>
    <w:rsid w:val="004C0392"/>
    <w:rsid w:val="004C050C"/>
    <w:rsid w:val="004C0617"/>
    <w:rsid w:val="004C066A"/>
    <w:rsid w:val="004C1702"/>
    <w:rsid w:val="004C1930"/>
    <w:rsid w:val="004C1F1F"/>
    <w:rsid w:val="004C231F"/>
    <w:rsid w:val="004C2621"/>
    <w:rsid w:val="004C26DA"/>
    <w:rsid w:val="004C282C"/>
    <w:rsid w:val="004C28A7"/>
    <w:rsid w:val="004C297B"/>
    <w:rsid w:val="004C2985"/>
    <w:rsid w:val="004C2B9B"/>
    <w:rsid w:val="004C2D9E"/>
    <w:rsid w:val="004C35E7"/>
    <w:rsid w:val="004C372E"/>
    <w:rsid w:val="004C3E7E"/>
    <w:rsid w:val="004C42EC"/>
    <w:rsid w:val="004C4465"/>
    <w:rsid w:val="004C460B"/>
    <w:rsid w:val="004C492F"/>
    <w:rsid w:val="004C56B8"/>
    <w:rsid w:val="004C5848"/>
    <w:rsid w:val="004C599F"/>
    <w:rsid w:val="004C5ED3"/>
    <w:rsid w:val="004C6179"/>
    <w:rsid w:val="004C63BA"/>
    <w:rsid w:val="004C68F2"/>
    <w:rsid w:val="004C72D5"/>
    <w:rsid w:val="004C73EC"/>
    <w:rsid w:val="004C7421"/>
    <w:rsid w:val="004C7983"/>
    <w:rsid w:val="004C7ADD"/>
    <w:rsid w:val="004C7D32"/>
    <w:rsid w:val="004D016A"/>
    <w:rsid w:val="004D017E"/>
    <w:rsid w:val="004D02C4"/>
    <w:rsid w:val="004D0354"/>
    <w:rsid w:val="004D0617"/>
    <w:rsid w:val="004D068C"/>
    <w:rsid w:val="004D0C44"/>
    <w:rsid w:val="004D0F51"/>
    <w:rsid w:val="004D0F8D"/>
    <w:rsid w:val="004D1006"/>
    <w:rsid w:val="004D11D3"/>
    <w:rsid w:val="004D1835"/>
    <w:rsid w:val="004D1D41"/>
    <w:rsid w:val="004D2012"/>
    <w:rsid w:val="004D20D0"/>
    <w:rsid w:val="004D2C9E"/>
    <w:rsid w:val="004D2CD9"/>
    <w:rsid w:val="004D3550"/>
    <w:rsid w:val="004D37EB"/>
    <w:rsid w:val="004D3F84"/>
    <w:rsid w:val="004D4197"/>
    <w:rsid w:val="004D427A"/>
    <w:rsid w:val="004D45DF"/>
    <w:rsid w:val="004D48B5"/>
    <w:rsid w:val="004D4B24"/>
    <w:rsid w:val="004D566F"/>
    <w:rsid w:val="004D5989"/>
    <w:rsid w:val="004D5B43"/>
    <w:rsid w:val="004D5B52"/>
    <w:rsid w:val="004D5F02"/>
    <w:rsid w:val="004D6115"/>
    <w:rsid w:val="004D6880"/>
    <w:rsid w:val="004D6A7F"/>
    <w:rsid w:val="004D6F95"/>
    <w:rsid w:val="004D7098"/>
    <w:rsid w:val="004D70E6"/>
    <w:rsid w:val="004D7188"/>
    <w:rsid w:val="004D7304"/>
    <w:rsid w:val="004D7584"/>
    <w:rsid w:val="004D75EA"/>
    <w:rsid w:val="004D76FA"/>
    <w:rsid w:val="004D7A09"/>
    <w:rsid w:val="004D7FCA"/>
    <w:rsid w:val="004E0062"/>
    <w:rsid w:val="004E029D"/>
    <w:rsid w:val="004E0309"/>
    <w:rsid w:val="004E040C"/>
    <w:rsid w:val="004E05E8"/>
    <w:rsid w:val="004E0C0B"/>
    <w:rsid w:val="004E0D58"/>
    <w:rsid w:val="004E0EBB"/>
    <w:rsid w:val="004E0F4E"/>
    <w:rsid w:val="004E0F86"/>
    <w:rsid w:val="004E179A"/>
    <w:rsid w:val="004E19C2"/>
    <w:rsid w:val="004E2125"/>
    <w:rsid w:val="004E22F0"/>
    <w:rsid w:val="004E236B"/>
    <w:rsid w:val="004E2544"/>
    <w:rsid w:val="004E43CE"/>
    <w:rsid w:val="004E44C4"/>
    <w:rsid w:val="004E49E3"/>
    <w:rsid w:val="004E517A"/>
    <w:rsid w:val="004E540C"/>
    <w:rsid w:val="004E58F8"/>
    <w:rsid w:val="004E593C"/>
    <w:rsid w:val="004E5A10"/>
    <w:rsid w:val="004E5B08"/>
    <w:rsid w:val="004E5C05"/>
    <w:rsid w:val="004E5C61"/>
    <w:rsid w:val="004E5CA9"/>
    <w:rsid w:val="004E5F2F"/>
    <w:rsid w:val="004E63CA"/>
    <w:rsid w:val="004E6426"/>
    <w:rsid w:val="004E64D8"/>
    <w:rsid w:val="004E66DF"/>
    <w:rsid w:val="004E6ACD"/>
    <w:rsid w:val="004E6FBE"/>
    <w:rsid w:val="004E7B02"/>
    <w:rsid w:val="004E7E4D"/>
    <w:rsid w:val="004E7FE1"/>
    <w:rsid w:val="004F0033"/>
    <w:rsid w:val="004F010E"/>
    <w:rsid w:val="004F06E4"/>
    <w:rsid w:val="004F0951"/>
    <w:rsid w:val="004F0DCF"/>
    <w:rsid w:val="004F0E07"/>
    <w:rsid w:val="004F1058"/>
    <w:rsid w:val="004F15B3"/>
    <w:rsid w:val="004F1604"/>
    <w:rsid w:val="004F167E"/>
    <w:rsid w:val="004F1C22"/>
    <w:rsid w:val="004F1D10"/>
    <w:rsid w:val="004F1E91"/>
    <w:rsid w:val="004F1F05"/>
    <w:rsid w:val="004F1FD6"/>
    <w:rsid w:val="004F2358"/>
    <w:rsid w:val="004F23BA"/>
    <w:rsid w:val="004F2F04"/>
    <w:rsid w:val="004F30DE"/>
    <w:rsid w:val="004F3570"/>
    <w:rsid w:val="004F3688"/>
    <w:rsid w:val="004F3843"/>
    <w:rsid w:val="004F38BC"/>
    <w:rsid w:val="004F398D"/>
    <w:rsid w:val="004F398E"/>
    <w:rsid w:val="004F3A88"/>
    <w:rsid w:val="004F3AAE"/>
    <w:rsid w:val="004F3EA0"/>
    <w:rsid w:val="004F42E4"/>
    <w:rsid w:val="004F4415"/>
    <w:rsid w:val="004F4793"/>
    <w:rsid w:val="004F4A55"/>
    <w:rsid w:val="004F4A9F"/>
    <w:rsid w:val="004F4BDE"/>
    <w:rsid w:val="004F4E53"/>
    <w:rsid w:val="004F5B01"/>
    <w:rsid w:val="004F6163"/>
    <w:rsid w:val="004F660E"/>
    <w:rsid w:val="004F68A1"/>
    <w:rsid w:val="004F75A4"/>
    <w:rsid w:val="004F7840"/>
    <w:rsid w:val="004F7AE2"/>
    <w:rsid w:val="004F7CAC"/>
    <w:rsid w:val="004F7E8A"/>
    <w:rsid w:val="00500102"/>
    <w:rsid w:val="0050081C"/>
    <w:rsid w:val="00500E95"/>
    <w:rsid w:val="005011CD"/>
    <w:rsid w:val="005016F9"/>
    <w:rsid w:val="005018B2"/>
    <w:rsid w:val="00501C53"/>
    <w:rsid w:val="00501DFB"/>
    <w:rsid w:val="00502F39"/>
    <w:rsid w:val="00502F97"/>
    <w:rsid w:val="00503052"/>
    <w:rsid w:val="0050316B"/>
    <w:rsid w:val="00503179"/>
    <w:rsid w:val="005035FF"/>
    <w:rsid w:val="00503714"/>
    <w:rsid w:val="00503C85"/>
    <w:rsid w:val="00504189"/>
    <w:rsid w:val="005046CF"/>
    <w:rsid w:val="005047DF"/>
    <w:rsid w:val="00505004"/>
    <w:rsid w:val="0050564E"/>
    <w:rsid w:val="00505846"/>
    <w:rsid w:val="005059DC"/>
    <w:rsid w:val="00505A34"/>
    <w:rsid w:val="00505C26"/>
    <w:rsid w:val="00506204"/>
    <w:rsid w:val="0050623F"/>
    <w:rsid w:val="00506493"/>
    <w:rsid w:val="00506689"/>
    <w:rsid w:val="00506743"/>
    <w:rsid w:val="00506800"/>
    <w:rsid w:val="0050691E"/>
    <w:rsid w:val="00506B45"/>
    <w:rsid w:val="00506C7A"/>
    <w:rsid w:val="005070D4"/>
    <w:rsid w:val="00507713"/>
    <w:rsid w:val="00507866"/>
    <w:rsid w:val="0050795E"/>
    <w:rsid w:val="00507A6B"/>
    <w:rsid w:val="00507EE0"/>
    <w:rsid w:val="00510047"/>
    <w:rsid w:val="005102AC"/>
    <w:rsid w:val="00510DA6"/>
    <w:rsid w:val="00510F2B"/>
    <w:rsid w:val="005111C0"/>
    <w:rsid w:val="0051131C"/>
    <w:rsid w:val="00511320"/>
    <w:rsid w:val="005113C8"/>
    <w:rsid w:val="00511E1E"/>
    <w:rsid w:val="005123A1"/>
    <w:rsid w:val="005126FA"/>
    <w:rsid w:val="0051272B"/>
    <w:rsid w:val="00512B52"/>
    <w:rsid w:val="00512BFA"/>
    <w:rsid w:val="0051311A"/>
    <w:rsid w:val="00513154"/>
    <w:rsid w:val="00513975"/>
    <w:rsid w:val="00513AE9"/>
    <w:rsid w:val="00513E02"/>
    <w:rsid w:val="005143E7"/>
    <w:rsid w:val="005143F9"/>
    <w:rsid w:val="00514716"/>
    <w:rsid w:val="0051478E"/>
    <w:rsid w:val="0051480E"/>
    <w:rsid w:val="005148D2"/>
    <w:rsid w:val="00514A63"/>
    <w:rsid w:val="00514ACB"/>
    <w:rsid w:val="00514DA6"/>
    <w:rsid w:val="005152C9"/>
    <w:rsid w:val="00515414"/>
    <w:rsid w:val="005154EC"/>
    <w:rsid w:val="0051551C"/>
    <w:rsid w:val="00515A65"/>
    <w:rsid w:val="00515B3D"/>
    <w:rsid w:val="00515DE0"/>
    <w:rsid w:val="00516529"/>
    <w:rsid w:val="00516566"/>
    <w:rsid w:val="005165DB"/>
    <w:rsid w:val="00516774"/>
    <w:rsid w:val="00516927"/>
    <w:rsid w:val="005169A9"/>
    <w:rsid w:val="00516C69"/>
    <w:rsid w:val="00516F20"/>
    <w:rsid w:val="00517057"/>
    <w:rsid w:val="0051719F"/>
    <w:rsid w:val="0051731A"/>
    <w:rsid w:val="00517338"/>
    <w:rsid w:val="00517675"/>
    <w:rsid w:val="00517728"/>
    <w:rsid w:val="005177C1"/>
    <w:rsid w:val="005179F0"/>
    <w:rsid w:val="00517C44"/>
    <w:rsid w:val="00520676"/>
    <w:rsid w:val="0052079F"/>
    <w:rsid w:val="005209C9"/>
    <w:rsid w:val="00520B78"/>
    <w:rsid w:val="00520C90"/>
    <w:rsid w:val="00520E35"/>
    <w:rsid w:val="00520F2C"/>
    <w:rsid w:val="00520F54"/>
    <w:rsid w:val="0052124B"/>
    <w:rsid w:val="005216EF"/>
    <w:rsid w:val="005218C3"/>
    <w:rsid w:val="00521B9F"/>
    <w:rsid w:val="00521BC8"/>
    <w:rsid w:val="00522360"/>
    <w:rsid w:val="00522691"/>
    <w:rsid w:val="00522E1B"/>
    <w:rsid w:val="0052324C"/>
    <w:rsid w:val="0052342B"/>
    <w:rsid w:val="00523619"/>
    <w:rsid w:val="00523784"/>
    <w:rsid w:val="00523A19"/>
    <w:rsid w:val="00523C00"/>
    <w:rsid w:val="00523E7E"/>
    <w:rsid w:val="0052463D"/>
    <w:rsid w:val="00524687"/>
    <w:rsid w:val="005248DD"/>
    <w:rsid w:val="00524AA0"/>
    <w:rsid w:val="00524E47"/>
    <w:rsid w:val="005254E5"/>
    <w:rsid w:val="00525512"/>
    <w:rsid w:val="005255E4"/>
    <w:rsid w:val="0052562A"/>
    <w:rsid w:val="005256F4"/>
    <w:rsid w:val="00525CA5"/>
    <w:rsid w:val="00525F00"/>
    <w:rsid w:val="00525F9D"/>
    <w:rsid w:val="005260DD"/>
    <w:rsid w:val="0052616C"/>
    <w:rsid w:val="005261F1"/>
    <w:rsid w:val="0052657D"/>
    <w:rsid w:val="00526CAD"/>
    <w:rsid w:val="00526D5D"/>
    <w:rsid w:val="0052719A"/>
    <w:rsid w:val="00527531"/>
    <w:rsid w:val="00527595"/>
    <w:rsid w:val="00527EC0"/>
    <w:rsid w:val="00530250"/>
    <w:rsid w:val="00530325"/>
    <w:rsid w:val="00530DE8"/>
    <w:rsid w:val="00531777"/>
    <w:rsid w:val="005318B4"/>
    <w:rsid w:val="00531900"/>
    <w:rsid w:val="00531C11"/>
    <w:rsid w:val="00531D09"/>
    <w:rsid w:val="00531E7E"/>
    <w:rsid w:val="00531FD1"/>
    <w:rsid w:val="00532288"/>
    <w:rsid w:val="00532649"/>
    <w:rsid w:val="0053281A"/>
    <w:rsid w:val="00532A67"/>
    <w:rsid w:val="00532D3E"/>
    <w:rsid w:val="00532EF4"/>
    <w:rsid w:val="00532F0E"/>
    <w:rsid w:val="00533169"/>
    <w:rsid w:val="00534036"/>
    <w:rsid w:val="00534061"/>
    <w:rsid w:val="00534633"/>
    <w:rsid w:val="00534712"/>
    <w:rsid w:val="005347F1"/>
    <w:rsid w:val="00534F0F"/>
    <w:rsid w:val="00534FB4"/>
    <w:rsid w:val="005357B9"/>
    <w:rsid w:val="005359C4"/>
    <w:rsid w:val="00535AB2"/>
    <w:rsid w:val="00535C74"/>
    <w:rsid w:val="00535C9D"/>
    <w:rsid w:val="005361AB"/>
    <w:rsid w:val="00536D2A"/>
    <w:rsid w:val="0053743E"/>
    <w:rsid w:val="00537537"/>
    <w:rsid w:val="00537B71"/>
    <w:rsid w:val="00537BC2"/>
    <w:rsid w:val="00537C2B"/>
    <w:rsid w:val="00537F5C"/>
    <w:rsid w:val="005403FD"/>
    <w:rsid w:val="0054058C"/>
    <w:rsid w:val="005406AA"/>
    <w:rsid w:val="00540730"/>
    <w:rsid w:val="00540D42"/>
    <w:rsid w:val="0054113B"/>
    <w:rsid w:val="00541768"/>
    <w:rsid w:val="00541AA8"/>
    <w:rsid w:val="00541AF1"/>
    <w:rsid w:val="00541BF3"/>
    <w:rsid w:val="00541D43"/>
    <w:rsid w:val="00542068"/>
    <w:rsid w:val="0054228D"/>
    <w:rsid w:val="00542B03"/>
    <w:rsid w:val="00542CA1"/>
    <w:rsid w:val="00542DE2"/>
    <w:rsid w:val="00542F46"/>
    <w:rsid w:val="00543916"/>
    <w:rsid w:val="00543AF9"/>
    <w:rsid w:val="00543BBE"/>
    <w:rsid w:val="005441EB"/>
    <w:rsid w:val="005449F4"/>
    <w:rsid w:val="00544BA7"/>
    <w:rsid w:val="00544BF4"/>
    <w:rsid w:val="00545025"/>
    <w:rsid w:val="005452E1"/>
    <w:rsid w:val="00545529"/>
    <w:rsid w:val="00545697"/>
    <w:rsid w:val="00545D33"/>
    <w:rsid w:val="00545F5C"/>
    <w:rsid w:val="00546138"/>
    <w:rsid w:val="00546B90"/>
    <w:rsid w:val="00547458"/>
    <w:rsid w:val="005477DE"/>
    <w:rsid w:val="00547922"/>
    <w:rsid w:val="00550431"/>
    <w:rsid w:val="00550779"/>
    <w:rsid w:val="00550AEF"/>
    <w:rsid w:val="00550D26"/>
    <w:rsid w:val="005512EC"/>
    <w:rsid w:val="00551999"/>
    <w:rsid w:val="005519B0"/>
    <w:rsid w:val="00551A96"/>
    <w:rsid w:val="00551DA4"/>
    <w:rsid w:val="0055265B"/>
    <w:rsid w:val="00552BC5"/>
    <w:rsid w:val="00552BEA"/>
    <w:rsid w:val="0055325C"/>
    <w:rsid w:val="00553468"/>
    <w:rsid w:val="005535BC"/>
    <w:rsid w:val="00553E7E"/>
    <w:rsid w:val="005540BD"/>
    <w:rsid w:val="00554453"/>
    <w:rsid w:val="005548C7"/>
    <w:rsid w:val="00554A11"/>
    <w:rsid w:val="00554A56"/>
    <w:rsid w:val="0055532F"/>
    <w:rsid w:val="0055567A"/>
    <w:rsid w:val="0055582D"/>
    <w:rsid w:val="005558A9"/>
    <w:rsid w:val="00555976"/>
    <w:rsid w:val="00555AB8"/>
    <w:rsid w:val="00555C7C"/>
    <w:rsid w:val="00555CCC"/>
    <w:rsid w:val="00555D54"/>
    <w:rsid w:val="00555FBA"/>
    <w:rsid w:val="005565E9"/>
    <w:rsid w:val="0055697F"/>
    <w:rsid w:val="005569C3"/>
    <w:rsid w:val="00556E7A"/>
    <w:rsid w:val="00557128"/>
    <w:rsid w:val="0055749A"/>
    <w:rsid w:val="00557D0B"/>
    <w:rsid w:val="00557FE1"/>
    <w:rsid w:val="0056021C"/>
    <w:rsid w:val="005603D5"/>
    <w:rsid w:val="00560874"/>
    <w:rsid w:val="00560A4C"/>
    <w:rsid w:val="00560A91"/>
    <w:rsid w:val="00560C8D"/>
    <w:rsid w:val="00561040"/>
    <w:rsid w:val="0056112B"/>
    <w:rsid w:val="00561971"/>
    <w:rsid w:val="00561AF6"/>
    <w:rsid w:val="00561BB8"/>
    <w:rsid w:val="00561CFC"/>
    <w:rsid w:val="00561D24"/>
    <w:rsid w:val="00561E09"/>
    <w:rsid w:val="00561F12"/>
    <w:rsid w:val="005620F9"/>
    <w:rsid w:val="005621B1"/>
    <w:rsid w:val="00562A10"/>
    <w:rsid w:val="00562BD6"/>
    <w:rsid w:val="00562CD4"/>
    <w:rsid w:val="00562CE0"/>
    <w:rsid w:val="00562E65"/>
    <w:rsid w:val="00563161"/>
    <w:rsid w:val="005633E7"/>
    <w:rsid w:val="00563B8B"/>
    <w:rsid w:val="00564124"/>
    <w:rsid w:val="00564325"/>
    <w:rsid w:val="0056482E"/>
    <w:rsid w:val="005648A8"/>
    <w:rsid w:val="005649C9"/>
    <w:rsid w:val="00564C9C"/>
    <w:rsid w:val="00564F96"/>
    <w:rsid w:val="00565396"/>
    <w:rsid w:val="00565A91"/>
    <w:rsid w:val="00565BA4"/>
    <w:rsid w:val="00565C97"/>
    <w:rsid w:val="00565DA4"/>
    <w:rsid w:val="00565DEC"/>
    <w:rsid w:val="005663AD"/>
    <w:rsid w:val="00566863"/>
    <w:rsid w:val="00566D66"/>
    <w:rsid w:val="00566F3D"/>
    <w:rsid w:val="005670A7"/>
    <w:rsid w:val="00567207"/>
    <w:rsid w:val="0056751D"/>
    <w:rsid w:val="00567942"/>
    <w:rsid w:val="005679BA"/>
    <w:rsid w:val="00567F0B"/>
    <w:rsid w:val="00570286"/>
    <w:rsid w:val="00570456"/>
    <w:rsid w:val="005708C0"/>
    <w:rsid w:val="005708CB"/>
    <w:rsid w:val="0057101F"/>
    <w:rsid w:val="0057127E"/>
    <w:rsid w:val="005712BA"/>
    <w:rsid w:val="005714E0"/>
    <w:rsid w:val="00571DC1"/>
    <w:rsid w:val="00571F26"/>
    <w:rsid w:val="005724F8"/>
    <w:rsid w:val="00572A9D"/>
    <w:rsid w:val="00572B17"/>
    <w:rsid w:val="00572F04"/>
    <w:rsid w:val="00572F17"/>
    <w:rsid w:val="005739C1"/>
    <w:rsid w:val="00573BB1"/>
    <w:rsid w:val="00573C44"/>
    <w:rsid w:val="00573DC4"/>
    <w:rsid w:val="00573F9B"/>
    <w:rsid w:val="00574254"/>
    <w:rsid w:val="005743C7"/>
    <w:rsid w:val="0057440B"/>
    <w:rsid w:val="00574511"/>
    <w:rsid w:val="00574594"/>
    <w:rsid w:val="00575424"/>
    <w:rsid w:val="00575720"/>
    <w:rsid w:val="0057591B"/>
    <w:rsid w:val="00575986"/>
    <w:rsid w:val="005761E1"/>
    <w:rsid w:val="005765B0"/>
    <w:rsid w:val="00576708"/>
    <w:rsid w:val="005767C0"/>
    <w:rsid w:val="005767D3"/>
    <w:rsid w:val="00576806"/>
    <w:rsid w:val="00576846"/>
    <w:rsid w:val="0057686E"/>
    <w:rsid w:val="0057694C"/>
    <w:rsid w:val="00576ADE"/>
    <w:rsid w:val="00576B26"/>
    <w:rsid w:val="00576DF6"/>
    <w:rsid w:val="0057765D"/>
    <w:rsid w:val="00577B58"/>
    <w:rsid w:val="00577CFD"/>
    <w:rsid w:val="00577DEF"/>
    <w:rsid w:val="00577FBE"/>
    <w:rsid w:val="00580192"/>
    <w:rsid w:val="005805A3"/>
    <w:rsid w:val="005809E3"/>
    <w:rsid w:val="00580DFB"/>
    <w:rsid w:val="005810D7"/>
    <w:rsid w:val="00581309"/>
    <w:rsid w:val="005817EC"/>
    <w:rsid w:val="0058212E"/>
    <w:rsid w:val="005826D2"/>
    <w:rsid w:val="00582AE7"/>
    <w:rsid w:val="005833D1"/>
    <w:rsid w:val="005837BB"/>
    <w:rsid w:val="00583D89"/>
    <w:rsid w:val="00584122"/>
    <w:rsid w:val="0058436A"/>
    <w:rsid w:val="005845CC"/>
    <w:rsid w:val="005850E4"/>
    <w:rsid w:val="005857AE"/>
    <w:rsid w:val="005857C6"/>
    <w:rsid w:val="00585A9B"/>
    <w:rsid w:val="00585E5A"/>
    <w:rsid w:val="0058604F"/>
    <w:rsid w:val="00586899"/>
    <w:rsid w:val="00586983"/>
    <w:rsid w:val="00586C9A"/>
    <w:rsid w:val="00586E5F"/>
    <w:rsid w:val="00587023"/>
    <w:rsid w:val="0058753F"/>
    <w:rsid w:val="00587786"/>
    <w:rsid w:val="00587E99"/>
    <w:rsid w:val="00590071"/>
    <w:rsid w:val="00590673"/>
    <w:rsid w:val="00590B50"/>
    <w:rsid w:val="00590E64"/>
    <w:rsid w:val="00591D58"/>
    <w:rsid w:val="00591FC9"/>
    <w:rsid w:val="0059245F"/>
    <w:rsid w:val="005924A7"/>
    <w:rsid w:val="005926AD"/>
    <w:rsid w:val="0059279A"/>
    <w:rsid w:val="0059290E"/>
    <w:rsid w:val="00592A68"/>
    <w:rsid w:val="00592F50"/>
    <w:rsid w:val="00593285"/>
    <w:rsid w:val="00593422"/>
    <w:rsid w:val="00593693"/>
    <w:rsid w:val="005936E3"/>
    <w:rsid w:val="00593A46"/>
    <w:rsid w:val="00593CC7"/>
    <w:rsid w:val="0059467B"/>
    <w:rsid w:val="005948F6"/>
    <w:rsid w:val="00594A72"/>
    <w:rsid w:val="00594C1E"/>
    <w:rsid w:val="00594C64"/>
    <w:rsid w:val="005955C8"/>
    <w:rsid w:val="00595C6D"/>
    <w:rsid w:val="00595DED"/>
    <w:rsid w:val="00595E99"/>
    <w:rsid w:val="005960B6"/>
    <w:rsid w:val="0059627E"/>
    <w:rsid w:val="00596401"/>
    <w:rsid w:val="00596610"/>
    <w:rsid w:val="00596A77"/>
    <w:rsid w:val="00596DBC"/>
    <w:rsid w:val="0059723F"/>
    <w:rsid w:val="00597972"/>
    <w:rsid w:val="005A0166"/>
    <w:rsid w:val="005A021E"/>
    <w:rsid w:val="005A03C5"/>
    <w:rsid w:val="005A068F"/>
    <w:rsid w:val="005A0861"/>
    <w:rsid w:val="005A0965"/>
    <w:rsid w:val="005A0C57"/>
    <w:rsid w:val="005A0F96"/>
    <w:rsid w:val="005A1061"/>
    <w:rsid w:val="005A1865"/>
    <w:rsid w:val="005A1C88"/>
    <w:rsid w:val="005A1C8A"/>
    <w:rsid w:val="005A1E58"/>
    <w:rsid w:val="005A22D8"/>
    <w:rsid w:val="005A262C"/>
    <w:rsid w:val="005A2649"/>
    <w:rsid w:val="005A28ED"/>
    <w:rsid w:val="005A2EFF"/>
    <w:rsid w:val="005A3095"/>
    <w:rsid w:val="005A312B"/>
    <w:rsid w:val="005A32D6"/>
    <w:rsid w:val="005A39F9"/>
    <w:rsid w:val="005A3B81"/>
    <w:rsid w:val="005A431B"/>
    <w:rsid w:val="005A43BF"/>
    <w:rsid w:val="005A4BF4"/>
    <w:rsid w:val="005A4C59"/>
    <w:rsid w:val="005A4D44"/>
    <w:rsid w:val="005A4FE0"/>
    <w:rsid w:val="005A4FF9"/>
    <w:rsid w:val="005A539D"/>
    <w:rsid w:val="005A55A3"/>
    <w:rsid w:val="005A5747"/>
    <w:rsid w:val="005A5851"/>
    <w:rsid w:val="005A5AD4"/>
    <w:rsid w:val="005A5E98"/>
    <w:rsid w:val="005A6565"/>
    <w:rsid w:val="005A6A09"/>
    <w:rsid w:val="005A6AE9"/>
    <w:rsid w:val="005A6B32"/>
    <w:rsid w:val="005A6B97"/>
    <w:rsid w:val="005A6BAA"/>
    <w:rsid w:val="005A7001"/>
    <w:rsid w:val="005A729D"/>
    <w:rsid w:val="005B077E"/>
    <w:rsid w:val="005B0854"/>
    <w:rsid w:val="005B0951"/>
    <w:rsid w:val="005B0E66"/>
    <w:rsid w:val="005B13DF"/>
    <w:rsid w:val="005B195E"/>
    <w:rsid w:val="005B28E9"/>
    <w:rsid w:val="005B2B3C"/>
    <w:rsid w:val="005B2C4E"/>
    <w:rsid w:val="005B2EA4"/>
    <w:rsid w:val="005B31E6"/>
    <w:rsid w:val="005B3A56"/>
    <w:rsid w:val="005B3AE7"/>
    <w:rsid w:val="005B3D66"/>
    <w:rsid w:val="005B3E86"/>
    <w:rsid w:val="005B40A0"/>
    <w:rsid w:val="005B4293"/>
    <w:rsid w:val="005B429E"/>
    <w:rsid w:val="005B4521"/>
    <w:rsid w:val="005B5053"/>
    <w:rsid w:val="005B55B1"/>
    <w:rsid w:val="005B55FD"/>
    <w:rsid w:val="005B5783"/>
    <w:rsid w:val="005B5837"/>
    <w:rsid w:val="005B5E84"/>
    <w:rsid w:val="005B6477"/>
    <w:rsid w:val="005B6A06"/>
    <w:rsid w:val="005B6C0E"/>
    <w:rsid w:val="005B7012"/>
    <w:rsid w:val="005B7A11"/>
    <w:rsid w:val="005B7D7A"/>
    <w:rsid w:val="005C0771"/>
    <w:rsid w:val="005C1A2C"/>
    <w:rsid w:val="005C1B46"/>
    <w:rsid w:val="005C1D29"/>
    <w:rsid w:val="005C1F2B"/>
    <w:rsid w:val="005C1FE8"/>
    <w:rsid w:val="005C274C"/>
    <w:rsid w:val="005C2996"/>
    <w:rsid w:val="005C2EA9"/>
    <w:rsid w:val="005C332E"/>
    <w:rsid w:val="005C37AA"/>
    <w:rsid w:val="005C383C"/>
    <w:rsid w:val="005C3AF5"/>
    <w:rsid w:val="005C3BBC"/>
    <w:rsid w:val="005C3BD2"/>
    <w:rsid w:val="005C3DBF"/>
    <w:rsid w:val="005C3F12"/>
    <w:rsid w:val="005C3F2F"/>
    <w:rsid w:val="005C46DB"/>
    <w:rsid w:val="005C46E0"/>
    <w:rsid w:val="005C55F5"/>
    <w:rsid w:val="005C56B9"/>
    <w:rsid w:val="005C588D"/>
    <w:rsid w:val="005C61B5"/>
    <w:rsid w:val="005C6285"/>
    <w:rsid w:val="005C6B42"/>
    <w:rsid w:val="005C6C3E"/>
    <w:rsid w:val="005C6EE7"/>
    <w:rsid w:val="005C7374"/>
    <w:rsid w:val="005C73F7"/>
    <w:rsid w:val="005C772C"/>
    <w:rsid w:val="005C782E"/>
    <w:rsid w:val="005D00BE"/>
    <w:rsid w:val="005D0793"/>
    <w:rsid w:val="005D09D1"/>
    <w:rsid w:val="005D0B57"/>
    <w:rsid w:val="005D0C24"/>
    <w:rsid w:val="005D0E3C"/>
    <w:rsid w:val="005D106C"/>
    <w:rsid w:val="005D1577"/>
    <w:rsid w:val="005D17F6"/>
    <w:rsid w:val="005D1A06"/>
    <w:rsid w:val="005D1BA1"/>
    <w:rsid w:val="005D22E2"/>
    <w:rsid w:val="005D22EA"/>
    <w:rsid w:val="005D2E8B"/>
    <w:rsid w:val="005D3E84"/>
    <w:rsid w:val="005D45A2"/>
    <w:rsid w:val="005D4806"/>
    <w:rsid w:val="005D4F24"/>
    <w:rsid w:val="005D5839"/>
    <w:rsid w:val="005D5A65"/>
    <w:rsid w:val="005D5BA1"/>
    <w:rsid w:val="005D5CC5"/>
    <w:rsid w:val="005D622E"/>
    <w:rsid w:val="005D62DD"/>
    <w:rsid w:val="005D6CBE"/>
    <w:rsid w:val="005D6DF7"/>
    <w:rsid w:val="005D6EB5"/>
    <w:rsid w:val="005D7977"/>
    <w:rsid w:val="005D7C03"/>
    <w:rsid w:val="005D7C58"/>
    <w:rsid w:val="005D7D05"/>
    <w:rsid w:val="005D7EDF"/>
    <w:rsid w:val="005E0457"/>
    <w:rsid w:val="005E1305"/>
    <w:rsid w:val="005E1762"/>
    <w:rsid w:val="005E19A5"/>
    <w:rsid w:val="005E1C02"/>
    <w:rsid w:val="005E28E4"/>
    <w:rsid w:val="005E2CF0"/>
    <w:rsid w:val="005E2CF3"/>
    <w:rsid w:val="005E2F26"/>
    <w:rsid w:val="005E32EE"/>
    <w:rsid w:val="005E3A2C"/>
    <w:rsid w:val="005E3A60"/>
    <w:rsid w:val="005E3B18"/>
    <w:rsid w:val="005E3BC7"/>
    <w:rsid w:val="005E3C26"/>
    <w:rsid w:val="005E3C3B"/>
    <w:rsid w:val="005E4076"/>
    <w:rsid w:val="005E41FB"/>
    <w:rsid w:val="005E4386"/>
    <w:rsid w:val="005E49B2"/>
    <w:rsid w:val="005E4CA9"/>
    <w:rsid w:val="005E4E9A"/>
    <w:rsid w:val="005E4FCD"/>
    <w:rsid w:val="005E5018"/>
    <w:rsid w:val="005E57CF"/>
    <w:rsid w:val="005E5F54"/>
    <w:rsid w:val="005E6040"/>
    <w:rsid w:val="005E62B1"/>
    <w:rsid w:val="005E6357"/>
    <w:rsid w:val="005E6385"/>
    <w:rsid w:val="005E649E"/>
    <w:rsid w:val="005E6AE0"/>
    <w:rsid w:val="005E6F2F"/>
    <w:rsid w:val="005E721F"/>
    <w:rsid w:val="005E767A"/>
    <w:rsid w:val="005E76C4"/>
    <w:rsid w:val="005E7EE4"/>
    <w:rsid w:val="005F0A6A"/>
    <w:rsid w:val="005F0AE8"/>
    <w:rsid w:val="005F0C3B"/>
    <w:rsid w:val="005F18BA"/>
    <w:rsid w:val="005F18BF"/>
    <w:rsid w:val="005F18F3"/>
    <w:rsid w:val="005F1AA3"/>
    <w:rsid w:val="005F1E72"/>
    <w:rsid w:val="005F237D"/>
    <w:rsid w:val="005F281D"/>
    <w:rsid w:val="005F2A6B"/>
    <w:rsid w:val="005F2D3D"/>
    <w:rsid w:val="005F2FD3"/>
    <w:rsid w:val="005F3C03"/>
    <w:rsid w:val="005F3CAF"/>
    <w:rsid w:val="005F3EB9"/>
    <w:rsid w:val="005F3F80"/>
    <w:rsid w:val="005F40C1"/>
    <w:rsid w:val="005F4505"/>
    <w:rsid w:val="005F46C9"/>
    <w:rsid w:val="005F46E9"/>
    <w:rsid w:val="005F4786"/>
    <w:rsid w:val="005F48B0"/>
    <w:rsid w:val="005F495B"/>
    <w:rsid w:val="005F4BB7"/>
    <w:rsid w:val="005F4C2B"/>
    <w:rsid w:val="005F4EE6"/>
    <w:rsid w:val="005F52EF"/>
    <w:rsid w:val="005F53D8"/>
    <w:rsid w:val="005F5914"/>
    <w:rsid w:val="005F5B2C"/>
    <w:rsid w:val="005F5B76"/>
    <w:rsid w:val="005F6157"/>
    <w:rsid w:val="005F61CF"/>
    <w:rsid w:val="005F6760"/>
    <w:rsid w:val="005F6899"/>
    <w:rsid w:val="005F6905"/>
    <w:rsid w:val="005F6E16"/>
    <w:rsid w:val="005F6F43"/>
    <w:rsid w:val="005F7A88"/>
    <w:rsid w:val="005F7CF4"/>
    <w:rsid w:val="005F7DF8"/>
    <w:rsid w:val="00600415"/>
    <w:rsid w:val="00600C5C"/>
    <w:rsid w:val="0060102F"/>
    <w:rsid w:val="006010DA"/>
    <w:rsid w:val="00601405"/>
    <w:rsid w:val="00601666"/>
    <w:rsid w:val="006017C4"/>
    <w:rsid w:val="0060197D"/>
    <w:rsid w:val="00601A45"/>
    <w:rsid w:val="00602109"/>
    <w:rsid w:val="006024D3"/>
    <w:rsid w:val="006025C2"/>
    <w:rsid w:val="00602BA0"/>
    <w:rsid w:val="00602D36"/>
    <w:rsid w:val="00602EA6"/>
    <w:rsid w:val="00602FAF"/>
    <w:rsid w:val="00603613"/>
    <w:rsid w:val="00603697"/>
    <w:rsid w:val="0060398C"/>
    <w:rsid w:val="00603DB3"/>
    <w:rsid w:val="00603EAA"/>
    <w:rsid w:val="00603FAF"/>
    <w:rsid w:val="00604104"/>
    <w:rsid w:val="0060410A"/>
    <w:rsid w:val="00604246"/>
    <w:rsid w:val="006042DA"/>
    <w:rsid w:val="00604B79"/>
    <w:rsid w:val="00604D2B"/>
    <w:rsid w:val="00605184"/>
    <w:rsid w:val="00605283"/>
    <w:rsid w:val="006059BA"/>
    <w:rsid w:val="00605FE9"/>
    <w:rsid w:val="006063B7"/>
    <w:rsid w:val="00606420"/>
    <w:rsid w:val="00606AD5"/>
    <w:rsid w:val="00606CA7"/>
    <w:rsid w:val="00606EF9"/>
    <w:rsid w:val="0060706A"/>
    <w:rsid w:val="00607080"/>
    <w:rsid w:val="006070C4"/>
    <w:rsid w:val="0060735A"/>
    <w:rsid w:val="00607371"/>
    <w:rsid w:val="00607396"/>
    <w:rsid w:val="0060745D"/>
    <w:rsid w:val="00607489"/>
    <w:rsid w:val="00607758"/>
    <w:rsid w:val="00607825"/>
    <w:rsid w:val="00607833"/>
    <w:rsid w:val="00610786"/>
    <w:rsid w:val="00610D5E"/>
    <w:rsid w:val="00610E11"/>
    <w:rsid w:val="006110E8"/>
    <w:rsid w:val="00611871"/>
    <w:rsid w:val="00611C50"/>
    <w:rsid w:val="00611C6D"/>
    <w:rsid w:val="00611E83"/>
    <w:rsid w:val="0061200A"/>
    <w:rsid w:val="00612D2E"/>
    <w:rsid w:val="006131A5"/>
    <w:rsid w:val="00613467"/>
    <w:rsid w:val="00613A2B"/>
    <w:rsid w:val="00613AA1"/>
    <w:rsid w:val="00613D20"/>
    <w:rsid w:val="00614084"/>
    <w:rsid w:val="0061441E"/>
    <w:rsid w:val="00614BD8"/>
    <w:rsid w:val="00616148"/>
    <w:rsid w:val="006164E1"/>
    <w:rsid w:val="00616956"/>
    <w:rsid w:val="00616A77"/>
    <w:rsid w:val="00616AAD"/>
    <w:rsid w:val="00616B58"/>
    <w:rsid w:val="00616DFB"/>
    <w:rsid w:val="00616E2A"/>
    <w:rsid w:val="00616EC2"/>
    <w:rsid w:val="006178F8"/>
    <w:rsid w:val="00617904"/>
    <w:rsid w:val="00617A0F"/>
    <w:rsid w:val="00617E09"/>
    <w:rsid w:val="00617ECC"/>
    <w:rsid w:val="00617FBC"/>
    <w:rsid w:val="006201CC"/>
    <w:rsid w:val="006204DB"/>
    <w:rsid w:val="00620BE0"/>
    <w:rsid w:val="00620DA2"/>
    <w:rsid w:val="00621118"/>
    <w:rsid w:val="006216B7"/>
    <w:rsid w:val="006217E1"/>
    <w:rsid w:val="00621E68"/>
    <w:rsid w:val="00622F18"/>
    <w:rsid w:val="0062360C"/>
    <w:rsid w:val="00623BA3"/>
    <w:rsid w:val="00623F2F"/>
    <w:rsid w:val="00624315"/>
    <w:rsid w:val="0062499F"/>
    <w:rsid w:val="00624C9E"/>
    <w:rsid w:val="00624D34"/>
    <w:rsid w:val="00624E52"/>
    <w:rsid w:val="0062510E"/>
    <w:rsid w:val="00625301"/>
    <w:rsid w:val="0062545B"/>
    <w:rsid w:val="0062552A"/>
    <w:rsid w:val="0062584C"/>
    <w:rsid w:val="00625989"/>
    <w:rsid w:val="00625A89"/>
    <w:rsid w:val="00626035"/>
    <w:rsid w:val="006261DD"/>
    <w:rsid w:val="00626B0E"/>
    <w:rsid w:val="006273AE"/>
    <w:rsid w:val="0062766B"/>
    <w:rsid w:val="00627C5A"/>
    <w:rsid w:val="00627DF7"/>
    <w:rsid w:val="00627EB2"/>
    <w:rsid w:val="006301D9"/>
    <w:rsid w:val="00630725"/>
    <w:rsid w:val="0063074E"/>
    <w:rsid w:val="00630B6A"/>
    <w:rsid w:val="0063144E"/>
    <w:rsid w:val="00631860"/>
    <w:rsid w:val="00631CB6"/>
    <w:rsid w:val="00631F3B"/>
    <w:rsid w:val="006320C9"/>
    <w:rsid w:val="00632419"/>
    <w:rsid w:val="0063253B"/>
    <w:rsid w:val="0063258F"/>
    <w:rsid w:val="00632869"/>
    <w:rsid w:val="006329D5"/>
    <w:rsid w:val="00632FF9"/>
    <w:rsid w:val="00633080"/>
    <w:rsid w:val="006332BE"/>
    <w:rsid w:val="00633F18"/>
    <w:rsid w:val="0063407B"/>
    <w:rsid w:val="006342A8"/>
    <w:rsid w:val="006344B2"/>
    <w:rsid w:val="00634532"/>
    <w:rsid w:val="00634963"/>
    <w:rsid w:val="00634966"/>
    <w:rsid w:val="00634A20"/>
    <w:rsid w:val="00634C73"/>
    <w:rsid w:val="00635033"/>
    <w:rsid w:val="006352A2"/>
    <w:rsid w:val="0063534A"/>
    <w:rsid w:val="006354B2"/>
    <w:rsid w:val="0063561E"/>
    <w:rsid w:val="006359E7"/>
    <w:rsid w:val="00635A53"/>
    <w:rsid w:val="006361EF"/>
    <w:rsid w:val="0063646B"/>
    <w:rsid w:val="0063669A"/>
    <w:rsid w:val="006366C4"/>
    <w:rsid w:val="006366D3"/>
    <w:rsid w:val="0063684D"/>
    <w:rsid w:val="006368D8"/>
    <w:rsid w:val="00636B12"/>
    <w:rsid w:val="00636B14"/>
    <w:rsid w:val="0063728D"/>
    <w:rsid w:val="006379AC"/>
    <w:rsid w:val="0064040C"/>
    <w:rsid w:val="006405A4"/>
    <w:rsid w:val="006405D8"/>
    <w:rsid w:val="006407BB"/>
    <w:rsid w:val="006408C3"/>
    <w:rsid w:val="00640A19"/>
    <w:rsid w:val="00640C86"/>
    <w:rsid w:val="00640D05"/>
    <w:rsid w:val="00640D4B"/>
    <w:rsid w:val="006411FB"/>
    <w:rsid w:val="006414CD"/>
    <w:rsid w:val="00641608"/>
    <w:rsid w:val="00641AC0"/>
    <w:rsid w:val="00641C55"/>
    <w:rsid w:val="00641DFD"/>
    <w:rsid w:val="00641FD0"/>
    <w:rsid w:val="006422DC"/>
    <w:rsid w:val="0064230C"/>
    <w:rsid w:val="006428F1"/>
    <w:rsid w:val="00642F0E"/>
    <w:rsid w:val="0064328D"/>
    <w:rsid w:val="0064384A"/>
    <w:rsid w:val="00643DDA"/>
    <w:rsid w:val="00643FC7"/>
    <w:rsid w:val="006443A3"/>
    <w:rsid w:val="006449D0"/>
    <w:rsid w:val="00644AFF"/>
    <w:rsid w:val="00644DEE"/>
    <w:rsid w:val="00644F0B"/>
    <w:rsid w:val="006453F8"/>
    <w:rsid w:val="0064584F"/>
    <w:rsid w:val="00645BCF"/>
    <w:rsid w:val="00645F90"/>
    <w:rsid w:val="006461CF"/>
    <w:rsid w:val="0064620D"/>
    <w:rsid w:val="0064622A"/>
    <w:rsid w:val="006467CB"/>
    <w:rsid w:val="00646978"/>
    <w:rsid w:val="00646CBB"/>
    <w:rsid w:val="00647326"/>
    <w:rsid w:val="00647C18"/>
    <w:rsid w:val="00647E0C"/>
    <w:rsid w:val="00647E4E"/>
    <w:rsid w:val="00650221"/>
    <w:rsid w:val="006502E2"/>
    <w:rsid w:val="00650314"/>
    <w:rsid w:val="00650C07"/>
    <w:rsid w:val="00650EFA"/>
    <w:rsid w:val="00650F4F"/>
    <w:rsid w:val="0065139F"/>
    <w:rsid w:val="006519E7"/>
    <w:rsid w:val="00651AA9"/>
    <w:rsid w:val="00652299"/>
    <w:rsid w:val="00652355"/>
    <w:rsid w:val="006527FC"/>
    <w:rsid w:val="006528E9"/>
    <w:rsid w:val="006528F8"/>
    <w:rsid w:val="00652A0F"/>
    <w:rsid w:val="00652B9E"/>
    <w:rsid w:val="00652E86"/>
    <w:rsid w:val="006539FF"/>
    <w:rsid w:val="00653B6A"/>
    <w:rsid w:val="00653FCB"/>
    <w:rsid w:val="0065428E"/>
    <w:rsid w:val="00654687"/>
    <w:rsid w:val="006546BB"/>
    <w:rsid w:val="006549F0"/>
    <w:rsid w:val="0065570A"/>
    <w:rsid w:val="00655B5D"/>
    <w:rsid w:val="00656655"/>
    <w:rsid w:val="006567E4"/>
    <w:rsid w:val="00657333"/>
    <w:rsid w:val="0065769C"/>
    <w:rsid w:val="00657754"/>
    <w:rsid w:val="00657B4F"/>
    <w:rsid w:val="00657EC0"/>
    <w:rsid w:val="006603BF"/>
    <w:rsid w:val="00660486"/>
    <w:rsid w:val="006604E0"/>
    <w:rsid w:val="006606FB"/>
    <w:rsid w:val="00660B46"/>
    <w:rsid w:val="00660FF1"/>
    <w:rsid w:val="00661286"/>
    <w:rsid w:val="0066134A"/>
    <w:rsid w:val="006614F1"/>
    <w:rsid w:val="00661530"/>
    <w:rsid w:val="006618DF"/>
    <w:rsid w:val="00661D3D"/>
    <w:rsid w:val="006621D2"/>
    <w:rsid w:val="006624B9"/>
    <w:rsid w:val="00662615"/>
    <w:rsid w:val="00662A37"/>
    <w:rsid w:val="00662DFF"/>
    <w:rsid w:val="00662F41"/>
    <w:rsid w:val="00662F68"/>
    <w:rsid w:val="00663611"/>
    <w:rsid w:val="00663766"/>
    <w:rsid w:val="00663825"/>
    <w:rsid w:val="00663875"/>
    <w:rsid w:val="00663CCD"/>
    <w:rsid w:val="00663E6D"/>
    <w:rsid w:val="00664356"/>
    <w:rsid w:val="006644ED"/>
    <w:rsid w:val="00664560"/>
    <w:rsid w:val="00664AE1"/>
    <w:rsid w:val="00664DCC"/>
    <w:rsid w:val="006659E1"/>
    <w:rsid w:val="00665CE3"/>
    <w:rsid w:val="00665DC3"/>
    <w:rsid w:val="00666511"/>
    <w:rsid w:val="00666769"/>
    <w:rsid w:val="00666E44"/>
    <w:rsid w:val="00666F28"/>
    <w:rsid w:val="006672AD"/>
    <w:rsid w:val="006672B0"/>
    <w:rsid w:val="00667777"/>
    <w:rsid w:val="006677A4"/>
    <w:rsid w:val="0066797E"/>
    <w:rsid w:val="00667A0C"/>
    <w:rsid w:val="00667B70"/>
    <w:rsid w:val="00667BD9"/>
    <w:rsid w:val="00667E51"/>
    <w:rsid w:val="00670410"/>
    <w:rsid w:val="00670749"/>
    <w:rsid w:val="00670C47"/>
    <w:rsid w:val="00670DD2"/>
    <w:rsid w:val="0067101A"/>
    <w:rsid w:val="0067101D"/>
    <w:rsid w:val="006710EC"/>
    <w:rsid w:val="0067126E"/>
    <w:rsid w:val="00671644"/>
    <w:rsid w:val="00671D9E"/>
    <w:rsid w:val="00672120"/>
    <w:rsid w:val="0067228C"/>
    <w:rsid w:val="00672584"/>
    <w:rsid w:val="00672787"/>
    <w:rsid w:val="00672847"/>
    <w:rsid w:val="00672CEE"/>
    <w:rsid w:val="0067302D"/>
    <w:rsid w:val="006730D7"/>
    <w:rsid w:val="00673598"/>
    <w:rsid w:val="006739A0"/>
    <w:rsid w:val="00673CA7"/>
    <w:rsid w:val="0067434D"/>
    <w:rsid w:val="006743D8"/>
    <w:rsid w:val="006745E7"/>
    <w:rsid w:val="00674692"/>
    <w:rsid w:val="006746FA"/>
    <w:rsid w:val="00674989"/>
    <w:rsid w:val="00674B1B"/>
    <w:rsid w:val="00674BD1"/>
    <w:rsid w:val="00674D12"/>
    <w:rsid w:val="00674F63"/>
    <w:rsid w:val="00674F8B"/>
    <w:rsid w:val="00675160"/>
    <w:rsid w:val="00675189"/>
    <w:rsid w:val="00675432"/>
    <w:rsid w:val="006754C9"/>
    <w:rsid w:val="00675D43"/>
    <w:rsid w:val="00675F88"/>
    <w:rsid w:val="00676656"/>
    <w:rsid w:val="00676728"/>
    <w:rsid w:val="00676785"/>
    <w:rsid w:val="0067682A"/>
    <w:rsid w:val="00676908"/>
    <w:rsid w:val="00676EE0"/>
    <w:rsid w:val="00676F5C"/>
    <w:rsid w:val="00677109"/>
    <w:rsid w:val="00677867"/>
    <w:rsid w:val="00677B93"/>
    <w:rsid w:val="0068092B"/>
    <w:rsid w:val="006809A7"/>
    <w:rsid w:val="00680E1C"/>
    <w:rsid w:val="00680F8E"/>
    <w:rsid w:val="00681034"/>
    <w:rsid w:val="00681757"/>
    <w:rsid w:val="00681F15"/>
    <w:rsid w:val="00681F28"/>
    <w:rsid w:val="006822FA"/>
    <w:rsid w:val="00682AB6"/>
    <w:rsid w:val="006832FF"/>
    <w:rsid w:val="0068348F"/>
    <w:rsid w:val="00683797"/>
    <w:rsid w:val="00683912"/>
    <w:rsid w:val="0068394A"/>
    <w:rsid w:val="00683B0E"/>
    <w:rsid w:val="00683FB5"/>
    <w:rsid w:val="0068417D"/>
    <w:rsid w:val="00684462"/>
    <w:rsid w:val="00684807"/>
    <w:rsid w:val="00684B0D"/>
    <w:rsid w:val="00684D24"/>
    <w:rsid w:val="00684D43"/>
    <w:rsid w:val="00684E01"/>
    <w:rsid w:val="00685F2C"/>
    <w:rsid w:val="0068610C"/>
    <w:rsid w:val="006862C6"/>
    <w:rsid w:val="006862F2"/>
    <w:rsid w:val="00686B73"/>
    <w:rsid w:val="00686CA1"/>
    <w:rsid w:val="00687DF7"/>
    <w:rsid w:val="00690094"/>
    <w:rsid w:val="006902D4"/>
    <w:rsid w:val="006908EB"/>
    <w:rsid w:val="00690A22"/>
    <w:rsid w:val="00690C1C"/>
    <w:rsid w:val="00690C9A"/>
    <w:rsid w:val="00690ED8"/>
    <w:rsid w:val="0069117A"/>
    <w:rsid w:val="0069127B"/>
    <w:rsid w:val="0069165E"/>
    <w:rsid w:val="006917BB"/>
    <w:rsid w:val="00691913"/>
    <w:rsid w:val="006920F2"/>
    <w:rsid w:val="00692139"/>
    <w:rsid w:val="00692254"/>
    <w:rsid w:val="006923C1"/>
    <w:rsid w:val="006924EE"/>
    <w:rsid w:val="006929B7"/>
    <w:rsid w:val="00692FB3"/>
    <w:rsid w:val="00693C55"/>
    <w:rsid w:val="00694250"/>
    <w:rsid w:val="00694754"/>
    <w:rsid w:val="006949C1"/>
    <w:rsid w:val="00694D58"/>
    <w:rsid w:val="00694E47"/>
    <w:rsid w:val="0069507A"/>
    <w:rsid w:val="00695C54"/>
    <w:rsid w:val="00695E76"/>
    <w:rsid w:val="00695E85"/>
    <w:rsid w:val="0069609C"/>
    <w:rsid w:val="006960F1"/>
    <w:rsid w:val="0069610A"/>
    <w:rsid w:val="006961A6"/>
    <w:rsid w:val="006962D4"/>
    <w:rsid w:val="0069690B"/>
    <w:rsid w:val="00696B79"/>
    <w:rsid w:val="0069712B"/>
    <w:rsid w:val="006972DE"/>
    <w:rsid w:val="00697D64"/>
    <w:rsid w:val="00697E0E"/>
    <w:rsid w:val="006A07DC"/>
    <w:rsid w:val="006A07E2"/>
    <w:rsid w:val="006A0BC0"/>
    <w:rsid w:val="006A138B"/>
    <w:rsid w:val="006A138F"/>
    <w:rsid w:val="006A150A"/>
    <w:rsid w:val="006A1703"/>
    <w:rsid w:val="006A17F1"/>
    <w:rsid w:val="006A1ADC"/>
    <w:rsid w:val="006A1D02"/>
    <w:rsid w:val="006A2B03"/>
    <w:rsid w:val="006A2B93"/>
    <w:rsid w:val="006A2BD1"/>
    <w:rsid w:val="006A2CB1"/>
    <w:rsid w:val="006A30AE"/>
    <w:rsid w:val="006A3BA3"/>
    <w:rsid w:val="006A4299"/>
    <w:rsid w:val="006A46FC"/>
    <w:rsid w:val="006A4700"/>
    <w:rsid w:val="006A474E"/>
    <w:rsid w:val="006A5475"/>
    <w:rsid w:val="006A5488"/>
    <w:rsid w:val="006A5589"/>
    <w:rsid w:val="006A5613"/>
    <w:rsid w:val="006A5619"/>
    <w:rsid w:val="006A5A30"/>
    <w:rsid w:val="006A6507"/>
    <w:rsid w:val="006A6A76"/>
    <w:rsid w:val="006A750D"/>
    <w:rsid w:val="006A784A"/>
    <w:rsid w:val="006A7A05"/>
    <w:rsid w:val="006A7A69"/>
    <w:rsid w:val="006A7C63"/>
    <w:rsid w:val="006A7CFF"/>
    <w:rsid w:val="006B080E"/>
    <w:rsid w:val="006B0BC7"/>
    <w:rsid w:val="006B1066"/>
    <w:rsid w:val="006B11EA"/>
    <w:rsid w:val="006B13D3"/>
    <w:rsid w:val="006B140A"/>
    <w:rsid w:val="006B15D4"/>
    <w:rsid w:val="006B1A04"/>
    <w:rsid w:val="006B1C01"/>
    <w:rsid w:val="006B1FA5"/>
    <w:rsid w:val="006B24EA"/>
    <w:rsid w:val="006B2799"/>
    <w:rsid w:val="006B29EF"/>
    <w:rsid w:val="006B2D4D"/>
    <w:rsid w:val="006B2DCF"/>
    <w:rsid w:val="006B2EA9"/>
    <w:rsid w:val="006B2F46"/>
    <w:rsid w:val="006B2F71"/>
    <w:rsid w:val="006B309B"/>
    <w:rsid w:val="006B3183"/>
    <w:rsid w:val="006B3307"/>
    <w:rsid w:val="006B40E9"/>
    <w:rsid w:val="006B47DA"/>
    <w:rsid w:val="006B4DDC"/>
    <w:rsid w:val="006B4E4A"/>
    <w:rsid w:val="006B58FB"/>
    <w:rsid w:val="006B5C63"/>
    <w:rsid w:val="006B5EA9"/>
    <w:rsid w:val="006B6C64"/>
    <w:rsid w:val="006B6CE9"/>
    <w:rsid w:val="006B7BA2"/>
    <w:rsid w:val="006B7C0B"/>
    <w:rsid w:val="006B7FB2"/>
    <w:rsid w:val="006C0132"/>
    <w:rsid w:val="006C0138"/>
    <w:rsid w:val="006C0327"/>
    <w:rsid w:val="006C0635"/>
    <w:rsid w:val="006C0784"/>
    <w:rsid w:val="006C0914"/>
    <w:rsid w:val="006C0A4A"/>
    <w:rsid w:val="006C0B46"/>
    <w:rsid w:val="006C0DE4"/>
    <w:rsid w:val="006C0E0D"/>
    <w:rsid w:val="006C128D"/>
    <w:rsid w:val="006C13B5"/>
    <w:rsid w:val="006C18D1"/>
    <w:rsid w:val="006C1A6C"/>
    <w:rsid w:val="006C1B9B"/>
    <w:rsid w:val="006C1E59"/>
    <w:rsid w:val="006C2237"/>
    <w:rsid w:val="006C22A3"/>
    <w:rsid w:val="006C28DC"/>
    <w:rsid w:val="006C2BE2"/>
    <w:rsid w:val="006C3054"/>
    <w:rsid w:val="006C311C"/>
    <w:rsid w:val="006C31FA"/>
    <w:rsid w:val="006C33D0"/>
    <w:rsid w:val="006C35E1"/>
    <w:rsid w:val="006C3EE8"/>
    <w:rsid w:val="006C47EB"/>
    <w:rsid w:val="006C4906"/>
    <w:rsid w:val="006C4AEC"/>
    <w:rsid w:val="006C4D03"/>
    <w:rsid w:val="006C53D4"/>
    <w:rsid w:val="006C57B2"/>
    <w:rsid w:val="006C586D"/>
    <w:rsid w:val="006C5EFE"/>
    <w:rsid w:val="006C60BA"/>
    <w:rsid w:val="006C6143"/>
    <w:rsid w:val="006C6342"/>
    <w:rsid w:val="006C68B0"/>
    <w:rsid w:val="006C68C6"/>
    <w:rsid w:val="006C69BC"/>
    <w:rsid w:val="006C6A3B"/>
    <w:rsid w:val="006C6FFE"/>
    <w:rsid w:val="006C737B"/>
    <w:rsid w:val="006C7607"/>
    <w:rsid w:val="006C780F"/>
    <w:rsid w:val="006D041D"/>
    <w:rsid w:val="006D06C2"/>
    <w:rsid w:val="006D0AB0"/>
    <w:rsid w:val="006D0B18"/>
    <w:rsid w:val="006D0B3C"/>
    <w:rsid w:val="006D0FAC"/>
    <w:rsid w:val="006D0FE4"/>
    <w:rsid w:val="006D10BA"/>
    <w:rsid w:val="006D1293"/>
    <w:rsid w:val="006D12A9"/>
    <w:rsid w:val="006D152A"/>
    <w:rsid w:val="006D1652"/>
    <w:rsid w:val="006D1E60"/>
    <w:rsid w:val="006D1F39"/>
    <w:rsid w:val="006D2045"/>
    <w:rsid w:val="006D2137"/>
    <w:rsid w:val="006D2414"/>
    <w:rsid w:val="006D25BB"/>
    <w:rsid w:val="006D28F2"/>
    <w:rsid w:val="006D324C"/>
    <w:rsid w:val="006D3271"/>
    <w:rsid w:val="006D38EE"/>
    <w:rsid w:val="006D3A67"/>
    <w:rsid w:val="006D3BCA"/>
    <w:rsid w:val="006D3BF6"/>
    <w:rsid w:val="006D3ECB"/>
    <w:rsid w:val="006D4014"/>
    <w:rsid w:val="006D45D1"/>
    <w:rsid w:val="006D48E6"/>
    <w:rsid w:val="006D4C85"/>
    <w:rsid w:val="006D4DFA"/>
    <w:rsid w:val="006D4F9D"/>
    <w:rsid w:val="006D50C3"/>
    <w:rsid w:val="006D514B"/>
    <w:rsid w:val="006D51DC"/>
    <w:rsid w:val="006D51E1"/>
    <w:rsid w:val="006D561E"/>
    <w:rsid w:val="006D58A5"/>
    <w:rsid w:val="006D5ADF"/>
    <w:rsid w:val="006D5D31"/>
    <w:rsid w:val="006D5E6B"/>
    <w:rsid w:val="006D5E91"/>
    <w:rsid w:val="006D614F"/>
    <w:rsid w:val="006D6558"/>
    <w:rsid w:val="006D67E3"/>
    <w:rsid w:val="006D6929"/>
    <w:rsid w:val="006D7216"/>
    <w:rsid w:val="006D7446"/>
    <w:rsid w:val="006D7D55"/>
    <w:rsid w:val="006D7E9E"/>
    <w:rsid w:val="006E0D9A"/>
    <w:rsid w:val="006E1567"/>
    <w:rsid w:val="006E17FD"/>
    <w:rsid w:val="006E18DD"/>
    <w:rsid w:val="006E19E0"/>
    <w:rsid w:val="006E1B07"/>
    <w:rsid w:val="006E20CD"/>
    <w:rsid w:val="006E24A3"/>
    <w:rsid w:val="006E251F"/>
    <w:rsid w:val="006E2685"/>
    <w:rsid w:val="006E2AF4"/>
    <w:rsid w:val="006E2CB9"/>
    <w:rsid w:val="006E2EE7"/>
    <w:rsid w:val="006E3480"/>
    <w:rsid w:val="006E36C1"/>
    <w:rsid w:val="006E3E73"/>
    <w:rsid w:val="006E4110"/>
    <w:rsid w:val="006E4563"/>
    <w:rsid w:val="006E457E"/>
    <w:rsid w:val="006E48E2"/>
    <w:rsid w:val="006E4E2B"/>
    <w:rsid w:val="006E5333"/>
    <w:rsid w:val="006E552B"/>
    <w:rsid w:val="006E5BD1"/>
    <w:rsid w:val="006E612B"/>
    <w:rsid w:val="006E66EB"/>
    <w:rsid w:val="006E6BD6"/>
    <w:rsid w:val="006E6D46"/>
    <w:rsid w:val="006E6D8F"/>
    <w:rsid w:val="006E6E85"/>
    <w:rsid w:val="006E6F01"/>
    <w:rsid w:val="006E71E4"/>
    <w:rsid w:val="006E7302"/>
    <w:rsid w:val="006E79FC"/>
    <w:rsid w:val="006E7C68"/>
    <w:rsid w:val="006E7C72"/>
    <w:rsid w:val="006F0A51"/>
    <w:rsid w:val="006F0ACA"/>
    <w:rsid w:val="006F13B1"/>
    <w:rsid w:val="006F161E"/>
    <w:rsid w:val="006F1B97"/>
    <w:rsid w:val="006F1F02"/>
    <w:rsid w:val="006F21CC"/>
    <w:rsid w:val="006F24E4"/>
    <w:rsid w:val="006F2D03"/>
    <w:rsid w:val="006F364F"/>
    <w:rsid w:val="006F393E"/>
    <w:rsid w:val="006F3C31"/>
    <w:rsid w:val="006F3CC2"/>
    <w:rsid w:val="006F3D66"/>
    <w:rsid w:val="006F418E"/>
    <w:rsid w:val="006F4293"/>
    <w:rsid w:val="006F49C2"/>
    <w:rsid w:val="006F4A51"/>
    <w:rsid w:val="006F4B1C"/>
    <w:rsid w:val="006F4CF1"/>
    <w:rsid w:val="006F4D6D"/>
    <w:rsid w:val="006F62BA"/>
    <w:rsid w:val="006F6627"/>
    <w:rsid w:val="006F672C"/>
    <w:rsid w:val="006F6C7C"/>
    <w:rsid w:val="006F73A3"/>
    <w:rsid w:val="006F7A77"/>
    <w:rsid w:val="006F7B1F"/>
    <w:rsid w:val="00700BB6"/>
    <w:rsid w:val="007010F4"/>
    <w:rsid w:val="007013FA"/>
    <w:rsid w:val="0070145D"/>
    <w:rsid w:val="007016A0"/>
    <w:rsid w:val="00702002"/>
    <w:rsid w:val="00702097"/>
    <w:rsid w:val="0070222A"/>
    <w:rsid w:val="0070244A"/>
    <w:rsid w:val="0070267F"/>
    <w:rsid w:val="00702755"/>
    <w:rsid w:val="007027AB"/>
    <w:rsid w:val="00702A44"/>
    <w:rsid w:val="00703112"/>
    <w:rsid w:val="007033FB"/>
    <w:rsid w:val="00703498"/>
    <w:rsid w:val="0070382C"/>
    <w:rsid w:val="0070391D"/>
    <w:rsid w:val="00704A55"/>
    <w:rsid w:val="00704BE3"/>
    <w:rsid w:val="00704C6C"/>
    <w:rsid w:val="00704E0C"/>
    <w:rsid w:val="00704E6B"/>
    <w:rsid w:val="0070522B"/>
    <w:rsid w:val="007058F1"/>
    <w:rsid w:val="007069C9"/>
    <w:rsid w:val="00706D72"/>
    <w:rsid w:val="00707082"/>
    <w:rsid w:val="007077F0"/>
    <w:rsid w:val="00707FAC"/>
    <w:rsid w:val="007107E2"/>
    <w:rsid w:val="007108C1"/>
    <w:rsid w:val="0071093D"/>
    <w:rsid w:val="00710948"/>
    <w:rsid w:val="00710AF9"/>
    <w:rsid w:val="00711E35"/>
    <w:rsid w:val="00712577"/>
    <w:rsid w:val="00712605"/>
    <w:rsid w:val="007128D1"/>
    <w:rsid w:val="00712B02"/>
    <w:rsid w:val="00712C73"/>
    <w:rsid w:val="007132D4"/>
    <w:rsid w:val="00713381"/>
    <w:rsid w:val="00713A7D"/>
    <w:rsid w:val="00713C1D"/>
    <w:rsid w:val="00713F7A"/>
    <w:rsid w:val="00714484"/>
    <w:rsid w:val="007144E4"/>
    <w:rsid w:val="00714D13"/>
    <w:rsid w:val="00714D2C"/>
    <w:rsid w:val="00714D6A"/>
    <w:rsid w:val="00715308"/>
    <w:rsid w:val="00715959"/>
    <w:rsid w:val="00715D3C"/>
    <w:rsid w:val="00715EAE"/>
    <w:rsid w:val="007163CE"/>
    <w:rsid w:val="00716429"/>
    <w:rsid w:val="0071694C"/>
    <w:rsid w:val="00717688"/>
    <w:rsid w:val="007176F1"/>
    <w:rsid w:val="00717701"/>
    <w:rsid w:val="00717927"/>
    <w:rsid w:val="00717E8A"/>
    <w:rsid w:val="00717F4B"/>
    <w:rsid w:val="00720B35"/>
    <w:rsid w:val="007212A0"/>
    <w:rsid w:val="007212BE"/>
    <w:rsid w:val="007212E6"/>
    <w:rsid w:val="007213AE"/>
    <w:rsid w:val="007214B0"/>
    <w:rsid w:val="0072168E"/>
    <w:rsid w:val="0072186A"/>
    <w:rsid w:val="00721E31"/>
    <w:rsid w:val="00721E3A"/>
    <w:rsid w:val="00722936"/>
    <w:rsid w:val="00723011"/>
    <w:rsid w:val="007234E9"/>
    <w:rsid w:val="00723AB1"/>
    <w:rsid w:val="00723E1E"/>
    <w:rsid w:val="007241AD"/>
    <w:rsid w:val="007249CC"/>
    <w:rsid w:val="0072509F"/>
    <w:rsid w:val="007250CA"/>
    <w:rsid w:val="007251B4"/>
    <w:rsid w:val="007251B7"/>
    <w:rsid w:val="007251C6"/>
    <w:rsid w:val="0072539B"/>
    <w:rsid w:val="007259F3"/>
    <w:rsid w:val="00725A20"/>
    <w:rsid w:val="00725CB3"/>
    <w:rsid w:val="00725F99"/>
    <w:rsid w:val="0072603C"/>
    <w:rsid w:val="00726110"/>
    <w:rsid w:val="00726912"/>
    <w:rsid w:val="007274A6"/>
    <w:rsid w:val="0073068B"/>
    <w:rsid w:val="00730AA8"/>
    <w:rsid w:val="00730E2F"/>
    <w:rsid w:val="00731448"/>
    <w:rsid w:val="007317C9"/>
    <w:rsid w:val="007317E7"/>
    <w:rsid w:val="00731A71"/>
    <w:rsid w:val="00731AD0"/>
    <w:rsid w:val="00731B48"/>
    <w:rsid w:val="00731BCB"/>
    <w:rsid w:val="00731C91"/>
    <w:rsid w:val="00732BC2"/>
    <w:rsid w:val="00732E70"/>
    <w:rsid w:val="00732EB0"/>
    <w:rsid w:val="0073305F"/>
    <w:rsid w:val="00733097"/>
    <w:rsid w:val="00733661"/>
    <w:rsid w:val="00733692"/>
    <w:rsid w:val="007338ED"/>
    <w:rsid w:val="00733E45"/>
    <w:rsid w:val="007342B5"/>
    <w:rsid w:val="00734361"/>
    <w:rsid w:val="00734DDF"/>
    <w:rsid w:val="007353B2"/>
    <w:rsid w:val="0073584C"/>
    <w:rsid w:val="00736864"/>
    <w:rsid w:val="00736A5D"/>
    <w:rsid w:val="00736BCB"/>
    <w:rsid w:val="00737634"/>
    <w:rsid w:val="0073767F"/>
    <w:rsid w:val="00737A4D"/>
    <w:rsid w:val="00737F02"/>
    <w:rsid w:val="00740AC6"/>
    <w:rsid w:val="00740D8F"/>
    <w:rsid w:val="00741525"/>
    <w:rsid w:val="007415C9"/>
    <w:rsid w:val="007419C3"/>
    <w:rsid w:val="00741E07"/>
    <w:rsid w:val="00742288"/>
    <w:rsid w:val="007422BC"/>
    <w:rsid w:val="00742E8E"/>
    <w:rsid w:val="00743589"/>
    <w:rsid w:val="007437AD"/>
    <w:rsid w:val="00743975"/>
    <w:rsid w:val="00743B37"/>
    <w:rsid w:val="00743FAF"/>
    <w:rsid w:val="007441A0"/>
    <w:rsid w:val="0074436A"/>
    <w:rsid w:val="007447C1"/>
    <w:rsid w:val="007448E2"/>
    <w:rsid w:val="007450B7"/>
    <w:rsid w:val="007452B3"/>
    <w:rsid w:val="00745822"/>
    <w:rsid w:val="00745A96"/>
    <w:rsid w:val="00745CDC"/>
    <w:rsid w:val="00745EBD"/>
    <w:rsid w:val="0074681D"/>
    <w:rsid w:val="00746B6E"/>
    <w:rsid w:val="00747333"/>
    <w:rsid w:val="00747B9F"/>
    <w:rsid w:val="00747F1B"/>
    <w:rsid w:val="007500FD"/>
    <w:rsid w:val="0075033B"/>
    <w:rsid w:val="00750560"/>
    <w:rsid w:val="00750626"/>
    <w:rsid w:val="007509A6"/>
    <w:rsid w:val="00750A78"/>
    <w:rsid w:val="00750B5A"/>
    <w:rsid w:val="00750C51"/>
    <w:rsid w:val="00750EFF"/>
    <w:rsid w:val="00751108"/>
    <w:rsid w:val="00751833"/>
    <w:rsid w:val="00751984"/>
    <w:rsid w:val="00751A3C"/>
    <w:rsid w:val="00751D2D"/>
    <w:rsid w:val="007523E9"/>
    <w:rsid w:val="00752654"/>
    <w:rsid w:val="00752669"/>
    <w:rsid w:val="00752B56"/>
    <w:rsid w:val="00752B9B"/>
    <w:rsid w:val="0075337D"/>
    <w:rsid w:val="007535CA"/>
    <w:rsid w:val="007536F1"/>
    <w:rsid w:val="00753702"/>
    <w:rsid w:val="00753C87"/>
    <w:rsid w:val="00754BC5"/>
    <w:rsid w:val="0075530B"/>
    <w:rsid w:val="0075566A"/>
    <w:rsid w:val="00755FB2"/>
    <w:rsid w:val="00756423"/>
    <w:rsid w:val="00756820"/>
    <w:rsid w:val="00756899"/>
    <w:rsid w:val="00756A2B"/>
    <w:rsid w:val="00756BC5"/>
    <w:rsid w:val="00756D64"/>
    <w:rsid w:val="0075785B"/>
    <w:rsid w:val="007578EC"/>
    <w:rsid w:val="00760160"/>
    <w:rsid w:val="007604CA"/>
    <w:rsid w:val="007606A8"/>
    <w:rsid w:val="00761201"/>
    <w:rsid w:val="007612F2"/>
    <w:rsid w:val="00761632"/>
    <w:rsid w:val="0076181C"/>
    <w:rsid w:val="007622B7"/>
    <w:rsid w:val="00762365"/>
    <w:rsid w:val="00762656"/>
    <w:rsid w:val="007626EB"/>
    <w:rsid w:val="00762EA5"/>
    <w:rsid w:val="00763176"/>
    <w:rsid w:val="00763225"/>
    <w:rsid w:val="007633B0"/>
    <w:rsid w:val="00763640"/>
    <w:rsid w:val="007638AF"/>
    <w:rsid w:val="00763A3A"/>
    <w:rsid w:val="00763B73"/>
    <w:rsid w:val="00763DC7"/>
    <w:rsid w:val="00763E47"/>
    <w:rsid w:val="0076400B"/>
    <w:rsid w:val="007640C6"/>
    <w:rsid w:val="0076424F"/>
    <w:rsid w:val="007643DC"/>
    <w:rsid w:val="007645A2"/>
    <w:rsid w:val="007646D9"/>
    <w:rsid w:val="00764810"/>
    <w:rsid w:val="0076493A"/>
    <w:rsid w:val="007649A6"/>
    <w:rsid w:val="00764E50"/>
    <w:rsid w:val="00765009"/>
    <w:rsid w:val="0076520A"/>
    <w:rsid w:val="00765A01"/>
    <w:rsid w:val="00765ED6"/>
    <w:rsid w:val="00766606"/>
    <w:rsid w:val="00766AFB"/>
    <w:rsid w:val="00766DB7"/>
    <w:rsid w:val="0076701A"/>
    <w:rsid w:val="00767330"/>
    <w:rsid w:val="00767397"/>
    <w:rsid w:val="00767CDD"/>
    <w:rsid w:val="00767CFC"/>
    <w:rsid w:val="0077012C"/>
    <w:rsid w:val="00770A01"/>
    <w:rsid w:val="00770AF8"/>
    <w:rsid w:val="00770C3A"/>
    <w:rsid w:val="00770D7C"/>
    <w:rsid w:val="0077120C"/>
    <w:rsid w:val="007712F2"/>
    <w:rsid w:val="007714F0"/>
    <w:rsid w:val="00771586"/>
    <w:rsid w:val="007715D2"/>
    <w:rsid w:val="0077195B"/>
    <w:rsid w:val="00772501"/>
    <w:rsid w:val="00772646"/>
    <w:rsid w:val="00772917"/>
    <w:rsid w:val="00772C70"/>
    <w:rsid w:val="00772EF1"/>
    <w:rsid w:val="0077309B"/>
    <w:rsid w:val="007730C7"/>
    <w:rsid w:val="007732BE"/>
    <w:rsid w:val="00773C7A"/>
    <w:rsid w:val="00773F42"/>
    <w:rsid w:val="00774752"/>
    <w:rsid w:val="00774A62"/>
    <w:rsid w:val="00774BDE"/>
    <w:rsid w:val="007752BB"/>
    <w:rsid w:val="0077532C"/>
    <w:rsid w:val="007758FF"/>
    <w:rsid w:val="00775EFF"/>
    <w:rsid w:val="00776730"/>
    <w:rsid w:val="0077687B"/>
    <w:rsid w:val="007775E2"/>
    <w:rsid w:val="00777ABA"/>
    <w:rsid w:val="00777BFE"/>
    <w:rsid w:val="00780041"/>
    <w:rsid w:val="00780691"/>
    <w:rsid w:val="0078074C"/>
    <w:rsid w:val="00780793"/>
    <w:rsid w:val="00780977"/>
    <w:rsid w:val="00780CA5"/>
    <w:rsid w:val="00780D1E"/>
    <w:rsid w:val="0078118E"/>
    <w:rsid w:val="007813AA"/>
    <w:rsid w:val="00781503"/>
    <w:rsid w:val="007816FE"/>
    <w:rsid w:val="007818AE"/>
    <w:rsid w:val="00781AE4"/>
    <w:rsid w:val="00782361"/>
    <w:rsid w:val="0078251A"/>
    <w:rsid w:val="007827AA"/>
    <w:rsid w:val="007829C9"/>
    <w:rsid w:val="00782E44"/>
    <w:rsid w:val="00782E50"/>
    <w:rsid w:val="0078382D"/>
    <w:rsid w:val="00783C5F"/>
    <w:rsid w:val="00783E30"/>
    <w:rsid w:val="00783EB3"/>
    <w:rsid w:val="00784096"/>
    <w:rsid w:val="0078410F"/>
    <w:rsid w:val="0078417F"/>
    <w:rsid w:val="007841F4"/>
    <w:rsid w:val="007845F8"/>
    <w:rsid w:val="007847C7"/>
    <w:rsid w:val="007847FA"/>
    <w:rsid w:val="00784C46"/>
    <w:rsid w:val="00784E7B"/>
    <w:rsid w:val="00785D15"/>
    <w:rsid w:val="0078621F"/>
    <w:rsid w:val="0078667F"/>
    <w:rsid w:val="007867AC"/>
    <w:rsid w:val="0078697C"/>
    <w:rsid w:val="00786C16"/>
    <w:rsid w:val="0078745F"/>
    <w:rsid w:val="00787735"/>
    <w:rsid w:val="00790494"/>
    <w:rsid w:val="00790910"/>
    <w:rsid w:val="00790917"/>
    <w:rsid w:val="00790953"/>
    <w:rsid w:val="00790D92"/>
    <w:rsid w:val="00791341"/>
    <w:rsid w:val="00791383"/>
    <w:rsid w:val="0079145D"/>
    <w:rsid w:val="00791481"/>
    <w:rsid w:val="00791824"/>
    <w:rsid w:val="00791C31"/>
    <w:rsid w:val="00791DE1"/>
    <w:rsid w:val="00791FE5"/>
    <w:rsid w:val="007922C3"/>
    <w:rsid w:val="0079231F"/>
    <w:rsid w:val="007928BD"/>
    <w:rsid w:val="007928FA"/>
    <w:rsid w:val="00792EF6"/>
    <w:rsid w:val="0079306B"/>
    <w:rsid w:val="00793362"/>
    <w:rsid w:val="00793370"/>
    <w:rsid w:val="00793FBE"/>
    <w:rsid w:val="0079400B"/>
    <w:rsid w:val="007940EF"/>
    <w:rsid w:val="00794324"/>
    <w:rsid w:val="007943FA"/>
    <w:rsid w:val="007947A0"/>
    <w:rsid w:val="00794C09"/>
    <w:rsid w:val="0079511E"/>
    <w:rsid w:val="0079553A"/>
    <w:rsid w:val="007957C1"/>
    <w:rsid w:val="00795975"/>
    <w:rsid w:val="00795AF6"/>
    <w:rsid w:val="00796B03"/>
    <w:rsid w:val="00797285"/>
    <w:rsid w:val="007974F9"/>
    <w:rsid w:val="00797574"/>
    <w:rsid w:val="0079778D"/>
    <w:rsid w:val="00797B43"/>
    <w:rsid w:val="00797E6A"/>
    <w:rsid w:val="007A00B0"/>
    <w:rsid w:val="007A02A6"/>
    <w:rsid w:val="007A0563"/>
    <w:rsid w:val="007A07A5"/>
    <w:rsid w:val="007A0C02"/>
    <w:rsid w:val="007A0E3A"/>
    <w:rsid w:val="007A0E5C"/>
    <w:rsid w:val="007A1179"/>
    <w:rsid w:val="007A137C"/>
    <w:rsid w:val="007A1397"/>
    <w:rsid w:val="007A1412"/>
    <w:rsid w:val="007A1856"/>
    <w:rsid w:val="007A189D"/>
    <w:rsid w:val="007A1BD3"/>
    <w:rsid w:val="007A204E"/>
    <w:rsid w:val="007A270D"/>
    <w:rsid w:val="007A288A"/>
    <w:rsid w:val="007A2B7A"/>
    <w:rsid w:val="007A2E9B"/>
    <w:rsid w:val="007A30F2"/>
    <w:rsid w:val="007A317D"/>
    <w:rsid w:val="007A3289"/>
    <w:rsid w:val="007A3A8C"/>
    <w:rsid w:val="007A3A9E"/>
    <w:rsid w:val="007A3DD8"/>
    <w:rsid w:val="007A45C3"/>
    <w:rsid w:val="007A4CA3"/>
    <w:rsid w:val="007A5573"/>
    <w:rsid w:val="007A5721"/>
    <w:rsid w:val="007A5932"/>
    <w:rsid w:val="007A5EE5"/>
    <w:rsid w:val="007A5F55"/>
    <w:rsid w:val="007A6443"/>
    <w:rsid w:val="007A69E9"/>
    <w:rsid w:val="007A6D7B"/>
    <w:rsid w:val="007A75D9"/>
    <w:rsid w:val="007A7FDA"/>
    <w:rsid w:val="007B0360"/>
    <w:rsid w:val="007B06F6"/>
    <w:rsid w:val="007B0932"/>
    <w:rsid w:val="007B09D6"/>
    <w:rsid w:val="007B0C68"/>
    <w:rsid w:val="007B0E0C"/>
    <w:rsid w:val="007B0E54"/>
    <w:rsid w:val="007B165C"/>
    <w:rsid w:val="007B1C5D"/>
    <w:rsid w:val="007B1E35"/>
    <w:rsid w:val="007B1F97"/>
    <w:rsid w:val="007B23EE"/>
    <w:rsid w:val="007B244D"/>
    <w:rsid w:val="007B2669"/>
    <w:rsid w:val="007B26D1"/>
    <w:rsid w:val="007B2997"/>
    <w:rsid w:val="007B2DD9"/>
    <w:rsid w:val="007B2F94"/>
    <w:rsid w:val="007B339A"/>
    <w:rsid w:val="007B3408"/>
    <w:rsid w:val="007B34AF"/>
    <w:rsid w:val="007B40BF"/>
    <w:rsid w:val="007B41F7"/>
    <w:rsid w:val="007B423D"/>
    <w:rsid w:val="007B44D4"/>
    <w:rsid w:val="007B5189"/>
    <w:rsid w:val="007B523D"/>
    <w:rsid w:val="007B5657"/>
    <w:rsid w:val="007B56E8"/>
    <w:rsid w:val="007B5884"/>
    <w:rsid w:val="007B58C3"/>
    <w:rsid w:val="007B5F2D"/>
    <w:rsid w:val="007B636E"/>
    <w:rsid w:val="007B6B59"/>
    <w:rsid w:val="007B6CFB"/>
    <w:rsid w:val="007B6E7F"/>
    <w:rsid w:val="007B6EFE"/>
    <w:rsid w:val="007B6F00"/>
    <w:rsid w:val="007B72D9"/>
    <w:rsid w:val="007B78EB"/>
    <w:rsid w:val="007B7967"/>
    <w:rsid w:val="007B7CC1"/>
    <w:rsid w:val="007B7D64"/>
    <w:rsid w:val="007C099D"/>
    <w:rsid w:val="007C0AA2"/>
    <w:rsid w:val="007C0AEE"/>
    <w:rsid w:val="007C0B1C"/>
    <w:rsid w:val="007C12C4"/>
    <w:rsid w:val="007C18BE"/>
    <w:rsid w:val="007C1A8E"/>
    <w:rsid w:val="007C2181"/>
    <w:rsid w:val="007C240D"/>
    <w:rsid w:val="007C26E5"/>
    <w:rsid w:val="007C27F8"/>
    <w:rsid w:val="007C2DB6"/>
    <w:rsid w:val="007C328A"/>
    <w:rsid w:val="007C37F6"/>
    <w:rsid w:val="007C38C4"/>
    <w:rsid w:val="007C3B45"/>
    <w:rsid w:val="007C4018"/>
    <w:rsid w:val="007C44CF"/>
    <w:rsid w:val="007C45B0"/>
    <w:rsid w:val="007C45FB"/>
    <w:rsid w:val="007C4896"/>
    <w:rsid w:val="007C4947"/>
    <w:rsid w:val="007C5436"/>
    <w:rsid w:val="007C563A"/>
    <w:rsid w:val="007C5917"/>
    <w:rsid w:val="007C5F74"/>
    <w:rsid w:val="007C644D"/>
    <w:rsid w:val="007C68A9"/>
    <w:rsid w:val="007C693B"/>
    <w:rsid w:val="007C69E5"/>
    <w:rsid w:val="007C720A"/>
    <w:rsid w:val="007C72C4"/>
    <w:rsid w:val="007C7D60"/>
    <w:rsid w:val="007C7D8C"/>
    <w:rsid w:val="007D00F1"/>
    <w:rsid w:val="007D029E"/>
    <w:rsid w:val="007D0A88"/>
    <w:rsid w:val="007D0E37"/>
    <w:rsid w:val="007D0FD3"/>
    <w:rsid w:val="007D1092"/>
    <w:rsid w:val="007D18C2"/>
    <w:rsid w:val="007D19D7"/>
    <w:rsid w:val="007D1D4B"/>
    <w:rsid w:val="007D1FA7"/>
    <w:rsid w:val="007D1FC5"/>
    <w:rsid w:val="007D2000"/>
    <w:rsid w:val="007D2621"/>
    <w:rsid w:val="007D273B"/>
    <w:rsid w:val="007D291F"/>
    <w:rsid w:val="007D299E"/>
    <w:rsid w:val="007D2D34"/>
    <w:rsid w:val="007D3E42"/>
    <w:rsid w:val="007D4505"/>
    <w:rsid w:val="007D451D"/>
    <w:rsid w:val="007D4814"/>
    <w:rsid w:val="007D4E47"/>
    <w:rsid w:val="007D508E"/>
    <w:rsid w:val="007D5722"/>
    <w:rsid w:val="007D5CCC"/>
    <w:rsid w:val="007D6232"/>
    <w:rsid w:val="007D6486"/>
    <w:rsid w:val="007D690A"/>
    <w:rsid w:val="007D6C56"/>
    <w:rsid w:val="007D6CA2"/>
    <w:rsid w:val="007D71CB"/>
    <w:rsid w:val="007D7529"/>
    <w:rsid w:val="007D7A15"/>
    <w:rsid w:val="007D7C96"/>
    <w:rsid w:val="007D7E37"/>
    <w:rsid w:val="007E019A"/>
    <w:rsid w:val="007E0856"/>
    <w:rsid w:val="007E08A9"/>
    <w:rsid w:val="007E0F52"/>
    <w:rsid w:val="007E0FB4"/>
    <w:rsid w:val="007E1253"/>
    <w:rsid w:val="007E14B6"/>
    <w:rsid w:val="007E1669"/>
    <w:rsid w:val="007E1839"/>
    <w:rsid w:val="007E1898"/>
    <w:rsid w:val="007E1B36"/>
    <w:rsid w:val="007E1FCF"/>
    <w:rsid w:val="007E20FD"/>
    <w:rsid w:val="007E21C1"/>
    <w:rsid w:val="007E2435"/>
    <w:rsid w:val="007E25A7"/>
    <w:rsid w:val="007E25E0"/>
    <w:rsid w:val="007E2CF3"/>
    <w:rsid w:val="007E3092"/>
    <w:rsid w:val="007E30EC"/>
    <w:rsid w:val="007E3504"/>
    <w:rsid w:val="007E3562"/>
    <w:rsid w:val="007E3692"/>
    <w:rsid w:val="007E3D09"/>
    <w:rsid w:val="007E3E51"/>
    <w:rsid w:val="007E3E6D"/>
    <w:rsid w:val="007E3E9D"/>
    <w:rsid w:val="007E415A"/>
    <w:rsid w:val="007E4411"/>
    <w:rsid w:val="007E44FA"/>
    <w:rsid w:val="007E5284"/>
    <w:rsid w:val="007E5363"/>
    <w:rsid w:val="007E5DCF"/>
    <w:rsid w:val="007E6069"/>
    <w:rsid w:val="007E63BE"/>
    <w:rsid w:val="007E63DD"/>
    <w:rsid w:val="007E6718"/>
    <w:rsid w:val="007E69B3"/>
    <w:rsid w:val="007E7BF0"/>
    <w:rsid w:val="007E7D2D"/>
    <w:rsid w:val="007E7E66"/>
    <w:rsid w:val="007F01CB"/>
    <w:rsid w:val="007F03CB"/>
    <w:rsid w:val="007F08CA"/>
    <w:rsid w:val="007F0A48"/>
    <w:rsid w:val="007F0AAE"/>
    <w:rsid w:val="007F0E89"/>
    <w:rsid w:val="007F1B64"/>
    <w:rsid w:val="007F1BA4"/>
    <w:rsid w:val="007F1D0D"/>
    <w:rsid w:val="007F1D3E"/>
    <w:rsid w:val="007F1DCA"/>
    <w:rsid w:val="007F1E96"/>
    <w:rsid w:val="007F2096"/>
    <w:rsid w:val="007F222F"/>
    <w:rsid w:val="007F23E2"/>
    <w:rsid w:val="007F24B9"/>
    <w:rsid w:val="007F2825"/>
    <w:rsid w:val="007F2990"/>
    <w:rsid w:val="007F2D54"/>
    <w:rsid w:val="007F2F62"/>
    <w:rsid w:val="007F2FF3"/>
    <w:rsid w:val="007F3516"/>
    <w:rsid w:val="007F3B6E"/>
    <w:rsid w:val="007F3BBA"/>
    <w:rsid w:val="007F3CF5"/>
    <w:rsid w:val="007F417F"/>
    <w:rsid w:val="007F4450"/>
    <w:rsid w:val="007F455B"/>
    <w:rsid w:val="007F461B"/>
    <w:rsid w:val="007F46F9"/>
    <w:rsid w:val="007F49D5"/>
    <w:rsid w:val="007F551E"/>
    <w:rsid w:val="007F59F5"/>
    <w:rsid w:val="007F5A17"/>
    <w:rsid w:val="007F5A72"/>
    <w:rsid w:val="007F666E"/>
    <w:rsid w:val="007F6A69"/>
    <w:rsid w:val="007F6AEE"/>
    <w:rsid w:val="007F6C3D"/>
    <w:rsid w:val="007F76EA"/>
    <w:rsid w:val="007F7891"/>
    <w:rsid w:val="007F7B89"/>
    <w:rsid w:val="007F7F9C"/>
    <w:rsid w:val="0080031D"/>
    <w:rsid w:val="00800410"/>
    <w:rsid w:val="00800508"/>
    <w:rsid w:val="00800963"/>
    <w:rsid w:val="00800C31"/>
    <w:rsid w:val="00800F1C"/>
    <w:rsid w:val="008015F2"/>
    <w:rsid w:val="008016AE"/>
    <w:rsid w:val="00801AA8"/>
    <w:rsid w:val="00801C79"/>
    <w:rsid w:val="00801C9B"/>
    <w:rsid w:val="00802283"/>
    <w:rsid w:val="008024EE"/>
    <w:rsid w:val="00802506"/>
    <w:rsid w:val="008026A7"/>
    <w:rsid w:val="0080309D"/>
    <w:rsid w:val="008030CE"/>
    <w:rsid w:val="00803310"/>
    <w:rsid w:val="00803395"/>
    <w:rsid w:val="008033AA"/>
    <w:rsid w:val="008036EE"/>
    <w:rsid w:val="008037DB"/>
    <w:rsid w:val="0080402D"/>
    <w:rsid w:val="00804B79"/>
    <w:rsid w:val="00804C17"/>
    <w:rsid w:val="00804CAA"/>
    <w:rsid w:val="00804E7B"/>
    <w:rsid w:val="008053E0"/>
    <w:rsid w:val="008055F5"/>
    <w:rsid w:val="008058E8"/>
    <w:rsid w:val="00805A08"/>
    <w:rsid w:val="00805D9C"/>
    <w:rsid w:val="00805E2E"/>
    <w:rsid w:val="0080627A"/>
    <w:rsid w:val="00806414"/>
    <w:rsid w:val="00806434"/>
    <w:rsid w:val="008064E1"/>
    <w:rsid w:val="008067B8"/>
    <w:rsid w:val="00806866"/>
    <w:rsid w:val="00806B2D"/>
    <w:rsid w:val="00806F9E"/>
    <w:rsid w:val="0080745A"/>
    <w:rsid w:val="008075F9"/>
    <w:rsid w:val="008079E3"/>
    <w:rsid w:val="0081049A"/>
    <w:rsid w:val="00810B1F"/>
    <w:rsid w:val="00810C0C"/>
    <w:rsid w:val="008110BC"/>
    <w:rsid w:val="008110D0"/>
    <w:rsid w:val="00811594"/>
    <w:rsid w:val="0081171D"/>
    <w:rsid w:val="008118AD"/>
    <w:rsid w:val="00811B45"/>
    <w:rsid w:val="00811F97"/>
    <w:rsid w:val="00812529"/>
    <w:rsid w:val="0081275D"/>
    <w:rsid w:val="00812898"/>
    <w:rsid w:val="00812C04"/>
    <w:rsid w:val="00813095"/>
    <w:rsid w:val="00813288"/>
    <w:rsid w:val="0081335F"/>
    <w:rsid w:val="00813914"/>
    <w:rsid w:val="00813EED"/>
    <w:rsid w:val="008142DF"/>
    <w:rsid w:val="0081432D"/>
    <w:rsid w:val="0081483B"/>
    <w:rsid w:val="00814AAB"/>
    <w:rsid w:val="00814B21"/>
    <w:rsid w:val="00814B81"/>
    <w:rsid w:val="00814BB7"/>
    <w:rsid w:val="00814BF5"/>
    <w:rsid w:val="0081530F"/>
    <w:rsid w:val="00815895"/>
    <w:rsid w:val="00815ADC"/>
    <w:rsid w:val="00815CA3"/>
    <w:rsid w:val="0081667B"/>
    <w:rsid w:val="008166B8"/>
    <w:rsid w:val="00816C79"/>
    <w:rsid w:val="00816FEF"/>
    <w:rsid w:val="008170DA"/>
    <w:rsid w:val="008172DE"/>
    <w:rsid w:val="00817537"/>
    <w:rsid w:val="008178E2"/>
    <w:rsid w:val="00817B3C"/>
    <w:rsid w:val="00817D2C"/>
    <w:rsid w:val="0082012B"/>
    <w:rsid w:val="008201CE"/>
    <w:rsid w:val="00820496"/>
    <w:rsid w:val="00820603"/>
    <w:rsid w:val="00820E7C"/>
    <w:rsid w:val="00820F7A"/>
    <w:rsid w:val="00821772"/>
    <w:rsid w:val="00821A29"/>
    <w:rsid w:val="00821AF2"/>
    <w:rsid w:val="00821C43"/>
    <w:rsid w:val="0082215F"/>
    <w:rsid w:val="00822847"/>
    <w:rsid w:val="0082293C"/>
    <w:rsid w:val="00822AB7"/>
    <w:rsid w:val="00822ACC"/>
    <w:rsid w:val="00822F3B"/>
    <w:rsid w:val="00823233"/>
    <w:rsid w:val="008240CA"/>
    <w:rsid w:val="0082415D"/>
    <w:rsid w:val="00824282"/>
    <w:rsid w:val="0082428C"/>
    <w:rsid w:val="00824426"/>
    <w:rsid w:val="00824658"/>
    <w:rsid w:val="008247D0"/>
    <w:rsid w:val="008250B6"/>
    <w:rsid w:val="0082519B"/>
    <w:rsid w:val="008253B3"/>
    <w:rsid w:val="0082585D"/>
    <w:rsid w:val="0082588C"/>
    <w:rsid w:val="00825C2F"/>
    <w:rsid w:val="00825DA3"/>
    <w:rsid w:val="0082663B"/>
    <w:rsid w:val="008268F5"/>
    <w:rsid w:val="00826C93"/>
    <w:rsid w:val="00826CAD"/>
    <w:rsid w:val="00826FBA"/>
    <w:rsid w:val="00827282"/>
    <w:rsid w:val="008272AA"/>
    <w:rsid w:val="008274C9"/>
    <w:rsid w:val="00827FC0"/>
    <w:rsid w:val="0083048D"/>
    <w:rsid w:val="00830C5B"/>
    <w:rsid w:val="00830D62"/>
    <w:rsid w:val="00830E52"/>
    <w:rsid w:val="008311E1"/>
    <w:rsid w:val="008314A1"/>
    <w:rsid w:val="00831AB1"/>
    <w:rsid w:val="00832310"/>
    <w:rsid w:val="008324E3"/>
    <w:rsid w:val="00832619"/>
    <w:rsid w:val="008326CE"/>
    <w:rsid w:val="00832766"/>
    <w:rsid w:val="008327F6"/>
    <w:rsid w:val="00832838"/>
    <w:rsid w:val="008329A8"/>
    <w:rsid w:val="00832CBA"/>
    <w:rsid w:val="00832E95"/>
    <w:rsid w:val="00832EE9"/>
    <w:rsid w:val="00833518"/>
    <w:rsid w:val="00833601"/>
    <w:rsid w:val="00833780"/>
    <w:rsid w:val="0083395C"/>
    <w:rsid w:val="00833D8C"/>
    <w:rsid w:val="00833E50"/>
    <w:rsid w:val="00834C38"/>
    <w:rsid w:val="00834DD9"/>
    <w:rsid w:val="00834FCC"/>
    <w:rsid w:val="008351B4"/>
    <w:rsid w:val="0083596B"/>
    <w:rsid w:val="008359B2"/>
    <w:rsid w:val="00836250"/>
    <w:rsid w:val="00836897"/>
    <w:rsid w:val="00836E8D"/>
    <w:rsid w:val="00836F9D"/>
    <w:rsid w:val="0083789A"/>
    <w:rsid w:val="00837BD0"/>
    <w:rsid w:val="00837C2B"/>
    <w:rsid w:val="00837DED"/>
    <w:rsid w:val="00837FDB"/>
    <w:rsid w:val="00840178"/>
    <w:rsid w:val="008401A5"/>
    <w:rsid w:val="0084026D"/>
    <w:rsid w:val="0084072D"/>
    <w:rsid w:val="00841110"/>
    <w:rsid w:val="00841508"/>
    <w:rsid w:val="0084168B"/>
    <w:rsid w:val="0084173F"/>
    <w:rsid w:val="008417A9"/>
    <w:rsid w:val="00841AF5"/>
    <w:rsid w:val="00841F71"/>
    <w:rsid w:val="0084209B"/>
    <w:rsid w:val="00842422"/>
    <w:rsid w:val="008424F6"/>
    <w:rsid w:val="00842955"/>
    <w:rsid w:val="00842AF5"/>
    <w:rsid w:val="00842B37"/>
    <w:rsid w:val="00843A41"/>
    <w:rsid w:val="0084430E"/>
    <w:rsid w:val="00844493"/>
    <w:rsid w:val="008444A3"/>
    <w:rsid w:val="00844502"/>
    <w:rsid w:val="008446E1"/>
    <w:rsid w:val="00844F4F"/>
    <w:rsid w:val="00844F65"/>
    <w:rsid w:val="008457B8"/>
    <w:rsid w:val="00845946"/>
    <w:rsid w:val="00845AF8"/>
    <w:rsid w:val="00845E69"/>
    <w:rsid w:val="00846AAC"/>
    <w:rsid w:val="00846CB3"/>
    <w:rsid w:val="00846D64"/>
    <w:rsid w:val="00846E01"/>
    <w:rsid w:val="00846FDA"/>
    <w:rsid w:val="008470A6"/>
    <w:rsid w:val="0084710D"/>
    <w:rsid w:val="0084722A"/>
    <w:rsid w:val="00847583"/>
    <w:rsid w:val="008476A0"/>
    <w:rsid w:val="00847948"/>
    <w:rsid w:val="008479C1"/>
    <w:rsid w:val="00847A59"/>
    <w:rsid w:val="00847BFD"/>
    <w:rsid w:val="00847FF5"/>
    <w:rsid w:val="008501C4"/>
    <w:rsid w:val="00850774"/>
    <w:rsid w:val="0085093D"/>
    <w:rsid w:val="0085147E"/>
    <w:rsid w:val="00851D87"/>
    <w:rsid w:val="00852382"/>
    <w:rsid w:val="00852554"/>
    <w:rsid w:val="00852681"/>
    <w:rsid w:val="00852688"/>
    <w:rsid w:val="00852BC6"/>
    <w:rsid w:val="00852F38"/>
    <w:rsid w:val="00853AC1"/>
    <w:rsid w:val="00853B15"/>
    <w:rsid w:val="00853B53"/>
    <w:rsid w:val="00853D84"/>
    <w:rsid w:val="0085427E"/>
    <w:rsid w:val="008548CE"/>
    <w:rsid w:val="00854AD0"/>
    <w:rsid w:val="00854C36"/>
    <w:rsid w:val="00854CBA"/>
    <w:rsid w:val="008550A7"/>
    <w:rsid w:val="0085525B"/>
    <w:rsid w:val="008556D9"/>
    <w:rsid w:val="00855757"/>
    <w:rsid w:val="00855EAE"/>
    <w:rsid w:val="008567CD"/>
    <w:rsid w:val="008569D4"/>
    <w:rsid w:val="00856C34"/>
    <w:rsid w:val="00856F8A"/>
    <w:rsid w:val="0085703D"/>
    <w:rsid w:val="008570D1"/>
    <w:rsid w:val="00857130"/>
    <w:rsid w:val="00857527"/>
    <w:rsid w:val="00857664"/>
    <w:rsid w:val="00857B78"/>
    <w:rsid w:val="00857F15"/>
    <w:rsid w:val="008604EB"/>
    <w:rsid w:val="0086051D"/>
    <w:rsid w:val="008609F8"/>
    <w:rsid w:val="00860B87"/>
    <w:rsid w:val="00860DA9"/>
    <w:rsid w:val="00860FE7"/>
    <w:rsid w:val="00861545"/>
    <w:rsid w:val="0086181F"/>
    <w:rsid w:val="00861B74"/>
    <w:rsid w:val="00861C09"/>
    <w:rsid w:val="00861CC1"/>
    <w:rsid w:val="0086277F"/>
    <w:rsid w:val="00862AD4"/>
    <w:rsid w:val="00862D41"/>
    <w:rsid w:val="00862D73"/>
    <w:rsid w:val="00863477"/>
    <w:rsid w:val="008637DE"/>
    <w:rsid w:val="00863807"/>
    <w:rsid w:val="008638F1"/>
    <w:rsid w:val="00863B49"/>
    <w:rsid w:val="00863C08"/>
    <w:rsid w:val="00864508"/>
    <w:rsid w:val="00864B5E"/>
    <w:rsid w:val="00864BCC"/>
    <w:rsid w:val="00864C4C"/>
    <w:rsid w:val="008653ED"/>
    <w:rsid w:val="0086540E"/>
    <w:rsid w:val="0086544F"/>
    <w:rsid w:val="00865584"/>
    <w:rsid w:val="0086558E"/>
    <w:rsid w:val="008656F1"/>
    <w:rsid w:val="008658C7"/>
    <w:rsid w:val="00865ADB"/>
    <w:rsid w:val="00865DC1"/>
    <w:rsid w:val="00865E30"/>
    <w:rsid w:val="00865F81"/>
    <w:rsid w:val="0086607F"/>
    <w:rsid w:val="00866457"/>
    <w:rsid w:val="00866DB2"/>
    <w:rsid w:val="00866F89"/>
    <w:rsid w:val="00867322"/>
    <w:rsid w:val="0086753E"/>
    <w:rsid w:val="008679CB"/>
    <w:rsid w:val="00867B7F"/>
    <w:rsid w:val="00867C29"/>
    <w:rsid w:val="00867EAC"/>
    <w:rsid w:val="00870089"/>
    <w:rsid w:val="00870174"/>
    <w:rsid w:val="00870281"/>
    <w:rsid w:val="00870321"/>
    <w:rsid w:val="008703D6"/>
    <w:rsid w:val="00870561"/>
    <w:rsid w:val="00870660"/>
    <w:rsid w:val="00870682"/>
    <w:rsid w:val="00871032"/>
    <w:rsid w:val="0087105F"/>
    <w:rsid w:val="0087143D"/>
    <w:rsid w:val="0087167A"/>
    <w:rsid w:val="0087180C"/>
    <w:rsid w:val="00871B85"/>
    <w:rsid w:val="00871EE8"/>
    <w:rsid w:val="008725AC"/>
    <w:rsid w:val="0087262F"/>
    <w:rsid w:val="00872BF0"/>
    <w:rsid w:val="00872D5B"/>
    <w:rsid w:val="00872DCE"/>
    <w:rsid w:val="00872F6B"/>
    <w:rsid w:val="00873118"/>
    <w:rsid w:val="0087335F"/>
    <w:rsid w:val="00873959"/>
    <w:rsid w:val="00873BDC"/>
    <w:rsid w:val="008741C2"/>
    <w:rsid w:val="00874454"/>
    <w:rsid w:val="00874DCA"/>
    <w:rsid w:val="00874F8D"/>
    <w:rsid w:val="008750F9"/>
    <w:rsid w:val="00875137"/>
    <w:rsid w:val="00875341"/>
    <w:rsid w:val="0087536F"/>
    <w:rsid w:val="00875767"/>
    <w:rsid w:val="0087586A"/>
    <w:rsid w:val="0087587D"/>
    <w:rsid w:val="00875CC0"/>
    <w:rsid w:val="00875E97"/>
    <w:rsid w:val="00875E98"/>
    <w:rsid w:val="00877261"/>
    <w:rsid w:val="008773C0"/>
    <w:rsid w:val="00877883"/>
    <w:rsid w:val="0087794D"/>
    <w:rsid w:val="00877A6B"/>
    <w:rsid w:val="00877D1E"/>
    <w:rsid w:val="0088011F"/>
    <w:rsid w:val="00880130"/>
    <w:rsid w:val="008801A8"/>
    <w:rsid w:val="0088022C"/>
    <w:rsid w:val="00880700"/>
    <w:rsid w:val="00880822"/>
    <w:rsid w:val="008808FA"/>
    <w:rsid w:val="00880A40"/>
    <w:rsid w:val="00880C8A"/>
    <w:rsid w:val="00880D4C"/>
    <w:rsid w:val="00880E1E"/>
    <w:rsid w:val="00881B45"/>
    <w:rsid w:val="00881F8F"/>
    <w:rsid w:val="00882412"/>
    <w:rsid w:val="008827A9"/>
    <w:rsid w:val="00882A08"/>
    <w:rsid w:val="00882E22"/>
    <w:rsid w:val="008830E5"/>
    <w:rsid w:val="0088322A"/>
    <w:rsid w:val="00883A05"/>
    <w:rsid w:val="00883D27"/>
    <w:rsid w:val="00883D40"/>
    <w:rsid w:val="00883E74"/>
    <w:rsid w:val="008842F5"/>
    <w:rsid w:val="008857DA"/>
    <w:rsid w:val="00885BA8"/>
    <w:rsid w:val="00885F94"/>
    <w:rsid w:val="008863A9"/>
    <w:rsid w:val="0088641E"/>
    <w:rsid w:val="0088679A"/>
    <w:rsid w:val="00886851"/>
    <w:rsid w:val="00886858"/>
    <w:rsid w:val="008869F4"/>
    <w:rsid w:val="00887275"/>
    <w:rsid w:val="00887A2B"/>
    <w:rsid w:val="00887DAC"/>
    <w:rsid w:val="00887FE6"/>
    <w:rsid w:val="0089073F"/>
    <w:rsid w:val="0089089E"/>
    <w:rsid w:val="00890F22"/>
    <w:rsid w:val="00891266"/>
    <w:rsid w:val="00891348"/>
    <w:rsid w:val="00891408"/>
    <w:rsid w:val="0089157A"/>
    <w:rsid w:val="008915D6"/>
    <w:rsid w:val="00891A9A"/>
    <w:rsid w:val="00891D6C"/>
    <w:rsid w:val="00891FD8"/>
    <w:rsid w:val="00892138"/>
    <w:rsid w:val="00892390"/>
    <w:rsid w:val="008924BC"/>
    <w:rsid w:val="00892835"/>
    <w:rsid w:val="00892C60"/>
    <w:rsid w:val="008934E0"/>
    <w:rsid w:val="00893A20"/>
    <w:rsid w:val="00893AC2"/>
    <w:rsid w:val="00893D80"/>
    <w:rsid w:val="00893EEF"/>
    <w:rsid w:val="008940F6"/>
    <w:rsid w:val="0089429E"/>
    <w:rsid w:val="00894342"/>
    <w:rsid w:val="00894423"/>
    <w:rsid w:val="0089513B"/>
    <w:rsid w:val="00895156"/>
    <w:rsid w:val="008954AB"/>
    <w:rsid w:val="00895573"/>
    <w:rsid w:val="0089584B"/>
    <w:rsid w:val="00895D19"/>
    <w:rsid w:val="00896342"/>
    <w:rsid w:val="00897294"/>
    <w:rsid w:val="00897619"/>
    <w:rsid w:val="00897C5D"/>
    <w:rsid w:val="00897E2F"/>
    <w:rsid w:val="00897E4E"/>
    <w:rsid w:val="00897E85"/>
    <w:rsid w:val="008A0306"/>
    <w:rsid w:val="008A0399"/>
    <w:rsid w:val="008A03DE"/>
    <w:rsid w:val="008A04A1"/>
    <w:rsid w:val="008A0574"/>
    <w:rsid w:val="008A06CE"/>
    <w:rsid w:val="008A0E00"/>
    <w:rsid w:val="008A101E"/>
    <w:rsid w:val="008A13FD"/>
    <w:rsid w:val="008A14F9"/>
    <w:rsid w:val="008A1543"/>
    <w:rsid w:val="008A17F6"/>
    <w:rsid w:val="008A18DA"/>
    <w:rsid w:val="008A1B5E"/>
    <w:rsid w:val="008A1E24"/>
    <w:rsid w:val="008A21E0"/>
    <w:rsid w:val="008A2215"/>
    <w:rsid w:val="008A2805"/>
    <w:rsid w:val="008A2AC0"/>
    <w:rsid w:val="008A2B2B"/>
    <w:rsid w:val="008A3610"/>
    <w:rsid w:val="008A36B7"/>
    <w:rsid w:val="008A3817"/>
    <w:rsid w:val="008A3C58"/>
    <w:rsid w:val="008A478D"/>
    <w:rsid w:val="008A4880"/>
    <w:rsid w:val="008A4B9D"/>
    <w:rsid w:val="008A4F14"/>
    <w:rsid w:val="008A519F"/>
    <w:rsid w:val="008A52B1"/>
    <w:rsid w:val="008A561C"/>
    <w:rsid w:val="008A5902"/>
    <w:rsid w:val="008A6514"/>
    <w:rsid w:val="008A6A8C"/>
    <w:rsid w:val="008A6B6A"/>
    <w:rsid w:val="008A6E99"/>
    <w:rsid w:val="008A75F0"/>
    <w:rsid w:val="008A766B"/>
    <w:rsid w:val="008A78E2"/>
    <w:rsid w:val="008A791E"/>
    <w:rsid w:val="008A7D99"/>
    <w:rsid w:val="008A7EC7"/>
    <w:rsid w:val="008B019F"/>
    <w:rsid w:val="008B0AFC"/>
    <w:rsid w:val="008B0E08"/>
    <w:rsid w:val="008B118C"/>
    <w:rsid w:val="008B11A0"/>
    <w:rsid w:val="008B11C7"/>
    <w:rsid w:val="008B161F"/>
    <w:rsid w:val="008B1793"/>
    <w:rsid w:val="008B1880"/>
    <w:rsid w:val="008B18F3"/>
    <w:rsid w:val="008B1B67"/>
    <w:rsid w:val="008B1E61"/>
    <w:rsid w:val="008B24E0"/>
    <w:rsid w:val="008B273C"/>
    <w:rsid w:val="008B2B92"/>
    <w:rsid w:val="008B3329"/>
    <w:rsid w:val="008B3389"/>
    <w:rsid w:val="008B33B8"/>
    <w:rsid w:val="008B3C7B"/>
    <w:rsid w:val="008B47E4"/>
    <w:rsid w:val="008B4BDE"/>
    <w:rsid w:val="008B4C52"/>
    <w:rsid w:val="008B4E27"/>
    <w:rsid w:val="008B5013"/>
    <w:rsid w:val="008B523F"/>
    <w:rsid w:val="008B5408"/>
    <w:rsid w:val="008B56D0"/>
    <w:rsid w:val="008B5838"/>
    <w:rsid w:val="008B5B32"/>
    <w:rsid w:val="008B634E"/>
    <w:rsid w:val="008B643C"/>
    <w:rsid w:val="008B693B"/>
    <w:rsid w:val="008B6E1F"/>
    <w:rsid w:val="008B7518"/>
    <w:rsid w:val="008B7703"/>
    <w:rsid w:val="008B7B10"/>
    <w:rsid w:val="008B7EBA"/>
    <w:rsid w:val="008C01C9"/>
    <w:rsid w:val="008C05B5"/>
    <w:rsid w:val="008C0E5F"/>
    <w:rsid w:val="008C1C19"/>
    <w:rsid w:val="008C1FA7"/>
    <w:rsid w:val="008C2525"/>
    <w:rsid w:val="008C3401"/>
    <w:rsid w:val="008C34CD"/>
    <w:rsid w:val="008C350D"/>
    <w:rsid w:val="008C3708"/>
    <w:rsid w:val="008C43B6"/>
    <w:rsid w:val="008C4484"/>
    <w:rsid w:val="008C482E"/>
    <w:rsid w:val="008C4E87"/>
    <w:rsid w:val="008C52C5"/>
    <w:rsid w:val="008C53AA"/>
    <w:rsid w:val="008C5905"/>
    <w:rsid w:val="008C5B38"/>
    <w:rsid w:val="008C5BDD"/>
    <w:rsid w:val="008C5F5F"/>
    <w:rsid w:val="008C6195"/>
    <w:rsid w:val="008C6345"/>
    <w:rsid w:val="008C689F"/>
    <w:rsid w:val="008C6E96"/>
    <w:rsid w:val="008C7F36"/>
    <w:rsid w:val="008D05A4"/>
    <w:rsid w:val="008D0F53"/>
    <w:rsid w:val="008D1AF3"/>
    <w:rsid w:val="008D1D7D"/>
    <w:rsid w:val="008D21A0"/>
    <w:rsid w:val="008D3311"/>
    <w:rsid w:val="008D3724"/>
    <w:rsid w:val="008D3E68"/>
    <w:rsid w:val="008D411B"/>
    <w:rsid w:val="008D4857"/>
    <w:rsid w:val="008D4B33"/>
    <w:rsid w:val="008D4BD9"/>
    <w:rsid w:val="008D4C3E"/>
    <w:rsid w:val="008D4E99"/>
    <w:rsid w:val="008D5068"/>
    <w:rsid w:val="008D53A1"/>
    <w:rsid w:val="008D5459"/>
    <w:rsid w:val="008D58FA"/>
    <w:rsid w:val="008D59B0"/>
    <w:rsid w:val="008D5B12"/>
    <w:rsid w:val="008D6230"/>
    <w:rsid w:val="008D63A9"/>
    <w:rsid w:val="008D6932"/>
    <w:rsid w:val="008D72B3"/>
    <w:rsid w:val="008D735C"/>
    <w:rsid w:val="008D74DC"/>
    <w:rsid w:val="008D74E3"/>
    <w:rsid w:val="008D78FF"/>
    <w:rsid w:val="008D7A24"/>
    <w:rsid w:val="008D7CEE"/>
    <w:rsid w:val="008D7DD0"/>
    <w:rsid w:val="008E045A"/>
    <w:rsid w:val="008E176B"/>
    <w:rsid w:val="008E185F"/>
    <w:rsid w:val="008E18A7"/>
    <w:rsid w:val="008E1B35"/>
    <w:rsid w:val="008E1E57"/>
    <w:rsid w:val="008E2159"/>
    <w:rsid w:val="008E218C"/>
    <w:rsid w:val="008E28D8"/>
    <w:rsid w:val="008E2BE0"/>
    <w:rsid w:val="008E2C15"/>
    <w:rsid w:val="008E2FEE"/>
    <w:rsid w:val="008E3089"/>
    <w:rsid w:val="008E30D1"/>
    <w:rsid w:val="008E3393"/>
    <w:rsid w:val="008E36AD"/>
    <w:rsid w:val="008E3A79"/>
    <w:rsid w:val="008E3B93"/>
    <w:rsid w:val="008E3C74"/>
    <w:rsid w:val="008E3E0B"/>
    <w:rsid w:val="008E3E4A"/>
    <w:rsid w:val="008E40F3"/>
    <w:rsid w:val="008E4282"/>
    <w:rsid w:val="008E429D"/>
    <w:rsid w:val="008E42B9"/>
    <w:rsid w:val="008E4452"/>
    <w:rsid w:val="008E53DE"/>
    <w:rsid w:val="008E5472"/>
    <w:rsid w:val="008E574E"/>
    <w:rsid w:val="008E5ECF"/>
    <w:rsid w:val="008E6391"/>
    <w:rsid w:val="008E69AC"/>
    <w:rsid w:val="008E6DF4"/>
    <w:rsid w:val="008E7A3E"/>
    <w:rsid w:val="008E7CE4"/>
    <w:rsid w:val="008F05F0"/>
    <w:rsid w:val="008F09CC"/>
    <w:rsid w:val="008F1089"/>
    <w:rsid w:val="008F120B"/>
    <w:rsid w:val="008F1321"/>
    <w:rsid w:val="008F1768"/>
    <w:rsid w:val="008F2427"/>
    <w:rsid w:val="008F249F"/>
    <w:rsid w:val="008F24E7"/>
    <w:rsid w:val="008F2A94"/>
    <w:rsid w:val="008F2D5A"/>
    <w:rsid w:val="008F328C"/>
    <w:rsid w:val="008F3503"/>
    <w:rsid w:val="008F3AFD"/>
    <w:rsid w:val="008F3EA6"/>
    <w:rsid w:val="008F497F"/>
    <w:rsid w:val="008F49A1"/>
    <w:rsid w:val="008F49D5"/>
    <w:rsid w:val="008F4C72"/>
    <w:rsid w:val="008F4CD0"/>
    <w:rsid w:val="008F4D9A"/>
    <w:rsid w:val="008F53D4"/>
    <w:rsid w:val="008F5421"/>
    <w:rsid w:val="008F5CAF"/>
    <w:rsid w:val="008F6EFD"/>
    <w:rsid w:val="008F7144"/>
    <w:rsid w:val="008F7217"/>
    <w:rsid w:val="008F7815"/>
    <w:rsid w:val="008F78A2"/>
    <w:rsid w:val="008F7AC2"/>
    <w:rsid w:val="009004CC"/>
    <w:rsid w:val="00900B5C"/>
    <w:rsid w:val="00900F07"/>
    <w:rsid w:val="0090124B"/>
    <w:rsid w:val="0090134D"/>
    <w:rsid w:val="009017D6"/>
    <w:rsid w:val="00901A6F"/>
    <w:rsid w:val="00902044"/>
    <w:rsid w:val="009023C8"/>
    <w:rsid w:val="009026D5"/>
    <w:rsid w:val="0090271F"/>
    <w:rsid w:val="0090276A"/>
    <w:rsid w:val="0090284B"/>
    <w:rsid w:val="00902A91"/>
    <w:rsid w:val="00902C6C"/>
    <w:rsid w:val="00902E36"/>
    <w:rsid w:val="00902FA0"/>
    <w:rsid w:val="00904376"/>
    <w:rsid w:val="009048F6"/>
    <w:rsid w:val="00904A72"/>
    <w:rsid w:val="00904CF1"/>
    <w:rsid w:val="00904E2E"/>
    <w:rsid w:val="00905823"/>
    <w:rsid w:val="00905B9F"/>
    <w:rsid w:val="00905BF8"/>
    <w:rsid w:val="00905D92"/>
    <w:rsid w:val="009063EF"/>
    <w:rsid w:val="009069E9"/>
    <w:rsid w:val="00906EF3"/>
    <w:rsid w:val="00906F45"/>
    <w:rsid w:val="00906FF3"/>
    <w:rsid w:val="009070BE"/>
    <w:rsid w:val="00907166"/>
    <w:rsid w:val="00907438"/>
    <w:rsid w:val="0090763A"/>
    <w:rsid w:val="00907D99"/>
    <w:rsid w:val="00910A7A"/>
    <w:rsid w:val="00910C1D"/>
    <w:rsid w:val="00910CFC"/>
    <w:rsid w:val="00910D0D"/>
    <w:rsid w:val="00910EA3"/>
    <w:rsid w:val="00911108"/>
    <w:rsid w:val="00911640"/>
    <w:rsid w:val="00911D89"/>
    <w:rsid w:val="00911E8D"/>
    <w:rsid w:val="00911F6B"/>
    <w:rsid w:val="00911F9E"/>
    <w:rsid w:val="0091215C"/>
    <w:rsid w:val="00912181"/>
    <w:rsid w:val="00912252"/>
    <w:rsid w:val="0091235C"/>
    <w:rsid w:val="00912524"/>
    <w:rsid w:val="0091274D"/>
    <w:rsid w:val="009130D3"/>
    <w:rsid w:val="009137E3"/>
    <w:rsid w:val="009146BB"/>
    <w:rsid w:val="00914930"/>
    <w:rsid w:val="00914D1D"/>
    <w:rsid w:val="00914DA7"/>
    <w:rsid w:val="00914ED2"/>
    <w:rsid w:val="00915049"/>
    <w:rsid w:val="009150F2"/>
    <w:rsid w:val="0091513F"/>
    <w:rsid w:val="00915368"/>
    <w:rsid w:val="009153A5"/>
    <w:rsid w:val="009157FC"/>
    <w:rsid w:val="00915D8E"/>
    <w:rsid w:val="00915DC0"/>
    <w:rsid w:val="00915F63"/>
    <w:rsid w:val="00915FDA"/>
    <w:rsid w:val="00916025"/>
    <w:rsid w:val="00916040"/>
    <w:rsid w:val="009161E2"/>
    <w:rsid w:val="0091692F"/>
    <w:rsid w:val="00916DB1"/>
    <w:rsid w:val="00916E12"/>
    <w:rsid w:val="00917179"/>
    <w:rsid w:val="00917280"/>
    <w:rsid w:val="009174A4"/>
    <w:rsid w:val="009176CE"/>
    <w:rsid w:val="009177E9"/>
    <w:rsid w:val="0091792F"/>
    <w:rsid w:val="00917AC8"/>
    <w:rsid w:val="0092026F"/>
    <w:rsid w:val="00920821"/>
    <w:rsid w:val="00920A19"/>
    <w:rsid w:val="00920E6D"/>
    <w:rsid w:val="00920F9F"/>
    <w:rsid w:val="00921C37"/>
    <w:rsid w:val="00921FF8"/>
    <w:rsid w:val="0092259B"/>
    <w:rsid w:val="00922B0D"/>
    <w:rsid w:val="00922D32"/>
    <w:rsid w:val="00922D94"/>
    <w:rsid w:val="00922E42"/>
    <w:rsid w:val="00922FBD"/>
    <w:rsid w:val="009236E0"/>
    <w:rsid w:val="00923963"/>
    <w:rsid w:val="00923AE0"/>
    <w:rsid w:val="00923C6B"/>
    <w:rsid w:val="00923DD8"/>
    <w:rsid w:val="00924616"/>
    <w:rsid w:val="0092486A"/>
    <w:rsid w:val="00924892"/>
    <w:rsid w:val="00924B8B"/>
    <w:rsid w:val="00925040"/>
    <w:rsid w:val="0092532A"/>
    <w:rsid w:val="009255B4"/>
    <w:rsid w:val="009259EA"/>
    <w:rsid w:val="0092606A"/>
    <w:rsid w:val="00926092"/>
    <w:rsid w:val="00926B32"/>
    <w:rsid w:val="00926C0B"/>
    <w:rsid w:val="009278E1"/>
    <w:rsid w:val="009279AC"/>
    <w:rsid w:val="00927A02"/>
    <w:rsid w:val="00927BD9"/>
    <w:rsid w:val="00930294"/>
    <w:rsid w:val="009302A5"/>
    <w:rsid w:val="009303AF"/>
    <w:rsid w:val="009303C4"/>
    <w:rsid w:val="009304EA"/>
    <w:rsid w:val="0093050C"/>
    <w:rsid w:val="009305EA"/>
    <w:rsid w:val="009309D1"/>
    <w:rsid w:val="00931815"/>
    <w:rsid w:val="00931A4C"/>
    <w:rsid w:val="0093209B"/>
    <w:rsid w:val="00932192"/>
    <w:rsid w:val="00932195"/>
    <w:rsid w:val="0093235B"/>
    <w:rsid w:val="00932E44"/>
    <w:rsid w:val="0093302E"/>
    <w:rsid w:val="00933083"/>
    <w:rsid w:val="0093314E"/>
    <w:rsid w:val="009331CF"/>
    <w:rsid w:val="00933383"/>
    <w:rsid w:val="009334AC"/>
    <w:rsid w:val="0093357B"/>
    <w:rsid w:val="009335A5"/>
    <w:rsid w:val="00934142"/>
    <w:rsid w:val="00934158"/>
    <w:rsid w:val="00934A01"/>
    <w:rsid w:val="009352AD"/>
    <w:rsid w:val="00935CB7"/>
    <w:rsid w:val="00936358"/>
    <w:rsid w:val="00936534"/>
    <w:rsid w:val="009366E9"/>
    <w:rsid w:val="009368CF"/>
    <w:rsid w:val="009368D1"/>
    <w:rsid w:val="00936BF3"/>
    <w:rsid w:val="00936C52"/>
    <w:rsid w:val="00936D55"/>
    <w:rsid w:val="00936D7F"/>
    <w:rsid w:val="00936F85"/>
    <w:rsid w:val="00937190"/>
    <w:rsid w:val="009371F6"/>
    <w:rsid w:val="009375B3"/>
    <w:rsid w:val="0093790B"/>
    <w:rsid w:val="00937AB0"/>
    <w:rsid w:val="00937D10"/>
    <w:rsid w:val="00937F1D"/>
    <w:rsid w:val="009406BF"/>
    <w:rsid w:val="00940816"/>
    <w:rsid w:val="00940DD6"/>
    <w:rsid w:val="009419A6"/>
    <w:rsid w:val="00942010"/>
    <w:rsid w:val="00942284"/>
    <w:rsid w:val="00942302"/>
    <w:rsid w:val="00942741"/>
    <w:rsid w:val="00942A25"/>
    <w:rsid w:val="00942B3D"/>
    <w:rsid w:val="00942C49"/>
    <w:rsid w:val="00942F29"/>
    <w:rsid w:val="00943074"/>
    <w:rsid w:val="0094320A"/>
    <w:rsid w:val="0094346B"/>
    <w:rsid w:val="0094360A"/>
    <w:rsid w:val="00943E31"/>
    <w:rsid w:val="00943ECD"/>
    <w:rsid w:val="00944629"/>
    <w:rsid w:val="00944897"/>
    <w:rsid w:val="00944D98"/>
    <w:rsid w:val="009457F9"/>
    <w:rsid w:val="00945926"/>
    <w:rsid w:val="00945932"/>
    <w:rsid w:val="009462AD"/>
    <w:rsid w:val="0094645D"/>
    <w:rsid w:val="00946884"/>
    <w:rsid w:val="009468A2"/>
    <w:rsid w:val="00947004"/>
    <w:rsid w:val="0094706E"/>
    <w:rsid w:val="0094729D"/>
    <w:rsid w:val="0094790B"/>
    <w:rsid w:val="00947A5C"/>
    <w:rsid w:val="00947B21"/>
    <w:rsid w:val="00947B2F"/>
    <w:rsid w:val="00947B89"/>
    <w:rsid w:val="00947F38"/>
    <w:rsid w:val="00950287"/>
    <w:rsid w:val="00950529"/>
    <w:rsid w:val="0095053F"/>
    <w:rsid w:val="0095098C"/>
    <w:rsid w:val="00950DD2"/>
    <w:rsid w:val="009513EC"/>
    <w:rsid w:val="0095170D"/>
    <w:rsid w:val="00951B65"/>
    <w:rsid w:val="00951EDD"/>
    <w:rsid w:val="00951F11"/>
    <w:rsid w:val="00952207"/>
    <w:rsid w:val="0095264A"/>
    <w:rsid w:val="00952E3B"/>
    <w:rsid w:val="0095307F"/>
    <w:rsid w:val="0095309D"/>
    <w:rsid w:val="00953911"/>
    <w:rsid w:val="00953958"/>
    <w:rsid w:val="00953B7D"/>
    <w:rsid w:val="00953C7D"/>
    <w:rsid w:val="00953CB3"/>
    <w:rsid w:val="00953D93"/>
    <w:rsid w:val="009540F3"/>
    <w:rsid w:val="00954624"/>
    <w:rsid w:val="00954738"/>
    <w:rsid w:val="00954A4A"/>
    <w:rsid w:val="00954F63"/>
    <w:rsid w:val="00955357"/>
    <w:rsid w:val="0095541A"/>
    <w:rsid w:val="00955526"/>
    <w:rsid w:val="009556E8"/>
    <w:rsid w:val="0095578D"/>
    <w:rsid w:val="00955A4F"/>
    <w:rsid w:val="00955B33"/>
    <w:rsid w:val="00955D96"/>
    <w:rsid w:val="00955DCB"/>
    <w:rsid w:val="00955E0F"/>
    <w:rsid w:val="00955F07"/>
    <w:rsid w:val="00956175"/>
    <w:rsid w:val="00956207"/>
    <w:rsid w:val="009563C0"/>
    <w:rsid w:val="0095645E"/>
    <w:rsid w:val="00956687"/>
    <w:rsid w:val="009568C0"/>
    <w:rsid w:val="00956952"/>
    <w:rsid w:val="00956A44"/>
    <w:rsid w:val="009574EE"/>
    <w:rsid w:val="009574F8"/>
    <w:rsid w:val="009600B5"/>
    <w:rsid w:val="00960246"/>
    <w:rsid w:val="0096029D"/>
    <w:rsid w:val="00960A1D"/>
    <w:rsid w:val="00960A64"/>
    <w:rsid w:val="00960E7A"/>
    <w:rsid w:val="0096101F"/>
    <w:rsid w:val="0096129C"/>
    <w:rsid w:val="00961452"/>
    <w:rsid w:val="009614EB"/>
    <w:rsid w:val="0096167A"/>
    <w:rsid w:val="00961817"/>
    <w:rsid w:val="00961865"/>
    <w:rsid w:val="00961DE2"/>
    <w:rsid w:val="00961F9A"/>
    <w:rsid w:val="00962392"/>
    <w:rsid w:val="009628B4"/>
    <w:rsid w:val="00962D0D"/>
    <w:rsid w:val="009634EA"/>
    <w:rsid w:val="009638D2"/>
    <w:rsid w:val="00963A0F"/>
    <w:rsid w:val="00963ADC"/>
    <w:rsid w:val="00963EF7"/>
    <w:rsid w:val="0096407F"/>
    <w:rsid w:val="009642A8"/>
    <w:rsid w:val="00964511"/>
    <w:rsid w:val="0096467C"/>
    <w:rsid w:val="009647BC"/>
    <w:rsid w:val="00964B47"/>
    <w:rsid w:val="00964B9E"/>
    <w:rsid w:val="00964C2A"/>
    <w:rsid w:val="00964C73"/>
    <w:rsid w:val="00964FF6"/>
    <w:rsid w:val="00965131"/>
    <w:rsid w:val="009651C1"/>
    <w:rsid w:val="009656CE"/>
    <w:rsid w:val="00965833"/>
    <w:rsid w:val="0096584E"/>
    <w:rsid w:val="0096593F"/>
    <w:rsid w:val="00965AED"/>
    <w:rsid w:val="00965F3C"/>
    <w:rsid w:val="00965FD2"/>
    <w:rsid w:val="009667FD"/>
    <w:rsid w:val="009668AF"/>
    <w:rsid w:val="009669C4"/>
    <w:rsid w:val="00966B75"/>
    <w:rsid w:val="00966C09"/>
    <w:rsid w:val="00966D6E"/>
    <w:rsid w:val="00966DAA"/>
    <w:rsid w:val="00967041"/>
    <w:rsid w:val="009670D8"/>
    <w:rsid w:val="00967230"/>
    <w:rsid w:val="0096723F"/>
    <w:rsid w:val="009672DB"/>
    <w:rsid w:val="00967774"/>
    <w:rsid w:val="009677A6"/>
    <w:rsid w:val="009677CF"/>
    <w:rsid w:val="00967829"/>
    <w:rsid w:val="00967BBE"/>
    <w:rsid w:val="00967F0A"/>
    <w:rsid w:val="0097035F"/>
    <w:rsid w:val="00970672"/>
    <w:rsid w:val="00970783"/>
    <w:rsid w:val="00970A0A"/>
    <w:rsid w:val="00970A4B"/>
    <w:rsid w:val="009710B9"/>
    <w:rsid w:val="009710F0"/>
    <w:rsid w:val="0097176A"/>
    <w:rsid w:val="009717BD"/>
    <w:rsid w:val="00971D96"/>
    <w:rsid w:val="00972192"/>
    <w:rsid w:val="00972279"/>
    <w:rsid w:val="00972506"/>
    <w:rsid w:val="00972647"/>
    <w:rsid w:val="00972762"/>
    <w:rsid w:val="00972B73"/>
    <w:rsid w:val="00973A47"/>
    <w:rsid w:val="00973B2F"/>
    <w:rsid w:val="009745B6"/>
    <w:rsid w:val="00974D65"/>
    <w:rsid w:val="00974DFC"/>
    <w:rsid w:val="00975522"/>
    <w:rsid w:val="00975914"/>
    <w:rsid w:val="00975A25"/>
    <w:rsid w:val="00975F2A"/>
    <w:rsid w:val="00975F49"/>
    <w:rsid w:val="009760E9"/>
    <w:rsid w:val="0097623F"/>
    <w:rsid w:val="009762DC"/>
    <w:rsid w:val="009763CE"/>
    <w:rsid w:val="009766F5"/>
    <w:rsid w:val="0097681C"/>
    <w:rsid w:val="009769E6"/>
    <w:rsid w:val="009769FF"/>
    <w:rsid w:val="00976A78"/>
    <w:rsid w:val="00976E5A"/>
    <w:rsid w:val="00977154"/>
    <w:rsid w:val="0097718B"/>
    <w:rsid w:val="009776D8"/>
    <w:rsid w:val="0097779A"/>
    <w:rsid w:val="00977D96"/>
    <w:rsid w:val="00977E2A"/>
    <w:rsid w:val="009800DF"/>
    <w:rsid w:val="0098017B"/>
    <w:rsid w:val="009805FB"/>
    <w:rsid w:val="0098090D"/>
    <w:rsid w:val="00980E34"/>
    <w:rsid w:val="00980F22"/>
    <w:rsid w:val="009813A5"/>
    <w:rsid w:val="009813C1"/>
    <w:rsid w:val="009813F8"/>
    <w:rsid w:val="009814B0"/>
    <w:rsid w:val="009816EF"/>
    <w:rsid w:val="0098175A"/>
    <w:rsid w:val="00981CBF"/>
    <w:rsid w:val="00981EB9"/>
    <w:rsid w:val="00982338"/>
    <w:rsid w:val="00982736"/>
    <w:rsid w:val="009827F9"/>
    <w:rsid w:val="00982AE1"/>
    <w:rsid w:val="00982DB0"/>
    <w:rsid w:val="0098302B"/>
    <w:rsid w:val="00983076"/>
    <w:rsid w:val="009837F7"/>
    <w:rsid w:val="00983C46"/>
    <w:rsid w:val="00983DE2"/>
    <w:rsid w:val="00984441"/>
    <w:rsid w:val="009844CF"/>
    <w:rsid w:val="0098465C"/>
    <w:rsid w:val="009847A7"/>
    <w:rsid w:val="00984D07"/>
    <w:rsid w:val="00984DD8"/>
    <w:rsid w:val="00985F2D"/>
    <w:rsid w:val="00986793"/>
    <w:rsid w:val="00986FF9"/>
    <w:rsid w:val="009870E7"/>
    <w:rsid w:val="00987138"/>
    <w:rsid w:val="00987C59"/>
    <w:rsid w:val="0099085F"/>
    <w:rsid w:val="00990A00"/>
    <w:rsid w:val="00990AE5"/>
    <w:rsid w:val="00991157"/>
    <w:rsid w:val="00991222"/>
    <w:rsid w:val="00991298"/>
    <w:rsid w:val="009915DE"/>
    <w:rsid w:val="009916E1"/>
    <w:rsid w:val="00991B6D"/>
    <w:rsid w:val="00991C99"/>
    <w:rsid w:val="00991E28"/>
    <w:rsid w:val="009920C4"/>
    <w:rsid w:val="009922BD"/>
    <w:rsid w:val="009922EC"/>
    <w:rsid w:val="009925DB"/>
    <w:rsid w:val="0099341F"/>
    <w:rsid w:val="009934C0"/>
    <w:rsid w:val="009939BC"/>
    <w:rsid w:val="00993CC9"/>
    <w:rsid w:val="00993EFB"/>
    <w:rsid w:val="009942B2"/>
    <w:rsid w:val="00994365"/>
    <w:rsid w:val="00994722"/>
    <w:rsid w:val="00994A27"/>
    <w:rsid w:val="00994ABA"/>
    <w:rsid w:val="00994CE1"/>
    <w:rsid w:val="0099502F"/>
    <w:rsid w:val="00995476"/>
    <w:rsid w:val="009960D0"/>
    <w:rsid w:val="00996302"/>
    <w:rsid w:val="0099650E"/>
    <w:rsid w:val="00996603"/>
    <w:rsid w:val="00996915"/>
    <w:rsid w:val="00996C2E"/>
    <w:rsid w:val="009972E2"/>
    <w:rsid w:val="00997441"/>
    <w:rsid w:val="009977E8"/>
    <w:rsid w:val="00997A88"/>
    <w:rsid w:val="00997B05"/>
    <w:rsid w:val="00997C42"/>
    <w:rsid w:val="00997C67"/>
    <w:rsid w:val="009A0462"/>
    <w:rsid w:val="009A0510"/>
    <w:rsid w:val="009A097B"/>
    <w:rsid w:val="009A115C"/>
    <w:rsid w:val="009A1286"/>
    <w:rsid w:val="009A134E"/>
    <w:rsid w:val="009A23E5"/>
    <w:rsid w:val="009A306C"/>
    <w:rsid w:val="009A31D5"/>
    <w:rsid w:val="009A32B2"/>
    <w:rsid w:val="009A356D"/>
    <w:rsid w:val="009A3884"/>
    <w:rsid w:val="009A3910"/>
    <w:rsid w:val="009A3CF0"/>
    <w:rsid w:val="009A3D26"/>
    <w:rsid w:val="009A4A24"/>
    <w:rsid w:val="009A4F44"/>
    <w:rsid w:val="009A5131"/>
    <w:rsid w:val="009A5183"/>
    <w:rsid w:val="009A519F"/>
    <w:rsid w:val="009A57CB"/>
    <w:rsid w:val="009A5DDF"/>
    <w:rsid w:val="009A609C"/>
    <w:rsid w:val="009A6177"/>
    <w:rsid w:val="009A63C4"/>
    <w:rsid w:val="009A6BBB"/>
    <w:rsid w:val="009A6E0A"/>
    <w:rsid w:val="009A6F74"/>
    <w:rsid w:val="009A7412"/>
    <w:rsid w:val="009A7457"/>
    <w:rsid w:val="009A7C8D"/>
    <w:rsid w:val="009A7DDE"/>
    <w:rsid w:val="009A7FC3"/>
    <w:rsid w:val="009B089B"/>
    <w:rsid w:val="009B0A5E"/>
    <w:rsid w:val="009B0AAE"/>
    <w:rsid w:val="009B1298"/>
    <w:rsid w:val="009B12B7"/>
    <w:rsid w:val="009B132D"/>
    <w:rsid w:val="009B1331"/>
    <w:rsid w:val="009B1812"/>
    <w:rsid w:val="009B1DFC"/>
    <w:rsid w:val="009B2776"/>
    <w:rsid w:val="009B2889"/>
    <w:rsid w:val="009B28D7"/>
    <w:rsid w:val="009B2A0B"/>
    <w:rsid w:val="009B2C3A"/>
    <w:rsid w:val="009B2C49"/>
    <w:rsid w:val="009B311D"/>
    <w:rsid w:val="009B3283"/>
    <w:rsid w:val="009B347C"/>
    <w:rsid w:val="009B35EC"/>
    <w:rsid w:val="009B376D"/>
    <w:rsid w:val="009B3DD7"/>
    <w:rsid w:val="009B3E64"/>
    <w:rsid w:val="009B3ECF"/>
    <w:rsid w:val="009B3FC0"/>
    <w:rsid w:val="009B4294"/>
    <w:rsid w:val="009B486B"/>
    <w:rsid w:val="009B48D8"/>
    <w:rsid w:val="009B4DC6"/>
    <w:rsid w:val="009B4E5B"/>
    <w:rsid w:val="009B5377"/>
    <w:rsid w:val="009B5488"/>
    <w:rsid w:val="009B56D6"/>
    <w:rsid w:val="009B5EE9"/>
    <w:rsid w:val="009B63B8"/>
    <w:rsid w:val="009B653D"/>
    <w:rsid w:val="009B6680"/>
    <w:rsid w:val="009B6D81"/>
    <w:rsid w:val="009B6E49"/>
    <w:rsid w:val="009B7087"/>
    <w:rsid w:val="009B7146"/>
    <w:rsid w:val="009B71F0"/>
    <w:rsid w:val="009B72BE"/>
    <w:rsid w:val="009B7434"/>
    <w:rsid w:val="009B7651"/>
    <w:rsid w:val="009B7893"/>
    <w:rsid w:val="009C0190"/>
    <w:rsid w:val="009C06A0"/>
    <w:rsid w:val="009C06B3"/>
    <w:rsid w:val="009C07E9"/>
    <w:rsid w:val="009C0BFA"/>
    <w:rsid w:val="009C0C30"/>
    <w:rsid w:val="009C0D5F"/>
    <w:rsid w:val="009C10B4"/>
    <w:rsid w:val="009C14B9"/>
    <w:rsid w:val="009C1BFF"/>
    <w:rsid w:val="009C1FB0"/>
    <w:rsid w:val="009C2042"/>
    <w:rsid w:val="009C217F"/>
    <w:rsid w:val="009C271D"/>
    <w:rsid w:val="009C2823"/>
    <w:rsid w:val="009C2C48"/>
    <w:rsid w:val="009C31A1"/>
    <w:rsid w:val="009C32A6"/>
    <w:rsid w:val="009C32BE"/>
    <w:rsid w:val="009C33DE"/>
    <w:rsid w:val="009C37F3"/>
    <w:rsid w:val="009C3A17"/>
    <w:rsid w:val="009C439C"/>
    <w:rsid w:val="009C4806"/>
    <w:rsid w:val="009C4B4B"/>
    <w:rsid w:val="009C4BCA"/>
    <w:rsid w:val="009C4D99"/>
    <w:rsid w:val="009C4FFF"/>
    <w:rsid w:val="009C566A"/>
    <w:rsid w:val="009C5CA1"/>
    <w:rsid w:val="009C5D28"/>
    <w:rsid w:val="009C5E06"/>
    <w:rsid w:val="009C63D6"/>
    <w:rsid w:val="009C65A4"/>
    <w:rsid w:val="009C6D90"/>
    <w:rsid w:val="009C7117"/>
    <w:rsid w:val="009C760B"/>
    <w:rsid w:val="009C770F"/>
    <w:rsid w:val="009C7B00"/>
    <w:rsid w:val="009C7B02"/>
    <w:rsid w:val="009D03C2"/>
    <w:rsid w:val="009D053D"/>
    <w:rsid w:val="009D0544"/>
    <w:rsid w:val="009D0F24"/>
    <w:rsid w:val="009D159C"/>
    <w:rsid w:val="009D1663"/>
    <w:rsid w:val="009D17D1"/>
    <w:rsid w:val="009D1972"/>
    <w:rsid w:val="009D1A39"/>
    <w:rsid w:val="009D1CD1"/>
    <w:rsid w:val="009D1E1F"/>
    <w:rsid w:val="009D2B06"/>
    <w:rsid w:val="009D2EBA"/>
    <w:rsid w:val="009D33F6"/>
    <w:rsid w:val="009D3628"/>
    <w:rsid w:val="009D390C"/>
    <w:rsid w:val="009D3C4D"/>
    <w:rsid w:val="009D3D34"/>
    <w:rsid w:val="009D3DE8"/>
    <w:rsid w:val="009D40B5"/>
    <w:rsid w:val="009D4431"/>
    <w:rsid w:val="009D47E7"/>
    <w:rsid w:val="009D49FF"/>
    <w:rsid w:val="009D4A12"/>
    <w:rsid w:val="009D4A49"/>
    <w:rsid w:val="009D4C2A"/>
    <w:rsid w:val="009D506D"/>
    <w:rsid w:val="009D572E"/>
    <w:rsid w:val="009D6108"/>
    <w:rsid w:val="009D66EE"/>
    <w:rsid w:val="009D6914"/>
    <w:rsid w:val="009D6AE1"/>
    <w:rsid w:val="009D6B53"/>
    <w:rsid w:val="009D6DF7"/>
    <w:rsid w:val="009D6F02"/>
    <w:rsid w:val="009D74A5"/>
    <w:rsid w:val="009D77D3"/>
    <w:rsid w:val="009D783D"/>
    <w:rsid w:val="009E00D5"/>
    <w:rsid w:val="009E0287"/>
    <w:rsid w:val="009E0293"/>
    <w:rsid w:val="009E037F"/>
    <w:rsid w:val="009E0612"/>
    <w:rsid w:val="009E08FC"/>
    <w:rsid w:val="009E0D46"/>
    <w:rsid w:val="009E0F03"/>
    <w:rsid w:val="009E0FD9"/>
    <w:rsid w:val="009E16D8"/>
    <w:rsid w:val="009E1C22"/>
    <w:rsid w:val="009E1CD9"/>
    <w:rsid w:val="009E202C"/>
    <w:rsid w:val="009E217D"/>
    <w:rsid w:val="009E2481"/>
    <w:rsid w:val="009E28AD"/>
    <w:rsid w:val="009E2CD8"/>
    <w:rsid w:val="009E2CEF"/>
    <w:rsid w:val="009E367B"/>
    <w:rsid w:val="009E3B01"/>
    <w:rsid w:val="009E3B0E"/>
    <w:rsid w:val="009E437A"/>
    <w:rsid w:val="009E4E65"/>
    <w:rsid w:val="009E520B"/>
    <w:rsid w:val="009E55A0"/>
    <w:rsid w:val="009E5730"/>
    <w:rsid w:val="009E5756"/>
    <w:rsid w:val="009E577F"/>
    <w:rsid w:val="009E58C4"/>
    <w:rsid w:val="009E6142"/>
    <w:rsid w:val="009E650F"/>
    <w:rsid w:val="009E7C4E"/>
    <w:rsid w:val="009E7F0A"/>
    <w:rsid w:val="009F0130"/>
    <w:rsid w:val="009F0A6A"/>
    <w:rsid w:val="009F0CDE"/>
    <w:rsid w:val="009F1B4D"/>
    <w:rsid w:val="009F1DBB"/>
    <w:rsid w:val="009F2085"/>
    <w:rsid w:val="009F2A50"/>
    <w:rsid w:val="009F2CD7"/>
    <w:rsid w:val="009F3014"/>
    <w:rsid w:val="009F301D"/>
    <w:rsid w:val="009F30B3"/>
    <w:rsid w:val="009F31AE"/>
    <w:rsid w:val="009F3622"/>
    <w:rsid w:val="009F3631"/>
    <w:rsid w:val="009F3636"/>
    <w:rsid w:val="009F3790"/>
    <w:rsid w:val="009F3D98"/>
    <w:rsid w:val="009F4615"/>
    <w:rsid w:val="009F5AF6"/>
    <w:rsid w:val="009F5DC8"/>
    <w:rsid w:val="009F6101"/>
    <w:rsid w:val="009F618A"/>
    <w:rsid w:val="009F6284"/>
    <w:rsid w:val="009F6564"/>
    <w:rsid w:val="009F697C"/>
    <w:rsid w:val="009F69F3"/>
    <w:rsid w:val="009F7094"/>
    <w:rsid w:val="009F7BA1"/>
    <w:rsid w:val="009F7C90"/>
    <w:rsid w:val="009F7CEB"/>
    <w:rsid w:val="00A00164"/>
    <w:rsid w:val="00A0054F"/>
    <w:rsid w:val="00A009ED"/>
    <w:rsid w:val="00A00A05"/>
    <w:rsid w:val="00A00B0A"/>
    <w:rsid w:val="00A00BD6"/>
    <w:rsid w:val="00A00D4B"/>
    <w:rsid w:val="00A00D6D"/>
    <w:rsid w:val="00A01094"/>
    <w:rsid w:val="00A011DA"/>
    <w:rsid w:val="00A016D9"/>
    <w:rsid w:val="00A025F1"/>
    <w:rsid w:val="00A035D9"/>
    <w:rsid w:val="00A037EF"/>
    <w:rsid w:val="00A03C1F"/>
    <w:rsid w:val="00A03F43"/>
    <w:rsid w:val="00A040FD"/>
    <w:rsid w:val="00A0426A"/>
    <w:rsid w:val="00A0466C"/>
    <w:rsid w:val="00A04B43"/>
    <w:rsid w:val="00A04C0D"/>
    <w:rsid w:val="00A05B71"/>
    <w:rsid w:val="00A05E62"/>
    <w:rsid w:val="00A05F11"/>
    <w:rsid w:val="00A0632B"/>
    <w:rsid w:val="00A06814"/>
    <w:rsid w:val="00A06896"/>
    <w:rsid w:val="00A0729E"/>
    <w:rsid w:val="00A0745C"/>
    <w:rsid w:val="00A07735"/>
    <w:rsid w:val="00A07A7F"/>
    <w:rsid w:val="00A07E35"/>
    <w:rsid w:val="00A102EE"/>
    <w:rsid w:val="00A1030A"/>
    <w:rsid w:val="00A1058B"/>
    <w:rsid w:val="00A106FF"/>
    <w:rsid w:val="00A1086E"/>
    <w:rsid w:val="00A1099E"/>
    <w:rsid w:val="00A10DC3"/>
    <w:rsid w:val="00A10F03"/>
    <w:rsid w:val="00A10FA3"/>
    <w:rsid w:val="00A117DF"/>
    <w:rsid w:val="00A11973"/>
    <w:rsid w:val="00A119E1"/>
    <w:rsid w:val="00A11AF4"/>
    <w:rsid w:val="00A11D05"/>
    <w:rsid w:val="00A11E67"/>
    <w:rsid w:val="00A120B7"/>
    <w:rsid w:val="00A121FA"/>
    <w:rsid w:val="00A124B8"/>
    <w:rsid w:val="00A1277B"/>
    <w:rsid w:val="00A12983"/>
    <w:rsid w:val="00A12A11"/>
    <w:rsid w:val="00A12BB0"/>
    <w:rsid w:val="00A12C73"/>
    <w:rsid w:val="00A133F2"/>
    <w:rsid w:val="00A134CB"/>
    <w:rsid w:val="00A137C3"/>
    <w:rsid w:val="00A13D24"/>
    <w:rsid w:val="00A13E9F"/>
    <w:rsid w:val="00A13FF5"/>
    <w:rsid w:val="00A14269"/>
    <w:rsid w:val="00A14C86"/>
    <w:rsid w:val="00A14FDB"/>
    <w:rsid w:val="00A15A81"/>
    <w:rsid w:val="00A15AC1"/>
    <w:rsid w:val="00A15F82"/>
    <w:rsid w:val="00A16105"/>
    <w:rsid w:val="00A17126"/>
    <w:rsid w:val="00A17286"/>
    <w:rsid w:val="00A17A82"/>
    <w:rsid w:val="00A203B5"/>
    <w:rsid w:val="00A20514"/>
    <w:rsid w:val="00A20B1A"/>
    <w:rsid w:val="00A212C0"/>
    <w:rsid w:val="00A21438"/>
    <w:rsid w:val="00A21452"/>
    <w:rsid w:val="00A215DC"/>
    <w:rsid w:val="00A2171F"/>
    <w:rsid w:val="00A2188F"/>
    <w:rsid w:val="00A22A39"/>
    <w:rsid w:val="00A22EFA"/>
    <w:rsid w:val="00A2372A"/>
    <w:rsid w:val="00A23848"/>
    <w:rsid w:val="00A23BAE"/>
    <w:rsid w:val="00A23C61"/>
    <w:rsid w:val="00A23DCC"/>
    <w:rsid w:val="00A24584"/>
    <w:rsid w:val="00A24CEF"/>
    <w:rsid w:val="00A24E25"/>
    <w:rsid w:val="00A2545A"/>
    <w:rsid w:val="00A25932"/>
    <w:rsid w:val="00A25A01"/>
    <w:rsid w:val="00A25BA1"/>
    <w:rsid w:val="00A25DA6"/>
    <w:rsid w:val="00A26065"/>
    <w:rsid w:val="00A262D4"/>
    <w:rsid w:val="00A266A7"/>
    <w:rsid w:val="00A26CB2"/>
    <w:rsid w:val="00A26E6F"/>
    <w:rsid w:val="00A27250"/>
    <w:rsid w:val="00A27319"/>
    <w:rsid w:val="00A273F5"/>
    <w:rsid w:val="00A2755E"/>
    <w:rsid w:val="00A27858"/>
    <w:rsid w:val="00A27909"/>
    <w:rsid w:val="00A307B7"/>
    <w:rsid w:val="00A30E7B"/>
    <w:rsid w:val="00A313CA"/>
    <w:rsid w:val="00A31FD7"/>
    <w:rsid w:val="00A32295"/>
    <w:rsid w:val="00A322AC"/>
    <w:rsid w:val="00A32EAE"/>
    <w:rsid w:val="00A32FB9"/>
    <w:rsid w:val="00A32FF8"/>
    <w:rsid w:val="00A3347C"/>
    <w:rsid w:val="00A334EA"/>
    <w:rsid w:val="00A33620"/>
    <w:rsid w:val="00A33ED2"/>
    <w:rsid w:val="00A342F2"/>
    <w:rsid w:val="00A343C4"/>
    <w:rsid w:val="00A343E9"/>
    <w:rsid w:val="00A34785"/>
    <w:rsid w:val="00A355C2"/>
    <w:rsid w:val="00A35B80"/>
    <w:rsid w:val="00A35B99"/>
    <w:rsid w:val="00A35CF2"/>
    <w:rsid w:val="00A35DD0"/>
    <w:rsid w:val="00A360DC"/>
    <w:rsid w:val="00A3656B"/>
    <w:rsid w:val="00A36732"/>
    <w:rsid w:val="00A367C8"/>
    <w:rsid w:val="00A36C35"/>
    <w:rsid w:val="00A36EDF"/>
    <w:rsid w:val="00A379D2"/>
    <w:rsid w:val="00A37A20"/>
    <w:rsid w:val="00A37AC4"/>
    <w:rsid w:val="00A37EFC"/>
    <w:rsid w:val="00A40141"/>
    <w:rsid w:val="00A401FB"/>
    <w:rsid w:val="00A40286"/>
    <w:rsid w:val="00A405A9"/>
    <w:rsid w:val="00A406C8"/>
    <w:rsid w:val="00A4087A"/>
    <w:rsid w:val="00A40904"/>
    <w:rsid w:val="00A40A57"/>
    <w:rsid w:val="00A412DA"/>
    <w:rsid w:val="00A41CAF"/>
    <w:rsid w:val="00A41E5D"/>
    <w:rsid w:val="00A41F5F"/>
    <w:rsid w:val="00A4216A"/>
    <w:rsid w:val="00A42A57"/>
    <w:rsid w:val="00A42BBA"/>
    <w:rsid w:val="00A42BEA"/>
    <w:rsid w:val="00A43058"/>
    <w:rsid w:val="00A434CE"/>
    <w:rsid w:val="00A436FB"/>
    <w:rsid w:val="00A4389D"/>
    <w:rsid w:val="00A43956"/>
    <w:rsid w:val="00A439B1"/>
    <w:rsid w:val="00A43AD6"/>
    <w:rsid w:val="00A43B91"/>
    <w:rsid w:val="00A43CFE"/>
    <w:rsid w:val="00A43E2F"/>
    <w:rsid w:val="00A444CB"/>
    <w:rsid w:val="00A45063"/>
    <w:rsid w:val="00A4523D"/>
    <w:rsid w:val="00A455B6"/>
    <w:rsid w:val="00A465A6"/>
    <w:rsid w:val="00A46C92"/>
    <w:rsid w:val="00A46E81"/>
    <w:rsid w:val="00A47472"/>
    <w:rsid w:val="00A47614"/>
    <w:rsid w:val="00A47922"/>
    <w:rsid w:val="00A47A9F"/>
    <w:rsid w:val="00A47ECC"/>
    <w:rsid w:val="00A500B8"/>
    <w:rsid w:val="00A50266"/>
    <w:rsid w:val="00A5030D"/>
    <w:rsid w:val="00A5061E"/>
    <w:rsid w:val="00A50A6E"/>
    <w:rsid w:val="00A5106B"/>
    <w:rsid w:val="00A519EF"/>
    <w:rsid w:val="00A51F6B"/>
    <w:rsid w:val="00A51F86"/>
    <w:rsid w:val="00A521A9"/>
    <w:rsid w:val="00A524A5"/>
    <w:rsid w:val="00A5258B"/>
    <w:rsid w:val="00A527C2"/>
    <w:rsid w:val="00A52BB6"/>
    <w:rsid w:val="00A52CBE"/>
    <w:rsid w:val="00A52E20"/>
    <w:rsid w:val="00A52F23"/>
    <w:rsid w:val="00A53120"/>
    <w:rsid w:val="00A5326A"/>
    <w:rsid w:val="00A535FB"/>
    <w:rsid w:val="00A53EDE"/>
    <w:rsid w:val="00A542AE"/>
    <w:rsid w:val="00A54567"/>
    <w:rsid w:val="00A54F55"/>
    <w:rsid w:val="00A550B4"/>
    <w:rsid w:val="00A55277"/>
    <w:rsid w:val="00A5534B"/>
    <w:rsid w:val="00A55489"/>
    <w:rsid w:val="00A556A1"/>
    <w:rsid w:val="00A556B1"/>
    <w:rsid w:val="00A55CA4"/>
    <w:rsid w:val="00A55FE6"/>
    <w:rsid w:val="00A566AE"/>
    <w:rsid w:val="00A56D73"/>
    <w:rsid w:val="00A572D9"/>
    <w:rsid w:val="00A57674"/>
    <w:rsid w:val="00A576CA"/>
    <w:rsid w:val="00A57B1B"/>
    <w:rsid w:val="00A57F6D"/>
    <w:rsid w:val="00A60365"/>
    <w:rsid w:val="00A60711"/>
    <w:rsid w:val="00A607D3"/>
    <w:rsid w:val="00A60849"/>
    <w:rsid w:val="00A60B95"/>
    <w:rsid w:val="00A60C71"/>
    <w:rsid w:val="00A60D13"/>
    <w:rsid w:val="00A60D27"/>
    <w:rsid w:val="00A60EB8"/>
    <w:rsid w:val="00A610C1"/>
    <w:rsid w:val="00A61366"/>
    <w:rsid w:val="00A619BE"/>
    <w:rsid w:val="00A61BB3"/>
    <w:rsid w:val="00A61F25"/>
    <w:rsid w:val="00A62172"/>
    <w:rsid w:val="00A621B3"/>
    <w:rsid w:val="00A62456"/>
    <w:rsid w:val="00A62779"/>
    <w:rsid w:val="00A62AA8"/>
    <w:rsid w:val="00A6374D"/>
    <w:rsid w:val="00A64258"/>
    <w:rsid w:val="00A64336"/>
    <w:rsid w:val="00A64D24"/>
    <w:rsid w:val="00A64E0E"/>
    <w:rsid w:val="00A65313"/>
    <w:rsid w:val="00A65A5E"/>
    <w:rsid w:val="00A65ECD"/>
    <w:rsid w:val="00A660EE"/>
    <w:rsid w:val="00A66571"/>
    <w:rsid w:val="00A665F6"/>
    <w:rsid w:val="00A665FA"/>
    <w:rsid w:val="00A66702"/>
    <w:rsid w:val="00A66B57"/>
    <w:rsid w:val="00A67578"/>
    <w:rsid w:val="00A676BE"/>
    <w:rsid w:val="00A702D1"/>
    <w:rsid w:val="00A7070D"/>
    <w:rsid w:val="00A70939"/>
    <w:rsid w:val="00A709A4"/>
    <w:rsid w:val="00A70AF8"/>
    <w:rsid w:val="00A70DD8"/>
    <w:rsid w:val="00A71138"/>
    <w:rsid w:val="00A713E4"/>
    <w:rsid w:val="00A715F1"/>
    <w:rsid w:val="00A718EE"/>
    <w:rsid w:val="00A71B7A"/>
    <w:rsid w:val="00A71D5C"/>
    <w:rsid w:val="00A72100"/>
    <w:rsid w:val="00A72201"/>
    <w:rsid w:val="00A72237"/>
    <w:rsid w:val="00A725BD"/>
    <w:rsid w:val="00A72CF8"/>
    <w:rsid w:val="00A72DD9"/>
    <w:rsid w:val="00A73A2D"/>
    <w:rsid w:val="00A73BE3"/>
    <w:rsid w:val="00A73E31"/>
    <w:rsid w:val="00A74210"/>
    <w:rsid w:val="00A743BA"/>
    <w:rsid w:val="00A74903"/>
    <w:rsid w:val="00A74A0A"/>
    <w:rsid w:val="00A75092"/>
    <w:rsid w:val="00A75111"/>
    <w:rsid w:val="00A7541F"/>
    <w:rsid w:val="00A75461"/>
    <w:rsid w:val="00A757FC"/>
    <w:rsid w:val="00A75EA5"/>
    <w:rsid w:val="00A76059"/>
    <w:rsid w:val="00A76097"/>
    <w:rsid w:val="00A76185"/>
    <w:rsid w:val="00A761B4"/>
    <w:rsid w:val="00A76FC3"/>
    <w:rsid w:val="00A77572"/>
    <w:rsid w:val="00A7780F"/>
    <w:rsid w:val="00A77B08"/>
    <w:rsid w:val="00A77C24"/>
    <w:rsid w:val="00A77D44"/>
    <w:rsid w:val="00A77DA8"/>
    <w:rsid w:val="00A803AB"/>
    <w:rsid w:val="00A80712"/>
    <w:rsid w:val="00A80829"/>
    <w:rsid w:val="00A809DD"/>
    <w:rsid w:val="00A80CE9"/>
    <w:rsid w:val="00A8141B"/>
    <w:rsid w:val="00A81576"/>
    <w:rsid w:val="00A81759"/>
    <w:rsid w:val="00A818DD"/>
    <w:rsid w:val="00A81EAE"/>
    <w:rsid w:val="00A81F82"/>
    <w:rsid w:val="00A8296B"/>
    <w:rsid w:val="00A82CD0"/>
    <w:rsid w:val="00A8325B"/>
    <w:rsid w:val="00A83320"/>
    <w:rsid w:val="00A83579"/>
    <w:rsid w:val="00A83C82"/>
    <w:rsid w:val="00A83F4C"/>
    <w:rsid w:val="00A841B0"/>
    <w:rsid w:val="00A845D2"/>
    <w:rsid w:val="00A84661"/>
    <w:rsid w:val="00A8470B"/>
    <w:rsid w:val="00A84A72"/>
    <w:rsid w:val="00A84AC5"/>
    <w:rsid w:val="00A8573B"/>
    <w:rsid w:val="00A85A2B"/>
    <w:rsid w:val="00A85A7D"/>
    <w:rsid w:val="00A85E88"/>
    <w:rsid w:val="00A8618C"/>
    <w:rsid w:val="00A863D4"/>
    <w:rsid w:val="00A866AB"/>
    <w:rsid w:val="00A86833"/>
    <w:rsid w:val="00A86880"/>
    <w:rsid w:val="00A86CDF"/>
    <w:rsid w:val="00A86F6F"/>
    <w:rsid w:val="00A8706B"/>
    <w:rsid w:val="00A875F2"/>
    <w:rsid w:val="00A8766D"/>
    <w:rsid w:val="00A87ABA"/>
    <w:rsid w:val="00A87FD0"/>
    <w:rsid w:val="00A9006A"/>
    <w:rsid w:val="00A90247"/>
    <w:rsid w:val="00A906AA"/>
    <w:rsid w:val="00A90A6A"/>
    <w:rsid w:val="00A90AC8"/>
    <w:rsid w:val="00A90B99"/>
    <w:rsid w:val="00A90EE3"/>
    <w:rsid w:val="00A90F06"/>
    <w:rsid w:val="00A91018"/>
    <w:rsid w:val="00A910ED"/>
    <w:rsid w:val="00A91371"/>
    <w:rsid w:val="00A913C4"/>
    <w:rsid w:val="00A91861"/>
    <w:rsid w:val="00A91C89"/>
    <w:rsid w:val="00A91FFD"/>
    <w:rsid w:val="00A9228E"/>
    <w:rsid w:val="00A924E8"/>
    <w:rsid w:val="00A92CBE"/>
    <w:rsid w:val="00A92D97"/>
    <w:rsid w:val="00A92F8C"/>
    <w:rsid w:val="00A93543"/>
    <w:rsid w:val="00A937DF"/>
    <w:rsid w:val="00A93855"/>
    <w:rsid w:val="00A94091"/>
    <w:rsid w:val="00A944E7"/>
    <w:rsid w:val="00A94547"/>
    <w:rsid w:val="00A94925"/>
    <w:rsid w:val="00A94EA7"/>
    <w:rsid w:val="00A94EFC"/>
    <w:rsid w:val="00A9514B"/>
    <w:rsid w:val="00A953B8"/>
    <w:rsid w:val="00A955B2"/>
    <w:rsid w:val="00A95695"/>
    <w:rsid w:val="00A956E0"/>
    <w:rsid w:val="00A956F5"/>
    <w:rsid w:val="00A959B2"/>
    <w:rsid w:val="00A95CB1"/>
    <w:rsid w:val="00A9605F"/>
    <w:rsid w:val="00A966B1"/>
    <w:rsid w:val="00A96BD9"/>
    <w:rsid w:val="00A96BDF"/>
    <w:rsid w:val="00A96CC1"/>
    <w:rsid w:val="00A96D87"/>
    <w:rsid w:val="00A9726D"/>
    <w:rsid w:val="00A97FAD"/>
    <w:rsid w:val="00AA0172"/>
    <w:rsid w:val="00AA0408"/>
    <w:rsid w:val="00AA0670"/>
    <w:rsid w:val="00AA0722"/>
    <w:rsid w:val="00AA08DD"/>
    <w:rsid w:val="00AA094E"/>
    <w:rsid w:val="00AA09D9"/>
    <w:rsid w:val="00AA0BC5"/>
    <w:rsid w:val="00AA0D95"/>
    <w:rsid w:val="00AA0DC8"/>
    <w:rsid w:val="00AA0E62"/>
    <w:rsid w:val="00AA1127"/>
    <w:rsid w:val="00AA11F8"/>
    <w:rsid w:val="00AA13DA"/>
    <w:rsid w:val="00AA14EF"/>
    <w:rsid w:val="00AA1681"/>
    <w:rsid w:val="00AA1DCA"/>
    <w:rsid w:val="00AA1EAB"/>
    <w:rsid w:val="00AA2291"/>
    <w:rsid w:val="00AA234B"/>
    <w:rsid w:val="00AA23F2"/>
    <w:rsid w:val="00AA2E61"/>
    <w:rsid w:val="00AA2F59"/>
    <w:rsid w:val="00AA2FA1"/>
    <w:rsid w:val="00AA31AC"/>
    <w:rsid w:val="00AA31EE"/>
    <w:rsid w:val="00AA3AEB"/>
    <w:rsid w:val="00AA3DB3"/>
    <w:rsid w:val="00AA3DF7"/>
    <w:rsid w:val="00AA41FF"/>
    <w:rsid w:val="00AA4396"/>
    <w:rsid w:val="00AA4A22"/>
    <w:rsid w:val="00AA4CFD"/>
    <w:rsid w:val="00AA51C1"/>
    <w:rsid w:val="00AA551F"/>
    <w:rsid w:val="00AA56AD"/>
    <w:rsid w:val="00AA5A62"/>
    <w:rsid w:val="00AA5AB0"/>
    <w:rsid w:val="00AA6156"/>
    <w:rsid w:val="00AA694D"/>
    <w:rsid w:val="00AA7121"/>
    <w:rsid w:val="00AA7142"/>
    <w:rsid w:val="00AA7305"/>
    <w:rsid w:val="00AA731C"/>
    <w:rsid w:val="00AA73AC"/>
    <w:rsid w:val="00AA7575"/>
    <w:rsid w:val="00AA7638"/>
    <w:rsid w:val="00AA7B77"/>
    <w:rsid w:val="00AB0BCC"/>
    <w:rsid w:val="00AB1700"/>
    <w:rsid w:val="00AB187A"/>
    <w:rsid w:val="00AB1BAA"/>
    <w:rsid w:val="00AB1CF3"/>
    <w:rsid w:val="00AB204A"/>
    <w:rsid w:val="00AB2158"/>
    <w:rsid w:val="00AB2209"/>
    <w:rsid w:val="00AB2252"/>
    <w:rsid w:val="00AB245F"/>
    <w:rsid w:val="00AB26A4"/>
    <w:rsid w:val="00AB28A0"/>
    <w:rsid w:val="00AB2B15"/>
    <w:rsid w:val="00AB2B5A"/>
    <w:rsid w:val="00AB30B0"/>
    <w:rsid w:val="00AB32F8"/>
    <w:rsid w:val="00AB3542"/>
    <w:rsid w:val="00AB3559"/>
    <w:rsid w:val="00AB392B"/>
    <w:rsid w:val="00AB39EA"/>
    <w:rsid w:val="00AB4A00"/>
    <w:rsid w:val="00AB4BD5"/>
    <w:rsid w:val="00AB4CCB"/>
    <w:rsid w:val="00AB4F6C"/>
    <w:rsid w:val="00AB503B"/>
    <w:rsid w:val="00AB514A"/>
    <w:rsid w:val="00AB52A8"/>
    <w:rsid w:val="00AB5413"/>
    <w:rsid w:val="00AB5B04"/>
    <w:rsid w:val="00AB763C"/>
    <w:rsid w:val="00AB7A6E"/>
    <w:rsid w:val="00AB7CED"/>
    <w:rsid w:val="00AB7DC0"/>
    <w:rsid w:val="00AB7E58"/>
    <w:rsid w:val="00AB7F50"/>
    <w:rsid w:val="00AC073D"/>
    <w:rsid w:val="00AC0824"/>
    <w:rsid w:val="00AC0B34"/>
    <w:rsid w:val="00AC0BBA"/>
    <w:rsid w:val="00AC0C2A"/>
    <w:rsid w:val="00AC0F75"/>
    <w:rsid w:val="00AC176F"/>
    <w:rsid w:val="00AC1799"/>
    <w:rsid w:val="00AC1DFB"/>
    <w:rsid w:val="00AC2C66"/>
    <w:rsid w:val="00AC33CD"/>
    <w:rsid w:val="00AC38F0"/>
    <w:rsid w:val="00AC394D"/>
    <w:rsid w:val="00AC3F02"/>
    <w:rsid w:val="00AC4053"/>
    <w:rsid w:val="00AC50E3"/>
    <w:rsid w:val="00AC52B2"/>
    <w:rsid w:val="00AC5389"/>
    <w:rsid w:val="00AC5404"/>
    <w:rsid w:val="00AC54ED"/>
    <w:rsid w:val="00AC557A"/>
    <w:rsid w:val="00AC5637"/>
    <w:rsid w:val="00AC56E4"/>
    <w:rsid w:val="00AC5CA7"/>
    <w:rsid w:val="00AC62D2"/>
    <w:rsid w:val="00AC79CD"/>
    <w:rsid w:val="00AC7A0B"/>
    <w:rsid w:val="00AC7D7F"/>
    <w:rsid w:val="00AC7FEB"/>
    <w:rsid w:val="00AD00EA"/>
    <w:rsid w:val="00AD0181"/>
    <w:rsid w:val="00AD02DA"/>
    <w:rsid w:val="00AD096F"/>
    <w:rsid w:val="00AD0986"/>
    <w:rsid w:val="00AD0AD6"/>
    <w:rsid w:val="00AD0B95"/>
    <w:rsid w:val="00AD0C78"/>
    <w:rsid w:val="00AD0D58"/>
    <w:rsid w:val="00AD105B"/>
    <w:rsid w:val="00AD1343"/>
    <w:rsid w:val="00AD16E3"/>
    <w:rsid w:val="00AD16E8"/>
    <w:rsid w:val="00AD184C"/>
    <w:rsid w:val="00AD1898"/>
    <w:rsid w:val="00AD1A01"/>
    <w:rsid w:val="00AD1DBE"/>
    <w:rsid w:val="00AD1ED5"/>
    <w:rsid w:val="00AD1ED8"/>
    <w:rsid w:val="00AD1FE1"/>
    <w:rsid w:val="00AD22A9"/>
    <w:rsid w:val="00AD22FD"/>
    <w:rsid w:val="00AD2420"/>
    <w:rsid w:val="00AD2A7B"/>
    <w:rsid w:val="00AD2EE7"/>
    <w:rsid w:val="00AD3255"/>
    <w:rsid w:val="00AD32F1"/>
    <w:rsid w:val="00AD39FA"/>
    <w:rsid w:val="00AD3BB2"/>
    <w:rsid w:val="00AD3FE1"/>
    <w:rsid w:val="00AD4709"/>
    <w:rsid w:val="00AD4926"/>
    <w:rsid w:val="00AD4BB7"/>
    <w:rsid w:val="00AD4D9E"/>
    <w:rsid w:val="00AD51C9"/>
    <w:rsid w:val="00AD52C3"/>
    <w:rsid w:val="00AD5D6F"/>
    <w:rsid w:val="00AD5DAB"/>
    <w:rsid w:val="00AD6FA0"/>
    <w:rsid w:val="00AD72FA"/>
    <w:rsid w:val="00AD767E"/>
    <w:rsid w:val="00AD7734"/>
    <w:rsid w:val="00AD785E"/>
    <w:rsid w:val="00AD7AC2"/>
    <w:rsid w:val="00AD7D9A"/>
    <w:rsid w:val="00AE082F"/>
    <w:rsid w:val="00AE0992"/>
    <w:rsid w:val="00AE1443"/>
    <w:rsid w:val="00AE1719"/>
    <w:rsid w:val="00AE1C46"/>
    <w:rsid w:val="00AE22D9"/>
    <w:rsid w:val="00AE293F"/>
    <w:rsid w:val="00AE2980"/>
    <w:rsid w:val="00AE2994"/>
    <w:rsid w:val="00AE2A68"/>
    <w:rsid w:val="00AE2FA8"/>
    <w:rsid w:val="00AE32D4"/>
    <w:rsid w:val="00AE3373"/>
    <w:rsid w:val="00AE3379"/>
    <w:rsid w:val="00AE36F5"/>
    <w:rsid w:val="00AE384E"/>
    <w:rsid w:val="00AE3C00"/>
    <w:rsid w:val="00AE42E4"/>
    <w:rsid w:val="00AE44DD"/>
    <w:rsid w:val="00AE4DBE"/>
    <w:rsid w:val="00AE513E"/>
    <w:rsid w:val="00AE5491"/>
    <w:rsid w:val="00AE5B34"/>
    <w:rsid w:val="00AE5B90"/>
    <w:rsid w:val="00AE5CE5"/>
    <w:rsid w:val="00AE5F93"/>
    <w:rsid w:val="00AE605A"/>
    <w:rsid w:val="00AE635F"/>
    <w:rsid w:val="00AE68EF"/>
    <w:rsid w:val="00AE6953"/>
    <w:rsid w:val="00AE6B69"/>
    <w:rsid w:val="00AE70C7"/>
    <w:rsid w:val="00AE7573"/>
    <w:rsid w:val="00AE75B4"/>
    <w:rsid w:val="00AE7667"/>
    <w:rsid w:val="00AE7AA8"/>
    <w:rsid w:val="00AF02D2"/>
    <w:rsid w:val="00AF0406"/>
    <w:rsid w:val="00AF0457"/>
    <w:rsid w:val="00AF04A6"/>
    <w:rsid w:val="00AF06AD"/>
    <w:rsid w:val="00AF0976"/>
    <w:rsid w:val="00AF0DF9"/>
    <w:rsid w:val="00AF147C"/>
    <w:rsid w:val="00AF1A82"/>
    <w:rsid w:val="00AF21BB"/>
    <w:rsid w:val="00AF2389"/>
    <w:rsid w:val="00AF268A"/>
    <w:rsid w:val="00AF281F"/>
    <w:rsid w:val="00AF3653"/>
    <w:rsid w:val="00AF39D3"/>
    <w:rsid w:val="00AF3EC3"/>
    <w:rsid w:val="00AF42A7"/>
    <w:rsid w:val="00AF4381"/>
    <w:rsid w:val="00AF4535"/>
    <w:rsid w:val="00AF46A9"/>
    <w:rsid w:val="00AF48E5"/>
    <w:rsid w:val="00AF49B1"/>
    <w:rsid w:val="00AF4A63"/>
    <w:rsid w:val="00AF4BE4"/>
    <w:rsid w:val="00AF4CAD"/>
    <w:rsid w:val="00AF5084"/>
    <w:rsid w:val="00AF5C3B"/>
    <w:rsid w:val="00AF5C5B"/>
    <w:rsid w:val="00AF5EB5"/>
    <w:rsid w:val="00AF6653"/>
    <w:rsid w:val="00AF6D50"/>
    <w:rsid w:val="00AF7012"/>
    <w:rsid w:val="00AF76E4"/>
    <w:rsid w:val="00AF7A30"/>
    <w:rsid w:val="00AF7B44"/>
    <w:rsid w:val="00AF7E22"/>
    <w:rsid w:val="00B00012"/>
    <w:rsid w:val="00B000C7"/>
    <w:rsid w:val="00B0014A"/>
    <w:rsid w:val="00B0035F"/>
    <w:rsid w:val="00B00711"/>
    <w:rsid w:val="00B0118A"/>
    <w:rsid w:val="00B015F8"/>
    <w:rsid w:val="00B01614"/>
    <w:rsid w:val="00B01720"/>
    <w:rsid w:val="00B01734"/>
    <w:rsid w:val="00B01776"/>
    <w:rsid w:val="00B017BA"/>
    <w:rsid w:val="00B01EB3"/>
    <w:rsid w:val="00B02454"/>
    <w:rsid w:val="00B02596"/>
    <w:rsid w:val="00B027EF"/>
    <w:rsid w:val="00B02F12"/>
    <w:rsid w:val="00B03275"/>
    <w:rsid w:val="00B032D3"/>
    <w:rsid w:val="00B03347"/>
    <w:rsid w:val="00B04BD1"/>
    <w:rsid w:val="00B04E0D"/>
    <w:rsid w:val="00B04E0F"/>
    <w:rsid w:val="00B05342"/>
    <w:rsid w:val="00B05381"/>
    <w:rsid w:val="00B05591"/>
    <w:rsid w:val="00B05A6C"/>
    <w:rsid w:val="00B05E7B"/>
    <w:rsid w:val="00B06025"/>
    <w:rsid w:val="00B06251"/>
    <w:rsid w:val="00B062DF"/>
    <w:rsid w:val="00B062EE"/>
    <w:rsid w:val="00B06905"/>
    <w:rsid w:val="00B06E37"/>
    <w:rsid w:val="00B071E1"/>
    <w:rsid w:val="00B07BB8"/>
    <w:rsid w:val="00B07C53"/>
    <w:rsid w:val="00B07D6B"/>
    <w:rsid w:val="00B100D4"/>
    <w:rsid w:val="00B10B91"/>
    <w:rsid w:val="00B10C12"/>
    <w:rsid w:val="00B11411"/>
    <w:rsid w:val="00B11DBF"/>
    <w:rsid w:val="00B11EA0"/>
    <w:rsid w:val="00B11EC2"/>
    <w:rsid w:val="00B126FA"/>
    <w:rsid w:val="00B12A52"/>
    <w:rsid w:val="00B12B5A"/>
    <w:rsid w:val="00B12CAE"/>
    <w:rsid w:val="00B13935"/>
    <w:rsid w:val="00B13BE3"/>
    <w:rsid w:val="00B14191"/>
    <w:rsid w:val="00B144E3"/>
    <w:rsid w:val="00B1465D"/>
    <w:rsid w:val="00B14889"/>
    <w:rsid w:val="00B149B2"/>
    <w:rsid w:val="00B14A89"/>
    <w:rsid w:val="00B14D9F"/>
    <w:rsid w:val="00B15124"/>
    <w:rsid w:val="00B1518B"/>
    <w:rsid w:val="00B1577E"/>
    <w:rsid w:val="00B15982"/>
    <w:rsid w:val="00B1598C"/>
    <w:rsid w:val="00B16041"/>
    <w:rsid w:val="00B161FC"/>
    <w:rsid w:val="00B16764"/>
    <w:rsid w:val="00B167AF"/>
    <w:rsid w:val="00B169E2"/>
    <w:rsid w:val="00B16D85"/>
    <w:rsid w:val="00B173A6"/>
    <w:rsid w:val="00B1768D"/>
    <w:rsid w:val="00B17A2C"/>
    <w:rsid w:val="00B17A89"/>
    <w:rsid w:val="00B17E86"/>
    <w:rsid w:val="00B17FDB"/>
    <w:rsid w:val="00B201C5"/>
    <w:rsid w:val="00B202DD"/>
    <w:rsid w:val="00B2031B"/>
    <w:rsid w:val="00B207D8"/>
    <w:rsid w:val="00B20814"/>
    <w:rsid w:val="00B20849"/>
    <w:rsid w:val="00B20C19"/>
    <w:rsid w:val="00B20DE5"/>
    <w:rsid w:val="00B20F08"/>
    <w:rsid w:val="00B2153A"/>
    <w:rsid w:val="00B2157D"/>
    <w:rsid w:val="00B219F6"/>
    <w:rsid w:val="00B21BB1"/>
    <w:rsid w:val="00B227C8"/>
    <w:rsid w:val="00B228E8"/>
    <w:rsid w:val="00B22EC0"/>
    <w:rsid w:val="00B22F19"/>
    <w:rsid w:val="00B22F9A"/>
    <w:rsid w:val="00B230E7"/>
    <w:rsid w:val="00B2312C"/>
    <w:rsid w:val="00B2353F"/>
    <w:rsid w:val="00B23685"/>
    <w:rsid w:val="00B23B68"/>
    <w:rsid w:val="00B23E43"/>
    <w:rsid w:val="00B242F8"/>
    <w:rsid w:val="00B24E5C"/>
    <w:rsid w:val="00B24E5F"/>
    <w:rsid w:val="00B2532B"/>
    <w:rsid w:val="00B25414"/>
    <w:rsid w:val="00B25D68"/>
    <w:rsid w:val="00B2608F"/>
    <w:rsid w:val="00B261B4"/>
    <w:rsid w:val="00B263CC"/>
    <w:rsid w:val="00B26412"/>
    <w:rsid w:val="00B268C3"/>
    <w:rsid w:val="00B269BE"/>
    <w:rsid w:val="00B269C8"/>
    <w:rsid w:val="00B26CB3"/>
    <w:rsid w:val="00B26CC6"/>
    <w:rsid w:val="00B26D4A"/>
    <w:rsid w:val="00B271A9"/>
    <w:rsid w:val="00B2777B"/>
    <w:rsid w:val="00B2799F"/>
    <w:rsid w:val="00B27BE1"/>
    <w:rsid w:val="00B27D34"/>
    <w:rsid w:val="00B27F7A"/>
    <w:rsid w:val="00B308B9"/>
    <w:rsid w:val="00B30C78"/>
    <w:rsid w:val="00B30FC9"/>
    <w:rsid w:val="00B312EC"/>
    <w:rsid w:val="00B3161A"/>
    <w:rsid w:val="00B316C3"/>
    <w:rsid w:val="00B31A55"/>
    <w:rsid w:val="00B31F7E"/>
    <w:rsid w:val="00B32538"/>
    <w:rsid w:val="00B32B44"/>
    <w:rsid w:val="00B32D09"/>
    <w:rsid w:val="00B32EBD"/>
    <w:rsid w:val="00B32F0E"/>
    <w:rsid w:val="00B332F4"/>
    <w:rsid w:val="00B33AC5"/>
    <w:rsid w:val="00B33CD0"/>
    <w:rsid w:val="00B33D2D"/>
    <w:rsid w:val="00B33D5A"/>
    <w:rsid w:val="00B33FDF"/>
    <w:rsid w:val="00B341A6"/>
    <w:rsid w:val="00B341EC"/>
    <w:rsid w:val="00B3431A"/>
    <w:rsid w:val="00B344B8"/>
    <w:rsid w:val="00B345F6"/>
    <w:rsid w:val="00B347BE"/>
    <w:rsid w:val="00B34B97"/>
    <w:rsid w:val="00B34CA0"/>
    <w:rsid w:val="00B34FFD"/>
    <w:rsid w:val="00B35438"/>
    <w:rsid w:val="00B35845"/>
    <w:rsid w:val="00B35A3E"/>
    <w:rsid w:val="00B35B65"/>
    <w:rsid w:val="00B35ED6"/>
    <w:rsid w:val="00B3636A"/>
    <w:rsid w:val="00B36477"/>
    <w:rsid w:val="00B3674E"/>
    <w:rsid w:val="00B368DF"/>
    <w:rsid w:val="00B36EAD"/>
    <w:rsid w:val="00B37310"/>
    <w:rsid w:val="00B37849"/>
    <w:rsid w:val="00B379C4"/>
    <w:rsid w:val="00B40001"/>
    <w:rsid w:val="00B409EA"/>
    <w:rsid w:val="00B40C04"/>
    <w:rsid w:val="00B40DF6"/>
    <w:rsid w:val="00B40F97"/>
    <w:rsid w:val="00B40FDD"/>
    <w:rsid w:val="00B4181F"/>
    <w:rsid w:val="00B419F7"/>
    <w:rsid w:val="00B41B4F"/>
    <w:rsid w:val="00B41C90"/>
    <w:rsid w:val="00B41D72"/>
    <w:rsid w:val="00B42632"/>
    <w:rsid w:val="00B4280C"/>
    <w:rsid w:val="00B42DDC"/>
    <w:rsid w:val="00B42EFD"/>
    <w:rsid w:val="00B42F6F"/>
    <w:rsid w:val="00B4313B"/>
    <w:rsid w:val="00B43351"/>
    <w:rsid w:val="00B43B80"/>
    <w:rsid w:val="00B43E08"/>
    <w:rsid w:val="00B43F7B"/>
    <w:rsid w:val="00B44BA0"/>
    <w:rsid w:val="00B44CF9"/>
    <w:rsid w:val="00B44F56"/>
    <w:rsid w:val="00B44F87"/>
    <w:rsid w:val="00B451BB"/>
    <w:rsid w:val="00B452D1"/>
    <w:rsid w:val="00B4535D"/>
    <w:rsid w:val="00B4566C"/>
    <w:rsid w:val="00B4568D"/>
    <w:rsid w:val="00B45708"/>
    <w:rsid w:val="00B4594E"/>
    <w:rsid w:val="00B461D7"/>
    <w:rsid w:val="00B463ED"/>
    <w:rsid w:val="00B4652D"/>
    <w:rsid w:val="00B46A79"/>
    <w:rsid w:val="00B47024"/>
    <w:rsid w:val="00B4710A"/>
    <w:rsid w:val="00B47408"/>
    <w:rsid w:val="00B47A0A"/>
    <w:rsid w:val="00B47B48"/>
    <w:rsid w:val="00B50733"/>
    <w:rsid w:val="00B50892"/>
    <w:rsid w:val="00B50896"/>
    <w:rsid w:val="00B50CB5"/>
    <w:rsid w:val="00B50F10"/>
    <w:rsid w:val="00B515CC"/>
    <w:rsid w:val="00B518FF"/>
    <w:rsid w:val="00B51B82"/>
    <w:rsid w:val="00B52CCA"/>
    <w:rsid w:val="00B52FF2"/>
    <w:rsid w:val="00B5356E"/>
    <w:rsid w:val="00B53988"/>
    <w:rsid w:val="00B539FB"/>
    <w:rsid w:val="00B53CC2"/>
    <w:rsid w:val="00B53E3E"/>
    <w:rsid w:val="00B54020"/>
    <w:rsid w:val="00B54187"/>
    <w:rsid w:val="00B544D6"/>
    <w:rsid w:val="00B547F1"/>
    <w:rsid w:val="00B55160"/>
    <w:rsid w:val="00B552E9"/>
    <w:rsid w:val="00B5539E"/>
    <w:rsid w:val="00B5562A"/>
    <w:rsid w:val="00B5565D"/>
    <w:rsid w:val="00B55853"/>
    <w:rsid w:val="00B55AD6"/>
    <w:rsid w:val="00B55BCE"/>
    <w:rsid w:val="00B55E59"/>
    <w:rsid w:val="00B5617D"/>
    <w:rsid w:val="00B56181"/>
    <w:rsid w:val="00B567A2"/>
    <w:rsid w:val="00B56A1C"/>
    <w:rsid w:val="00B56B1B"/>
    <w:rsid w:val="00B56CB4"/>
    <w:rsid w:val="00B57190"/>
    <w:rsid w:val="00B574B7"/>
    <w:rsid w:val="00B57B58"/>
    <w:rsid w:val="00B601D9"/>
    <w:rsid w:val="00B60344"/>
    <w:rsid w:val="00B60540"/>
    <w:rsid w:val="00B606D2"/>
    <w:rsid w:val="00B607F4"/>
    <w:rsid w:val="00B60B23"/>
    <w:rsid w:val="00B60C73"/>
    <w:rsid w:val="00B60CEB"/>
    <w:rsid w:val="00B6112E"/>
    <w:rsid w:val="00B61AC3"/>
    <w:rsid w:val="00B61B80"/>
    <w:rsid w:val="00B61DE6"/>
    <w:rsid w:val="00B61F9E"/>
    <w:rsid w:val="00B62085"/>
    <w:rsid w:val="00B620BD"/>
    <w:rsid w:val="00B6223C"/>
    <w:rsid w:val="00B62260"/>
    <w:rsid w:val="00B624FB"/>
    <w:rsid w:val="00B62698"/>
    <w:rsid w:val="00B62BE8"/>
    <w:rsid w:val="00B630BD"/>
    <w:rsid w:val="00B63164"/>
    <w:rsid w:val="00B63398"/>
    <w:rsid w:val="00B6367E"/>
    <w:rsid w:val="00B637AD"/>
    <w:rsid w:val="00B639F5"/>
    <w:rsid w:val="00B63B06"/>
    <w:rsid w:val="00B63C1D"/>
    <w:rsid w:val="00B63C43"/>
    <w:rsid w:val="00B63E6B"/>
    <w:rsid w:val="00B64225"/>
    <w:rsid w:val="00B64313"/>
    <w:rsid w:val="00B64518"/>
    <w:rsid w:val="00B6466C"/>
    <w:rsid w:val="00B64A26"/>
    <w:rsid w:val="00B64E93"/>
    <w:rsid w:val="00B6534F"/>
    <w:rsid w:val="00B65354"/>
    <w:rsid w:val="00B654E1"/>
    <w:rsid w:val="00B65909"/>
    <w:rsid w:val="00B65D45"/>
    <w:rsid w:val="00B66816"/>
    <w:rsid w:val="00B66ADA"/>
    <w:rsid w:val="00B66BFE"/>
    <w:rsid w:val="00B66C37"/>
    <w:rsid w:val="00B670AE"/>
    <w:rsid w:val="00B67119"/>
    <w:rsid w:val="00B67126"/>
    <w:rsid w:val="00B673AD"/>
    <w:rsid w:val="00B6747A"/>
    <w:rsid w:val="00B67617"/>
    <w:rsid w:val="00B67EED"/>
    <w:rsid w:val="00B700A2"/>
    <w:rsid w:val="00B70240"/>
    <w:rsid w:val="00B704E4"/>
    <w:rsid w:val="00B7073B"/>
    <w:rsid w:val="00B7082D"/>
    <w:rsid w:val="00B70C62"/>
    <w:rsid w:val="00B70D95"/>
    <w:rsid w:val="00B70DB6"/>
    <w:rsid w:val="00B71198"/>
    <w:rsid w:val="00B71325"/>
    <w:rsid w:val="00B71675"/>
    <w:rsid w:val="00B7176A"/>
    <w:rsid w:val="00B71B62"/>
    <w:rsid w:val="00B71D5A"/>
    <w:rsid w:val="00B71DFD"/>
    <w:rsid w:val="00B726BB"/>
    <w:rsid w:val="00B7278B"/>
    <w:rsid w:val="00B72F4C"/>
    <w:rsid w:val="00B72F72"/>
    <w:rsid w:val="00B733D1"/>
    <w:rsid w:val="00B7375D"/>
    <w:rsid w:val="00B73935"/>
    <w:rsid w:val="00B73A75"/>
    <w:rsid w:val="00B73F8E"/>
    <w:rsid w:val="00B747A6"/>
    <w:rsid w:val="00B74D60"/>
    <w:rsid w:val="00B7502E"/>
    <w:rsid w:val="00B750B3"/>
    <w:rsid w:val="00B75256"/>
    <w:rsid w:val="00B753E7"/>
    <w:rsid w:val="00B75796"/>
    <w:rsid w:val="00B75857"/>
    <w:rsid w:val="00B75BC0"/>
    <w:rsid w:val="00B76EA4"/>
    <w:rsid w:val="00B773AB"/>
    <w:rsid w:val="00B7796D"/>
    <w:rsid w:val="00B77D00"/>
    <w:rsid w:val="00B804CF"/>
    <w:rsid w:val="00B80565"/>
    <w:rsid w:val="00B80648"/>
    <w:rsid w:val="00B80673"/>
    <w:rsid w:val="00B80A84"/>
    <w:rsid w:val="00B80A98"/>
    <w:rsid w:val="00B80B83"/>
    <w:rsid w:val="00B80BE4"/>
    <w:rsid w:val="00B80EB9"/>
    <w:rsid w:val="00B81201"/>
    <w:rsid w:val="00B8146F"/>
    <w:rsid w:val="00B81A32"/>
    <w:rsid w:val="00B81A5A"/>
    <w:rsid w:val="00B824DB"/>
    <w:rsid w:val="00B82C38"/>
    <w:rsid w:val="00B82CB0"/>
    <w:rsid w:val="00B82EE5"/>
    <w:rsid w:val="00B83881"/>
    <w:rsid w:val="00B83CA7"/>
    <w:rsid w:val="00B84069"/>
    <w:rsid w:val="00B842B1"/>
    <w:rsid w:val="00B8463D"/>
    <w:rsid w:val="00B847EB"/>
    <w:rsid w:val="00B84CE4"/>
    <w:rsid w:val="00B84E7A"/>
    <w:rsid w:val="00B84EA2"/>
    <w:rsid w:val="00B85175"/>
    <w:rsid w:val="00B85A72"/>
    <w:rsid w:val="00B85D82"/>
    <w:rsid w:val="00B863A0"/>
    <w:rsid w:val="00B8648B"/>
    <w:rsid w:val="00B86629"/>
    <w:rsid w:val="00B86658"/>
    <w:rsid w:val="00B86B0E"/>
    <w:rsid w:val="00B86DFD"/>
    <w:rsid w:val="00B86EB0"/>
    <w:rsid w:val="00B87070"/>
    <w:rsid w:val="00B8762A"/>
    <w:rsid w:val="00B87989"/>
    <w:rsid w:val="00B87AFF"/>
    <w:rsid w:val="00B87D2B"/>
    <w:rsid w:val="00B9004B"/>
    <w:rsid w:val="00B905B9"/>
    <w:rsid w:val="00B9125C"/>
    <w:rsid w:val="00B91308"/>
    <w:rsid w:val="00B915D3"/>
    <w:rsid w:val="00B91655"/>
    <w:rsid w:val="00B918F1"/>
    <w:rsid w:val="00B91BC4"/>
    <w:rsid w:val="00B91E0A"/>
    <w:rsid w:val="00B922AA"/>
    <w:rsid w:val="00B9255B"/>
    <w:rsid w:val="00B926D1"/>
    <w:rsid w:val="00B928A6"/>
    <w:rsid w:val="00B93DD7"/>
    <w:rsid w:val="00B93F01"/>
    <w:rsid w:val="00B941A6"/>
    <w:rsid w:val="00B949DE"/>
    <w:rsid w:val="00B94A42"/>
    <w:rsid w:val="00B94C6C"/>
    <w:rsid w:val="00B95399"/>
    <w:rsid w:val="00B956BF"/>
    <w:rsid w:val="00B95762"/>
    <w:rsid w:val="00B95A8C"/>
    <w:rsid w:val="00B95BD9"/>
    <w:rsid w:val="00B9623D"/>
    <w:rsid w:val="00B970A5"/>
    <w:rsid w:val="00B9734A"/>
    <w:rsid w:val="00B9736F"/>
    <w:rsid w:val="00B97426"/>
    <w:rsid w:val="00B977BA"/>
    <w:rsid w:val="00B9784F"/>
    <w:rsid w:val="00B97A12"/>
    <w:rsid w:val="00B97BEF"/>
    <w:rsid w:val="00BA01AB"/>
    <w:rsid w:val="00BA18E8"/>
    <w:rsid w:val="00BA2549"/>
    <w:rsid w:val="00BA26A5"/>
    <w:rsid w:val="00BA27FC"/>
    <w:rsid w:val="00BA2AE3"/>
    <w:rsid w:val="00BA2CE5"/>
    <w:rsid w:val="00BA2D04"/>
    <w:rsid w:val="00BA3121"/>
    <w:rsid w:val="00BA3306"/>
    <w:rsid w:val="00BA3597"/>
    <w:rsid w:val="00BA41A8"/>
    <w:rsid w:val="00BA440A"/>
    <w:rsid w:val="00BA4571"/>
    <w:rsid w:val="00BA4862"/>
    <w:rsid w:val="00BA542C"/>
    <w:rsid w:val="00BA5636"/>
    <w:rsid w:val="00BA5995"/>
    <w:rsid w:val="00BA5C1D"/>
    <w:rsid w:val="00BA5F7E"/>
    <w:rsid w:val="00BA678D"/>
    <w:rsid w:val="00BA6806"/>
    <w:rsid w:val="00BA68C2"/>
    <w:rsid w:val="00BA6A7C"/>
    <w:rsid w:val="00BA6F17"/>
    <w:rsid w:val="00BA73EE"/>
    <w:rsid w:val="00BA77EA"/>
    <w:rsid w:val="00BA79BA"/>
    <w:rsid w:val="00BA7C02"/>
    <w:rsid w:val="00BA7D6A"/>
    <w:rsid w:val="00BA7DEE"/>
    <w:rsid w:val="00BB00D8"/>
    <w:rsid w:val="00BB01B9"/>
    <w:rsid w:val="00BB01E4"/>
    <w:rsid w:val="00BB02B5"/>
    <w:rsid w:val="00BB0672"/>
    <w:rsid w:val="00BB06E8"/>
    <w:rsid w:val="00BB0738"/>
    <w:rsid w:val="00BB0763"/>
    <w:rsid w:val="00BB0BD2"/>
    <w:rsid w:val="00BB0C40"/>
    <w:rsid w:val="00BB0C4C"/>
    <w:rsid w:val="00BB177C"/>
    <w:rsid w:val="00BB17CA"/>
    <w:rsid w:val="00BB17CC"/>
    <w:rsid w:val="00BB21F5"/>
    <w:rsid w:val="00BB252E"/>
    <w:rsid w:val="00BB2762"/>
    <w:rsid w:val="00BB2BE8"/>
    <w:rsid w:val="00BB350B"/>
    <w:rsid w:val="00BB3B78"/>
    <w:rsid w:val="00BB3C70"/>
    <w:rsid w:val="00BB3F4F"/>
    <w:rsid w:val="00BB48CB"/>
    <w:rsid w:val="00BB4BA5"/>
    <w:rsid w:val="00BB5232"/>
    <w:rsid w:val="00BB5319"/>
    <w:rsid w:val="00BB5522"/>
    <w:rsid w:val="00BB6122"/>
    <w:rsid w:val="00BB61CF"/>
    <w:rsid w:val="00BB64C1"/>
    <w:rsid w:val="00BB65FD"/>
    <w:rsid w:val="00BB72D5"/>
    <w:rsid w:val="00BB7348"/>
    <w:rsid w:val="00BB789F"/>
    <w:rsid w:val="00BB79A1"/>
    <w:rsid w:val="00BB7ECE"/>
    <w:rsid w:val="00BC0338"/>
    <w:rsid w:val="00BC06B2"/>
    <w:rsid w:val="00BC08AF"/>
    <w:rsid w:val="00BC0A6E"/>
    <w:rsid w:val="00BC0A77"/>
    <w:rsid w:val="00BC0DCB"/>
    <w:rsid w:val="00BC0FA7"/>
    <w:rsid w:val="00BC1773"/>
    <w:rsid w:val="00BC1804"/>
    <w:rsid w:val="00BC1CC7"/>
    <w:rsid w:val="00BC1D6F"/>
    <w:rsid w:val="00BC1E07"/>
    <w:rsid w:val="00BC2A99"/>
    <w:rsid w:val="00BC3788"/>
    <w:rsid w:val="00BC38E6"/>
    <w:rsid w:val="00BC3C3C"/>
    <w:rsid w:val="00BC3F36"/>
    <w:rsid w:val="00BC4532"/>
    <w:rsid w:val="00BC4FF4"/>
    <w:rsid w:val="00BC52BB"/>
    <w:rsid w:val="00BC5B3F"/>
    <w:rsid w:val="00BC6378"/>
    <w:rsid w:val="00BC669C"/>
    <w:rsid w:val="00BC720D"/>
    <w:rsid w:val="00BC7799"/>
    <w:rsid w:val="00BC7884"/>
    <w:rsid w:val="00BC7B60"/>
    <w:rsid w:val="00BC7C89"/>
    <w:rsid w:val="00BC7FCB"/>
    <w:rsid w:val="00BD0003"/>
    <w:rsid w:val="00BD00A8"/>
    <w:rsid w:val="00BD0357"/>
    <w:rsid w:val="00BD03D9"/>
    <w:rsid w:val="00BD03EC"/>
    <w:rsid w:val="00BD04E3"/>
    <w:rsid w:val="00BD09B0"/>
    <w:rsid w:val="00BD0D0F"/>
    <w:rsid w:val="00BD14AC"/>
    <w:rsid w:val="00BD1838"/>
    <w:rsid w:val="00BD1957"/>
    <w:rsid w:val="00BD1BA5"/>
    <w:rsid w:val="00BD20C2"/>
    <w:rsid w:val="00BD210F"/>
    <w:rsid w:val="00BD2714"/>
    <w:rsid w:val="00BD2A1F"/>
    <w:rsid w:val="00BD3120"/>
    <w:rsid w:val="00BD3814"/>
    <w:rsid w:val="00BD3C54"/>
    <w:rsid w:val="00BD3ED6"/>
    <w:rsid w:val="00BD4858"/>
    <w:rsid w:val="00BD4890"/>
    <w:rsid w:val="00BD4D52"/>
    <w:rsid w:val="00BD54CE"/>
    <w:rsid w:val="00BD5C2C"/>
    <w:rsid w:val="00BD5CB4"/>
    <w:rsid w:val="00BD669A"/>
    <w:rsid w:val="00BD67E4"/>
    <w:rsid w:val="00BD6C06"/>
    <w:rsid w:val="00BD72E2"/>
    <w:rsid w:val="00BD7434"/>
    <w:rsid w:val="00BD78EE"/>
    <w:rsid w:val="00BD7944"/>
    <w:rsid w:val="00BE0317"/>
    <w:rsid w:val="00BE0779"/>
    <w:rsid w:val="00BE0801"/>
    <w:rsid w:val="00BE09B4"/>
    <w:rsid w:val="00BE0A94"/>
    <w:rsid w:val="00BE0FAC"/>
    <w:rsid w:val="00BE12EE"/>
    <w:rsid w:val="00BE19F5"/>
    <w:rsid w:val="00BE1A8E"/>
    <w:rsid w:val="00BE202B"/>
    <w:rsid w:val="00BE21EC"/>
    <w:rsid w:val="00BE274D"/>
    <w:rsid w:val="00BE2868"/>
    <w:rsid w:val="00BE2932"/>
    <w:rsid w:val="00BE2974"/>
    <w:rsid w:val="00BE2D35"/>
    <w:rsid w:val="00BE2F8E"/>
    <w:rsid w:val="00BE333D"/>
    <w:rsid w:val="00BE344A"/>
    <w:rsid w:val="00BE3CAA"/>
    <w:rsid w:val="00BE3D75"/>
    <w:rsid w:val="00BE3E5F"/>
    <w:rsid w:val="00BE453F"/>
    <w:rsid w:val="00BE466A"/>
    <w:rsid w:val="00BE4747"/>
    <w:rsid w:val="00BE47CC"/>
    <w:rsid w:val="00BE4B2F"/>
    <w:rsid w:val="00BE4EE3"/>
    <w:rsid w:val="00BE4F93"/>
    <w:rsid w:val="00BE50B0"/>
    <w:rsid w:val="00BE5126"/>
    <w:rsid w:val="00BE5364"/>
    <w:rsid w:val="00BE583A"/>
    <w:rsid w:val="00BE58A4"/>
    <w:rsid w:val="00BE598D"/>
    <w:rsid w:val="00BE5999"/>
    <w:rsid w:val="00BE616A"/>
    <w:rsid w:val="00BE672F"/>
    <w:rsid w:val="00BE68CA"/>
    <w:rsid w:val="00BE7643"/>
    <w:rsid w:val="00BE7EC2"/>
    <w:rsid w:val="00BE7EE9"/>
    <w:rsid w:val="00BE7F06"/>
    <w:rsid w:val="00BF0341"/>
    <w:rsid w:val="00BF0487"/>
    <w:rsid w:val="00BF0A46"/>
    <w:rsid w:val="00BF0B8A"/>
    <w:rsid w:val="00BF0D26"/>
    <w:rsid w:val="00BF16FE"/>
    <w:rsid w:val="00BF1807"/>
    <w:rsid w:val="00BF1C6A"/>
    <w:rsid w:val="00BF201D"/>
    <w:rsid w:val="00BF20AC"/>
    <w:rsid w:val="00BF232F"/>
    <w:rsid w:val="00BF24F3"/>
    <w:rsid w:val="00BF2540"/>
    <w:rsid w:val="00BF293D"/>
    <w:rsid w:val="00BF2B06"/>
    <w:rsid w:val="00BF2D96"/>
    <w:rsid w:val="00BF2EE4"/>
    <w:rsid w:val="00BF2EF8"/>
    <w:rsid w:val="00BF3CCC"/>
    <w:rsid w:val="00BF3F96"/>
    <w:rsid w:val="00BF43B0"/>
    <w:rsid w:val="00BF43FE"/>
    <w:rsid w:val="00BF45C3"/>
    <w:rsid w:val="00BF48A2"/>
    <w:rsid w:val="00BF5384"/>
    <w:rsid w:val="00BF5939"/>
    <w:rsid w:val="00BF6058"/>
    <w:rsid w:val="00BF61ED"/>
    <w:rsid w:val="00BF654E"/>
    <w:rsid w:val="00BF65E9"/>
    <w:rsid w:val="00BF6E59"/>
    <w:rsid w:val="00BF74E4"/>
    <w:rsid w:val="00BF756B"/>
    <w:rsid w:val="00BF7A41"/>
    <w:rsid w:val="00C00175"/>
    <w:rsid w:val="00C0035A"/>
    <w:rsid w:val="00C006A9"/>
    <w:rsid w:val="00C010D6"/>
    <w:rsid w:val="00C010F1"/>
    <w:rsid w:val="00C01381"/>
    <w:rsid w:val="00C0148B"/>
    <w:rsid w:val="00C02363"/>
    <w:rsid w:val="00C02638"/>
    <w:rsid w:val="00C02977"/>
    <w:rsid w:val="00C0300E"/>
    <w:rsid w:val="00C03226"/>
    <w:rsid w:val="00C032F0"/>
    <w:rsid w:val="00C034B1"/>
    <w:rsid w:val="00C0351E"/>
    <w:rsid w:val="00C038C9"/>
    <w:rsid w:val="00C0392A"/>
    <w:rsid w:val="00C03B41"/>
    <w:rsid w:val="00C03CF6"/>
    <w:rsid w:val="00C03D79"/>
    <w:rsid w:val="00C04088"/>
    <w:rsid w:val="00C04260"/>
    <w:rsid w:val="00C04685"/>
    <w:rsid w:val="00C046CF"/>
    <w:rsid w:val="00C04743"/>
    <w:rsid w:val="00C04D0B"/>
    <w:rsid w:val="00C053B0"/>
    <w:rsid w:val="00C0544C"/>
    <w:rsid w:val="00C054AA"/>
    <w:rsid w:val="00C05A95"/>
    <w:rsid w:val="00C05DBD"/>
    <w:rsid w:val="00C06418"/>
    <w:rsid w:val="00C064B8"/>
    <w:rsid w:val="00C06725"/>
    <w:rsid w:val="00C06CF5"/>
    <w:rsid w:val="00C0708B"/>
    <w:rsid w:val="00C07417"/>
    <w:rsid w:val="00C07BBA"/>
    <w:rsid w:val="00C07C15"/>
    <w:rsid w:val="00C07D5A"/>
    <w:rsid w:val="00C1014C"/>
    <w:rsid w:val="00C104C2"/>
    <w:rsid w:val="00C105EA"/>
    <w:rsid w:val="00C10D15"/>
    <w:rsid w:val="00C10D44"/>
    <w:rsid w:val="00C11033"/>
    <w:rsid w:val="00C114AE"/>
    <w:rsid w:val="00C11A04"/>
    <w:rsid w:val="00C11A90"/>
    <w:rsid w:val="00C11DED"/>
    <w:rsid w:val="00C11F56"/>
    <w:rsid w:val="00C1200D"/>
    <w:rsid w:val="00C12185"/>
    <w:rsid w:val="00C12521"/>
    <w:rsid w:val="00C12AAE"/>
    <w:rsid w:val="00C12B72"/>
    <w:rsid w:val="00C1334A"/>
    <w:rsid w:val="00C134DA"/>
    <w:rsid w:val="00C135AB"/>
    <w:rsid w:val="00C1430E"/>
    <w:rsid w:val="00C14367"/>
    <w:rsid w:val="00C148B5"/>
    <w:rsid w:val="00C148C1"/>
    <w:rsid w:val="00C14B1F"/>
    <w:rsid w:val="00C14B62"/>
    <w:rsid w:val="00C14D47"/>
    <w:rsid w:val="00C14E61"/>
    <w:rsid w:val="00C15145"/>
    <w:rsid w:val="00C1523F"/>
    <w:rsid w:val="00C159E2"/>
    <w:rsid w:val="00C15F81"/>
    <w:rsid w:val="00C16273"/>
    <w:rsid w:val="00C163BB"/>
    <w:rsid w:val="00C164B3"/>
    <w:rsid w:val="00C164C2"/>
    <w:rsid w:val="00C16886"/>
    <w:rsid w:val="00C16A36"/>
    <w:rsid w:val="00C16B21"/>
    <w:rsid w:val="00C16BF4"/>
    <w:rsid w:val="00C16FD9"/>
    <w:rsid w:val="00C1739D"/>
    <w:rsid w:val="00C179BF"/>
    <w:rsid w:val="00C17A98"/>
    <w:rsid w:val="00C17B92"/>
    <w:rsid w:val="00C2088D"/>
    <w:rsid w:val="00C21799"/>
    <w:rsid w:val="00C21C64"/>
    <w:rsid w:val="00C21CBE"/>
    <w:rsid w:val="00C21CD5"/>
    <w:rsid w:val="00C2238E"/>
    <w:rsid w:val="00C223EC"/>
    <w:rsid w:val="00C224AD"/>
    <w:rsid w:val="00C2266F"/>
    <w:rsid w:val="00C2279F"/>
    <w:rsid w:val="00C22908"/>
    <w:rsid w:val="00C22A9E"/>
    <w:rsid w:val="00C22D9F"/>
    <w:rsid w:val="00C22DAA"/>
    <w:rsid w:val="00C23076"/>
    <w:rsid w:val="00C23126"/>
    <w:rsid w:val="00C231C4"/>
    <w:rsid w:val="00C23457"/>
    <w:rsid w:val="00C23DCE"/>
    <w:rsid w:val="00C23FEA"/>
    <w:rsid w:val="00C242C5"/>
    <w:rsid w:val="00C24627"/>
    <w:rsid w:val="00C2483D"/>
    <w:rsid w:val="00C24853"/>
    <w:rsid w:val="00C24E20"/>
    <w:rsid w:val="00C252FE"/>
    <w:rsid w:val="00C25626"/>
    <w:rsid w:val="00C25B7B"/>
    <w:rsid w:val="00C26647"/>
    <w:rsid w:val="00C2698A"/>
    <w:rsid w:val="00C26DD9"/>
    <w:rsid w:val="00C272C3"/>
    <w:rsid w:val="00C302F4"/>
    <w:rsid w:val="00C30569"/>
    <w:rsid w:val="00C30BDE"/>
    <w:rsid w:val="00C310A5"/>
    <w:rsid w:val="00C311A7"/>
    <w:rsid w:val="00C3120C"/>
    <w:rsid w:val="00C3144B"/>
    <w:rsid w:val="00C314BB"/>
    <w:rsid w:val="00C314DF"/>
    <w:rsid w:val="00C316AE"/>
    <w:rsid w:val="00C3173C"/>
    <w:rsid w:val="00C317F3"/>
    <w:rsid w:val="00C31A22"/>
    <w:rsid w:val="00C333C9"/>
    <w:rsid w:val="00C3404B"/>
    <w:rsid w:val="00C34189"/>
    <w:rsid w:val="00C346A0"/>
    <w:rsid w:val="00C34810"/>
    <w:rsid w:val="00C34866"/>
    <w:rsid w:val="00C34B90"/>
    <w:rsid w:val="00C34F6C"/>
    <w:rsid w:val="00C3532E"/>
    <w:rsid w:val="00C35783"/>
    <w:rsid w:val="00C3583C"/>
    <w:rsid w:val="00C359D1"/>
    <w:rsid w:val="00C36829"/>
    <w:rsid w:val="00C36D24"/>
    <w:rsid w:val="00C36DBE"/>
    <w:rsid w:val="00C372AF"/>
    <w:rsid w:val="00C3757F"/>
    <w:rsid w:val="00C3799D"/>
    <w:rsid w:val="00C37C77"/>
    <w:rsid w:val="00C40036"/>
    <w:rsid w:val="00C401A6"/>
    <w:rsid w:val="00C4023B"/>
    <w:rsid w:val="00C40289"/>
    <w:rsid w:val="00C406E0"/>
    <w:rsid w:val="00C40CBA"/>
    <w:rsid w:val="00C40D33"/>
    <w:rsid w:val="00C410AC"/>
    <w:rsid w:val="00C41565"/>
    <w:rsid w:val="00C4183E"/>
    <w:rsid w:val="00C41877"/>
    <w:rsid w:val="00C41C36"/>
    <w:rsid w:val="00C41F2C"/>
    <w:rsid w:val="00C42939"/>
    <w:rsid w:val="00C42957"/>
    <w:rsid w:val="00C432B6"/>
    <w:rsid w:val="00C4339C"/>
    <w:rsid w:val="00C4368A"/>
    <w:rsid w:val="00C43956"/>
    <w:rsid w:val="00C439B8"/>
    <w:rsid w:val="00C43B13"/>
    <w:rsid w:val="00C43D0B"/>
    <w:rsid w:val="00C43EF1"/>
    <w:rsid w:val="00C44477"/>
    <w:rsid w:val="00C444F7"/>
    <w:rsid w:val="00C44B3E"/>
    <w:rsid w:val="00C44C37"/>
    <w:rsid w:val="00C45040"/>
    <w:rsid w:val="00C4504F"/>
    <w:rsid w:val="00C451B0"/>
    <w:rsid w:val="00C45216"/>
    <w:rsid w:val="00C453D7"/>
    <w:rsid w:val="00C455F6"/>
    <w:rsid w:val="00C456F3"/>
    <w:rsid w:val="00C45C74"/>
    <w:rsid w:val="00C45DE5"/>
    <w:rsid w:val="00C45EA2"/>
    <w:rsid w:val="00C46169"/>
    <w:rsid w:val="00C46338"/>
    <w:rsid w:val="00C463FD"/>
    <w:rsid w:val="00C464DF"/>
    <w:rsid w:val="00C465EC"/>
    <w:rsid w:val="00C468BC"/>
    <w:rsid w:val="00C468E8"/>
    <w:rsid w:val="00C46AD9"/>
    <w:rsid w:val="00C46AE5"/>
    <w:rsid w:val="00C46C5B"/>
    <w:rsid w:val="00C46E56"/>
    <w:rsid w:val="00C47529"/>
    <w:rsid w:val="00C47654"/>
    <w:rsid w:val="00C47FDF"/>
    <w:rsid w:val="00C47FF9"/>
    <w:rsid w:val="00C5007B"/>
    <w:rsid w:val="00C5038F"/>
    <w:rsid w:val="00C508B3"/>
    <w:rsid w:val="00C509DD"/>
    <w:rsid w:val="00C50EA8"/>
    <w:rsid w:val="00C51028"/>
    <w:rsid w:val="00C51316"/>
    <w:rsid w:val="00C513C9"/>
    <w:rsid w:val="00C5178A"/>
    <w:rsid w:val="00C517D5"/>
    <w:rsid w:val="00C518B2"/>
    <w:rsid w:val="00C51A1E"/>
    <w:rsid w:val="00C51B6D"/>
    <w:rsid w:val="00C51BE3"/>
    <w:rsid w:val="00C521B9"/>
    <w:rsid w:val="00C522DD"/>
    <w:rsid w:val="00C526DA"/>
    <w:rsid w:val="00C5272B"/>
    <w:rsid w:val="00C52ACF"/>
    <w:rsid w:val="00C52DEC"/>
    <w:rsid w:val="00C5342C"/>
    <w:rsid w:val="00C53433"/>
    <w:rsid w:val="00C53B9C"/>
    <w:rsid w:val="00C53DB6"/>
    <w:rsid w:val="00C540B0"/>
    <w:rsid w:val="00C541E9"/>
    <w:rsid w:val="00C54413"/>
    <w:rsid w:val="00C54C57"/>
    <w:rsid w:val="00C54E8E"/>
    <w:rsid w:val="00C550BB"/>
    <w:rsid w:val="00C550FE"/>
    <w:rsid w:val="00C55573"/>
    <w:rsid w:val="00C555E1"/>
    <w:rsid w:val="00C557B1"/>
    <w:rsid w:val="00C55EE2"/>
    <w:rsid w:val="00C56122"/>
    <w:rsid w:val="00C56534"/>
    <w:rsid w:val="00C56625"/>
    <w:rsid w:val="00C566BA"/>
    <w:rsid w:val="00C569D0"/>
    <w:rsid w:val="00C56AD6"/>
    <w:rsid w:val="00C57320"/>
    <w:rsid w:val="00C57429"/>
    <w:rsid w:val="00C577C9"/>
    <w:rsid w:val="00C579BD"/>
    <w:rsid w:val="00C57CAF"/>
    <w:rsid w:val="00C57CEE"/>
    <w:rsid w:val="00C57E4D"/>
    <w:rsid w:val="00C601EB"/>
    <w:rsid w:val="00C60239"/>
    <w:rsid w:val="00C60643"/>
    <w:rsid w:val="00C60905"/>
    <w:rsid w:val="00C60D73"/>
    <w:rsid w:val="00C612CC"/>
    <w:rsid w:val="00C61791"/>
    <w:rsid w:val="00C61A24"/>
    <w:rsid w:val="00C61BCA"/>
    <w:rsid w:val="00C61D13"/>
    <w:rsid w:val="00C6242A"/>
    <w:rsid w:val="00C626E2"/>
    <w:rsid w:val="00C628C8"/>
    <w:rsid w:val="00C629FB"/>
    <w:rsid w:val="00C62D01"/>
    <w:rsid w:val="00C62E96"/>
    <w:rsid w:val="00C63D55"/>
    <w:rsid w:val="00C63D6F"/>
    <w:rsid w:val="00C63E79"/>
    <w:rsid w:val="00C63F72"/>
    <w:rsid w:val="00C6463A"/>
    <w:rsid w:val="00C646A8"/>
    <w:rsid w:val="00C64732"/>
    <w:rsid w:val="00C647C8"/>
    <w:rsid w:val="00C64C34"/>
    <w:rsid w:val="00C64C72"/>
    <w:rsid w:val="00C654FD"/>
    <w:rsid w:val="00C659D3"/>
    <w:rsid w:val="00C66293"/>
    <w:rsid w:val="00C66B42"/>
    <w:rsid w:val="00C66C4E"/>
    <w:rsid w:val="00C66D08"/>
    <w:rsid w:val="00C66D0D"/>
    <w:rsid w:val="00C67128"/>
    <w:rsid w:val="00C6788A"/>
    <w:rsid w:val="00C67AAE"/>
    <w:rsid w:val="00C703D7"/>
    <w:rsid w:val="00C70759"/>
    <w:rsid w:val="00C70A63"/>
    <w:rsid w:val="00C70EAB"/>
    <w:rsid w:val="00C71A08"/>
    <w:rsid w:val="00C71AB5"/>
    <w:rsid w:val="00C71C34"/>
    <w:rsid w:val="00C71EC2"/>
    <w:rsid w:val="00C72ACE"/>
    <w:rsid w:val="00C72EEE"/>
    <w:rsid w:val="00C73371"/>
    <w:rsid w:val="00C7339E"/>
    <w:rsid w:val="00C73808"/>
    <w:rsid w:val="00C73EFD"/>
    <w:rsid w:val="00C74206"/>
    <w:rsid w:val="00C74795"/>
    <w:rsid w:val="00C74A89"/>
    <w:rsid w:val="00C74E07"/>
    <w:rsid w:val="00C7519E"/>
    <w:rsid w:val="00C7528E"/>
    <w:rsid w:val="00C752BE"/>
    <w:rsid w:val="00C75307"/>
    <w:rsid w:val="00C75891"/>
    <w:rsid w:val="00C75A47"/>
    <w:rsid w:val="00C76722"/>
    <w:rsid w:val="00C767FF"/>
    <w:rsid w:val="00C76CAE"/>
    <w:rsid w:val="00C76CE9"/>
    <w:rsid w:val="00C770D1"/>
    <w:rsid w:val="00C77679"/>
    <w:rsid w:val="00C803B6"/>
    <w:rsid w:val="00C807DA"/>
    <w:rsid w:val="00C813A3"/>
    <w:rsid w:val="00C81542"/>
    <w:rsid w:val="00C81582"/>
    <w:rsid w:val="00C819E1"/>
    <w:rsid w:val="00C81A12"/>
    <w:rsid w:val="00C81A36"/>
    <w:rsid w:val="00C81A56"/>
    <w:rsid w:val="00C81B66"/>
    <w:rsid w:val="00C81FAD"/>
    <w:rsid w:val="00C825D4"/>
    <w:rsid w:val="00C826CA"/>
    <w:rsid w:val="00C82D52"/>
    <w:rsid w:val="00C83835"/>
    <w:rsid w:val="00C83858"/>
    <w:rsid w:val="00C83997"/>
    <w:rsid w:val="00C83C07"/>
    <w:rsid w:val="00C84448"/>
    <w:rsid w:val="00C84571"/>
    <w:rsid w:val="00C846BE"/>
    <w:rsid w:val="00C846EC"/>
    <w:rsid w:val="00C84EE4"/>
    <w:rsid w:val="00C85213"/>
    <w:rsid w:val="00C853BE"/>
    <w:rsid w:val="00C8572A"/>
    <w:rsid w:val="00C85C41"/>
    <w:rsid w:val="00C8654B"/>
    <w:rsid w:val="00C8669A"/>
    <w:rsid w:val="00C866AA"/>
    <w:rsid w:val="00C87127"/>
    <w:rsid w:val="00C876CC"/>
    <w:rsid w:val="00C87BBF"/>
    <w:rsid w:val="00C87F5D"/>
    <w:rsid w:val="00C87F83"/>
    <w:rsid w:val="00C90100"/>
    <w:rsid w:val="00C9029E"/>
    <w:rsid w:val="00C90398"/>
    <w:rsid w:val="00C904B2"/>
    <w:rsid w:val="00C90999"/>
    <w:rsid w:val="00C90A10"/>
    <w:rsid w:val="00C912FA"/>
    <w:rsid w:val="00C91938"/>
    <w:rsid w:val="00C91B4D"/>
    <w:rsid w:val="00C91BC6"/>
    <w:rsid w:val="00C91E2E"/>
    <w:rsid w:val="00C91F05"/>
    <w:rsid w:val="00C92B08"/>
    <w:rsid w:val="00C9360A"/>
    <w:rsid w:val="00C9413F"/>
    <w:rsid w:val="00C9444B"/>
    <w:rsid w:val="00C94A05"/>
    <w:rsid w:val="00C952CA"/>
    <w:rsid w:val="00C957EA"/>
    <w:rsid w:val="00C958AD"/>
    <w:rsid w:val="00C959F1"/>
    <w:rsid w:val="00C95B6A"/>
    <w:rsid w:val="00C95F55"/>
    <w:rsid w:val="00C96350"/>
    <w:rsid w:val="00C963DE"/>
    <w:rsid w:val="00C96400"/>
    <w:rsid w:val="00C9699A"/>
    <w:rsid w:val="00C96C65"/>
    <w:rsid w:val="00C96FBE"/>
    <w:rsid w:val="00C97378"/>
    <w:rsid w:val="00C9769E"/>
    <w:rsid w:val="00C979C3"/>
    <w:rsid w:val="00C979CF"/>
    <w:rsid w:val="00C97B38"/>
    <w:rsid w:val="00CA041C"/>
    <w:rsid w:val="00CA0555"/>
    <w:rsid w:val="00CA06D7"/>
    <w:rsid w:val="00CA082C"/>
    <w:rsid w:val="00CA0B16"/>
    <w:rsid w:val="00CA0C26"/>
    <w:rsid w:val="00CA0CD9"/>
    <w:rsid w:val="00CA0E12"/>
    <w:rsid w:val="00CA15E5"/>
    <w:rsid w:val="00CA1A3A"/>
    <w:rsid w:val="00CA2114"/>
    <w:rsid w:val="00CA2165"/>
    <w:rsid w:val="00CA21AC"/>
    <w:rsid w:val="00CA2FC1"/>
    <w:rsid w:val="00CA319E"/>
    <w:rsid w:val="00CA37BA"/>
    <w:rsid w:val="00CA3AA2"/>
    <w:rsid w:val="00CA4460"/>
    <w:rsid w:val="00CA449A"/>
    <w:rsid w:val="00CA4B36"/>
    <w:rsid w:val="00CA5364"/>
    <w:rsid w:val="00CA53BD"/>
    <w:rsid w:val="00CA5570"/>
    <w:rsid w:val="00CA565A"/>
    <w:rsid w:val="00CA6149"/>
    <w:rsid w:val="00CA61A8"/>
    <w:rsid w:val="00CA6346"/>
    <w:rsid w:val="00CA68C1"/>
    <w:rsid w:val="00CA6B3D"/>
    <w:rsid w:val="00CA6FD9"/>
    <w:rsid w:val="00CA7230"/>
    <w:rsid w:val="00CA7558"/>
    <w:rsid w:val="00CA75B5"/>
    <w:rsid w:val="00CA7918"/>
    <w:rsid w:val="00CA7D76"/>
    <w:rsid w:val="00CA7EC0"/>
    <w:rsid w:val="00CB04E0"/>
    <w:rsid w:val="00CB06D3"/>
    <w:rsid w:val="00CB07A8"/>
    <w:rsid w:val="00CB0A50"/>
    <w:rsid w:val="00CB0EC0"/>
    <w:rsid w:val="00CB14A1"/>
    <w:rsid w:val="00CB171C"/>
    <w:rsid w:val="00CB18C3"/>
    <w:rsid w:val="00CB1901"/>
    <w:rsid w:val="00CB1D30"/>
    <w:rsid w:val="00CB1E47"/>
    <w:rsid w:val="00CB1F49"/>
    <w:rsid w:val="00CB1F6E"/>
    <w:rsid w:val="00CB1F94"/>
    <w:rsid w:val="00CB2313"/>
    <w:rsid w:val="00CB25B5"/>
    <w:rsid w:val="00CB287F"/>
    <w:rsid w:val="00CB2A74"/>
    <w:rsid w:val="00CB2ADB"/>
    <w:rsid w:val="00CB2B26"/>
    <w:rsid w:val="00CB2C6E"/>
    <w:rsid w:val="00CB32FC"/>
    <w:rsid w:val="00CB3554"/>
    <w:rsid w:val="00CB3820"/>
    <w:rsid w:val="00CB407B"/>
    <w:rsid w:val="00CB49D9"/>
    <w:rsid w:val="00CB49E4"/>
    <w:rsid w:val="00CB50BD"/>
    <w:rsid w:val="00CB50EC"/>
    <w:rsid w:val="00CB5389"/>
    <w:rsid w:val="00CB55E6"/>
    <w:rsid w:val="00CB568D"/>
    <w:rsid w:val="00CB576D"/>
    <w:rsid w:val="00CB6125"/>
    <w:rsid w:val="00CB6633"/>
    <w:rsid w:val="00CB6A3D"/>
    <w:rsid w:val="00CB6AAE"/>
    <w:rsid w:val="00CB7582"/>
    <w:rsid w:val="00CB7881"/>
    <w:rsid w:val="00CB7A8E"/>
    <w:rsid w:val="00CB7D7B"/>
    <w:rsid w:val="00CC00AA"/>
    <w:rsid w:val="00CC0235"/>
    <w:rsid w:val="00CC0536"/>
    <w:rsid w:val="00CC0567"/>
    <w:rsid w:val="00CC078C"/>
    <w:rsid w:val="00CC0BED"/>
    <w:rsid w:val="00CC0CFB"/>
    <w:rsid w:val="00CC10C8"/>
    <w:rsid w:val="00CC10E1"/>
    <w:rsid w:val="00CC2562"/>
    <w:rsid w:val="00CC2587"/>
    <w:rsid w:val="00CC2679"/>
    <w:rsid w:val="00CC2882"/>
    <w:rsid w:val="00CC2C9F"/>
    <w:rsid w:val="00CC2D1D"/>
    <w:rsid w:val="00CC3444"/>
    <w:rsid w:val="00CC35B2"/>
    <w:rsid w:val="00CC460A"/>
    <w:rsid w:val="00CC4A18"/>
    <w:rsid w:val="00CC4A35"/>
    <w:rsid w:val="00CC4AE6"/>
    <w:rsid w:val="00CC4CAC"/>
    <w:rsid w:val="00CC5950"/>
    <w:rsid w:val="00CC5CAD"/>
    <w:rsid w:val="00CC5F1B"/>
    <w:rsid w:val="00CC6707"/>
    <w:rsid w:val="00CC672E"/>
    <w:rsid w:val="00CC6880"/>
    <w:rsid w:val="00CC6920"/>
    <w:rsid w:val="00CC75BA"/>
    <w:rsid w:val="00CC7658"/>
    <w:rsid w:val="00CC79E4"/>
    <w:rsid w:val="00CC7ED9"/>
    <w:rsid w:val="00CD051E"/>
    <w:rsid w:val="00CD0860"/>
    <w:rsid w:val="00CD09D7"/>
    <w:rsid w:val="00CD0BE6"/>
    <w:rsid w:val="00CD0C42"/>
    <w:rsid w:val="00CD12E3"/>
    <w:rsid w:val="00CD18C5"/>
    <w:rsid w:val="00CD19EB"/>
    <w:rsid w:val="00CD1CF1"/>
    <w:rsid w:val="00CD1D28"/>
    <w:rsid w:val="00CD2078"/>
    <w:rsid w:val="00CD2381"/>
    <w:rsid w:val="00CD2920"/>
    <w:rsid w:val="00CD2969"/>
    <w:rsid w:val="00CD2CED"/>
    <w:rsid w:val="00CD2F72"/>
    <w:rsid w:val="00CD3171"/>
    <w:rsid w:val="00CD3B68"/>
    <w:rsid w:val="00CD3CA6"/>
    <w:rsid w:val="00CD3DB2"/>
    <w:rsid w:val="00CD45F4"/>
    <w:rsid w:val="00CD4795"/>
    <w:rsid w:val="00CD483E"/>
    <w:rsid w:val="00CD48E9"/>
    <w:rsid w:val="00CD4EDE"/>
    <w:rsid w:val="00CD50C9"/>
    <w:rsid w:val="00CD6327"/>
    <w:rsid w:val="00CD63A8"/>
    <w:rsid w:val="00CD63FF"/>
    <w:rsid w:val="00CD6B29"/>
    <w:rsid w:val="00CD6F66"/>
    <w:rsid w:val="00CD70E2"/>
    <w:rsid w:val="00CD7255"/>
    <w:rsid w:val="00CD7646"/>
    <w:rsid w:val="00CD7743"/>
    <w:rsid w:val="00CE08DB"/>
    <w:rsid w:val="00CE0B7A"/>
    <w:rsid w:val="00CE0C6D"/>
    <w:rsid w:val="00CE0D66"/>
    <w:rsid w:val="00CE0EBE"/>
    <w:rsid w:val="00CE0ED2"/>
    <w:rsid w:val="00CE138C"/>
    <w:rsid w:val="00CE197C"/>
    <w:rsid w:val="00CE1C30"/>
    <w:rsid w:val="00CE2B78"/>
    <w:rsid w:val="00CE2CB9"/>
    <w:rsid w:val="00CE2E93"/>
    <w:rsid w:val="00CE302F"/>
    <w:rsid w:val="00CE30CD"/>
    <w:rsid w:val="00CE32F2"/>
    <w:rsid w:val="00CE33AF"/>
    <w:rsid w:val="00CE351B"/>
    <w:rsid w:val="00CE3ED1"/>
    <w:rsid w:val="00CE3F73"/>
    <w:rsid w:val="00CE425F"/>
    <w:rsid w:val="00CE448F"/>
    <w:rsid w:val="00CE4712"/>
    <w:rsid w:val="00CE4752"/>
    <w:rsid w:val="00CE4907"/>
    <w:rsid w:val="00CE4932"/>
    <w:rsid w:val="00CE4A3B"/>
    <w:rsid w:val="00CE4E5D"/>
    <w:rsid w:val="00CE53D3"/>
    <w:rsid w:val="00CE636B"/>
    <w:rsid w:val="00CE69A2"/>
    <w:rsid w:val="00CE7222"/>
    <w:rsid w:val="00CE74A3"/>
    <w:rsid w:val="00CF0436"/>
    <w:rsid w:val="00CF0554"/>
    <w:rsid w:val="00CF0A4A"/>
    <w:rsid w:val="00CF0A96"/>
    <w:rsid w:val="00CF100B"/>
    <w:rsid w:val="00CF12F8"/>
    <w:rsid w:val="00CF1664"/>
    <w:rsid w:val="00CF1813"/>
    <w:rsid w:val="00CF18B9"/>
    <w:rsid w:val="00CF1EAD"/>
    <w:rsid w:val="00CF233B"/>
    <w:rsid w:val="00CF2627"/>
    <w:rsid w:val="00CF2B33"/>
    <w:rsid w:val="00CF2F43"/>
    <w:rsid w:val="00CF308F"/>
    <w:rsid w:val="00CF394E"/>
    <w:rsid w:val="00CF3FD7"/>
    <w:rsid w:val="00CF41FD"/>
    <w:rsid w:val="00CF4814"/>
    <w:rsid w:val="00CF4E1B"/>
    <w:rsid w:val="00CF4F89"/>
    <w:rsid w:val="00CF5178"/>
    <w:rsid w:val="00CF54D2"/>
    <w:rsid w:val="00CF5DEA"/>
    <w:rsid w:val="00CF5EC9"/>
    <w:rsid w:val="00CF607F"/>
    <w:rsid w:val="00CF69CE"/>
    <w:rsid w:val="00CF6EBC"/>
    <w:rsid w:val="00CF71BF"/>
    <w:rsid w:val="00CF799B"/>
    <w:rsid w:val="00D00026"/>
    <w:rsid w:val="00D0051F"/>
    <w:rsid w:val="00D009F7"/>
    <w:rsid w:val="00D010ED"/>
    <w:rsid w:val="00D01695"/>
    <w:rsid w:val="00D01796"/>
    <w:rsid w:val="00D017ED"/>
    <w:rsid w:val="00D01BB2"/>
    <w:rsid w:val="00D01BB5"/>
    <w:rsid w:val="00D01C16"/>
    <w:rsid w:val="00D01F30"/>
    <w:rsid w:val="00D01F50"/>
    <w:rsid w:val="00D0205F"/>
    <w:rsid w:val="00D02562"/>
    <w:rsid w:val="00D02926"/>
    <w:rsid w:val="00D02D19"/>
    <w:rsid w:val="00D034AF"/>
    <w:rsid w:val="00D034DD"/>
    <w:rsid w:val="00D035D4"/>
    <w:rsid w:val="00D039BE"/>
    <w:rsid w:val="00D03AEF"/>
    <w:rsid w:val="00D03D0C"/>
    <w:rsid w:val="00D04030"/>
    <w:rsid w:val="00D040D9"/>
    <w:rsid w:val="00D043C5"/>
    <w:rsid w:val="00D0479E"/>
    <w:rsid w:val="00D04952"/>
    <w:rsid w:val="00D04D5F"/>
    <w:rsid w:val="00D0527C"/>
    <w:rsid w:val="00D0531C"/>
    <w:rsid w:val="00D0587A"/>
    <w:rsid w:val="00D059FC"/>
    <w:rsid w:val="00D05A5F"/>
    <w:rsid w:val="00D05CC8"/>
    <w:rsid w:val="00D06276"/>
    <w:rsid w:val="00D063C1"/>
    <w:rsid w:val="00D067C9"/>
    <w:rsid w:val="00D0690A"/>
    <w:rsid w:val="00D06940"/>
    <w:rsid w:val="00D06962"/>
    <w:rsid w:val="00D06A16"/>
    <w:rsid w:val="00D06A1B"/>
    <w:rsid w:val="00D06EAA"/>
    <w:rsid w:val="00D06F7A"/>
    <w:rsid w:val="00D0772C"/>
    <w:rsid w:val="00D07A06"/>
    <w:rsid w:val="00D07A19"/>
    <w:rsid w:val="00D07A9D"/>
    <w:rsid w:val="00D07ADE"/>
    <w:rsid w:val="00D07FA8"/>
    <w:rsid w:val="00D10409"/>
    <w:rsid w:val="00D1045D"/>
    <w:rsid w:val="00D10649"/>
    <w:rsid w:val="00D1078F"/>
    <w:rsid w:val="00D1091A"/>
    <w:rsid w:val="00D10938"/>
    <w:rsid w:val="00D10E18"/>
    <w:rsid w:val="00D10E60"/>
    <w:rsid w:val="00D10EB2"/>
    <w:rsid w:val="00D10F47"/>
    <w:rsid w:val="00D1112C"/>
    <w:rsid w:val="00D11240"/>
    <w:rsid w:val="00D1145A"/>
    <w:rsid w:val="00D124F8"/>
    <w:rsid w:val="00D127A2"/>
    <w:rsid w:val="00D12AA8"/>
    <w:rsid w:val="00D12C18"/>
    <w:rsid w:val="00D12CD2"/>
    <w:rsid w:val="00D13397"/>
    <w:rsid w:val="00D13FA9"/>
    <w:rsid w:val="00D14031"/>
    <w:rsid w:val="00D14396"/>
    <w:rsid w:val="00D14D23"/>
    <w:rsid w:val="00D150CB"/>
    <w:rsid w:val="00D15547"/>
    <w:rsid w:val="00D1569B"/>
    <w:rsid w:val="00D15BF7"/>
    <w:rsid w:val="00D15D8B"/>
    <w:rsid w:val="00D16781"/>
    <w:rsid w:val="00D16ABE"/>
    <w:rsid w:val="00D16BA7"/>
    <w:rsid w:val="00D16C1E"/>
    <w:rsid w:val="00D16F5C"/>
    <w:rsid w:val="00D178F8"/>
    <w:rsid w:val="00D17984"/>
    <w:rsid w:val="00D17C9D"/>
    <w:rsid w:val="00D2034D"/>
    <w:rsid w:val="00D204E6"/>
    <w:rsid w:val="00D208B3"/>
    <w:rsid w:val="00D20A74"/>
    <w:rsid w:val="00D20D47"/>
    <w:rsid w:val="00D20F03"/>
    <w:rsid w:val="00D2110C"/>
    <w:rsid w:val="00D2134A"/>
    <w:rsid w:val="00D213FB"/>
    <w:rsid w:val="00D2147D"/>
    <w:rsid w:val="00D217ED"/>
    <w:rsid w:val="00D21B1A"/>
    <w:rsid w:val="00D21CFE"/>
    <w:rsid w:val="00D21E9F"/>
    <w:rsid w:val="00D221F8"/>
    <w:rsid w:val="00D22EEC"/>
    <w:rsid w:val="00D230DE"/>
    <w:rsid w:val="00D23216"/>
    <w:rsid w:val="00D23251"/>
    <w:rsid w:val="00D23470"/>
    <w:rsid w:val="00D23514"/>
    <w:rsid w:val="00D235B2"/>
    <w:rsid w:val="00D23971"/>
    <w:rsid w:val="00D23C4F"/>
    <w:rsid w:val="00D23DF8"/>
    <w:rsid w:val="00D24151"/>
    <w:rsid w:val="00D24286"/>
    <w:rsid w:val="00D244CC"/>
    <w:rsid w:val="00D24965"/>
    <w:rsid w:val="00D24B14"/>
    <w:rsid w:val="00D24DAD"/>
    <w:rsid w:val="00D24E52"/>
    <w:rsid w:val="00D24E90"/>
    <w:rsid w:val="00D24F36"/>
    <w:rsid w:val="00D25916"/>
    <w:rsid w:val="00D25D84"/>
    <w:rsid w:val="00D2602A"/>
    <w:rsid w:val="00D26252"/>
    <w:rsid w:val="00D26280"/>
    <w:rsid w:val="00D2762B"/>
    <w:rsid w:val="00D279D6"/>
    <w:rsid w:val="00D27A9E"/>
    <w:rsid w:val="00D27C50"/>
    <w:rsid w:val="00D27F0B"/>
    <w:rsid w:val="00D300AD"/>
    <w:rsid w:val="00D302BE"/>
    <w:rsid w:val="00D302C5"/>
    <w:rsid w:val="00D30DF3"/>
    <w:rsid w:val="00D316B1"/>
    <w:rsid w:val="00D31A1D"/>
    <w:rsid w:val="00D31ACE"/>
    <w:rsid w:val="00D31C0F"/>
    <w:rsid w:val="00D31D81"/>
    <w:rsid w:val="00D322CB"/>
    <w:rsid w:val="00D323D7"/>
    <w:rsid w:val="00D3242C"/>
    <w:rsid w:val="00D32521"/>
    <w:rsid w:val="00D32942"/>
    <w:rsid w:val="00D329E6"/>
    <w:rsid w:val="00D32F06"/>
    <w:rsid w:val="00D33EBF"/>
    <w:rsid w:val="00D33FFE"/>
    <w:rsid w:val="00D34127"/>
    <w:rsid w:val="00D341A9"/>
    <w:rsid w:val="00D3484B"/>
    <w:rsid w:val="00D34AC4"/>
    <w:rsid w:val="00D34EA6"/>
    <w:rsid w:val="00D3580D"/>
    <w:rsid w:val="00D35E9F"/>
    <w:rsid w:val="00D363FD"/>
    <w:rsid w:val="00D36423"/>
    <w:rsid w:val="00D367C0"/>
    <w:rsid w:val="00D367F2"/>
    <w:rsid w:val="00D36CFD"/>
    <w:rsid w:val="00D37205"/>
    <w:rsid w:val="00D37610"/>
    <w:rsid w:val="00D37736"/>
    <w:rsid w:val="00D37972"/>
    <w:rsid w:val="00D3798A"/>
    <w:rsid w:val="00D37CAA"/>
    <w:rsid w:val="00D37F9C"/>
    <w:rsid w:val="00D4054A"/>
    <w:rsid w:val="00D405CD"/>
    <w:rsid w:val="00D40896"/>
    <w:rsid w:val="00D409FC"/>
    <w:rsid w:val="00D40B53"/>
    <w:rsid w:val="00D40E03"/>
    <w:rsid w:val="00D41534"/>
    <w:rsid w:val="00D41865"/>
    <w:rsid w:val="00D4186F"/>
    <w:rsid w:val="00D419FD"/>
    <w:rsid w:val="00D41DAA"/>
    <w:rsid w:val="00D421ED"/>
    <w:rsid w:val="00D42379"/>
    <w:rsid w:val="00D42A1F"/>
    <w:rsid w:val="00D42C71"/>
    <w:rsid w:val="00D42D39"/>
    <w:rsid w:val="00D431E2"/>
    <w:rsid w:val="00D43605"/>
    <w:rsid w:val="00D43BAC"/>
    <w:rsid w:val="00D43ED8"/>
    <w:rsid w:val="00D43FA9"/>
    <w:rsid w:val="00D44067"/>
    <w:rsid w:val="00D440DC"/>
    <w:rsid w:val="00D44137"/>
    <w:rsid w:val="00D44BF3"/>
    <w:rsid w:val="00D44C4F"/>
    <w:rsid w:val="00D44F2C"/>
    <w:rsid w:val="00D451FC"/>
    <w:rsid w:val="00D453B8"/>
    <w:rsid w:val="00D457A3"/>
    <w:rsid w:val="00D45C0C"/>
    <w:rsid w:val="00D45E83"/>
    <w:rsid w:val="00D45FF3"/>
    <w:rsid w:val="00D5064E"/>
    <w:rsid w:val="00D5097C"/>
    <w:rsid w:val="00D50D56"/>
    <w:rsid w:val="00D5126F"/>
    <w:rsid w:val="00D51D2F"/>
    <w:rsid w:val="00D51ED5"/>
    <w:rsid w:val="00D51F85"/>
    <w:rsid w:val="00D5207E"/>
    <w:rsid w:val="00D52566"/>
    <w:rsid w:val="00D526FC"/>
    <w:rsid w:val="00D52741"/>
    <w:rsid w:val="00D52886"/>
    <w:rsid w:val="00D528BA"/>
    <w:rsid w:val="00D52ADF"/>
    <w:rsid w:val="00D52ECD"/>
    <w:rsid w:val="00D53004"/>
    <w:rsid w:val="00D5395E"/>
    <w:rsid w:val="00D54055"/>
    <w:rsid w:val="00D54253"/>
    <w:rsid w:val="00D5496D"/>
    <w:rsid w:val="00D549A9"/>
    <w:rsid w:val="00D55317"/>
    <w:rsid w:val="00D55809"/>
    <w:rsid w:val="00D55975"/>
    <w:rsid w:val="00D55990"/>
    <w:rsid w:val="00D55E0D"/>
    <w:rsid w:val="00D55F6D"/>
    <w:rsid w:val="00D56694"/>
    <w:rsid w:val="00D56EE1"/>
    <w:rsid w:val="00D57D22"/>
    <w:rsid w:val="00D57EAE"/>
    <w:rsid w:val="00D604F5"/>
    <w:rsid w:val="00D6080B"/>
    <w:rsid w:val="00D60DE9"/>
    <w:rsid w:val="00D60EB7"/>
    <w:rsid w:val="00D61346"/>
    <w:rsid w:val="00D61ADB"/>
    <w:rsid w:val="00D61CA1"/>
    <w:rsid w:val="00D61E7C"/>
    <w:rsid w:val="00D6207E"/>
    <w:rsid w:val="00D62270"/>
    <w:rsid w:val="00D622A0"/>
    <w:rsid w:val="00D622F3"/>
    <w:rsid w:val="00D623A3"/>
    <w:rsid w:val="00D62554"/>
    <w:rsid w:val="00D626CF"/>
    <w:rsid w:val="00D62CC6"/>
    <w:rsid w:val="00D62DAE"/>
    <w:rsid w:val="00D62FC7"/>
    <w:rsid w:val="00D62FD1"/>
    <w:rsid w:val="00D6310A"/>
    <w:rsid w:val="00D631ED"/>
    <w:rsid w:val="00D63243"/>
    <w:rsid w:val="00D63920"/>
    <w:rsid w:val="00D63A19"/>
    <w:rsid w:val="00D63B87"/>
    <w:rsid w:val="00D63C48"/>
    <w:rsid w:val="00D64289"/>
    <w:rsid w:val="00D643A5"/>
    <w:rsid w:val="00D64487"/>
    <w:rsid w:val="00D644B9"/>
    <w:rsid w:val="00D6457B"/>
    <w:rsid w:val="00D64619"/>
    <w:rsid w:val="00D64CBF"/>
    <w:rsid w:val="00D64F05"/>
    <w:rsid w:val="00D6519F"/>
    <w:rsid w:val="00D651F9"/>
    <w:rsid w:val="00D65D63"/>
    <w:rsid w:val="00D65FE4"/>
    <w:rsid w:val="00D661B0"/>
    <w:rsid w:val="00D66314"/>
    <w:rsid w:val="00D6667B"/>
    <w:rsid w:val="00D6704B"/>
    <w:rsid w:val="00D672B9"/>
    <w:rsid w:val="00D673CD"/>
    <w:rsid w:val="00D6778B"/>
    <w:rsid w:val="00D704CF"/>
    <w:rsid w:val="00D7082C"/>
    <w:rsid w:val="00D70B60"/>
    <w:rsid w:val="00D70D2D"/>
    <w:rsid w:val="00D71400"/>
    <w:rsid w:val="00D715EA"/>
    <w:rsid w:val="00D71690"/>
    <w:rsid w:val="00D717AD"/>
    <w:rsid w:val="00D71934"/>
    <w:rsid w:val="00D71AF4"/>
    <w:rsid w:val="00D71C4E"/>
    <w:rsid w:val="00D71CB0"/>
    <w:rsid w:val="00D71DDF"/>
    <w:rsid w:val="00D72596"/>
    <w:rsid w:val="00D72742"/>
    <w:rsid w:val="00D72C23"/>
    <w:rsid w:val="00D72CFD"/>
    <w:rsid w:val="00D73132"/>
    <w:rsid w:val="00D73737"/>
    <w:rsid w:val="00D748FC"/>
    <w:rsid w:val="00D74D75"/>
    <w:rsid w:val="00D74E21"/>
    <w:rsid w:val="00D7515C"/>
    <w:rsid w:val="00D75A9F"/>
    <w:rsid w:val="00D75E04"/>
    <w:rsid w:val="00D75E4F"/>
    <w:rsid w:val="00D76129"/>
    <w:rsid w:val="00D766D6"/>
    <w:rsid w:val="00D76EBD"/>
    <w:rsid w:val="00D77626"/>
    <w:rsid w:val="00D7777E"/>
    <w:rsid w:val="00D77D1D"/>
    <w:rsid w:val="00D77D23"/>
    <w:rsid w:val="00D77DBD"/>
    <w:rsid w:val="00D800C9"/>
    <w:rsid w:val="00D8072E"/>
    <w:rsid w:val="00D807E9"/>
    <w:rsid w:val="00D80A77"/>
    <w:rsid w:val="00D810AF"/>
    <w:rsid w:val="00D81600"/>
    <w:rsid w:val="00D819B0"/>
    <w:rsid w:val="00D81D1D"/>
    <w:rsid w:val="00D826BB"/>
    <w:rsid w:val="00D8273D"/>
    <w:rsid w:val="00D82EA5"/>
    <w:rsid w:val="00D83897"/>
    <w:rsid w:val="00D8414D"/>
    <w:rsid w:val="00D84335"/>
    <w:rsid w:val="00D8435D"/>
    <w:rsid w:val="00D84786"/>
    <w:rsid w:val="00D84A37"/>
    <w:rsid w:val="00D84CEF"/>
    <w:rsid w:val="00D84F7F"/>
    <w:rsid w:val="00D853F1"/>
    <w:rsid w:val="00D8583D"/>
    <w:rsid w:val="00D85B4D"/>
    <w:rsid w:val="00D865A0"/>
    <w:rsid w:val="00D865EF"/>
    <w:rsid w:val="00D866A4"/>
    <w:rsid w:val="00D869D7"/>
    <w:rsid w:val="00D87B4E"/>
    <w:rsid w:val="00D87CE1"/>
    <w:rsid w:val="00D87E05"/>
    <w:rsid w:val="00D909B8"/>
    <w:rsid w:val="00D909BE"/>
    <w:rsid w:val="00D90D85"/>
    <w:rsid w:val="00D9108B"/>
    <w:rsid w:val="00D914E8"/>
    <w:rsid w:val="00D9191C"/>
    <w:rsid w:val="00D91949"/>
    <w:rsid w:val="00D91D90"/>
    <w:rsid w:val="00D91F57"/>
    <w:rsid w:val="00D92178"/>
    <w:rsid w:val="00D922E7"/>
    <w:rsid w:val="00D92320"/>
    <w:rsid w:val="00D92555"/>
    <w:rsid w:val="00D92F03"/>
    <w:rsid w:val="00D93849"/>
    <w:rsid w:val="00D93BE4"/>
    <w:rsid w:val="00D93DBC"/>
    <w:rsid w:val="00D93FB2"/>
    <w:rsid w:val="00D941DB"/>
    <w:rsid w:val="00D9478F"/>
    <w:rsid w:val="00D947FA"/>
    <w:rsid w:val="00D94F47"/>
    <w:rsid w:val="00D94F7F"/>
    <w:rsid w:val="00D95394"/>
    <w:rsid w:val="00D9577D"/>
    <w:rsid w:val="00D95C02"/>
    <w:rsid w:val="00D95D4A"/>
    <w:rsid w:val="00D96693"/>
    <w:rsid w:val="00D968FA"/>
    <w:rsid w:val="00D96A99"/>
    <w:rsid w:val="00D96BE8"/>
    <w:rsid w:val="00D970E7"/>
    <w:rsid w:val="00D97417"/>
    <w:rsid w:val="00D97A23"/>
    <w:rsid w:val="00D97A8C"/>
    <w:rsid w:val="00D97B00"/>
    <w:rsid w:val="00D97D2C"/>
    <w:rsid w:val="00D97DF3"/>
    <w:rsid w:val="00D97E47"/>
    <w:rsid w:val="00DA032B"/>
    <w:rsid w:val="00DA0456"/>
    <w:rsid w:val="00DA052A"/>
    <w:rsid w:val="00DA064F"/>
    <w:rsid w:val="00DA0737"/>
    <w:rsid w:val="00DA0B38"/>
    <w:rsid w:val="00DA10D4"/>
    <w:rsid w:val="00DA1259"/>
    <w:rsid w:val="00DA130E"/>
    <w:rsid w:val="00DA1717"/>
    <w:rsid w:val="00DA1905"/>
    <w:rsid w:val="00DA1C0A"/>
    <w:rsid w:val="00DA1CF8"/>
    <w:rsid w:val="00DA2552"/>
    <w:rsid w:val="00DA2724"/>
    <w:rsid w:val="00DA29D1"/>
    <w:rsid w:val="00DA2AD1"/>
    <w:rsid w:val="00DA3349"/>
    <w:rsid w:val="00DA336E"/>
    <w:rsid w:val="00DA33DD"/>
    <w:rsid w:val="00DA3606"/>
    <w:rsid w:val="00DA3819"/>
    <w:rsid w:val="00DA3AA6"/>
    <w:rsid w:val="00DA3C3C"/>
    <w:rsid w:val="00DA4354"/>
    <w:rsid w:val="00DA45BD"/>
    <w:rsid w:val="00DA4794"/>
    <w:rsid w:val="00DA47BB"/>
    <w:rsid w:val="00DA49BB"/>
    <w:rsid w:val="00DA4ADD"/>
    <w:rsid w:val="00DA55BB"/>
    <w:rsid w:val="00DA5756"/>
    <w:rsid w:val="00DA5A7F"/>
    <w:rsid w:val="00DA5CDD"/>
    <w:rsid w:val="00DA5E0F"/>
    <w:rsid w:val="00DA6024"/>
    <w:rsid w:val="00DA69DD"/>
    <w:rsid w:val="00DA69E4"/>
    <w:rsid w:val="00DA6FDF"/>
    <w:rsid w:val="00DA722F"/>
    <w:rsid w:val="00DA7305"/>
    <w:rsid w:val="00DA7357"/>
    <w:rsid w:val="00DA73EE"/>
    <w:rsid w:val="00DA7D10"/>
    <w:rsid w:val="00DA7D55"/>
    <w:rsid w:val="00DA7E0A"/>
    <w:rsid w:val="00DA7E18"/>
    <w:rsid w:val="00DB0095"/>
    <w:rsid w:val="00DB0CB7"/>
    <w:rsid w:val="00DB0EBB"/>
    <w:rsid w:val="00DB1078"/>
    <w:rsid w:val="00DB1297"/>
    <w:rsid w:val="00DB12C8"/>
    <w:rsid w:val="00DB1490"/>
    <w:rsid w:val="00DB1583"/>
    <w:rsid w:val="00DB1E89"/>
    <w:rsid w:val="00DB202C"/>
    <w:rsid w:val="00DB21DD"/>
    <w:rsid w:val="00DB2A77"/>
    <w:rsid w:val="00DB2D65"/>
    <w:rsid w:val="00DB2DE7"/>
    <w:rsid w:val="00DB32AE"/>
    <w:rsid w:val="00DB334B"/>
    <w:rsid w:val="00DB34EC"/>
    <w:rsid w:val="00DB3F84"/>
    <w:rsid w:val="00DB4839"/>
    <w:rsid w:val="00DB4A02"/>
    <w:rsid w:val="00DB4A04"/>
    <w:rsid w:val="00DB4F33"/>
    <w:rsid w:val="00DB56B4"/>
    <w:rsid w:val="00DB5DA4"/>
    <w:rsid w:val="00DB5F59"/>
    <w:rsid w:val="00DB6158"/>
    <w:rsid w:val="00DB63B3"/>
    <w:rsid w:val="00DB68F9"/>
    <w:rsid w:val="00DB6A33"/>
    <w:rsid w:val="00DB6B01"/>
    <w:rsid w:val="00DB6F34"/>
    <w:rsid w:val="00DB7185"/>
    <w:rsid w:val="00DB71D5"/>
    <w:rsid w:val="00DB7BCF"/>
    <w:rsid w:val="00DB7CDD"/>
    <w:rsid w:val="00DC012A"/>
    <w:rsid w:val="00DC0177"/>
    <w:rsid w:val="00DC0B84"/>
    <w:rsid w:val="00DC0D0D"/>
    <w:rsid w:val="00DC10E1"/>
    <w:rsid w:val="00DC1690"/>
    <w:rsid w:val="00DC1743"/>
    <w:rsid w:val="00DC18AA"/>
    <w:rsid w:val="00DC19C5"/>
    <w:rsid w:val="00DC1D29"/>
    <w:rsid w:val="00DC1F73"/>
    <w:rsid w:val="00DC256B"/>
    <w:rsid w:val="00DC288F"/>
    <w:rsid w:val="00DC3163"/>
    <w:rsid w:val="00DC3408"/>
    <w:rsid w:val="00DC34D0"/>
    <w:rsid w:val="00DC3892"/>
    <w:rsid w:val="00DC3E26"/>
    <w:rsid w:val="00DC4CC9"/>
    <w:rsid w:val="00DC4D80"/>
    <w:rsid w:val="00DC4DD9"/>
    <w:rsid w:val="00DC51A9"/>
    <w:rsid w:val="00DC53BD"/>
    <w:rsid w:val="00DC542A"/>
    <w:rsid w:val="00DC5632"/>
    <w:rsid w:val="00DC5BFB"/>
    <w:rsid w:val="00DC6063"/>
    <w:rsid w:val="00DC646D"/>
    <w:rsid w:val="00DC661E"/>
    <w:rsid w:val="00DC748E"/>
    <w:rsid w:val="00DC7746"/>
    <w:rsid w:val="00DC77F9"/>
    <w:rsid w:val="00DC7974"/>
    <w:rsid w:val="00DC7AB1"/>
    <w:rsid w:val="00DC7B26"/>
    <w:rsid w:val="00DC7E22"/>
    <w:rsid w:val="00DC7F22"/>
    <w:rsid w:val="00DD07B7"/>
    <w:rsid w:val="00DD093B"/>
    <w:rsid w:val="00DD0C0D"/>
    <w:rsid w:val="00DD0C56"/>
    <w:rsid w:val="00DD0D8E"/>
    <w:rsid w:val="00DD0FB6"/>
    <w:rsid w:val="00DD10D4"/>
    <w:rsid w:val="00DD12BA"/>
    <w:rsid w:val="00DD15AB"/>
    <w:rsid w:val="00DD18FC"/>
    <w:rsid w:val="00DD1937"/>
    <w:rsid w:val="00DD1C47"/>
    <w:rsid w:val="00DD2253"/>
    <w:rsid w:val="00DD23E6"/>
    <w:rsid w:val="00DD2409"/>
    <w:rsid w:val="00DD2A04"/>
    <w:rsid w:val="00DD2D00"/>
    <w:rsid w:val="00DD3049"/>
    <w:rsid w:val="00DD3140"/>
    <w:rsid w:val="00DD31A1"/>
    <w:rsid w:val="00DD3335"/>
    <w:rsid w:val="00DD34EA"/>
    <w:rsid w:val="00DD3678"/>
    <w:rsid w:val="00DD3854"/>
    <w:rsid w:val="00DD3B51"/>
    <w:rsid w:val="00DD44C6"/>
    <w:rsid w:val="00DD4672"/>
    <w:rsid w:val="00DD47CB"/>
    <w:rsid w:val="00DD4815"/>
    <w:rsid w:val="00DD487C"/>
    <w:rsid w:val="00DD4A39"/>
    <w:rsid w:val="00DD4DF1"/>
    <w:rsid w:val="00DD503D"/>
    <w:rsid w:val="00DD5AF4"/>
    <w:rsid w:val="00DD6052"/>
    <w:rsid w:val="00DD60F7"/>
    <w:rsid w:val="00DD64D5"/>
    <w:rsid w:val="00DD6690"/>
    <w:rsid w:val="00DD6B44"/>
    <w:rsid w:val="00DD6B90"/>
    <w:rsid w:val="00DD6CFB"/>
    <w:rsid w:val="00DD6F34"/>
    <w:rsid w:val="00DD6F41"/>
    <w:rsid w:val="00DD7263"/>
    <w:rsid w:val="00DD74CD"/>
    <w:rsid w:val="00DD74DD"/>
    <w:rsid w:val="00DD7A78"/>
    <w:rsid w:val="00DD7ADA"/>
    <w:rsid w:val="00DD7B30"/>
    <w:rsid w:val="00DD7B89"/>
    <w:rsid w:val="00DD7EA6"/>
    <w:rsid w:val="00DD7EDC"/>
    <w:rsid w:val="00DE00F1"/>
    <w:rsid w:val="00DE077B"/>
    <w:rsid w:val="00DE0EB7"/>
    <w:rsid w:val="00DE0FC1"/>
    <w:rsid w:val="00DE133F"/>
    <w:rsid w:val="00DE1E63"/>
    <w:rsid w:val="00DE1ECA"/>
    <w:rsid w:val="00DE2181"/>
    <w:rsid w:val="00DE24CC"/>
    <w:rsid w:val="00DE2BCA"/>
    <w:rsid w:val="00DE2D38"/>
    <w:rsid w:val="00DE2F1D"/>
    <w:rsid w:val="00DE30E2"/>
    <w:rsid w:val="00DE328C"/>
    <w:rsid w:val="00DE33C2"/>
    <w:rsid w:val="00DE378B"/>
    <w:rsid w:val="00DE3961"/>
    <w:rsid w:val="00DE3A9A"/>
    <w:rsid w:val="00DE3CB2"/>
    <w:rsid w:val="00DE4408"/>
    <w:rsid w:val="00DE4AD2"/>
    <w:rsid w:val="00DE56A1"/>
    <w:rsid w:val="00DE60DB"/>
    <w:rsid w:val="00DE61B9"/>
    <w:rsid w:val="00DE6282"/>
    <w:rsid w:val="00DE6407"/>
    <w:rsid w:val="00DE6421"/>
    <w:rsid w:val="00DE6552"/>
    <w:rsid w:val="00DE6731"/>
    <w:rsid w:val="00DE6918"/>
    <w:rsid w:val="00DE78F3"/>
    <w:rsid w:val="00DE7932"/>
    <w:rsid w:val="00DE7A24"/>
    <w:rsid w:val="00DE7A7F"/>
    <w:rsid w:val="00DE7E1C"/>
    <w:rsid w:val="00DE7FC8"/>
    <w:rsid w:val="00DF00E4"/>
    <w:rsid w:val="00DF0A0D"/>
    <w:rsid w:val="00DF101B"/>
    <w:rsid w:val="00DF1111"/>
    <w:rsid w:val="00DF12EE"/>
    <w:rsid w:val="00DF16C0"/>
    <w:rsid w:val="00DF23B5"/>
    <w:rsid w:val="00DF24EF"/>
    <w:rsid w:val="00DF2572"/>
    <w:rsid w:val="00DF2579"/>
    <w:rsid w:val="00DF263A"/>
    <w:rsid w:val="00DF27F0"/>
    <w:rsid w:val="00DF2AC1"/>
    <w:rsid w:val="00DF2E54"/>
    <w:rsid w:val="00DF3A3E"/>
    <w:rsid w:val="00DF3D47"/>
    <w:rsid w:val="00DF40BD"/>
    <w:rsid w:val="00DF41DA"/>
    <w:rsid w:val="00DF4212"/>
    <w:rsid w:val="00DF44DC"/>
    <w:rsid w:val="00DF4A58"/>
    <w:rsid w:val="00DF52C5"/>
    <w:rsid w:val="00DF548B"/>
    <w:rsid w:val="00DF55B4"/>
    <w:rsid w:val="00DF57E0"/>
    <w:rsid w:val="00DF5BA2"/>
    <w:rsid w:val="00DF5D86"/>
    <w:rsid w:val="00DF6007"/>
    <w:rsid w:val="00DF63CC"/>
    <w:rsid w:val="00DF67F5"/>
    <w:rsid w:val="00DF6D49"/>
    <w:rsid w:val="00DF74DA"/>
    <w:rsid w:val="00DF771E"/>
    <w:rsid w:val="00DF798D"/>
    <w:rsid w:val="00DF7A94"/>
    <w:rsid w:val="00DF7CCB"/>
    <w:rsid w:val="00E0010D"/>
    <w:rsid w:val="00E00A9F"/>
    <w:rsid w:val="00E00D2D"/>
    <w:rsid w:val="00E0100C"/>
    <w:rsid w:val="00E022CA"/>
    <w:rsid w:val="00E02A6F"/>
    <w:rsid w:val="00E02B03"/>
    <w:rsid w:val="00E02D8B"/>
    <w:rsid w:val="00E02DAA"/>
    <w:rsid w:val="00E033F0"/>
    <w:rsid w:val="00E039C8"/>
    <w:rsid w:val="00E03C73"/>
    <w:rsid w:val="00E03CC9"/>
    <w:rsid w:val="00E04543"/>
    <w:rsid w:val="00E049BB"/>
    <w:rsid w:val="00E04D2E"/>
    <w:rsid w:val="00E04EDB"/>
    <w:rsid w:val="00E0587D"/>
    <w:rsid w:val="00E05BB6"/>
    <w:rsid w:val="00E05D1D"/>
    <w:rsid w:val="00E05E3B"/>
    <w:rsid w:val="00E05FBC"/>
    <w:rsid w:val="00E06215"/>
    <w:rsid w:val="00E06411"/>
    <w:rsid w:val="00E06447"/>
    <w:rsid w:val="00E06ADC"/>
    <w:rsid w:val="00E06BE6"/>
    <w:rsid w:val="00E06D66"/>
    <w:rsid w:val="00E07229"/>
    <w:rsid w:val="00E073A2"/>
    <w:rsid w:val="00E10693"/>
    <w:rsid w:val="00E1092A"/>
    <w:rsid w:val="00E109AB"/>
    <w:rsid w:val="00E10B7D"/>
    <w:rsid w:val="00E10B87"/>
    <w:rsid w:val="00E10BAD"/>
    <w:rsid w:val="00E10E4D"/>
    <w:rsid w:val="00E12CF6"/>
    <w:rsid w:val="00E12D52"/>
    <w:rsid w:val="00E12E93"/>
    <w:rsid w:val="00E12F0A"/>
    <w:rsid w:val="00E13053"/>
    <w:rsid w:val="00E13362"/>
    <w:rsid w:val="00E135A7"/>
    <w:rsid w:val="00E1385C"/>
    <w:rsid w:val="00E13B28"/>
    <w:rsid w:val="00E13C3E"/>
    <w:rsid w:val="00E144F7"/>
    <w:rsid w:val="00E1474A"/>
    <w:rsid w:val="00E148BE"/>
    <w:rsid w:val="00E14B77"/>
    <w:rsid w:val="00E14BE4"/>
    <w:rsid w:val="00E14D9A"/>
    <w:rsid w:val="00E14FC4"/>
    <w:rsid w:val="00E1524D"/>
    <w:rsid w:val="00E15331"/>
    <w:rsid w:val="00E1576B"/>
    <w:rsid w:val="00E15879"/>
    <w:rsid w:val="00E158DE"/>
    <w:rsid w:val="00E15BE0"/>
    <w:rsid w:val="00E15C37"/>
    <w:rsid w:val="00E16079"/>
    <w:rsid w:val="00E164FD"/>
    <w:rsid w:val="00E1682D"/>
    <w:rsid w:val="00E16FDD"/>
    <w:rsid w:val="00E170F7"/>
    <w:rsid w:val="00E1711C"/>
    <w:rsid w:val="00E177F4"/>
    <w:rsid w:val="00E17B16"/>
    <w:rsid w:val="00E2036A"/>
    <w:rsid w:val="00E205FE"/>
    <w:rsid w:val="00E206C4"/>
    <w:rsid w:val="00E20935"/>
    <w:rsid w:val="00E20AB9"/>
    <w:rsid w:val="00E213CE"/>
    <w:rsid w:val="00E21611"/>
    <w:rsid w:val="00E217F4"/>
    <w:rsid w:val="00E2223E"/>
    <w:rsid w:val="00E2276F"/>
    <w:rsid w:val="00E227EA"/>
    <w:rsid w:val="00E22CA4"/>
    <w:rsid w:val="00E23226"/>
    <w:rsid w:val="00E23281"/>
    <w:rsid w:val="00E234D5"/>
    <w:rsid w:val="00E23660"/>
    <w:rsid w:val="00E23A34"/>
    <w:rsid w:val="00E23AFA"/>
    <w:rsid w:val="00E23CB0"/>
    <w:rsid w:val="00E23E55"/>
    <w:rsid w:val="00E240F6"/>
    <w:rsid w:val="00E245E5"/>
    <w:rsid w:val="00E24DB2"/>
    <w:rsid w:val="00E24E6D"/>
    <w:rsid w:val="00E24E7A"/>
    <w:rsid w:val="00E25B10"/>
    <w:rsid w:val="00E25B59"/>
    <w:rsid w:val="00E25F10"/>
    <w:rsid w:val="00E2632E"/>
    <w:rsid w:val="00E26388"/>
    <w:rsid w:val="00E26724"/>
    <w:rsid w:val="00E269DC"/>
    <w:rsid w:val="00E26A17"/>
    <w:rsid w:val="00E26B6A"/>
    <w:rsid w:val="00E2714A"/>
    <w:rsid w:val="00E2761D"/>
    <w:rsid w:val="00E27748"/>
    <w:rsid w:val="00E27988"/>
    <w:rsid w:val="00E27B01"/>
    <w:rsid w:val="00E3019B"/>
    <w:rsid w:val="00E30312"/>
    <w:rsid w:val="00E30755"/>
    <w:rsid w:val="00E30AC6"/>
    <w:rsid w:val="00E30B34"/>
    <w:rsid w:val="00E30C5F"/>
    <w:rsid w:val="00E30C73"/>
    <w:rsid w:val="00E30C76"/>
    <w:rsid w:val="00E30FD1"/>
    <w:rsid w:val="00E31A1E"/>
    <w:rsid w:val="00E328D6"/>
    <w:rsid w:val="00E32DC2"/>
    <w:rsid w:val="00E32F50"/>
    <w:rsid w:val="00E32FD3"/>
    <w:rsid w:val="00E3338E"/>
    <w:rsid w:val="00E3356D"/>
    <w:rsid w:val="00E33725"/>
    <w:rsid w:val="00E3377B"/>
    <w:rsid w:val="00E33882"/>
    <w:rsid w:val="00E34484"/>
    <w:rsid w:val="00E3456D"/>
    <w:rsid w:val="00E3486E"/>
    <w:rsid w:val="00E3510C"/>
    <w:rsid w:val="00E35185"/>
    <w:rsid w:val="00E35915"/>
    <w:rsid w:val="00E35AA0"/>
    <w:rsid w:val="00E35C9B"/>
    <w:rsid w:val="00E35CE7"/>
    <w:rsid w:val="00E35F56"/>
    <w:rsid w:val="00E366A2"/>
    <w:rsid w:val="00E36874"/>
    <w:rsid w:val="00E36880"/>
    <w:rsid w:val="00E36D03"/>
    <w:rsid w:val="00E36D71"/>
    <w:rsid w:val="00E36E5E"/>
    <w:rsid w:val="00E37424"/>
    <w:rsid w:val="00E379C0"/>
    <w:rsid w:val="00E379E9"/>
    <w:rsid w:val="00E37AEE"/>
    <w:rsid w:val="00E37E02"/>
    <w:rsid w:val="00E37F64"/>
    <w:rsid w:val="00E40134"/>
    <w:rsid w:val="00E402E1"/>
    <w:rsid w:val="00E403DC"/>
    <w:rsid w:val="00E4041E"/>
    <w:rsid w:val="00E40F3E"/>
    <w:rsid w:val="00E4148F"/>
    <w:rsid w:val="00E41B18"/>
    <w:rsid w:val="00E42A88"/>
    <w:rsid w:val="00E42AFD"/>
    <w:rsid w:val="00E42BF0"/>
    <w:rsid w:val="00E42CE6"/>
    <w:rsid w:val="00E42DE9"/>
    <w:rsid w:val="00E4314B"/>
    <w:rsid w:val="00E43264"/>
    <w:rsid w:val="00E43936"/>
    <w:rsid w:val="00E43D1C"/>
    <w:rsid w:val="00E43FCD"/>
    <w:rsid w:val="00E442B9"/>
    <w:rsid w:val="00E4448F"/>
    <w:rsid w:val="00E44CEF"/>
    <w:rsid w:val="00E44D04"/>
    <w:rsid w:val="00E44DA0"/>
    <w:rsid w:val="00E44EDC"/>
    <w:rsid w:val="00E44F05"/>
    <w:rsid w:val="00E4507E"/>
    <w:rsid w:val="00E45180"/>
    <w:rsid w:val="00E45195"/>
    <w:rsid w:val="00E45305"/>
    <w:rsid w:val="00E4531C"/>
    <w:rsid w:val="00E4545E"/>
    <w:rsid w:val="00E454A0"/>
    <w:rsid w:val="00E454A7"/>
    <w:rsid w:val="00E4566F"/>
    <w:rsid w:val="00E458F5"/>
    <w:rsid w:val="00E4634C"/>
    <w:rsid w:val="00E46749"/>
    <w:rsid w:val="00E468C8"/>
    <w:rsid w:val="00E46A5B"/>
    <w:rsid w:val="00E46AC9"/>
    <w:rsid w:val="00E47250"/>
    <w:rsid w:val="00E472F4"/>
    <w:rsid w:val="00E473DA"/>
    <w:rsid w:val="00E47852"/>
    <w:rsid w:val="00E4799C"/>
    <w:rsid w:val="00E47A34"/>
    <w:rsid w:val="00E47C5A"/>
    <w:rsid w:val="00E501CC"/>
    <w:rsid w:val="00E503DE"/>
    <w:rsid w:val="00E50ABC"/>
    <w:rsid w:val="00E50AC2"/>
    <w:rsid w:val="00E50F02"/>
    <w:rsid w:val="00E50F1A"/>
    <w:rsid w:val="00E50F80"/>
    <w:rsid w:val="00E51144"/>
    <w:rsid w:val="00E513FE"/>
    <w:rsid w:val="00E5142D"/>
    <w:rsid w:val="00E51D8F"/>
    <w:rsid w:val="00E522DA"/>
    <w:rsid w:val="00E52647"/>
    <w:rsid w:val="00E528AA"/>
    <w:rsid w:val="00E52B35"/>
    <w:rsid w:val="00E52B51"/>
    <w:rsid w:val="00E52C25"/>
    <w:rsid w:val="00E52CCC"/>
    <w:rsid w:val="00E52D17"/>
    <w:rsid w:val="00E53397"/>
    <w:rsid w:val="00E53682"/>
    <w:rsid w:val="00E53719"/>
    <w:rsid w:val="00E538C9"/>
    <w:rsid w:val="00E53D6E"/>
    <w:rsid w:val="00E53DB6"/>
    <w:rsid w:val="00E53E2A"/>
    <w:rsid w:val="00E54CED"/>
    <w:rsid w:val="00E54F90"/>
    <w:rsid w:val="00E54FB3"/>
    <w:rsid w:val="00E555F5"/>
    <w:rsid w:val="00E55904"/>
    <w:rsid w:val="00E55B9D"/>
    <w:rsid w:val="00E55DCD"/>
    <w:rsid w:val="00E55E72"/>
    <w:rsid w:val="00E55F54"/>
    <w:rsid w:val="00E56065"/>
    <w:rsid w:val="00E5619B"/>
    <w:rsid w:val="00E5651D"/>
    <w:rsid w:val="00E56627"/>
    <w:rsid w:val="00E56E04"/>
    <w:rsid w:val="00E56E98"/>
    <w:rsid w:val="00E570B3"/>
    <w:rsid w:val="00E57230"/>
    <w:rsid w:val="00E5734E"/>
    <w:rsid w:val="00E604A7"/>
    <w:rsid w:val="00E60636"/>
    <w:rsid w:val="00E609B9"/>
    <w:rsid w:val="00E60DAD"/>
    <w:rsid w:val="00E60E58"/>
    <w:rsid w:val="00E61E1C"/>
    <w:rsid w:val="00E621B0"/>
    <w:rsid w:val="00E6285C"/>
    <w:rsid w:val="00E62A96"/>
    <w:rsid w:val="00E62AAE"/>
    <w:rsid w:val="00E62DF0"/>
    <w:rsid w:val="00E62FC0"/>
    <w:rsid w:val="00E63400"/>
    <w:rsid w:val="00E634F8"/>
    <w:rsid w:val="00E636DA"/>
    <w:rsid w:val="00E63777"/>
    <w:rsid w:val="00E637F5"/>
    <w:rsid w:val="00E641AB"/>
    <w:rsid w:val="00E641C0"/>
    <w:rsid w:val="00E646AD"/>
    <w:rsid w:val="00E649C1"/>
    <w:rsid w:val="00E64A27"/>
    <w:rsid w:val="00E6563F"/>
    <w:rsid w:val="00E6596D"/>
    <w:rsid w:val="00E660CE"/>
    <w:rsid w:val="00E66442"/>
    <w:rsid w:val="00E66614"/>
    <w:rsid w:val="00E66750"/>
    <w:rsid w:val="00E66F95"/>
    <w:rsid w:val="00E677C3"/>
    <w:rsid w:val="00E6794C"/>
    <w:rsid w:val="00E67973"/>
    <w:rsid w:val="00E67FAD"/>
    <w:rsid w:val="00E7012F"/>
    <w:rsid w:val="00E703C4"/>
    <w:rsid w:val="00E703FA"/>
    <w:rsid w:val="00E7046D"/>
    <w:rsid w:val="00E70590"/>
    <w:rsid w:val="00E705C1"/>
    <w:rsid w:val="00E70633"/>
    <w:rsid w:val="00E706A7"/>
    <w:rsid w:val="00E7071E"/>
    <w:rsid w:val="00E709D4"/>
    <w:rsid w:val="00E70D1B"/>
    <w:rsid w:val="00E710B4"/>
    <w:rsid w:val="00E71864"/>
    <w:rsid w:val="00E71CBE"/>
    <w:rsid w:val="00E723CE"/>
    <w:rsid w:val="00E72B9A"/>
    <w:rsid w:val="00E72D2E"/>
    <w:rsid w:val="00E7320C"/>
    <w:rsid w:val="00E7358A"/>
    <w:rsid w:val="00E7382E"/>
    <w:rsid w:val="00E73AD1"/>
    <w:rsid w:val="00E73BBF"/>
    <w:rsid w:val="00E73C73"/>
    <w:rsid w:val="00E73EA6"/>
    <w:rsid w:val="00E745CA"/>
    <w:rsid w:val="00E74963"/>
    <w:rsid w:val="00E7501C"/>
    <w:rsid w:val="00E7508C"/>
    <w:rsid w:val="00E75091"/>
    <w:rsid w:val="00E75FDF"/>
    <w:rsid w:val="00E77091"/>
    <w:rsid w:val="00E77300"/>
    <w:rsid w:val="00E773DF"/>
    <w:rsid w:val="00E7766D"/>
    <w:rsid w:val="00E77723"/>
    <w:rsid w:val="00E777FA"/>
    <w:rsid w:val="00E77941"/>
    <w:rsid w:val="00E77982"/>
    <w:rsid w:val="00E77F42"/>
    <w:rsid w:val="00E804DF"/>
    <w:rsid w:val="00E80857"/>
    <w:rsid w:val="00E80930"/>
    <w:rsid w:val="00E809E4"/>
    <w:rsid w:val="00E80B33"/>
    <w:rsid w:val="00E80C1A"/>
    <w:rsid w:val="00E80E10"/>
    <w:rsid w:val="00E81621"/>
    <w:rsid w:val="00E818DE"/>
    <w:rsid w:val="00E81A3F"/>
    <w:rsid w:val="00E81DA8"/>
    <w:rsid w:val="00E8207E"/>
    <w:rsid w:val="00E8269B"/>
    <w:rsid w:val="00E8292F"/>
    <w:rsid w:val="00E82A84"/>
    <w:rsid w:val="00E82B3F"/>
    <w:rsid w:val="00E82CD4"/>
    <w:rsid w:val="00E82E0B"/>
    <w:rsid w:val="00E830AD"/>
    <w:rsid w:val="00E83231"/>
    <w:rsid w:val="00E83356"/>
    <w:rsid w:val="00E83469"/>
    <w:rsid w:val="00E8350A"/>
    <w:rsid w:val="00E837C6"/>
    <w:rsid w:val="00E83C01"/>
    <w:rsid w:val="00E83C1A"/>
    <w:rsid w:val="00E84164"/>
    <w:rsid w:val="00E842E3"/>
    <w:rsid w:val="00E84973"/>
    <w:rsid w:val="00E84A54"/>
    <w:rsid w:val="00E84B02"/>
    <w:rsid w:val="00E84E35"/>
    <w:rsid w:val="00E856D8"/>
    <w:rsid w:val="00E857A5"/>
    <w:rsid w:val="00E85C05"/>
    <w:rsid w:val="00E8605F"/>
    <w:rsid w:val="00E862F2"/>
    <w:rsid w:val="00E86DB2"/>
    <w:rsid w:val="00E86F55"/>
    <w:rsid w:val="00E870AA"/>
    <w:rsid w:val="00E87515"/>
    <w:rsid w:val="00E87981"/>
    <w:rsid w:val="00E87A8A"/>
    <w:rsid w:val="00E87BF6"/>
    <w:rsid w:val="00E9037A"/>
    <w:rsid w:val="00E907FD"/>
    <w:rsid w:val="00E908A2"/>
    <w:rsid w:val="00E90A21"/>
    <w:rsid w:val="00E912CC"/>
    <w:rsid w:val="00E91D9E"/>
    <w:rsid w:val="00E9239A"/>
    <w:rsid w:val="00E92645"/>
    <w:rsid w:val="00E927AA"/>
    <w:rsid w:val="00E927C5"/>
    <w:rsid w:val="00E92D4B"/>
    <w:rsid w:val="00E930FA"/>
    <w:rsid w:val="00E9325D"/>
    <w:rsid w:val="00E93B91"/>
    <w:rsid w:val="00E93BC0"/>
    <w:rsid w:val="00E93ED3"/>
    <w:rsid w:val="00E9417A"/>
    <w:rsid w:val="00E942E2"/>
    <w:rsid w:val="00E9441B"/>
    <w:rsid w:val="00E945AC"/>
    <w:rsid w:val="00E94FE0"/>
    <w:rsid w:val="00E950D8"/>
    <w:rsid w:val="00E95771"/>
    <w:rsid w:val="00E958B0"/>
    <w:rsid w:val="00E958C9"/>
    <w:rsid w:val="00E95990"/>
    <w:rsid w:val="00E95C84"/>
    <w:rsid w:val="00E95DC0"/>
    <w:rsid w:val="00E963A9"/>
    <w:rsid w:val="00E965C5"/>
    <w:rsid w:val="00E969EA"/>
    <w:rsid w:val="00E96E56"/>
    <w:rsid w:val="00E976F0"/>
    <w:rsid w:val="00E97838"/>
    <w:rsid w:val="00E978E6"/>
    <w:rsid w:val="00E9794A"/>
    <w:rsid w:val="00E97AA9"/>
    <w:rsid w:val="00E97AE4"/>
    <w:rsid w:val="00E97B0E"/>
    <w:rsid w:val="00E97C08"/>
    <w:rsid w:val="00E97F08"/>
    <w:rsid w:val="00EA012A"/>
    <w:rsid w:val="00EA06B8"/>
    <w:rsid w:val="00EA0752"/>
    <w:rsid w:val="00EA0804"/>
    <w:rsid w:val="00EA08FB"/>
    <w:rsid w:val="00EA1452"/>
    <w:rsid w:val="00EA161A"/>
    <w:rsid w:val="00EA1822"/>
    <w:rsid w:val="00EA1B29"/>
    <w:rsid w:val="00EA2286"/>
    <w:rsid w:val="00EA281C"/>
    <w:rsid w:val="00EA2AF3"/>
    <w:rsid w:val="00EA2D16"/>
    <w:rsid w:val="00EA2F03"/>
    <w:rsid w:val="00EA2FAD"/>
    <w:rsid w:val="00EA34EC"/>
    <w:rsid w:val="00EA3A08"/>
    <w:rsid w:val="00EA3F31"/>
    <w:rsid w:val="00EA405B"/>
    <w:rsid w:val="00EA42F4"/>
    <w:rsid w:val="00EA42FE"/>
    <w:rsid w:val="00EA45B5"/>
    <w:rsid w:val="00EA4817"/>
    <w:rsid w:val="00EA4832"/>
    <w:rsid w:val="00EA4C37"/>
    <w:rsid w:val="00EA4D9F"/>
    <w:rsid w:val="00EA4FC3"/>
    <w:rsid w:val="00EA5062"/>
    <w:rsid w:val="00EA51DE"/>
    <w:rsid w:val="00EA525C"/>
    <w:rsid w:val="00EA5BA9"/>
    <w:rsid w:val="00EA5E2D"/>
    <w:rsid w:val="00EA61D5"/>
    <w:rsid w:val="00EA66E6"/>
    <w:rsid w:val="00EA6837"/>
    <w:rsid w:val="00EA6863"/>
    <w:rsid w:val="00EA6FFF"/>
    <w:rsid w:val="00EA7E99"/>
    <w:rsid w:val="00EA7EEE"/>
    <w:rsid w:val="00EB0B68"/>
    <w:rsid w:val="00EB0F30"/>
    <w:rsid w:val="00EB1A45"/>
    <w:rsid w:val="00EB1DF6"/>
    <w:rsid w:val="00EB1F07"/>
    <w:rsid w:val="00EB238E"/>
    <w:rsid w:val="00EB2475"/>
    <w:rsid w:val="00EB28C6"/>
    <w:rsid w:val="00EB29D6"/>
    <w:rsid w:val="00EB2B81"/>
    <w:rsid w:val="00EB2D4D"/>
    <w:rsid w:val="00EB32C2"/>
    <w:rsid w:val="00EB387F"/>
    <w:rsid w:val="00EB3C1B"/>
    <w:rsid w:val="00EB3F3E"/>
    <w:rsid w:val="00EB421E"/>
    <w:rsid w:val="00EB426B"/>
    <w:rsid w:val="00EB43B1"/>
    <w:rsid w:val="00EB4621"/>
    <w:rsid w:val="00EB4AAE"/>
    <w:rsid w:val="00EB4FD8"/>
    <w:rsid w:val="00EB50C3"/>
    <w:rsid w:val="00EB54B5"/>
    <w:rsid w:val="00EB5A11"/>
    <w:rsid w:val="00EB5E6D"/>
    <w:rsid w:val="00EB5F18"/>
    <w:rsid w:val="00EB6144"/>
    <w:rsid w:val="00EB6356"/>
    <w:rsid w:val="00EB6990"/>
    <w:rsid w:val="00EB70EE"/>
    <w:rsid w:val="00EB7D3F"/>
    <w:rsid w:val="00EB7E5C"/>
    <w:rsid w:val="00EB7FA3"/>
    <w:rsid w:val="00EC00AF"/>
    <w:rsid w:val="00EC03BA"/>
    <w:rsid w:val="00EC052D"/>
    <w:rsid w:val="00EC0940"/>
    <w:rsid w:val="00EC0EB4"/>
    <w:rsid w:val="00EC0EC9"/>
    <w:rsid w:val="00EC134E"/>
    <w:rsid w:val="00EC16EF"/>
    <w:rsid w:val="00EC1734"/>
    <w:rsid w:val="00EC19E2"/>
    <w:rsid w:val="00EC1B0B"/>
    <w:rsid w:val="00EC1E17"/>
    <w:rsid w:val="00EC1FF5"/>
    <w:rsid w:val="00EC2029"/>
    <w:rsid w:val="00EC30B1"/>
    <w:rsid w:val="00EC360D"/>
    <w:rsid w:val="00EC3620"/>
    <w:rsid w:val="00EC366B"/>
    <w:rsid w:val="00EC39BA"/>
    <w:rsid w:val="00EC3A25"/>
    <w:rsid w:val="00EC3C4C"/>
    <w:rsid w:val="00EC3DD9"/>
    <w:rsid w:val="00EC3FEC"/>
    <w:rsid w:val="00EC4093"/>
    <w:rsid w:val="00EC40E6"/>
    <w:rsid w:val="00EC4C49"/>
    <w:rsid w:val="00EC5330"/>
    <w:rsid w:val="00EC5A06"/>
    <w:rsid w:val="00EC5D00"/>
    <w:rsid w:val="00EC6233"/>
    <w:rsid w:val="00EC6599"/>
    <w:rsid w:val="00EC699A"/>
    <w:rsid w:val="00EC6A8B"/>
    <w:rsid w:val="00EC6CC0"/>
    <w:rsid w:val="00EC6F46"/>
    <w:rsid w:val="00EC7047"/>
    <w:rsid w:val="00EC722F"/>
    <w:rsid w:val="00EC74C0"/>
    <w:rsid w:val="00EC7AA6"/>
    <w:rsid w:val="00EC7D9A"/>
    <w:rsid w:val="00EC7F81"/>
    <w:rsid w:val="00ED01CB"/>
    <w:rsid w:val="00ED0319"/>
    <w:rsid w:val="00ED044B"/>
    <w:rsid w:val="00ED049B"/>
    <w:rsid w:val="00ED0A74"/>
    <w:rsid w:val="00ED0B92"/>
    <w:rsid w:val="00ED0BDC"/>
    <w:rsid w:val="00ED0CE1"/>
    <w:rsid w:val="00ED10E6"/>
    <w:rsid w:val="00ED13DB"/>
    <w:rsid w:val="00ED197A"/>
    <w:rsid w:val="00ED1C92"/>
    <w:rsid w:val="00ED1EF3"/>
    <w:rsid w:val="00ED26A8"/>
    <w:rsid w:val="00ED27B2"/>
    <w:rsid w:val="00ED2A53"/>
    <w:rsid w:val="00ED3C25"/>
    <w:rsid w:val="00ED3D38"/>
    <w:rsid w:val="00ED3E58"/>
    <w:rsid w:val="00ED42ED"/>
    <w:rsid w:val="00ED431A"/>
    <w:rsid w:val="00ED4D26"/>
    <w:rsid w:val="00ED4F3A"/>
    <w:rsid w:val="00ED5019"/>
    <w:rsid w:val="00ED54CE"/>
    <w:rsid w:val="00ED5B75"/>
    <w:rsid w:val="00ED5B8E"/>
    <w:rsid w:val="00ED5C54"/>
    <w:rsid w:val="00ED62A8"/>
    <w:rsid w:val="00ED6426"/>
    <w:rsid w:val="00ED6BAA"/>
    <w:rsid w:val="00ED6BFB"/>
    <w:rsid w:val="00ED6D1D"/>
    <w:rsid w:val="00EE0102"/>
    <w:rsid w:val="00EE0182"/>
    <w:rsid w:val="00EE02D7"/>
    <w:rsid w:val="00EE034E"/>
    <w:rsid w:val="00EE0561"/>
    <w:rsid w:val="00EE0870"/>
    <w:rsid w:val="00EE0D74"/>
    <w:rsid w:val="00EE0FB4"/>
    <w:rsid w:val="00EE0FC4"/>
    <w:rsid w:val="00EE11ED"/>
    <w:rsid w:val="00EE203C"/>
    <w:rsid w:val="00EE217D"/>
    <w:rsid w:val="00EE2332"/>
    <w:rsid w:val="00EE2594"/>
    <w:rsid w:val="00EE2C98"/>
    <w:rsid w:val="00EE3283"/>
    <w:rsid w:val="00EE35F7"/>
    <w:rsid w:val="00EE4031"/>
    <w:rsid w:val="00EE40B2"/>
    <w:rsid w:val="00EE44A7"/>
    <w:rsid w:val="00EE4D3E"/>
    <w:rsid w:val="00EE50EC"/>
    <w:rsid w:val="00EE5582"/>
    <w:rsid w:val="00EE5DAB"/>
    <w:rsid w:val="00EE5FB0"/>
    <w:rsid w:val="00EE5FE9"/>
    <w:rsid w:val="00EE6144"/>
    <w:rsid w:val="00EE621F"/>
    <w:rsid w:val="00EE68DE"/>
    <w:rsid w:val="00EE6CE6"/>
    <w:rsid w:val="00EE6D60"/>
    <w:rsid w:val="00EE703F"/>
    <w:rsid w:val="00EE790B"/>
    <w:rsid w:val="00EF006F"/>
    <w:rsid w:val="00EF0306"/>
    <w:rsid w:val="00EF0598"/>
    <w:rsid w:val="00EF05FD"/>
    <w:rsid w:val="00EF086B"/>
    <w:rsid w:val="00EF08BC"/>
    <w:rsid w:val="00EF1041"/>
    <w:rsid w:val="00EF1178"/>
    <w:rsid w:val="00EF16ED"/>
    <w:rsid w:val="00EF174B"/>
    <w:rsid w:val="00EF1D34"/>
    <w:rsid w:val="00EF1F0B"/>
    <w:rsid w:val="00EF223D"/>
    <w:rsid w:val="00EF26AD"/>
    <w:rsid w:val="00EF287D"/>
    <w:rsid w:val="00EF2C33"/>
    <w:rsid w:val="00EF2DBF"/>
    <w:rsid w:val="00EF2E6B"/>
    <w:rsid w:val="00EF3278"/>
    <w:rsid w:val="00EF3BB5"/>
    <w:rsid w:val="00EF4F44"/>
    <w:rsid w:val="00EF4F80"/>
    <w:rsid w:val="00EF519B"/>
    <w:rsid w:val="00EF5305"/>
    <w:rsid w:val="00EF5BAE"/>
    <w:rsid w:val="00EF619D"/>
    <w:rsid w:val="00EF63FD"/>
    <w:rsid w:val="00EF6585"/>
    <w:rsid w:val="00EF671A"/>
    <w:rsid w:val="00EF6C0F"/>
    <w:rsid w:val="00EF6FB8"/>
    <w:rsid w:val="00EF7178"/>
    <w:rsid w:val="00EF7330"/>
    <w:rsid w:val="00EF7452"/>
    <w:rsid w:val="00EF7A79"/>
    <w:rsid w:val="00EF7B84"/>
    <w:rsid w:val="00F00176"/>
    <w:rsid w:val="00F00DFB"/>
    <w:rsid w:val="00F0135E"/>
    <w:rsid w:val="00F017EA"/>
    <w:rsid w:val="00F01947"/>
    <w:rsid w:val="00F02257"/>
    <w:rsid w:val="00F023AE"/>
    <w:rsid w:val="00F028C9"/>
    <w:rsid w:val="00F02CDB"/>
    <w:rsid w:val="00F031F6"/>
    <w:rsid w:val="00F03304"/>
    <w:rsid w:val="00F033A6"/>
    <w:rsid w:val="00F0366A"/>
    <w:rsid w:val="00F0369F"/>
    <w:rsid w:val="00F03C61"/>
    <w:rsid w:val="00F03E85"/>
    <w:rsid w:val="00F040B9"/>
    <w:rsid w:val="00F04108"/>
    <w:rsid w:val="00F042EB"/>
    <w:rsid w:val="00F04850"/>
    <w:rsid w:val="00F0486E"/>
    <w:rsid w:val="00F048B9"/>
    <w:rsid w:val="00F049EC"/>
    <w:rsid w:val="00F04F27"/>
    <w:rsid w:val="00F05015"/>
    <w:rsid w:val="00F059DC"/>
    <w:rsid w:val="00F05CA0"/>
    <w:rsid w:val="00F063DA"/>
    <w:rsid w:val="00F064A1"/>
    <w:rsid w:val="00F0670C"/>
    <w:rsid w:val="00F0686D"/>
    <w:rsid w:val="00F06A47"/>
    <w:rsid w:val="00F06F9A"/>
    <w:rsid w:val="00F07187"/>
    <w:rsid w:val="00F07AD1"/>
    <w:rsid w:val="00F07B19"/>
    <w:rsid w:val="00F07C62"/>
    <w:rsid w:val="00F1032F"/>
    <w:rsid w:val="00F10434"/>
    <w:rsid w:val="00F10470"/>
    <w:rsid w:val="00F10A15"/>
    <w:rsid w:val="00F11438"/>
    <w:rsid w:val="00F11681"/>
    <w:rsid w:val="00F118F4"/>
    <w:rsid w:val="00F12349"/>
    <w:rsid w:val="00F12F81"/>
    <w:rsid w:val="00F14492"/>
    <w:rsid w:val="00F145F9"/>
    <w:rsid w:val="00F14670"/>
    <w:rsid w:val="00F14878"/>
    <w:rsid w:val="00F1493E"/>
    <w:rsid w:val="00F14D1C"/>
    <w:rsid w:val="00F14D67"/>
    <w:rsid w:val="00F14D92"/>
    <w:rsid w:val="00F1510F"/>
    <w:rsid w:val="00F152F6"/>
    <w:rsid w:val="00F15507"/>
    <w:rsid w:val="00F156CE"/>
    <w:rsid w:val="00F15E76"/>
    <w:rsid w:val="00F16423"/>
    <w:rsid w:val="00F16645"/>
    <w:rsid w:val="00F16921"/>
    <w:rsid w:val="00F16F63"/>
    <w:rsid w:val="00F17A30"/>
    <w:rsid w:val="00F17D23"/>
    <w:rsid w:val="00F17D2F"/>
    <w:rsid w:val="00F17F02"/>
    <w:rsid w:val="00F2049C"/>
    <w:rsid w:val="00F2067A"/>
    <w:rsid w:val="00F20AB8"/>
    <w:rsid w:val="00F21AB1"/>
    <w:rsid w:val="00F21DB9"/>
    <w:rsid w:val="00F21E55"/>
    <w:rsid w:val="00F2282D"/>
    <w:rsid w:val="00F23312"/>
    <w:rsid w:val="00F233E9"/>
    <w:rsid w:val="00F2343F"/>
    <w:rsid w:val="00F23A77"/>
    <w:rsid w:val="00F23B60"/>
    <w:rsid w:val="00F241E6"/>
    <w:rsid w:val="00F249E5"/>
    <w:rsid w:val="00F24D92"/>
    <w:rsid w:val="00F250C9"/>
    <w:rsid w:val="00F25457"/>
    <w:rsid w:val="00F268A4"/>
    <w:rsid w:val="00F26AC5"/>
    <w:rsid w:val="00F26B4B"/>
    <w:rsid w:val="00F26DB2"/>
    <w:rsid w:val="00F26E08"/>
    <w:rsid w:val="00F27064"/>
    <w:rsid w:val="00F2706C"/>
    <w:rsid w:val="00F271C4"/>
    <w:rsid w:val="00F2761E"/>
    <w:rsid w:val="00F2766C"/>
    <w:rsid w:val="00F27F7E"/>
    <w:rsid w:val="00F3003C"/>
    <w:rsid w:val="00F3021D"/>
    <w:rsid w:val="00F30343"/>
    <w:rsid w:val="00F3086B"/>
    <w:rsid w:val="00F308A5"/>
    <w:rsid w:val="00F3094A"/>
    <w:rsid w:val="00F30C7F"/>
    <w:rsid w:val="00F30D23"/>
    <w:rsid w:val="00F315E0"/>
    <w:rsid w:val="00F32324"/>
    <w:rsid w:val="00F3241A"/>
    <w:rsid w:val="00F32802"/>
    <w:rsid w:val="00F32937"/>
    <w:rsid w:val="00F32963"/>
    <w:rsid w:val="00F32B44"/>
    <w:rsid w:val="00F32D23"/>
    <w:rsid w:val="00F33839"/>
    <w:rsid w:val="00F33886"/>
    <w:rsid w:val="00F33A6A"/>
    <w:rsid w:val="00F33AB4"/>
    <w:rsid w:val="00F33ADD"/>
    <w:rsid w:val="00F33BCA"/>
    <w:rsid w:val="00F3407E"/>
    <w:rsid w:val="00F34509"/>
    <w:rsid w:val="00F34BD2"/>
    <w:rsid w:val="00F35592"/>
    <w:rsid w:val="00F35766"/>
    <w:rsid w:val="00F35819"/>
    <w:rsid w:val="00F35AB3"/>
    <w:rsid w:val="00F35DB8"/>
    <w:rsid w:val="00F363E8"/>
    <w:rsid w:val="00F3646C"/>
    <w:rsid w:val="00F368BB"/>
    <w:rsid w:val="00F36B56"/>
    <w:rsid w:val="00F36CC8"/>
    <w:rsid w:val="00F36D43"/>
    <w:rsid w:val="00F37322"/>
    <w:rsid w:val="00F3735D"/>
    <w:rsid w:val="00F3770F"/>
    <w:rsid w:val="00F37772"/>
    <w:rsid w:val="00F37B41"/>
    <w:rsid w:val="00F37B47"/>
    <w:rsid w:val="00F37D98"/>
    <w:rsid w:val="00F4034E"/>
    <w:rsid w:val="00F407AB"/>
    <w:rsid w:val="00F40973"/>
    <w:rsid w:val="00F40F0C"/>
    <w:rsid w:val="00F4132B"/>
    <w:rsid w:val="00F414F9"/>
    <w:rsid w:val="00F419C5"/>
    <w:rsid w:val="00F423D0"/>
    <w:rsid w:val="00F42E06"/>
    <w:rsid w:val="00F43055"/>
    <w:rsid w:val="00F430FD"/>
    <w:rsid w:val="00F4337C"/>
    <w:rsid w:val="00F43659"/>
    <w:rsid w:val="00F43B75"/>
    <w:rsid w:val="00F43C00"/>
    <w:rsid w:val="00F43EBB"/>
    <w:rsid w:val="00F445E6"/>
    <w:rsid w:val="00F449DB"/>
    <w:rsid w:val="00F44B54"/>
    <w:rsid w:val="00F44C4C"/>
    <w:rsid w:val="00F44EFB"/>
    <w:rsid w:val="00F45A09"/>
    <w:rsid w:val="00F45C30"/>
    <w:rsid w:val="00F4618C"/>
    <w:rsid w:val="00F46726"/>
    <w:rsid w:val="00F46769"/>
    <w:rsid w:val="00F46909"/>
    <w:rsid w:val="00F46A6A"/>
    <w:rsid w:val="00F46E43"/>
    <w:rsid w:val="00F470F3"/>
    <w:rsid w:val="00F47341"/>
    <w:rsid w:val="00F475DE"/>
    <w:rsid w:val="00F47884"/>
    <w:rsid w:val="00F47B52"/>
    <w:rsid w:val="00F500D5"/>
    <w:rsid w:val="00F503CF"/>
    <w:rsid w:val="00F50AB4"/>
    <w:rsid w:val="00F50D2C"/>
    <w:rsid w:val="00F50F41"/>
    <w:rsid w:val="00F517EE"/>
    <w:rsid w:val="00F51D79"/>
    <w:rsid w:val="00F51FBE"/>
    <w:rsid w:val="00F524C6"/>
    <w:rsid w:val="00F52522"/>
    <w:rsid w:val="00F52543"/>
    <w:rsid w:val="00F52AED"/>
    <w:rsid w:val="00F52B91"/>
    <w:rsid w:val="00F52FDB"/>
    <w:rsid w:val="00F5302C"/>
    <w:rsid w:val="00F53CE1"/>
    <w:rsid w:val="00F53E86"/>
    <w:rsid w:val="00F54394"/>
    <w:rsid w:val="00F547FF"/>
    <w:rsid w:val="00F551E6"/>
    <w:rsid w:val="00F557A0"/>
    <w:rsid w:val="00F55980"/>
    <w:rsid w:val="00F55E85"/>
    <w:rsid w:val="00F56004"/>
    <w:rsid w:val="00F56314"/>
    <w:rsid w:val="00F56B3C"/>
    <w:rsid w:val="00F56C72"/>
    <w:rsid w:val="00F56CF7"/>
    <w:rsid w:val="00F573A7"/>
    <w:rsid w:val="00F57896"/>
    <w:rsid w:val="00F57BF5"/>
    <w:rsid w:val="00F57E9A"/>
    <w:rsid w:val="00F6000E"/>
    <w:rsid w:val="00F600A5"/>
    <w:rsid w:val="00F60240"/>
    <w:rsid w:val="00F603C4"/>
    <w:rsid w:val="00F60497"/>
    <w:rsid w:val="00F605C3"/>
    <w:rsid w:val="00F60A0B"/>
    <w:rsid w:val="00F60B3B"/>
    <w:rsid w:val="00F60C15"/>
    <w:rsid w:val="00F60EAD"/>
    <w:rsid w:val="00F60F84"/>
    <w:rsid w:val="00F61249"/>
    <w:rsid w:val="00F61264"/>
    <w:rsid w:val="00F614B5"/>
    <w:rsid w:val="00F616A4"/>
    <w:rsid w:val="00F6178F"/>
    <w:rsid w:val="00F61DCA"/>
    <w:rsid w:val="00F61ECA"/>
    <w:rsid w:val="00F62344"/>
    <w:rsid w:val="00F62504"/>
    <w:rsid w:val="00F625E3"/>
    <w:rsid w:val="00F627C8"/>
    <w:rsid w:val="00F628AD"/>
    <w:rsid w:val="00F62AD0"/>
    <w:rsid w:val="00F62C10"/>
    <w:rsid w:val="00F6347E"/>
    <w:rsid w:val="00F634AE"/>
    <w:rsid w:val="00F63D45"/>
    <w:rsid w:val="00F63FE4"/>
    <w:rsid w:val="00F645B9"/>
    <w:rsid w:val="00F64A97"/>
    <w:rsid w:val="00F64F38"/>
    <w:rsid w:val="00F65405"/>
    <w:rsid w:val="00F65A61"/>
    <w:rsid w:val="00F65F48"/>
    <w:rsid w:val="00F65F91"/>
    <w:rsid w:val="00F6631B"/>
    <w:rsid w:val="00F66342"/>
    <w:rsid w:val="00F66438"/>
    <w:rsid w:val="00F664C1"/>
    <w:rsid w:val="00F66927"/>
    <w:rsid w:val="00F66B5E"/>
    <w:rsid w:val="00F66CAB"/>
    <w:rsid w:val="00F66CF0"/>
    <w:rsid w:val="00F66E9C"/>
    <w:rsid w:val="00F66F9F"/>
    <w:rsid w:val="00F67230"/>
    <w:rsid w:val="00F67FBC"/>
    <w:rsid w:val="00F70177"/>
    <w:rsid w:val="00F7085A"/>
    <w:rsid w:val="00F70BD4"/>
    <w:rsid w:val="00F71144"/>
    <w:rsid w:val="00F71283"/>
    <w:rsid w:val="00F713D7"/>
    <w:rsid w:val="00F71689"/>
    <w:rsid w:val="00F7192E"/>
    <w:rsid w:val="00F71FCE"/>
    <w:rsid w:val="00F72836"/>
    <w:rsid w:val="00F72856"/>
    <w:rsid w:val="00F72B42"/>
    <w:rsid w:val="00F72B5C"/>
    <w:rsid w:val="00F733F3"/>
    <w:rsid w:val="00F735A1"/>
    <w:rsid w:val="00F73A39"/>
    <w:rsid w:val="00F73BEA"/>
    <w:rsid w:val="00F73C8D"/>
    <w:rsid w:val="00F73C90"/>
    <w:rsid w:val="00F73EF6"/>
    <w:rsid w:val="00F74906"/>
    <w:rsid w:val="00F74C3E"/>
    <w:rsid w:val="00F75660"/>
    <w:rsid w:val="00F75D3A"/>
    <w:rsid w:val="00F75F51"/>
    <w:rsid w:val="00F75FC1"/>
    <w:rsid w:val="00F7607E"/>
    <w:rsid w:val="00F768C4"/>
    <w:rsid w:val="00F76ABD"/>
    <w:rsid w:val="00F76EE8"/>
    <w:rsid w:val="00F77C15"/>
    <w:rsid w:val="00F77CBC"/>
    <w:rsid w:val="00F80139"/>
    <w:rsid w:val="00F80FF2"/>
    <w:rsid w:val="00F81350"/>
    <w:rsid w:val="00F81608"/>
    <w:rsid w:val="00F81806"/>
    <w:rsid w:val="00F81998"/>
    <w:rsid w:val="00F81AB8"/>
    <w:rsid w:val="00F81B93"/>
    <w:rsid w:val="00F81C0A"/>
    <w:rsid w:val="00F81ED8"/>
    <w:rsid w:val="00F82529"/>
    <w:rsid w:val="00F826B0"/>
    <w:rsid w:val="00F829B7"/>
    <w:rsid w:val="00F829DD"/>
    <w:rsid w:val="00F82C62"/>
    <w:rsid w:val="00F834FA"/>
    <w:rsid w:val="00F837F5"/>
    <w:rsid w:val="00F83F45"/>
    <w:rsid w:val="00F8413D"/>
    <w:rsid w:val="00F84499"/>
    <w:rsid w:val="00F8465A"/>
    <w:rsid w:val="00F84772"/>
    <w:rsid w:val="00F84C3C"/>
    <w:rsid w:val="00F8503F"/>
    <w:rsid w:val="00F8519D"/>
    <w:rsid w:val="00F85307"/>
    <w:rsid w:val="00F85489"/>
    <w:rsid w:val="00F85757"/>
    <w:rsid w:val="00F85902"/>
    <w:rsid w:val="00F85A13"/>
    <w:rsid w:val="00F85A97"/>
    <w:rsid w:val="00F85F5B"/>
    <w:rsid w:val="00F86479"/>
    <w:rsid w:val="00F86D7A"/>
    <w:rsid w:val="00F86FB7"/>
    <w:rsid w:val="00F871B3"/>
    <w:rsid w:val="00F876C5"/>
    <w:rsid w:val="00F8796B"/>
    <w:rsid w:val="00F87C31"/>
    <w:rsid w:val="00F902D4"/>
    <w:rsid w:val="00F90587"/>
    <w:rsid w:val="00F906DE"/>
    <w:rsid w:val="00F90DA1"/>
    <w:rsid w:val="00F90FA2"/>
    <w:rsid w:val="00F912C8"/>
    <w:rsid w:val="00F91597"/>
    <w:rsid w:val="00F91BCA"/>
    <w:rsid w:val="00F91F07"/>
    <w:rsid w:val="00F9212E"/>
    <w:rsid w:val="00F9229C"/>
    <w:rsid w:val="00F92E83"/>
    <w:rsid w:val="00F936CE"/>
    <w:rsid w:val="00F9383B"/>
    <w:rsid w:val="00F93D26"/>
    <w:rsid w:val="00F94381"/>
    <w:rsid w:val="00F946A0"/>
    <w:rsid w:val="00F94BDF"/>
    <w:rsid w:val="00F94DAE"/>
    <w:rsid w:val="00F94E10"/>
    <w:rsid w:val="00F95018"/>
    <w:rsid w:val="00F956FB"/>
    <w:rsid w:val="00F95A7E"/>
    <w:rsid w:val="00F95D03"/>
    <w:rsid w:val="00F9629F"/>
    <w:rsid w:val="00F96A67"/>
    <w:rsid w:val="00F96C79"/>
    <w:rsid w:val="00F972C5"/>
    <w:rsid w:val="00F973C7"/>
    <w:rsid w:val="00F9773A"/>
    <w:rsid w:val="00F9783F"/>
    <w:rsid w:val="00F97873"/>
    <w:rsid w:val="00F97C83"/>
    <w:rsid w:val="00FA0031"/>
    <w:rsid w:val="00FA0329"/>
    <w:rsid w:val="00FA0380"/>
    <w:rsid w:val="00FA0858"/>
    <w:rsid w:val="00FA0E39"/>
    <w:rsid w:val="00FA0E55"/>
    <w:rsid w:val="00FA0EA7"/>
    <w:rsid w:val="00FA10DC"/>
    <w:rsid w:val="00FA1359"/>
    <w:rsid w:val="00FA1493"/>
    <w:rsid w:val="00FA174D"/>
    <w:rsid w:val="00FA1BF7"/>
    <w:rsid w:val="00FA1F23"/>
    <w:rsid w:val="00FA1FA0"/>
    <w:rsid w:val="00FA22D3"/>
    <w:rsid w:val="00FA22F4"/>
    <w:rsid w:val="00FA241F"/>
    <w:rsid w:val="00FA25A3"/>
    <w:rsid w:val="00FA2AF9"/>
    <w:rsid w:val="00FA2B45"/>
    <w:rsid w:val="00FA2F10"/>
    <w:rsid w:val="00FA2FC5"/>
    <w:rsid w:val="00FA300B"/>
    <w:rsid w:val="00FA313C"/>
    <w:rsid w:val="00FA3173"/>
    <w:rsid w:val="00FA3277"/>
    <w:rsid w:val="00FA34C1"/>
    <w:rsid w:val="00FA3B0E"/>
    <w:rsid w:val="00FA3E07"/>
    <w:rsid w:val="00FA42EB"/>
    <w:rsid w:val="00FA4402"/>
    <w:rsid w:val="00FA45DE"/>
    <w:rsid w:val="00FA4A6F"/>
    <w:rsid w:val="00FA4B54"/>
    <w:rsid w:val="00FA504A"/>
    <w:rsid w:val="00FA5270"/>
    <w:rsid w:val="00FA54F3"/>
    <w:rsid w:val="00FA56CB"/>
    <w:rsid w:val="00FA582B"/>
    <w:rsid w:val="00FA5A66"/>
    <w:rsid w:val="00FA5BC4"/>
    <w:rsid w:val="00FA5DE8"/>
    <w:rsid w:val="00FA5E86"/>
    <w:rsid w:val="00FA6252"/>
    <w:rsid w:val="00FA6401"/>
    <w:rsid w:val="00FA65A5"/>
    <w:rsid w:val="00FA68F8"/>
    <w:rsid w:val="00FA6C87"/>
    <w:rsid w:val="00FA6CBE"/>
    <w:rsid w:val="00FA6E6D"/>
    <w:rsid w:val="00FA75C6"/>
    <w:rsid w:val="00FA7DAE"/>
    <w:rsid w:val="00FB0D40"/>
    <w:rsid w:val="00FB0FDB"/>
    <w:rsid w:val="00FB1102"/>
    <w:rsid w:val="00FB1A0E"/>
    <w:rsid w:val="00FB20C3"/>
    <w:rsid w:val="00FB215E"/>
    <w:rsid w:val="00FB251F"/>
    <w:rsid w:val="00FB26F4"/>
    <w:rsid w:val="00FB28E0"/>
    <w:rsid w:val="00FB2955"/>
    <w:rsid w:val="00FB2A94"/>
    <w:rsid w:val="00FB2AFA"/>
    <w:rsid w:val="00FB3151"/>
    <w:rsid w:val="00FB3339"/>
    <w:rsid w:val="00FB366A"/>
    <w:rsid w:val="00FB3866"/>
    <w:rsid w:val="00FB3991"/>
    <w:rsid w:val="00FB3C20"/>
    <w:rsid w:val="00FB3CBB"/>
    <w:rsid w:val="00FB43DD"/>
    <w:rsid w:val="00FB4581"/>
    <w:rsid w:val="00FB4A93"/>
    <w:rsid w:val="00FB57D5"/>
    <w:rsid w:val="00FB57DB"/>
    <w:rsid w:val="00FB619B"/>
    <w:rsid w:val="00FB6238"/>
    <w:rsid w:val="00FB672F"/>
    <w:rsid w:val="00FB695F"/>
    <w:rsid w:val="00FB6D96"/>
    <w:rsid w:val="00FB6DDA"/>
    <w:rsid w:val="00FC0017"/>
    <w:rsid w:val="00FC03D0"/>
    <w:rsid w:val="00FC06E3"/>
    <w:rsid w:val="00FC0A78"/>
    <w:rsid w:val="00FC11F2"/>
    <w:rsid w:val="00FC1612"/>
    <w:rsid w:val="00FC1B41"/>
    <w:rsid w:val="00FC1CDA"/>
    <w:rsid w:val="00FC1F6A"/>
    <w:rsid w:val="00FC2267"/>
    <w:rsid w:val="00FC22AB"/>
    <w:rsid w:val="00FC2645"/>
    <w:rsid w:val="00FC2A5E"/>
    <w:rsid w:val="00FC2A79"/>
    <w:rsid w:val="00FC2AA5"/>
    <w:rsid w:val="00FC2BC1"/>
    <w:rsid w:val="00FC31FA"/>
    <w:rsid w:val="00FC43F8"/>
    <w:rsid w:val="00FC47DD"/>
    <w:rsid w:val="00FC4971"/>
    <w:rsid w:val="00FC5404"/>
    <w:rsid w:val="00FC54D2"/>
    <w:rsid w:val="00FC5515"/>
    <w:rsid w:val="00FC555A"/>
    <w:rsid w:val="00FC55FD"/>
    <w:rsid w:val="00FC586E"/>
    <w:rsid w:val="00FC594B"/>
    <w:rsid w:val="00FC6D35"/>
    <w:rsid w:val="00FC6E7F"/>
    <w:rsid w:val="00FC73A9"/>
    <w:rsid w:val="00FC73C1"/>
    <w:rsid w:val="00FC7E74"/>
    <w:rsid w:val="00FD0003"/>
    <w:rsid w:val="00FD0049"/>
    <w:rsid w:val="00FD01F6"/>
    <w:rsid w:val="00FD027F"/>
    <w:rsid w:val="00FD08B3"/>
    <w:rsid w:val="00FD0DA5"/>
    <w:rsid w:val="00FD118E"/>
    <w:rsid w:val="00FD18B6"/>
    <w:rsid w:val="00FD2545"/>
    <w:rsid w:val="00FD29CF"/>
    <w:rsid w:val="00FD3321"/>
    <w:rsid w:val="00FD3676"/>
    <w:rsid w:val="00FD3A1F"/>
    <w:rsid w:val="00FD3C51"/>
    <w:rsid w:val="00FD3D99"/>
    <w:rsid w:val="00FD47FD"/>
    <w:rsid w:val="00FD4A92"/>
    <w:rsid w:val="00FD51D6"/>
    <w:rsid w:val="00FD5467"/>
    <w:rsid w:val="00FD58E6"/>
    <w:rsid w:val="00FD5B4E"/>
    <w:rsid w:val="00FD5EE3"/>
    <w:rsid w:val="00FD5EF6"/>
    <w:rsid w:val="00FD6977"/>
    <w:rsid w:val="00FD6C26"/>
    <w:rsid w:val="00FD709B"/>
    <w:rsid w:val="00FD76F7"/>
    <w:rsid w:val="00FD771D"/>
    <w:rsid w:val="00FD77F7"/>
    <w:rsid w:val="00FD7841"/>
    <w:rsid w:val="00FD7BF5"/>
    <w:rsid w:val="00FE0252"/>
    <w:rsid w:val="00FE0547"/>
    <w:rsid w:val="00FE096C"/>
    <w:rsid w:val="00FE098A"/>
    <w:rsid w:val="00FE10A7"/>
    <w:rsid w:val="00FE1702"/>
    <w:rsid w:val="00FE1B21"/>
    <w:rsid w:val="00FE1DC8"/>
    <w:rsid w:val="00FE20DD"/>
    <w:rsid w:val="00FE21BF"/>
    <w:rsid w:val="00FE2431"/>
    <w:rsid w:val="00FE2CC2"/>
    <w:rsid w:val="00FE2EAA"/>
    <w:rsid w:val="00FE3090"/>
    <w:rsid w:val="00FE3294"/>
    <w:rsid w:val="00FE3336"/>
    <w:rsid w:val="00FE336C"/>
    <w:rsid w:val="00FE3DE4"/>
    <w:rsid w:val="00FE42E1"/>
    <w:rsid w:val="00FE4677"/>
    <w:rsid w:val="00FE4824"/>
    <w:rsid w:val="00FE4843"/>
    <w:rsid w:val="00FE4C58"/>
    <w:rsid w:val="00FE4D91"/>
    <w:rsid w:val="00FE4E89"/>
    <w:rsid w:val="00FE50C4"/>
    <w:rsid w:val="00FE52CF"/>
    <w:rsid w:val="00FE52D6"/>
    <w:rsid w:val="00FE58B2"/>
    <w:rsid w:val="00FE6020"/>
    <w:rsid w:val="00FE624F"/>
    <w:rsid w:val="00FE6746"/>
    <w:rsid w:val="00FE68A1"/>
    <w:rsid w:val="00FE6E06"/>
    <w:rsid w:val="00FE6E87"/>
    <w:rsid w:val="00FE70B6"/>
    <w:rsid w:val="00FE70EB"/>
    <w:rsid w:val="00FE7452"/>
    <w:rsid w:val="00FE7565"/>
    <w:rsid w:val="00FE76C2"/>
    <w:rsid w:val="00FE7DB3"/>
    <w:rsid w:val="00FE7ED5"/>
    <w:rsid w:val="00FF0101"/>
    <w:rsid w:val="00FF041A"/>
    <w:rsid w:val="00FF09A6"/>
    <w:rsid w:val="00FF0DBA"/>
    <w:rsid w:val="00FF1481"/>
    <w:rsid w:val="00FF189B"/>
    <w:rsid w:val="00FF1AF7"/>
    <w:rsid w:val="00FF2404"/>
    <w:rsid w:val="00FF251E"/>
    <w:rsid w:val="00FF2550"/>
    <w:rsid w:val="00FF2DFB"/>
    <w:rsid w:val="00FF34D7"/>
    <w:rsid w:val="00FF3511"/>
    <w:rsid w:val="00FF3779"/>
    <w:rsid w:val="00FF3901"/>
    <w:rsid w:val="00FF3A04"/>
    <w:rsid w:val="00FF3B8D"/>
    <w:rsid w:val="00FF40B7"/>
    <w:rsid w:val="00FF41B7"/>
    <w:rsid w:val="00FF4284"/>
    <w:rsid w:val="00FF4411"/>
    <w:rsid w:val="00FF45D2"/>
    <w:rsid w:val="00FF4A74"/>
    <w:rsid w:val="00FF4D44"/>
    <w:rsid w:val="00FF4F51"/>
    <w:rsid w:val="00FF536F"/>
    <w:rsid w:val="00FF57F7"/>
    <w:rsid w:val="00FF5A8F"/>
    <w:rsid w:val="00FF5B49"/>
    <w:rsid w:val="00FF5FCD"/>
    <w:rsid w:val="00FF60AD"/>
    <w:rsid w:val="00FF610D"/>
    <w:rsid w:val="00FF6C87"/>
    <w:rsid w:val="00FF6D2A"/>
    <w:rsid w:val="00FF6D5A"/>
    <w:rsid w:val="00FF705D"/>
    <w:rsid w:val="00FF71AA"/>
    <w:rsid w:val="00FF753B"/>
    <w:rsid w:val="00FF7550"/>
    <w:rsid w:val="00FF7EC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B11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caption" w:uiPriority="35" w:qFormat="1"/>
    <w:lsdException w:name="footnote reference" w:uiPriority="0"/>
    <w:lsdException w:name="annotation reference"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FC8"/>
    <w:pPr>
      <w:spacing w:before="120" w:line="240" w:lineRule="auto"/>
    </w:pPr>
    <w:rPr>
      <w:sz w:val="24"/>
    </w:rPr>
  </w:style>
  <w:style w:type="paragraph" w:styleId="Heading1">
    <w:name w:val="heading 1"/>
    <w:basedOn w:val="Normal"/>
    <w:next w:val="Normal"/>
    <w:link w:val="Heading1Char"/>
    <w:uiPriority w:val="9"/>
    <w:qFormat/>
    <w:rsid w:val="00E4041E"/>
    <w:pPr>
      <w:keepNext/>
      <w:keepLines/>
      <w:numPr>
        <w:numId w:val="15"/>
      </w:numPr>
      <w:spacing w:before="240" w:after="120"/>
      <w:outlineLvl w:val="0"/>
    </w:pPr>
    <w:rPr>
      <w:rFonts w:eastAsiaTheme="majorEastAsia" w:cstheme="majorBidi"/>
      <w:b/>
      <w:sz w:val="32"/>
      <w:szCs w:val="28"/>
    </w:rPr>
  </w:style>
  <w:style w:type="paragraph" w:styleId="Heading2">
    <w:name w:val="heading 2"/>
    <w:basedOn w:val="Normal"/>
    <w:next w:val="Normal"/>
    <w:link w:val="Heading2Char"/>
    <w:uiPriority w:val="9"/>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41E"/>
    <w:rPr>
      <w:rFonts w:eastAsiaTheme="majorEastAsia" w:cstheme="majorBidi"/>
      <w:b/>
      <w:sz w:val="32"/>
      <w:szCs w:val="28"/>
    </w:rPr>
  </w:style>
  <w:style w:type="character" w:customStyle="1" w:styleId="Heading2Char">
    <w:name w:val="Heading 2 Char"/>
    <w:basedOn w:val="DefaultParagraphFont"/>
    <w:link w:val="Heading2"/>
    <w:uiPriority w:val="9"/>
    <w:rsid w:val="00DF16C0"/>
    <w:rPr>
      <w:rFonts w:eastAsiaTheme="majorEastAsia" w:cstheme="majorBidi"/>
      <w:b/>
      <w:i/>
      <w:sz w:val="28"/>
      <w:szCs w:val="28"/>
    </w:rPr>
  </w:style>
  <w:style w:type="character" w:customStyle="1" w:styleId="Heading3Char">
    <w:name w:val="Heading 3 Char"/>
    <w:basedOn w:val="DefaultParagraphFont"/>
    <w:link w:val="Heading3"/>
    <w:uiPriority w:val="9"/>
    <w:rsid w:val="00186307"/>
    <w:rPr>
      <w:rFonts w:eastAsiaTheme="majorEastAsia" w:cstheme="majorBidi"/>
      <w:b/>
      <w:sz w:val="28"/>
      <w:szCs w:val="28"/>
    </w:rPr>
  </w:style>
  <w:style w:type="paragraph" w:styleId="ListParagraph">
    <w:name w:val="List Paragraph"/>
    <w:aliases w:val="BulletPoints"/>
    <w:basedOn w:val="Normal"/>
    <w:link w:val="ListParagraphChar"/>
    <w:uiPriority w:val="34"/>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1"/>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link w:val="TableHeadingChar"/>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9"/>
    <w:unhideWhenUsed/>
    <w:rsid w:val="004619BB"/>
    <w:rPr>
      <w:b/>
      <w:bCs/>
    </w:rPr>
  </w:style>
  <w:style w:type="character" w:customStyle="1" w:styleId="CommentSubjectChar">
    <w:name w:val="Comment Subject Char"/>
    <w:basedOn w:val="CommentTextChar"/>
    <w:link w:val="CommentSubject"/>
    <w:uiPriority w:val="99"/>
    <w:rsid w:val="004619BB"/>
    <w:rPr>
      <w:b/>
      <w:bCs/>
      <w:sz w:val="20"/>
      <w:szCs w:val="20"/>
    </w:rPr>
  </w:style>
  <w:style w:type="paragraph" w:styleId="BalloonText">
    <w:name w:val="Balloon Text"/>
    <w:basedOn w:val="Normal"/>
    <w:link w:val="BalloonTextChar"/>
    <w:uiPriority w:val="9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D9478F"/>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3D7E39"/>
    <w:pPr>
      <w:keepNext/>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10"/>
    <w:qFormat/>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10"/>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7"/>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
    <w:uiPriority w:val="2"/>
    <w:qFormat/>
    <w:rsid w:val="00C317F3"/>
    <w:pPr>
      <w:spacing w:before="0" w:after="0"/>
    </w:pPr>
    <w:rPr>
      <w:rFonts w:ascii="Arial Narrow" w:eastAsia="Times New Roman" w:hAnsi="Arial Narrow" w:cs="Times New Roman"/>
      <w:sz w:val="20"/>
      <w:szCs w:val="20"/>
    </w:rPr>
  </w:style>
  <w:style w:type="character" w:customStyle="1" w:styleId="TabletextChar">
    <w:name w:val="Table text Char"/>
    <w:link w:val="Tabletext0"/>
    <w:uiPriority w:val="2"/>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link w:val="TableTextChar0"/>
    <w:qFormat/>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9"/>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
    <w:basedOn w:val="DefaultParagraphFont"/>
    <w:link w:val="ListParagraph"/>
    <w:uiPriority w:val="34"/>
    <w:qFormat/>
    <w:locked/>
    <w:rsid w:val="0095170D"/>
    <w:rPr>
      <w:sz w:val="24"/>
    </w:rPr>
  </w:style>
  <w:style w:type="numbering" w:customStyle="1" w:styleId="Headings">
    <w:name w:val="Headings"/>
    <w:uiPriority w:val="99"/>
    <w:rsid w:val="00C317F3"/>
    <w:pPr>
      <w:numPr>
        <w:numId w:val="3"/>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4"/>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qFormat/>
    <w:rsid w:val="00C52ACF"/>
    <w:pPr>
      <w:spacing w:before="0" w:after="120"/>
      <w:ind w:left="720" w:hanging="720"/>
      <w:jc w:val="both"/>
    </w:pPr>
    <w:rPr>
      <w:rFonts w:ascii="Calibri" w:hAnsi="Calibri"/>
    </w:rPr>
  </w:style>
  <w:style w:type="character" w:styleId="PageNumber">
    <w:name w:val="page number"/>
    <w:basedOn w:val="DefaultParagraphFont"/>
    <w:rsid w:val="00E468C8"/>
  </w:style>
  <w:style w:type="paragraph" w:customStyle="1" w:styleId="TableTextleftalign">
    <w:name w:val="Table Text left align"/>
    <w:basedOn w:val="Normal"/>
    <w:link w:val="TableTextleftalignChar"/>
    <w:autoRedefine/>
    <w:qFormat/>
    <w:rsid w:val="00292CD0"/>
    <w:pPr>
      <w:keepNext/>
      <w:spacing w:before="0" w:after="0"/>
    </w:pPr>
    <w:rPr>
      <w:rFonts w:ascii="Calibri" w:eastAsia="Times New Roman" w:hAnsi="Calibri" w:cs="Calibri"/>
      <w:sz w:val="18"/>
      <w:szCs w:val="18"/>
    </w:rPr>
  </w:style>
  <w:style w:type="character" w:customStyle="1" w:styleId="TableTextleftalignChar">
    <w:name w:val="Table Text left align Char"/>
    <w:link w:val="TableTextleftalign"/>
    <w:rsid w:val="00292CD0"/>
    <w:rPr>
      <w:rFonts w:ascii="Calibri" w:eastAsia="Times New Roman" w:hAnsi="Calibri" w:cs="Calibri"/>
      <w:sz w:val="18"/>
      <w:szCs w:val="18"/>
    </w:rPr>
  </w:style>
  <w:style w:type="character" w:customStyle="1" w:styleId="tx">
    <w:name w:val="tx"/>
    <w:rsid w:val="00292CD0"/>
  </w:style>
  <w:style w:type="paragraph" w:styleId="DocumentMap">
    <w:name w:val="Document Map"/>
    <w:basedOn w:val="Normal"/>
    <w:link w:val="DocumentMapChar"/>
    <w:uiPriority w:val="99"/>
    <w:semiHidden/>
    <w:rsid w:val="00B970A5"/>
    <w:pPr>
      <w:shd w:val="clear" w:color="auto" w:fill="000080"/>
      <w:spacing w:before="0" w:after="0"/>
    </w:pPr>
    <w:rPr>
      <w:rFonts w:ascii="Tahoma" w:eastAsia="Times New Roman" w:hAnsi="Tahoma" w:cs="Tahoma"/>
      <w:sz w:val="20"/>
      <w:szCs w:val="20"/>
      <w:lang w:val="en-US"/>
    </w:rPr>
  </w:style>
  <w:style w:type="character" w:customStyle="1" w:styleId="DocumentMapChar">
    <w:name w:val="Document Map Char"/>
    <w:basedOn w:val="DefaultParagraphFont"/>
    <w:link w:val="DocumentMap"/>
    <w:uiPriority w:val="99"/>
    <w:semiHidden/>
    <w:rsid w:val="00B970A5"/>
    <w:rPr>
      <w:rFonts w:ascii="Tahoma" w:eastAsia="Times New Roman" w:hAnsi="Tahoma" w:cs="Tahoma"/>
      <w:sz w:val="20"/>
      <w:szCs w:val="20"/>
      <w:shd w:val="clear" w:color="auto" w:fill="000080"/>
      <w:lang w:val="en-US"/>
    </w:rPr>
  </w:style>
  <w:style w:type="paragraph" w:customStyle="1" w:styleId="TableSource">
    <w:name w:val="Table Source"/>
    <w:basedOn w:val="Normal"/>
    <w:next w:val="Normal"/>
    <w:link w:val="TableSourceChar"/>
    <w:autoRedefine/>
    <w:qFormat/>
    <w:rsid w:val="00D06962"/>
    <w:pPr>
      <w:tabs>
        <w:tab w:val="left" w:pos="709"/>
      </w:tabs>
      <w:spacing w:before="0" w:after="0"/>
    </w:pPr>
    <w:rPr>
      <w:rFonts w:ascii="Arial" w:eastAsia="Times New Roman" w:hAnsi="Arial" w:cs="Arial"/>
      <w:iCs/>
      <w:color w:val="000000" w:themeColor="text1"/>
      <w:sz w:val="16"/>
      <w:szCs w:val="24"/>
      <w:lang w:val="en-US"/>
    </w:rPr>
  </w:style>
  <w:style w:type="character" w:customStyle="1" w:styleId="TableSourceChar">
    <w:name w:val="Table Source Char"/>
    <w:link w:val="TableSource"/>
    <w:rsid w:val="00D06962"/>
    <w:rPr>
      <w:rFonts w:ascii="Arial" w:eastAsia="Times New Roman" w:hAnsi="Arial" w:cs="Arial"/>
      <w:iCs/>
      <w:color w:val="000000" w:themeColor="text1"/>
      <w:sz w:val="16"/>
      <w:szCs w:val="24"/>
      <w:lang w:val="en-US"/>
    </w:rPr>
  </w:style>
  <w:style w:type="paragraph" w:customStyle="1" w:styleId="TableLeft">
    <w:name w:val="Table Left"/>
    <w:basedOn w:val="TableCentred"/>
    <w:link w:val="TableLeftChar"/>
    <w:uiPriority w:val="99"/>
    <w:qFormat/>
    <w:rsid w:val="009F5DC8"/>
    <w:pPr>
      <w:spacing w:line="240" w:lineRule="auto"/>
      <w:jc w:val="left"/>
    </w:pPr>
  </w:style>
  <w:style w:type="paragraph" w:customStyle="1" w:styleId="TableCentred">
    <w:name w:val="Table Centred"/>
    <w:basedOn w:val="Normal"/>
    <w:link w:val="TableCentredChar"/>
    <w:uiPriority w:val="5"/>
    <w:qFormat/>
    <w:rsid w:val="009F5DC8"/>
    <w:pPr>
      <w:spacing w:before="0" w:after="0" w:line="276" w:lineRule="auto"/>
      <w:jc w:val="center"/>
    </w:pPr>
    <w:rPr>
      <w:rFonts w:ascii="Calibri" w:eastAsia="Times New Roman" w:hAnsi="Calibri" w:cs="Times New Roman"/>
      <w:sz w:val="20"/>
    </w:rPr>
  </w:style>
  <w:style w:type="character" w:customStyle="1" w:styleId="TableCentredChar">
    <w:name w:val="Table Centred Char"/>
    <w:link w:val="TableCentred"/>
    <w:uiPriority w:val="5"/>
    <w:locked/>
    <w:rsid w:val="009F5DC8"/>
    <w:rPr>
      <w:rFonts w:ascii="Calibri" w:eastAsia="Times New Roman" w:hAnsi="Calibri" w:cs="Times New Roman"/>
      <w:sz w:val="20"/>
    </w:rPr>
  </w:style>
  <w:style w:type="character" w:customStyle="1" w:styleId="TableLeftChar">
    <w:name w:val="Table Left Char"/>
    <w:link w:val="TableLeft"/>
    <w:uiPriority w:val="99"/>
    <w:locked/>
    <w:rsid w:val="009F5DC8"/>
    <w:rPr>
      <w:rFonts w:ascii="Calibri" w:eastAsia="Times New Roman" w:hAnsi="Calibri" w:cs="Times New Roman"/>
      <w:sz w:val="20"/>
    </w:rPr>
  </w:style>
  <w:style w:type="character" w:customStyle="1" w:styleId="TableHeadingChar">
    <w:name w:val="TableHeading Char"/>
    <w:link w:val="TableHeading"/>
    <w:rsid w:val="009F5DC8"/>
    <w:rPr>
      <w:b/>
      <w:iCs/>
      <w:sz w:val="20"/>
      <w:szCs w:val="18"/>
    </w:rPr>
  </w:style>
  <w:style w:type="paragraph" w:customStyle="1" w:styleId="ListBullets">
    <w:name w:val="List Bullets"/>
    <w:basedOn w:val="Normal"/>
    <w:uiPriority w:val="3"/>
    <w:qFormat/>
    <w:rsid w:val="00E97F08"/>
    <w:pPr>
      <w:spacing w:before="0" w:after="0" w:line="276" w:lineRule="auto"/>
      <w:contextualSpacing/>
      <w:jc w:val="both"/>
    </w:pPr>
    <w:rPr>
      <w:rFonts w:ascii="Calibri" w:eastAsia="Times New Roman" w:hAnsi="Calibri" w:cs="Times New Roman"/>
    </w:rPr>
  </w:style>
  <w:style w:type="paragraph" w:customStyle="1" w:styleId="ListBulletsLevel2">
    <w:name w:val="List Bullets Level 2"/>
    <w:basedOn w:val="Normal"/>
    <w:qFormat/>
    <w:rsid w:val="00772646"/>
    <w:pPr>
      <w:spacing w:before="0" w:after="0" w:line="276" w:lineRule="auto"/>
      <w:ind w:left="697" w:hanging="357"/>
      <w:jc w:val="both"/>
    </w:pPr>
    <w:rPr>
      <w:rFonts w:ascii="Calibri" w:eastAsia="Times New Roman" w:hAnsi="Calibri" w:cs="Times New Roman"/>
    </w:rPr>
  </w:style>
  <w:style w:type="paragraph" w:customStyle="1" w:styleId="MediumGrid1-Accent22">
    <w:name w:val="Medium Grid 1 - Accent 22"/>
    <w:basedOn w:val="Normal"/>
    <w:link w:val="MediumGrid1-Accent2Char1"/>
    <w:uiPriority w:val="34"/>
    <w:qFormat/>
    <w:rsid w:val="00A57B1B"/>
    <w:pPr>
      <w:spacing w:before="0" w:after="0"/>
      <w:ind w:left="720"/>
    </w:pPr>
    <w:rPr>
      <w:rFonts w:ascii="Calibri" w:eastAsia="Times New Roman" w:hAnsi="Calibri" w:cs="Times New Roman"/>
      <w:sz w:val="22"/>
    </w:rPr>
  </w:style>
  <w:style w:type="character" w:customStyle="1" w:styleId="MediumGrid1-Accent2Char1">
    <w:name w:val="Medium Grid 1 - Accent 2 Char1"/>
    <w:link w:val="MediumGrid1-Accent22"/>
    <w:uiPriority w:val="34"/>
    <w:locked/>
    <w:rsid w:val="00A57B1B"/>
    <w:rPr>
      <w:rFonts w:ascii="Calibri" w:eastAsia="Times New Roman" w:hAnsi="Calibri" w:cs="Times New Roman"/>
    </w:rPr>
  </w:style>
  <w:style w:type="paragraph" w:customStyle="1" w:styleId="CaptionTable">
    <w:name w:val="Caption Table"/>
    <w:basedOn w:val="Normal"/>
    <w:next w:val="Normal"/>
    <w:link w:val="CaptionTableChar"/>
    <w:autoRedefine/>
    <w:rsid w:val="00C647C8"/>
    <w:pPr>
      <w:spacing w:before="0" w:after="0" w:line="240" w:lineRule="exact"/>
    </w:pPr>
    <w:rPr>
      <w:rFonts w:ascii="Calibri" w:eastAsia="Times New Roman" w:hAnsi="Calibri" w:cs="Times New Roman"/>
      <w:b/>
      <w:bCs/>
      <w:sz w:val="20"/>
      <w:szCs w:val="20"/>
    </w:rPr>
  </w:style>
  <w:style w:type="character" w:customStyle="1" w:styleId="CaptionTableChar">
    <w:name w:val="Caption Table Char"/>
    <w:link w:val="CaptionTable"/>
    <w:rsid w:val="00C647C8"/>
    <w:rPr>
      <w:rFonts w:ascii="Calibri" w:eastAsia="Times New Roman" w:hAnsi="Calibri" w:cs="Times New Roman"/>
      <w:b/>
      <w:bCs/>
      <w:sz w:val="20"/>
      <w:szCs w:val="20"/>
    </w:rPr>
  </w:style>
  <w:style w:type="paragraph" w:customStyle="1" w:styleId="Default">
    <w:name w:val="Default"/>
    <w:rsid w:val="00DB6B01"/>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UnresolvedMention1">
    <w:name w:val="Unresolved Mention1"/>
    <w:basedOn w:val="DefaultParagraphFont"/>
    <w:uiPriority w:val="99"/>
    <w:semiHidden/>
    <w:unhideWhenUsed/>
    <w:rsid w:val="00743589"/>
    <w:rPr>
      <w:color w:val="808080"/>
      <w:shd w:val="clear" w:color="auto" w:fill="E6E6E6"/>
    </w:rPr>
  </w:style>
  <w:style w:type="character" w:customStyle="1" w:styleId="TableTextChar0">
    <w:name w:val="TableText Char"/>
    <w:basedOn w:val="DefaultParagraphFont"/>
    <w:link w:val="TableText1"/>
    <w:rsid w:val="004A6DFC"/>
    <w:rPr>
      <w:rFonts w:ascii="Arial Narrow" w:eastAsia="Times New Roman" w:hAnsi="Arial Narrow" w:cs="Arial Narrow"/>
      <w:sz w:val="20"/>
      <w:szCs w:val="20"/>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403FCF"/>
    <w:pPr>
      <w:spacing w:before="0" w:line="240" w:lineRule="exact"/>
    </w:pPr>
    <w:rPr>
      <w:rFonts w:ascii="Verdana" w:eastAsia="MS Mincho" w:hAnsi="Verdana" w:cs="Verdana"/>
      <w:sz w:val="20"/>
      <w:szCs w:val="20"/>
      <w:lang w:val="en-US"/>
    </w:rPr>
  </w:style>
  <w:style w:type="character" w:customStyle="1" w:styleId="apple-converted-space">
    <w:name w:val="apple-converted-space"/>
    <w:basedOn w:val="DefaultParagraphFont"/>
    <w:rsid w:val="00A707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caption" w:uiPriority="35" w:qFormat="1"/>
    <w:lsdException w:name="footnote reference" w:uiPriority="0"/>
    <w:lsdException w:name="annotation reference"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FC8"/>
    <w:pPr>
      <w:spacing w:before="120" w:line="240" w:lineRule="auto"/>
    </w:pPr>
    <w:rPr>
      <w:sz w:val="24"/>
    </w:rPr>
  </w:style>
  <w:style w:type="paragraph" w:styleId="Heading1">
    <w:name w:val="heading 1"/>
    <w:basedOn w:val="Normal"/>
    <w:next w:val="Normal"/>
    <w:link w:val="Heading1Char"/>
    <w:uiPriority w:val="9"/>
    <w:qFormat/>
    <w:rsid w:val="00E4041E"/>
    <w:pPr>
      <w:keepNext/>
      <w:keepLines/>
      <w:numPr>
        <w:numId w:val="15"/>
      </w:numPr>
      <w:spacing w:before="240" w:after="120"/>
      <w:outlineLvl w:val="0"/>
    </w:pPr>
    <w:rPr>
      <w:rFonts w:eastAsiaTheme="majorEastAsia" w:cstheme="majorBidi"/>
      <w:b/>
      <w:sz w:val="32"/>
      <w:szCs w:val="28"/>
    </w:rPr>
  </w:style>
  <w:style w:type="paragraph" w:styleId="Heading2">
    <w:name w:val="heading 2"/>
    <w:basedOn w:val="Normal"/>
    <w:next w:val="Normal"/>
    <w:link w:val="Heading2Char"/>
    <w:uiPriority w:val="9"/>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41E"/>
    <w:rPr>
      <w:rFonts w:eastAsiaTheme="majorEastAsia" w:cstheme="majorBidi"/>
      <w:b/>
      <w:sz w:val="32"/>
      <w:szCs w:val="28"/>
    </w:rPr>
  </w:style>
  <w:style w:type="character" w:customStyle="1" w:styleId="Heading2Char">
    <w:name w:val="Heading 2 Char"/>
    <w:basedOn w:val="DefaultParagraphFont"/>
    <w:link w:val="Heading2"/>
    <w:uiPriority w:val="9"/>
    <w:rsid w:val="00DF16C0"/>
    <w:rPr>
      <w:rFonts w:eastAsiaTheme="majorEastAsia" w:cstheme="majorBidi"/>
      <w:b/>
      <w:i/>
      <w:sz w:val="28"/>
      <w:szCs w:val="28"/>
    </w:rPr>
  </w:style>
  <w:style w:type="character" w:customStyle="1" w:styleId="Heading3Char">
    <w:name w:val="Heading 3 Char"/>
    <w:basedOn w:val="DefaultParagraphFont"/>
    <w:link w:val="Heading3"/>
    <w:uiPriority w:val="9"/>
    <w:rsid w:val="00186307"/>
    <w:rPr>
      <w:rFonts w:eastAsiaTheme="majorEastAsia" w:cstheme="majorBidi"/>
      <w:b/>
      <w:sz w:val="28"/>
      <w:szCs w:val="28"/>
    </w:rPr>
  </w:style>
  <w:style w:type="paragraph" w:styleId="ListParagraph">
    <w:name w:val="List Paragraph"/>
    <w:aliases w:val="BulletPoints"/>
    <w:basedOn w:val="Normal"/>
    <w:link w:val="ListParagraphChar"/>
    <w:uiPriority w:val="34"/>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1"/>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link w:val="TableHeadingChar"/>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9"/>
    <w:unhideWhenUsed/>
    <w:rsid w:val="004619BB"/>
    <w:rPr>
      <w:b/>
      <w:bCs/>
    </w:rPr>
  </w:style>
  <w:style w:type="character" w:customStyle="1" w:styleId="CommentSubjectChar">
    <w:name w:val="Comment Subject Char"/>
    <w:basedOn w:val="CommentTextChar"/>
    <w:link w:val="CommentSubject"/>
    <w:uiPriority w:val="99"/>
    <w:rsid w:val="004619BB"/>
    <w:rPr>
      <w:b/>
      <w:bCs/>
      <w:sz w:val="20"/>
      <w:szCs w:val="20"/>
    </w:rPr>
  </w:style>
  <w:style w:type="paragraph" w:styleId="BalloonText">
    <w:name w:val="Balloon Text"/>
    <w:basedOn w:val="Normal"/>
    <w:link w:val="BalloonTextChar"/>
    <w:uiPriority w:val="9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D9478F"/>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3D7E39"/>
    <w:pPr>
      <w:keepNext/>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10"/>
    <w:qFormat/>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10"/>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7"/>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
    <w:uiPriority w:val="2"/>
    <w:qFormat/>
    <w:rsid w:val="00C317F3"/>
    <w:pPr>
      <w:spacing w:before="0" w:after="0"/>
    </w:pPr>
    <w:rPr>
      <w:rFonts w:ascii="Arial Narrow" w:eastAsia="Times New Roman" w:hAnsi="Arial Narrow" w:cs="Times New Roman"/>
      <w:sz w:val="20"/>
      <w:szCs w:val="20"/>
    </w:rPr>
  </w:style>
  <w:style w:type="character" w:customStyle="1" w:styleId="TabletextChar">
    <w:name w:val="Table text Char"/>
    <w:link w:val="Tabletext0"/>
    <w:uiPriority w:val="2"/>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link w:val="TableTextChar0"/>
    <w:qFormat/>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9"/>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
    <w:basedOn w:val="DefaultParagraphFont"/>
    <w:link w:val="ListParagraph"/>
    <w:uiPriority w:val="34"/>
    <w:qFormat/>
    <w:locked/>
    <w:rsid w:val="0095170D"/>
    <w:rPr>
      <w:sz w:val="24"/>
    </w:rPr>
  </w:style>
  <w:style w:type="numbering" w:customStyle="1" w:styleId="Headings">
    <w:name w:val="Headings"/>
    <w:uiPriority w:val="99"/>
    <w:rsid w:val="00C317F3"/>
    <w:pPr>
      <w:numPr>
        <w:numId w:val="3"/>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4"/>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qFormat/>
    <w:rsid w:val="00C52ACF"/>
    <w:pPr>
      <w:spacing w:before="0" w:after="120"/>
      <w:ind w:left="720" w:hanging="720"/>
      <w:jc w:val="both"/>
    </w:pPr>
    <w:rPr>
      <w:rFonts w:ascii="Calibri" w:hAnsi="Calibri"/>
    </w:rPr>
  </w:style>
  <w:style w:type="character" w:styleId="PageNumber">
    <w:name w:val="page number"/>
    <w:basedOn w:val="DefaultParagraphFont"/>
    <w:rsid w:val="00E468C8"/>
  </w:style>
  <w:style w:type="paragraph" w:customStyle="1" w:styleId="TableTextleftalign">
    <w:name w:val="Table Text left align"/>
    <w:basedOn w:val="Normal"/>
    <w:link w:val="TableTextleftalignChar"/>
    <w:autoRedefine/>
    <w:qFormat/>
    <w:rsid w:val="00292CD0"/>
    <w:pPr>
      <w:keepNext/>
      <w:spacing w:before="0" w:after="0"/>
    </w:pPr>
    <w:rPr>
      <w:rFonts w:ascii="Calibri" w:eastAsia="Times New Roman" w:hAnsi="Calibri" w:cs="Calibri"/>
      <w:sz w:val="18"/>
      <w:szCs w:val="18"/>
    </w:rPr>
  </w:style>
  <w:style w:type="character" w:customStyle="1" w:styleId="TableTextleftalignChar">
    <w:name w:val="Table Text left align Char"/>
    <w:link w:val="TableTextleftalign"/>
    <w:rsid w:val="00292CD0"/>
    <w:rPr>
      <w:rFonts w:ascii="Calibri" w:eastAsia="Times New Roman" w:hAnsi="Calibri" w:cs="Calibri"/>
      <w:sz w:val="18"/>
      <w:szCs w:val="18"/>
    </w:rPr>
  </w:style>
  <w:style w:type="character" w:customStyle="1" w:styleId="tx">
    <w:name w:val="tx"/>
    <w:rsid w:val="00292CD0"/>
  </w:style>
  <w:style w:type="paragraph" w:styleId="DocumentMap">
    <w:name w:val="Document Map"/>
    <w:basedOn w:val="Normal"/>
    <w:link w:val="DocumentMapChar"/>
    <w:uiPriority w:val="99"/>
    <w:semiHidden/>
    <w:rsid w:val="00B970A5"/>
    <w:pPr>
      <w:shd w:val="clear" w:color="auto" w:fill="000080"/>
      <w:spacing w:before="0" w:after="0"/>
    </w:pPr>
    <w:rPr>
      <w:rFonts w:ascii="Tahoma" w:eastAsia="Times New Roman" w:hAnsi="Tahoma" w:cs="Tahoma"/>
      <w:sz w:val="20"/>
      <w:szCs w:val="20"/>
      <w:lang w:val="en-US"/>
    </w:rPr>
  </w:style>
  <w:style w:type="character" w:customStyle="1" w:styleId="DocumentMapChar">
    <w:name w:val="Document Map Char"/>
    <w:basedOn w:val="DefaultParagraphFont"/>
    <w:link w:val="DocumentMap"/>
    <w:uiPriority w:val="99"/>
    <w:semiHidden/>
    <w:rsid w:val="00B970A5"/>
    <w:rPr>
      <w:rFonts w:ascii="Tahoma" w:eastAsia="Times New Roman" w:hAnsi="Tahoma" w:cs="Tahoma"/>
      <w:sz w:val="20"/>
      <w:szCs w:val="20"/>
      <w:shd w:val="clear" w:color="auto" w:fill="000080"/>
      <w:lang w:val="en-US"/>
    </w:rPr>
  </w:style>
  <w:style w:type="paragraph" w:customStyle="1" w:styleId="TableSource">
    <w:name w:val="Table Source"/>
    <w:basedOn w:val="Normal"/>
    <w:next w:val="Normal"/>
    <w:link w:val="TableSourceChar"/>
    <w:autoRedefine/>
    <w:qFormat/>
    <w:rsid w:val="00D06962"/>
    <w:pPr>
      <w:tabs>
        <w:tab w:val="left" w:pos="709"/>
      </w:tabs>
      <w:spacing w:before="0" w:after="0"/>
    </w:pPr>
    <w:rPr>
      <w:rFonts w:ascii="Arial" w:eastAsia="Times New Roman" w:hAnsi="Arial" w:cs="Arial"/>
      <w:iCs/>
      <w:color w:val="000000" w:themeColor="text1"/>
      <w:sz w:val="16"/>
      <w:szCs w:val="24"/>
      <w:lang w:val="en-US"/>
    </w:rPr>
  </w:style>
  <w:style w:type="character" w:customStyle="1" w:styleId="TableSourceChar">
    <w:name w:val="Table Source Char"/>
    <w:link w:val="TableSource"/>
    <w:rsid w:val="00D06962"/>
    <w:rPr>
      <w:rFonts w:ascii="Arial" w:eastAsia="Times New Roman" w:hAnsi="Arial" w:cs="Arial"/>
      <w:iCs/>
      <w:color w:val="000000" w:themeColor="text1"/>
      <w:sz w:val="16"/>
      <w:szCs w:val="24"/>
      <w:lang w:val="en-US"/>
    </w:rPr>
  </w:style>
  <w:style w:type="paragraph" w:customStyle="1" w:styleId="TableLeft">
    <w:name w:val="Table Left"/>
    <w:basedOn w:val="TableCentred"/>
    <w:link w:val="TableLeftChar"/>
    <w:uiPriority w:val="99"/>
    <w:qFormat/>
    <w:rsid w:val="009F5DC8"/>
    <w:pPr>
      <w:spacing w:line="240" w:lineRule="auto"/>
      <w:jc w:val="left"/>
    </w:pPr>
  </w:style>
  <w:style w:type="paragraph" w:customStyle="1" w:styleId="TableCentred">
    <w:name w:val="Table Centred"/>
    <w:basedOn w:val="Normal"/>
    <w:link w:val="TableCentredChar"/>
    <w:uiPriority w:val="5"/>
    <w:qFormat/>
    <w:rsid w:val="009F5DC8"/>
    <w:pPr>
      <w:spacing w:before="0" w:after="0" w:line="276" w:lineRule="auto"/>
      <w:jc w:val="center"/>
    </w:pPr>
    <w:rPr>
      <w:rFonts w:ascii="Calibri" w:eastAsia="Times New Roman" w:hAnsi="Calibri" w:cs="Times New Roman"/>
      <w:sz w:val="20"/>
    </w:rPr>
  </w:style>
  <w:style w:type="character" w:customStyle="1" w:styleId="TableCentredChar">
    <w:name w:val="Table Centred Char"/>
    <w:link w:val="TableCentred"/>
    <w:uiPriority w:val="5"/>
    <w:locked/>
    <w:rsid w:val="009F5DC8"/>
    <w:rPr>
      <w:rFonts w:ascii="Calibri" w:eastAsia="Times New Roman" w:hAnsi="Calibri" w:cs="Times New Roman"/>
      <w:sz w:val="20"/>
    </w:rPr>
  </w:style>
  <w:style w:type="character" w:customStyle="1" w:styleId="TableLeftChar">
    <w:name w:val="Table Left Char"/>
    <w:link w:val="TableLeft"/>
    <w:uiPriority w:val="99"/>
    <w:locked/>
    <w:rsid w:val="009F5DC8"/>
    <w:rPr>
      <w:rFonts w:ascii="Calibri" w:eastAsia="Times New Roman" w:hAnsi="Calibri" w:cs="Times New Roman"/>
      <w:sz w:val="20"/>
    </w:rPr>
  </w:style>
  <w:style w:type="character" w:customStyle="1" w:styleId="TableHeadingChar">
    <w:name w:val="TableHeading Char"/>
    <w:link w:val="TableHeading"/>
    <w:rsid w:val="009F5DC8"/>
    <w:rPr>
      <w:b/>
      <w:iCs/>
      <w:sz w:val="20"/>
      <w:szCs w:val="18"/>
    </w:rPr>
  </w:style>
  <w:style w:type="paragraph" w:customStyle="1" w:styleId="ListBullets">
    <w:name w:val="List Bullets"/>
    <w:basedOn w:val="Normal"/>
    <w:uiPriority w:val="3"/>
    <w:qFormat/>
    <w:rsid w:val="00E97F08"/>
    <w:pPr>
      <w:spacing w:before="0" w:after="0" w:line="276" w:lineRule="auto"/>
      <w:contextualSpacing/>
      <w:jc w:val="both"/>
    </w:pPr>
    <w:rPr>
      <w:rFonts w:ascii="Calibri" w:eastAsia="Times New Roman" w:hAnsi="Calibri" w:cs="Times New Roman"/>
    </w:rPr>
  </w:style>
  <w:style w:type="paragraph" w:customStyle="1" w:styleId="ListBulletsLevel2">
    <w:name w:val="List Bullets Level 2"/>
    <w:basedOn w:val="Normal"/>
    <w:qFormat/>
    <w:rsid w:val="00772646"/>
    <w:pPr>
      <w:spacing w:before="0" w:after="0" w:line="276" w:lineRule="auto"/>
      <w:ind w:left="697" w:hanging="357"/>
      <w:jc w:val="both"/>
    </w:pPr>
    <w:rPr>
      <w:rFonts w:ascii="Calibri" w:eastAsia="Times New Roman" w:hAnsi="Calibri" w:cs="Times New Roman"/>
    </w:rPr>
  </w:style>
  <w:style w:type="paragraph" w:customStyle="1" w:styleId="MediumGrid1-Accent22">
    <w:name w:val="Medium Grid 1 - Accent 22"/>
    <w:basedOn w:val="Normal"/>
    <w:link w:val="MediumGrid1-Accent2Char1"/>
    <w:uiPriority w:val="34"/>
    <w:qFormat/>
    <w:rsid w:val="00A57B1B"/>
    <w:pPr>
      <w:spacing w:before="0" w:after="0"/>
      <w:ind w:left="720"/>
    </w:pPr>
    <w:rPr>
      <w:rFonts w:ascii="Calibri" w:eastAsia="Times New Roman" w:hAnsi="Calibri" w:cs="Times New Roman"/>
      <w:sz w:val="22"/>
    </w:rPr>
  </w:style>
  <w:style w:type="character" w:customStyle="1" w:styleId="MediumGrid1-Accent2Char1">
    <w:name w:val="Medium Grid 1 - Accent 2 Char1"/>
    <w:link w:val="MediumGrid1-Accent22"/>
    <w:uiPriority w:val="34"/>
    <w:locked/>
    <w:rsid w:val="00A57B1B"/>
    <w:rPr>
      <w:rFonts w:ascii="Calibri" w:eastAsia="Times New Roman" w:hAnsi="Calibri" w:cs="Times New Roman"/>
    </w:rPr>
  </w:style>
  <w:style w:type="paragraph" w:customStyle="1" w:styleId="CaptionTable">
    <w:name w:val="Caption Table"/>
    <w:basedOn w:val="Normal"/>
    <w:next w:val="Normal"/>
    <w:link w:val="CaptionTableChar"/>
    <w:autoRedefine/>
    <w:rsid w:val="00C647C8"/>
    <w:pPr>
      <w:spacing w:before="0" w:after="0" w:line="240" w:lineRule="exact"/>
    </w:pPr>
    <w:rPr>
      <w:rFonts w:ascii="Calibri" w:eastAsia="Times New Roman" w:hAnsi="Calibri" w:cs="Times New Roman"/>
      <w:b/>
      <w:bCs/>
      <w:sz w:val="20"/>
      <w:szCs w:val="20"/>
    </w:rPr>
  </w:style>
  <w:style w:type="character" w:customStyle="1" w:styleId="CaptionTableChar">
    <w:name w:val="Caption Table Char"/>
    <w:link w:val="CaptionTable"/>
    <w:rsid w:val="00C647C8"/>
    <w:rPr>
      <w:rFonts w:ascii="Calibri" w:eastAsia="Times New Roman" w:hAnsi="Calibri" w:cs="Times New Roman"/>
      <w:b/>
      <w:bCs/>
      <w:sz w:val="20"/>
      <w:szCs w:val="20"/>
    </w:rPr>
  </w:style>
  <w:style w:type="paragraph" w:customStyle="1" w:styleId="Default">
    <w:name w:val="Default"/>
    <w:rsid w:val="00DB6B01"/>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UnresolvedMention1">
    <w:name w:val="Unresolved Mention1"/>
    <w:basedOn w:val="DefaultParagraphFont"/>
    <w:uiPriority w:val="99"/>
    <w:semiHidden/>
    <w:unhideWhenUsed/>
    <w:rsid w:val="00743589"/>
    <w:rPr>
      <w:color w:val="808080"/>
      <w:shd w:val="clear" w:color="auto" w:fill="E6E6E6"/>
    </w:rPr>
  </w:style>
  <w:style w:type="character" w:customStyle="1" w:styleId="TableTextChar0">
    <w:name w:val="TableText Char"/>
    <w:basedOn w:val="DefaultParagraphFont"/>
    <w:link w:val="TableText1"/>
    <w:rsid w:val="004A6DFC"/>
    <w:rPr>
      <w:rFonts w:ascii="Arial Narrow" w:eastAsia="Times New Roman" w:hAnsi="Arial Narrow" w:cs="Arial Narrow"/>
      <w:sz w:val="20"/>
      <w:szCs w:val="20"/>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403FCF"/>
    <w:pPr>
      <w:spacing w:before="0" w:line="240" w:lineRule="exact"/>
    </w:pPr>
    <w:rPr>
      <w:rFonts w:ascii="Verdana" w:eastAsia="MS Mincho" w:hAnsi="Verdana" w:cs="Verdana"/>
      <w:sz w:val="20"/>
      <w:szCs w:val="20"/>
      <w:lang w:val="en-US"/>
    </w:rPr>
  </w:style>
  <w:style w:type="character" w:customStyle="1" w:styleId="apple-converted-space">
    <w:name w:val="apple-converted-space"/>
    <w:basedOn w:val="DefaultParagraphFont"/>
    <w:rsid w:val="00A70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79721">
      <w:bodyDiv w:val="1"/>
      <w:marLeft w:val="0"/>
      <w:marRight w:val="0"/>
      <w:marTop w:val="0"/>
      <w:marBottom w:val="0"/>
      <w:divBdr>
        <w:top w:val="none" w:sz="0" w:space="0" w:color="auto"/>
        <w:left w:val="none" w:sz="0" w:space="0" w:color="auto"/>
        <w:bottom w:val="none" w:sz="0" w:space="0" w:color="auto"/>
        <w:right w:val="none" w:sz="0" w:space="0" w:color="auto"/>
      </w:divBdr>
    </w:div>
    <w:div w:id="85272908">
      <w:bodyDiv w:val="1"/>
      <w:marLeft w:val="0"/>
      <w:marRight w:val="0"/>
      <w:marTop w:val="0"/>
      <w:marBottom w:val="0"/>
      <w:divBdr>
        <w:top w:val="none" w:sz="0" w:space="0" w:color="auto"/>
        <w:left w:val="none" w:sz="0" w:space="0" w:color="auto"/>
        <w:bottom w:val="none" w:sz="0" w:space="0" w:color="auto"/>
        <w:right w:val="none" w:sz="0" w:space="0" w:color="auto"/>
      </w:divBdr>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181164431">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53190115">
      <w:bodyDiv w:val="1"/>
      <w:marLeft w:val="0"/>
      <w:marRight w:val="0"/>
      <w:marTop w:val="0"/>
      <w:marBottom w:val="0"/>
      <w:divBdr>
        <w:top w:val="none" w:sz="0" w:space="0" w:color="auto"/>
        <w:left w:val="none" w:sz="0" w:space="0" w:color="auto"/>
        <w:bottom w:val="none" w:sz="0" w:space="0" w:color="auto"/>
        <w:right w:val="none" w:sz="0" w:space="0" w:color="auto"/>
      </w:divBdr>
    </w:div>
    <w:div w:id="385029940">
      <w:bodyDiv w:val="1"/>
      <w:marLeft w:val="0"/>
      <w:marRight w:val="0"/>
      <w:marTop w:val="0"/>
      <w:marBottom w:val="0"/>
      <w:divBdr>
        <w:top w:val="none" w:sz="0" w:space="0" w:color="auto"/>
        <w:left w:val="none" w:sz="0" w:space="0" w:color="auto"/>
        <w:bottom w:val="none" w:sz="0" w:space="0" w:color="auto"/>
        <w:right w:val="none" w:sz="0" w:space="0" w:color="auto"/>
      </w:divBdr>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539585685">
      <w:bodyDiv w:val="1"/>
      <w:marLeft w:val="0"/>
      <w:marRight w:val="0"/>
      <w:marTop w:val="0"/>
      <w:marBottom w:val="0"/>
      <w:divBdr>
        <w:top w:val="none" w:sz="0" w:space="0" w:color="auto"/>
        <w:left w:val="none" w:sz="0" w:space="0" w:color="auto"/>
        <w:bottom w:val="none" w:sz="0" w:space="0" w:color="auto"/>
        <w:right w:val="none" w:sz="0" w:space="0" w:color="auto"/>
      </w:divBdr>
    </w:div>
    <w:div w:id="603420259">
      <w:bodyDiv w:val="1"/>
      <w:marLeft w:val="0"/>
      <w:marRight w:val="0"/>
      <w:marTop w:val="0"/>
      <w:marBottom w:val="0"/>
      <w:divBdr>
        <w:top w:val="none" w:sz="0" w:space="0" w:color="auto"/>
        <w:left w:val="none" w:sz="0" w:space="0" w:color="auto"/>
        <w:bottom w:val="none" w:sz="0" w:space="0" w:color="auto"/>
        <w:right w:val="none" w:sz="0" w:space="0" w:color="auto"/>
      </w:divBdr>
    </w:div>
    <w:div w:id="680543691">
      <w:bodyDiv w:val="1"/>
      <w:marLeft w:val="0"/>
      <w:marRight w:val="0"/>
      <w:marTop w:val="0"/>
      <w:marBottom w:val="0"/>
      <w:divBdr>
        <w:top w:val="none" w:sz="0" w:space="0" w:color="auto"/>
        <w:left w:val="none" w:sz="0" w:space="0" w:color="auto"/>
        <w:bottom w:val="none" w:sz="0" w:space="0" w:color="auto"/>
        <w:right w:val="none" w:sz="0" w:space="0" w:color="auto"/>
      </w:divBdr>
    </w:div>
    <w:div w:id="777725191">
      <w:bodyDiv w:val="1"/>
      <w:marLeft w:val="0"/>
      <w:marRight w:val="0"/>
      <w:marTop w:val="0"/>
      <w:marBottom w:val="0"/>
      <w:divBdr>
        <w:top w:val="none" w:sz="0" w:space="0" w:color="auto"/>
        <w:left w:val="none" w:sz="0" w:space="0" w:color="auto"/>
        <w:bottom w:val="none" w:sz="0" w:space="0" w:color="auto"/>
        <w:right w:val="none" w:sz="0" w:space="0" w:color="auto"/>
      </w:divBdr>
    </w:div>
    <w:div w:id="859776745">
      <w:bodyDiv w:val="1"/>
      <w:marLeft w:val="0"/>
      <w:marRight w:val="0"/>
      <w:marTop w:val="0"/>
      <w:marBottom w:val="0"/>
      <w:divBdr>
        <w:top w:val="none" w:sz="0" w:space="0" w:color="auto"/>
        <w:left w:val="none" w:sz="0" w:space="0" w:color="auto"/>
        <w:bottom w:val="none" w:sz="0" w:space="0" w:color="auto"/>
        <w:right w:val="none" w:sz="0" w:space="0" w:color="auto"/>
      </w:divBdr>
    </w:div>
    <w:div w:id="868421465">
      <w:bodyDiv w:val="1"/>
      <w:marLeft w:val="0"/>
      <w:marRight w:val="0"/>
      <w:marTop w:val="0"/>
      <w:marBottom w:val="0"/>
      <w:divBdr>
        <w:top w:val="none" w:sz="0" w:space="0" w:color="auto"/>
        <w:left w:val="none" w:sz="0" w:space="0" w:color="auto"/>
        <w:bottom w:val="none" w:sz="0" w:space="0" w:color="auto"/>
        <w:right w:val="none" w:sz="0" w:space="0" w:color="auto"/>
      </w:divBdr>
      <w:divsChild>
        <w:div w:id="865947171">
          <w:marLeft w:val="0"/>
          <w:marRight w:val="0"/>
          <w:marTop w:val="0"/>
          <w:marBottom w:val="0"/>
          <w:divBdr>
            <w:top w:val="none" w:sz="0" w:space="0" w:color="auto"/>
            <w:left w:val="none" w:sz="0" w:space="0" w:color="auto"/>
            <w:bottom w:val="none" w:sz="0" w:space="0" w:color="auto"/>
            <w:right w:val="none" w:sz="0" w:space="0" w:color="auto"/>
          </w:divBdr>
          <w:divsChild>
            <w:div w:id="437405799">
              <w:marLeft w:val="0"/>
              <w:marRight w:val="0"/>
              <w:marTop w:val="0"/>
              <w:marBottom w:val="0"/>
              <w:divBdr>
                <w:top w:val="none" w:sz="0" w:space="0" w:color="auto"/>
                <w:left w:val="none" w:sz="0" w:space="0" w:color="auto"/>
                <w:bottom w:val="none" w:sz="0" w:space="0" w:color="auto"/>
                <w:right w:val="none" w:sz="0" w:space="0" w:color="auto"/>
              </w:divBdr>
              <w:divsChild>
                <w:div w:id="444353322">
                  <w:marLeft w:val="0"/>
                  <w:marRight w:val="0"/>
                  <w:marTop w:val="0"/>
                  <w:marBottom w:val="0"/>
                  <w:divBdr>
                    <w:top w:val="none" w:sz="0" w:space="0" w:color="auto"/>
                    <w:left w:val="none" w:sz="0" w:space="0" w:color="auto"/>
                    <w:bottom w:val="none" w:sz="0" w:space="0" w:color="auto"/>
                    <w:right w:val="none" w:sz="0" w:space="0" w:color="auto"/>
                  </w:divBdr>
                  <w:divsChild>
                    <w:div w:id="191754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81623">
      <w:bodyDiv w:val="1"/>
      <w:marLeft w:val="0"/>
      <w:marRight w:val="0"/>
      <w:marTop w:val="0"/>
      <w:marBottom w:val="0"/>
      <w:divBdr>
        <w:top w:val="none" w:sz="0" w:space="0" w:color="auto"/>
        <w:left w:val="none" w:sz="0" w:space="0" w:color="auto"/>
        <w:bottom w:val="none" w:sz="0" w:space="0" w:color="auto"/>
        <w:right w:val="none" w:sz="0" w:space="0" w:color="auto"/>
      </w:divBdr>
    </w:div>
    <w:div w:id="1048721258">
      <w:bodyDiv w:val="1"/>
      <w:marLeft w:val="0"/>
      <w:marRight w:val="0"/>
      <w:marTop w:val="0"/>
      <w:marBottom w:val="0"/>
      <w:divBdr>
        <w:top w:val="none" w:sz="0" w:space="0" w:color="auto"/>
        <w:left w:val="none" w:sz="0" w:space="0" w:color="auto"/>
        <w:bottom w:val="none" w:sz="0" w:space="0" w:color="auto"/>
        <w:right w:val="none" w:sz="0" w:space="0" w:color="auto"/>
      </w:divBdr>
    </w:div>
    <w:div w:id="1094521996">
      <w:bodyDiv w:val="1"/>
      <w:marLeft w:val="0"/>
      <w:marRight w:val="0"/>
      <w:marTop w:val="0"/>
      <w:marBottom w:val="0"/>
      <w:divBdr>
        <w:top w:val="none" w:sz="0" w:space="0" w:color="auto"/>
        <w:left w:val="none" w:sz="0" w:space="0" w:color="auto"/>
        <w:bottom w:val="none" w:sz="0" w:space="0" w:color="auto"/>
        <w:right w:val="none" w:sz="0" w:space="0" w:color="auto"/>
      </w:divBdr>
    </w:div>
    <w:div w:id="1111631266">
      <w:bodyDiv w:val="1"/>
      <w:marLeft w:val="0"/>
      <w:marRight w:val="0"/>
      <w:marTop w:val="0"/>
      <w:marBottom w:val="0"/>
      <w:divBdr>
        <w:top w:val="none" w:sz="0" w:space="0" w:color="auto"/>
        <w:left w:val="none" w:sz="0" w:space="0" w:color="auto"/>
        <w:bottom w:val="none" w:sz="0" w:space="0" w:color="auto"/>
        <w:right w:val="none" w:sz="0" w:space="0" w:color="auto"/>
      </w:divBdr>
    </w:div>
    <w:div w:id="1112281302">
      <w:bodyDiv w:val="1"/>
      <w:marLeft w:val="0"/>
      <w:marRight w:val="0"/>
      <w:marTop w:val="0"/>
      <w:marBottom w:val="0"/>
      <w:divBdr>
        <w:top w:val="none" w:sz="0" w:space="0" w:color="auto"/>
        <w:left w:val="none" w:sz="0" w:space="0" w:color="auto"/>
        <w:bottom w:val="none" w:sz="0" w:space="0" w:color="auto"/>
        <w:right w:val="none" w:sz="0" w:space="0" w:color="auto"/>
      </w:divBdr>
    </w:div>
    <w:div w:id="1124928146">
      <w:bodyDiv w:val="1"/>
      <w:marLeft w:val="0"/>
      <w:marRight w:val="0"/>
      <w:marTop w:val="0"/>
      <w:marBottom w:val="0"/>
      <w:divBdr>
        <w:top w:val="none" w:sz="0" w:space="0" w:color="auto"/>
        <w:left w:val="none" w:sz="0" w:space="0" w:color="auto"/>
        <w:bottom w:val="none" w:sz="0" w:space="0" w:color="auto"/>
        <w:right w:val="none" w:sz="0" w:space="0" w:color="auto"/>
      </w:divBdr>
    </w:div>
    <w:div w:id="1171749214">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340350917">
      <w:bodyDiv w:val="1"/>
      <w:marLeft w:val="0"/>
      <w:marRight w:val="0"/>
      <w:marTop w:val="0"/>
      <w:marBottom w:val="0"/>
      <w:divBdr>
        <w:top w:val="none" w:sz="0" w:space="0" w:color="auto"/>
        <w:left w:val="none" w:sz="0" w:space="0" w:color="auto"/>
        <w:bottom w:val="none" w:sz="0" w:space="0" w:color="auto"/>
        <w:right w:val="none" w:sz="0" w:space="0" w:color="auto"/>
      </w:divBdr>
    </w:div>
    <w:div w:id="1389063932">
      <w:bodyDiv w:val="1"/>
      <w:marLeft w:val="0"/>
      <w:marRight w:val="0"/>
      <w:marTop w:val="0"/>
      <w:marBottom w:val="0"/>
      <w:divBdr>
        <w:top w:val="none" w:sz="0" w:space="0" w:color="auto"/>
        <w:left w:val="none" w:sz="0" w:space="0" w:color="auto"/>
        <w:bottom w:val="none" w:sz="0" w:space="0" w:color="auto"/>
        <w:right w:val="none" w:sz="0" w:space="0" w:color="auto"/>
      </w:divBdr>
    </w:div>
    <w:div w:id="1426421083">
      <w:bodyDiv w:val="1"/>
      <w:marLeft w:val="0"/>
      <w:marRight w:val="0"/>
      <w:marTop w:val="0"/>
      <w:marBottom w:val="0"/>
      <w:divBdr>
        <w:top w:val="none" w:sz="0" w:space="0" w:color="auto"/>
        <w:left w:val="none" w:sz="0" w:space="0" w:color="auto"/>
        <w:bottom w:val="none" w:sz="0" w:space="0" w:color="auto"/>
        <w:right w:val="none" w:sz="0" w:space="0" w:color="auto"/>
      </w:divBdr>
    </w:div>
    <w:div w:id="1444807074">
      <w:bodyDiv w:val="1"/>
      <w:marLeft w:val="0"/>
      <w:marRight w:val="0"/>
      <w:marTop w:val="0"/>
      <w:marBottom w:val="0"/>
      <w:divBdr>
        <w:top w:val="none" w:sz="0" w:space="0" w:color="auto"/>
        <w:left w:val="none" w:sz="0" w:space="0" w:color="auto"/>
        <w:bottom w:val="none" w:sz="0" w:space="0" w:color="auto"/>
        <w:right w:val="none" w:sz="0" w:space="0" w:color="auto"/>
      </w:divBdr>
    </w:div>
    <w:div w:id="1445156717">
      <w:bodyDiv w:val="1"/>
      <w:marLeft w:val="0"/>
      <w:marRight w:val="0"/>
      <w:marTop w:val="0"/>
      <w:marBottom w:val="0"/>
      <w:divBdr>
        <w:top w:val="none" w:sz="0" w:space="0" w:color="auto"/>
        <w:left w:val="none" w:sz="0" w:space="0" w:color="auto"/>
        <w:bottom w:val="none" w:sz="0" w:space="0" w:color="auto"/>
        <w:right w:val="none" w:sz="0" w:space="0" w:color="auto"/>
      </w:divBdr>
    </w:div>
    <w:div w:id="1495030960">
      <w:bodyDiv w:val="1"/>
      <w:marLeft w:val="0"/>
      <w:marRight w:val="0"/>
      <w:marTop w:val="0"/>
      <w:marBottom w:val="0"/>
      <w:divBdr>
        <w:top w:val="none" w:sz="0" w:space="0" w:color="auto"/>
        <w:left w:val="none" w:sz="0" w:space="0" w:color="auto"/>
        <w:bottom w:val="none" w:sz="0" w:space="0" w:color="auto"/>
        <w:right w:val="none" w:sz="0" w:space="0" w:color="auto"/>
      </w:divBdr>
    </w:div>
    <w:div w:id="1712001023">
      <w:bodyDiv w:val="1"/>
      <w:marLeft w:val="0"/>
      <w:marRight w:val="0"/>
      <w:marTop w:val="0"/>
      <w:marBottom w:val="0"/>
      <w:divBdr>
        <w:top w:val="none" w:sz="0" w:space="0" w:color="auto"/>
        <w:left w:val="none" w:sz="0" w:space="0" w:color="auto"/>
        <w:bottom w:val="none" w:sz="0" w:space="0" w:color="auto"/>
        <w:right w:val="none" w:sz="0" w:space="0" w:color="auto"/>
      </w:divBdr>
    </w:div>
    <w:div w:id="1739012961">
      <w:bodyDiv w:val="1"/>
      <w:marLeft w:val="0"/>
      <w:marRight w:val="0"/>
      <w:marTop w:val="0"/>
      <w:marBottom w:val="0"/>
      <w:divBdr>
        <w:top w:val="none" w:sz="0" w:space="0" w:color="auto"/>
        <w:left w:val="none" w:sz="0" w:space="0" w:color="auto"/>
        <w:bottom w:val="none" w:sz="0" w:space="0" w:color="auto"/>
        <w:right w:val="none" w:sz="0" w:space="0" w:color="auto"/>
      </w:divBdr>
    </w:div>
    <w:div w:id="1857883406">
      <w:bodyDiv w:val="1"/>
      <w:marLeft w:val="0"/>
      <w:marRight w:val="0"/>
      <w:marTop w:val="0"/>
      <w:marBottom w:val="0"/>
      <w:divBdr>
        <w:top w:val="none" w:sz="0" w:space="0" w:color="auto"/>
        <w:left w:val="none" w:sz="0" w:space="0" w:color="auto"/>
        <w:bottom w:val="none" w:sz="0" w:space="0" w:color="auto"/>
        <w:right w:val="none" w:sz="0" w:space="0" w:color="auto"/>
      </w:divBdr>
    </w:div>
    <w:div w:id="1934582553">
      <w:bodyDiv w:val="1"/>
      <w:marLeft w:val="0"/>
      <w:marRight w:val="0"/>
      <w:marTop w:val="0"/>
      <w:marBottom w:val="0"/>
      <w:divBdr>
        <w:top w:val="none" w:sz="0" w:space="0" w:color="auto"/>
        <w:left w:val="none" w:sz="0" w:space="0" w:color="auto"/>
        <w:bottom w:val="none" w:sz="0" w:space="0" w:color="auto"/>
        <w:right w:val="none" w:sz="0" w:space="0" w:color="auto"/>
      </w:divBdr>
    </w:div>
    <w:div w:id="2041277888">
      <w:bodyDiv w:val="1"/>
      <w:marLeft w:val="0"/>
      <w:marRight w:val="0"/>
      <w:marTop w:val="0"/>
      <w:marBottom w:val="0"/>
      <w:divBdr>
        <w:top w:val="none" w:sz="0" w:space="0" w:color="auto"/>
        <w:left w:val="none" w:sz="0" w:space="0" w:color="auto"/>
        <w:bottom w:val="none" w:sz="0" w:space="0" w:color="auto"/>
        <w:right w:val="none" w:sz="0" w:space="0" w:color="auto"/>
      </w:divBdr>
    </w:div>
    <w:div w:id="2070103829">
      <w:bodyDiv w:val="1"/>
      <w:marLeft w:val="0"/>
      <w:marRight w:val="0"/>
      <w:marTop w:val="0"/>
      <w:marBottom w:val="0"/>
      <w:divBdr>
        <w:top w:val="none" w:sz="0" w:space="0" w:color="auto"/>
        <w:left w:val="none" w:sz="0" w:space="0" w:color="auto"/>
        <w:bottom w:val="none" w:sz="0" w:space="0" w:color="auto"/>
        <w:right w:val="none" w:sz="0" w:space="0" w:color="auto"/>
      </w:divBdr>
    </w:div>
    <w:div w:id="214126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4DD94-89C2-47A9-B11F-A08183689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8731</Words>
  <Characters>49773</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2018-02-14T22:50:00Z</dcterms:created>
  <dcterms:modified xsi:type="dcterms:W3CDTF">2018-02-14T22:51:00Z</dcterms:modified>
</cp:coreProperties>
</file>