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AE" w:rsidRPr="00BF1632" w:rsidRDefault="00C74DAE" w:rsidP="001A6F07">
      <w:pPr>
        <w:ind w:left="992" w:hanging="993"/>
        <w:contextualSpacing/>
        <w:outlineLvl w:val="0"/>
        <w:rPr>
          <w:b/>
          <w:sz w:val="36"/>
          <w:szCs w:val="36"/>
        </w:rPr>
      </w:pPr>
      <w:bookmarkStart w:id="0" w:name="_GoBack"/>
      <w:bookmarkEnd w:id="0"/>
      <w:r w:rsidRPr="00BF1632">
        <w:rPr>
          <w:b/>
          <w:sz w:val="36"/>
          <w:szCs w:val="36"/>
        </w:rPr>
        <w:t>7.05</w:t>
      </w:r>
      <w:r w:rsidRPr="00BF1632">
        <w:rPr>
          <w:b/>
          <w:sz w:val="36"/>
          <w:szCs w:val="36"/>
        </w:rPr>
        <w:tab/>
        <w:t>IBRUTINIB</w:t>
      </w:r>
      <w:r w:rsidR="001A6F07">
        <w:rPr>
          <w:b/>
          <w:sz w:val="36"/>
          <w:szCs w:val="36"/>
        </w:rPr>
        <w:t>,</w:t>
      </w:r>
      <w:r w:rsidRPr="00BF1632">
        <w:rPr>
          <w:b/>
          <w:sz w:val="36"/>
          <w:szCs w:val="36"/>
        </w:rPr>
        <w:br/>
      </w:r>
      <w:r w:rsidR="00ED5516" w:rsidRPr="00BF1632">
        <w:rPr>
          <w:b/>
          <w:sz w:val="36"/>
          <w:szCs w:val="36"/>
        </w:rPr>
        <w:t>Capsule 140 mg</w:t>
      </w:r>
      <w:r w:rsidRPr="00BF1632">
        <w:rPr>
          <w:b/>
          <w:sz w:val="36"/>
          <w:szCs w:val="36"/>
        </w:rPr>
        <w:t>,</w:t>
      </w:r>
      <w:r w:rsidR="001A6F07">
        <w:rPr>
          <w:b/>
          <w:sz w:val="36"/>
          <w:szCs w:val="36"/>
        </w:rPr>
        <w:br/>
      </w:r>
      <w:r w:rsidRPr="00BF1632">
        <w:rPr>
          <w:b/>
          <w:sz w:val="36"/>
          <w:szCs w:val="36"/>
        </w:rPr>
        <w:t>Imbruvica®, Janssen-Cilag Pty Ltd</w:t>
      </w:r>
    </w:p>
    <w:p w:rsidR="00C317F3" w:rsidRPr="00BF1632" w:rsidRDefault="00C317F3" w:rsidP="002001C6">
      <w:pPr>
        <w:pStyle w:val="Heading1"/>
        <w:ind w:left="709" w:hanging="709"/>
      </w:pPr>
      <w:bookmarkStart w:id="1" w:name="_Toc413139271"/>
      <w:bookmarkStart w:id="2" w:name="_Toc493002965"/>
      <w:r w:rsidRPr="00BF1632">
        <w:t xml:space="preserve">Purpose of </w:t>
      </w:r>
      <w:r w:rsidR="00661286" w:rsidRPr="00BF1632">
        <w:t>a</w:t>
      </w:r>
      <w:r w:rsidRPr="00BF1632">
        <w:t>pplication</w:t>
      </w:r>
      <w:bookmarkEnd w:id="1"/>
      <w:bookmarkEnd w:id="2"/>
    </w:p>
    <w:p w:rsidR="006940F0" w:rsidRPr="00BF1632" w:rsidRDefault="006940F0" w:rsidP="000D6801">
      <w:pPr>
        <w:pStyle w:val="ListParagraph"/>
        <w:numPr>
          <w:ilvl w:val="1"/>
          <w:numId w:val="3"/>
        </w:numPr>
        <w:spacing w:before="0" w:after="120"/>
        <w:jc w:val="both"/>
      </w:pPr>
      <w:r w:rsidRPr="00BF1632">
        <w:t xml:space="preserve">Section 85, Authority Required listing for ibrutinib for treatment of relapsed or refractory mantle cell lymphoma. </w:t>
      </w:r>
    </w:p>
    <w:p w:rsidR="006940F0" w:rsidRPr="00BF1632" w:rsidRDefault="006940F0" w:rsidP="000D6801">
      <w:pPr>
        <w:pStyle w:val="ListParagraph"/>
        <w:numPr>
          <w:ilvl w:val="1"/>
          <w:numId w:val="3"/>
        </w:numPr>
        <w:spacing w:before="0" w:after="120"/>
        <w:jc w:val="both"/>
      </w:pPr>
      <w:r w:rsidRPr="00BF1632">
        <w:t>This was the second submission for ibrutinib for use in mantle cell lymphoma. The first submission was considered by the PBAC in November 2016.</w:t>
      </w:r>
    </w:p>
    <w:p w:rsidR="006940F0" w:rsidRPr="00BF1632" w:rsidRDefault="006940F0" w:rsidP="006940F0">
      <w:pPr>
        <w:keepNext/>
        <w:spacing w:before="0" w:after="60"/>
        <w:rPr>
          <w:b/>
          <w:color w:val="0070C0"/>
        </w:rPr>
      </w:pPr>
      <w:r w:rsidRPr="00BF1632">
        <w:rPr>
          <w:rFonts w:ascii="Arial Narrow" w:hAnsi="Arial Narrow"/>
          <w:b/>
          <w:sz w:val="20"/>
          <w:szCs w:val="20"/>
        </w:rPr>
        <w:t>Table 1: Key components of the clinical issue addressed by the resubmission</w:t>
      </w:r>
      <w:r w:rsidRPr="00BF1632">
        <w:rPr>
          <w:b/>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
      </w:tblPr>
      <w:tblGrid>
        <w:gridCol w:w="1137"/>
        <w:gridCol w:w="7945"/>
      </w:tblGrid>
      <w:tr w:rsidR="006940F0" w:rsidRPr="00BF1632" w:rsidTr="002E15F5">
        <w:trPr>
          <w:cnfStyle w:val="100000000000" w:firstRow="1" w:lastRow="0" w:firstColumn="0" w:lastColumn="0" w:oddVBand="0" w:evenVBand="0" w:oddHBand="0" w:evenHBand="0" w:firstRowFirstColumn="0" w:firstRowLastColumn="0" w:lastRowFirstColumn="0" w:lastRowLastColumn="0"/>
          <w:cantSplit/>
          <w:tblHeader/>
        </w:trPr>
        <w:tc>
          <w:tcPr>
            <w:tcW w:w="626" w:type="pct"/>
            <w:shd w:val="clear" w:color="auto" w:fill="auto"/>
            <w:tcMar>
              <w:left w:w="28" w:type="dxa"/>
              <w:right w:w="28" w:type="dxa"/>
            </w:tcMar>
          </w:tcPr>
          <w:p w:rsidR="006940F0" w:rsidRPr="00BF1632" w:rsidRDefault="006940F0" w:rsidP="006940F0">
            <w:pPr>
              <w:pStyle w:val="TableText"/>
              <w:rPr>
                <w:szCs w:val="20"/>
              </w:rPr>
            </w:pPr>
            <w:r w:rsidRPr="00BF1632">
              <w:t>Component</w:t>
            </w:r>
          </w:p>
        </w:tc>
        <w:tc>
          <w:tcPr>
            <w:tcW w:w="4374" w:type="pct"/>
            <w:shd w:val="clear" w:color="auto" w:fill="auto"/>
            <w:tcMar>
              <w:left w:w="28" w:type="dxa"/>
              <w:right w:w="28" w:type="dxa"/>
            </w:tcMar>
          </w:tcPr>
          <w:p w:rsidR="006940F0" w:rsidRPr="00BF1632" w:rsidRDefault="006940F0" w:rsidP="006940F0">
            <w:pPr>
              <w:pStyle w:val="TableText"/>
            </w:pPr>
            <w:r w:rsidRPr="00BF1632">
              <w:t>Description</w:t>
            </w:r>
          </w:p>
        </w:tc>
      </w:tr>
      <w:tr w:rsidR="006940F0" w:rsidRPr="00BF1632" w:rsidTr="002E15F5">
        <w:trPr>
          <w:cantSplit/>
        </w:trPr>
        <w:tc>
          <w:tcPr>
            <w:tcW w:w="626" w:type="pct"/>
            <w:shd w:val="clear" w:color="auto" w:fill="auto"/>
            <w:tcMar>
              <w:left w:w="28" w:type="dxa"/>
              <w:right w:w="28" w:type="dxa"/>
            </w:tcMar>
          </w:tcPr>
          <w:p w:rsidR="006940F0" w:rsidRPr="00BF1632" w:rsidRDefault="006940F0" w:rsidP="006940F0">
            <w:pPr>
              <w:pStyle w:val="TableText"/>
            </w:pPr>
            <w:r w:rsidRPr="00BF1632">
              <w:t>Population</w:t>
            </w:r>
          </w:p>
        </w:tc>
        <w:tc>
          <w:tcPr>
            <w:tcW w:w="4374" w:type="pct"/>
            <w:shd w:val="clear" w:color="auto" w:fill="auto"/>
            <w:tcMar>
              <w:left w:w="28" w:type="dxa"/>
              <w:right w:w="28" w:type="dxa"/>
            </w:tcMar>
          </w:tcPr>
          <w:p w:rsidR="006940F0" w:rsidRPr="00BF1632" w:rsidRDefault="006940F0" w:rsidP="006940F0">
            <w:pPr>
              <w:pStyle w:val="TableText"/>
            </w:pPr>
            <w:r w:rsidRPr="00BF1632">
              <w:t>Relapsed or refractory mantle cell lymphoma after ≥ 1 prior therapy</w:t>
            </w:r>
          </w:p>
        </w:tc>
      </w:tr>
      <w:tr w:rsidR="006940F0" w:rsidRPr="00BF1632" w:rsidTr="002E15F5">
        <w:trPr>
          <w:cantSplit/>
        </w:trPr>
        <w:tc>
          <w:tcPr>
            <w:tcW w:w="626" w:type="pct"/>
            <w:shd w:val="clear" w:color="auto" w:fill="auto"/>
            <w:tcMar>
              <w:left w:w="28" w:type="dxa"/>
              <w:right w:w="28" w:type="dxa"/>
            </w:tcMar>
          </w:tcPr>
          <w:p w:rsidR="006940F0" w:rsidRPr="00BF1632" w:rsidRDefault="006940F0" w:rsidP="006940F0">
            <w:pPr>
              <w:pStyle w:val="TableText"/>
            </w:pPr>
            <w:r w:rsidRPr="00BF1632">
              <w:t>Intervention</w:t>
            </w:r>
          </w:p>
        </w:tc>
        <w:tc>
          <w:tcPr>
            <w:tcW w:w="4374" w:type="pct"/>
            <w:shd w:val="clear" w:color="auto" w:fill="auto"/>
            <w:tcMar>
              <w:left w:w="28" w:type="dxa"/>
              <w:right w:w="28" w:type="dxa"/>
            </w:tcMar>
          </w:tcPr>
          <w:p w:rsidR="006940F0" w:rsidRPr="00BF1632" w:rsidRDefault="006940F0" w:rsidP="006940F0">
            <w:pPr>
              <w:pStyle w:val="TableText"/>
            </w:pPr>
            <w:r w:rsidRPr="00BF1632">
              <w:t xml:space="preserve">Ibrutinib; 560 mg (4 x 140 mg capsules) once daily until disease progression or unacceptable toxicity </w:t>
            </w:r>
          </w:p>
        </w:tc>
      </w:tr>
      <w:tr w:rsidR="006940F0" w:rsidRPr="00BF1632" w:rsidTr="002E15F5">
        <w:trPr>
          <w:cantSplit/>
        </w:trPr>
        <w:tc>
          <w:tcPr>
            <w:tcW w:w="626" w:type="pct"/>
            <w:shd w:val="clear" w:color="auto" w:fill="auto"/>
            <w:tcMar>
              <w:left w:w="28" w:type="dxa"/>
              <w:right w:w="28" w:type="dxa"/>
            </w:tcMar>
          </w:tcPr>
          <w:p w:rsidR="006940F0" w:rsidRPr="00BF1632" w:rsidRDefault="006940F0" w:rsidP="006940F0">
            <w:pPr>
              <w:pStyle w:val="TableText"/>
            </w:pPr>
            <w:r w:rsidRPr="00BF1632">
              <w:t>Comparator</w:t>
            </w:r>
          </w:p>
        </w:tc>
        <w:tc>
          <w:tcPr>
            <w:tcW w:w="4374" w:type="pct"/>
            <w:shd w:val="clear" w:color="auto" w:fill="auto"/>
            <w:tcMar>
              <w:left w:w="28" w:type="dxa"/>
              <w:right w:w="28" w:type="dxa"/>
            </w:tcMar>
          </w:tcPr>
          <w:p w:rsidR="006940F0" w:rsidRPr="00BF1632" w:rsidRDefault="006940F0" w:rsidP="006940F0">
            <w:pPr>
              <w:pStyle w:val="TableText"/>
            </w:pPr>
            <w:r w:rsidRPr="00BF1632">
              <w:t xml:space="preserve">Immunochemotherapy, represented by R-CHOP for 6 to 8 cycles </w:t>
            </w:r>
          </w:p>
        </w:tc>
      </w:tr>
      <w:tr w:rsidR="006940F0" w:rsidRPr="00BF1632" w:rsidTr="002E15F5">
        <w:trPr>
          <w:cantSplit/>
        </w:trPr>
        <w:tc>
          <w:tcPr>
            <w:tcW w:w="626" w:type="pct"/>
            <w:shd w:val="clear" w:color="auto" w:fill="auto"/>
            <w:tcMar>
              <w:left w:w="28" w:type="dxa"/>
              <w:right w:w="28" w:type="dxa"/>
            </w:tcMar>
          </w:tcPr>
          <w:p w:rsidR="006940F0" w:rsidRPr="00BF1632" w:rsidRDefault="006940F0" w:rsidP="006940F0">
            <w:pPr>
              <w:pStyle w:val="TableText"/>
            </w:pPr>
            <w:r w:rsidRPr="00BF1632">
              <w:t>Outcomes</w:t>
            </w:r>
          </w:p>
        </w:tc>
        <w:tc>
          <w:tcPr>
            <w:tcW w:w="4374" w:type="pct"/>
            <w:shd w:val="clear" w:color="auto" w:fill="auto"/>
            <w:tcMar>
              <w:left w:w="28" w:type="dxa"/>
              <w:right w:w="28" w:type="dxa"/>
            </w:tcMar>
          </w:tcPr>
          <w:p w:rsidR="006940F0" w:rsidRPr="00BF1632" w:rsidRDefault="006940F0" w:rsidP="006940F0">
            <w:pPr>
              <w:pStyle w:val="TableText"/>
            </w:pPr>
            <w:r w:rsidRPr="00BF1632">
              <w:rPr>
                <w:rFonts w:eastAsia="Calibri" w:cs="Arial"/>
              </w:rPr>
              <w:t>PFS, OS, ORR, safety</w:t>
            </w:r>
          </w:p>
        </w:tc>
      </w:tr>
      <w:tr w:rsidR="006940F0" w:rsidRPr="00BF1632" w:rsidTr="002E15F5">
        <w:trPr>
          <w:cantSplit/>
        </w:trPr>
        <w:tc>
          <w:tcPr>
            <w:tcW w:w="626" w:type="pct"/>
            <w:shd w:val="clear" w:color="auto" w:fill="auto"/>
            <w:tcMar>
              <w:left w:w="28" w:type="dxa"/>
              <w:right w:w="28" w:type="dxa"/>
            </w:tcMar>
          </w:tcPr>
          <w:p w:rsidR="006940F0" w:rsidRPr="00BF1632" w:rsidRDefault="006940F0" w:rsidP="006940F0">
            <w:pPr>
              <w:pStyle w:val="TableText"/>
            </w:pPr>
            <w:r w:rsidRPr="00BF1632">
              <w:t>Clinical claim</w:t>
            </w:r>
          </w:p>
        </w:tc>
        <w:tc>
          <w:tcPr>
            <w:tcW w:w="4374" w:type="pct"/>
            <w:shd w:val="clear" w:color="auto" w:fill="auto"/>
            <w:tcMar>
              <w:left w:w="28" w:type="dxa"/>
              <w:right w:w="28" w:type="dxa"/>
            </w:tcMar>
          </w:tcPr>
          <w:p w:rsidR="006940F0" w:rsidRPr="00BF1632" w:rsidRDefault="006940F0" w:rsidP="006940F0">
            <w:pPr>
              <w:pStyle w:val="TableText"/>
            </w:pPr>
            <w:r w:rsidRPr="00BF1632">
              <w:t xml:space="preserve">Ibrutinib is superior to R-CHOP in terms of comparative effectiveness (as assessed by PFS and OS). </w:t>
            </w:r>
          </w:p>
          <w:p w:rsidR="006940F0" w:rsidRPr="00BF1632" w:rsidRDefault="006940F0" w:rsidP="006940F0">
            <w:pPr>
              <w:pStyle w:val="TableText"/>
            </w:pPr>
            <w:r w:rsidRPr="00BF1632">
              <w:t>In terms of safety, ibrutinib is superior compared to active treatment with R-CHOP, and inferior compared to completed or discontinued R-CHOP in patients who remained progression free and were not receiving any further active treatment.</w:t>
            </w:r>
          </w:p>
        </w:tc>
      </w:tr>
    </w:tbl>
    <w:p w:rsidR="006940F0" w:rsidRPr="00BF1632" w:rsidRDefault="006940F0" w:rsidP="006940F0">
      <w:pPr>
        <w:pStyle w:val="TableFooter"/>
      </w:pPr>
      <w:r w:rsidRPr="00BF1632">
        <w:t>Source: Table 1.1-1, p17, Section 1 of the resubmission</w:t>
      </w:r>
    </w:p>
    <w:p w:rsidR="006940F0" w:rsidRPr="00BF1632" w:rsidRDefault="006940F0" w:rsidP="006940F0">
      <w:pPr>
        <w:pStyle w:val="TableFooter"/>
      </w:pPr>
      <w:r w:rsidRPr="00BF1632">
        <w:t>ORR = overall response rate; OS = overall survival; PFS = progression free survival; R-CHOP = rituximab, cyclophosphamide, doxorubicin, vincristine, prednisone</w:t>
      </w:r>
    </w:p>
    <w:p w:rsidR="006940F0" w:rsidRPr="00BF1632" w:rsidRDefault="006940F0" w:rsidP="000D6801">
      <w:pPr>
        <w:pStyle w:val="ListParagraph"/>
        <w:numPr>
          <w:ilvl w:val="1"/>
          <w:numId w:val="3"/>
        </w:numPr>
        <w:spacing w:before="0" w:after="120"/>
        <w:jc w:val="both"/>
        <w:rPr>
          <w:color w:val="4472C4" w:themeColor="accent5"/>
        </w:rPr>
      </w:pPr>
      <w:r w:rsidRPr="00BF1632">
        <w:rPr>
          <w:rFonts w:ascii="Calibri" w:eastAsia="Calibri" w:hAnsi="Calibri" w:cs="Arial"/>
        </w:rPr>
        <w:t xml:space="preserve">The key components presented in the resubmission for ibrutinib were unchanged from the November 2016 submission, except for the clinical safety claim. This was modified </w:t>
      </w:r>
      <w:r w:rsidRPr="00BF1632">
        <w:t>from “ibrutinib was superior to rituximab, cyclophosphamide, doxorubicin, vincristine and prednisone (R-CHOP) in terms of comparative safety” to “ibrutinib was superior compared to active treatment with R-CHOP, and inferior compared to completed or discontinued R-CHOP in patients who remained progression free and were not receiving any further active treatment.”</w:t>
      </w:r>
      <w:r w:rsidR="00F44EFB" w:rsidRPr="00BF1632">
        <w:rPr>
          <w:color w:val="4472C4" w:themeColor="accent5"/>
        </w:rPr>
        <w:t xml:space="preserve"> </w:t>
      </w:r>
    </w:p>
    <w:p w:rsidR="00E4041E" w:rsidRPr="00BF1632" w:rsidRDefault="00C317F3" w:rsidP="00EF4BAB">
      <w:pPr>
        <w:pStyle w:val="Heading1"/>
      </w:pPr>
      <w:bookmarkStart w:id="3" w:name="_Toc413139272"/>
      <w:bookmarkStart w:id="4" w:name="_Toc493002966"/>
      <w:r w:rsidRPr="00BF1632">
        <w:t>Requested listing</w:t>
      </w:r>
      <w:bookmarkEnd w:id="3"/>
      <w:bookmarkEnd w:id="4"/>
      <w:r w:rsidR="005C6285" w:rsidRPr="00BF1632">
        <w:t xml:space="preserve"> </w:t>
      </w:r>
    </w:p>
    <w:p w:rsidR="00FE0662" w:rsidRPr="00BF1632" w:rsidRDefault="006940F0" w:rsidP="007A52F6">
      <w:pPr>
        <w:pStyle w:val="ListParagraph"/>
        <w:numPr>
          <w:ilvl w:val="1"/>
          <w:numId w:val="8"/>
        </w:numPr>
        <w:spacing w:before="0" w:after="120" w:line="259" w:lineRule="auto"/>
        <w:ind w:left="720" w:hanging="720"/>
        <w:jc w:val="both"/>
      </w:pPr>
      <w:r w:rsidRPr="00BF1632">
        <w:t xml:space="preserve">The proposed PBS listing was similar to that presented in the November 2016 submission. The listing was separated into initial and continuing treatment and included the </w:t>
      </w:r>
      <w:r w:rsidR="00B66747">
        <w:t xml:space="preserve">November 2016 </w:t>
      </w:r>
      <w:r w:rsidRPr="00BF1632">
        <w:t>PBAC’s proposed changes.</w:t>
      </w:r>
      <w:r w:rsidR="00FE0662" w:rsidRPr="00BF1632">
        <w:br w:type="page"/>
      </w:r>
    </w:p>
    <w:p w:rsidR="00C317F3" w:rsidRPr="00BF1632" w:rsidRDefault="00C317F3" w:rsidP="00FE0662">
      <w:pPr>
        <w:pStyle w:val="ListParagraph"/>
        <w:jc w:val="both"/>
      </w:pPr>
    </w:p>
    <w:tbl>
      <w:tblPr>
        <w:tblW w:w="5041" w:type="pct"/>
        <w:tblInd w:w="-28" w:type="dxa"/>
        <w:tblCellMar>
          <w:left w:w="28" w:type="dxa"/>
          <w:right w:w="28" w:type="dxa"/>
        </w:tblCellMar>
        <w:tblLook w:val="0000" w:firstRow="0" w:lastRow="0" w:firstColumn="0" w:lastColumn="0" w:noHBand="0" w:noVBand="0"/>
      </w:tblPr>
      <w:tblGrid>
        <w:gridCol w:w="1908"/>
        <w:gridCol w:w="1108"/>
        <w:gridCol w:w="949"/>
        <w:gridCol w:w="875"/>
        <w:gridCol w:w="2338"/>
        <w:gridCol w:w="1978"/>
      </w:tblGrid>
      <w:tr w:rsidR="006940F0" w:rsidRPr="00BF1632" w:rsidTr="006940F0">
        <w:trPr>
          <w:cantSplit/>
          <w:trHeight w:val="463"/>
        </w:trPr>
        <w:tc>
          <w:tcPr>
            <w:tcW w:w="1647" w:type="pct"/>
            <w:gridSpan w:val="2"/>
            <w:tcBorders>
              <w:top w:val="single" w:sz="4" w:space="0" w:color="auto"/>
              <w:bottom w:val="single" w:sz="4" w:space="0" w:color="auto"/>
            </w:tcBorders>
            <w:tcMar>
              <w:left w:w="28" w:type="dxa"/>
              <w:right w:w="28" w:type="dxa"/>
            </w:tcMar>
            <w:vAlign w:val="center"/>
          </w:tcPr>
          <w:p w:rsidR="006940F0" w:rsidRPr="00BF1632" w:rsidRDefault="006940F0" w:rsidP="006940F0">
            <w:pPr>
              <w:pStyle w:val="TableText"/>
              <w:rPr>
                <w:b/>
              </w:rPr>
            </w:pPr>
            <w:r w:rsidRPr="00BF1632">
              <w:rPr>
                <w:b/>
              </w:rPr>
              <w:t>Name, restriction, manner of administration and form</w:t>
            </w:r>
          </w:p>
        </w:tc>
        <w:tc>
          <w:tcPr>
            <w:tcW w:w="518" w:type="pct"/>
            <w:tcBorders>
              <w:top w:val="single" w:sz="4" w:space="0" w:color="auto"/>
              <w:bottom w:val="single" w:sz="4" w:space="0" w:color="auto"/>
            </w:tcBorders>
            <w:tcMar>
              <w:left w:w="28" w:type="dxa"/>
              <w:right w:w="28" w:type="dxa"/>
            </w:tcMar>
            <w:vAlign w:val="center"/>
          </w:tcPr>
          <w:p w:rsidR="006940F0" w:rsidRPr="00BF1632" w:rsidRDefault="006940F0" w:rsidP="006940F0">
            <w:pPr>
              <w:pStyle w:val="TableText"/>
              <w:rPr>
                <w:b/>
              </w:rPr>
            </w:pPr>
            <w:r w:rsidRPr="00BF1632">
              <w:rPr>
                <w:b/>
              </w:rPr>
              <w:t>Maximum</w:t>
            </w:r>
          </w:p>
          <w:p w:rsidR="006940F0" w:rsidRPr="00BF1632" w:rsidRDefault="006940F0" w:rsidP="006940F0">
            <w:pPr>
              <w:pStyle w:val="TableText"/>
              <w:rPr>
                <w:b/>
              </w:rPr>
            </w:pPr>
            <w:r w:rsidRPr="00BF1632">
              <w:rPr>
                <w:b/>
              </w:rPr>
              <w:t xml:space="preserve">Qty (units) </w:t>
            </w:r>
          </w:p>
        </w:tc>
        <w:tc>
          <w:tcPr>
            <w:tcW w:w="478" w:type="pct"/>
            <w:tcBorders>
              <w:top w:val="single" w:sz="4" w:space="0" w:color="auto"/>
              <w:bottom w:val="single" w:sz="4" w:space="0" w:color="auto"/>
            </w:tcBorders>
            <w:tcMar>
              <w:left w:w="28" w:type="dxa"/>
              <w:right w:w="28" w:type="dxa"/>
            </w:tcMar>
            <w:vAlign w:val="center"/>
          </w:tcPr>
          <w:p w:rsidR="006940F0" w:rsidRPr="00BF1632" w:rsidRDefault="006940F0" w:rsidP="006940F0">
            <w:pPr>
              <w:pStyle w:val="TableText"/>
              <w:rPr>
                <w:b/>
              </w:rPr>
            </w:pPr>
            <w:r w:rsidRPr="00BF1632">
              <w:rPr>
                <w:b/>
              </w:rPr>
              <w:t>No. of Rpts</w:t>
            </w:r>
          </w:p>
        </w:tc>
        <w:tc>
          <w:tcPr>
            <w:tcW w:w="1277" w:type="pct"/>
            <w:tcBorders>
              <w:top w:val="single" w:sz="4" w:space="0" w:color="auto"/>
              <w:bottom w:val="single" w:sz="4" w:space="0" w:color="auto"/>
            </w:tcBorders>
            <w:tcMar>
              <w:left w:w="28" w:type="dxa"/>
              <w:right w:w="28" w:type="dxa"/>
            </w:tcMar>
            <w:vAlign w:val="center"/>
          </w:tcPr>
          <w:p w:rsidR="006940F0" w:rsidRPr="00BF1632" w:rsidRDefault="006940F0" w:rsidP="006940F0">
            <w:pPr>
              <w:pStyle w:val="TableText"/>
              <w:rPr>
                <w:b/>
              </w:rPr>
            </w:pPr>
            <w:r w:rsidRPr="00BF1632">
              <w:rPr>
                <w:b/>
              </w:rPr>
              <w:t xml:space="preserve">Dispensed price for maximum quantity </w:t>
            </w:r>
          </w:p>
        </w:tc>
        <w:tc>
          <w:tcPr>
            <w:tcW w:w="1081" w:type="pct"/>
            <w:tcBorders>
              <w:top w:val="single" w:sz="4" w:space="0" w:color="auto"/>
              <w:bottom w:val="single" w:sz="4" w:space="0" w:color="auto"/>
            </w:tcBorders>
            <w:tcMar>
              <w:left w:w="28" w:type="dxa"/>
              <w:right w:w="28" w:type="dxa"/>
            </w:tcMar>
            <w:vAlign w:val="center"/>
          </w:tcPr>
          <w:p w:rsidR="006940F0" w:rsidRPr="00BF1632" w:rsidRDefault="006940F0" w:rsidP="006940F0">
            <w:pPr>
              <w:pStyle w:val="TableText"/>
              <w:rPr>
                <w:b/>
                <w:lang w:val="fr-FR"/>
              </w:rPr>
            </w:pPr>
            <w:r w:rsidRPr="00BF1632">
              <w:rPr>
                <w:b/>
              </w:rPr>
              <w:t>Proprietary name and manufacturer</w:t>
            </w:r>
          </w:p>
        </w:tc>
      </w:tr>
      <w:tr w:rsidR="006940F0" w:rsidRPr="00BF1632" w:rsidTr="006940F0">
        <w:trPr>
          <w:cantSplit/>
          <w:trHeight w:val="567"/>
        </w:trPr>
        <w:tc>
          <w:tcPr>
            <w:tcW w:w="1647" w:type="pct"/>
            <w:gridSpan w:val="2"/>
            <w:tcMar>
              <w:left w:w="28" w:type="dxa"/>
              <w:right w:w="28" w:type="dxa"/>
            </w:tcMar>
          </w:tcPr>
          <w:p w:rsidR="006940F0" w:rsidRPr="00BF1632" w:rsidRDefault="006940F0" w:rsidP="006940F0">
            <w:pPr>
              <w:pStyle w:val="TableText"/>
            </w:pPr>
            <w:r w:rsidRPr="00BF1632">
              <w:t>Ibrutinib, 140 mg, oral, capsules</w:t>
            </w:r>
          </w:p>
        </w:tc>
        <w:tc>
          <w:tcPr>
            <w:tcW w:w="518" w:type="pct"/>
            <w:tcMar>
              <w:left w:w="28" w:type="dxa"/>
              <w:right w:w="28" w:type="dxa"/>
            </w:tcMar>
          </w:tcPr>
          <w:p w:rsidR="006940F0" w:rsidRPr="00BF1632" w:rsidRDefault="006940F0" w:rsidP="006940F0">
            <w:pPr>
              <w:pStyle w:val="TableText"/>
            </w:pPr>
            <w:r w:rsidRPr="00BF1632">
              <w:t>120</w:t>
            </w:r>
          </w:p>
        </w:tc>
        <w:tc>
          <w:tcPr>
            <w:tcW w:w="478" w:type="pct"/>
            <w:tcMar>
              <w:left w:w="28" w:type="dxa"/>
              <w:right w:w="28" w:type="dxa"/>
            </w:tcMar>
          </w:tcPr>
          <w:p w:rsidR="006940F0" w:rsidRPr="00BF1632" w:rsidRDefault="006940F0" w:rsidP="006940F0">
            <w:pPr>
              <w:pStyle w:val="TableText"/>
            </w:pPr>
            <w:r w:rsidRPr="00BF1632">
              <w:t>5</w:t>
            </w:r>
          </w:p>
        </w:tc>
        <w:tc>
          <w:tcPr>
            <w:tcW w:w="1277" w:type="pct"/>
            <w:tcMar>
              <w:left w:w="28" w:type="dxa"/>
              <w:right w:w="28" w:type="dxa"/>
            </w:tcMar>
          </w:tcPr>
          <w:p w:rsidR="006940F0" w:rsidRPr="00BF1632" w:rsidRDefault="006940F0" w:rsidP="006940F0">
            <w:pPr>
              <w:pStyle w:val="TableText"/>
            </w:pPr>
            <w:r w:rsidRPr="00BF1632">
              <w:t>Published:  $</w:t>
            </w:r>
            <w:r w:rsidR="00F36A91">
              <w:rPr>
                <w:noProof/>
                <w:color w:val="000000"/>
                <w:highlight w:val="black"/>
              </w:rPr>
              <w:t>''''''''''''''''''''''</w:t>
            </w:r>
            <w:r w:rsidRPr="00BF1632">
              <w:t> </w:t>
            </w:r>
          </w:p>
          <w:p w:rsidR="006940F0" w:rsidRPr="00BF1632" w:rsidRDefault="006940F0" w:rsidP="006940F0">
            <w:pPr>
              <w:pStyle w:val="TableText"/>
            </w:pPr>
            <w:r w:rsidRPr="00BF1632">
              <w:t>Effective (SPA): $</w:t>
            </w:r>
            <w:r w:rsidR="00F36A91">
              <w:rPr>
                <w:noProof/>
                <w:color w:val="000000"/>
                <w:highlight w:val="black"/>
              </w:rPr>
              <w:t>'''''''''''''''''''</w:t>
            </w:r>
          </w:p>
        </w:tc>
        <w:tc>
          <w:tcPr>
            <w:tcW w:w="1081" w:type="pct"/>
            <w:tcMar>
              <w:left w:w="28" w:type="dxa"/>
              <w:right w:w="28" w:type="dxa"/>
            </w:tcMar>
          </w:tcPr>
          <w:p w:rsidR="006940F0" w:rsidRPr="00BF1632" w:rsidRDefault="006940F0" w:rsidP="006940F0">
            <w:pPr>
              <w:pStyle w:val="TableText"/>
            </w:pPr>
            <w:r w:rsidRPr="00BF1632">
              <w:t xml:space="preserve">Imbruvica </w:t>
            </w:r>
            <w:r w:rsidRPr="00BF1632">
              <w:rPr>
                <w:vertAlign w:val="superscript"/>
              </w:rPr>
              <w:t>®</w:t>
            </w:r>
          </w:p>
          <w:p w:rsidR="006940F0" w:rsidRPr="00BF1632" w:rsidRDefault="006940F0" w:rsidP="006940F0">
            <w:pPr>
              <w:pStyle w:val="TableText"/>
            </w:pPr>
            <w:r w:rsidRPr="00BF1632">
              <w:t>Janssen-Cilag Pty Ltd</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keepNext/>
            </w:pPr>
            <w:r w:rsidRPr="00BF1632">
              <w:t>Category/program:</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keepNext/>
            </w:pPr>
            <w:r w:rsidRPr="00BF1632">
              <w:t>GENERAL – General Schedule (Code GE)</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
              <w:rPr>
                <w:rFonts w:ascii="Times" w:hAnsi="Times"/>
                <w:lang w:val="en-US"/>
              </w:rPr>
            </w:pPr>
            <w:r w:rsidRPr="00BF1632">
              <w:t>Prescriber type: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
            </w:pPr>
            <w:r w:rsidRPr="00BF1632">
              <w:rPr>
                <w:rFonts w:cs="Arial"/>
                <w:color w:val="000000"/>
                <w:lang w:val="en-GB"/>
              </w:rPr>
              <w:fldChar w:fldCharType="begin">
                <w:ffData>
                  <w:name w:val="Check1"/>
                  <w:enabled/>
                  <w:calcOnExit w:val="0"/>
                  <w:checkBox>
                    <w:sizeAuto/>
                    <w:default w:val="0"/>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 xml:space="preserve">Dental  </w:t>
            </w:r>
            <w:r w:rsidRPr="00BF1632">
              <w:rPr>
                <w:rFonts w:cs="Arial"/>
                <w:color w:val="000000"/>
                <w:lang w:val="en-GB"/>
              </w:rPr>
              <w:fldChar w:fldCharType="begin">
                <w:ffData>
                  <w:name w:val=""/>
                  <w:enabled/>
                  <w:calcOnExit w:val="0"/>
                  <w:checkBox>
                    <w:sizeAuto/>
                    <w:default w:val="1"/>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 xml:space="preserve">Medical Practitioners  </w:t>
            </w:r>
            <w:r w:rsidRPr="00BF1632">
              <w:rPr>
                <w:rFonts w:cs="Arial"/>
                <w:color w:val="000000"/>
                <w:lang w:val="en-GB"/>
              </w:rPr>
              <w:fldChar w:fldCharType="begin">
                <w:ffData>
                  <w:name w:val="Check3"/>
                  <w:enabled/>
                  <w:calcOnExit w:val="0"/>
                  <w:checkBox>
                    <w:sizeAuto/>
                    <w:default w:val="0"/>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 xml:space="preserve">Nurse practitioners  </w:t>
            </w:r>
            <w:r w:rsidRPr="00BF1632">
              <w:rPr>
                <w:rFonts w:cs="Arial"/>
                <w:color w:val="000000"/>
                <w:lang w:val="en-GB"/>
              </w:rPr>
              <w:fldChar w:fldCharType="begin">
                <w:ffData>
                  <w:name w:val=""/>
                  <w:enabled/>
                  <w:calcOnExit w:val="0"/>
                  <w:checkBox>
                    <w:sizeAuto/>
                    <w:default w:val="0"/>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 xml:space="preserve">Optometrists </w:t>
            </w:r>
            <w:r w:rsidRPr="00BF1632">
              <w:rPr>
                <w:rFonts w:cs="Arial"/>
                <w:color w:val="000000"/>
                <w:lang w:val="en-GB"/>
              </w:rPr>
              <w:fldChar w:fldCharType="begin">
                <w:ffData>
                  <w:name w:val="Check5"/>
                  <w:enabled/>
                  <w:calcOnExit w:val="0"/>
                  <w:checkBox>
                    <w:sizeAuto/>
                    <w:default w:val="0"/>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Midwives</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t>PBS Indication:</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rPr>
                <w:rFonts w:cs="Arial"/>
                <w:color w:val="000000"/>
                <w:lang w:val="en-GB"/>
              </w:rPr>
            </w:pPr>
            <w:r w:rsidRPr="00BF1632">
              <w:t>Mantle cell lymphoma</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t>Restriction level/method</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rPr>
                <w:rFonts w:cs="Arial"/>
                <w:color w:val="000000"/>
                <w:lang w:val="en-GB"/>
              </w:rPr>
              <w:fldChar w:fldCharType="begin">
                <w:ffData>
                  <w:name w:val=""/>
                  <w:enabled/>
                  <w:calcOnExit w:val="0"/>
                  <w:checkBox>
                    <w:sizeAuto/>
                    <w:default w:val="1"/>
                  </w:checkBox>
                </w:ffData>
              </w:fldChar>
            </w:r>
            <w:r w:rsidRPr="00BF1632">
              <w:rPr>
                <w:rFonts w:cs="Arial"/>
                <w:color w:val="000000"/>
                <w:lang w:val="en-GB"/>
              </w:rPr>
              <w:instrText xml:space="preserve"> FORMCHECKBOX </w:instrText>
            </w:r>
            <w:r w:rsidR="00F36A91">
              <w:rPr>
                <w:rFonts w:cs="Arial"/>
                <w:color w:val="000000"/>
                <w:lang w:val="en-GB"/>
              </w:rPr>
            </w:r>
            <w:r w:rsidR="00F36A91">
              <w:rPr>
                <w:rFonts w:cs="Arial"/>
                <w:color w:val="000000"/>
                <w:lang w:val="en-GB"/>
              </w:rPr>
              <w:fldChar w:fldCharType="separate"/>
            </w:r>
            <w:r w:rsidRPr="00BF1632">
              <w:rPr>
                <w:rFonts w:cs="Arial"/>
                <w:color w:val="000000"/>
                <w:lang w:val="en-GB"/>
              </w:rPr>
              <w:fldChar w:fldCharType="end"/>
            </w:r>
            <w:r w:rsidRPr="00BF1632">
              <w:rPr>
                <w:rFonts w:cs="Arial"/>
                <w:color w:val="000000"/>
                <w:lang w:val="en-GB"/>
              </w:rPr>
              <w:t>Authority Required – Telephone</w:t>
            </w:r>
          </w:p>
        </w:tc>
      </w:tr>
      <w:tr w:rsidR="006940F0" w:rsidRPr="00BF1632" w:rsidTr="006940F0">
        <w:tblPrEx>
          <w:tblCellMar>
            <w:left w:w="108" w:type="dxa"/>
            <w:right w:w="108" w:type="dxa"/>
          </w:tblCellMar>
        </w:tblPrEx>
        <w:trPr>
          <w:cantSplit/>
          <w:trHeight w:val="3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rPr>
                <w:b/>
              </w:rPr>
            </w:pPr>
            <w:r w:rsidRPr="00BF1632">
              <w:rPr>
                <w:rFonts w:eastAsia="Calibri" w:cs="Arial"/>
                <w:b/>
              </w:rPr>
              <w:t>Initial treatment</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6940F0" w:rsidRPr="00BF1632" w:rsidRDefault="006940F0" w:rsidP="006940F0">
            <w:pPr>
              <w:pStyle w:val="Tabletext0"/>
              <w:rPr>
                <w:rFonts w:ascii="Times" w:hAnsi="Times"/>
                <w:lang w:val="en-US"/>
              </w:rPr>
            </w:pPr>
            <w:r w:rsidRPr="00BF1632">
              <w:t>Clinical criteria</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
              <w:rPr>
                <w:b/>
              </w:rPr>
            </w:pPr>
            <w:r w:rsidRPr="00BF1632">
              <w:t>The condition must have relapsed or be refractory to at least one prior therapy</w:t>
            </w:r>
          </w:p>
          <w:p w:rsidR="006940F0" w:rsidRPr="00BF1632" w:rsidRDefault="006940F0" w:rsidP="006940F0">
            <w:pPr>
              <w:pStyle w:val="TableText"/>
              <w:rPr>
                <w:b/>
              </w:rPr>
            </w:pPr>
            <w:r w:rsidRPr="00BF1632">
              <w:t>AND</w:t>
            </w:r>
          </w:p>
          <w:p w:rsidR="006940F0" w:rsidRPr="00BF1632" w:rsidRDefault="006940F0" w:rsidP="006940F0">
            <w:pPr>
              <w:pStyle w:val="TableText"/>
              <w:rPr>
                <w:b/>
              </w:rPr>
            </w:pPr>
            <w:r w:rsidRPr="00BF1632">
              <w:t>Patient must have a WHO performance status score of 2 or less</w:t>
            </w:r>
          </w:p>
          <w:p w:rsidR="006940F0" w:rsidRPr="00BF1632" w:rsidRDefault="006940F0" w:rsidP="006940F0">
            <w:pPr>
              <w:pStyle w:val="TableText"/>
              <w:rPr>
                <w:b/>
              </w:rPr>
            </w:pPr>
            <w:r w:rsidRPr="00BF1632">
              <w:t>AND</w:t>
            </w:r>
          </w:p>
          <w:p w:rsidR="006940F0" w:rsidRPr="00BF1632" w:rsidRDefault="006940F0" w:rsidP="006940F0">
            <w:pPr>
              <w:pStyle w:val="TableText"/>
            </w:pPr>
            <w:r w:rsidRPr="00BF1632">
              <w:t>The treatment must be the sole PBS-subsidised therapy for this condition</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t>Administrative advice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t>Special Pricing Arrangements apply</w:t>
            </w:r>
          </w:p>
        </w:tc>
      </w:tr>
      <w:tr w:rsidR="006940F0" w:rsidRPr="00BF1632" w:rsidTr="006940F0">
        <w:tblPrEx>
          <w:tblCellMar>
            <w:left w:w="108" w:type="dxa"/>
            <w:right w:w="108" w:type="dxa"/>
          </w:tblCellMar>
        </w:tblPrEx>
        <w:trPr>
          <w:cantSplit/>
          <w:trHeight w:val="360"/>
        </w:trPr>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rPr>
                <w:b/>
              </w:rPr>
            </w:pPr>
            <w:r w:rsidRPr="00BF1632">
              <w:rPr>
                <w:b/>
              </w:rPr>
              <w:t>Continuing treatment phase</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6940F0" w:rsidRPr="00BF1632" w:rsidRDefault="006940F0" w:rsidP="006940F0">
            <w:pPr>
              <w:pStyle w:val="Tabletext0"/>
              <w:rPr>
                <w:rFonts w:ascii="Times" w:hAnsi="Times"/>
                <w:lang w:val="en-US"/>
              </w:rPr>
            </w:pPr>
            <w:r w:rsidRPr="00BF1632">
              <w:t>Clinical criteria</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
            </w:pPr>
            <w:r w:rsidRPr="00BF1632">
              <w:t>The treatment must be the sole PBS-subsidised therapy for this condition</w:t>
            </w:r>
          </w:p>
          <w:p w:rsidR="006940F0" w:rsidRPr="00BF1632" w:rsidRDefault="006940F0" w:rsidP="006940F0">
            <w:pPr>
              <w:pStyle w:val="TableText"/>
            </w:pPr>
            <w:r w:rsidRPr="00BF1632">
              <w:t>AND</w:t>
            </w:r>
          </w:p>
          <w:p w:rsidR="006940F0" w:rsidRPr="00BF1632" w:rsidRDefault="006940F0" w:rsidP="006940F0">
            <w:pPr>
              <w:pStyle w:val="TableText"/>
            </w:pPr>
            <w:r w:rsidRPr="00BF1632">
              <w:t>Patient must have previously been issued with an authority prescription for this drug for this condition</w:t>
            </w:r>
          </w:p>
          <w:p w:rsidR="006940F0" w:rsidRPr="00BF1632" w:rsidRDefault="006940F0" w:rsidP="006940F0">
            <w:pPr>
              <w:pStyle w:val="TableText"/>
            </w:pPr>
            <w:r w:rsidRPr="00BF1632">
              <w:t>AND</w:t>
            </w:r>
          </w:p>
          <w:p w:rsidR="006940F0" w:rsidRPr="00BF1632" w:rsidRDefault="006940F0" w:rsidP="006940F0">
            <w:pPr>
              <w:pStyle w:val="TableText"/>
            </w:pPr>
            <w:r w:rsidRPr="00BF1632">
              <w:t>Patient must have stable or responding disease</w:t>
            </w:r>
          </w:p>
        </w:tc>
      </w:tr>
      <w:tr w:rsidR="006940F0" w:rsidRPr="00BF1632" w:rsidTr="006940F0">
        <w:tblPrEx>
          <w:tblCellMar>
            <w:left w:w="108" w:type="dxa"/>
            <w:right w:w="108" w:type="dxa"/>
          </w:tblCellMar>
        </w:tblPrEx>
        <w:trPr>
          <w:cantSplit/>
          <w:trHeight w:val="360"/>
        </w:trPr>
        <w:tc>
          <w:tcPr>
            <w:tcW w:w="10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rPr>
                <w:rFonts w:ascii="Times" w:hAnsi="Times"/>
                <w:lang w:val="en-US"/>
              </w:rPr>
            </w:pPr>
            <w:r w:rsidRPr="00BF1632">
              <w:t>Administrative advice</w:t>
            </w:r>
          </w:p>
        </w:tc>
        <w:tc>
          <w:tcPr>
            <w:tcW w:w="3958"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0F0" w:rsidRPr="00BF1632" w:rsidRDefault="006940F0" w:rsidP="006940F0">
            <w:pPr>
              <w:pStyle w:val="Tabletext0"/>
            </w:pPr>
            <w:r w:rsidRPr="00BF1632">
              <w:t>Special Pricing Arrangements apply</w:t>
            </w:r>
          </w:p>
        </w:tc>
      </w:tr>
    </w:tbl>
    <w:p w:rsidR="00417590" w:rsidRPr="00BF1632" w:rsidRDefault="006940F0" w:rsidP="000D6801">
      <w:pPr>
        <w:pStyle w:val="ListParagraph"/>
        <w:numPr>
          <w:ilvl w:val="1"/>
          <w:numId w:val="8"/>
        </w:numPr>
        <w:spacing w:before="0" w:after="120"/>
        <w:ind w:left="720" w:hanging="720"/>
        <w:jc w:val="both"/>
      </w:pPr>
      <w:r w:rsidRPr="00BF1632">
        <w:t xml:space="preserve">The resubmission proposed a </w:t>
      </w:r>
      <w:r w:rsidR="00F36A91">
        <w:rPr>
          <w:noProof/>
          <w:color w:val="000000"/>
          <w:highlight w:val="black"/>
        </w:rPr>
        <w:t>''''''</w:t>
      </w:r>
      <w:r w:rsidRPr="00BF1632">
        <w:t>% reduction in the effective approved ex-manufacturer price (AEMP) from $</w:t>
      </w:r>
      <w:r w:rsidR="00F36A91">
        <w:rPr>
          <w:noProof/>
          <w:color w:val="000000"/>
          <w:highlight w:val="black"/>
        </w:rPr>
        <w:t>''''''''''''''''</w:t>
      </w:r>
      <w:r w:rsidRPr="00BF1632">
        <w:t xml:space="preserve"> to $</w:t>
      </w:r>
      <w:r w:rsidR="00F36A91">
        <w:rPr>
          <w:noProof/>
          <w:color w:val="000000"/>
          <w:highlight w:val="black"/>
        </w:rPr>
        <w:t>''''''''''''''''</w:t>
      </w:r>
      <w:r w:rsidRPr="00BF1632">
        <w:t>. This resulted in a reduction in the effective dispensed price for the maximum quantity (DPMQ) from $</w:t>
      </w:r>
      <w:r w:rsidR="00F36A91">
        <w:rPr>
          <w:noProof/>
          <w:color w:val="000000"/>
          <w:highlight w:val="black"/>
        </w:rPr>
        <w:t>''''''''''''''''''</w:t>
      </w:r>
      <w:r w:rsidRPr="00BF1632">
        <w:t xml:space="preserve"> to $</w:t>
      </w:r>
      <w:r w:rsidR="00F36A91">
        <w:rPr>
          <w:noProof/>
          <w:color w:val="000000"/>
          <w:highlight w:val="black"/>
        </w:rPr>
        <w:t>'''''''''''''''''</w:t>
      </w:r>
      <w:r w:rsidRPr="00BF1632">
        <w:t>.</w:t>
      </w:r>
    </w:p>
    <w:p w:rsidR="00EF4BAB" w:rsidRDefault="006940F0" w:rsidP="000D6801">
      <w:pPr>
        <w:pStyle w:val="ListParagraph"/>
        <w:numPr>
          <w:ilvl w:val="1"/>
          <w:numId w:val="8"/>
        </w:numPr>
        <w:spacing w:before="0" w:after="120"/>
        <w:ind w:left="720" w:hanging="720"/>
        <w:jc w:val="both"/>
      </w:pPr>
      <w:r w:rsidRPr="00BF1632">
        <w:t xml:space="preserve">In the November 2016 submission the requested price for ibrutinib in relapsed or refractory mantle cell lymphoma was consistent with the recommended price per milligram for ibrutinib in relapsed or refractory chronic lymphocytic leukaemia/small lymphocytic lymphoma (CLL/SLL). This resulted in a higher effective price for the mantle cell indication as patients with mantle cell lymphoma require a higher dose (560 mg daily versus 420 mg daily). </w:t>
      </w:r>
      <w:r w:rsidR="00F36A91">
        <w:rPr>
          <w:noProof/>
          <w:color w:val="000000"/>
          <w:highlight w:val="black"/>
        </w:rPr>
        <w:t>''''''' '''''''' ''''''''' '''''''''''''''' '''' ''''''' ''''''''''' '''''' ''''''''''''''' ''''''' ''''''''''''''''''' '''''''''''''' '''' '''''' ''''''''' ''''''''''''''''''''''''''''' ''''''''''''''''' '''''''''''' ''''''' '''''''''''''' '''''' '''''''''''''''' '''' ''''''' ''''''''''''' ''''''''''''''''''' '''''''''''' ''''''' '''''''''''''''''''' ''''' ''''''''''' ''''' '''''' '''''''' ''''' '''''' ''''''''''' '''' '''''''''''''' ''''''''''</w:t>
      </w:r>
      <w:r w:rsidR="00440B72" w:rsidRPr="00BF1632">
        <w:t xml:space="preserve"> However, the CLL/SLL indication was not considered cost-effective at this price and is subject to a </w:t>
      </w:r>
      <w:r w:rsidR="00F65655" w:rsidRPr="00BF1632">
        <w:t>Risk Share Arrangement (</w:t>
      </w:r>
      <w:r w:rsidR="00440B72" w:rsidRPr="00BF1632">
        <w:t>RSA</w:t>
      </w:r>
      <w:r w:rsidR="00F65655" w:rsidRPr="00BF1632">
        <w:t>)</w:t>
      </w:r>
      <w:r w:rsidR="00440B72" w:rsidRPr="00BF1632">
        <w:t xml:space="preserve"> to further reduce the effective price. </w:t>
      </w:r>
    </w:p>
    <w:p w:rsidR="00EF4BAB" w:rsidRPr="00BF1632" w:rsidRDefault="00EF4BAB" w:rsidP="00EF4BAB">
      <w:pPr>
        <w:pStyle w:val="Heading1"/>
        <w:ind w:left="720" w:hanging="720"/>
      </w:pPr>
      <w:bookmarkStart w:id="5" w:name="_Toc493002967"/>
      <w:r w:rsidRPr="00BF1632">
        <w:t>Background</w:t>
      </w:r>
      <w:bookmarkEnd w:id="5"/>
    </w:p>
    <w:p w:rsidR="00EF4BAB" w:rsidRPr="00BF1632" w:rsidRDefault="00EF4BAB" w:rsidP="00EF4BAB">
      <w:pPr>
        <w:pStyle w:val="Heading2"/>
        <w:rPr>
          <w:i w:val="0"/>
        </w:rPr>
      </w:pPr>
      <w:bookmarkStart w:id="6" w:name="_Toc493002968"/>
      <w:r w:rsidRPr="00BF1632">
        <w:rPr>
          <w:i w:val="0"/>
        </w:rPr>
        <w:t>Registration status</w:t>
      </w:r>
      <w:bookmarkEnd w:id="6"/>
    </w:p>
    <w:p w:rsidR="00EF4BAB" w:rsidRPr="00BF1632" w:rsidRDefault="00EF4BAB" w:rsidP="000D6801">
      <w:pPr>
        <w:pStyle w:val="ListParagraph"/>
        <w:numPr>
          <w:ilvl w:val="1"/>
          <w:numId w:val="1"/>
        </w:numPr>
        <w:spacing w:before="0" w:after="120"/>
        <w:ind w:left="720" w:hanging="720"/>
        <w:jc w:val="both"/>
      </w:pPr>
      <w:r w:rsidRPr="00BF1632">
        <w:t>TGA status: Ibrutinib was approved by the TGA on 27 April 2015 for the treatment of:</w:t>
      </w:r>
    </w:p>
    <w:p w:rsidR="00EF4BAB" w:rsidRPr="00BF1632" w:rsidRDefault="00EF4BAB" w:rsidP="000D6801">
      <w:pPr>
        <w:pStyle w:val="ListParagraph"/>
        <w:numPr>
          <w:ilvl w:val="0"/>
          <w:numId w:val="9"/>
        </w:numPr>
        <w:spacing w:before="0" w:after="120"/>
        <w:contextualSpacing/>
        <w:jc w:val="both"/>
      </w:pPr>
      <w:r w:rsidRPr="00BF1632">
        <w:lastRenderedPageBreak/>
        <w:t>patients with mantle cell lymphoma who have received at least one prior therapy.</w:t>
      </w:r>
    </w:p>
    <w:p w:rsidR="00EF4BAB" w:rsidRPr="00BF1632" w:rsidRDefault="00EF4BAB" w:rsidP="000D6801">
      <w:pPr>
        <w:pStyle w:val="ListParagraph"/>
        <w:numPr>
          <w:ilvl w:val="1"/>
          <w:numId w:val="1"/>
        </w:numPr>
        <w:spacing w:before="0" w:after="120"/>
        <w:ind w:left="720" w:hanging="720"/>
        <w:jc w:val="both"/>
      </w:pPr>
      <w:r w:rsidRPr="00BF1632">
        <w:t>Ibrutinib is also TGA approved for:</w:t>
      </w:r>
    </w:p>
    <w:p w:rsidR="00EF4BAB" w:rsidRPr="00BF1632" w:rsidRDefault="00EF4BAB" w:rsidP="000D6801">
      <w:pPr>
        <w:pStyle w:val="ListParagraph"/>
        <w:numPr>
          <w:ilvl w:val="0"/>
          <w:numId w:val="9"/>
        </w:numPr>
        <w:spacing w:before="0" w:after="120"/>
        <w:jc w:val="both"/>
      </w:pPr>
      <w:r w:rsidRPr="00BF1632">
        <w:t>Adult patients with CLL/SLL who have received at least one prior therapy or adult patients with previously untreated CLL/SLL</w:t>
      </w:r>
    </w:p>
    <w:p w:rsidR="00EF4BAB" w:rsidRPr="00BF1632" w:rsidRDefault="00EF4BAB" w:rsidP="000D6801">
      <w:pPr>
        <w:pStyle w:val="ListParagraph"/>
        <w:numPr>
          <w:ilvl w:val="0"/>
          <w:numId w:val="9"/>
        </w:numPr>
        <w:spacing w:before="0" w:after="120"/>
        <w:jc w:val="both"/>
      </w:pPr>
      <w:r w:rsidRPr="00BF1632">
        <w:t>Patients with CLL/SLL with deletion 17p; and</w:t>
      </w:r>
    </w:p>
    <w:p w:rsidR="00EF4BAB" w:rsidRPr="00BF1632" w:rsidRDefault="00EF4BAB" w:rsidP="000D6801">
      <w:pPr>
        <w:pStyle w:val="ListParagraph"/>
        <w:numPr>
          <w:ilvl w:val="0"/>
          <w:numId w:val="9"/>
        </w:numPr>
        <w:spacing w:before="0" w:after="120"/>
        <w:jc w:val="both"/>
      </w:pPr>
      <w:r w:rsidRPr="00BF1632">
        <w:t xml:space="preserve">Adult patients with Waldenstrom’s macroglobulinaemia who have received at least one prior therapy, or in first-line treatment for patients unsuitable for chemo-immunotherapy. </w:t>
      </w:r>
    </w:p>
    <w:p w:rsidR="00EF4BAB" w:rsidRPr="00BF1632" w:rsidRDefault="00EF4BAB" w:rsidP="00EF4BAB">
      <w:pPr>
        <w:pStyle w:val="Heading2"/>
        <w:rPr>
          <w:i w:val="0"/>
        </w:rPr>
      </w:pPr>
      <w:bookmarkStart w:id="7" w:name="_Toc493002969"/>
      <w:r w:rsidRPr="00BF1632">
        <w:rPr>
          <w:i w:val="0"/>
        </w:rPr>
        <w:t xml:space="preserve">Previous PBAC considerations </w:t>
      </w:r>
      <w:bookmarkEnd w:id="7"/>
    </w:p>
    <w:p w:rsidR="00EF4BAB" w:rsidRPr="00BF1632" w:rsidRDefault="00EF4BAB" w:rsidP="000D6801">
      <w:pPr>
        <w:pStyle w:val="ListParagraph"/>
        <w:numPr>
          <w:ilvl w:val="1"/>
          <w:numId w:val="1"/>
        </w:numPr>
        <w:spacing w:before="0" w:after="120"/>
        <w:ind w:left="720" w:hanging="720"/>
        <w:jc w:val="both"/>
      </w:pPr>
      <w:r w:rsidRPr="00BF1632">
        <w:t>This was the second submission for ibrutinib for the treatment of relapsed or refractory mantle cell lymphoma. The first major submission was considered by the PBAC in November 2016.</w:t>
      </w:r>
    </w:p>
    <w:p w:rsidR="00EF4BAB" w:rsidRPr="00BF1632" w:rsidRDefault="00EF4BAB" w:rsidP="000D6801">
      <w:pPr>
        <w:pStyle w:val="ListParagraph"/>
        <w:numPr>
          <w:ilvl w:val="1"/>
          <w:numId w:val="1"/>
        </w:numPr>
        <w:spacing w:before="0" w:after="120"/>
        <w:ind w:left="720" w:hanging="720"/>
        <w:jc w:val="both"/>
      </w:pPr>
      <w:r w:rsidRPr="00BF1632">
        <w:t xml:space="preserve">A summary of the outstanding matters of concern to the PBAC are presented in Table 2. </w:t>
      </w:r>
    </w:p>
    <w:p w:rsidR="00CB7A69" w:rsidRPr="00BF1632" w:rsidRDefault="00CB7A69" w:rsidP="00CB7A69">
      <w:pPr>
        <w:pStyle w:val="TableHeading1"/>
      </w:pPr>
      <w:r w:rsidRPr="00BF1632">
        <w:t>Table 2: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4752"/>
        <w:gridCol w:w="3026"/>
      </w:tblGrid>
      <w:tr w:rsidR="00CB7A69" w:rsidRPr="00BF1632" w:rsidTr="002E15F5">
        <w:trPr>
          <w:cantSplit/>
          <w:tblHeader/>
        </w:trPr>
        <w:tc>
          <w:tcPr>
            <w:tcW w:w="718" w:type="pct"/>
          </w:tcPr>
          <w:p w:rsidR="00CB7A69" w:rsidRPr="00BF1632" w:rsidRDefault="00CB7A69" w:rsidP="00BB5B72">
            <w:pPr>
              <w:pStyle w:val="TableText"/>
              <w:rPr>
                <w:b/>
                <w:szCs w:val="20"/>
              </w:rPr>
            </w:pPr>
            <w:r w:rsidRPr="00BF1632">
              <w:rPr>
                <w:b/>
                <w:szCs w:val="20"/>
              </w:rPr>
              <w:t>Component</w:t>
            </w:r>
          </w:p>
        </w:tc>
        <w:tc>
          <w:tcPr>
            <w:tcW w:w="2616" w:type="pct"/>
            <w:shd w:val="clear" w:color="auto" w:fill="auto"/>
          </w:tcPr>
          <w:p w:rsidR="00CB7A69" w:rsidRPr="00BF1632" w:rsidRDefault="00CB7A69" w:rsidP="00BB5B72">
            <w:pPr>
              <w:pStyle w:val="TableText"/>
              <w:rPr>
                <w:b/>
                <w:szCs w:val="20"/>
              </w:rPr>
            </w:pPr>
            <w:r w:rsidRPr="00BF1632">
              <w:rPr>
                <w:b/>
                <w:szCs w:val="20"/>
              </w:rPr>
              <w:t xml:space="preserve">Matter of concern (sourced from Nov 2016 </w:t>
            </w:r>
            <w:r w:rsidR="008E5AA6">
              <w:rPr>
                <w:b/>
                <w:szCs w:val="20"/>
              </w:rPr>
              <w:t>Public Summary Document (</w:t>
            </w:r>
            <w:r w:rsidRPr="00BF1632">
              <w:rPr>
                <w:b/>
                <w:szCs w:val="20"/>
              </w:rPr>
              <w:t>PSD</w:t>
            </w:r>
            <w:r w:rsidR="008E5AA6">
              <w:rPr>
                <w:b/>
                <w:szCs w:val="20"/>
              </w:rPr>
              <w:t>)</w:t>
            </w:r>
            <w:r w:rsidRPr="00BF1632">
              <w:rPr>
                <w:b/>
                <w:szCs w:val="20"/>
              </w:rPr>
              <w:t>)</w:t>
            </w:r>
          </w:p>
        </w:tc>
        <w:tc>
          <w:tcPr>
            <w:tcW w:w="1666" w:type="pct"/>
            <w:shd w:val="clear" w:color="auto" w:fill="auto"/>
          </w:tcPr>
          <w:p w:rsidR="00CB7A69" w:rsidRPr="00BF1632" w:rsidRDefault="00CB7A69" w:rsidP="00BB5B72">
            <w:pPr>
              <w:pStyle w:val="TableText"/>
              <w:rPr>
                <w:b/>
                <w:szCs w:val="20"/>
              </w:rPr>
            </w:pPr>
            <w:r w:rsidRPr="00BF1632">
              <w:rPr>
                <w:b/>
                <w:szCs w:val="20"/>
              </w:rPr>
              <w:t>How the resubmission addressed it</w:t>
            </w:r>
          </w:p>
        </w:tc>
      </w:tr>
      <w:tr w:rsidR="00CB7A69" w:rsidRPr="00BF1632" w:rsidTr="002E15F5">
        <w:trPr>
          <w:cantSplit/>
        </w:trPr>
        <w:tc>
          <w:tcPr>
            <w:tcW w:w="5000" w:type="pct"/>
            <w:gridSpan w:val="3"/>
          </w:tcPr>
          <w:p w:rsidR="00CB7A69" w:rsidRPr="00BF1632" w:rsidRDefault="00CB7A69" w:rsidP="00BB5B72">
            <w:pPr>
              <w:pStyle w:val="TableText"/>
              <w:rPr>
                <w:b/>
                <w:szCs w:val="20"/>
              </w:rPr>
            </w:pPr>
            <w:r w:rsidRPr="00BF1632">
              <w:rPr>
                <w:b/>
                <w:szCs w:val="20"/>
              </w:rPr>
              <w:t>Clinical Evidence</w:t>
            </w:r>
          </w:p>
        </w:tc>
      </w:tr>
      <w:tr w:rsidR="00CB7A69" w:rsidRPr="00BF1632" w:rsidTr="002E15F5">
        <w:trPr>
          <w:cantSplit/>
        </w:trPr>
        <w:tc>
          <w:tcPr>
            <w:tcW w:w="718" w:type="pct"/>
          </w:tcPr>
          <w:p w:rsidR="00CB7A69" w:rsidRPr="00BF1632" w:rsidRDefault="00CB7A69" w:rsidP="00BB5B72">
            <w:pPr>
              <w:pStyle w:val="TableText"/>
              <w:rPr>
                <w:szCs w:val="20"/>
              </w:rPr>
            </w:pPr>
            <w:r w:rsidRPr="00BF1632">
              <w:rPr>
                <w:szCs w:val="20"/>
              </w:rPr>
              <w:t>Proposed PBS restriction</w:t>
            </w:r>
          </w:p>
        </w:tc>
        <w:tc>
          <w:tcPr>
            <w:tcW w:w="2616" w:type="pct"/>
            <w:shd w:val="clear" w:color="auto" w:fill="auto"/>
          </w:tcPr>
          <w:p w:rsidR="00CB7A69" w:rsidRPr="00BF1632" w:rsidRDefault="00CB7A69" w:rsidP="00BB5B72">
            <w:pPr>
              <w:pStyle w:val="TableText"/>
              <w:rPr>
                <w:szCs w:val="20"/>
              </w:rPr>
            </w:pPr>
            <w:r w:rsidRPr="00BF1632">
              <w:rPr>
                <w:szCs w:val="20"/>
              </w:rPr>
              <w:t xml:space="preserve">[Paragraphs 2.2 to 2.4] The requested restriction did not specify that patients must be relapsed or refractory to prior therapy, only that they must have received at least one prior therapy, nor did it include specific criteria to define progressive disease. </w:t>
            </w:r>
          </w:p>
        </w:tc>
        <w:tc>
          <w:tcPr>
            <w:tcW w:w="1666" w:type="pct"/>
            <w:shd w:val="clear" w:color="auto" w:fill="auto"/>
          </w:tcPr>
          <w:p w:rsidR="00CB7A69" w:rsidRPr="00BF1632" w:rsidRDefault="00CB7A69" w:rsidP="00A3754F">
            <w:pPr>
              <w:pStyle w:val="TableText"/>
              <w:rPr>
                <w:szCs w:val="20"/>
              </w:rPr>
            </w:pPr>
            <w:r w:rsidRPr="00BF1632">
              <w:rPr>
                <w:szCs w:val="20"/>
              </w:rPr>
              <w:t>The resubmission adopted proposed changes into the amended restriction. This was appropriate.</w:t>
            </w:r>
          </w:p>
        </w:tc>
      </w:tr>
      <w:tr w:rsidR="00CB7A69" w:rsidRPr="00BF1632" w:rsidTr="002E15F5">
        <w:trPr>
          <w:cantSplit/>
        </w:trPr>
        <w:tc>
          <w:tcPr>
            <w:tcW w:w="718" w:type="pct"/>
          </w:tcPr>
          <w:p w:rsidR="00CB7A69" w:rsidRPr="00BF1632" w:rsidRDefault="00CB7A69" w:rsidP="00BB5B72">
            <w:pPr>
              <w:pStyle w:val="TableText"/>
              <w:rPr>
                <w:szCs w:val="20"/>
              </w:rPr>
            </w:pPr>
            <w:r w:rsidRPr="00BF1632">
              <w:rPr>
                <w:szCs w:val="20"/>
              </w:rPr>
              <w:t>Comparability of temsirolimus to the nominated comparator, R-CHOP</w:t>
            </w:r>
          </w:p>
        </w:tc>
        <w:tc>
          <w:tcPr>
            <w:tcW w:w="2616" w:type="pct"/>
            <w:shd w:val="clear" w:color="auto" w:fill="auto"/>
          </w:tcPr>
          <w:p w:rsidR="00CB7A69" w:rsidRPr="00BF1632" w:rsidRDefault="00CB7A69" w:rsidP="00BB5B72">
            <w:pPr>
              <w:pStyle w:val="TableText"/>
              <w:rPr>
                <w:szCs w:val="20"/>
              </w:rPr>
            </w:pPr>
            <w:r w:rsidRPr="00BF1632">
              <w:rPr>
                <w:szCs w:val="20"/>
              </w:rPr>
              <w:t xml:space="preserve">[Paragraph 7.4] The efficacy of ibrutinib was compared with R-CHOP by using a RCT that compared ibrutinib to </w:t>
            </w:r>
            <w:r w:rsidR="000F29C4" w:rsidRPr="00BF1632">
              <w:rPr>
                <w:szCs w:val="20"/>
              </w:rPr>
              <w:t>temsirolimus</w:t>
            </w:r>
            <w:r w:rsidRPr="00BF1632">
              <w:rPr>
                <w:szCs w:val="20"/>
              </w:rPr>
              <w:t xml:space="preserve"> and a naïve indirect comparison of the temsirolimus arm with studies assessing R-F or R-FCM in the treatment of R/R MCL, assuming that R-CHOP was equivalent to R-F and R-FCM. The PBAC considered this approach resulted in the magnitude of the incremental benefits being uncertain.</w:t>
            </w:r>
          </w:p>
        </w:tc>
        <w:tc>
          <w:tcPr>
            <w:tcW w:w="1666" w:type="pct"/>
            <w:shd w:val="clear" w:color="auto" w:fill="auto"/>
          </w:tcPr>
          <w:p w:rsidR="00CB7A69" w:rsidRPr="00BF1632" w:rsidRDefault="00CB7A69" w:rsidP="00A3754F">
            <w:pPr>
              <w:pStyle w:val="TableText"/>
              <w:rPr>
                <w:szCs w:val="20"/>
              </w:rPr>
            </w:pPr>
            <w:r w:rsidRPr="00BF1632">
              <w:rPr>
                <w:szCs w:val="20"/>
              </w:rPr>
              <w:t>The resubmission used updated PFS and OS estimates in the comparisons between temsirolimus and R-F and R-FCM. In addition OS with temsirolimus was compared to OS observed in Australian and UK R/R MCL patients.</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 xml:space="preserve">Efficacy claim  </w:t>
            </w:r>
          </w:p>
        </w:tc>
        <w:tc>
          <w:tcPr>
            <w:tcW w:w="2616" w:type="pct"/>
            <w:shd w:val="clear" w:color="auto" w:fill="auto"/>
          </w:tcPr>
          <w:p w:rsidR="00CB7A69" w:rsidRPr="00BF1632" w:rsidRDefault="00CB7A69" w:rsidP="00BB5B72">
            <w:pPr>
              <w:pStyle w:val="TableText"/>
              <w:keepNext w:val="0"/>
              <w:rPr>
                <w:szCs w:val="20"/>
              </w:rPr>
            </w:pPr>
            <w:r w:rsidRPr="00BF1632">
              <w:rPr>
                <w:szCs w:val="20"/>
              </w:rPr>
              <w:t xml:space="preserve">[Paragraph 7.6] The PBAC considered the claim of superior efficacy over R-CHOP was reasonable based on PFS, however the magnitude of benefit was uncertain. There was also uncertainty surrounding the magnitude of OS gains as the key RCT (MCL-3001) did not demonstrate a statistically significant benefit.  </w:t>
            </w:r>
          </w:p>
        </w:tc>
        <w:tc>
          <w:tcPr>
            <w:tcW w:w="1666" w:type="pct"/>
            <w:shd w:val="clear" w:color="auto" w:fill="auto"/>
          </w:tcPr>
          <w:p w:rsidR="00CB7A69" w:rsidRPr="00BF1632" w:rsidRDefault="00CB7A69" w:rsidP="00A3754F">
            <w:pPr>
              <w:pStyle w:val="TableText"/>
              <w:keepNext w:val="0"/>
              <w:rPr>
                <w:szCs w:val="20"/>
              </w:rPr>
            </w:pPr>
            <w:r w:rsidRPr="00BF1632">
              <w:rPr>
                <w:szCs w:val="20"/>
              </w:rPr>
              <w:t xml:space="preserve">The resubmission presented updated PFS and OS data from the MCL-3001 trial. The difference in PFS remained </w:t>
            </w:r>
            <w:r w:rsidR="00F36A91">
              <w:rPr>
                <w:noProof/>
                <w:color w:val="000000"/>
                <w:szCs w:val="20"/>
                <w:highlight w:val="black"/>
              </w:rPr>
              <w:t>'''''''''''''''''''''''''' '''''''''''''''''''''''''</w:t>
            </w:r>
            <w:r w:rsidRPr="00BF1632">
              <w:rPr>
                <w:szCs w:val="20"/>
              </w:rPr>
              <w:t xml:space="preserve">; the difference in OS remained </w:t>
            </w:r>
            <w:r w:rsidR="00F36A91">
              <w:rPr>
                <w:noProof/>
                <w:color w:val="000000"/>
                <w:szCs w:val="20"/>
                <w:highlight w:val="black"/>
              </w:rPr>
              <w:t>''''''''''''''''''''''''' '''''''''''''''''''''''''''''</w:t>
            </w:r>
            <w:r w:rsidRPr="00BF1632">
              <w:rPr>
                <w:szCs w:val="20"/>
              </w:rPr>
              <w:t xml:space="preserve">. The difference in OS became </w:t>
            </w:r>
            <w:r w:rsidR="00F36A91">
              <w:rPr>
                <w:noProof/>
                <w:color w:val="000000"/>
                <w:szCs w:val="20"/>
                <w:highlight w:val="black"/>
              </w:rPr>
              <w:t>'''''''''''''''''''''''''' '''''''''''''''''''''''</w:t>
            </w:r>
            <w:r w:rsidRPr="00BF1632">
              <w:rPr>
                <w:szCs w:val="20"/>
              </w:rPr>
              <w:t xml:space="preserve"> when the temsirolimus arm was adjusted for crossover. </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Safety claim</w:t>
            </w:r>
          </w:p>
        </w:tc>
        <w:tc>
          <w:tcPr>
            <w:tcW w:w="2616" w:type="pct"/>
            <w:shd w:val="clear" w:color="auto" w:fill="auto"/>
          </w:tcPr>
          <w:p w:rsidR="00CB7A69" w:rsidRPr="00BF1632" w:rsidRDefault="00CB7A69" w:rsidP="00BB5B72">
            <w:pPr>
              <w:pStyle w:val="TableText"/>
              <w:keepNext w:val="0"/>
              <w:rPr>
                <w:szCs w:val="20"/>
              </w:rPr>
            </w:pPr>
            <w:r w:rsidRPr="00BF1632">
              <w:rPr>
                <w:szCs w:val="20"/>
              </w:rPr>
              <w:t>[Paragraphs 7.5 and 7.7] A naïve indirect comparison of ibrutinib and R-CHOP used in 1</w:t>
            </w:r>
            <w:r w:rsidRPr="00BF1632">
              <w:rPr>
                <w:szCs w:val="20"/>
                <w:vertAlign w:val="superscript"/>
              </w:rPr>
              <w:t>st</w:t>
            </w:r>
            <w:r w:rsidRPr="00BF1632">
              <w:rPr>
                <w:szCs w:val="20"/>
              </w:rPr>
              <w:t xml:space="preserve">-line MCL treatment was presented to assess safety. The PBAC considered that the claim of superior comparative safety over R-CHOP was not adequately supported by the data and that ibrutinib might be associated with an increased risk of AF. </w:t>
            </w:r>
          </w:p>
        </w:tc>
        <w:tc>
          <w:tcPr>
            <w:tcW w:w="1666" w:type="pct"/>
            <w:shd w:val="clear" w:color="auto" w:fill="auto"/>
          </w:tcPr>
          <w:p w:rsidR="00CB7A69" w:rsidRPr="00BF1632" w:rsidRDefault="00CB7A69" w:rsidP="00BB5B72">
            <w:pPr>
              <w:pStyle w:val="TableText"/>
              <w:keepNext w:val="0"/>
              <w:rPr>
                <w:szCs w:val="20"/>
              </w:rPr>
            </w:pPr>
            <w:r w:rsidRPr="00BF1632">
              <w:rPr>
                <w:szCs w:val="20"/>
              </w:rPr>
              <w:t xml:space="preserve">The resubmission presented updated safety data from MCL-3001. </w:t>
            </w:r>
          </w:p>
          <w:p w:rsidR="00CB7A69" w:rsidRPr="00BF1632" w:rsidRDefault="00CB7A69" w:rsidP="00F65655">
            <w:pPr>
              <w:pStyle w:val="TableText"/>
              <w:keepNext w:val="0"/>
              <w:rPr>
                <w:szCs w:val="20"/>
              </w:rPr>
            </w:pPr>
            <w:r w:rsidRPr="00BF1632">
              <w:rPr>
                <w:szCs w:val="20"/>
              </w:rPr>
              <w:t xml:space="preserve">The comparative safety claim of ibrutinib was divided into two parts: whilst patients are on R-CHOP treatment; and when R-CHOP treatment was completed/discontinued. The updated safety claims were reasonable. </w:t>
            </w:r>
            <w:r w:rsidRPr="00BE76A2">
              <w:rPr>
                <w:szCs w:val="20"/>
              </w:rPr>
              <w:t>The risk of AF was not addressed in the safety analyses</w:t>
            </w:r>
            <w:r w:rsidR="00B66747" w:rsidRPr="00BE76A2">
              <w:rPr>
                <w:szCs w:val="20"/>
              </w:rPr>
              <w:t xml:space="preserve"> presented in the submission</w:t>
            </w:r>
            <w:r w:rsidRPr="00BE76A2">
              <w:rPr>
                <w:szCs w:val="20"/>
              </w:rPr>
              <w:t>.</w:t>
            </w:r>
            <w:r w:rsidR="00905477" w:rsidRPr="00BE76A2">
              <w:rPr>
                <w:szCs w:val="20"/>
              </w:rPr>
              <w:t xml:space="preserve"> </w:t>
            </w:r>
          </w:p>
        </w:tc>
      </w:tr>
      <w:tr w:rsidR="00CB7A69" w:rsidRPr="00BF1632" w:rsidTr="002E15F5">
        <w:trPr>
          <w:cantSplit/>
        </w:trPr>
        <w:tc>
          <w:tcPr>
            <w:tcW w:w="5000" w:type="pct"/>
            <w:gridSpan w:val="3"/>
          </w:tcPr>
          <w:p w:rsidR="00CB7A69" w:rsidRPr="00BF1632" w:rsidRDefault="00CB7A69" w:rsidP="00BB5B72">
            <w:pPr>
              <w:pStyle w:val="TableText"/>
              <w:keepNext w:val="0"/>
              <w:rPr>
                <w:b/>
                <w:szCs w:val="20"/>
              </w:rPr>
            </w:pPr>
            <w:r w:rsidRPr="00BF1632">
              <w:rPr>
                <w:b/>
                <w:szCs w:val="20"/>
              </w:rPr>
              <w:t>Economic model</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AF monitoring costs</w:t>
            </w:r>
          </w:p>
        </w:tc>
        <w:tc>
          <w:tcPr>
            <w:tcW w:w="2616" w:type="pct"/>
            <w:shd w:val="clear" w:color="auto" w:fill="auto"/>
          </w:tcPr>
          <w:p w:rsidR="00CB7A69" w:rsidRPr="00BF1632" w:rsidRDefault="00CB7A69" w:rsidP="00BB5B72">
            <w:pPr>
              <w:pStyle w:val="TableText"/>
              <w:keepNext w:val="0"/>
              <w:rPr>
                <w:szCs w:val="20"/>
              </w:rPr>
            </w:pPr>
            <w:r w:rsidRPr="00BF1632">
              <w:rPr>
                <w:szCs w:val="20"/>
              </w:rPr>
              <w:t>[Paragraph 7.8] Monitoring costs associated with AF should be included in the economic model.</w:t>
            </w:r>
          </w:p>
        </w:tc>
        <w:tc>
          <w:tcPr>
            <w:tcW w:w="1666" w:type="pct"/>
            <w:shd w:val="clear" w:color="auto" w:fill="auto"/>
          </w:tcPr>
          <w:p w:rsidR="00CB7A69" w:rsidRPr="00BF1632" w:rsidRDefault="00CB7A69" w:rsidP="00BB5B72">
            <w:pPr>
              <w:pStyle w:val="TableText"/>
              <w:keepNext w:val="0"/>
              <w:rPr>
                <w:szCs w:val="20"/>
              </w:rPr>
            </w:pPr>
            <w:r w:rsidRPr="00BF1632">
              <w:rPr>
                <w:szCs w:val="20"/>
              </w:rPr>
              <w:t>Monitoring costs were included in the economic model. This was appropriate.</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ICER</w:t>
            </w:r>
          </w:p>
        </w:tc>
        <w:tc>
          <w:tcPr>
            <w:tcW w:w="2616" w:type="pct"/>
            <w:shd w:val="clear" w:color="auto" w:fill="auto"/>
          </w:tcPr>
          <w:p w:rsidR="00CB7A69" w:rsidRPr="00BF1632" w:rsidRDefault="00CB7A69" w:rsidP="008E5AA6">
            <w:pPr>
              <w:pStyle w:val="TableText"/>
              <w:keepNext w:val="0"/>
              <w:rPr>
                <w:szCs w:val="20"/>
              </w:rPr>
            </w:pPr>
            <w:r w:rsidRPr="00BF1632">
              <w:rPr>
                <w:szCs w:val="20"/>
              </w:rPr>
              <w:t xml:space="preserve">[Paragraphs 7.9 and 7.10] The ICER of </w:t>
            </w:r>
            <w:r w:rsidR="00167A5D">
              <w:rPr>
                <w:szCs w:val="20"/>
              </w:rPr>
              <w:t>$</w:t>
            </w:r>
            <w:r w:rsidR="00974EEF">
              <w:rPr>
                <w:szCs w:val="20"/>
              </w:rPr>
              <w:t>75,000/QALY - $105,000/QALY</w:t>
            </w:r>
            <w:r w:rsidRPr="00BF1632">
              <w:rPr>
                <w:szCs w:val="20"/>
              </w:rPr>
              <w:t xml:space="preserve"> (paragraph 7.9, November 2016 </w:t>
            </w:r>
            <w:r w:rsidR="008E5AA6">
              <w:rPr>
                <w:szCs w:val="20"/>
              </w:rPr>
              <w:t>PSD</w:t>
            </w:r>
            <w:r w:rsidRPr="00BF1632">
              <w:rPr>
                <w:szCs w:val="20"/>
              </w:rPr>
              <w:t>) was considered high and based on optimistic assumptions and was therefore likely to be unreasonable. The economic model was not robust.</w:t>
            </w:r>
          </w:p>
        </w:tc>
        <w:tc>
          <w:tcPr>
            <w:tcW w:w="1666" w:type="pct"/>
            <w:shd w:val="clear" w:color="auto" w:fill="auto"/>
          </w:tcPr>
          <w:p w:rsidR="00CB7A69" w:rsidRPr="00BF1632" w:rsidRDefault="00CB7A69" w:rsidP="00A3754F">
            <w:pPr>
              <w:pStyle w:val="TableText"/>
              <w:keepNext w:val="0"/>
              <w:rPr>
                <w:szCs w:val="20"/>
              </w:rPr>
            </w:pPr>
            <w:r w:rsidRPr="00BF1632">
              <w:rPr>
                <w:szCs w:val="20"/>
              </w:rPr>
              <w:t>The resubmission presented a range of ICERs based on four scenarios – OS in the temsirolimus/R-CHOP arm adjusted for crossover using/not using the RPSFT method and the time horizon converging/not converging at 10 years.</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 xml:space="preserve">Extrapolation of OS </w:t>
            </w:r>
          </w:p>
        </w:tc>
        <w:tc>
          <w:tcPr>
            <w:tcW w:w="2616" w:type="pct"/>
            <w:shd w:val="clear" w:color="auto" w:fill="auto"/>
          </w:tcPr>
          <w:p w:rsidR="00CB7A69" w:rsidRPr="00BF1632" w:rsidRDefault="00CB7A69" w:rsidP="00BB5B72">
            <w:pPr>
              <w:pStyle w:val="TableText"/>
              <w:keepNext w:val="0"/>
              <w:rPr>
                <w:szCs w:val="20"/>
              </w:rPr>
            </w:pPr>
            <w:r w:rsidRPr="00BF1632">
              <w:rPr>
                <w:szCs w:val="20"/>
              </w:rPr>
              <w:t>[Paragraph 7.9] The PBAC considered that as statistically significant gains in OS had not been demonstrated a conservative approach when extrapolating the data should have been used, including OS curves converging within the model time horizon and use of unadjusted ITT results.</w:t>
            </w:r>
          </w:p>
        </w:tc>
        <w:tc>
          <w:tcPr>
            <w:tcW w:w="1666" w:type="pct"/>
            <w:shd w:val="clear" w:color="auto" w:fill="auto"/>
          </w:tcPr>
          <w:p w:rsidR="00CB7A69" w:rsidRPr="00BF1632" w:rsidRDefault="00CB7A69" w:rsidP="00BB5B72">
            <w:pPr>
              <w:pStyle w:val="TableText"/>
              <w:keepNext w:val="0"/>
              <w:rPr>
                <w:szCs w:val="20"/>
              </w:rPr>
            </w:pPr>
            <w:r w:rsidRPr="00BF1632">
              <w:rPr>
                <w:szCs w:val="20"/>
              </w:rPr>
              <w:t>See above</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Time horizon</w:t>
            </w:r>
          </w:p>
        </w:tc>
        <w:tc>
          <w:tcPr>
            <w:tcW w:w="2616" w:type="pct"/>
            <w:shd w:val="clear" w:color="auto" w:fill="auto"/>
          </w:tcPr>
          <w:p w:rsidR="00CB7A69" w:rsidRPr="00BF1632" w:rsidRDefault="00CB7A69" w:rsidP="00BB5B72">
            <w:pPr>
              <w:pStyle w:val="TableText"/>
              <w:keepNext w:val="0"/>
              <w:rPr>
                <w:szCs w:val="20"/>
              </w:rPr>
            </w:pPr>
            <w:r w:rsidRPr="00BF1632">
              <w:rPr>
                <w:szCs w:val="20"/>
              </w:rPr>
              <w:t>[Paragraph 7.9] The 15 year time horizon was inconsistent with the average 2 year life expectancy of patients with R/R MCL.</w:t>
            </w:r>
          </w:p>
        </w:tc>
        <w:tc>
          <w:tcPr>
            <w:tcW w:w="1666" w:type="pct"/>
            <w:shd w:val="clear" w:color="auto" w:fill="auto"/>
          </w:tcPr>
          <w:p w:rsidR="00CB7A69" w:rsidRPr="00BF1632" w:rsidRDefault="00CB7A69" w:rsidP="0051313C">
            <w:pPr>
              <w:pStyle w:val="TableText"/>
              <w:keepNext w:val="0"/>
              <w:rPr>
                <w:szCs w:val="20"/>
              </w:rPr>
            </w:pPr>
            <w:r w:rsidRPr="00BF1632">
              <w:rPr>
                <w:szCs w:val="20"/>
              </w:rPr>
              <w:t xml:space="preserve">Time horizon was extended to 17 years based on extrapolation of final analysis data. </w:t>
            </w:r>
            <w:r w:rsidR="005E17C0" w:rsidRPr="00BF1632">
              <w:rPr>
                <w:szCs w:val="20"/>
              </w:rPr>
              <w:t xml:space="preserve">The </w:t>
            </w:r>
            <w:r w:rsidR="0051313C" w:rsidRPr="00BF1632">
              <w:rPr>
                <w:szCs w:val="20"/>
              </w:rPr>
              <w:t xml:space="preserve">ESC considered increasing the time horizon was </w:t>
            </w:r>
            <w:r w:rsidRPr="00BF1632">
              <w:rPr>
                <w:szCs w:val="20"/>
              </w:rPr>
              <w:t>not reasonable.</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Cost of subsequent therapy</w:t>
            </w:r>
          </w:p>
        </w:tc>
        <w:tc>
          <w:tcPr>
            <w:tcW w:w="2616" w:type="pct"/>
            <w:shd w:val="clear" w:color="auto" w:fill="auto"/>
          </w:tcPr>
          <w:p w:rsidR="00CB7A69" w:rsidRPr="00BF1632" w:rsidRDefault="00CB7A69" w:rsidP="008E5AA6">
            <w:pPr>
              <w:pStyle w:val="TableText"/>
              <w:keepNext w:val="0"/>
              <w:rPr>
                <w:szCs w:val="20"/>
              </w:rPr>
            </w:pPr>
            <w:r w:rsidRPr="00BF1632">
              <w:rPr>
                <w:szCs w:val="20"/>
              </w:rPr>
              <w:t>[Paragraph 7.9] It was inappropriate for post progression costs to differ between ibrutinib and R-CHOP ($</w:t>
            </w:r>
            <w:r w:rsidR="00F36A91">
              <w:rPr>
                <w:noProof/>
                <w:color w:val="000000"/>
                <w:szCs w:val="20"/>
                <w:highlight w:val="black"/>
              </w:rPr>
              <w:t>'''''''''''''</w:t>
            </w:r>
            <w:r w:rsidRPr="00BF1632">
              <w:rPr>
                <w:szCs w:val="20"/>
              </w:rPr>
              <w:t xml:space="preserve"> vs $</w:t>
            </w:r>
            <w:r w:rsidR="00F36A91">
              <w:rPr>
                <w:noProof/>
                <w:color w:val="000000"/>
                <w:szCs w:val="20"/>
                <w:highlight w:val="black"/>
              </w:rPr>
              <w:t>'''''''''''''''</w:t>
            </w:r>
            <w:r w:rsidRPr="00BF1632">
              <w:rPr>
                <w:szCs w:val="20"/>
              </w:rPr>
              <w:t xml:space="preserve">) (paragraph 7.9, November 2016 </w:t>
            </w:r>
            <w:r w:rsidR="008E5AA6">
              <w:rPr>
                <w:szCs w:val="20"/>
              </w:rPr>
              <w:t>PSD</w:t>
            </w:r>
            <w:r w:rsidRPr="00BF1632">
              <w:rPr>
                <w:szCs w:val="20"/>
              </w:rPr>
              <w:t>).</w:t>
            </w:r>
          </w:p>
        </w:tc>
        <w:tc>
          <w:tcPr>
            <w:tcW w:w="1666" w:type="pct"/>
            <w:shd w:val="clear" w:color="auto" w:fill="auto"/>
          </w:tcPr>
          <w:p w:rsidR="00CB7A69" w:rsidRPr="00BF1632" w:rsidRDefault="00CB7A69" w:rsidP="00A3754F">
            <w:pPr>
              <w:pStyle w:val="TableText"/>
              <w:keepNext w:val="0"/>
              <w:rPr>
                <w:szCs w:val="20"/>
              </w:rPr>
            </w:pPr>
            <w:r w:rsidRPr="00BF1632">
              <w:rPr>
                <w:szCs w:val="20"/>
              </w:rPr>
              <w:t xml:space="preserve">The cost of subsequent therapy was equal in both arms and applied to all patients who progressed. This was appropriate.  </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AE disutilities</w:t>
            </w:r>
          </w:p>
        </w:tc>
        <w:tc>
          <w:tcPr>
            <w:tcW w:w="2616" w:type="pct"/>
            <w:shd w:val="clear" w:color="auto" w:fill="auto"/>
          </w:tcPr>
          <w:p w:rsidR="00CB7A69" w:rsidRPr="00BF1632" w:rsidRDefault="00CB7A69" w:rsidP="00BB5B72">
            <w:pPr>
              <w:pStyle w:val="TableText"/>
              <w:keepNext w:val="0"/>
              <w:rPr>
                <w:szCs w:val="20"/>
              </w:rPr>
            </w:pPr>
            <w:r w:rsidRPr="00BF1632">
              <w:rPr>
                <w:szCs w:val="20"/>
                <w:lang w:val="en-GB"/>
              </w:rPr>
              <w:t>[Paragraph 7.9] The magnitude of the disutilities applied for adverse events associated with R</w:t>
            </w:r>
            <w:r w:rsidRPr="00BF1632">
              <w:rPr>
                <w:szCs w:val="20"/>
                <w:lang w:val="en-GB"/>
              </w:rPr>
              <w:noBreakHyphen/>
              <w:t>CHOP.</w:t>
            </w:r>
          </w:p>
        </w:tc>
        <w:tc>
          <w:tcPr>
            <w:tcW w:w="1666" w:type="pct"/>
            <w:shd w:val="clear" w:color="auto" w:fill="auto"/>
          </w:tcPr>
          <w:p w:rsidR="00CB7A69" w:rsidRPr="00BF1632" w:rsidRDefault="00CB7A69" w:rsidP="00A3754F">
            <w:pPr>
              <w:pStyle w:val="TableText"/>
              <w:keepNext w:val="0"/>
              <w:rPr>
                <w:szCs w:val="20"/>
              </w:rPr>
            </w:pPr>
            <w:r w:rsidRPr="00BF1632">
              <w:rPr>
                <w:szCs w:val="20"/>
              </w:rPr>
              <w:t>Disutility values were revised downwards and applied, as per the November 2016 submission, to the R-CHOP arm only.</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Baseline utilities</w:t>
            </w:r>
          </w:p>
        </w:tc>
        <w:tc>
          <w:tcPr>
            <w:tcW w:w="2616" w:type="pct"/>
            <w:shd w:val="clear" w:color="auto" w:fill="auto"/>
          </w:tcPr>
          <w:p w:rsidR="00CB7A69" w:rsidRPr="00BF1632" w:rsidRDefault="00CB7A69" w:rsidP="00BB5B72">
            <w:pPr>
              <w:pStyle w:val="TableText"/>
              <w:keepNext w:val="0"/>
              <w:rPr>
                <w:szCs w:val="20"/>
              </w:rPr>
            </w:pPr>
            <w:r w:rsidRPr="00BF1632">
              <w:rPr>
                <w:szCs w:val="20"/>
                <w:lang w:val="en-GB"/>
              </w:rPr>
              <w:t xml:space="preserve">[Paragraph 7.9] A lower baseline utility was applied to the R-CHOP arm (0.733) compared with the ibrutinib arm (0.79). </w:t>
            </w:r>
          </w:p>
        </w:tc>
        <w:tc>
          <w:tcPr>
            <w:tcW w:w="1666" w:type="pct"/>
            <w:shd w:val="clear" w:color="auto" w:fill="auto"/>
          </w:tcPr>
          <w:p w:rsidR="00CB7A69" w:rsidRPr="00BF1632" w:rsidRDefault="00CB7A69" w:rsidP="00ED32BB">
            <w:pPr>
              <w:pStyle w:val="TableText"/>
              <w:keepNext w:val="0"/>
              <w:rPr>
                <w:szCs w:val="20"/>
              </w:rPr>
            </w:pPr>
            <w:r w:rsidRPr="00BF1632">
              <w:rPr>
                <w:szCs w:val="20"/>
              </w:rPr>
              <w:t>The utilities remained unchanged.</w:t>
            </w:r>
          </w:p>
        </w:tc>
      </w:tr>
      <w:tr w:rsidR="00CB7A69" w:rsidRPr="00BF1632" w:rsidTr="002E15F5">
        <w:trPr>
          <w:cantSplit/>
        </w:trPr>
        <w:tc>
          <w:tcPr>
            <w:tcW w:w="5000" w:type="pct"/>
            <w:gridSpan w:val="3"/>
          </w:tcPr>
          <w:p w:rsidR="00CB7A69" w:rsidRPr="00BF1632" w:rsidRDefault="00CB7A69" w:rsidP="00BB5B72">
            <w:pPr>
              <w:pStyle w:val="TableText"/>
              <w:keepNext w:val="0"/>
              <w:rPr>
                <w:b/>
                <w:szCs w:val="20"/>
              </w:rPr>
            </w:pPr>
            <w:r w:rsidRPr="00BF1632">
              <w:rPr>
                <w:b/>
                <w:szCs w:val="20"/>
              </w:rPr>
              <w:t>Financial estimates</w:t>
            </w:r>
          </w:p>
        </w:tc>
      </w:tr>
      <w:tr w:rsidR="00CB7A69" w:rsidRPr="00BF1632" w:rsidTr="002E15F5">
        <w:trPr>
          <w:cantSplit/>
        </w:trPr>
        <w:tc>
          <w:tcPr>
            <w:tcW w:w="718" w:type="pct"/>
          </w:tcPr>
          <w:p w:rsidR="00CB7A69" w:rsidRPr="00BF1632" w:rsidRDefault="00CB7A69" w:rsidP="00BB5B72">
            <w:pPr>
              <w:pStyle w:val="TableText"/>
              <w:keepNext w:val="0"/>
              <w:rPr>
                <w:szCs w:val="20"/>
              </w:rPr>
            </w:pPr>
            <w:r w:rsidRPr="00BF1632">
              <w:rPr>
                <w:szCs w:val="20"/>
              </w:rPr>
              <w:t>Patient population</w:t>
            </w:r>
          </w:p>
        </w:tc>
        <w:tc>
          <w:tcPr>
            <w:tcW w:w="2616" w:type="pct"/>
            <w:shd w:val="clear" w:color="auto" w:fill="auto"/>
          </w:tcPr>
          <w:p w:rsidR="00CB7A69" w:rsidRPr="00BF1632" w:rsidRDefault="00CB7A69" w:rsidP="00BB5B72">
            <w:pPr>
              <w:pStyle w:val="TableText"/>
              <w:keepNext w:val="0"/>
              <w:rPr>
                <w:szCs w:val="20"/>
                <w:lang w:val="en-GB"/>
              </w:rPr>
            </w:pPr>
            <w:r w:rsidRPr="00BF1632">
              <w:rPr>
                <w:szCs w:val="20"/>
                <w:lang w:val="en-GB"/>
              </w:rPr>
              <w:t xml:space="preserve">[Paragraphs 6.52 and 7.11] The PBAC considered the number of patients likely to be treated with ibrutinib was substantially overestimated. The prevalent and incident populations were </w:t>
            </w:r>
            <w:r w:rsidR="00DE134B" w:rsidRPr="00BF1632">
              <w:rPr>
                <w:szCs w:val="20"/>
                <w:lang w:val="en-GB"/>
              </w:rPr>
              <w:t xml:space="preserve">overestimated </w:t>
            </w:r>
            <w:r w:rsidRPr="00BF1632">
              <w:rPr>
                <w:szCs w:val="20"/>
                <w:lang w:val="en-GB"/>
              </w:rPr>
              <w:t>because of:</w:t>
            </w:r>
          </w:p>
          <w:p w:rsidR="00CB7A69" w:rsidRPr="00BF1632" w:rsidRDefault="00CB7A69" w:rsidP="00BB5B72">
            <w:pPr>
              <w:pStyle w:val="TableText"/>
              <w:keepNext w:val="0"/>
              <w:rPr>
                <w:szCs w:val="20"/>
                <w:lang w:val="en-GB"/>
              </w:rPr>
            </w:pPr>
            <w:r w:rsidRPr="00BF1632">
              <w:rPr>
                <w:szCs w:val="20"/>
                <w:lang w:val="en-GB"/>
              </w:rPr>
              <w:t>- the implausible assumption that all incident patients were alive two years after diagnosis and had relapsed;</w:t>
            </w:r>
          </w:p>
          <w:p w:rsidR="00CB7A69" w:rsidRPr="00BF1632" w:rsidRDefault="00CB7A69" w:rsidP="00BB5B72">
            <w:pPr>
              <w:pStyle w:val="TableText"/>
              <w:keepNext w:val="0"/>
              <w:rPr>
                <w:szCs w:val="20"/>
                <w:lang w:val="en-GB"/>
              </w:rPr>
            </w:pPr>
            <w:r w:rsidRPr="00BF1632">
              <w:rPr>
                <w:szCs w:val="20"/>
                <w:lang w:val="en-GB"/>
              </w:rPr>
              <w:t xml:space="preserve">- the assumption that all prevalent patients would relapse; and </w:t>
            </w:r>
          </w:p>
          <w:p w:rsidR="00CB7A69" w:rsidRPr="00BF1632" w:rsidRDefault="00CB7A69" w:rsidP="00BB5B72">
            <w:pPr>
              <w:pStyle w:val="TableText"/>
              <w:keepNext w:val="0"/>
              <w:rPr>
                <w:szCs w:val="20"/>
                <w:lang w:val="en-GB"/>
              </w:rPr>
            </w:pPr>
            <w:r w:rsidRPr="00BF1632">
              <w:rPr>
                <w:szCs w:val="20"/>
                <w:lang w:val="en-GB"/>
              </w:rPr>
              <w:t>- the method used to estimate the prevalent population.</w:t>
            </w:r>
          </w:p>
        </w:tc>
        <w:tc>
          <w:tcPr>
            <w:tcW w:w="1666" w:type="pct"/>
            <w:shd w:val="clear" w:color="auto" w:fill="auto"/>
          </w:tcPr>
          <w:p w:rsidR="00CB7A69" w:rsidRPr="00BF1632" w:rsidRDefault="00CB7A69" w:rsidP="00BB5B72">
            <w:pPr>
              <w:pStyle w:val="TableText"/>
              <w:keepNext w:val="0"/>
              <w:rPr>
                <w:szCs w:val="20"/>
              </w:rPr>
            </w:pPr>
            <w:r w:rsidRPr="00BF1632">
              <w:rPr>
                <w:szCs w:val="20"/>
              </w:rPr>
              <w:t>The number of patients likely to be treated with ibrutinib was revised and:</w:t>
            </w:r>
          </w:p>
          <w:p w:rsidR="00CB7A69" w:rsidRPr="00BF1632" w:rsidRDefault="00CB7A69" w:rsidP="00BB5B72">
            <w:pPr>
              <w:pStyle w:val="TableText"/>
              <w:keepNext w:val="0"/>
              <w:rPr>
                <w:szCs w:val="20"/>
              </w:rPr>
            </w:pPr>
            <w:r w:rsidRPr="00BF1632">
              <w:rPr>
                <w:szCs w:val="20"/>
              </w:rPr>
              <w:t>- a clinician survey was used to estimate the proportion of incident and prevalent patients who relapsed;</w:t>
            </w:r>
          </w:p>
          <w:p w:rsidR="00CB7A69" w:rsidRPr="00BF1632" w:rsidRDefault="00CB7A69" w:rsidP="00BB5B72">
            <w:pPr>
              <w:pStyle w:val="TableText"/>
              <w:keepNext w:val="0"/>
              <w:rPr>
                <w:szCs w:val="20"/>
              </w:rPr>
            </w:pPr>
            <w:r w:rsidRPr="00BF1632">
              <w:rPr>
                <w:szCs w:val="20"/>
              </w:rPr>
              <w:t>- the method used to estimate the prevalent population was modified.</w:t>
            </w:r>
          </w:p>
          <w:p w:rsidR="00CB7A69" w:rsidRPr="00BF1632" w:rsidRDefault="00CB7A69" w:rsidP="00BB5B72">
            <w:pPr>
              <w:pStyle w:val="TableText"/>
              <w:keepNext w:val="0"/>
              <w:rPr>
                <w:szCs w:val="20"/>
              </w:rPr>
            </w:pPr>
            <w:r w:rsidRPr="00BF1632">
              <w:rPr>
                <w:szCs w:val="20"/>
              </w:rPr>
              <w:t>These changes were reasonable, although the number of patients remained potentially overestimated.</w:t>
            </w:r>
          </w:p>
        </w:tc>
      </w:tr>
      <w:tr w:rsidR="00CB7A69" w:rsidRPr="00BF1632" w:rsidTr="002E15F5">
        <w:trPr>
          <w:cantSplit/>
        </w:trPr>
        <w:tc>
          <w:tcPr>
            <w:tcW w:w="718" w:type="pct"/>
          </w:tcPr>
          <w:p w:rsidR="00CB7A69" w:rsidRPr="00BF1632" w:rsidRDefault="00CB7A69" w:rsidP="00BB5B72">
            <w:pPr>
              <w:pStyle w:val="TableText"/>
              <w:rPr>
                <w:szCs w:val="20"/>
              </w:rPr>
            </w:pPr>
            <w:r w:rsidRPr="00BF1632">
              <w:rPr>
                <w:szCs w:val="20"/>
              </w:rPr>
              <w:t>AF monitoring costs</w:t>
            </w:r>
          </w:p>
        </w:tc>
        <w:tc>
          <w:tcPr>
            <w:tcW w:w="2616" w:type="pct"/>
            <w:shd w:val="clear" w:color="auto" w:fill="auto"/>
          </w:tcPr>
          <w:p w:rsidR="00CB7A69" w:rsidRPr="00BF1632" w:rsidRDefault="00CB7A69" w:rsidP="00BB5B72">
            <w:pPr>
              <w:pStyle w:val="TableText"/>
              <w:rPr>
                <w:szCs w:val="20"/>
                <w:lang w:val="en-GB"/>
              </w:rPr>
            </w:pPr>
            <w:r w:rsidRPr="00BF1632">
              <w:rPr>
                <w:szCs w:val="20"/>
                <w:lang w:val="en-GB"/>
              </w:rPr>
              <w:t xml:space="preserve">[Paragraph 7.8] Monitoring </w:t>
            </w:r>
            <w:r w:rsidRPr="00BF1632">
              <w:rPr>
                <w:szCs w:val="20"/>
              </w:rPr>
              <w:t xml:space="preserve">costs associated with AF should be included in the financial estimates. </w:t>
            </w:r>
          </w:p>
        </w:tc>
        <w:tc>
          <w:tcPr>
            <w:tcW w:w="1666" w:type="pct"/>
            <w:shd w:val="clear" w:color="auto" w:fill="auto"/>
          </w:tcPr>
          <w:p w:rsidR="00CB7A69" w:rsidRPr="00BF1632" w:rsidRDefault="00CB7A69" w:rsidP="00A3754F">
            <w:pPr>
              <w:pStyle w:val="TableText"/>
              <w:rPr>
                <w:szCs w:val="20"/>
              </w:rPr>
            </w:pPr>
            <w:r w:rsidRPr="00BF1632">
              <w:rPr>
                <w:szCs w:val="20"/>
              </w:rPr>
              <w:t>AF monitoring costs were included. This was appropriate.</w:t>
            </w:r>
          </w:p>
        </w:tc>
      </w:tr>
    </w:tbl>
    <w:p w:rsidR="00CB7A69" w:rsidRPr="00BF1632" w:rsidRDefault="00CB7A69" w:rsidP="00CB7A69">
      <w:pPr>
        <w:pStyle w:val="TableFooter"/>
        <w:keepNext/>
        <w:jc w:val="left"/>
      </w:pPr>
      <w:r w:rsidRPr="00BF1632">
        <w:t xml:space="preserve">Source: November 2016 </w:t>
      </w:r>
      <w:r w:rsidR="008E5AA6">
        <w:t>PSD</w:t>
      </w:r>
      <w:r w:rsidRPr="00BF1632">
        <w:t xml:space="preserve"> and the resubmission</w:t>
      </w:r>
    </w:p>
    <w:p w:rsidR="00E054FC" w:rsidRPr="00BF1632" w:rsidRDefault="00CB7A69" w:rsidP="0000694C">
      <w:pPr>
        <w:pStyle w:val="TableFooter"/>
        <w:keepNext/>
      </w:pPr>
      <w:r w:rsidRPr="00BF1632">
        <w:t>AE = adverse event; AF = atrial fibrillation; HMRN = Haematological Malignancy Research Network; ICER = incremental cost-effectiveness ratio; ITT = intention-to-treat; MCL = mantle cell lymphoma; OS = overall survival; PBAC = Pharmaceutical Benefits Advisory Committee; PBS = Pharmaceutical Benefits Scheme; PFS = progression free survival; QALY = quality-adjusted life year; R-CHOP = rituximab, cyclophosphamide, doxorubicin, vincristine, prednisone; RCT = randomised controlled trial; R-F = rituximab, fludarabine; R-FCM = rituximab, fludarabine, cyclophosphamide, mitozantrone; RPSFT = rank preserving structural failure time; R/R = relapsed or refractory; UK = United Kingdom</w:t>
      </w:r>
    </w:p>
    <w:p w:rsidR="00EC4A70" w:rsidRPr="00F126C6" w:rsidRDefault="00EC4A70" w:rsidP="00FB1903">
      <w:pPr>
        <w:pStyle w:val="ListParagraph"/>
        <w:spacing w:before="0" w:after="120"/>
        <w:jc w:val="both"/>
        <w:rPr>
          <w:i/>
        </w:rPr>
      </w:pPr>
      <w:bookmarkStart w:id="8" w:name="_Toc493002970"/>
      <w:r w:rsidRPr="00F126C6">
        <w:rPr>
          <w:i/>
        </w:rPr>
        <w:t>For more detail on PBAC’s view, see section 7 PBAC outcome.</w:t>
      </w:r>
    </w:p>
    <w:p w:rsidR="00EF4BAB" w:rsidRPr="00BF1632" w:rsidRDefault="00EF4BAB" w:rsidP="00EF4BAB">
      <w:pPr>
        <w:pStyle w:val="Heading1"/>
        <w:rPr>
          <w:lang w:val="en-GB"/>
        </w:rPr>
      </w:pPr>
      <w:r w:rsidRPr="00BF1632">
        <w:rPr>
          <w:lang w:val="en-GB"/>
        </w:rPr>
        <w:t>Population and disease</w:t>
      </w:r>
      <w:bookmarkEnd w:id="8"/>
    </w:p>
    <w:p w:rsidR="00EF4BAB" w:rsidRPr="00BF1632" w:rsidRDefault="00EF4BAB" w:rsidP="000D6801">
      <w:pPr>
        <w:pStyle w:val="ListParagraph"/>
        <w:numPr>
          <w:ilvl w:val="1"/>
          <w:numId w:val="1"/>
        </w:numPr>
        <w:spacing w:before="0" w:after="120"/>
        <w:ind w:left="720" w:hanging="720"/>
        <w:jc w:val="both"/>
        <w:rPr>
          <w:lang w:val="en-GB"/>
        </w:rPr>
      </w:pPr>
      <w:r w:rsidRPr="00BF1632">
        <w:rPr>
          <w:lang w:val="en-GB"/>
        </w:rPr>
        <w:t>Mantle cell lymphoma is a rare and aggressive subtype of non-Hodgkin</w:t>
      </w:r>
      <w:r w:rsidR="00DE134B" w:rsidRPr="00BF1632">
        <w:rPr>
          <w:lang w:val="en-GB"/>
        </w:rPr>
        <w:t>’s</w:t>
      </w:r>
      <w:r w:rsidRPr="00BF1632">
        <w:rPr>
          <w:lang w:val="en-GB"/>
        </w:rPr>
        <w:t xml:space="preserve"> lymphoma. It is characterised by the overexpression of cyclin D1, leading to cell cycle deregulation and proliferation of B-cells in the mantle zone of lymph nodes.</w:t>
      </w:r>
    </w:p>
    <w:p w:rsidR="00CB7A69" w:rsidRPr="00F126C6" w:rsidRDefault="00CB7A69" w:rsidP="000D6801">
      <w:pPr>
        <w:pStyle w:val="ListParagraph"/>
        <w:numPr>
          <w:ilvl w:val="1"/>
          <w:numId w:val="1"/>
        </w:numPr>
        <w:spacing w:before="0" w:after="120"/>
        <w:ind w:left="720" w:hanging="720"/>
        <w:jc w:val="both"/>
        <w:rPr>
          <w:lang w:val="en-GB"/>
        </w:rPr>
      </w:pPr>
      <w:r w:rsidRPr="00BF1632">
        <w:t>Ibrutinib was proposed for patients with relapsed or refractory mantle cell lymphoma who have received at least one prior therapy. Ibrutinib is to be given as monotherapy until disease progression or toxicity. The proposed population was unchanged from the November 2016 submission and remained appropriate.</w:t>
      </w:r>
    </w:p>
    <w:p w:rsidR="00BB5B72" w:rsidRPr="00BF1632" w:rsidRDefault="00BB5B72" w:rsidP="00BB5B72">
      <w:pPr>
        <w:pStyle w:val="Heading1"/>
        <w:ind w:left="720" w:hanging="720"/>
      </w:pPr>
      <w:bookmarkStart w:id="9" w:name="_Toc413139275"/>
      <w:bookmarkStart w:id="10" w:name="_Toc492213201"/>
      <w:bookmarkStart w:id="11" w:name="_Toc493002971"/>
      <w:r w:rsidRPr="00BF1632">
        <w:t>Comparator</w:t>
      </w:r>
      <w:bookmarkEnd w:id="9"/>
      <w:bookmarkEnd w:id="10"/>
      <w:bookmarkEnd w:id="11"/>
    </w:p>
    <w:p w:rsidR="00BB5B72" w:rsidRPr="00BF1632" w:rsidRDefault="00CB7A69" w:rsidP="000D6801">
      <w:pPr>
        <w:pStyle w:val="ListParagraph"/>
        <w:numPr>
          <w:ilvl w:val="1"/>
          <w:numId w:val="1"/>
        </w:numPr>
        <w:spacing w:before="0" w:after="120"/>
        <w:ind w:left="720" w:hanging="720"/>
        <w:jc w:val="both"/>
      </w:pPr>
      <w:r w:rsidRPr="00BF1632">
        <w:t xml:space="preserve">As for the November 2016 submission, the nominated comparator was: the immunochemotherapy regimen of rituximab, cyclophosphamide, doxorubicin, vincristine and prednisone (R-CHOP). </w:t>
      </w:r>
    </w:p>
    <w:p w:rsidR="00C74DAE" w:rsidRPr="00BF1632" w:rsidRDefault="00C74DAE" w:rsidP="000D6801">
      <w:pPr>
        <w:pStyle w:val="ListParagraph"/>
        <w:numPr>
          <w:ilvl w:val="1"/>
          <w:numId w:val="1"/>
        </w:numPr>
        <w:spacing w:before="0" w:after="120"/>
        <w:ind w:left="720" w:hanging="720"/>
        <w:jc w:val="both"/>
      </w:pPr>
      <w:r w:rsidRPr="00BF1632">
        <w:t>The PBAC had previously accepted that R-CHOP was the appropriate comparator (paragraph 7.3, November 2016 PSD). Although, the PBAC did note that other immunochemotherapy regimens may also be used in the treatment of relapsed or refractory mantle cell lymphoma.</w:t>
      </w:r>
    </w:p>
    <w:p w:rsidR="00BB5B72" w:rsidRPr="00BF1632" w:rsidRDefault="00CB7A69" w:rsidP="000D6801">
      <w:pPr>
        <w:pStyle w:val="ListParagraph"/>
        <w:numPr>
          <w:ilvl w:val="1"/>
          <w:numId w:val="1"/>
        </w:numPr>
        <w:spacing w:before="0" w:after="120"/>
        <w:ind w:left="720" w:hanging="720"/>
        <w:jc w:val="both"/>
      </w:pPr>
      <w:r w:rsidRPr="00BF1632">
        <w:t>The comparator in the clinical trial was temsirolimus, and like the November 2016 submission, the resubmission claimed temsirolimus represented R-CHOP in terms of efficacy.</w:t>
      </w:r>
    </w:p>
    <w:p w:rsidR="00CB7A69" w:rsidRDefault="00CB7A69" w:rsidP="000D6801">
      <w:pPr>
        <w:pStyle w:val="ListParagraph"/>
        <w:numPr>
          <w:ilvl w:val="1"/>
          <w:numId w:val="1"/>
        </w:numPr>
        <w:spacing w:before="0" w:after="120"/>
        <w:ind w:left="720" w:hanging="720"/>
        <w:jc w:val="both"/>
      </w:pPr>
      <w:r w:rsidRPr="00BF1632">
        <w:t>In terms of safety, the resubmission again considered the use of R-CHOP in patients with newly diagnosed mantle cell lymphoma represented R-CHOP in patients with relapsed or refractory disease.</w:t>
      </w:r>
      <w:r w:rsidR="00FC2230" w:rsidRPr="00BF1632">
        <w:t xml:space="preserve"> </w:t>
      </w:r>
    </w:p>
    <w:p w:rsidR="00F126C6" w:rsidRPr="00F126C6" w:rsidRDefault="00F126C6" w:rsidP="00FB1903">
      <w:pPr>
        <w:pStyle w:val="ListParagraph"/>
        <w:spacing w:before="0" w:after="120"/>
        <w:ind w:left="709"/>
        <w:jc w:val="both"/>
        <w:rPr>
          <w:i/>
        </w:rPr>
      </w:pPr>
      <w:r w:rsidRPr="00F126C6">
        <w:rPr>
          <w:i/>
        </w:rPr>
        <w:t>For more detail on PBAC’s view, see section 7 PBAC outcome.</w:t>
      </w:r>
    </w:p>
    <w:p w:rsidR="00BB5B72" w:rsidRPr="00BF1632" w:rsidRDefault="00BB5B72" w:rsidP="00BB5B72">
      <w:pPr>
        <w:pStyle w:val="Heading1"/>
        <w:ind w:left="720" w:hanging="720"/>
      </w:pPr>
      <w:bookmarkStart w:id="12" w:name="_Toc413139276"/>
      <w:bookmarkStart w:id="13" w:name="_Toc492213202"/>
      <w:bookmarkStart w:id="14" w:name="_Toc493002972"/>
      <w:r w:rsidRPr="00BF1632">
        <w:t>Consideration of the evidence</w:t>
      </w:r>
      <w:bookmarkEnd w:id="12"/>
      <w:bookmarkEnd w:id="13"/>
      <w:bookmarkEnd w:id="14"/>
    </w:p>
    <w:p w:rsidR="001F63F7" w:rsidRPr="00EC4A70" w:rsidRDefault="001F63F7" w:rsidP="001A6F07">
      <w:pPr>
        <w:widowControl w:val="0"/>
        <w:spacing w:before="240" w:line="276" w:lineRule="auto"/>
        <w:jc w:val="both"/>
        <w:outlineLvl w:val="1"/>
        <w:rPr>
          <w:rFonts w:cs="Arial"/>
          <w:b/>
          <w:bCs/>
          <w:i/>
          <w:snapToGrid w:val="0"/>
          <w:sz w:val="28"/>
          <w:szCs w:val="28"/>
        </w:rPr>
      </w:pPr>
      <w:bookmarkStart w:id="15" w:name="_Toc413139277"/>
      <w:bookmarkStart w:id="16" w:name="_Toc492213203"/>
      <w:bookmarkStart w:id="17" w:name="_Toc493002973"/>
      <w:r w:rsidRPr="00EC4A70">
        <w:rPr>
          <w:rFonts w:cs="Arial"/>
          <w:b/>
          <w:bCs/>
          <w:i/>
          <w:snapToGrid w:val="0"/>
          <w:sz w:val="28"/>
          <w:szCs w:val="28"/>
        </w:rPr>
        <w:t>Sponsor hearing</w:t>
      </w:r>
    </w:p>
    <w:p w:rsidR="001F63F7" w:rsidRPr="00EC4A70" w:rsidRDefault="001F63F7" w:rsidP="001F63F7">
      <w:pPr>
        <w:pStyle w:val="ListParagraph"/>
        <w:numPr>
          <w:ilvl w:val="1"/>
          <w:numId w:val="1"/>
        </w:numPr>
        <w:spacing w:before="0" w:after="120"/>
        <w:jc w:val="both"/>
      </w:pPr>
      <w:r w:rsidRPr="00EC4A70">
        <w:t>There was no hearing for this item</w:t>
      </w:r>
    </w:p>
    <w:p w:rsidR="001F63F7" w:rsidRPr="001F63F7" w:rsidRDefault="001F63F7" w:rsidP="001A6F07">
      <w:pPr>
        <w:widowControl w:val="0"/>
        <w:spacing w:before="240" w:line="276" w:lineRule="auto"/>
        <w:jc w:val="both"/>
        <w:outlineLvl w:val="1"/>
        <w:rPr>
          <w:rFonts w:cs="Arial"/>
          <w:b/>
          <w:bCs/>
          <w:i/>
          <w:snapToGrid w:val="0"/>
          <w:sz w:val="28"/>
          <w:szCs w:val="28"/>
        </w:rPr>
      </w:pPr>
      <w:r w:rsidRPr="001F63F7">
        <w:rPr>
          <w:rFonts w:cs="Arial"/>
          <w:b/>
          <w:bCs/>
          <w:i/>
          <w:snapToGrid w:val="0"/>
          <w:sz w:val="28"/>
          <w:szCs w:val="28"/>
        </w:rPr>
        <w:t>Consumer comments</w:t>
      </w:r>
    </w:p>
    <w:p w:rsidR="001F63F7" w:rsidRPr="001F63F7" w:rsidRDefault="001F63F7" w:rsidP="001F63F7">
      <w:pPr>
        <w:pStyle w:val="ListParagraph"/>
        <w:numPr>
          <w:ilvl w:val="1"/>
          <w:numId w:val="1"/>
        </w:numPr>
        <w:spacing w:before="0" w:after="120"/>
        <w:ind w:left="720" w:hanging="720"/>
        <w:jc w:val="both"/>
        <w:rPr>
          <w:rFonts w:cs="Arial"/>
          <w:bCs/>
          <w:snapToGrid w:val="0"/>
        </w:rPr>
      </w:pPr>
      <w:r w:rsidRPr="001F63F7">
        <w:rPr>
          <w:rFonts w:cs="Arial"/>
          <w:bCs/>
          <w:snapToGrid w:val="0"/>
        </w:rPr>
        <w:t xml:space="preserve">The PBAC noted and welcomed the input from </w:t>
      </w:r>
      <w:r w:rsidR="00291F40">
        <w:rPr>
          <w:rFonts w:cs="Arial"/>
          <w:bCs/>
          <w:snapToGrid w:val="0"/>
        </w:rPr>
        <w:t>one</w:t>
      </w:r>
      <w:r w:rsidR="009F22AB">
        <w:rPr>
          <w:rFonts w:cs="Arial"/>
          <w:bCs/>
          <w:snapToGrid w:val="0"/>
        </w:rPr>
        <w:t xml:space="preserve"> </w:t>
      </w:r>
      <w:r w:rsidRPr="001F63F7">
        <w:rPr>
          <w:rFonts w:cs="Arial"/>
          <w:bCs/>
          <w:snapToGrid w:val="0"/>
        </w:rPr>
        <w:t>individual and organisations (2) via the Consumer Comments facility on the PBS website. The comments outlined the high unmet need for effective treatments for relapsed/refractory mantle cell lymphoma. The comments described a range of benefits of treatment with ibrutinib including fewer side effects, ease of administration,</w:t>
      </w:r>
      <w:r w:rsidR="00FD45F0">
        <w:rPr>
          <w:rFonts w:cs="Arial"/>
          <w:bCs/>
          <w:snapToGrid w:val="0"/>
        </w:rPr>
        <w:t xml:space="preserve"> and</w:t>
      </w:r>
      <w:r w:rsidRPr="001F63F7">
        <w:rPr>
          <w:rFonts w:cs="Arial"/>
          <w:bCs/>
          <w:snapToGrid w:val="0"/>
        </w:rPr>
        <w:t xml:space="preserve"> slowing of disease progression</w:t>
      </w:r>
      <w:r w:rsidR="00FD45F0">
        <w:rPr>
          <w:rFonts w:cs="Arial"/>
          <w:bCs/>
          <w:snapToGrid w:val="0"/>
        </w:rPr>
        <w:t xml:space="preserve"> for a longer period, without too much impact on quality of life</w:t>
      </w:r>
      <w:r>
        <w:rPr>
          <w:rFonts w:cs="Arial"/>
          <w:bCs/>
          <w:snapToGrid w:val="0"/>
        </w:rPr>
        <w:t xml:space="preserve">. The comments also highlighted </w:t>
      </w:r>
      <w:r w:rsidRPr="001F63F7">
        <w:rPr>
          <w:rFonts w:cs="Arial"/>
          <w:bCs/>
          <w:snapToGrid w:val="0"/>
        </w:rPr>
        <w:t xml:space="preserve">the high cost of the drug without PBS subsidy. </w:t>
      </w:r>
    </w:p>
    <w:p w:rsidR="00BB5B72" w:rsidRPr="00BF1632" w:rsidRDefault="00BB5B72" w:rsidP="00BB5B72">
      <w:pPr>
        <w:pStyle w:val="Heading2"/>
        <w:rPr>
          <w:i w:val="0"/>
        </w:rPr>
      </w:pPr>
      <w:r w:rsidRPr="00BF1632">
        <w:rPr>
          <w:i w:val="0"/>
        </w:rPr>
        <w:t>Clinical trials</w:t>
      </w:r>
      <w:bookmarkEnd w:id="15"/>
      <w:bookmarkEnd w:id="16"/>
      <w:bookmarkEnd w:id="17"/>
    </w:p>
    <w:p w:rsidR="00BB5B72" w:rsidRPr="00BF1632" w:rsidRDefault="00417590" w:rsidP="000D6801">
      <w:pPr>
        <w:pStyle w:val="ListParagraph"/>
        <w:numPr>
          <w:ilvl w:val="1"/>
          <w:numId w:val="1"/>
        </w:numPr>
        <w:spacing w:before="0" w:after="120"/>
        <w:ind w:left="720" w:hanging="720"/>
        <w:jc w:val="both"/>
      </w:pPr>
      <w:r w:rsidRPr="00BF1632">
        <w:t xml:space="preserve">As for the November 2016 submission, the resubmission was based on one head-to-head trial, MCL-3001, which compared ibrutinib to temsirolimus (N = 280). The resubmission presented data from the final analysis of MCL-3001 (the November 2016 submission used interim analysis data).  </w:t>
      </w:r>
    </w:p>
    <w:p w:rsidR="00BB5B72" w:rsidRPr="00BF1632" w:rsidRDefault="00417590" w:rsidP="000D6801">
      <w:pPr>
        <w:pStyle w:val="ListParagraph"/>
        <w:numPr>
          <w:ilvl w:val="1"/>
          <w:numId w:val="1"/>
        </w:numPr>
        <w:spacing w:before="0" w:after="120"/>
        <w:ind w:left="720" w:hanging="720"/>
        <w:jc w:val="both"/>
      </w:pPr>
      <w:r w:rsidRPr="00BF1632">
        <w:t xml:space="preserve">The efficacy and safety of ibrutinib was firstly compared to temsirolimus, using the results from MCL-3001. </w:t>
      </w:r>
    </w:p>
    <w:p w:rsidR="00BB5B72" w:rsidRPr="00BF1632" w:rsidRDefault="00417590" w:rsidP="000D6801">
      <w:pPr>
        <w:pStyle w:val="ListParagraph"/>
        <w:numPr>
          <w:ilvl w:val="1"/>
          <w:numId w:val="1"/>
        </w:numPr>
        <w:spacing w:before="0" w:after="120"/>
        <w:ind w:left="720" w:hanging="720"/>
        <w:jc w:val="both"/>
      </w:pPr>
      <w:r w:rsidRPr="00BF1632">
        <w:t xml:space="preserve">To inform efficacy, a naïve indirect comparison was performed between the updated temsirolimus data from MCL-3001 and subgroups of relapsed or refractory mantle cell lymphoma patients who had received rituximab-containing immunochemotherapies, which were assumed to be equivalent to R-CHOP (Rummel 2016 and Forstpointner 2004). These studies were previously presented in the November 2016 submission. </w:t>
      </w:r>
    </w:p>
    <w:p w:rsidR="00BB5B72" w:rsidRPr="00BF1632" w:rsidRDefault="00417590" w:rsidP="000D6801">
      <w:pPr>
        <w:pStyle w:val="ListParagraph"/>
        <w:numPr>
          <w:ilvl w:val="1"/>
          <w:numId w:val="1"/>
        </w:numPr>
        <w:spacing w:before="0" w:after="120"/>
        <w:ind w:left="720" w:hanging="720"/>
        <w:jc w:val="both"/>
      </w:pPr>
      <w:r w:rsidRPr="00BF1632">
        <w:t>The resubmission presented two new patient-based analyses of long-term overall survival in Australian (Opat 2016) and UK (Patmore 2016) mantle cell lymphoma patients. These data were compared to the temsirolimus overall survival data to support the claim that temsirolimus was at least as effective as current</w:t>
      </w:r>
      <w:r w:rsidR="009165C0" w:rsidRPr="00BF1632">
        <w:t xml:space="preserve"> rituximab containing immunochemotherapy</w:t>
      </w:r>
      <w:r w:rsidRPr="00BF1632">
        <w:t xml:space="preserve"> treatments.  </w:t>
      </w:r>
    </w:p>
    <w:p w:rsidR="00BB5B72" w:rsidRPr="00BF1632" w:rsidRDefault="00417590" w:rsidP="000D6801">
      <w:pPr>
        <w:pStyle w:val="ListParagraph"/>
        <w:numPr>
          <w:ilvl w:val="1"/>
          <w:numId w:val="1"/>
        </w:numPr>
        <w:spacing w:before="0" w:after="120"/>
        <w:ind w:left="720" w:hanging="720"/>
        <w:jc w:val="both"/>
      </w:pPr>
      <w:r w:rsidRPr="00BF1632">
        <w:t xml:space="preserve">To inform safety, a naïve indirect comparison was performed between the ibrutinib arm of MCL-3001 and R-CHOP in treatment naïve patients (Lenz 2005, Kluin-Nelemans 2012 and Robak 2015). An additional analysis, which compared the safety of ibrutinib at six months with R-CHOP, was presented in the resubmission. The resubmission proposed that the six-month safety data for ibrutinib more closely represented the duration of a course of R-CHOP. </w:t>
      </w:r>
      <w:r w:rsidR="00DE134B" w:rsidRPr="00BF1632">
        <w:t>The evaluation considered t</w:t>
      </w:r>
      <w:r w:rsidRPr="00BF1632">
        <w:t>his was reasonable.</w:t>
      </w:r>
    </w:p>
    <w:p w:rsidR="00417590" w:rsidRPr="00BF1632" w:rsidRDefault="00417590" w:rsidP="000D6801">
      <w:pPr>
        <w:pStyle w:val="ListParagraph"/>
        <w:numPr>
          <w:ilvl w:val="1"/>
          <w:numId w:val="1"/>
        </w:numPr>
        <w:spacing w:before="0" w:after="120"/>
        <w:ind w:left="720" w:hanging="720"/>
        <w:jc w:val="both"/>
      </w:pPr>
      <w:r w:rsidRPr="00BF1632">
        <w:t xml:space="preserve">Details of the trials and supplementary studies presented in the resubmission are provided in the table below.  </w:t>
      </w:r>
    </w:p>
    <w:p w:rsidR="00417590" w:rsidRPr="00BF1632" w:rsidRDefault="00417590" w:rsidP="00BB5B72">
      <w:pPr>
        <w:pStyle w:val="TableHeading1"/>
        <w:keepLines/>
      </w:pPr>
      <w:r w:rsidRPr="00BF1632">
        <w:t>Table 3: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974"/>
        <w:gridCol w:w="1662"/>
      </w:tblGrid>
      <w:tr w:rsidR="00417590" w:rsidRPr="00BF1632" w:rsidTr="002E15F5">
        <w:trPr>
          <w:cantSplit/>
          <w:tblHeader/>
        </w:trPr>
        <w:tc>
          <w:tcPr>
            <w:tcW w:w="796" w:type="pct"/>
          </w:tcPr>
          <w:p w:rsidR="00417590" w:rsidRPr="00BF1632" w:rsidRDefault="00417590" w:rsidP="00BB5B72">
            <w:pPr>
              <w:pStyle w:val="TableText"/>
              <w:keepLines/>
              <w:rPr>
                <w:b/>
              </w:rPr>
            </w:pPr>
            <w:r w:rsidRPr="00BF1632">
              <w:rPr>
                <w:b/>
              </w:rPr>
              <w:t>Trial ID</w:t>
            </w:r>
          </w:p>
        </w:tc>
        <w:tc>
          <w:tcPr>
            <w:tcW w:w="3289" w:type="pct"/>
          </w:tcPr>
          <w:p w:rsidR="00417590" w:rsidRPr="00BF1632" w:rsidRDefault="00417590" w:rsidP="00BB5B72">
            <w:pPr>
              <w:pStyle w:val="TableText"/>
              <w:keepLines/>
              <w:rPr>
                <w:b/>
              </w:rPr>
            </w:pPr>
            <w:r w:rsidRPr="00BF1632">
              <w:rPr>
                <w:b/>
              </w:rPr>
              <w:t>Protocol title/Publication title</w:t>
            </w:r>
          </w:p>
        </w:tc>
        <w:tc>
          <w:tcPr>
            <w:tcW w:w="915" w:type="pct"/>
          </w:tcPr>
          <w:p w:rsidR="00417590" w:rsidRPr="00BF1632" w:rsidRDefault="00417590" w:rsidP="00BB5B72">
            <w:pPr>
              <w:pStyle w:val="TableText"/>
              <w:keepLines/>
              <w:rPr>
                <w:b/>
              </w:rPr>
            </w:pPr>
            <w:r w:rsidRPr="00BF1632">
              <w:rPr>
                <w:b/>
              </w:rPr>
              <w:t>Publication citation</w:t>
            </w:r>
          </w:p>
        </w:tc>
      </w:tr>
      <w:tr w:rsidR="00417590" w:rsidRPr="00BF1632" w:rsidTr="002E15F5">
        <w:trPr>
          <w:cantSplit/>
        </w:trPr>
        <w:tc>
          <w:tcPr>
            <w:tcW w:w="5000" w:type="pct"/>
            <w:gridSpan w:val="3"/>
            <w:tcBorders>
              <w:bottom w:val="single" w:sz="4" w:space="0" w:color="auto"/>
            </w:tcBorders>
          </w:tcPr>
          <w:p w:rsidR="00417590" w:rsidRPr="00BF1632" w:rsidRDefault="00417590" w:rsidP="00BB5B72">
            <w:pPr>
              <w:pStyle w:val="TableText"/>
              <w:keepLines/>
              <w:rPr>
                <w:b/>
              </w:rPr>
            </w:pPr>
            <w:r w:rsidRPr="00BF1632">
              <w:rPr>
                <w:b/>
              </w:rPr>
              <w:t>Direct randomised trial</w:t>
            </w:r>
          </w:p>
        </w:tc>
      </w:tr>
      <w:tr w:rsidR="00417590" w:rsidRPr="00BF1632" w:rsidTr="002E15F5">
        <w:trPr>
          <w:cantSplit/>
          <w:trHeight w:val="1053"/>
        </w:trPr>
        <w:tc>
          <w:tcPr>
            <w:tcW w:w="796" w:type="pct"/>
            <w:tcBorders>
              <w:bottom w:val="nil"/>
            </w:tcBorders>
          </w:tcPr>
          <w:p w:rsidR="00417590" w:rsidRPr="00BF1632" w:rsidRDefault="00417590" w:rsidP="00BB5B72">
            <w:pPr>
              <w:pStyle w:val="TableText"/>
              <w:keepLines/>
              <w:rPr>
                <w:rFonts w:ascii="Times" w:eastAsia="Times New Roman" w:hAnsi="Times" w:cs="Times New Roman"/>
              </w:rPr>
            </w:pPr>
            <w:r w:rsidRPr="00BF1632">
              <w:t>MCL-3001</w:t>
            </w:r>
          </w:p>
        </w:tc>
        <w:tc>
          <w:tcPr>
            <w:tcW w:w="3289" w:type="pct"/>
            <w:tcBorders>
              <w:bottom w:val="nil"/>
            </w:tcBorders>
          </w:tcPr>
          <w:p w:rsidR="00417590" w:rsidRPr="00BF1632" w:rsidRDefault="00417590" w:rsidP="00BB5B72">
            <w:pPr>
              <w:pStyle w:val="TableText"/>
              <w:keepLines/>
              <w:rPr>
                <w:rFonts w:ascii="Times" w:eastAsia="Times New Roman" w:hAnsi="Times" w:cs="Times New Roman"/>
              </w:rPr>
            </w:pPr>
            <w:r w:rsidRPr="00BF1632">
              <w:t>A randomised, controlled, open-label, multicentre, Phase 3 study of the Bruton’s tyrosine kinase (BTK) inhibitor, ibrutinib, versus temsirolimus in subjects with relapsed or refractory mantle cell lymphoma who have received at least one prior therapy. Interim clinical study report and final clinical study report.</w:t>
            </w:r>
          </w:p>
        </w:tc>
        <w:tc>
          <w:tcPr>
            <w:tcW w:w="915" w:type="pct"/>
            <w:tcBorders>
              <w:bottom w:val="nil"/>
            </w:tcBorders>
          </w:tcPr>
          <w:p w:rsidR="00417590" w:rsidRPr="00BF1632" w:rsidRDefault="00417590" w:rsidP="00BB5B72">
            <w:pPr>
              <w:pStyle w:val="TableText"/>
              <w:keepLines/>
              <w:rPr>
                <w:rFonts w:ascii="Times" w:eastAsia="Times New Roman" w:hAnsi="Times" w:cs="Times New Roman"/>
              </w:rPr>
            </w:pPr>
            <w:r w:rsidRPr="00BF1632">
              <w:t>11 September 2015; 1 May 2017.</w:t>
            </w:r>
          </w:p>
        </w:tc>
      </w:tr>
      <w:tr w:rsidR="00417590" w:rsidRPr="00BF1632" w:rsidTr="002E15F5">
        <w:trPr>
          <w:cantSplit/>
          <w:trHeight w:val="832"/>
        </w:trPr>
        <w:tc>
          <w:tcPr>
            <w:tcW w:w="796" w:type="pct"/>
            <w:tcBorders>
              <w:top w:val="nil"/>
              <w:bottom w:val="nil"/>
            </w:tcBorders>
          </w:tcPr>
          <w:p w:rsidR="00417590" w:rsidRPr="00BF1632" w:rsidRDefault="00417590" w:rsidP="00BB5B72">
            <w:pPr>
              <w:pStyle w:val="TableText"/>
              <w:keepLines/>
            </w:pPr>
          </w:p>
        </w:tc>
        <w:tc>
          <w:tcPr>
            <w:tcW w:w="3289" w:type="pct"/>
            <w:tcBorders>
              <w:top w:val="nil"/>
              <w:bottom w:val="nil"/>
            </w:tcBorders>
          </w:tcPr>
          <w:p w:rsidR="00417590" w:rsidRPr="00BF1632" w:rsidRDefault="00417590" w:rsidP="00BB5B72">
            <w:pPr>
              <w:pStyle w:val="TableText"/>
              <w:keepLines/>
            </w:pPr>
            <w:r w:rsidRPr="00BF1632">
              <w:t>Dreyling M, Junczak W, Jerkeman M, et al. Ibrutinib versus temsirolimus in patients with relapsed or refractory mantle-cell lymphoma: an international, randomised, open-label, Phase 3 study.</w:t>
            </w:r>
          </w:p>
        </w:tc>
        <w:tc>
          <w:tcPr>
            <w:tcW w:w="915" w:type="pct"/>
            <w:tcBorders>
              <w:top w:val="nil"/>
              <w:bottom w:val="nil"/>
            </w:tcBorders>
          </w:tcPr>
          <w:p w:rsidR="00417590" w:rsidRPr="00BF1632" w:rsidRDefault="00417590" w:rsidP="00BB5B72">
            <w:pPr>
              <w:pStyle w:val="TableText"/>
              <w:keepLines/>
            </w:pPr>
            <w:r w:rsidRPr="00BF1632">
              <w:t>The Lancet 2016; 307: 770-778.</w:t>
            </w:r>
          </w:p>
        </w:tc>
      </w:tr>
      <w:tr w:rsidR="00417590" w:rsidRPr="00BF1632" w:rsidTr="002E15F5">
        <w:trPr>
          <w:cantSplit/>
        </w:trPr>
        <w:tc>
          <w:tcPr>
            <w:tcW w:w="5000" w:type="pct"/>
            <w:gridSpan w:val="3"/>
            <w:tcBorders>
              <w:bottom w:val="single" w:sz="4" w:space="0" w:color="auto"/>
            </w:tcBorders>
          </w:tcPr>
          <w:p w:rsidR="00417590" w:rsidRPr="00BF1632" w:rsidRDefault="00417590" w:rsidP="00BB5B72">
            <w:pPr>
              <w:pStyle w:val="TableText"/>
              <w:keepLines/>
            </w:pPr>
            <w:r w:rsidRPr="00BF1632">
              <w:rPr>
                <w:b/>
              </w:rPr>
              <w:t>Supplementary randomised trials – proxies for efficacy of R-CHOP</w:t>
            </w:r>
          </w:p>
        </w:tc>
      </w:tr>
      <w:tr w:rsidR="00417590" w:rsidRPr="00BF1632" w:rsidTr="002E15F5">
        <w:trPr>
          <w:cantSplit/>
        </w:trPr>
        <w:tc>
          <w:tcPr>
            <w:tcW w:w="796"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Forstpointner (2004)</w:t>
            </w:r>
          </w:p>
        </w:tc>
        <w:tc>
          <w:tcPr>
            <w:tcW w:w="3289"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Forstpointner R, Dreyling M, Repp R, et al. The addition of rituximab to a combination of fludarabine, cyclophosphamide, mitoxantrone (FCM) significantly increases the response rate and prolongs survival as compared with FCM alone in patients with relapsed and refractory follicular and mantle cell lymphomas: results of a prospective randomised study of the German Low Grade Lymphoma Study Group.</w:t>
            </w:r>
          </w:p>
        </w:tc>
        <w:tc>
          <w:tcPr>
            <w:tcW w:w="915"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Blood 2004; 104(10): 3064-3071.</w:t>
            </w:r>
          </w:p>
        </w:tc>
      </w:tr>
      <w:tr w:rsidR="00417590" w:rsidRPr="00BF1632" w:rsidTr="002E15F5">
        <w:trPr>
          <w:cantSplit/>
        </w:trPr>
        <w:tc>
          <w:tcPr>
            <w:tcW w:w="796" w:type="pct"/>
            <w:tcBorders>
              <w:top w:val="single" w:sz="4" w:space="0" w:color="auto"/>
              <w:bottom w:val="single" w:sz="4" w:space="0" w:color="auto"/>
            </w:tcBorders>
          </w:tcPr>
          <w:p w:rsidR="00417590" w:rsidRPr="00BF1632" w:rsidRDefault="00417590" w:rsidP="00BB5B72">
            <w:pPr>
              <w:pStyle w:val="TableText"/>
              <w:keepLines/>
            </w:pPr>
            <w:r w:rsidRPr="00BF1632">
              <w:t>Rummel (2016)</w:t>
            </w:r>
          </w:p>
        </w:tc>
        <w:tc>
          <w:tcPr>
            <w:tcW w:w="3289" w:type="pct"/>
            <w:tcBorders>
              <w:top w:val="single" w:sz="4" w:space="0" w:color="auto"/>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Rummel M, Kaiser U, Basler C, et al. Bendamustine plus rituximab versus fludarabine plus rituximab for patients with relapsed indolent and mantle cell lymphomas: a multicentre, randomised, open-label, non-inferiority Phase 3 trial.</w:t>
            </w:r>
          </w:p>
        </w:tc>
        <w:tc>
          <w:tcPr>
            <w:tcW w:w="915" w:type="pct"/>
            <w:tcBorders>
              <w:top w:val="single" w:sz="4" w:space="0" w:color="auto"/>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Lancet Oncology 2016; 17: 57-66.</w:t>
            </w:r>
          </w:p>
        </w:tc>
      </w:tr>
      <w:tr w:rsidR="00417590" w:rsidRPr="00BF1632" w:rsidTr="002E15F5">
        <w:trPr>
          <w:cantSplit/>
        </w:trPr>
        <w:tc>
          <w:tcPr>
            <w:tcW w:w="5000" w:type="pct"/>
            <w:gridSpan w:val="3"/>
            <w:tcBorders>
              <w:top w:val="single" w:sz="4" w:space="0" w:color="auto"/>
              <w:bottom w:val="single" w:sz="4" w:space="0" w:color="auto"/>
            </w:tcBorders>
          </w:tcPr>
          <w:p w:rsidR="00417590" w:rsidRPr="00BF1632" w:rsidRDefault="00417590" w:rsidP="00BB5B72">
            <w:pPr>
              <w:pStyle w:val="TableText"/>
              <w:keepLines/>
            </w:pPr>
            <w:r w:rsidRPr="00BF1632">
              <w:rPr>
                <w:b/>
              </w:rPr>
              <w:t>Supplementary studies – proxies for efficacy of R-CHOP</w:t>
            </w:r>
          </w:p>
        </w:tc>
      </w:tr>
      <w:tr w:rsidR="00417590" w:rsidRPr="00BF1632" w:rsidTr="002E15F5">
        <w:trPr>
          <w:cantSplit/>
        </w:trPr>
        <w:tc>
          <w:tcPr>
            <w:tcW w:w="796" w:type="pct"/>
            <w:tcBorders>
              <w:top w:val="single" w:sz="4" w:space="0" w:color="auto"/>
              <w:bottom w:val="single" w:sz="4" w:space="0" w:color="auto"/>
            </w:tcBorders>
          </w:tcPr>
          <w:p w:rsidR="00417590" w:rsidRPr="00BF1632" w:rsidRDefault="00417590" w:rsidP="00BB5B72">
            <w:pPr>
              <w:pStyle w:val="TableText"/>
              <w:keepLines/>
            </w:pPr>
            <w:r w:rsidRPr="00BF1632">
              <w:t>Opat (2016)</w:t>
            </w:r>
          </w:p>
        </w:tc>
        <w:tc>
          <w:tcPr>
            <w:tcW w:w="3289" w:type="pct"/>
            <w:tcBorders>
              <w:top w:val="single" w:sz="4" w:space="0" w:color="auto"/>
              <w:bottom w:val="single" w:sz="4" w:space="0" w:color="auto"/>
            </w:tcBorders>
          </w:tcPr>
          <w:p w:rsidR="00417590" w:rsidRPr="00BF1632" w:rsidRDefault="00417590" w:rsidP="00BB5B72">
            <w:pPr>
              <w:pStyle w:val="TableText"/>
              <w:keepLines/>
            </w:pPr>
            <w:r w:rsidRPr="00BF1632">
              <w:t>Opat S. Mantle cell lymphoma. Monash Health.</w:t>
            </w:r>
          </w:p>
        </w:tc>
        <w:tc>
          <w:tcPr>
            <w:tcW w:w="915" w:type="pct"/>
            <w:tcBorders>
              <w:top w:val="single" w:sz="4" w:space="0" w:color="auto"/>
              <w:bottom w:val="single" w:sz="4" w:space="0" w:color="auto"/>
            </w:tcBorders>
          </w:tcPr>
          <w:p w:rsidR="00417590" w:rsidRPr="00BF1632" w:rsidRDefault="00417590" w:rsidP="00BB5B72">
            <w:pPr>
              <w:pStyle w:val="TableText"/>
              <w:keepLines/>
            </w:pPr>
            <w:r w:rsidRPr="00BF1632">
              <w:t>2016</w:t>
            </w:r>
          </w:p>
        </w:tc>
      </w:tr>
      <w:tr w:rsidR="00417590" w:rsidRPr="00BF1632" w:rsidTr="002E15F5">
        <w:trPr>
          <w:cantSplit/>
        </w:trPr>
        <w:tc>
          <w:tcPr>
            <w:tcW w:w="796" w:type="pct"/>
            <w:tcBorders>
              <w:top w:val="single" w:sz="4" w:space="0" w:color="auto"/>
            </w:tcBorders>
          </w:tcPr>
          <w:p w:rsidR="00417590" w:rsidRPr="00BF1632" w:rsidRDefault="00417590" w:rsidP="00BB5B72">
            <w:pPr>
              <w:pStyle w:val="TableText"/>
              <w:keepLines/>
            </w:pPr>
            <w:r w:rsidRPr="00BF1632">
              <w:t>Patmore (2016)</w:t>
            </w:r>
          </w:p>
        </w:tc>
        <w:tc>
          <w:tcPr>
            <w:tcW w:w="3289" w:type="pct"/>
            <w:tcBorders>
              <w:top w:val="single" w:sz="4" w:space="0" w:color="auto"/>
            </w:tcBorders>
          </w:tcPr>
          <w:p w:rsidR="00417590" w:rsidRPr="00BF1632" w:rsidRDefault="00417590" w:rsidP="00BB5B72">
            <w:pPr>
              <w:pStyle w:val="TableText"/>
              <w:keepLines/>
            </w:pPr>
            <w:r w:rsidRPr="00BF1632">
              <w:t>Patmore R, Smith A, Appleton S, et al. Mantle cell lymphoma management and outcome in the UK’s population-based Haematological Malignancy Research Network. Abstract only.</w:t>
            </w:r>
          </w:p>
        </w:tc>
        <w:tc>
          <w:tcPr>
            <w:tcW w:w="915" w:type="pct"/>
            <w:tcBorders>
              <w:top w:val="single" w:sz="4" w:space="0" w:color="auto"/>
            </w:tcBorders>
          </w:tcPr>
          <w:p w:rsidR="00417590" w:rsidRPr="00BF1632" w:rsidRDefault="00417590" w:rsidP="00BB5B72">
            <w:pPr>
              <w:pStyle w:val="TableText"/>
              <w:keepLines/>
            </w:pPr>
            <w:r w:rsidRPr="00BF1632">
              <w:t>American Society of Hematology – 58th meeting. 2016; 1112.</w:t>
            </w:r>
          </w:p>
        </w:tc>
      </w:tr>
      <w:tr w:rsidR="00417590" w:rsidRPr="00BF1632" w:rsidTr="002E15F5">
        <w:trPr>
          <w:cantSplit/>
        </w:trPr>
        <w:tc>
          <w:tcPr>
            <w:tcW w:w="5000" w:type="pct"/>
            <w:gridSpan w:val="3"/>
            <w:tcBorders>
              <w:bottom w:val="single" w:sz="4" w:space="0" w:color="auto"/>
            </w:tcBorders>
          </w:tcPr>
          <w:p w:rsidR="00417590" w:rsidRPr="00BF1632" w:rsidRDefault="00417590" w:rsidP="00BB5B72">
            <w:pPr>
              <w:pStyle w:val="TableText"/>
              <w:keepLines/>
              <w:rPr>
                <w:b/>
              </w:rPr>
            </w:pPr>
            <w:r w:rsidRPr="00BF1632">
              <w:rPr>
                <w:b/>
              </w:rPr>
              <w:t>Supplementary randomised trials – safety of R-CHOP</w:t>
            </w:r>
          </w:p>
        </w:tc>
      </w:tr>
      <w:tr w:rsidR="00417590" w:rsidRPr="00BF1632" w:rsidTr="002E15F5">
        <w:trPr>
          <w:cantSplit/>
        </w:trPr>
        <w:tc>
          <w:tcPr>
            <w:tcW w:w="796"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Lenz (2005)</w:t>
            </w:r>
          </w:p>
        </w:tc>
        <w:tc>
          <w:tcPr>
            <w:tcW w:w="3289"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Lenz G, Dreyling M, Hoster E, et al. Immunochemotherapy with rituximab and cyclophosphamide, doxorubicin, vincristine, and prednisone significantly improves response and time to treatment failure, but not long-term outcome in patients with previously untreated Mantle Cell Lymphoma: Results of a prospective randomised trial of the German Low Grade Lymphoma Study Group (GLSG).</w:t>
            </w:r>
          </w:p>
        </w:tc>
        <w:tc>
          <w:tcPr>
            <w:tcW w:w="915" w:type="pct"/>
            <w:tcBorders>
              <w:bottom w:val="single" w:sz="4" w:space="0" w:color="auto"/>
            </w:tcBorders>
          </w:tcPr>
          <w:p w:rsidR="00417590" w:rsidRPr="00BF1632" w:rsidRDefault="00417590" w:rsidP="00BB5B72">
            <w:pPr>
              <w:pStyle w:val="TableText"/>
              <w:keepLines/>
              <w:rPr>
                <w:rFonts w:ascii="Times" w:eastAsia="Times New Roman" w:hAnsi="Times" w:cs="Times New Roman"/>
              </w:rPr>
            </w:pPr>
            <w:r w:rsidRPr="00BF1632">
              <w:t>Journal of Clinical Oncology 2005; 23(9): 1984-1992.</w:t>
            </w:r>
          </w:p>
        </w:tc>
      </w:tr>
      <w:tr w:rsidR="00417590" w:rsidRPr="00BF1632" w:rsidTr="002E15F5">
        <w:trPr>
          <w:cantSplit/>
        </w:trPr>
        <w:tc>
          <w:tcPr>
            <w:tcW w:w="796" w:type="pct"/>
            <w:tcBorders>
              <w:top w:val="single" w:sz="4" w:space="0" w:color="auto"/>
              <w:bottom w:val="single" w:sz="4" w:space="0" w:color="auto"/>
            </w:tcBorders>
          </w:tcPr>
          <w:p w:rsidR="00417590" w:rsidRPr="00BF1632" w:rsidRDefault="00417590" w:rsidP="00BB5B72">
            <w:pPr>
              <w:pStyle w:val="TableText"/>
              <w:keepLines/>
            </w:pPr>
            <w:r w:rsidRPr="00BF1632">
              <w:t>Kluin-Nelemans (2012)</w:t>
            </w:r>
          </w:p>
        </w:tc>
        <w:tc>
          <w:tcPr>
            <w:tcW w:w="3289" w:type="pct"/>
            <w:tcBorders>
              <w:top w:val="single" w:sz="4" w:space="0" w:color="auto"/>
              <w:bottom w:val="single" w:sz="4" w:space="0" w:color="auto"/>
            </w:tcBorders>
          </w:tcPr>
          <w:p w:rsidR="00417590" w:rsidRPr="00BF1632" w:rsidRDefault="00417590" w:rsidP="00BB5B72">
            <w:pPr>
              <w:pStyle w:val="TableText"/>
              <w:keepLines/>
            </w:pPr>
            <w:r w:rsidRPr="00BF1632">
              <w:t>Kluin-Nelemans H, Hoster E, Hermine O, et al. Treatment of older patients with mantle-cell lymphoma.</w:t>
            </w:r>
          </w:p>
        </w:tc>
        <w:tc>
          <w:tcPr>
            <w:tcW w:w="915" w:type="pct"/>
            <w:tcBorders>
              <w:top w:val="single" w:sz="4" w:space="0" w:color="auto"/>
              <w:bottom w:val="single" w:sz="4" w:space="0" w:color="auto"/>
            </w:tcBorders>
          </w:tcPr>
          <w:p w:rsidR="00417590" w:rsidRPr="00BF1632" w:rsidRDefault="00417590" w:rsidP="00BB5B72">
            <w:pPr>
              <w:pStyle w:val="TableText"/>
              <w:keepLines/>
            </w:pPr>
            <w:r w:rsidRPr="00BF1632">
              <w:t>New England Journal of Medicine 2012; 367: 520-531.</w:t>
            </w:r>
          </w:p>
        </w:tc>
      </w:tr>
      <w:tr w:rsidR="00417590" w:rsidRPr="00BF1632" w:rsidTr="002E15F5">
        <w:trPr>
          <w:cantSplit/>
        </w:trPr>
        <w:tc>
          <w:tcPr>
            <w:tcW w:w="796" w:type="pct"/>
            <w:tcBorders>
              <w:top w:val="single" w:sz="4" w:space="0" w:color="auto"/>
              <w:left w:val="single" w:sz="4" w:space="0" w:color="auto"/>
              <w:bottom w:val="single" w:sz="4" w:space="0" w:color="auto"/>
              <w:right w:val="single" w:sz="4" w:space="0" w:color="auto"/>
            </w:tcBorders>
          </w:tcPr>
          <w:p w:rsidR="00417590" w:rsidRPr="00BF1632" w:rsidRDefault="00417590" w:rsidP="00BB5B72">
            <w:pPr>
              <w:pStyle w:val="TableText"/>
              <w:keepLines/>
            </w:pPr>
            <w:r w:rsidRPr="00BF1632">
              <w:t>Robak (2015)</w:t>
            </w:r>
          </w:p>
        </w:tc>
        <w:tc>
          <w:tcPr>
            <w:tcW w:w="3289" w:type="pct"/>
            <w:tcBorders>
              <w:top w:val="single" w:sz="4" w:space="0" w:color="auto"/>
              <w:left w:val="single" w:sz="4" w:space="0" w:color="auto"/>
              <w:bottom w:val="single" w:sz="4" w:space="0" w:color="auto"/>
              <w:right w:val="single" w:sz="4" w:space="0" w:color="auto"/>
            </w:tcBorders>
          </w:tcPr>
          <w:p w:rsidR="00417590" w:rsidRPr="00BF1632" w:rsidRDefault="00417590" w:rsidP="00BB5B72">
            <w:pPr>
              <w:pStyle w:val="TableText"/>
              <w:keepLines/>
            </w:pPr>
            <w:r w:rsidRPr="00BF1632">
              <w:t>Robak T, Huang H, Jie J, et al. Bortezomib-based therapy for newly diagnosed Mantle-cell lymphoma.</w:t>
            </w:r>
          </w:p>
        </w:tc>
        <w:tc>
          <w:tcPr>
            <w:tcW w:w="915" w:type="pct"/>
            <w:tcBorders>
              <w:top w:val="single" w:sz="4" w:space="0" w:color="auto"/>
              <w:left w:val="single" w:sz="4" w:space="0" w:color="auto"/>
              <w:bottom w:val="single" w:sz="4" w:space="0" w:color="auto"/>
              <w:right w:val="single" w:sz="4" w:space="0" w:color="auto"/>
            </w:tcBorders>
          </w:tcPr>
          <w:p w:rsidR="00417590" w:rsidRPr="00BF1632" w:rsidRDefault="00417590" w:rsidP="00BB5B72">
            <w:pPr>
              <w:pStyle w:val="TableText"/>
              <w:keepLines/>
            </w:pPr>
            <w:r w:rsidRPr="00BF1632">
              <w:t>New England Journal of Medicine 2015; 372(10): 944-953.</w:t>
            </w:r>
          </w:p>
        </w:tc>
      </w:tr>
    </w:tbl>
    <w:p w:rsidR="00417590" w:rsidRPr="00BF1632" w:rsidRDefault="00417590" w:rsidP="00BB5B72">
      <w:pPr>
        <w:pStyle w:val="TableFooter"/>
        <w:keepNext/>
        <w:keepLines/>
      </w:pPr>
      <w:r w:rsidRPr="00BF1632">
        <w:t xml:space="preserve">Source: Table 2.12, p20 of the resubmission and complied from Section 2 of the resubmission during evaluation </w:t>
      </w:r>
    </w:p>
    <w:p w:rsidR="00417590" w:rsidRPr="00BF1632" w:rsidRDefault="00417590" w:rsidP="00BB5B72">
      <w:pPr>
        <w:pStyle w:val="TableFooter"/>
        <w:keepNext/>
        <w:keepLines/>
      </w:pPr>
      <w:r w:rsidRPr="00BF1632">
        <w:t>R-CHOP = rituximab, cyclophosphamide, doxorubicin, vincristine, prednisone</w:t>
      </w:r>
    </w:p>
    <w:p w:rsidR="00BB5B72" w:rsidRPr="00BF1632" w:rsidRDefault="00BB5B72" w:rsidP="000D6801">
      <w:pPr>
        <w:pStyle w:val="ListParagraph"/>
        <w:numPr>
          <w:ilvl w:val="1"/>
          <w:numId w:val="1"/>
        </w:numPr>
        <w:spacing w:before="0" w:after="120"/>
        <w:ind w:left="720" w:hanging="720"/>
        <w:jc w:val="both"/>
      </w:pPr>
      <w:r w:rsidRPr="00BF1632">
        <w:t xml:space="preserve">The key features of the randomised trials and supplementary studies are summarised in the table below.  </w:t>
      </w:r>
    </w:p>
    <w:p w:rsidR="00417590" w:rsidRPr="00BF1632" w:rsidRDefault="00417590" w:rsidP="00417590">
      <w:pPr>
        <w:pStyle w:val="TableHeading1"/>
      </w:pPr>
      <w:r w:rsidRPr="00BF1632">
        <w:t xml:space="preserve">Table 4: Key features of the included evidence, ibrutinib versus R-CHOP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3"/>
        <w:gridCol w:w="619"/>
        <w:gridCol w:w="1855"/>
        <w:gridCol w:w="714"/>
        <w:gridCol w:w="1856"/>
        <w:gridCol w:w="1286"/>
        <w:gridCol w:w="1519"/>
      </w:tblGrid>
      <w:tr w:rsidR="00417590" w:rsidRPr="00BF1632" w:rsidTr="002E15F5">
        <w:trPr>
          <w:cantSplit/>
          <w:tblHeader/>
          <w:jc w:val="center"/>
        </w:trPr>
        <w:tc>
          <w:tcPr>
            <w:tcW w:w="679" w:type="pct"/>
            <w:shd w:val="clear" w:color="auto" w:fill="auto"/>
            <w:vAlign w:val="center"/>
          </w:tcPr>
          <w:p w:rsidR="00417590" w:rsidRPr="00BF1632" w:rsidRDefault="00417590" w:rsidP="00BB5B72">
            <w:pPr>
              <w:pStyle w:val="TableText"/>
              <w:rPr>
                <w:b/>
                <w:szCs w:val="20"/>
              </w:rPr>
            </w:pPr>
            <w:r w:rsidRPr="00BF1632">
              <w:rPr>
                <w:b/>
                <w:szCs w:val="20"/>
              </w:rPr>
              <w:t>Trial</w:t>
            </w:r>
          </w:p>
        </w:tc>
        <w:tc>
          <w:tcPr>
            <w:tcW w:w="341" w:type="pct"/>
            <w:shd w:val="clear" w:color="auto" w:fill="auto"/>
            <w:vAlign w:val="center"/>
          </w:tcPr>
          <w:p w:rsidR="00417590" w:rsidRPr="00BF1632" w:rsidRDefault="00417590" w:rsidP="00BB5B72">
            <w:pPr>
              <w:pStyle w:val="TableText"/>
              <w:rPr>
                <w:b/>
                <w:szCs w:val="20"/>
              </w:rPr>
            </w:pPr>
            <w:r w:rsidRPr="00BF1632">
              <w:rPr>
                <w:b/>
                <w:szCs w:val="20"/>
              </w:rPr>
              <w:t>N</w:t>
            </w:r>
          </w:p>
        </w:tc>
        <w:tc>
          <w:tcPr>
            <w:tcW w:w="1021" w:type="pct"/>
            <w:shd w:val="clear" w:color="auto" w:fill="auto"/>
            <w:vAlign w:val="center"/>
          </w:tcPr>
          <w:p w:rsidR="00417590" w:rsidRPr="00BF1632" w:rsidRDefault="00417590" w:rsidP="00BB5B72">
            <w:pPr>
              <w:pStyle w:val="TableText"/>
              <w:rPr>
                <w:b/>
                <w:szCs w:val="20"/>
              </w:rPr>
            </w:pPr>
            <w:r w:rsidRPr="00BF1632">
              <w:rPr>
                <w:b/>
                <w:szCs w:val="20"/>
              </w:rPr>
              <w:t>Design/duration of follow-up</w:t>
            </w:r>
          </w:p>
        </w:tc>
        <w:tc>
          <w:tcPr>
            <w:tcW w:w="393" w:type="pct"/>
            <w:shd w:val="clear" w:color="auto" w:fill="auto"/>
            <w:vAlign w:val="center"/>
          </w:tcPr>
          <w:p w:rsidR="00417590" w:rsidRPr="00BF1632" w:rsidRDefault="00417590" w:rsidP="00BB5B72">
            <w:pPr>
              <w:pStyle w:val="TableText"/>
              <w:rPr>
                <w:b/>
                <w:szCs w:val="20"/>
              </w:rPr>
            </w:pPr>
            <w:r w:rsidRPr="00BF1632">
              <w:rPr>
                <w:b/>
                <w:szCs w:val="20"/>
              </w:rPr>
              <w:t>Risk of bias</w:t>
            </w:r>
          </w:p>
        </w:tc>
        <w:tc>
          <w:tcPr>
            <w:tcW w:w="1022" w:type="pct"/>
            <w:shd w:val="clear" w:color="auto" w:fill="auto"/>
            <w:vAlign w:val="center"/>
          </w:tcPr>
          <w:p w:rsidR="00417590" w:rsidRPr="00BF1632" w:rsidRDefault="00417590" w:rsidP="00BB5B72">
            <w:pPr>
              <w:pStyle w:val="TableText"/>
              <w:rPr>
                <w:b/>
                <w:szCs w:val="20"/>
              </w:rPr>
            </w:pPr>
            <w:r w:rsidRPr="00BF1632">
              <w:rPr>
                <w:b/>
                <w:szCs w:val="20"/>
              </w:rPr>
              <w:t>Patient population</w:t>
            </w:r>
          </w:p>
        </w:tc>
        <w:tc>
          <w:tcPr>
            <w:tcW w:w="708" w:type="pct"/>
            <w:shd w:val="clear" w:color="auto" w:fill="auto"/>
            <w:vAlign w:val="center"/>
          </w:tcPr>
          <w:p w:rsidR="00417590" w:rsidRPr="00BF1632" w:rsidRDefault="00417590" w:rsidP="00BB5B72">
            <w:pPr>
              <w:pStyle w:val="TableText"/>
              <w:rPr>
                <w:b/>
                <w:szCs w:val="20"/>
              </w:rPr>
            </w:pPr>
            <w:r w:rsidRPr="00BF1632">
              <w:rPr>
                <w:b/>
                <w:szCs w:val="20"/>
              </w:rPr>
              <w:t>Outcome</w:t>
            </w:r>
          </w:p>
        </w:tc>
        <w:tc>
          <w:tcPr>
            <w:tcW w:w="836" w:type="pct"/>
            <w:shd w:val="clear" w:color="auto" w:fill="auto"/>
            <w:vAlign w:val="center"/>
          </w:tcPr>
          <w:p w:rsidR="00417590" w:rsidRPr="00BF1632" w:rsidRDefault="00417590" w:rsidP="00BB5B72">
            <w:pPr>
              <w:pStyle w:val="TableText"/>
              <w:rPr>
                <w:b/>
                <w:szCs w:val="20"/>
              </w:rPr>
            </w:pPr>
            <w:r w:rsidRPr="00BF1632">
              <w:rPr>
                <w:b/>
                <w:szCs w:val="20"/>
              </w:rPr>
              <w:t>Used in economic evaluation</w:t>
            </w:r>
          </w:p>
        </w:tc>
      </w:tr>
      <w:tr w:rsidR="00417590" w:rsidRPr="00BF1632" w:rsidTr="002E15F5">
        <w:trPr>
          <w:cantSplit/>
          <w:trHeight w:val="204"/>
          <w:jc w:val="center"/>
        </w:trPr>
        <w:tc>
          <w:tcPr>
            <w:tcW w:w="5000" w:type="pct"/>
            <w:gridSpan w:val="7"/>
            <w:shd w:val="clear" w:color="auto" w:fill="auto"/>
            <w:vAlign w:val="center"/>
          </w:tcPr>
          <w:p w:rsidR="00417590" w:rsidRPr="00BF1632" w:rsidRDefault="00417590" w:rsidP="00BB5B72">
            <w:pPr>
              <w:pStyle w:val="TableText"/>
              <w:rPr>
                <w:b/>
                <w:szCs w:val="20"/>
              </w:rPr>
            </w:pPr>
            <w:r w:rsidRPr="00BF1632">
              <w:rPr>
                <w:b/>
                <w:szCs w:val="20"/>
              </w:rPr>
              <w:t>Ibrutinib versus temsirolimus</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rPr>
                <w:szCs w:val="20"/>
              </w:rPr>
            </w:pPr>
            <w:r w:rsidRPr="00BF1632">
              <w:rPr>
                <w:szCs w:val="20"/>
              </w:rPr>
              <w:t>MCL-3001</w:t>
            </w:r>
          </w:p>
        </w:tc>
        <w:tc>
          <w:tcPr>
            <w:tcW w:w="341" w:type="pct"/>
            <w:shd w:val="clear" w:color="auto" w:fill="auto"/>
            <w:vAlign w:val="center"/>
          </w:tcPr>
          <w:p w:rsidR="00417590" w:rsidRPr="00BF1632" w:rsidRDefault="00417590" w:rsidP="00BB5B72">
            <w:pPr>
              <w:pStyle w:val="TableText"/>
              <w:rPr>
                <w:szCs w:val="20"/>
              </w:rPr>
            </w:pPr>
            <w:r w:rsidRPr="00BF1632">
              <w:rPr>
                <w:szCs w:val="20"/>
              </w:rPr>
              <w:t>280</w:t>
            </w:r>
          </w:p>
        </w:tc>
        <w:tc>
          <w:tcPr>
            <w:tcW w:w="1021" w:type="pct"/>
            <w:shd w:val="clear" w:color="auto" w:fill="auto"/>
            <w:vAlign w:val="center"/>
          </w:tcPr>
          <w:p w:rsidR="00417590" w:rsidRPr="00BF1632" w:rsidRDefault="00417590" w:rsidP="00BB5B72">
            <w:pPr>
              <w:pStyle w:val="TableText"/>
              <w:rPr>
                <w:szCs w:val="20"/>
              </w:rPr>
            </w:pPr>
            <w:r w:rsidRPr="00BF1632">
              <w:rPr>
                <w:szCs w:val="20"/>
              </w:rPr>
              <w:t>R, OL, MC</w:t>
            </w:r>
          </w:p>
          <w:p w:rsidR="00417590" w:rsidRPr="00BF1632" w:rsidRDefault="00F36A91" w:rsidP="00BB5B72">
            <w:pPr>
              <w:pStyle w:val="TableText"/>
              <w:rPr>
                <w:szCs w:val="20"/>
              </w:rPr>
            </w:pPr>
            <w:r>
              <w:rPr>
                <w:noProof/>
                <w:color w:val="000000"/>
                <w:szCs w:val="20"/>
                <w:highlight w:val="black"/>
              </w:rPr>
              <w:t>''''''''''</w:t>
            </w:r>
            <w:r w:rsidR="00417590" w:rsidRPr="00BF1632">
              <w:rPr>
                <w:szCs w:val="20"/>
              </w:rPr>
              <w:t xml:space="preserve"> months</w:t>
            </w:r>
          </w:p>
        </w:tc>
        <w:tc>
          <w:tcPr>
            <w:tcW w:w="393" w:type="pct"/>
            <w:shd w:val="clear" w:color="auto" w:fill="auto"/>
            <w:vAlign w:val="center"/>
          </w:tcPr>
          <w:p w:rsidR="00417590" w:rsidRPr="00BF1632" w:rsidRDefault="00417590" w:rsidP="00BB5B72">
            <w:pPr>
              <w:pStyle w:val="TableText"/>
              <w:rPr>
                <w:szCs w:val="20"/>
              </w:rPr>
            </w:pPr>
            <w:r w:rsidRPr="00BF1632">
              <w:rPr>
                <w:szCs w:val="20"/>
              </w:rPr>
              <w:t>Unclear</w:t>
            </w:r>
          </w:p>
        </w:tc>
        <w:tc>
          <w:tcPr>
            <w:tcW w:w="1022" w:type="pct"/>
            <w:shd w:val="clear" w:color="auto" w:fill="auto"/>
            <w:vAlign w:val="center"/>
          </w:tcPr>
          <w:p w:rsidR="00417590" w:rsidRPr="00BF1632" w:rsidRDefault="00417590" w:rsidP="00BB5B72">
            <w:pPr>
              <w:pStyle w:val="TableText"/>
              <w:rPr>
                <w:szCs w:val="20"/>
              </w:rPr>
            </w:pPr>
            <w:r w:rsidRPr="00BF1632">
              <w:rPr>
                <w:szCs w:val="20"/>
                <w:lang w:val="en-US"/>
              </w:rPr>
              <w:t>R/R MCL</w:t>
            </w:r>
          </w:p>
        </w:tc>
        <w:tc>
          <w:tcPr>
            <w:tcW w:w="708" w:type="pct"/>
            <w:shd w:val="clear" w:color="auto" w:fill="auto"/>
            <w:vAlign w:val="center"/>
          </w:tcPr>
          <w:p w:rsidR="00417590" w:rsidRPr="00BF1632" w:rsidRDefault="00417590" w:rsidP="00BB5B72">
            <w:pPr>
              <w:pStyle w:val="TableText"/>
              <w:rPr>
                <w:szCs w:val="20"/>
              </w:rPr>
            </w:pPr>
            <w:r w:rsidRPr="00BF1632">
              <w:rPr>
                <w:szCs w:val="20"/>
                <w:lang w:val="en-US"/>
              </w:rPr>
              <w:t>PFS, OS, Safety</w:t>
            </w:r>
          </w:p>
        </w:tc>
        <w:tc>
          <w:tcPr>
            <w:tcW w:w="836" w:type="pct"/>
            <w:shd w:val="clear" w:color="auto" w:fill="auto"/>
            <w:vAlign w:val="center"/>
          </w:tcPr>
          <w:p w:rsidR="00417590" w:rsidRPr="00BF1632" w:rsidRDefault="00417590" w:rsidP="00BB5B72">
            <w:pPr>
              <w:pStyle w:val="TableText"/>
              <w:rPr>
                <w:szCs w:val="20"/>
              </w:rPr>
            </w:pPr>
            <w:r w:rsidRPr="00BF1632">
              <w:rPr>
                <w:szCs w:val="20"/>
              </w:rPr>
              <w:t>Yes</w:t>
            </w:r>
          </w:p>
        </w:tc>
      </w:tr>
      <w:tr w:rsidR="00417590" w:rsidRPr="00BF1632" w:rsidTr="002E15F5">
        <w:trPr>
          <w:cantSplit/>
          <w:jc w:val="center"/>
        </w:trPr>
        <w:tc>
          <w:tcPr>
            <w:tcW w:w="5000" w:type="pct"/>
            <w:gridSpan w:val="7"/>
            <w:shd w:val="clear" w:color="auto" w:fill="auto"/>
            <w:vAlign w:val="center"/>
          </w:tcPr>
          <w:p w:rsidR="00417590" w:rsidRPr="00BF1632" w:rsidRDefault="00417590" w:rsidP="000F364B">
            <w:pPr>
              <w:pStyle w:val="TableText"/>
              <w:rPr>
                <w:szCs w:val="20"/>
              </w:rPr>
            </w:pPr>
            <w:r w:rsidRPr="00BF1632">
              <w:rPr>
                <w:b/>
                <w:szCs w:val="20"/>
                <w:lang w:val="en-US"/>
              </w:rPr>
              <w:t>Efficacy –R-CHOP</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lang w:val="en-US"/>
              </w:rPr>
              <w:t>Forstpointner (2004)</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lang w:val="en-US"/>
              </w:rPr>
              <w:t>24</w:t>
            </w:r>
            <w:r w:rsidRPr="00BF1632">
              <w:rPr>
                <w:szCs w:val="20"/>
                <w:vertAlign w:val="superscript"/>
                <w:lang w:val="en-US"/>
              </w:rPr>
              <w:t>a</w:t>
            </w:r>
          </w:p>
        </w:tc>
        <w:tc>
          <w:tcPr>
            <w:tcW w:w="1021" w:type="pct"/>
            <w:shd w:val="clear" w:color="auto" w:fill="auto"/>
            <w:vAlign w:val="center"/>
          </w:tcPr>
          <w:p w:rsidR="00417590" w:rsidRPr="00BF1632" w:rsidRDefault="00417590" w:rsidP="00BB5B72">
            <w:pPr>
              <w:pStyle w:val="TableText"/>
              <w:keepNext w:val="0"/>
              <w:rPr>
                <w:szCs w:val="20"/>
                <w:lang w:val="en-US"/>
              </w:rPr>
            </w:pPr>
            <w:r w:rsidRPr="00BF1632">
              <w:rPr>
                <w:szCs w:val="20"/>
                <w:lang w:val="en-US"/>
              </w:rPr>
              <w:t>R*, OL, MC</w:t>
            </w:r>
          </w:p>
          <w:p w:rsidR="00417590" w:rsidRPr="00BF1632" w:rsidRDefault="00417590" w:rsidP="00BB5B72">
            <w:pPr>
              <w:pStyle w:val="TableText"/>
              <w:keepNext w:val="0"/>
              <w:rPr>
                <w:szCs w:val="20"/>
              </w:rPr>
            </w:pPr>
            <w:r w:rsidRPr="00BF1632">
              <w:rPr>
                <w:szCs w:val="20"/>
                <w:lang w:val="en-US"/>
              </w:rPr>
              <w:t>18 months</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lang w:val="en-US"/>
              </w:rPr>
              <w:t>Unclear</w:t>
            </w:r>
          </w:p>
        </w:tc>
        <w:tc>
          <w:tcPr>
            <w:tcW w:w="1022" w:type="pct"/>
            <w:shd w:val="clear" w:color="auto" w:fill="auto"/>
            <w:vAlign w:val="center"/>
          </w:tcPr>
          <w:p w:rsidR="00417590" w:rsidRPr="00BF1632" w:rsidRDefault="00417590" w:rsidP="00BB5B72">
            <w:pPr>
              <w:pStyle w:val="TableText"/>
              <w:keepNext w:val="0"/>
              <w:rPr>
                <w:szCs w:val="20"/>
              </w:rPr>
            </w:pPr>
            <w:r w:rsidRPr="00BF1632">
              <w:rPr>
                <w:szCs w:val="20"/>
                <w:lang w:val="en-US"/>
              </w:rPr>
              <w:t>R/R MCL</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lang w:val="en-US"/>
              </w:rPr>
              <w:t>ORR, PFS, OS, Safety</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No</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lang w:val="en-US"/>
              </w:rPr>
              <w:t>Rummel (2016)</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lang w:val="en-US"/>
              </w:rPr>
              <w:t>23</w:t>
            </w:r>
            <w:r w:rsidRPr="00BF1632">
              <w:rPr>
                <w:szCs w:val="20"/>
                <w:vertAlign w:val="superscript"/>
                <w:lang w:val="en-US"/>
              </w:rPr>
              <w:t>b</w:t>
            </w:r>
          </w:p>
        </w:tc>
        <w:tc>
          <w:tcPr>
            <w:tcW w:w="1021" w:type="pct"/>
            <w:shd w:val="clear" w:color="auto" w:fill="auto"/>
            <w:vAlign w:val="center"/>
          </w:tcPr>
          <w:p w:rsidR="00417590" w:rsidRPr="00BF1632" w:rsidRDefault="00417590" w:rsidP="00BB5B72">
            <w:pPr>
              <w:pStyle w:val="TableText"/>
              <w:keepNext w:val="0"/>
              <w:rPr>
                <w:szCs w:val="20"/>
                <w:lang w:val="en-US"/>
              </w:rPr>
            </w:pPr>
            <w:r w:rsidRPr="00BF1632">
              <w:rPr>
                <w:szCs w:val="20"/>
                <w:lang w:val="en-US"/>
              </w:rPr>
              <w:t>R*, OL, MC</w:t>
            </w:r>
          </w:p>
          <w:p w:rsidR="00417590" w:rsidRPr="00BF1632" w:rsidRDefault="00417590" w:rsidP="00BB5B72">
            <w:pPr>
              <w:pStyle w:val="TableText"/>
              <w:keepNext w:val="0"/>
              <w:rPr>
                <w:szCs w:val="20"/>
              </w:rPr>
            </w:pPr>
            <w:r w:rsidRPr="00BF1632">
              <w:rPr>
                <w:szCs w:val="20"/>
                <w:lang w:val="en-US"/>
              </w:rPr>
              <w:t>96 months</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lang w:val="en-US"/>
              </w:rPr>
              <w:t>High</w:t>
            </w:r>
          </w:p>
        </w:tc>
        <w:tc>
          <w:tcPr>
            <w:tcW w:w="1022" w:type="pct"/>
            <w:shd w:val="clear" w:color="auto" w:fill="auto"/>
            <w:vAlign w:val="center"/>
          </w:tcPr>
          <w:p w:rsidR="00417590" w:rsidRPr="00BF1632" w:rsidRDefault="00417590" w:rsidP="00BB5B72">
            <w:pPr>
              <w:pStyle w:val="TableText"/>
              <w:keepNext w:val="0"/>
              <w:rPr>
                <w:szCs w:val="20"/>
              </w:rPr>
            </w:pPr>
            <w:r w:rsidRPr="00BF1632">
              <w:rPr>
                <w:szCs w:val="20"/>
                <w:lang w:val="en-US"/>
              </w:rPr>
              <w:t>R/R MCL</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lang w:val="en-US"/>
              </w:rPr>
              <w:t>PFS, OS, ORR, Safety</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No</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rPr>
              <w:t>Opat (2016)</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rPr>
              <w:t>58</w:t>
            </w:r>
          </w:p>
        </w:tc>
        <w:tc>
          <w:tcPr>
            <w:tcW w:w="1021" w:type="pct"/>
            <w:shd w:val="clear" w:color="auto" w:fill="auto"/>
            <w:vAlign w:val="center"/>
          </w:tcPr>
          <w:p w:rsidR="00417590" w:rsidRPr="00BF1632" w:rsidRDefault="00417590" w:rsidP="00BB5B72">
            <w:pPr>
              <w:pStyle w:val="TableText"/>
              <w:keepNext w:val="0"/>
              <w:rPr>
                <w:szCs w:val="20"/>
              </w:rPr>
            </w:pPr>
            <w:r w:rsidRPr="00BF1632">
              <w:rPr>
                <w:szCs w:val="20"/>
              </w:rPr>
              <w:t>Retrospective analysis of registry data</w:t>
            </w:r>
          </w:p>
          <w:p w:rsidR="00417590" w:rsidRPr="00BF1632" w:rsidRDefault="00417590" w:rsidP="00BB5B72">
            <w:pPr>
              <w:pStyle w:val="TableText"/>
              <w:keepNext w:val="0"/>
              <w:rPr>
                <w:szCs w:val="20"/>
              </w:rPr>
            </w:pPr>
            <w:r w:rsidRPr="00BF1632">
              <w:rPr>
                <w:szCs w:val="20"/>
              </w:rPr>
              <w:t>2004-2015</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rPr>
              <w:t>High</w:t>
            </w:r>
          </w:p>
        </w:tc>
        <w:tc>
          <w:tcPr>
            <w:tcW w:w="1022" w:type="pct"/>
            <w:shd w:val="clear" w:color="auto" w:fill="auto"/>
            <w:vAlign w:val="center"/>
          </w:tcPr>
          <w:p w:rsidR="00417590" w:rsidRPr="00BF1632" w:rsidRDefault="00417590" w:rsidP="00BB5B72">
            <w:pPr>
              <w:pStyle w:val="TableText"/>
              <w:keepNext w:val="0"/>
              <w:rPr>
                <w:szCs w:val="20"/>
              </w:rPr>
            </w:pPr>
            <w:r w:rsidRPr="00BF1632">
              <w:rPr>
                <w:szCs w:val="20"/>
                <w:lang w:val="en-US"/>
              </w:rPr>
              <w:t>MCL</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rPr>
              <w:t>OS</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No</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rPr>
              <w:t>Patmore (2016)</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rPr>
              <w:t>327</w:t>
            </w:r>
          </w:p>
        </w:tc>
        <w:tc>
          <w:tcPr>
            <w:tcW w:w="1021" w:type="pct"/>
            <w:shd w:val="clear" w:color="auto" w:fill="auto"/>
            <w:vAlign w:val="center"/>
          </w:tcPr>
          <w:p w:rsidR="00417590" w:rsidRPr="00BF1632" w:rsidRDefault="00417590" w:rsidP="00BB5B72">
            <w:pPr>
              <w:pStyle w:val="TableText"/>
              <w:keepNext w:val="0"/>
              <w:rPr>
                <w:szCs w:val="20"/>
              </w:rPr>
            </w:pPr>
            <w:r w:rsidRPr="00BF1632">
              <w:rPr>
                <w:szCs w:val="20"/>
              </w:rPr>
              <w:t>Retrospective analysis of registry data</w:t>
            </w:r>
          </w:p>
          <w:p w:rsidR="00417590" w:rsidRPr="00BF1632" w:rsidRDefault="00417590" w:rsidP="00BB5B72">
            <w:pPr>
              <w:pStyle w:val="TableText"/>
              <w:keepNext w:val="0"/>
              <w:rPr>
                <w:szCs w:val="20"/>
              </w:rPr>
            </w:pPr>
            <w:r w:rsidRPr="00BF1632">
              <w:rPr>
                <w:szCs w:val="20"/>
              </w:rPr>
              <w:t>2006-2016</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rPr>
              <w:t>High</w:t>
            </w:r>
          </w:p>
        </w:tc>
        <w:tc>
          <w:tcPr>
            <w:tcW w:w="1022" w:type="pct"/>
            <w:shd w:val="clear" w:color="auto" w:fill="auto"/>
            <w:vAlign w:val="center"/>
          </w:tcPr>
          <w:p w:rsidR="00417590" w:rsidRPr="00BF1632" w:rsidRDefault="00417590" w:rsidP="00BB5B72">
            <w:pPr>
              <w:pStyle w:val="TableText"/>
              <w:keepNext w:val="0"/>
              <w:rPr>
                <w:szCs w:val="20"/>
              </w:rPr>
            </w:pPr>
            <w:r w:rsidRPr="00BF1632">
              <w:rPr>
                <w:szCs w:val="20"/>
                <w:lang w:val="en-US"/>
              </w:rPr>
              <w:t>MCL</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rPr>
              <w:t>OS</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No</w:t>
            </w:r>
          </w:p>
        </w:tc>
      </w:tr>
      <w:tr w:rsidR="00417590" w:rsidRPr="00BF1632" w:rsidTr="002E15F5">
        <w:trPr>
          <w:cantSplit/>
          <w:jc w:val="center"/>
        </w:trPr>
        <w:tc>
          <w:tcPr>
            <w:tcW w:w="5000" w:type="pct"/>
            <w:gridSpan w:val="7"/>
            <w:shd w:val="clear" w:color="auto" w:fill="auto"/>
            <w:vAlign w:val="center"/>
          </w:tcPr>
          <w:p w:rsidR="00417590" w:rsidRPr="00BF1632" w:rsidRDefault="00417590" w:rsidP="00BB5B72">
            <w:pPr>
              <w:pStyle w:val="TableText"/>
              <w:keepNext w:val="0"/>
              <w:rPr>
                <w:szCs w:val="20"/>
              </w:rPr>
            </w:pPr>
            <w:r w:rsidRPr="00BF1632">
              <w:rPr>
                <w:b/>
                <w:szCs w:val="20"/>
                <w:lang w:val="en-US"/>
              </w:rPr>
              <w:t>Safety – R-CHOP</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lang w:val="en-US"/>
              </w:rPr>
              <w:t>Lenz (2005)</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lang w:val="en-US"/>
              </w:rPr>
              <w:t>62</w:t>
            </w:r>
            <w:r w:rsidRPr="00BF1632">
              <w:rPr>
                <w:szCs w:val="20"/>
                <w:vertAlign w:val="superscript"/>
                <w:lang w:val="en-US"/>
              </w:rPr>
              <w:t>c</w:t>
            </w:r>
          </w:p>
        </w:tc>
        <w:tc>
          <w:tcPr>
            <w:tcW w:w="1021" w:type="pct"/>
            <w:shd w:val="clear" w:color="auto" w:fill="auto"/>
            <w:vAlign w:val="center"/>
          </w:tcPr>
          <w:p w:rsidR="00417590" w:rsidRPr="00BF1632" w:rsidRDefault="00417590" w:rsidP="00BB5B72">
            <w:pPr>
              <w:pStyle w:val="TableText"/>
              <w:keepNext w:val="0"/>
              <w:rPr>
                <w:szCs w:val="20"/>
              </w:rPr>
            </w:pPr>
            <w:r w:rsidRPr="00BF1632">
              <w:rPr>
                <w:szCs w:val="20"/>
              </w:rPr>
              <w:t>R*, OL, MC</w:t>
            </w:r>
          </w:p>
          <w:p w:rsidR="00417590" w:rsidRPr="00BF1632" w:rsidRDefault="00417590" w:rsidP="00BB5B72">
            <w:pPr>
              <w:pStyle w:val="TableText"/>
              <w:keepNext w:val="0"/>
              <w:rPr>
                <w:szCs w:val="20"/>
              </w:rPr>
            </w:pPr>
            <w:r w:rsidRPr="00BF1632">
              <w:rPr>
                <w:szCs w:val="20"/>
              </w:rPr>
              <w:t>18 months</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lang w:val="en-US"/>
              </w:rPr>
              <w:t>Unclear</w:t>
            </w:r>
          </w:p>
        </w:tc>
        <w:tc>
          <w:tcPr>
            <w:tcW w:w="1022" w:type="pct"/>
            <w:shd w:val="clear" w:color="auto" w:fill="auto"/>
            <w:vAlign w:val="center"/>
          </w:tcPr>
          <w:p w:rsidR="00417590" w:rsidRPr="00BF1632" w:rsidRDefault="00417590" w:rsidP="00BB5B72">
            <w:pPr>
              <w:pStyle w:val="TableText"/>
              <w:keepNext w:val="0"/>
              <w:rPr>
                <w:szCs w:val="20"/>
              </w:rPr>
            </w:pPr>
            <w:r w:rsidRPr="00BF1632">
              <w:rPr>
                <w:szCs w:val="20"/>
                <w:lang w:val="en-US"/>
              </w:rPr>
              <w:t>Untreated FL, MCL or LL; Stage III-IV</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lang w:val="en-US"/>
              </w:rPr>
              <w:t>ORR, TTF, Safety</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Yes</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lang w:val="en-US"/>
              </w:rPr>
              <w:t>Kluin-Nelemans (2012)</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lang w:val="en-US"/>
              </w:rPr>
              <w:t>239</w:t>
            </w:r>
            <w:r w:rsidRPr="00BF1632">
              <w:rPr>
                <w:szCs w:val="20"/>
                <w:vertAlign w:val="superscript"/>
                <w:lang w:val="en-US"/>
              </w:rPr>
              <w:t>d</w:t>
            </w:r>
          </w:p>
        </w:tc>
        <w:tc>
          <w:tcPr>
            <w:tcW w:w="1021" w:type="pct"/>
            <w:shd w:val="clear" w:color="auto" w:fill="auto"/>
            <w:vAlign w:val="center"/>
          </w:tcPr>
          <w:p w:rsidR="00417590" w:rsidRPr="00BF1632" w:rsidRDefault="00417590" w:rsidP="00BB5B72">
            <w:pPr>
              <w:pStyle w:val="TableText"/>
              <w:keepNext w:val="0"/>
              <w:rPr>
                <w:szCs w:val="20"/>
              </w:rPr>
            </w:pPr>
            <w:r w:rsidRPr="00BF1632">
              <w:rPr>
                <w:szCs w:val="20"/>
              </w:rPr>
              <w:t xml:space="preserve">R*, OL, MC </w:t>
            </w:r>
          </w:p>
          <w:p w:rsidR="00417590" w:rsidRPr="00BF1632" w:rsidRDefault="00417590" w:rsidP="00BB5B72">
            <w:pPr>
              <w:pStyle w:val="TableText"/>
              <w:keepNext w:val="0"/>
              <w:rPr>
                <w:szCs w:val="20"/>
              </w:rPr>
            </w:pPr>
            <w:r w:rsidRPr="00BF1632">
              <w:rPr>
                <w:szCs w:val="20"/>
              </w:rPr>
              <w:t>37 months</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lang w:val="en-US"/>
              </w:rPr>
              <w:t>High</w:t>
            </w:r>
          </w:p>
        </w:tc>
        <w:tc>
          <w:tcPr>
            <w:tcW w:w="1022" w:type="pct"/>
            <w:shd w:val="clear" w:color="auto" w:fill="auto"/>
            <w:vAlign w:val="center"/>
          </w:tcPr>
          <w:p w:rsidR="00417590" w:rsidRPr="00BF1632" w:rsidRDefault="00417590" w:rsidP="00BB5B72">
            <w:pPr>
              <w:pStyle w:val="TableText"/>
              <w:keepNext w:val="0"/>
              <w:rPr>
                <w:szCs w:val="20"/>
                <w:lang w:val="en-US"/>
              </w:rPr>
            </w:pPr>
            <w:r w:rsidRPr="00BF1632">
              <w:rPr>
                <w:szCs w:val="20"/>
                <w:lang w:val="en-US"/>
              </w:rPr>
              <w:t>Newly diagnosed MCL;</w:t>
            </w:r>
          </w:p>
          <w:p w:rsidR="00417590" w:rsidRPr="00BF1632" w:rsidRDefault="00417590" w:rsidP="00BB5B72">
            <w:pPr>
              <w:pStyle w:val="TableText"/>
              <w:keepNext w:val="0"/>
              <w:rPr>
                <w:szCs w:val="20"/>
              </w:rPr>
            </w:pPr>
            <w:r w:rsidRPr="00BF1632">
              <w:rPr>
                <w:szCs w:val="20"/>
                <w:lang w:val="en-US"/>
              </w:rPr>
              <w:t>≥ 60 years;</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lang w:val="en-US"/>
              </w:rPr>
              <w:t>ORR, TTF, Safety</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Yes</w:t>
            </w:r>
          </w:p>
        </w:tc>
      </w:tr>
      <w:tr w:rsidR="00417590" w:rsidRPr="00BF1632" w:rsidTr="002E15F5">
        <w:trPr>
          <w:cantSplit/>
          <w:jc w:val="center"/>
        </w:trPr>
        <w:tc>
          <w:tcPr>
            <w:tcW w:w="679" w:type="pct"/>
            <w:shd w:val="clear" w:color="auto" w:fill="auto"/>
            <w:vAlign w:val="center"/>
          </w:tcPr>
          <w:p w:rsidR="00417590" w:rsidRPr="00BF1632" w:rsidRDefault="00417590" w:rsidP="00BB5B72">
            <w:pPr>
              <w:pStyle w:val="TableText"/>
              <w:keepNext w:val="0"/>
              <w:rPr>
                <w:szCs w:val="20"/>
              </w:rPr>
            </w:pPr>
            <w:r w:rsidRPr="00BF1632">
              <w:rPr>
                <w:szCs w:val="20"/>
                <w:lang w:val="en-US"/>
              </w:rPr>
              <w:t>Robak (2015)</w:t>
            </w:r>
          </w:p>
        </w:tc>
        <w:tc>
          <w:tcPr>
            <w:tcW w:w="341" w:type="pct"/>
            <w:shd w:val="clear" w:color="auto" w:fill="auto"/>
            <w:vAlign w:val="center"/>
          </w:tcPr>
          <w:p w:rsidR="00417590" w:rsidRPr="00BF1632" w:rsidRDefault="00417590" w:rsidP="00BB5B72">
            <w:pPr>
              <w:pStyle w:val="TableText"/>
              <w:keepNext w:val="0"/>
              <w:rPr>
                <w:szCs w:val="20"/>
              </w:rPr>
            </w:pPr>
            <w:r w:rsidRPr="00BF1632">
              <w:rPr>
                <w:szCs w:val="20"/>
                <w:lang w:val="en-US"/>
              </w:rPr>
              <w:t>244</w:t>
            </w:r>
            <w:r w:rsidRPr="00BF1632">
              <w:rPr>
                <w:szCs w:val="20"/>
                <w:vertAlign w:val="superscript"/>
                <w:lang w:val="en-US"/>
              </w:rPr>
              <w:t>e</w:t>
            </w:r>
          </w:p>
        </w:tc>
        <w:tc>
          <w:tcPr>
            <w:tcW w:w="1021" w:type="pct"/>
            <w:shd w:val="clear" w:color="auto" w:fill="auto"/>
            <w:vAlign w:val="center"/>
          </w:tcPr>
          <w:p w:rsidR="00417590" w:rsidRPr="00BF1632" w:rsidRDefault="00417590" w:rsidP="00BB5B72">
            <w:pPr>
              <w:pStyle w:val="TableText"/>
              <w:keepNext w:val="0"/>
              <w:rPr>
                <w:szCs w:val="20"/>
              </w:rPr>
            </w:pPr>
            <w:r w:rsidRPr="00BF1632">
              <w:rPr>
                <w:szCs w:val="20"/>
              </w:rPr>
              <w:t>R*, OL, MC</w:t>
            </w:r>
          </w:p>
          <w:p w:rsidR="00417590" w:rsidRPr="00BF1632" w:rsidRDefault="00417590" w:rsidP="00BB5B72">
            <w:pPr>
              <w:pStyle w:val="TableText"/>
              <w:keepNext w:val="0"/>
              <w:rPr>
                <w:szCs w:val="20"/>
              </w:rPr>
            </w:pPr>
            <w:r w:rsidRPr="00BF1632">
              <w:rPr>
                <w:szCs w:val="20"/>
              </w:rPr>
              <w:t>40 months</w:t>
            </w:r>
          </w:p>
        </w:tc>
        <w:tc>
          <w:tcPr>
            <w:tcW w:w="393" w:type="pct"/>
            <w:shd w:val="clear" w:color="auto" w:fill="auto"/>
            <w:vAlign w:val="center"/>
          </w:tcPr>
          <w:p w:rsidR="00417590" w:rsidRPr="00BF1632" w:rsidRDefault="00417590" w:rsidP="00BB5B72">
            <w:pPr>
              <w:pStyle w:val="TableText"/>
              <w:keepNext w:val="0"/>
              <w:rPr>
                <w:szCs w:val="20"/>
              </w:rPr>
            </w:pPr>
            <w:r w:rsidRPr="00BF1632">
              <w:rPr>
                <w:szCs w:val="20"/>
                <w:lang w:val="en-US"/>
              </w:rPr>
              <w:t>Unclear</w:t>
            </w:r>
          </w:p>
        </w:tc>
        <w:tc>
          <w:tcPr>
            <w:tcW w:w="1022" w:type="pct"/>
            <w:shd w:val="clear" w:color="auto" w:fill="auto"/>
            <w:vAlign w:val="center"/>
          </w:tcPr>
          <w:p w:rsidR="00417590" w:rsidRPr="00BF1632" w:rsidRDefault="00417590" w:rsidP="00BB5B72">
            <w:pPr>
              <w:pStyle w:val="TableText"/>
              <w:keepNext w:val="0"/>
              <w:rPr>
                <w:szCs w:val="20"/>
                <w:lang w:val="en-US"/>
              </w:rPr>
            </w:pPr>
            <w:r w:rsidRPr="00BF1632">
              <w:rPr>
                <w:szCs w:val="20"/>
                <w:lang w:val="en-US"/>
              </w:rPr>
              <w:t>Newly diagnosed MCL;</w:t>
            </w:r>
          </w:p>
          <w:p w:rsidR="00417590" w:rsidRPr="00BF1632" w:rsidRDefault="00417590" w:rsidP="00BB5B72">
            <w:pPr>
              <w:pStyle w:val="TableText"/>
              <w:keepNext w:val="0"/>
              <w:rPr>
                <w:szCs w:val="20"/>
              </w:rPr>
            </w:pPr>
            <w:r w:rsidRPr="00BF1632">
              <w:rPr>
                <w:szCs w:val="20"/>
                <w:lang w:val="en-US"/>
              </w:rPr>
              <w:t>Stage II-IV</w:t>
            </w:r>
          </w:p>
        </w:tc>
        <w:tc>
          <w:tcPr>
            <w:tcW w:w="708" w:type="pct"/>
            <w:shd w:val="clear" w:color="auto" w:fill="auto"/>
            <w:vAlign w:val="center"/>
          </w:tcPr>
          <w:p w:rsidR="00417590" w:rsidRPr="00BF1632" w:rsidRDefault="00417590" w:rsidP="00BB5B72">
            <w:pPr>
              <w:pStyle w:val="TableText"/>
              <w:keepNext w:val="0"/>
              <w:rPr>
                <w:szCs w:val="20"/>
              </w:rPr>
            </w:pPr>
            <w:r w:rsidRPr="00BF1632">
              <w:rPr>
                <w:szCs w:val="20"/>
                <w:lang w:val="en-US"/>
              </w:rPr>
              <w:t>PFS, ORR, Safety</w:t>
            </w:r>
          </w:p>
        </w:tc>
        <w:tc>
          <w:tcPr>
            <w:tcW w:w="836" w:type="pct"/>
            <w:shd w:val="clear" w:color="auto" w:fill="auto"/>
            <w:vAlign w:val="center"/>
          </w:tcPr>
          <w:p w:rsidR="00417590" w:rsidRPr="00BF1632" w:rsidRDefault="00417590" w:rsidP="00BB5B72">
            <w:pPr>
              <w:pStyle w:val="TableText"/>
              <w:keepNext w:val="0"/>
              <w:rPr>
                <w:szCs w:val="20"/>
              </w:rPr>
            </w:pPr>
            <w:r w:rsidRPr="00BF1632">
              <w:rPr>
                <w:szCs w:val="20"/>
                <w:lang w:val="en-US"/>
              </w:rPr>
              <w:t>Yes</w:t>
            </w:r>
          </w:p>
        </w:tc>
      </w:tr>
    </w:tbl>
    <w:p w:rsidR="00417590" w:rsidRPr="00BF1632" w:rsidRDefault="00417590" w:rsidP="00417590">
      <w:pPr>
        <w:pStyle w:val="TableFooter"/>
        <w:spacing w:after="0"/>
      </w:pPr>
      <w:r w:rsidRPr="00BF1632">
        <w:t>Source: Section 2 of the resubmission</w:t>
      </w:r>
    </w:p>
    <w:p w:rsidR="00417590" w:rsidRPr="00BF1632" w:rsidRDefault="00417590" w:rsidP="00417590">
      <w:pPr>
        <w:pStyle w:val="TableFooter"/>
        <w:keepNext/>
        <w:spacing w:after="0"/>
      </w:pPr>
      <w:r w:rsidRPr="00BF1632">
        <w:t>FL = follicular lymphoma; LL = lymphoplasmacytic lymphoma; MC = multi-centre; MCL = mantle cell lymphoma; OL = open label; ORR = overall response rate; OS = overall survival; PFS = progression-free survival; R = randomised; R-CHOP = rituximab, cyclophosphamide, doxorubicin, vincristine, prednisone; R/R = relapsed or refractory; TTF = time to treatment failure</w:t>
      </w:r>
    </w:p>
    <w:p w:rsidR="00417590" w:rsidRPr="00BF1632" w:rsidRDefault="00417590" w:rsidP="00417590">
      <w:pPr>
        <w:pStyle w:val="TableFooter"/>
        <w:keepNext/>
        <w:spacing w:after="0"/>
      </w:pPr>
      <w:r w:rsidRPr="00BF1632">
        <w:t>* Although the trials used to support efficacy and safety were randomised, data for efficacy was taken from the subgroup of patients with MCL, and for safety, from the R-CHOP arm only.</w:t>
      </w:r>
    </w:p>
    <w:p w:rsidR="00417590" w:rsidRPr="00BF1632" w:rsidRDefault="00417590" w:rsidP="00417590">
      <w:pPr>
        <w:pStyle w:val="TableFooter"/>
      </w:pPr>
      <w:r w:rsidRPr="00BF1632">
        <w:rPr>
          <w:vertAlign w:val="superscript"/>
        </w:rPr>
        <w:t>a</w:t>
      </w:r>
      <w:r w:rsidRPr="00BF1632">
        <w:t xml:space="preserve"> N = 128 evaluable patients; 48 of whom had MCL. Of the 48 who had MCL, 24 received rituximab, fludarabine, cyclophosphamide, mitozantrone and were considered in the naïve efficacy comparison.</w:t>
      </w:r>
    </w:p>
    <w:p w:rsidR="00417590" w:rsidRPr="00BF1632" w:rsidRDefault="00417590" w:rsidP="00417590">
      <w:pPr>
        <w:pStyle w:val="TableFooter"/>
        <w:rPr>
          <w:szCs w:val="18"/>
        </w:rPr>
      </w:pPr>
      <w:r w:rsidRPr="00BF1632">
        <w:rPr>
          <w:szCs w:val="18"/>
          <w:vertAlign w:val="superscript"/>
        </w:rPr>
        <w:t>b</w:t>
      </w:r>
      <w:r w:rsidRPr="00BF1632">
        <w:rPr>
          <w:szCs w:val="18"/>
        </w:rPr>
        <w:t xml:space="preserve"> N =  219 patients; 47 of whom had MCL. Of the 47 who had MCL, 23 received rituximab, fludarabine and were considered in the naïve efficacy comparison.</w:t>
      </w:r>
    </w:p>
    <w:p w:rsidR="00417590" w:rsidRPr="00BF1632" w:rsidRDefault="00417590" w:rsidP="00417590">
      <w:pPr>
        <w:pStyle w:val="TableFooter"/>
        <w:rPr>
          <w:szCs w:val="18"/>
        </w:rPr>
      </w:pPr>
      <w:r w:rsidRPr="00BF1632">
        <w:rPr>
          <w:szCs w:val="18"/>
          <w:vertAlign w:val="superscript"/>
        </w:rPr>
        <w:t>c</w:t>
      </w:r>
      <w:r w:rsidRPr="00BF1632">
        <w:rPr>
          <w:szCs w:val="18"/>
        </w:rPr>
        <w:t xml:space="preserve"> N = 122; 62 of whom were treated with R-CHOP and were considered in the evaluation of safety</w:t>
      </w:r>
    </w:p>
    <w:p w:rsidR="00417590" w:rsidRPr="00BF1632" w:rsidRDefault="00417590" w:rsidP="00417590">
      <w:pPr>
        <w:pStyle w:val="TableFooter"/>
        <w:rPr>
          <w:szCs w:val="18"/>
        </w:rPr>
      </w:pPr>
      <w:r w:rsidRPr="00BF1632">
        <w:rPr>
          <w:szCs w:val="18"/>
          <w:vertAlign w:val="superscript"/>
        </w:rPr>
        <w:t>d</w:t>
      </w:r>
      <w:r w:rsidRPr="00BF1632">
        <w:rPr>
          <w:szCs w:val="18"/>
        </w:rPr>
        <w:t xml:space="preserve"> N = 485; 239 of whom were treated with R-CHOP and were considered in the evaluation of safety</w:t>
      </w:r>
    </w:p>
    <w:p w:rsidR="00417590" w:rsidRPr="00BF1632" w:rsidRDefault="00417590" w:rsidP="00417590">
      <w:pPr>
        <w:pStyle w:val="TableFooter"/>
        <w:rPr>
          <w:szCs w:val="18"/>
        </w:rPr>
      </w:pPr>
      <w:r w:rsidRPr="00BF1632">
        <w:rPr>
          <w:szCs w:val="18"/>
          <w:vertAlign w:val="superscript"/>
        </w:rPr>
        <w:t>e</w:t>
      </w:r>
      <w:r w:rsidRPr="00BF1632">
        <w:rPr>
          <w:szCs w:val="18"/>
        </w:rPr>
        <w:t xml:space="preserve"> N = 487; 244 of whom were treated with R-CHOP and were considered in the evaluation of safety</w:t>
      </w:r>
    </w:p>
    <w:p w:rsidR="00BB5B72" w:rsidRPr="00BF1632" w:rsidRDefault="00417590" w:rsidP="000D6801">
      <w:pPr>
        <w:pStyle w:val="ListParagraph"/>
        <w:numPr>
          <w:ilvl w:val="1"/>
          <w:numId w:val="1"/>
        </w:numPr>
        <w:spacing w:before="0" w:after="120"/>
        <w:ind w:left="720" w:hanging="720"/>
        <w:jc w:val="both"/>
      </w:pPr>
      <w:r w:rsidRPr="00BF1632">
        <w:t>The risk of bias in MCL-3001 was unclear due to the open-label nature of the trial and the large differences in patient discontinuations between the trial arms</w:t>
      </w:r>
      <w:r w:rsidR="00BB28A7" w:rsidRPr="00BF1632">
        <w:t xml:space="preserve"> due to adverse events (</w:t>
      </w:r>
      <w:r w:rsidR="00F36A91">
        <w:rPr>
          <w:noProof/>
          <w:color w:val="000000"/>
          <w:highlight w:val="black"/>
        </w:rPr>
        <w:t>''''''</w:t>
      </w:r>
      <w:r w:rsidR="00BB28A7" w:rsidRPr="00BF1632">
        <w:t xml:space="preserve">% in the ibrutinib arm and </w:t>
      </w:r>
      <w:r w:rsidR="00F36A91">
        <w:rPr>
          <w:noProof/>
          <w:color w:val="000000"/>
          <w:highlight w:val="black"/>
        </w:rPr>
        <w:t>''''''''</w:t>
      </w:r>
      <w:r w:rsidR="00BB28A7" w:rsidRPr="00BF1632">
        <w:t>% in the temsirolimus arm) and refusing further treatment between the treatment arms (</w:t>
      </w:r>
      <w:r w:rsidR="00F36A91">
        <w:rPr>
          <w:noProof/>
          <w:color w:val="000000"/>
          <w:highlight w:val="black"/>
        </w:rPr>
        <w:t>'''''''</w:t>
      </w:r>
      <w:r w:rsidR="00BB28A7" w:rsidRPr="00BF1632">
        <w:t xml:space="preserve">% in the ibrutinib arm and </w:t>
      </w:r>
      <w:r w:rsidR="00F36A91">
        <w:rPr>
          <w:noProof/>
          <w:color w:val="000000"/>
          <w:highlight w:val="black"/>
        </w:rPr>
        <w:t>''''''''</w:t>
      </w:r>
      <w:r w:rsidR="00BB28A7" w:rsidRPr="00BF1632">
        <w:t>% in the temsirolimus arm).</w:t>
      </w:r>
    </w:p>
    <w:p w:rsidR="00417590" w:rsidRPr="00BF1632" w:rsidRDefault="00417590" w:rsidP="000D6801">
      <w:pPr>
        <w:pStyle w:val="ListParagraph"/>
        <w:numPr>
          <w:ilvl w:val="1"/>
          <w:numId w:val="1"/>
        </w:numPr>
        <w:spacing w:before="0" w:after="120"/>
        <w:ind w:left="720" w:hanging="720"/>
        <w:jc w:val="both"/>
      </w:pPr>
      <w:r w:rsidRPr="00BF1632">
        <w:t xml:space="preserve">As described in the November 2016 commentary, patients treated in the temsirolimus arm of the MCL-3001 trial were allowed to crossover after the Independent Review Committee (IRC) confirmed progression. At the final analysis, a total of </w:t>
      </w:r>
      <w:r w:rsidR="00F36A91">
        <w:rPr>
          <w:noProof/>
          <w:color w:val="000000"/>
          <w:highlight w:val="black"/>
        </w:rPr>
        <w:t>''''' '''''''''''''</w:t>
      </w:r>
      <w:r w:rsidRPr="00BF1632">
        <w:t xml:space="preserve"> patients initially randomised to temsirolimus were exposed to ibrutinib.</w:t>
      </w:r>
    </w:p>
    <w:p w:rsidR="00B538CF" w:rsidRPr="00BF1632" w:rsidRDefault="00B538CF" w:rsidP="00B538CF">
      <w:pPr>
        <w:pStyle w:val="Heading2"/>
        <w:rPr>
          <w:i w:val="0"/>
        </w:rPr>
      </w:pPr>
      <w:bookmarkStart w:id="18" w:name="_Toc413139278"/>
      <w:bookmarkStart w:id="19" w:name="_Toc492213204"/>
      <w:bookmarkStart w:id="20" w:name="_Toc493002974"/>
      <w:r w:rsidRPr="00BF1632">
        <w:rPr>
          <w:i w:val="0"/>
        </w:rPr>
        <w:t>Comparative effectiveness</w:t>
      </w:r>
      <w:bookmarkEnd w:id="18"/>
      <w:bookmarkEnd w:id="19"/>
      <w:bookmarkEnd w:id="20"/>
      <w:r w:rsidRPr="00BF1632">
        <w:rPr>
          <w:i w:val="0"/>
        </w:rPr>
        <w:t xml:space="preserve"> </w:t>
      </w:r>
    </w:p>
    <w:p w:rsidR="00B538CF" w:rsidRPr="00BF1632" w:rsidRDefault="00417590" w:rsidP="000D6801">
      <w:pPr>
        <w:pStyle w:val="ListParagraph"/>
        <w:numPr>
          <w:ilvl w:val="1"/>
          <w:numId w:val="1"/>
        </w:numPr>
        <w:spacing w:before="0" w:after="120"/>
        <w:ind w:left="720" w:hanging="720"/>
        <w:jc w:val="both"/>
      </w:pPr>
      <w:r w:rsidRPr="00BF1632">
        <w:t>Results from trial MCL-3001, which compared ibrutinib to temsirolimus, are provided in the following table.</w:t>
      </w:r>
    </w:p>
    <w:p w:rsidR="00417590" w:rsidRPr="00BF1632" w:rsidRDefault="00417590" w:rsidP="00417590">
      <w:pPr>
        <w:pStyle w:val="TableHeading1"/>
      </w:pPr>
      <w:r w:rsidRPr="00BF1632">
        <w:t>Table 5: Results of progression free survival and overall survival from trial MCL-3001 (ITT population)</w:t>
      </w:r>
    </w:p>
    <w:tbl>
      <w:tblPr>
        <w:tblStyle w:val="TableGrid1"/>
        <w:tblW w:w="5000" w:type="pct"/>
        <w:tblLook w:val="04A0" w:firstRow="1" w:lastRow="0" w:firstColumn="1" w:lastColumn="0" w:noHBand="0" w:noVBand="1"/>
        <w:tblCaption w:val="Table 5: Results of progression free survival and overall survival from trial MCL-3001 (ITT population)"/>
      </w:tblPr>
      <w:tblGrid>
        <w:gridCol w:w="3564"/>
        <w:gridCol w:w="1413"/>
        <w:gridCol w:w="1424"/>
        <w:gridCol w:w="1273"/>
        <w:gridCol w:w="1408"/>
      </w:tblGrid>
      <w:tr w:rsidR="00417590" w:rsidRPr="00BF1632" w:rsidTr="002E15F5">
        <w:trPr>
          <w:cantSplit/>
          <w:trHeight w:val="405"/>
          <w:tblHeader/>
        </w:trPr>
        <w:tc>
          <w:tcPr>
            <w:tcW w:w="1962" w:type="pct"/>
            <w:tcMar>
              <w:left w:w="28" w:type="dxa"/>
              <w:right w:w="28" w:type="dxa"/>
            </w:tcMar>
          </w:tcPr>
          <w:p w:rsidR="00417590" w:rsidRPr="00BF1632" w:rsidRDefault="00417590" w:rsidP="00BB5B72">
            <w:pPr>
              <w:pStyle w:val="TableText"/>
              <w:rPr>
                <w:snapToGrid w:val="0"/>
              </w:rPr>
            </w:pPr>
          </w:p>
        </w:tc>
        <w:tc>
          <w:tcPr>
            <w:tcW w:w="778" w:type="pct"/>
            <w:tcMar>
              <w:left w:w="28" w:type="dxa"/>
              <w:right w:w="28" w:type="dxa"/>
            </w:tcMar>
          </w:tcPr>
          <w:p w:rsidR="00417590" w:rsidRPr="00BF1632" w:rsidRDefault="00417590" w:rsidP="00BB5B72">
            <w:pPr>
              <w:pStyle w:val="TableText"/>
              <w:rPr>
                <w:b/>
                <w:snapToGrid w:val="0"/>
              </w:rPr>
            </w:pPr>
            <w:r w:rsidRPr="00BF1632">
              <w:rPr>
                <w:b/>
                <w:snapToGrid w:val="0"/>
              </w:rPr>
              <w:t xml:space="preserve">Ibrutinib </w:t>
            </w:r>
          </w:p>
          <w:p w:rsidR="00417590" w:rsidRPr="00BF1632" w:rsidRDefault="00417590" w:rsidP="00BB5B72">
            <w:pPr>
              <w:pStyle w:val="TableText"/>
              <w:rPr>
                <w:b/>
                <w:snapToGrid w:val="0"/>
              </w:rPr>
            </w:pPr>
            <w:r w:rsidRPr="00BF1632">
              <w:rPr>
                <w:b/>
                <w:snapToGrid w:val="0"/>
              </w:rPr>
              <w:t>(n = 139)</w:t>
            </w:r>
          </w:p>
        </w:tc>
        <w:tc>
          <w:tcPr>
            <w:tcW w:w="784" w:type="pct"/>
            <w:tcMar>
              <w:left w:w="28" w:type="dxa"/>
              <w:right w:w="28" w:type="dxa"/>
            </w:tcMar>
          </w:tcPr>
          <w:p w:rsidR="00417590" w:rsidRPr="00BF1632" w:rsidRDefault="00417590" w:rsidP="00BB5B72">
            <w:pPr>
              <w:pStyle w:val="TableText"/>
              <w:rPr>
                <w:b/>
                <w:snapToGrid w:val="0"/>
              </w:rPr>
            </w:pPr>
            <w:r w:rsidRPr="00BF1632">
              <w:rPr>
                <w:b/>
                <w:snapToGrid w:val="0"/>
              </w:rPr>
              <w:t xml:space="preserve">Temsirolimus </w:t>
            </w:r>
          </w:p>
          <w:p w:rsidR="00417590" w:rsidRPr="00BF1632" w:rsidRDefault="00417590" w:rsidP="00BB5B72">
            <w:pPr>
              <w:pStyle w:val="TableText"/>
              <w:rPr>
                <w:b/>
                <w:snapToGrid w:val="0"/>
              </w:rPr>
            </w:pPr>
            <w:r w:rsidRPr="00BF1632">
              <w:rPr>
                <w:b/>
                <w:snapToGrid w:val="0"/>
              </w:rPr>
              <w:t>(n = 141)</w:t>
            </w:r>
          </w:p>
        </w:tc>
        <w:tc>
          <w:tcPr>
            <w:tcW w:w="1476" w:type="pct"/>
            <w:gridSpan w:val="2"/>
            <w:tcMar>
              <w:left w:w="28" w:type="dxa"/>
              <w:right w:w="28" w:type="dxa"/>
            </w:tcMar>
          </w:tcPr>
          <w:p w:rsidR="00417590" w:rsidRPr="00BF1632" w:rsidRDefault="00417590" w:rsidP="00BB5B72">
            <w:pPr>
              <w:pStyle w:val="TableText"/>
              <w:rPr>
                <w:b/>
                <w:snapToGrid w:val="0"/>
              </w:rPr>
            </w:pPr>
            <w:r w:rsidRPr="00BF1632">
              <w:rPr>
                <w:b/>
                <w:snapToGrid w:val="0"/>
              </w:rPr>
              <w:t>Hazard ratio (95% CI)</w:t>
            </w:r>
          </w:p>
        </w:tc>
      </w:tr>
      <w:tr w:rsidR="00417590" w:rsidRPr="00BF1632" w:rsidTr="002E15F5">
        <w:trPr>
          <w:cantSplit/>
          <w:trHeight w:val="103"/>
        </w:trPr>
        <w:tc>
          <w:tcPr>
            <w:tcW w:w="5000" w:type="pct"/>
            <w:gridSpan w:val="5"/>
            <w:tcMar>
              <w:left w:w="28" w:type="dxa"/>
              <w:right w:w="28" w:type="dxa"/>
            </w:tcMar>
          </w:tcPr>
          <w:p w:rsidR="00417590" w:rsidRPr="00BF1632" w:rsidRDefault="00417590" w:rsidP="00BB5B72">
            <w:pPr>
              <w:pStyle w:val="TableText"/>
              <w:rPr>
                <w:b/>
                <w:snapToGrid w:val="0"/>
              </w:rPr>
            </w:pPr>
            <w:r w:rsidRPr="00BF1632">
              <w:rPr>
                <w:b/>
                <w:snapToGrid w:val="0"/>
              </w:rPr>
              <w:t>Progression free survival (investigator assessed)</w:t>
            </w:r>
          </w:p>
        </w:tc>
      </w:tr>
      <w:tr w:rsidR="00417590" w:rsidRPr="00BF1632" w:rsidTr="002E15F5">
        <w:trPr>
          <w:cantSplit/>
          <w:trHeight w:val="64"/>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Median follow-up, months</w:t>
            </w:r>
          </w:p>
        </w:tc>
        <w:tc>
          <w:tcPr>
            <w:tcW w:w="1562" w:type="pct"/>
            <w:gridSpan w:val="2"/>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w:t>
            </w:r>
          </w:p>
        </w:tc>
        <w:tc>
          <w:tcPr>
            <w:tcW w:w="1476" w:type="pct"/>
            <w:gridSpan w:val="2"/>
            <w:vMerge w:val="restart"/>
            <w:tcMar>
              <w:left w:w="28" w:type="dxa"/>
              <w:right w:w="28" w:type="dxa"/>
            </w:tcMar>
          </w:tcPr>
          <w:p w:rsidR="00417590" w:rsidRPr="00F36A91" w:rsidRDefault="00417590" w:rsidP="00BB5B72">
            <w:pPr>
              <w:pStyle w:val="TableText"/>
              <w:rPr>
                <w:snapToGrid w:val="0"/>
              </w:rPr>
            </w:pPr>
          </w:p>
        </w:tc>
      </w:tr>
      <w:tr w:rsidR="00417590" w:rsidRPr="00BF1632" w:rsidTr="002E15F5">
        <w:trPr>
          <w:cantSplit/>
          <w:trHeight w:val="593"/>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Patient status, n (%):</w:t>
            </w:r>
          </w:p>
          <w:p w:rsidR="00417590" w:rsidRPr="00BF1632" w:rsidRDefault="00417590" w:rsidP="00BB5B72">
            <w:pPr>
              <w:pStyle w:val="TableText"/>
              <w:ind w:firstLine="114"/>
              <w:rPr>
                <w:snapToGrid w:val="0"/>
              </w:rPr>
            </w:pPr>
            <w:r w:rsidRPr="00BF1632">
              <w:rPr>
                <w:snapToGrid w:val="0"/>
              </w:rPr>
              <w:t>Progressed or died</w:t>
            </w:r>
          </w:p>
          <w:p w:rsidR="00417590" w:rsidRPr="00BF1632" w:rsidRDefault="00417590" w:rsidP="00BB5B72">
            <w:pPr>
              <w:pStyle w:val="TableText"/>
              <w:ind w:firstLine="114"/>
              <w:rPr>
                <w:snapToGrid w:val="0"/>
              </w:rPr>
            </w:pPr>
            <w:r w:rsidRPr="00BF1632">
              <w:rPr>
                <w:snapToGrid w:val="0"/>
              </w:rPr>
              <w:t>Censored</w:t>
            </w:r>
          </w:p>
        </w:tc>
        <w:tc>
          <w:tcPr>
            <w:tcW w:w="778" w:type="pct"/>
            <w:tcMar>
              <w:left w:w="28" w:type="dxa"/>
              <w:right w:w="28" w:type="dxa"/>
            </w:tcMar>
          </w:tcPr>
          <w:p w:rsidR="00417590" w:rsidRPr="00F36A91" w:rsidRDefault="00417590" w:rsidP="00BB5B72">
            <w:pPr>
              <w:pStyle w:val="TableText"/>
              <w:rPr>
                <w:snapToGrid w:val="0"/>
              </w:rPr>
            </w:pPr>
          </w:p>
          <w:p w:rsidR="00417590" w:rsidRPr="00F36A91" w:rsidRDefault="00F36A91" w:rsidP="00BB5B72">
            <w:pPr>
              <w:pStyle w:val="TableText"/>
              <w:rPr>
                <w:snapToGrid w:val="0"/>
                <w:highlight w:val="black"/>
              </w:rPr>
            </w:pPr>
            <w:r>
              <w:rPr>
                <w:noProof/>
                <w:snapToGrid w:val="0"/>
                <w:color w:val="000000"/>
                <w:highlight w:val="black"/>
              </w:rPr>
              <w:t>''''' '''''''''''''</w:t>
            </w:r>
          </w:p>
          <w:p w:rsidR="00417590" w:rsidRPr="00F36A91" w:rsidRDefault="00F36A91" w:rsidP="00BB5B72">
            <w:pPr>
              <w:pStyle w:val="TableText"/>
              <w:rPr>
                <w:snapToGrid w:val="0"/>
                <w:highlight w:val="black"/>
              </w:rPr>
            </w:pPr>
            <w:r>
              <w:rPr>
                <w:noProof/>
                <w:snapToGrid w:val="0"/>
                <w:color w:val="000000"/>
                <w:highlight w:val="black"/>
              </w:rPr>
              <w:t>'''''' ''''''''''''''</w:t>
            </w:r>
          </w:p>
        </w:tc>
        <w:tc>
          <w:tcPr>
            <w:tcW w:w="784" w:type="pct"/>
            <w:tcMar>
              <w:left w:w="28" w:type="dxa"/>
              <w:right w:w="28" w:type="dxa"/>
            </w:tcMar>
          </w:tcPr>
          <w:p w:rsidR="00417590" w:rsidRPr="00F36A91" w:rsidRDefault="00417590" w:rsidP="00BB5B72">
            <w:pPr>
              <w:pStyle w:val="TableText"/>
              <w:rPr>
                <w:snapToGrid w:val="0"/>
              </w:rPr>
            </w:pPr>
          </w:p>
          <w:p w:rsidR="00417590" w:rsidRPr="00F36A91" w:rsidRDefault="00F36A91" w:rsidP="00BB5B72">
            <w:pPr>
              <w:pStyle w:val="TableText"/>
              <w:rPr>
                <w:snapToGrid w:val="0"/>
                <w:highlight w:val="black"/>
              </w:rPr>
            </w:pPr>
            <w:r>
              <w:rPr>
                <w:noProof/>
                <w:snapToGrid w:val="0"/>
                <w:color w:val="000000"/>
                <w:highlight w:val="black"/>
              </w:rPr>
              <w:t>''''''''' '''''''''''''</w:t>
            </w:r>
          </w:p>
          <w:p w:rsidR="00417590" w:rsidRPr="00F36A91" w:rsidRDefault="00F36A91" w:rsidP="00BB5B72">
            <w:pPr>
              <w:pStyle w:val="TableText"/>
              <w:rPr>
                <w:snapToGrid w:val="0"/>
                <w:highlight w:val="black"/>
              </w:rPr>
            </w:pPr>
            <w:r>
              <w:rPr>
                <w:noProof/>
                <w:snapToGrid w:val="0"/>
                <w:color w:val="000000"/>
                <w:highlight w:val="black"/>
              </w:rPr>
              <w:t>'''''' '''''''''''''</w:t>
            </w:r>
          </w:p>
        </w:tc>
        <w:tc>
          <w:tcPr>
            <w:tcW w:w="1476" w:type="pct"/>
            <w:gridSpan w:val="2"/>
            <w:vMerge/>
            <w:tcMar>
              <w:left w:w="28" w:type="dxa"/>
              <w:right w:w="28" w:type="dxa"/>
            </w:tcMar>
          </w:tcPr>
          <w:p w:rsidR="00417590" w:rsidRPr="00F36A91" w:rsidRDefault="00417590" w:rsidP="00BB5B72">
            <w:pPr>
              <w:pStyle w:val="TableText"/>
              <w:rPr>
                <w:snapToGrid w:val="0"/>
              </w:rPr>
            </w:pPr>
          </w:p>
        </w:tc>
      </w:tr>
      <w:tr w:rsidR="00417590" w:rsidRPr="00BF1632" w:rsidTr="002E15F5">
        <w:trPr>
          <w:cantSplit/>
          <w:trHeight w:val="56"/>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Median PFS, months (95% CI)</w:t>
            </w:r>
          </w:p>
        </w:tc>
        <w:tc>
          <w:tcPr>
            <w:tcW w:w="778"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c>
          <w:tcPr>
            <w:tcW w:w="784"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c>
          <w:tcPr>
            <w:tcW w:w="1476" w:type="pct"/>
            <w:gridSpan w:val="2"/>
            <w:tcMar>
              <w:left w:w="28" w:type="dxa"/>
              <w:right w:w="28" w:type="dxa"/>
            </w:tcMar>
          </w:tcPr>
          <w:p w:rsidR="00417590" w:rsidRPr="00F36A91" w:rsidRDefault="00F36A91" w:rsidP="00BB5B72">
            <w:pPr>
              <w:pStyle w:val="TableText"/>
              <w:rPr>
                <w:b/>
                <w:snapToGrid w:val="0"/>
                <w:highlight w:val="black"/>
              </w:rPr>
            </w:pPr>
            <w:r>
              <w:rPr>
                <w:b/>
                <w:noProof/>
                <w:snapToGrid w:val="0"/>
                <w:color w:val="000000"/>
                <w:highlight w:val="black"/>
              </w:rPr>
              <w:t>'''''''' ''''''''''' '''''''''</w:t>
            </w:r>
          </w:p>
        </w:tc>
      </w:tr>
      <w:tr w:rsidR="00417590" w:rsidRPr="00BF1632" w:rsidTr="002E15F5">
        <w:trPr>
          <w:cantSplit/>
          <w:trHeight w:val="56"/>
          <w:tblHeader/>
        </w:trPr>
        <w:tc>
          <w:tcPr>
            <w:tcW w:w="5000" w:type="pct"/>
            <w:gridSpan w:val="5"/>
            <w:tcMar>
              <w:left w:w="28" w:type="dxa"/>
              <w:right w:w="28" w:type="dxa"/>
            </w:tcMar>
          </w:tcPr>
          <w:p w:rsidR="00417590" w:rsidRPr="00BF1632" w:rsidRDefault="00417590" w:rsidP="00BB5B72">
            <w:pPr>
              <w:pStyle w:val="TableText"/>
              <w:rPr>
                <w:b/>
                <w:snapToGrid w:val="0"/>
              </w:rPr>
            </w:pPr>
            <w:r w:rsidRPr="00BF1632">
              <w:rPr>
                <w:b/>
                <w:snapToGrid w:val="0"/>
              </w:rPr>
              <w:t xml:space="preserve">Overall survival </w:t>
            </w:r>
          </w:p>
        </w:tc>
      </w:tr>
      <w:tr w:rsidR="00417590" w:rsidRPr="00BF1632" w:rsidTr="002E15F5">
        <w:trPr>
          <w:cantSplit/>
          <w:trHeight w:val="56"/>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Median follow-up, months</w:t>
            </w:r>
          </w:p>
        </w:tc>
        <w:tc>
          <w:tcPr>
            <w:tcW w:w="1562" w:type="pct"/>
            <w:gridSpan w:val="2"/>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w:t>
            </w:r>
          </w:p>
        </w:tc>
        <w:tc>
          <w:tcPr>
            <w:tcW w:w="1476" w:type="pct"/>
            <w:gridSpan w:val="2"/>
            <w:vMerge w:val="restart"/>
            <w:tcMar>
              <w:left w:w="28" w:type="dxa"/>
              <w:right w:w="28" w:type="dxa"/>
            </w:tcMar>
          </w:tcPr>
          <w:p w:rsidR="00417590" w:rsidRPr="00BF1632" w:rsidRDefault="00417590" w:rsidP="00BB5B72">
            <w:pPr>
              <w:pStyle w:val="TableText"/>
              <w:rPr>
                <w:snapToGrid w:val="0"/>
              </w:rPr>
            </w:pPr>
          </w:p>
        </w:tc>
      </w:tr>
      <w:tr w:rsidR="00417590" w:rsidRPr="00BF1632" w:rsidTr="002E15F5">
        <w:trPr>
          <w:cantSplit/>
          <w:trHeight w:val="20"/>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Patient status, n (%):</w:t>
            </w:r>
          </w:p>
          <w:p w:rsidR="00417590" w:rsidRPr="00BF1632" w:rsidRDefault="00417590" w:rsidP="00BB5B72">
            <w:pPr>
              <w:pStyle w:val="TableText"/>
              <w:ind w:firstLine="114"/>
              <w:rPr>
                <w:snapToGrid w:val="0"/>
              </w:rPr>
            </w:pPr>
            <w:r w:rsidRPr="00BF1632">
              <w:rPr>
                <w:snapToGrid w:val="0"/>
              </w:rPr>
              <w:t xml:space="preserve">Died </w:t>
            </w:r>
          </w:p>
          <w:p w:rsidR="00417590" w:rsidRPr="00BF1632" w:rsidRDefault="00417590" w:rsidP="00BB5B72">
            <w:pPr>
              <w:pStyle w:val="TableText"/>
              <w:ind w:firstLine="114"/>
              <w:rPr>
                <w:snapToGrid w:val="0"/>
              </w:rPr>
            </w:pPr>
            <w:r w:rsidRPr="00BF1632">
              <w:rPr>
                <w:snapToGrid w:val="0"/>
              </w:rPr>
              <w:t>Censored</w:t>
            </w:r>
          </w:p>
          <w:p w:rsidR="00417590" w:rsidRPr="00BF1632" w:rsidRDefault="00417590" w:rsidP="00BB5B72">
            <w:pPr>
              <w:pStyle w:val="TableText"/>
              <w:ind w:firstLine="114"/>
              <w:rPr>
                <w:snapToGrid w:val="0"/>
              </w:rPr>
            </w:pPr>
            <w:r w:rsidRPr="00BF1632">
              <w:rPr>
                <w:snapToGrid w:val="0"/>
              </w:rPr>
              <w:t>Crossover/subsequent ibrutinib</w:t>
            </w:r>
          </w:p>
        </w:tc>
        <w:tc>
          <w:tcPr>
            <w:tcW w:w="778" w:type="pct"/>
            <w:tcMar>
              <w:left w:w="28" w:type="dxa"/>
              <w:right w:w="28" w:type="dxa"/>
            </w:tcMar>
          </w:tcPr>
          <w:p w:rsidR="00417590" w:rsidRPr="00F36A91" w:rsidRDefault="00417590" w:rsidP="00BB5B72">
            <w:pPr>
              <w:pStyle w:val="TableText"/>
              <w:rPr>
                <w:snapToGrid w:val="0"/>
              </w:rPr>
            </w:pPr>
          </w:p>
          <w:p w:rsidR="00417590" w:rsidRPr="00F36A91" w:rsidRDefault="00F36A91" w:rsidP="00BB5B72">
            <w:pPr>
              <w:pStyle w:val="TableText"/>
              <w:rPr>
                <w:highlight w:val="black"/>
              </w:rPr>
            </w:pPr>
            <w:r>
              <w:rPr>
                <w:noProof/>
                <w:color w:val="000000"/>
                <w:highlight w:val="black"/>
              </w:rPr>
              <w:t>'''''' '''''''''''''''</w:t>
            </w:r>
          </w:p>
          <w:p w:rsidR="00417590" w:rsidRPr="00F36A91" w:rsidRDefault="00F36A91" w:rsidP="00BB5B72">
            <w:pPr>
              <w:pStyle w:val="TableText"/>
              <w:rPr>
                <w:highlight w:val="black"/>
              </w:rPr>
            </w:pPr>
            <w:r>
              <w:rPr>
                <w:noProof/>
                <w:color w:val="000000"/>
                <w:highlight w:val="black"/>
              </w:rPr>
              <w:t>''''' ''''''''''''''</w:t>
            </w:r>
          </w:p>
          <w:p w:rsidR="00417590" w:rsidRPr="00F36A91" w:rsidRDefault="00F36A91" w:rsidP="00BB5B72">
            <w:pPr>
              <w:pStyle w:val="TableText"/>
              <w:rPr>
                <w:snapToGrid w:val="0"/>
                <w:highlight w:val="black"/>
              </w:rPr>
            </w:pPr>
            <w:r>
              <w:rPr>
                <w:noProof/>
                <w:snapToGrid w:val="0"/>
                <w:color w:val="000000"/>
                <w:highlight w:val="black"/>
              </w:rPr>
              <w:t>'''</w:t>
            </w:r>
          </w:p>
        </w:tc>
        <w:tc>
          <w:tcPr>
            <w:tcW w:w="784" w:type="pct"/>
            <w:tcMar>
              <w:left w:w="28" w:type="dxa"/>
              <w:right w:w="28" w:type="dxa"/>
            </w:tcMar>
          </w:tcPr>
          <w:p w:rsidR="00417590" w:rsidRPr="00F36A91" w:rsidRDefault="00417590" w:rsidP="00BB5B72">
            <w:pPr>
              <w:pStyle w:val="TableText"/>
              <w:rPr>
                <w:snapToGrid w:val="0"/>
              </w:rPr>
            </w:pPr>
          </w:p>
          <w:p w:rsidR="00417590" w:rsidRPr="00F36A91" w:rsidRDefault="00F36A91" w:rsidP="00BB5B72">
            <w:pPr>
              <w:pStyle w:val="TableText"/>
              <w:rPr>
                <w:highlight w:val="black"/>
              </w:rPr>
            </w:pPr>
            <w:r>
              <w:rPr>
                <w:noProof/>
                <w:color w:val="000000"/>
                <w:highlight w:val="black"/>
              </w:rPr>
              <w:t>''''''' ''''''''''''''</w:t>
            </w:r>
          </w:p>
          <w:p w:rsidR="00417590" w:rsidRPr="00F36A91" w:rsidRDefault="00F36A91" w:rsidP="00BB5B72">
            <w:pPr>
              <w:pStyle w:val="TableText"/>
              <w:rPr>
                <w:highlight w:val="black"/>
              </w:rPr>
            </w:pPr>
            <w:r>
              <w:rPr>
                <w:noProof/>
                <w:color w:val="000000"/>
                <w:highlight w:val="black"/>
              </w:rPr>
              <w:t>''''' ''''''''''''''''</w:t>
            </w:r>
          </w:p>
          <w:p w:rsidR="00417590" w:rsidRPr="00F36A91" w:rsidRDefault="00F36A91" w:rsidP="00BB5B72">
            <w:pPr>
              <w:pStyle w:val="TableText"/>
              <w:rPr>
                <w:snapToGrid w:val="0"/>
                <w:highlight w:val="black"/>
              </w:rPr>
            </w:pPr>
            <w:r>
              <w:rPr>
                <w:noProof/>
                <w:color w:val="000000"/>
                <w:highlight w:val="black"/>
              </w:rPr>
              <w:t>''''' ''''''''''''''</w:t>
            </w:r>
          </w:p>
        </w:tc>
        <w:tc>
          <w:tcPr>
            <w:tcW w:w="1476" w:type="pct"/>
            <w:gridSpan w:val="2"/>
            <w:vMerge/>
            <w:tcMar>
              <w:left w:w="28" w:type="dxa"/>
              <w:right w:w="28" w:type="dxa"/>
            </w:tcMar>
          </w:tcPr>
          <w:p w:rsidR="00417590" w:rsidRPr="00BF1632" w:rsidRDefault="00417590" w:rsidP="00BB5B72">
            <w:pPr>
              <w:pStyle w:val="TableText"/>
              <w:rPr>
                <w:snapToGrid w:val="0"/>
              </w:rPr>
            </w:pPr>
          </w:p>
        </w:tc>
      </w:tr>
      <w:tr w:rsidR="00417590" w:rsidRPr="00BF1632" w:rsidTr="002E15F5">
        <w:trPr>
          <w:cantSplit/>
          <w:trHeight w:val="67"/>
        </w:trPr>
        <w:tc>
          <w:tcPr>
            <w:tcW w:w="1962" w:type="pct"/>
            <w:vMerge w:val="restart"/>
            <w:tcMar>
              <w:left w:w="28" w:type="dxa"/>
              <w:right w:w="28" w:type="dxa"/>
            </w:tcMar>
          </w:tcPr>
          <w:p w:rsidR="00417590" w:rsidRPr="00BF1632" w:rsidRDefault="00417590" w:rsidP="00BB5B72">
            <w:pPr>
              <w:pStyle w:val="TableText"/>
              <w:rPr>
                <w:snapToGrid w:val="0"/>
              </w:rPr>
            </w:pPr>
            <w:r w:rsidRPr="00BF1632">
              <w:rPr>
                <w:snapToGrid w:val="0"/>
              </w:rPr>
              <w:t xml:space="preserve">Median OS, months (95% CI) </w:t>
            </w:r>
          </w:p>
          <w:p w:rsidR="00417590" w:rsidRPr="00BF1632" w:rsidRDefault="00417590" w:rsidP="00BB5B72">
            <w:pPr>
              <w:pStyle w:val="TableText"/>
              <w:rPr>
                <w:snapToGrid w:val="0"/>
              </w:rPr>
            </w:pPr>
          </w:p>
        </w:tc>
        <w:tc>
          <w:tcPr>
            <w:tcW w:w="778" w:type="pct"/>
            <w:vMerge w:val="restart"/>
            <w:tcMar>
              <w:left w:w="28" w:type="dxa"/>
              <w:right w:w="28" w:type="dxa"/>
            </w:tcMar>
          </w:tcPr>
          <w:p w:rsidR="00417590" w:rsidRPr="00F36A91" w:rsidRDefault="00F36A91" w:rsidP="00BB5B72">
            <w:pPr>
              <w:pStyle w:val="TableText"/>
              <w:rPr>
                <w:highlight w:val="black"/>
              </w:rPr>
            </w:pPr>
            <w:r>
              <w:rPr>
                <w:noProof/>
                <w:color w:val="000000"/>
                <w:highlight w:val="black"/>
              </w:rPr>
              <w:t>'''''''''' '''''''''''''' '''''''''''</w:t>
            </w:r>
          </w:p>
        </w:tc>
        <w:tc>
          <w:tcPr>
            <w:tcW w:w="784" w:type="pct"/>
            <w:vMerge w:val="restar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c>
          <w:tcPr>
            <w:tcW w:w="701" w:type="pct"/>
            <w:tcMar>
              <w:left w:w="28" w:type="dxa"/>
              <w:right w:w="28" w:type="dxa"/>
            </w:tcMar>
          </w:tcPr>
          <w:p w:rsidR="00417590" w:rsidRPr="00BF1632" w:rsidRDefault="00417590" w:rsidP="00BB5B72">
            <w:pPr>
              <w:pStyle w:val="TableText"/>
              <w:rPr>
                <w:snapToGrid w:val="0"/>
              </w:rPr>
            </w:pPr>
            <w:r w:rsidRPr="00BF1632">
              <w:rPr>
                <w:snapToGrid w:val="0"/>
              </w:rPr>
              <w:t xml:space="preserve">ITT </w:t>
            </w:r>
          </w:p>
        </w:tc>
        <w:tc>
          <w:tcPr>
            <w:tcW w:w="775"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r>
      <w:tr w:rsidR="00417590" w:rsidRPr="00BF1632" w:rsidTr="002E15F5">
        <w:trPr>
          <w:cantSplit/>
          <w:trHeight w:val="56"/>
        </w:trPr>
        <w:tc>
          <w:tcPr>
            <w:tcW w:w="1962"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78"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84"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01" w:type="pct"/>
            <w:tcMar>
              <w:left w:w="28" w:type="dxa"/>
              <w:right w:w="28" w:type="dxa"/>
            </w:tcMar>
          </w:tcPr>
          <w:p w:rsidR="00417590" w:rsidRPr="00BF1632" w:rsidRDefault="00417590" w:rsidP="00BB5B72">
            <w:pPr>
              <w:pStyle w:val="TableText"/>
              <w:rPr>
                <w:snapToGrid w:val="0"/>
              </w:rPr>
            </w:pPr>
            <w:r w:rsidRPr="00BF1632">
              <w:rPr>
                <w:snapToGrid w:val="0"/>
              </w:rPr>
              <w:t>RPSFT method</w:t>
            </w:r>
          </w:p>
        </w:tc>
        <w:tc>
          <w:tcPr>
            <w:tcW w:w="775" w:type="pct"/>
            <w:tcMar>
              <w:left w:w="28" w:type="dxa"/>
              <w:right w:w="28" w:type="dxa"/>
            </w:tcMar>
          </w:tcPr>
          <w:p w:rsidR="00417590" w:rsidRPr="00F36A91" w:rsidRDefault="00F36A91" w:rsidP="00BB5B72">
            <w:pPr>
              <w:pStyle w:val="TableText"/>
              <w:rPr>
                <w:b/>
                <w:snapToGrid w:val="0"/>
                <w:highlight w:val="black"/>
              </w:rPr>
            </w:pPr>
            <w:r>
              <w:rPr>
                <w:b/>
                <w:noProof/>
                <w:snapToGrid w:val="0"/>
                <w:color w:val="000000"/>
                <w:highlight w:val="black"/>
              </w:rPr>
              <w:t>''''''''' '''''''''' ''''''''''</w:t>
            </w:r>
          </w:p>
        </w:tc>
      </w:tr>
      <w:tr w:rsidR="00417590" w:rsidRPr="00BF1632" w:rsidTr="002E15F5">
        <w:trPr>
          <w:cantSplit/>
          <w:trHeight w:val="133"/>
        </w:trPr>
        <w:tc>
          <w:tcPr>
            <w:tcW w:w="5000" w:type="pct"/>
            <w:gridSpan w:val="5"/>
            <w:tcMar>
              <w:left w:w="28" w:type="dxa"/>
              <w:right w:w="28" w:type="dxa"/>
            </w:tcMar>
          </w:tcPr>
          <w:p w:rsidR="00417590" w:rsidRPr="00BF1632" w:rsidRDefault="00417590" w:rsidP="00BB5B72">
            <w:pPr>
              <w:pStyle w:val="TableText"/>
              <w:rPr>
                <w:b/>
                <w:snapToGrid w:val="0"/>
              </w:rPr>
            </w:pPr>
            <w:r w:rsidRPr="00BF1632">
              <w:rPr>
                <w:b/>
                <w:snapToGrid w:val="0"/>
              </w:rPr>
              <w:t>November 2016 submission</w:t>
            </w:r>
          </w:p>
        </w:tc>
      </w:tr>
      <w:tr w:rsidR="00417590" w:rsidRPr="00BF1632" w:rsidTr="002E15F5">
        <w:trPr>
          <w:cantSplit/>
          <w:trHeight w:val="110"/>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Median follow-up, months</w:t>
            </w:r>
          </w:p>
        </w:tc>
        <w:tc>
          <w:tcPr>
            <w:tcW w:w="778" w:type="pct"/>
            <w:tcMar>
              <w:left w:w="28" w:type="dxa"/>
              <w:right w:w="28" w:type="dxa"/>
            </w:tcMar>
          </w:tcPr>
          <w:p w:rsidR="00417590" w:rsidRPr="00F36A91" w:rsidRDefault="00417590" w:rsidP="00BB5B72">
            <w:pPr>
              <w:pStyle w:val="TableText"/>
              <w:rPr>
                <w:snapToGrid w:val="0"/>
              </w:rPr>
            </w:pPr>
            <w:r w:rsidRPr="007606EB">
              <w:rPr>
                <w:snapToGrid w:val="0"/>
              </w:rPr>
              <w:t>20.3</w:t>
            </w:r>
          </w:p>
        </w:tc>
        <w:tc>
          <w:tcPr>
            <w:tcW w:w="784" w:type="pct"/>
            <w:tcMar>
              <w:left w:w="28" w:type="dxa"/>
              <w:right w:w="28" w:type="dxa"/>
            </w:tcMar>
          </w:tcPr>
          <w:p w:rsidR="00417590" w:rsidRPr="00F36A91" w:rsidRDefault="00417590" w:rsidP="00BB5B72">
            <w:pPr>
              <w:pStyle w:val="TableText"/>
              <w:rPr>
                <w:snapToGrid w:val="0"/>
              </w:rPr>
            </w:pPr>
            <w:r w:rsidRPr="007606EB">
              <w:rPr>
                <w:snapToGrid w:val="0"/>
              </w:rPr>
              <w:t>19.7</w:t>
            </w:r>
          </w:p>
        </w:tc>
        <w:tc>
          <w:tcPr>
            <w:tcW w:w="1476" w:type="pct"/>
            <w:gridSpan w:val="2"/>
            <w:tcMar>
              <w:left w:w="28" w:type="dxa"/>
              <w:right w:w="28" w:type="dxa"/>
            </w:tcMar>
          </w:tcPr>
          <w:p w:rsidR="00417590" w:rsidRPr="00F36A91" w:rsidRDefault="00417590" w:rsidP="00BB5B72">
            <w:pPr>
              <w:pStyle w:val="TableText"/>
              <w:rPr>
                <w:snapToGrid w:val="0"/>
              </w:rPr>
            </w:pPr>
          </w:p>
        </w:tc>
      </w:tr>
      <w:tr w:rsidR="00417590" w:rsidRPr="00BF1632" w:rsidTr="002E15F5">
        <w:trPr>
          <w:cantSplit/>
          <w:trHeight w:val="56"/>
        </w:trPr>
        <w:tc>
          <w:tcPr>
            <w:tcW w:w="1962" w:type="pct"/>
            <w:tcMar>
              <w:left w:w="28" w:type="dxa"/>
              <w:right w:w="28" w:type="dxa"/>
            </w:tcMar>
          </w:tcPr>
          <w:p w:rsidR="00417590" w:rsidRPr="00BF1632" w:rsidRDefault="00417590" w:rsidP="00BB5B72">
            <w:pPr>
              <w:pStyle w:val="TableText"/>
              <w:rPr>
                <w:snapToGrid w:val="0"/>
              </w:rPr>
            </w:pPr>
            <w:r w:rsidRPr="00BF1632">
              <w:rPr>
                <w:snapToGrid w:val="0"/>
              </w:rPr>
              <w:t>Median PFS, months (95% CI)</w:t>
            </w:r>
          </w:p>
        </w:tc>
        <w:tc>
          <w:tcPr>
            <w:tcW w:w="778"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c>
          <w:tcPr>
            <w:tcW w:w="784"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c>
          <w:tcPr>
            <w:tcW w:w="1476" w:type="pct"/>
            <w:gridSpan w:val="2"/>
            <w:tcMar>
              <w:left w:w="28" w:type="dxa"/>
              <w:right w:w="28" w:type="dxa"/>
            </w:tcMar>
          </w:tcPr>
          <w:p w:rsidR="00417590" w:rsidRPr="00F36A91" w:rsidRDefault="00417590" w:rsidP="00BB5B72">
            <w:pPr>
              <w:pStyle w:val="TableText"/>
              <w:rPr>
                <w:b/>
                <w:snapToGrid w:val="0"/>
              </w:rPr>
            </w:pPr>
            <w:r w:rsidRPr="007606EB">
              <w:rPr>
                <w:b/>
                <w:snapToGrid w:val="0"/>
              </w:rPr>
              <w:t>0.43 (0.32, 0.58)</w:t>
            </w:r>
          </w:p>
        </w:tc>
      </w:tr>
      <w:tr w:rsidR="00417590" w:rsidRPr="00BF1632" w:rsidTr="002E15F5">
        <w:trPr>
          <w:cantSplit/>
          <w:trHeight w:val="177"/>
        </w:trPr>
        <w:tc>
          <w:tcPr>
            <w:tcW w:w="1962" w:type="pct"/>
            <w:vMerge w:val="restart"/>
            <w:tcMar>
              <w:left w:w="28" w:type="dxa"/>
              <w:right w:w="28" w:type="dxa"/>
            </w:tcMar>
          </w:tcPr>
          <w:p w:rsidR="00417590" w:rsidRPr="00BF1632" w:rsidRDefault="00417590" w:rsidP="00BB5B72">
            <w:pPr>
              <w:pStyle w:val="TableText"/>
              <w:rPr>
                <w:snapToGrid w:val="0"/>
              </w:rPr>
            </w:pPr>
            <w:r w:rsidRPr="00BF1632">
              <w:rPr>
                <w:snapToGrid w:val="0"/>
              </w:rPr>
              <w:t>Median OS, months (95% CI)</w:t>
            </w:r>
          </w:p>
        </w:tc>
        <w:tc>
          <w:tcPr>
            <w:tcW w:w="778" w:type="pct"/>
            <w:vMerge w:val="restart"/>
            <w:tcMar>
              <w:left w:w="28" w:type="dxa"/>
              <w:right w:w="28" w:type="dxa"/>
            </w:tcMar>
          </w:tcPr>
          <w:p w:rsidR="00417590" w:rsidRPr="00BF1632" w:rsidRDefault="00417590" w:rsidP="00BB5B72">
            <w:pPr>
              <w:pStyle w:val="TableText"/>
              <w:rPr>
                <w:snapToGrid w:val="0"/>
              </w:rPr>
            </w:pPr>
            <w:r w:rsidRPr="00BF1632">
              <w:rPr>
                <w:snapToGrid w:val="0"/>
              </w:rPr>
              <w:t>NE (18.6, NE)</w:t>
            </w:r>
          </w:p>
        </w:tc>
        <w:tc>
          <w:tcPr>
            <w:tcW w:w="784" w:type="pct"/>
            <w:vMerge w:val="restart"/>
            <w:tcMar>
              <w:left w:w="28" w:type="dxa"/>
              <w:right w:w="28" w:type="dxa"/>
            </w:tcMar>
          </w:tcPr>
          <w:p w:rsidR="00417590" w:rsidRPr="00BF1632" w:rsidRDefault="00417590" w:rsidP="00BB5B72">
            <w:pPr>
              <w:pStyle w:val="TableText"/>
              <w:rPr>
                <w:snapToGrid w:val="0"/>
              </w:rPr>
            </w:pPr>
            <w:r w:rsidRPr="00BF1632">
              <w:rPr>
                <w:snapToGrid w:val="0"/>
              </w:rPr>
              <w:t>21.3 (13.0, NE)</w:t>
            </w:r>
          </w:p>
        </w:tc>
        <w:tc>
          <w:tcPr>
            <w:tcW w:w="701" w:type="pct"/>
            <w:tcMar>
              <w:left w:w="28" w:type="dxa"/>
              <w:right w:w="28" w:type="dxa"/>
            </w:tcMar>
          </w:tcPr>
          <w:p w:rsidR="00417590" w:rsidRPr="00BF1632" w:rsidRDefault="00417590" w:rsidP="00BB5B72">
            <w:pPr>
              <w:pStyle w:val="TableText"/>
              <w:rPr>
                <w:snapToGrid w:val="0"/>
              </w:rPr>
            </w:pPr>
            <w:r w:rsidRPr="00BF1632">
              <w:rPr>
                <w:snapToGrid w:val="0"/>
              </w:rPr>
              <w:t>ITT</w:t>
            </w:r>
          </w:p>
        </w:tc>
        <w:tc>
          <w:tcPr>
            <w:tcW w:w="775" w:type="pct"/>
            <w:tcMar>
              <w:left w:w="28" w:type="dxa"/>
              <w:right w:w="28" w:type="dxa"/>
            </w:tcMar>
          </w:tcPr>
          <w:p w:rsidR="00417590" w:rsidRPr="00F36A91" w:rsidRDefault="00417590" w:rsidP="00BB5B72">
            <w:pPr>
              <w:pStyle w:val="TableText"/>
              <w:rPr>
                <w:snapToGrid w:val="0"/>
              </w:rPr>
            </w:pPr>
            <w:r w:rsidRPr="007606EB">
              <w:rPr>
                <w:snapToGrid w:val="0"/>
              </w:rPr>
              <w:t>0.76 (0.53, 1.09)</w:t>
            </w:r>
          </w:p>
        </w:tc>
      </w:tr>
      <w:tr w:rsidR="00417590" w:rsidRPr="00BF1632" w:rsidTr="002E15F5">
        <w:trPr>
          <w:cantSplit/>
          <w:trHeight w:val="153"/>
        </w:trPr>
        <w:tc>
          <w:tcPr>
            <w:tcW w:w="1962"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78"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84" w:type="pct"/>
            <w:vMerge/>
            <w:tcBorders>
              <w:bottom w:val="single" w:sz="4" w:space="0" w:color="auto"/>
            </w:tcBorders>
            <w:tcMar>
              <w:left w:w="28" w:type="dxa"/>
              <w:right w:w="28" w:type="dxa"/>
            </w:tcMar>
          </w:tcPr>
          <w:p w:rsidR="00417590" w:rsidRPr="00BF1632" w:rsidRDefault="00417590" w:rsidP="00BB5B72">
            <w:pPr>
              <w:pStyle w:val="TableText"/>
              <w:rPr>
                <w:snapToGrid w:val="0"/>
              </w:rPr>
            </w:pPr>
          </w:p>
        </w:tc>
        <w:tc>
          <w:tcPr>
            <w:tcW w:w="701" w:type="pct"/>
            <w:tcBorders>
              <w:bottom w:val="single" w:sz="4" w:space="0" w:color="auto"/>
            </w:tcBorders>
            <w:tcMar>
              <w:left w:w="28" w:type="dxa"/>
              <w:right w:w="28" w:type="dxa"/>
            </w:tcMar>
          </w:tcPr>
          <w:p w:rsidR="00417590" w:rsidRPr="00BF1632" w:rsidRDefault="00417590" w:rsidP="00BB5B72">
            <w:pPr>
              <w:pStyle w:val="TableText"/>
              <w:rPr>
                <w:snapToGrid w:val="0"/>
              </w:rPr>
            </w:pPr>
            <w:r w:rsidRPr="00BF1632">
              <w:rPr>
                <w:snapToGrid w:val="0"/>
              </w:rPr>
              <w:t>RPSFT method</w:t>
            </w:r>
          </w:p>
        </w:tc>
        <w:tc>
          <w:tcPr>
            <w:tcW w:w="775" w:type="pct"/>
            <w:tcBorders>
              <w:bottom w:val="single" w:sz="4" w:space="0" w:color="auto"/>
            </w:tcBorders>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r>
    </w:tbl>
    <w:p w:rsidR="00417590" w:rsidRPr="00BF1632" w:rsidRDefault="00417590" w:rsidP="00417590">
      <w:pPr>
        <w:pStyle w:val="TableFooter"/>
      </w:pPr>
      <w:r w:rsidRPr="00BF1632">
        <w:t xml:space="preserve">Source: Tables 2.16-2.18, pp30-36, and Table 2.32, p63, Section 2 of the resubmission </w:t>
      </w:r>
    </w:p>
    <w:p w:rsidR="00417590" w:rsidRPr="00BF1632" w:rsidRDefault="00417590" w:rsidP="00417590">
      <w:pPr>
        <w:pStyle w:val="TableFooter"/>
      </w:pPr>
      <w:r w:rsidRPr="00BF1632">
        <w:t xml:space="preserve">CI = confidence interval; ITT = intention-to-treat; NE = not estimable; OS = overall survival; PFS = progression free survival; RPSFT = rank preserving structural failure time; </w:t>
      </w:r>
      <w:r w:rsidRPr="00BF1632">
        <w:rPr>
          <w:b/>
        </w:rPr>
        <w:t>Bold</w:t>
      </w:r>
      <w:r w:rsidRPr="00BF1632">
        <w:t xml:space="preserve"> = statistically significant</w:t>
      </w:r>
    </w:p>
    <w:p w:rsidR="00B538CF" w:rsidRPr="00BF1632" w:rsidRDefault="00B538CF" w:rsidP="000D6801">
      <w:pPr>
        <w:pStyle w:val="ListParagraph"/>
        <w:numPr>
          <w:ilvl w:val="1"/>
          <w:numId w:val="1"/>
        </w:numPr>
        <w:spacing w:before="0" w:after="120"/>
        <w:ind w:left="720" w:hanging="720"/>
        <w:jc w:val="both"/>
      </w:pPr>
      <w:r w:rsidRPr="00BF1632">
        <w:t>At</w:t>
      </w:r>
      <w:r w:rsidR="00417590" w:rsidRPr="00BF1632">
        <w:t xml:space="preserve"> the final analysis of MCL-3001, the median follow-up was </w:t>
      </w:r>
      <w:r w:rsidR="00F36A91">
        <w:rPr>
          <w:noProof/>
          <w:color w:val="000000"/>
          <w:highlight w:val="black"/>
        </w:rPr>
        <w:t>''''''''</w:t>
      </w:r>
      <w:r w:rsidR="00417590" w:rsidRPr="00BF1632">
        <w:t xml:space="preserve"> months in both the ibrutinib and temsirolimus arms. The median progression free survival was </w:t>
      </w:r>
      <w:r w:rsidR="00F36A91">
        <w:rPr>
          <w:noProof/>
          <w:color w:val="000000"/>
          <w:highlight w:val="black"/>
        </w:rPr>
        <w:t>''''''''</w:t>
      </w:r>
      <w:r w:rsidR="00417590" w:rsidRPr="00BF1632">
        <w:t xml:space="preserve"> months for ibrutinib patients and </w:t>
      </w:r>
      <w:r w:rsidR="00417590" w:rsidRPr="004110C2">
        <w:t>6.2</w:t>
      </w:r>
      <w:r w:rsidR="00417590" w:rsidRPr="00BF1632">
        <w:t xml:space="preserve"> months for temsirolimus patients. This improvement was statistic</w:t>
      </w:r>
      <w:r w:rsidR="00DE134B" w:rsidRPr="00BF1632">
        <w:t>ally significant (hazard ratio [HR]</w:t>
      </w:r>
      <w:r w:rsidR="00417590" w:rsidRPr="00BF1632">
        <w:t xml:space="preserve"> = </w:t>
      </w:r>
      <w:r w:rsidR="00F36A91">
        <w:rPr>
          <w:noProof/>
          <w:color w:val="000000"/>
          <w:highlight w:val="black"/>
        </w:rPr>
        <w:t>''''''''</w:t>
      </w:r>
      <w:r w:rsidR="00417590" w:rsidRPr="00BF1632">
        <w:t xml:space="preserve">; 95% confidence interval (CI): </w:t>
      </w:r>
      <w:r w:rsidR="00F36A91">
        <w:rPr>
          <w:noProof/>
          <w:color w:val="000000"/>
          <w:highlight w:val="black"/>
        </w:rPr>
        <w:t>'''''''''' ''''''''</w:t>
      </w:r>
      <w:r w:rsidR="00417590" w:rsidRPr="00BF1632">
        <w:t>). The final analysis results were consistent with the interim analysis results presented in the November 2016 submission.</w:t>
      </w:r>
    </w:p>
    <w:p w:rsidR="00B538CF" w:rsidRPr="00BF1632" w:rsidRDefault="00417590" w:rsidP="000D6801">
      <w:pPr>
        <w:pStyle w:val="ListParagraph"/>
        <w:numPr>
          <w:ilvl w:val="1"/>
          <w:numId w:val="1"/>
        </w:numPr>
        <w:spacing w:before="0" w:after="120"/>
        <w:ind w:left="720" w:hanging="720"/>
        <w:jc w:val="both"/>
      </w:pPr>
      <w:r w:rsidRPr="00BF1632">
        <w:rPr>
          <w:rFonts w:eastAsia="Times New Roman" w:cs="Times New Roman"/>
          <w:szCs w:val="24"/>
        </w:rPr>
        <w:t xml:space="preserve">At the final analysis of MCL-3001, </w:t>
      </w:r>
      <w:r w:rsidR="00F36A91">
        <w:rPr>
          <w:rFonts w:eastAsia="Times New Roman" w:cs="Times New Roman"/>
          <w:noProof/>
          <w:color w:val="000000"/>
          <w:szCs w:val="24"/>
          <w:highlight w:val="black"/>
        </w:rPr>
        <w:t>'''''''''''''' '''''''''''''</w:t>
      </w:r>
      <w:r w:rsidRPr="00BF1632">
        <w:rPr>
          <w:rFonts w:eastAsia="Times New Roman" w:cs="Times New Roman"/>
          <w:szCs w:val="24"/>
        </w:rPr>
        <w:t xml:space="preserve"> and </w:t>
      </w:r>
      <w:r w:rsidR="00F36A91">
        <w:rPr>
          <w:rFonts w:eastAsia="Times New Roman" w:cs="Times New Roman"/>
          <w:noProof/>
          <w:color w:val="000000"/>
          <w:szCs w:val="24"/>
          <w:highlight w:val="black"/>
        </w:rPr>
        <w:t>''''''''''''' ''''''''''''''</w:t>
      </w:r>
      <w:r w:rsidRPr="00BF1632">
        <w:rPr>
          <w:rFonts w:eastAsia="Times New Roman" w:cs="Times New Roman"/>
          <w:szCs w:val="24"/>
        </w:rPr>
        <w:t xml:space="preserve"> patients had died in the ibrutinib and temsirolimus arms respectively</w:t>
      </w:r>
      <w:r w:rsidRPr="00BF1632">
        <w:t xml:space="preserve">. The median overall survival was </w:t>
      </w:r>
      <w:r w:rsidR="00F36A91">
        <w:rPr>
          <w:noProof/>
          <w:color w:val="000000"/>
          <w:highlight w:val="black"/>
        </w:rPr>
        <w:t>''''''' '''''''''''''' ''''''''''''</w:t>
      </w:r>
      <w:r w:rsidRPr="00BF1632">
        <w:t xml:space="preserve"> in the ibrutinib arm (</w:t>
      </w:r>
      <w:r w:rsidR="00F36A91">
        <w:rPr>
          <w:noProof/>
          <w:color w:val="000000"/>
          <w:highlight w:val="black"/>
        </w:rPr>
        <w:t>'''''''''</w:t>
      </w:r>
      <w:r w:rsidRPr="00BF1632">
        <w:t xml:space="preserve"> months) compared to the temsirolimus arm (</w:t>
      </w:r>
      <w:r w:rsidR="00F36A91">
        <w:rPr>
          <w:noProof/>
          <w:color w:val="000000"/>
          <w:highlight w:val="black"/>
        </w:rPr>
        <w:t>''''''''</w:t>
      </w:r>
      <w:r w:rsidRPr="00BF1632">
        <w:t xml:space="preserve"> months)</w:t>
      </w:r>
      <w:r w:rsidR="000F364B" w:rsidRPr="00BF1632">
        <w:t xml:space="preserve">, </w:t>
      </w:r>
      <w:r w:rsidR="00F36A91">
        <w:rPr>
          <w:noProof/>
          <w:color w:val="000000"/>
          <w:highlight w:val="black"/>
        </w:rPr>
        <w:t>'''''''''''''''' '''''' '''''''''''''''''''' '''''''' ''''''' ''''''''''''''''''' '''''''''''''''''''''</w:t>
      </w:r>
      <w:r w:rsidRPr="00BF1632">
        <w:rPr>
          <w:rFonts w:eastAsia="Times New Roman" w:cs="Times New Roman"/>
          <w:szCs w:val="24"/>
        </w:rPr>
        <w:t>.</w:t>
      </w:r>
    </w:p>
    <w:p w:rsidR="00B538CF" w:rsidRPr="00BF1632" w:rsidRDefault="00417590" w:rsidP="000D6801">
      <w:pPr>
        <w:pStyle w:val="ListParagraph"/>
        <w:numPr>
          <w:ilvl w:val="1"/>
          <w:numId w:val="1"/>
        </w:numPr>
        <w:spacing w:before="0" w:after="120"/>
        <w:ind w:left="720" w:hanging="720"/>
        <w:jc w:val="both"/>
      </w:pPr>
      <w:r w:rsidRPr="00BF1632">
        <w:t xml:space="preserve">Consistent with the November 2016 submission, the difference in overall survival was </w:t>
      </w:r>
      <w:r w:rsidR="00F36A91">
        <w:rPr>
          <w:noProof/>
          <w:color w:val="000000"/>
          <w:highlight w:val="black"/>
        </w:rPr>
        <w:t>'''''''' '''''''''''''''''''''' '''''''''''''''''''</w:t>
      </w:r>
      <w:r w:rsidRPr="00BF1632">
        <w:t xml:space="preserve">; however, the 95% confidence intervals (HR = </w:t>
      </w:r>
      <w:r w:rsidR="00F36A91">
        <w:rPr>
          <w:noProof/>
          <w:color w:val="000000"/>
          <w:highlight w:val="black"/>
        </w:rPr>
        <w:t>'''''''''</w:t>
      </w:r>
      <w:r w:rsidRPr="00BF1632">
        <w:rPr>
          <w:rFonts w:eastAsia="Times New Roman" w:cs="Times New Roman"/>
          <w:szCs w:val="24"/>
        </w:rPr>
        <w:t xml:space="preserve">; 95% CI: </w:t>
      </w:r>
      <w:r w:rsidR="00F36A91">
        <w:rPr>
          <w:rFonts w:eastAsia="Times New Roman" w:cs="Times New Roman"/>
          <w:noProof/>
          <w:color w:val="000000"/>
          <w:szCs w:val="24"/>
          <w:highlight w:val="black"/>
        </w:rPr>
        <w:t>'''''''''' ''''''''</w:t>
      </w:r>
      <w:r w:rsidRPr="00BF1632">
        <w:t>) had narrowed since the interim analysis (HR = 0.76; 95% CI: 0.53, 1.09). Although the s</w:t>
      </w:r>
      <w:r w:rsidRPr="00BF1632">
        <w:rPr>
          <w:rFonts w:eastAsia="Times New Roman" w:cs="Times New Roman"/>
          <w:szCs w:val="24"/>
        </w:rPr>
        <w:t xml:space="preserve">urvival analysis </w:t>
      </w:r>
      <w:r w:rsidR="00F36A91">
        <w:rPr>
          <w:rFonts w:eastAsia="Times New Roman" w:cs="Times New Roman"/>
          <w:noProof/>
          <w:color w:val="000000"/>
          <w:szCs w:val="24"/>
          <w:highlight w:val="black"/>
        </w:rPr>
        <w:t>''''''''''''''''''' '''''' '''''''''' '''' '''''''''''''''''''' '''''</w:t>
      </w:r>
      <w:r w:rsidRPr="00BF1632">
        <w:rPr>
          <w:rFonts w:eastAsia="Times New Roman" w:cs="Times New Roman"/>
          <w:szCs w:val="24"/>
        </w:rPr>
        <w:t xml:space="preserve"> ibrutinib compared with temsirolimus, </w:t>
      </w:r>
      <w:r w:rsidR="00F36A91">
        <w:rPr>
          <w:rFonts w:eastAsia="Times New Roman" w:cs="Times New Roman"/>
          <w:noProof/>
          <w:color w:val="000000"/>
          <w:szCs w:val="24"/>
          <w:highlight w:val="black"/>
        </w:rPr>
        <w:t>'''' '''''''''''' '''''''''''''' '''''''' '''''' '''''''''''''''''''''' ''''''''''''''''''</w:t>
      </w:r>
      <w:r w:rsidRPr="00BF1632">
        <w:rPr>
          <w:rFonts w:eastAsia="Times New Roman" w:cs="Times New Roman"/>
          <w:szCs w:val="24"/>
        </w:rPr>
        <w:t xml:space="preserve"> (and MCL-3001 was not powered to detect a significant improvement in overall survival), uncertainty associated with the magnitude of the gain remained.</w:t>
      </w:r>
    </w:p>
    <w:p w:rsidR="006C4A6E" w:rsidRPr="00BF1632" w:rsidRDefault="00417590" w:rsidP="000D6801">
      <w:pPr>
        <w:pStyle w:val="ListParagraph"/>
        <w:numPr>
          <w:ilvl w:val="1"/>
          <w:numId w:val="1"/>
        </w:numPr>
        <w:spacing w:before="0" w:after="120"/>
        <w:ind w:left="720" w:hanging="720"/>
        <w:jc w:val="both"/>
      </w:pPr>
      <w:r w:rsidRPr="00BF1632">
        <w:t xml:space="preserve">The resubmission stated that crossover, which allowed patients in the temsirolimus arm to receive ibrutinib following progression, resulted in an overestimated overall survival benefit for temsirolimus. Therefore, as per the November 2016 submission, the resubmission presented additional analyses adjusting for crossover. The resubmission stated a preference for the rank preserving structural failure time (RPSFT) method. </w:t>
      </w:r>
      <w:r w:rsidR="00E5332F" w:rsidRPr="00BF1632">
        <w:t>During the evaluation t</w:t>
      </w:r>
      <w:r w:rsidRPr="00BF1632">
        <w:t xml:space="preserve">his method </w:t>
      </w:r>
      <w:r w:rsidR="00E5332F" w:rsidRPr="00BF1632">
        <w:t xml:space="preserve">was considered </w:t>
      </w:r>
      <w:r w:rsidRPr="00BF1632">
        <w:t>to be reasonable, as there did appear to be a common treatment effect. That is, the overall survival of patients who were randomised to ibrutinib and those who received ibrutinib after crossover was comparable.</w:t>
      </w:r>
      <w:r w:rsidR="009B589B" w:rsidRPr="00BF1632">
        <w:t xml:space="preserve"> The ESC noted patients who crossed over to ibrutinib had failed an additional</w:t>
      </w:r>
      <w:r w:rsidR="000F364B" w:rsidRPr="00BF1632">
        <w:t xml:space="preserve"> line of</w:t>
      </w:r>
      <w:r w:rsidR="009B589B" w:rsidRPr="00BF1632">
        <w:t xml:space="preserve"> therapy compared with patients initially randomised to ibrutinib and</w:t>
      </w:r>
      <w:r w:rsidR="00F42841" w:rsidRPr="00BF1632">
        <w:t xml:space="preserve"> consid</w:t>
      </w:r>
      <w:r w:rsidR="000F364B" w:rsidRPr="00BF1632">
        <w:t>e</w:t>
      </w:r>
      <w:r w:rsidR="00F42841" w:rsidRPr="00BF1632">
        <w:t>red</w:t>
      </w:r>
      <w:r w:rsidR="009B589B" w:rsidRPr="00BF1632">
        <w:t xml:space="preserve"> this may result in a reduced treatment effect</w:t>
      </w:r>
      <w:r w:rsidR="00435AB4" w:rsidRPr="00BF1632">
        <w:t xml:space="preserve"> in these patients</w:t>
      </w:r>
      <w:r w:rsidR="009B589B" w:rsidRPr="00BF1632">
        <w:t xml:space="preserve">. </w:t>
      </w:r>
      <w:r w:rsidR="00435AB4" w:rsidRPr="00BF1632">
        <w:t xml:space="preserve">If this is the case, the RPSFT method </w:t>
      </w:r>
      <w:r w:rsidR="009B589B" w:rsidRPr="00BF1632">
        <w:t>would result in the ibrutinib treatment effect being overestimated.</w:t>
      </w:r>
      <w:r w:rsidRPr="00BF1632">
        <w:t xml:space="preserve"> The resubmission, like the November 2016 submission, provided additional methods to adjust for crossover including the iterative parameter estimation (IPE) algorithm and the inverse probability of censoring weight (IPCW). The IPE method produced a similar result to the RPSFT method. The IPCW method produced results which were similar to the unadjusted results.</w:t>
      </w:r>
      <w:r w:rsidR="009B589B" w:rsidRPr="00BF1632">
        <w:t xml:space="preserve"> The ESC noted </w:t>
      </w:r>
      <w:r w:rsidR="00A071F9" w:rsidRPr="00BF1632">
        <w:t>the key assumption for the IPCW method is that all prognostic variables for crossing over are accounted for (i.e. there are no unmeasured confounders)</w:t>
      </w:r>
      <w:r w:rsidR="00435AB4" w:rsidRPr="00BF1632">
        <w:t>,</w:t>
      </w:r>
      <w:r w:rsidR="00A071F9" w:rsidRPr="00BF1632">
        <w:t xml:space="preserve"> and that the direction of bias is less certain with the IPCW method than the RPSFT method. The ESC noted there are many analytic choices when applying adjustments for crossover and these should be tested in sensitivity analyses.</w:t>
      </w:r>
      <w:r w:rsidR="006C4A6E" w:rsidRPr="00BF1632">
        <w:t xml:space="preserve"> </w:t>
      </w:r>
    </w:p>
    <w:p w:rsidR="00B538CF" w:rsidRPr="00BF1632" w:rsidRDefault="00417590" w:rsidP="000D6801">
      <w:pPr>
        <w:pStyle w:val="ListParagraph"/>
        <w:numPr>
          <w:ilvl w:val="1"/>
          <w:numId w:val="1"/>
        </w:numPr>
        <w:spacing w:before="0" w:after="120"/>
        <w:ind w:left="720" w:hanging="720"/>
        <w:jc w:val="both"/>
      </w:pPr>
      <w:r w:rsidRPr="00BF1632">
        <w:t xml:space="preserve">The overall survival hazard ratio adjusted using the RPSFT method was </w:t>
      </w:r>
      <w:r w:rsidR="00F36A91">
        <w:rPr>
          <w:noProof/>
          <w:color w:val="000000"/>
          <w:highlight w:val="black"/>
        </w:rPr>
        <w:t>''''''''''''''''''''''' ''''''''''''''''''''</w:t>
      </w:r>
      <w:r w:rsidRPr="00BF1632">
        <w:t xml:space="preserve"> (HR = </w:t>
      </w:r>
      <w:r w:rsidR="00F36A91">
        <w:rPr>
          <w:noProof/>
          <w:color w:val="000000"/>
          <w:highlight w:val="black"/>
        </w:rPr>
        <w:t>''''''''</w:t>
      </w:r>
      <w:r w:rsidRPr="00BF1632">
        <w:t xml:space="preserve">; 95% CI: </w:t>
      </w:r>
      <w:r w:rsidR="00F36A91">
        <w:rPr>
          <w:noProof/>
          <w:color w:val="000000"/>
          <w:highlight w:val="black"/>
        </w:rPr>
        <w:t>'''''''''' '''''''''</w:t>
      </w:r>
      <w:r w:rsidRPr="00BF1632">
        <w:t>).</w:t>
      </w:r>
    </w:p>
    <w:p w:rsidR="003E60E3" w:rsidRPr="00BF1632" w:rsidRDefault="003E60E3" w:rsidP="000D6801">
      <w:pPr>
        <w:pStyle w:val="ListParagraph"/>
        <w:numPr>
          <w:ilvl w:val="1"/>
          <w:numId w:val="1"/>
        </w:numPr>
        <w:spacing w:before="0" w:after="120"/>
        <w:ind w:left="720" w:hanging="720"/>
        <w:jc w:val="both"/>
      </w:pPr>
      <w:r w:rsidRPr="00BF1632">
        <w:t xml:space="preserve">The ESC considered that the primary clinical issue with the resubmission was the evidence basis for the clinical claim, i.e., the lack of direct or robust evidence to inform the comparative efficacy of ibrutinib with the selected comparator (R-CHOP) in the relevant patient population (relapsed and refractory mantle cell lymphoma). The ESC considered that the deliberations regarding the adjustment for crossover were secondary to the concerns around whether to accept the naïve indirect comparison of temsirolimus versus R-CHOP.  </w:t>
      </w:r>
    </w:p>
    <w:p w:rsidR="00417590" w:rsidRPr="00BF1632" w:rsidRDefault="00417590" w:rsidP="000D6801">
      <w:pPr>
        <w:pStyle w:val="ListParagraph"/>
        <w:numPr>
          <w:ilvl w:val="1"/>
          <w:numId w:val="1"/>
        </w:numPr>
        <w:spacing w:before="0" w:after="120"/>
        <w:ind w:left="720" w:hanging="720"/>
        <w:jc w:val="both"/>
      </w:pPr>
      <w:r w:rsidRPr="00BF1632">
        <w:t>The resubmission presented a naïve comparison of progression free survival and overall survival outcomes for patients treated with temsirolimus from the final analysis of the MCL-3001 trial and patients treated with other immunochemotherapies.</w:t>
      </w:r>
    </w:p>
    <w:p w:rsidR="00417590" w:rsidRPr="00BF1632" w:rsidRDefault="00417590" w:rsidP="00417590">
      <w:pPr>
        <w:pStyle w:val="TableHeading1"/>
        <w:rPr>
          <w:snapToGrid w:val="0"/>
        </w:rPr>
      </w:pPr>
      <w:r w:rsidRPr="00BF1632">
        <w:rPr>
          <w:snapToGrid w:val="0"/>
        </w:rPr>
        <w:t>Table 6: Comparison of efficacy between temsirolimus and immunochemotherapy</w:t>
      </w:r>
    </w:p>
    <w:tbl>
      <w:tblPr>
        <w:tblStyle w:val="TableGrid8"/>
        <w:tblW w:w="5000" w:type="pct"/>
        <w:tblLook w:val="04A0" w:firstRow="1" w:lastRow="0" w:firstColumn="1" w:lastColumn="0" w:noHBand="0" w:noVBand="1"/>
        <w:tblCaption w:val="Table 6: Comparison of efficacy between temsirolimus and immunochemotherapy"/>
      </w:tblPr>
      <w:tblGrid>
        <w:gridCol w:w="2267"/>
        <w:gridCol w:w="1989"/>
        <w:gridCol w:w="2414"/>
        <w:gridCol w:w="2412"/>
      </w:tblGrid>
      <w:tr w:rsidR="00417590" w:rsidRPr="00BF1632" w:rsidTr="002E15F5">
        <w:trPr>
          <w:cantSplit/>
          <w:tblHeader/>
        </w:trPr>
        <w:tc>
          <w:tcPr>
            <w:tcW w:w="1248" w:type="pct"/>
            <w:tcMar>
              <w:left w:w="28" w:type="dxa"/>
              <w:right w:w="28" w:type="dxa"/>
            </w:tcMar>
          </w:tcPr>
          <w:p w:rsidR="00417590" w:rsidRPr="00BF1632" w:rsidRDefault="00417590" w:rsidP="00BB5B72">
            <w:pPr>
              <w:pStyle w:val="TableText"/>
              <w:rPr>
                <w:b/>
                <w:snapToGrid w:val="0"/>
              </w:rPr>
            </w:pPr>
          </w:p>
        </w:tc>
        <w:tc>
          <w:tcPr>
            <w:tcW w:w="1095" w:type="pct"/>
            <w:tcMar>
              <w:left w:w="28" w:type="dxa"/>
              <w:right w:w="28" w:type="dxa"/>
            </w:tcMar>
          </w:tcPr>
          <w:p w:rsidR="00417590" w:rsidRPr="00BF1632" w:rsidRDefault="00417590" w:rsidP="00BB5B72">
            <w:pPr>
              <w:pStyle w:val="TableText"/>
              <w:rPr>
                <w:b/>
                <w:snapToGrid w:val="0"/>
              </w:rPr>
            </w:pPr>
            <w:r w:rsidRPr="00BF1632">
              <w:rPr>
                <w:b/>
                <w:snapToGrid w:val="0"/>
              </w:rPr>
              <w:t>Treatment</w:t>
            </w:r>
          </w:p>
        </w:tc>
        <w:tc>
          <w:tcPr>
            <w:tcW w:w="1329" w:type="pct"/>
            <w:tcMar>
              <w:left w:w="28" w:type="dxa"/>
              <w:right w:w="28" w:type="dxa"/>
            </w:tcMar>
          </w:tcPr>
          <w:p w:rsidR="00417590" w:rsidRPr="00BF1632" w:rsidRDefault="00417590" w:rsidP="00BB5B72">
            <w:pPr>
              <w:pStyle w:val="TableText"/>
              <w:rPr>
                <w:b/>
                <w:snapToGrid w:val="0"/>
              </w:rPr>
            </w:pPr>
            <w:r w:rsidRPr="00BF1632">
              <w:rPr>
                <w:b/>
                <w:snapToGrid w:val="0"/>
              </w:rPr>
              <w:t>Median PFS, months (95% CI)</w:t>
            </w:r>
          </w:p>
        </w:tc>
        <w:tc>
          <w:tcPr>
            <w:tcW w:w="1328" w:type="pct"/>
            <w:tcMar>
              <w:left w:w="28" w:type="dxa"/>
              <w:right w:w="28" w:type="dxa"/>
            </w:tcMar>
          </w:tcPr>
          <w:p w:rsidR="00417590" w:rsidRPr="00BF1632" w:rsidRDefault="00417590" w:rsidP="00BB5B72">
            <w:pPr>
              <w:pStyle w:val="TableText"/>
              <w:rPr>
                <w:b/>
                <w:snapToGrid w:val="0"/>
              </w:rPr>
            </w:pPr>
            <w:r w:rsidRPr="00BF1632">
              <w:rPr>
                <w:b/>
                <w:snapToGrid w:val="0"/>
              </w:rPr>
              <w:t>Median OS, months (95% CI)</w:t>
            </w:r>
          </w:p>
        </w:tc>
      </w:tr>
      <w:tr w:rsidR="00417590" w:rsidRPr="00BF1632" w:rsidTr="002E15F5">
        <w:trPr>
          <w:cantSplit/>
        </w:trPr>
        <w:tc>
          <w:tcPr>
            <w:tcW w:w="1248" w:type="pct"/>
            <w:tcMar>
              <w:left w:w="28" w:type="dxa"/>
              <w:right w:w="28" w:type="dxa"/>
            </w:tcMar>
          </w:tcPr>
          <w:p w:rsidR="00417590" w:rsidRPr="00BF1632" w:rsidRDefault="00417590" w:rsidP="00BB5B72">
            <w:pPr>
              <w:pStyle w:val="TableText"/>
              <w:rPr>
                <w:snapToGrid w:val="0"/>
                <w:vertAlign w:val="superscript"/>
              </w:rPr>
            </w:pPr>
            <w:r w:rsidRPr="00BF1632">
              <w:rPr>
                <w:snapToGrid w:val="0"/>
              </w:rPr>
              <w:t>MCL-3001 (final analysis)</w:t>
            </w:r>
          </w:p>
        </w:tc>
        <w:tc>
          <w:tcPr>
            <w:tcW w:w="1095" w:type="pct"/>
            <w:tcMar>
              <w:left w:w="28" w:type="dxa"/>
              <w:right w:w="28" w:type="dxa"/>
            </w:tcMar>
          </w:tcPr>
          <w:p w:rsidR="00417590" w:rsidRPr="00BF1632" w:rsidRDefault="00417590" w:rsidP="00BB5B72">
            <w:pPr>
              <w:pStyle w:val="TableText"/>
              <w:rPr>
                <w:snapToGrid w:val="0"/>
              </w:rPr>
            </w:pPr>
            <w:r w:rsidRPr="00BF1632">
              <w:rPr>
                <w:snapToGrid w:val="0"/>
              </w:rPr>
              <w:t>Temsirolimus (n = 141)</w:t>
            </w:r>
          </w:p>
        </w:tc>
        <w:tc>
          <w:tcPr>
            <w:tcW w:w="1329" w:type="pct"/>
            <w:tcMar>
              <w:left w:w="28" w:type="dxa"/>
              <w:right w:w="28" w:type="dxa"/>
            </w:tcMar>
          </w:tcPr>
          <w:p w:rsidR="00417590" w:rsidRPr="00BF1632" w:rsidRDefault="00417590" w:rsidP="00BB5B72">
            <w:pPr>
              <w:pStyle w:val="TableText"/>
              <w:rPr>
                <w:snapToGrid w:val="0"/>
              </w:rPr>
            </w:pPr>
            <w:r w:rsidRPr="00BF1632">
              <w:rPr>
                <w:snapToGrid w:val="0"/>
              </w:rPr>
              <w:t>6.2 (4.2, 7.8)</w:t>
            </w:r>
          </w:p>
        </w:tc>
        <w:tc>
          <w:tcPr>
            <w:tcW w:w="1328" w:type="pct"/>
            <w:tcMar>
              <w:left w:w="28" w:type="dxa"/>
              <w:right w:w="28" w:type="dxa"/>
            </w:tcMar>
          </w:tcPr>
          <w:p w:rsidR="00417590" w:rsidRPr="00F36A91" w:rsidRDefault="00F36A91" w:rsidP="00BB5B72">
            <w:pPr>
              <w:pStyle w:val="TableText"/>
              <w:rPr>
                <w:snapToGrid w:val="0"/>
                <w:highlight w:val="black"/>
              </w:rPr>
            </w:pPr>
            <w:r>
              <w:rPr>
                <w:noProof/>
                <w:snapToGrid w:val="0"/>
                <w:color w:val="000000"/>
                <w:highlight w:val="black"/>
              </w:rPr>
              <w:t>'''''''''''' ''''''''''''''' '''''''''''</w:t>
            </w:r>
          </w:p>
        </w:tc>
      </w:tr>
      <w:tr w:rsidR="00417590" w:rsidRPr="00BF1632" w:rsidTr="002E15F5">
        <w:trPr>
          <w:cantSplit/>
          <w:trHeight w:val="56"/>
        </w:trPr>
        <w:tc>
          <w:tcPr>
            <w:tcW w:w="1248" w:type="pct"/>
            <w:tcMar>
              <w:left w:w="28" w:type="dxa"/>
              <w:right w:w="28" w:type="dxa"/>
            </w:tcMar>
            <w:vAlign w:val="center"/>
          </w:tcPr>
          <w:p w:rsidR="00417590" w:rsidRPr="00BF1632" w:rsidRDefault="00417590" w:rsidP="00BB5B72">
            <w:pPr>
              <w:pStyle w:val="TableText"/>
              <w:rPr>
                <w:snapToGrid w:val="0"/>
              </w:rPr>
            </w:pPr>
            <w:r w:rsidRPr="00BF1632">
              <w:rPr>
                <w:snapToGrid w:val="0"/>
              </w:rPr>
              <w:t>Rummel (2016)</w:t>
            </w:r>
          </w:p>
        </w:tc>
        <w:tc>
          <w:tcPr>
            <w:tcW w:w="1095" w:type="pct"/>
            <w:tcMar>
              <w:left w:w="28" w:type="dxa"/>
              <w:right w:w="28" w:type="dxa"/>
            </w:tcMar>
          </w:tcPr>
          <w:p w:rsidR="00417590" w:rsidRPr="00BF1632" w:rsidRDefault="00417590" w:rsidP="00BB5B72">
            <w:pPr>
              <w:pStyle w:val="TableText"/>
              <w:rPr>
                <w:snapToGrid w:val="0"/>
              </w:rPr>
            </w:pPr>
            <w:r w:rsidRPr="00BF1632">
              <w:rPr>
                <w:snapToGrid w:val="0"/>
              </w:rPr>
              <w:t>R-F (n = 23)</w:t>
            </w:r>
          </w:p>
        </w:tc>
        <w:tc>
          <w:tcPr>
            <w:tcW w:w="1329" w:type="pct"/>
            <w:tcMar>
              <w:left w:w="28" w:type="dxa"/>
              <w:right w:w="28" w:type="dxa"/>
            </w:tcMar>
          </w:tcPr>
          <w:p w:rsidR="00417590" w:rsidRPr="00BF1632" w:rsidRDefault="00417590" w:rsidP="00BB5B72">
            <w:pPr>
              <w:pStyle w:val="TableText"/>
              <w:rPr>
                <w:snapToGrid w:val="0"/>
              </w:rPr>
            </w:pPr>
            <w:r w:rsidRPr="00BF1632">
              <w:rPr>
                <w:snapToGrid w:val="0"/>
              </w:rPr>
              <w:t xml:space="preserve">4.7 (2.3, 11.2) </w:t>
            </w:r>
          </w:p>
        </w:tc>
        <w:tc>
          <w:tcPr>
            <w:tcW w:w="1328" w:type="pct"/>
            <w:tcMar>
              <w:left w:w="28" w:type="dxa"/>
              <w:right w:w="28" w:type="dxa"/>
            </w:tcMar>
          </w:tcPr>
          <w:p w:rsidR="00417590" w:rsidRPr="00BF1632" w:rsidRDefault="00417590" w:rsidP="00BB5B72">
            <w:pPr>
              <w:pStyle w:val="TableText"/>
              <w:rPr>
                <w:snapToGrid w:val="0"/>
              </w:rPr>
            </w:pPr>
            <w:r w:rsidRPr="00BF1632">
              <w:rPr>
                <w:snapToGrid w:val="0"/>
              </w:rPr>
              <w:t xml:space="preserve">20.9 (10.6, 56.7) </w:t>
            </w:r>
          </w:p>
        </w:tc>
      </w:tr>
      <w:tr w:rsidR="00417590" w:rsidRPr="00BF1632" w:rsidTr="002E15F5">
        <w:trPr>
          <w:cantSplit/>
        </w:trPr>
        <w:tc>
          <w:tcPr>
            <w:tcW w:w="1248" w:type="pct"/>
            <w:tcMar>
              <w:left w:w="28" w:type="dxa"/>
              <w:right w:w="28" w:type="dxa"/>
            </w:tcMar>
          </w:tcPr>
          <w:p w:rsidR="00417590" w:rsidRPr="00BF1632" w:rsidRDefault="00417590" w:rsidP="00BB5B72">
            <w:pPr>
              <w:pStyle w:val="TableText"/>
              <w:rPr>
                <w:snapToGrid w:val="0"/>
              </w:rPr>
            </w:pPr>
            <w:r w:rsidRPr="00BF1632">
              <w:rPr>
                <w:snapToGrid w:val="0"/>
              </w:rPr>
              <w:t>Forstpointner (2004)</w:t>
            </w:r>
          </w:p>
        </w:tc>
        <w:tc>
          <w:tcPr>
            <w:tcW w:w="1095" w:type="pct"/>
            <w:tcMar>
              <w:left w:w="28" w:type="dxa"/>
              <w:right w:w="28" w:type="dxa"/>
            </w:tcMar>
          </w:tcPr>
          <w:p w:rsidR="00417590" w:rsidRPr="00BF1632" w:rsidRDefault="00417590" w:rsidP="00BB5B72">
            <w:pPr>
              <w:pStyle w:val="TableText"/>
              <w:rPr>
                <w:snapToGrid w:val="0"/>
              </w:rPr>
            </w:pPr>
            <w:r w:rsidRPr="00BF1632">
              <w:rPr>
                <w:snapToGrid w:val="0"/>
              </w:rPr>
              <w:t>R-FCM (n = 24)</w:t>
            </w:r>
          </w:p>
        </w:tc>
        <w:tc>
          <w:tcPr>
            <w:tcW w:w="1329" w:type="pct"/>
            <w:tcMar>
              <w:left w:w="28" w:type="dxa"/>
              <w:right w:w="28" w:type="dxa"/>
            </w:tcMar>
          </w:tcPr>
          <w:p w:rsidR="00417590" w:rsidRPr="00BF1632" w:rsidRDefault="00417590" w:rsidP="00BB5B72">
            <w:pPr>
              <w:pStyle w:val="TableText"/>
              <w:rPr>
                <w:snapToGrid w:val="0"/>
              </w:rPr>
            </w:pPr>
            <w:r w:rsidRPr="00BF1632">
              <w:rPr>
                <w:snapToGrid w:val="0"/>
              </w:rPr>
              <w:t xml:space="preserve">8 </w:t>
            </w:r>
          </w:p>
        </w:tc>
        <w:tc>
          <w:tcPr>
            <w:tcW w:w="1328" w:type="pct"/>
            <w:tcMar>
              <w:left w:w="28" w:type="dxa"/>
              <w:right w:w="28" w:type="dxa"/>
            </w:tcMar>
          </w:tcPr>
          <w:p w:rsidR="00417590" w:rsidRPr="00BF1632" w:rsidRDefault="00417590" w:rsidP="00BB5B72">
            <w:pPr>
              <w:pStyle w:val="TableText"/>
              <w:rPr>
                <w:snapToGrid w:val="0"/>
              </w:rPr>
            </w:pPr>
            <w:r w:rsidRPr="00BF1632">
              <w:rPr>
                <w:snapToGrid w:val="0"/>
              </w:rPr>
              <w:t>NE; 65% alive at 2 years</w:t>
            </w:r>
          </w:p>
        </w:tc>
      </w:tr>
      <w:tr w:rsidR="00417590" w:rsidRPr="00BF1632" w:rsidTr="002E15F5">
        <w:trPr>
          <w:cantSplit/>
        </w:trPr>
        <w:tc>
          <w:tcPr>
            <w:tcW w:w="1248" w:type="pct"/>
            <w:tcMar>
              <w:left w:w="28" w:type="dxa"/>
              <w:right w:w="28" w:type="dxa"/>
            </w:tcMar>
          </w:tcPr>
          <w:p w:rsidR="00417590" w:rsidRPr="00BF1632" w:rsidRDefault="00417590" w:rsidP="00BB5B72">
            <w:pPr>
              <w:pStyle w:val="TableText"/>
              <w:rPr>
                <w:snapToGrid w:val="0"/>
              </w:rPr>
            </w:pPr>
            <w:r w:rsidRPr="00BF1632">
              <w:rPr>
                <w:snapToGrid w:val="0"/>
              </w:rPr>
              <w:t xml:space="preserve">Opat (2016) </w:t>
            </w:r>
          </w:p>
        </w:tc>
        <w:tc>
          <w:tcPr>
            <w:tcW w:w="1095" w:type="pct"/>
            <w:tcMar>
              <w:left w:w="28" w:type="dxa"/>
              <w:right w:w="28" w:type="dxa"/>
            </w:tcMar>
          </w:tcPr>
          <w:p w:rsidR="00417590" w:rsidRPr="00BF1632" w:rsidRDefault="00417590" w:rsidP="00BB5B72">
            <w:pPr>
              <w:pStyle w:val="TableText"/>
              <w:rPr>
                <w:snapToGrid w:val="0"/>
              </w:rPr>
            </w:pPr>
            <w:r w:rsidRPr="00BF1632">
              <w:rPr>
                <w:snapToGrid w:val="0"/>
              </w:rPr>
              <w:t>Various (n = 21)</w:t>
            </w:r>
          </w:p>
        </w:tc>
        <w:tc>
          <w:tcPr>
            <w:tcW w:w="1329" w:type="pct"/>
            <w:tcMar>
              <w:left w:w="28" w:type="dxa"/>
              <w:right w:w="28" w:type="dxa"/>
            </w:tcMar>
          </w:tcPr>
          <w:p w:rsidR="00417590" w:rsidRPr="00BF1632" w:rsidRDefault="00417590" w:rsidP="00BB5B72">
            <w:pPr>
              <w:pStyle w:val="TableText"/>
              <w:rPr>
                <w:snapToGrid w:val="0"/>
              </w:rPr>
            </w:pPr>
            <w:r w:rsidRPr="00BF1632">
              <w:rPr>
                <w:snapToGrid w:val="0"/>
              </w:rPr>
              <w:t xml:space="preserve">NR </w:t>
            </w:r>
          </w:p>
        </w:tc>
        <w:tc>
          <w:tcPr>
            <w:tcW w:w="1328" w:type="pct"/>
            <w:tcMar>
              <w:left w:w="28" w:type="dxa"/>
              <w:right w:w="28" w:type="dxa"/>
            </w:tcMar>
          </w:tcPr>
          <w:p w:rsidR="00417590" w:rsidRPr="00BF1632" w:rsidRDefault="00417590" w:rsidP="00BB5B72">
            <w:pPr>
              <w:pStyle w:val="TableText"/>
              <w:rPr>
                <w:snapToGrid w:val="0"/>
              </w:rPr>
            </w:pPr>
            <w:r w:rsidRPr="00BF1632">
              <w:rPr>
                <w:snapToGrid w:val="0"/>
              </w:rPr>
              <w:t xml:space="preserve">22.8 </w:t>
            </w:r>
          </w:p>
        </w:tc>
      </w:tr>
      <w:tr w:rsidR="00417590" w:rsidRPr="00BF1632" w:rsidTr="002E15F5">
        <w:trPr>
          <w:cantSplit/>
        </w:trPr>
        <w:tc>
          <w:tcPr>
            <w:tcW w:w="1248" w:type="pct"/>
            <w:tcMar>
              <w:left w:w="28" w:type="dxa"/>
              <w:right w:w="28" w:type="dxa"/>
            </w:tcMar>
          </w:tcPr>
          <w:p w:rsidR="00417590" w:rsidRPr="00BF1632" w:rsidRDefault="00417590" w:rsidP="00BB5B72">
            <w:pPr>
              <w:pStyle w:val="TableText"/>
              <w:rPr>
                <w:snapToGrid w:val="0"/>
              </w:rPr>
            </w:pPr>
            <w:r w:rsidRPr="00BF1632">
              <w:rPr>
                <w:snapToGrid w:val="0"/>
              </w:rPr>
              <w:t>Patmore (2016)</w:t>
            </w:r>
          </w:p>
        </w:tc>
        <w:tc>
          <w:tcPr>
            <w:tcW w:w="1095" w:type="pct"/>
            <w:tcMar>
              <w:left w:w="28" w:type="dxa"/>
              <w:right w:w="28" w:type="dxa"/>
            </w:tcMar>
          </w:tcPr>
          <w:p w:rsidR="00417590" w:rsidRPr="00BF1632" w:rsidRDefault="00417590" w:rsidP="00BB5B72">
            <w:pPr>
              <w:pStyle w:val="TableText"/>
              <w:rPr>
                <w:snapToGrid w:val="0"/>
              </w:rPr>
            </w:pPr>
            <w:r w:rsidRPr="00BF1632">
              <w:rPr>
                <w:snapToGrid w:val="0"/>
              </w:rPr>
              <w:t>Various (n = 109)</w:t>
            </w:r>
          </w:p>
        </w:tc>
        <w:tc>
          <w:tcPr>
            <w:tcW w:w="1329" w:type="pct"/>
            <w:tcMar>
              <w:left w:w="28" w:type="dxa"/>
              <w:right w:w="28" w:type="dxa"/>
            </w:tcMar>
          </w:tcPr>
          <w:p w:rsidR="00417590" w:rsidRPr="00BF1632" w:rsidRDefault="00417590" w:rsidP="00BB5B72">
            <w:pPr>
              <w:pStyle w:val="TableText"/>
              <w:rPr>
                <w:snapToGrid w:val="0"/>
              </w:rPr>
            </w:pPr>
            <w:r w:rsidRPr="00BF1632">
              <w:rPr>
                <w:snapToGrid w:val="0"/>
              </w:rPr>
              <w:t>NR</w:t>
            </w:r>
          </w:p>
        </w:tc>
        <w:tc>
          <w:tcPr>
            <w:tcW w:w="1328" w:type="pct"/>
            <w:tcMar>
              <w:left w:w="28" w:type="dxa"/>
              <w:right w:w="28" w:type="dxa"/>
            </w:tcMar>
          </w:tcPr>
          <w:p w:rsidR="00417590" w:rsidRPr="00BF1632" w:rsidRDefault="00417590" w:rsidP="00BB5B72">
            <w:pPr>
              <w:pStyle w:val="TableText"/>
              <w:rPr>
                <w:snapToGrid w:val="0"/>
              </w:rPr>
            </w:pPr>
            <w:r w:rsidRPr="00BF1632">
              <w:rPr>
                <w:snapToGrid w:val="0"/>
              </w:rPr>
              <w:t xml:space="preserve">  </w:t>
            </w:r>
            <w:r w:rsidRPr="00BF1632">
              <w:rPr>
                <w:rFonts w:ascii="Calibri Light" w:hAnsi="Calibri Light"/>
                <w:snapToGrid w:val="0"/>
              </w:rPr>
              <w:t>̴</w:t>
            </w:r>
            <w:r w:rsidRPr="00BF1632">
              <w:rPr>
                <w:snapToGrid w:val="0"/>
              </w:rPr>
              <w:t xml:space="preserve"> 12</w:t>
            </w:r>
            <w:r w:rsidRPr="00BF1632">
              <w:rPr>
                <w:snapToGrid w:val="0"/>
                <w:vertAlign w:val="superscript"/>
              </w:rPr>
              <w:t xml:space="preserve">a </w:t>
            </w:r>
          </w:p>
        </w:tc>
      </w:tr>
    </w:tbl>
    <w:p w:rsidR="00417590" w:rsidRPr="00BF1632" w:rsidRDefault="00417590" w:rsidP="00417590">
      <w:pPr>
        <w:keepNext/>
        <w:widowControl w:val="0"/>
        <w:spacing w:before="0" w:after="0"/>
        <w:rPr>
          <w:rFonts w:ascii="Arial Narrow" w:eastAsia="Times New Roman" w:hAnsi="Arial Narrow" w:cs="Arial"/>
          <w:snapToGrid w:val="0"/>
          <w:sz w:val="18"/>
          <w:szCs w:val="18"/>
        </w:rPr>
      </w:pPr>
      <w:r w:rsidRPr="00BF1632">
        <w:rPr>
          <w:rFonts w:ascii="Arial Narrow" w:eastAsia="Times New Roman" w:hAnsi="Arial Narrow" w:cs="Arial"/>
          <w:snapToGrid w:val="0"/>
          <w:sz w:val="18"/>
          <w:szCs w:val="18"/>
        </w:rPr>
        <w:t>Source: Table C.4, p13, Section C of the submission</w:t>
      </w:r>
    </w:p>
    <w:p w:rsidR="00417590" w:rsidRPr="00BF1632" w:rsidRDefault="00417590" w:rsidP="00417590">
      <w:pPr>
        <w:keepNext/>
        <w:widowControl w:val="0"/>
        <w:spacing w:before="0" w:after="0"/>
        <w:rPr>
          <w:rFonts w:ascii="Arial Narrow" w:eastAsia="Times New Roman" w:hAnsi="Arial Narrow" w:cs="Arial"/>
          <w:snapToGrid w:val="0"/>
          <w:sz w:val="18"/>
          <w:szCs w:val="18"/>
        </w:rPr>
      </w:pPr>
      <w:r w:rsidRPr="00BF1632">
        <w:rPr>
          <w:rFonts w:ascii="Arial Narrow" w:eastAsia="Times New Roman" w:hAnsi="Arial Narrow" w:cs="Arial"/>
          <w:snapToGrid w:val="0"/>
          <w:sz w:val="18"/>
          <w:szCs w:val="18"/>
        </w:rPr>
        <w:t>CI = confidence interval; NE = not estimable; NR = not reported; OS = overall survival; PFS = progression-free survival; R-F = rituximab, fludarabine; R-FCM = rituximab, fludarabine, cyclophosphamide, mitozantrone</w:t>
      </w:r>
    </w:p>
    <w:p w:rsidR="000D6801" w:rsidRPr="00BF1632" w:rsidRDefault="00417590" w:rsidP="00417590">
      <w:pPr>
        <w:keepNext/>
        <w:widowControl w:val="0"/>
        <w:spacing w:before="0" w:after="0"/>
        <w:rPr>
          <w:rFonts w:ascii="Arial Narrow" w:eastAsia="Times New Roman" w:hAnsi="Arial Narrow" w:cs="Arial"/>
          <w:snapToGrid w:val="0"/>
          <w:sz w:val="18"/>
          <w:szCs w:val="18"/>
        </w:rPr>
      </w:pPr>
      <w:r w:rsidRPr="00BF1632">
        <w:rPr>
          <w:rFonts w:ascii="Arial Narrow" w:eastAsia="Times New Roman" w:hAnsi="Arial Narrow" w:cs="Arial"/>
          <w:snapToGrid w:val="0"/>
          <w:sz w:val="18"/>
          <w:szCs w:val="18"/>
          <w:vertAlign w:val="superscript"/>
        </w:rPr>
        <w:t>a</w:t>
      </w:r>
      <w:r w:rsidRPr="00BF1632">
        <w:rPr>
          <w:rFonts w:ascii="Arial Narrow" w:eastAsia="Times New Roman" w:hAnsi="Arial Narrow" w:cs="Arial"/>
          <w:snapToGrid w:val="0"/>
          <w:sz w:val="18"/>
          <w:szCs w:val="18"/>
        </w:rPr>
        <w:t xml:space="preserve"> Based on visual assessment of Kaplan-Meier survival estimates</w:t>
      </w:r>
    </w:p>
    <w:p w:rsidR="000D6801" w:rsidRPr="00BF1632" w:rsidRDefault="000D6801" w:rsidP="00417590">
      <w:pPr>
        <w:keepNext/>
        <w:widowControl w:val="0"/>
        <w:spacing w:before="0" w:after="0"/>
        <w:rPr>
          <w:rFonts w:ascii="Arial Narrow" w:eastAsia="Times New Roman" w:hAnsi="Arial Narrow" w:cs="Arial"/>
          <w:snapToGrid w:val="0"/>
          <w:sz w:val="18"/>
          <w:szCs w:val="18"/>
        </w:rPr>
      </w:pPr>
    </w:p>
    <w:p w:rsidR="00B538CF" w:rsidRPr="00BF1632" w:rsidRDefault="00417590" w:rsidP="000D6801">
      <w:pPr>
        <w:pStyle w:val="ListParagraph"/>
        <w:numPr>
          <w:ilvl w:val="1"/>
          <w:numId w:val="1"/>
        </w:numPr>
        <w:spacing w:before="0" w:after="120"/>
        <w:ind w:left="720" w:hanging="720"/>
        <w:jc w:val="both"/>
      </w:pPr>
      <w:r w:rsidRPr="00BF1632">
        <w:t xml:space="preserve">As in the November 2016 submission, the resubmission concluded that the efficacy of rituximab plus fludarabine (Rummel 2016) and rituximab, fludarabine, cyclophosphamide and mitozantrone (R-FCM) (Forstpointner 2004) were broadly similar to the efficacy of temsirolimus in patients with relapsed or refractory mantle cell lymphoma, based on progression free and overall survival outcomes. </w:t>
      </w:r>
    </w:p>
    <w:p w:rsidR="00B538CF" w:rsidRPr="00BF1632" w:rsidRDefault="00417590" w:rsidP="000D6801">
      <w:pPr>
        <w:pStyle w:val="ListParagraph"/>
        <w:numPr>
          <w:ilvl w:val="1"/>
          <w:numId w:val="1"/>
        </w:numPr>
        <w:spacing w:before="0" w:after="120"/>
        <w:ind w:left="720" w:hanging="720"/>
        <w:jc w:val="both"/>
      </w:pPr>
      <w:r w:rsidRPr="00BF1632">
        <w:t>Data from two retrospective analyses of registry data in Australia and the UK were presented by the resubmission to support the claim that temsirolimus was at least as effective as current treatments. The median overall survival for Australian patients with progressed mantle cell lymphoma (Opat 2016) was 22.8 months. This was comparable with the median overall survival for temsirolimus treated patients (</w:t>
      </w:r>
      <w:r w:rsidR="00F36A91">
        <w:rPr>
          <w:noProof/>
          <w:color w:val="000000"/>
          <w:highlight w:val="black"/>
        </w:rPr>
        <w:t>'''''''''</w:t>
      </w:r>
      <w:r w:rsidRPr="00BF1632">
        <w:t xml:space="preserve"> months). </w:t>
      </w:r>
    </w:p>
    <w:p w:rsidR="00B538CF" w:rsidRPr="00BF1632" w:rsidRDefault="00417590" w:rsidP="000D6801">
      <w:pPr>
        <w:pStyle w:val="ListParagraph"/>
        <w:numPr>
          <w:ilvl w:val="1"/>
          <w:numId w:val="1"/>
        </w:numPr>
        <w:spacing w:before="0" w:after="120"/>
        <w:ind w:left="720" w:hanging="720"/>
        <w:jc w:val="both"/>
      </w:pPr>
      <w:r w:rsidRPr="00BF1632">
        <w:t>The results from Patmore (2016) suggested that UK patients had a significantly poorer outcome compared to temsirolimus patients in the MCL-3001 trial, with a median overall survival of approximately 12 months following second- or third-line therapy.</w:t>
      </w:r>
    </w:p>
    <w:p w:rsidR="00B538CF" w:rsidRPr="00BF1632" w:rsidRDefault="00417590" w:rsidP="000D6801">
      <w:pPr>
        <w:pStyle w:val="ListParagraph"/>
        <w:numPr>
          <w:ilvl w:val="1"/>
          <w:numId w:val="1"/>
        </w:numPr>
        <w:spacing w:before="0" w:after="120"/>
        <w:ind w:left="720" w:hanging="720"/>
        <w:jc w:val="both"/>
        <w:rPr>
          <w:color w:val="4472C4" w:themeColor="accent5"/>
        </w:rPr>
      </w:pPr>
      <w:r w:rsidRPr="00BF1632">
        <w:t>The resubmission concluded that these comparisons demonstrated that temsirolimus was comparable to R-CHOP in terms of efficacy. No evidence was provided to support the assumption that R-CHOP was comparable to immunochemotherapies in terms of efficacy. Furthermore, the additional data from</w:t>
      </w:r>
      <w:r w:rsidR="00BB1C5C" w:rsidRPr="00BF1632">
        <w:t xml:space="preserve"> Opat (2016) and Patmore (2016)</w:t>
      </w:r>
      <w:r w:rsidRPr="00BF1632">
        <w:t xml:space="preserve"> was based on naïve retrospective analyses of registry data which included heterogeneous non-trial based patients, who may have a poorer prognosis compared with those included in the MCL-3001 trial.</w:t>
      </w:r>
    </w:p>
    <w:p w:rsidR="00BB1C5C" w:rsidRPr="00BF1632" w:rsidRDefault="00BB1C5C" w:rsidP="000D6801">
      <w:pPr>
        <w:pStyle w:val="ListParagraph"/>
        <w:numPr>
          <w:ilvl w:val="1"/>
          <w:numId w:val="1"/>
        </w:numPr>
        <w:spacing w:before="0" w:after="120"/>
        <w:ind w:left="720" w:hanging="720"/>
        <w:jc w:val="both"/>
        <w:rPr>
          <w:color w:val="4472C4" w:themeColor="accent5"/>
        </w:rPr>
      </w:pPr>
      <w:r w:rsidRPr="00BF1632">
        <w:t xml:space="preserve">The ESC noted that the updated clinical data presented in the resubmission from the final analysis of MCL-3001 were consistent with the interim analysis results in the previous submission, and that the difference in overall survival between ibrutinib and temsirolimus </w:t>
      </w:r>
      <w:r w:rsidR="00F36A91">
        <w:rPr>
          <w:noProof/>
          <w:color w:val="000000"/>
          <w:highlight w:val="black"/>
        </w:rPr>
        <w:t>'''''''''''''''''' ''''''''''''''''''''' '''''''''''''''''''''''' ''''''''''''' '''''''''''''''''' '''''' '''''''''''''''''</w:t>
      </w:r>
      <w:r w:rsidRPr="00BF1632">
        <w:t xml:space="preserve">. The ESC therefore considered that the updated data did not change its concern that the magnitude of benefit with ibrutinib over temsirolimus was uncertain. </w:t>
      </w:r>
    </w:p>
    <w:p w:rsidR="00B538CF" w:rsidRPr="00BF1632" w:rsidRDefault="00B538CF" w:rsidP="00B538CF">
      <w:pPr>
        <w:pStyle w:val="Heading2"/>
        <w:rPr>
          <w:i w:val="0"/>
        </w:rPr>
      </w:pPr>
      <w:bookmarkStart w:id="21" w:name="_Toc413139279"/>
      <w:bookmarkStart w:id="22" w:name="_Toc492213205"/>
      <w:bookmarkStart w:id="23" w:name="_Toc493002975"/>
      <w:r w:rsidRPr="00BF1632">
        <w:rPr>
          <w:i w:val="0"/>
        </w:rPr>
        <w:t>Comparative harms</w:t>
      </w:r>
      <w:bookmarkEnd w:id="21"/>
      <w:bookmarkEnd w:id="22"/>
      <w:bookmarkEnd w:id="23"/>
    </w:p>
    <w:p w:rsidR="00B538CF" w:rsidRPr="00BF1632" w:rsidRDefault="00417590" w:rsidP="000D6801">
      <w:pPr>
        <w:pStyle w:val="ListParagraph"/>
        <w:numPr>
          <w:ilvl w:val="1"/>
          <w:numId w:val="1"/>
        </w:numPr>
        <w:spacing w:before="0" w:after="120"/>
        <w:ind w:left="720" w:hanging="720"/>
        <w:jc w:val="both"/>
        <w:rPr>
          <w:color w:val="4472C4" w:themeColor="accent5"/>
        </w:rPr>
      </w:pPr>
      <w:r w:rsidRPr="00BF1632">
        <w:t>The resubmission presented new safety data from MCL-3001 for ibrutinib – safety at six months and at final analysis.</w:t>
      </w:r>
    </w:p>
    <w:p w:rsidR="00B538CF" w:rsidRPr="00BF1632" w:rsidRDefault="00417590" w:rsidP="000D6801">
      <w:pPr>
        <w:pStyle w:val="ListParagraph"/>
        <w:numPr>
          <w:ilvl w:val="1"/>
          <w:numId w:val="1"/>
        </w:numPr>
        <w:spacing w:before="0" w:after="120"/>
        <w:ind w:left="720" w:hanging="720"/>
        <w:jc w:val="both"/>
        <w:rPr>
          <w:color w:val="4472C4" w:themeColor="accent5"/>
        </w:rPr>
      </w:pPr>
      <w:r w:rsidRPr="00BF1632">
        <w:t xml:space="preserve">The resubmission proposed that the six-month safety data for ibrutinib more closely represented the duration of a course of R-CHOP and the final analysis data more closely represented the comparative safety of ibrutinib and patients no longer receiving R-CHOP treatment. </w:t>
      </w:r>
      <w:r w:rsidR="00DE134B" w:rsidRPr="00BF1632">
        <w:t>The evaluation considered t</w:t>
      </w:r>
      <w:r w:rsidRPr="00BF1632">
        <w:t>his was reasonable.</w:t>
      </w:r>
    </w:p>
    <w:p w:rsidR="00417590" w:rsidRPr="00BF1632" w:rsidRDefault="00417590" w:rsidP="000D6801">
      <w:pPr>
        <w:pStyle w:val="ListParagraph"/>
        <w:numPr>
          <w:ilvl w:val="1"/>
          <w:numId w:val="1"/>
        </w:numPr>
        <w:spacing w:before="0" w:after="120"/>
        <w:ind w:left="720" w:hanging="720"/>
        <w:jc w:val="both"/>
        <w:rPr>
          <w:color w:val="4472C4" w:themeColor="accent5"/>
        </w:rPr>
      </w:pPr>
      <w:r w:rsidRPr="00BF1632">
        <w:t>A naïve indirect comparison of the overall safety profile of ibrutinib and temsirolimus from MCL-3001 (at six months and final analysis) and R-CHOP (from Robak 2015) are presented below.</w:t>
      </w:r>
    </w:p>
    <w:p w:rsidR="00417590" w:rsidRPr="00BF1632" w:rsidRDefault="00417590" w:rsidP="00417590">
      <w:pPr>
        <w:pStyle w:val="TableHeading1"/>
      </w:pPr>
      <w:r w:rsidRPr="00BF1632">
        <w:rPr>
          <w:snapToGrid w:val="0"/>
        </w:rPr>
        <w:t>Table 7: Naïve comparison of safety between ibrutinib, temsirolimus and R-CHOP</w:t>
      </w:r>
    </w:p>
    <w:tbl>
      <w:tblPr>
        <w:tblStyle w:val="TableGrid12"/>
        <w:tblW w:w="5000" w:type="pct"/>
        <w:tblLook w:val="04A0" w:firstRow="1" w:lastRow="0" w:firstColumn="1" w:lastColumn="0" w:noHBand="0" w:noVBand="1"/>
        <w:tblCaption w:val="Table 7: Naïve comparison of safety between ibrutinib, temsirolimus and R-CHOP"/>
      </w:tblPr>
      <w:tblGrid>
        <w:gridCol w:w="2420"/>
        <w:gridCol w:w="1430"/>
        <w:gridCol w:w="1284"/>
        <w:gridCol w:w="1430"/>
        <w:gridCol w:w="1288"/>
        <w:gridCol w:w="1230"/>
      </w:tblGrid>
      <w:tr w:rsidR="00417590" w:rsidRPr="00BF1632" w:rsidTr="002E15F5">
        <w:trPr>
          <w:cantSplit/>
          <w:trHeight w:val="281"/>
          <w:tblHeader/>
        </w:trPr>
        <w:tc>
          <w:tcPr>
            <w:tcW w:w="1333" w:type="pct"/>
            <w:vMerge w:val="restart"/>
            <w:tcMar>
              <w:left w:w="28" w:type="dxa"/>
              <w:right w:w="28" w:type="dxa"/>
            </w:tcMar>
            <w:vAlign w:val="center"/>
          </w:tcPr>
          <w:p w:rsidR="00417590" w:rsidRPr="00BF1632" w:rsidRDefault="00417590" w:rsidP="00BB5B72">
            <w:pPr>
              <w:pStyle w:val="TableText"/>
              <w:rPr>
                <w:lang w:val="en-AU"/>
              </w:rPr>
            </w:pPr>
          </w:p>
        </w:tc>
        <w:tc>
          <w:tcPr>
            <w:tcW w:w="1494" w:type="pct"/>
            <w:gridSpan w:val="2"/>
            <w:tcBorders>
              <w:bottom w:val="single" w:sz="4" w:space="0" w:color="auto"/>
            </w:tcBorders>
            <w:tcMar>
              <w:left w:w="28" w:type="dxa"/>
              <w:right w:w="28" w:type="dxa"/>
            </w:tcMar>
          </w:tcPr>
          <w:p w:rsidR="00417590" w:rsidRPr="00BF1632" w:rsidRDefault="00417590" w:rsidP="00BB5B72">
            <w:pPr>
              <w:pStyle w:val="TableText"/>
              <w:rPr>
                <w:b/>
              </w:rPr>
            </w:pPr>
            <w:r w:rsidRPr="00BF1632">
              <w:rPr>
                <w:b/>
              </w:rPr>
              <w:t xml:space="preserve"> MCL-3001 – 6 months</w:t>
            </w:r>
          </w:p>
        </w:tc>
        <w:tc>
          <w:tcPr>
            <w:tcW w:w="1496" w:type="pct"/>
            <w:gridSpan w:val="2"/>
            <w:tcBorders>
              <w:bottom w:val="single" w:sz="4" w:space="0" w:color="auto"/>
              <w:right w:val="single" w:sz="4" w:space="0" w:color="auto"/>
            </w:tcBorders>
            <w:tcMar>
              <w:left w:w="28" w:type="dxa"/>
              <w:right w:w="28" w:type="dxa"/>
            </w:tcMar>
          </w:tcPr>
          <w:p w:rsidR="00417590" w:rsidRPr="00BF1632" w:rsidRDefault="00417590" w:rsidP="00BB5B72">
            <w:pPr>
              <w:pStyle w:val="TableText"/>
              <w:rPr>
                <w:b/>
              </w:rPr>
            </w:pPr>
            <w:r w:rsidRPr="00BF1632">
              <w:rPr>
                <w:b/>
              </w:rPr>
              <w:t>MCL-3001 – final analysis</w:t>
            </w:r>
          </w:p>
        </w:tc>
        <w:tc>
          <w:tcPr>
            <w:tcW w:w="676" w:type="pct"/>
            <w:tcBorders>
              <w:left w:val="single" w:sz="4" w:space="0" w:color="auto"/>
            </w:tcBorders>
            <w:tcMar>
              <w:left w:w="28" w:type="dxa"/>
              <w:right w:w="28" w:type="dxa"/>
            </w:tcMar>
          </w:tcPr>
          <w:p w:rsidR="00417590" w:rsidRPr="00BF1632" w:rsidRDefault="00417590" w:rsidP="00BB5B72">
            <w:pPr>
              <w:pStyle w:val="TableText"/>
              <w:rPr>
                <w:b/>
                <w:lang w:val="en-AU"/>
              </w:rPr>
            </w:pPr>
            <w:r w:rsidRPr="00BF1632">
              <w:rPr>
                <w:b/>
              </w:rPr>
              <w:t>Robak (2015)</w:t>
            </w:r>
          </w:p>
        </w:tc>
      </w:tr>
      <w:tr w:rsidR="00417590" w:rsidRPr="00BF1632" w:rsidTr="002E15F5">
        <w:trPr>
          <w:cantSplit/>
          <w:trHeight w:val="311"/>
          <w:tblHeader/>
        </w:trPr>
        <w:tc>
          <w:tcPr>
            <w:tcW w:w="1333" w:type="pct"/>
            <w:vMerge/>
            <w:tcMar>
              <w:left w:w="28" w:type="dxa"/>
              <w:right w:w="28" w:type="dxa"/>
            </w:tcMar>
            <w:vAlign w:val="center"/>
          </w:tcPr>
          <w:p w:rsidR="00417590" w:rsidRPr="00BF1632" w:rsidRDefault="00417590" w:rsidP="00BB5B72">
            <w:pPr>
              <w:pStyle w:val="TableText"/>
              <w:rPr>
                <w:lang w:val="en-AU"/>
              </w:rPr>
            </w:pPr>
          </w:p>
        </w:tc>
        <w:tc>
          <w:tcPr>
            <w:tcW w:w="787" w:type="pct"/>
            <w:tcBorders>
              <w:right w:val="single" w:sz="4" w:space="0" w:color="auto"/>
            </w:tcBorders>
            <w:tcMar>
              <w:left w:w="28" w:type="dxa"/>
              <w:right w:w="28" w:type="dxa"/>
            </w:tcMar>
          </w:tcPr>
          <w:p w:rsidR="00417590" w:rsidRPr="00BF1632" w:rsidRDefault="00417590" w:rsidP="00BB5B72">
            <w:pPr>
              <w:pStyle w:val="TableText"/>
              <w:rPr>
                <w:b/>
                <w:lang w:val="en-AU"/>
              </w:rPr>
            </w:pPr>
            <w:r w:rsidRPr="00BF1632">
              <w:rPr>
                <w:b/>
              </w:rPr>
              <w:t xml:space="preserve">Ibrutinib </w:t>
            </w:r>
          </w:p>
          <w:p w:rsidR="00417590" w:rsidRPr="00BF1632" w:rsidRDefault="00417590" w:rsidP="00BB5B72">
            <w:pPr>
              <w:pStyle w:val="TableText"/>
              <w:rPr>
                <w:b/>
              </w:rPr>
            </w:pPr>
            <w:r w:rsidRPr="00BF1632">
              <w:rPr>
                <w:b/>
              </w:rPr>
              <w:t>(N = 139)</w:t>
            </w:r>
          </w:p>
        </w:tc>
        <w:tc>
          <w:tcPr>
            <w:tcW w:w="707" w:type="pct"/>
            <w:tcMar>
              <w:left w:w="28" w:type="dxa"/>
              <w:right w:w="28" w:type="dxa"/>
            </w:tcMar>
          </w:tcPr>
          <w:p w:rsidR="00417590" w:rsidRPr="00BF1632" w:rsidRDefault="00417590" w:rsidP="00BB5B72">
            <w:pPr>
              <w:pStyle w:val="TableText"/>
              <w:rPr>
                <w:b/>
              </w:rPr>
            </w:pPr>
            <w:r w:rsidRPr="00BF1632">
              <w:rPr>
                <w:b/>
              </w:rPr>
              <w:t xml:space="preserve">Temsirolimus </w:t>
            </w:r>
          </w:p>
          <w:p w:rsidR="00417590" w:rsidRPr="00BF1632" w:rsidRDefault="00417590" w:rsidP="00BB5B72">
            <w:pPr>
              <w:pStyle w:val="TableText"/>
              <w:rPr>
                <w:b/>
              </w:rPr>
            </w:pPr>
            <w:r w:rsidRPr="00BF1632">
              <w:rPr>
                <w:b/>
              </w:rPr>
              <w:t>(N = 139)</w:t>
            </w:r>
          </w:p>
        </w:tc>
        <w:tc>
          <w:tcPr>
            <w:tcW w:w="787" w:type="pct"/>
            <w:tcBorders>
              <w:right w:val="single" w:sz="4" w:space="0" w:color="auto"/>
            </w:tcBorders>
            <w:tcMar>
              <w:left w:w="28" w:type="dxa"/>
              <w:right w:w="28" w:type="dxa"/>
            </w:tcMar>
          </w:tcPr>
          <w:p w:rsidR="00417590" w:rsidRPr="00BF1632" w:rsidRDefault="00417590" w:rsidP="00BB5B72">
            <w:pPr>
              <w:pStyle w:val="TableText"/>
              <w:rPr>
                <w:b/>
                <w:lang w:val="en-AU"/>
              </w:rPr>
            </w:pPr>
            <w:r w:rsidRPr="00BF1632">
              <w:rPr>
                <w:b/>
              </w:rPr>
              <w:t xml:space="preserve">Ibrutinib </w:t>
            </w:r>
          </w:p>
          <w:p w:rsidR="00417590" w:rsidRPr="00BF1632" w:rsidRDefault="00417590" w:rsidP="00BB5B72">
            <w:pPr>
              <w:pStyle w:val="TableText"/>
              <w:rPr>
                <w:b/>
                <w:lang w:val="en-AU"/>
              </w:rPr>
            </w:pPr>
            <w:r w:rsidRPr="00BF1632">
              <w:rPr>
                <w:b/>
              </w:rPr>
              <w:t>(N = 139)</w:t>
            </w:r>
          </w:p>
        </w:tc>
        <w:tc>
          <w:tcPr>
            <w:tcW w:w="709" w:type="pct"/>
            <w:tcBorders>
              <w:right w:val="single" w:sz="4" w:space="0" w:color="auto"/>
            </w:tcBorders>
            <w:tcMar>
              <w:left w:w="28" w:type="dxa"/>
              <w:right w:w="28" w:type="dxa"/>
            </w:tcMar>
          </w:tcPr>
          <w:p w:rsidR="00417590" w:rsidRPr="00BF1632" w:rsidRDefault="00417590" w:rsidP="00BB5B72">
            <w:pPr>
              <w:pStyle w:val="TableText"/>
              <w:rPr>
                <w:b/>
              </w:rPr>
            </w:pPr>
            <w:r w:rsidRPr="00BF1632">
              <w:rPr>
                <w:b/>
              </w:rPr>
              <w:t xml:space="preserve">Temsirolimus </w:t>
            </w:r>
          </w:p>
          <w:p w:rsidR="00417590" w:rsidRPr="00BF1632" w:rsidRDefault="00417590" w:rsidP="00BB5B72">
            <w:pPr>
              <w:pStyle w:val="TableText"/>
              <w:rPr>
                <w:b/>
              </w:rPr>
            </w:pPr>
            <w:r w:rsidRPr="00BF1632">
              <w:rPr>
                <w:b/>
              </w:rPr>
              <w:t>(N = 139)</w:t>
            </w:r>
          </w:p>
        </w:tc>
        <w:tc>
          <w:tcPr>
            <w:tcW w:w="676" w:type="pct"/>
            <w:tcBorders>
              <w:left w:val="single" w:sz="4" w:space="0" w:color="auto"/>
            </w:tcBorders>
            <w:tcMar>
              <w:left w:w="28" w:type="dxa"/>
              <w:right w:w="28" w:type="dxa"/>
            </w:tcMar>
          </w:tcPr>
          <w:p w:rsidR="00417590" w:rsidRPr="00BF1632" w:rsidRDefault="00417590" w:rsidP="00BB5B72">
            <w:pPr>
              <w:pStyle w:val="TableText"/>
              <w:rPr>
                <w:b/>
                <w:lang w:val="en-AU"/>
              </w:rPr>
            </w:pPr>
            <w:r w:rsidRPr="00BF1632">
              <w:rPr>
                <w:b/>
              </w:rPr>
              <w:t xml:space="preserve">R-CHOP </w:t>
            </w:r>
          </w:p>
          <w:p w:rsidR="00417590" w:rsidRPr="00BF1632" w:rsidRDefault="00417590" w:rsidP="00BB5B72">
            <w:pPr>
              <w:pStyle w:val="TableText"/>
              <w:rPr>
                <w:b/>
                <w:lang w:val="en-AU"/>
              </w:rPr>
            </w:pPr>
            <w:r w:rsidRPr="00BF1632">
              <w:rPr>
                <w:b/>
              </w:rPr>
              <w:t>(N = 242)</w:t>
            </w:r>
          </w:p>
        </w:tc>
      </w:tr>
      <w:tr w:rsidR="00417590" w:rsidRPr="00BF1632" w:rsidTr="002E15F5">
        <w:trPr>
          <w:cantSplit/>
          <w:trHeight w:val="268"/>
        </w:trPr>
        <w:tc>
          <w:tcPr>
            <w:tcW w:w="1333" w:type="pct"/>
            <w:tcMar>
              <w:left w:w="28" w:type="dxa"/>
              <w:right w:w="28" w:type="dxa"/>
            </w:tcMar>
          </w:tcPr>
          <w:p w:rsidR="00417590" w:rsidRPr="00BF1632" w:rsidRDefault="00417590" w:rsidP="00BB5B72">
            <w:pPr>
              <w:pStyle w:val="TableText"/>
            </w:pPr>
            <w:r w:rsidRPr="00BF1632">
              <w:t xml:space="preserve">Median treatment duration </w:t>
            </w:r>
          </w:p>
        </w:tc>
        <w:tc>
          <w:tcPr>
            <w:tcW w:w="787" w:type="pct"/>
            <w:tcMar>
              <w:left w:w="28" w:type="dxa"/>
              <w:right w:w="28" w:type="dxa"/>
            </w:tcMar>
          </w:tcPr>
          <w:p w:rsidR="00417590" w:rsidRPr="00BF1632" w:rsidRDefault="00417590" w:rsidP="00BB5B72">
            <w:pPr>
              <w:pStyle w:val="TableText"/>
            </w:pPr>
            <w:r w:rsidRPr="00BF1632">
              <w:t>-</w:t>
            </w:r>
          </w:p>
        </w:tc>
        <w:tc>
          <w:tcPr>
            <w:tcW w:w="707" w:type="pct"/>
            <w:tcMar>
              <w:left w:w="28" w:type="dxa"/>
              <w:right w:w="28" w:type="dxa"/>
            </w:tcMar>
          </w:tcPr>
          <w:p w:rsidR="00417590" w:rsidRPr="00BF1632" w:rsidRDefault="00417590" w:rsidP="00BB5B72">
            <w:pPr>
              <w:pStyle w:val="TableText"/>
            </w:pPr>
            <w:r w:rsidRPr="00BF1632">
              <w:t>-</w:t>
            </w:r>
          </w:p>
        </w:tc>
        <w:tc>
          <w:tcPr>
            <w:tcW w:w="787" w:type="pct"/>
            <w:tcBorders>
              <w:right w:val="single" w:sz="4" w:space="0" w:color="auto"/>
            </w:tcBorders>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pPr>
            <w:r w:rsidRPr="00BF1632">
              <w:t>3.7 months</w:t>
            </w:r>
          </w:p>
        </w:tc>
      </w:tr>
      <w:tr w:rsidR="00417590" w:rsidRPr="00BF1632" w:rsidTr="002E15F5">
        <w:trPr>
          <w:cantSplit/>
          <w:trHeight w:val="303"/>
        </w:trPr>
        <w:tc>
          <w:tcPr>
            <w:tcW w:w="1333" w:type="pct"/>
            <w:tcMar>
              <w:left w:w="28" w:type="dxa"/>
              <w:right w:w="28" w:type="dxa"/>
            </w:tcMar>
          </w:tcPr>
          <w:p w:rsidR="00417590" w:rsidRPr="00BF1632" w:rsidRDefault="00417590" w:rsidP="00BB5B72">
            <w:pPr>
              <w:pStyle w:val="TableText"/>
              <w:rPr>
                <w:lang w:val="en-AU"/>
              </w:rPr>
            </w:pPr>
            <w:r w:rsidRPr="00BF1632">
              <w:t>Any TE AE</w:t>
            </w:r>
          </w:p>
        </w:tc>
        <w:tc>
          <w:tcPr>
            <w:tcW w:w="78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rPr>
                <w:lang w:val="en-AU"/>
              </w:rPr>
            </w:pPr>
            <w:r w:rsidRPr="00BF1632">
              <w:t>238 (98%)</w:t>
            </w:r>
          </w:p>
        </w:tc>
      </w:tr>
      <w:tr w:rsidR="00417590" w:rsidRPr="00BF1632" w:rsidTr="002E15F5">
        <w:trPr>
          <w:cantSplit/>
          <w:trHeight w:val="297"/>
        </w:trPr>
        <w:tc>
          <w:tcPr>
            <w:tcW w:w="1333" w:type="pct"/>
            <w:tcMar>
              <w:left w:w="28" w:type="dxa"/>
              <w:right w:w="28" w:type="dxa"/>
            </w:tcMar>
          </w:tcPr>
          <w:p w:rsidR="00417590" w:rsidRPr="00BF1632" w:rsidRDefault="00417590" w:rsidP="00BB5B72">
            <w:pPr>
              <w:pStyle w:val="TableText"/>
              <w:ind w:firstLine="109"/>
              <w:rPr>
                <w:lang w:val="en-AU"/>
              </w:rPr>
            </w:pPr>
            <w:r w:rsidRPr="00BF1632">
              <w:t xml:space="preserve">Grade ≥ 3 </w:t>
            </w:r>
          </w:p>
        </w:tc>
        <w:tc>
          <w:tcPr>
            <w:tcW w:w="78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rPr>
                <w:lang w:val="en-AU"/>
              </w:rPr>
            </w:pPr>
            <w:r w:rsidRPr="00BF1632">
              <w:t>206 (85%)</w:t>
            </w:r>
          </w:p>
        </w:tc>
      </w:tr>
      <w:tr w:rsidR="00417590" w:rsidRPr="00BF1632" w:rsidTr="002E15F5">
        <w:trPr>
          <w:cantSplit/>
          <w:trHeight w:val="303"/>
        </w:trPr>
        <w:tc>
          <w:tcPr>
            <w:tcW w:w="1333" w:type="pct"/>
            <w:tcMar>
              <w:left w:w="28" w:type="dxa"/>
              <w:right w:w="28" w:type="dxa"/>
            </w:tcMar>
          </w:tcPr>
          <w:p w:rsidR="00417590" w:rsidRPr="00BF1632" w:rsidRDefault="00417590" w:rsidP="00BB5B72">
            <w:pPr>
              <w:pStyle w:val="TableText"/>
              <w:ind w:firstLine="109"/>
              <w:rPr>
                <w:lang w:val="en-AU"/>
              </w:rPr>
            </w:pPr>
            <w:r w:rsidRPr="00BF1632">
              <w:t>Drug related</w:t>
            </w:r>
          </w:p>
        </w:tc>
        <w:tc>
          <w:tcPr>
            <w:tcW w:w="78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rPr>
                <w:lang w:val="en-AU"/>
              </w:rPr>
            </w:pPr>
            <w:r w:rsidRPr="00BF1632">
              <w:t>226 (93%)</w:t>
            </w:r>
          </w:p>
        </w:tc>
      </w:tr>
      <w:tr w:rsidR="00417590" w:rsidRPr="00BF1632" w:rsidTr="002E15F5">
        <w:trPr>
          <w:cantSplit/>
          <w:trHeight w:val="154"/>
        </w:trPr>
        <w:tc>
          <w:tcPr>
            <w:tcW w:w="1333" w:type="pct"/>
            <w:tcMar>
              <w:left w:w="28" w:type="dxa"/>
              <w:right w:w="28" w:type="dxa"/>
            </w:tcMar>
          </w:tcPr>
          <w:p w:rsidR="00417590" w:rsidRPr="00BF1632" w:rsidRDefault="00417590" w:rsidP="00BB5B72">
            <w:pPr>
              <w:pStyle w:val="TableText"/>
              <w:keepNext w:val="0"/>
              <w:rPr>
                <w:lang w:val="en-AU"/>
              </w:rPr>
            </w:pPr>
            <w:r w:rsidRPr="00BF1632">
              <w:t>Any TE SAE</w:t>
            </w:r>
          </w:p>
        </w:tc>
        <w:tc>
          <w:tcPr>
            <w:tcW w:w="78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keepNext w:val="0"/>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keepNext w:val="0"/>
              <w:rPr>
                <w:lang w:val="en-AU"/>
              </w:rPr>
            </w:pPr>
            <w:r w:rsidRPr="00BF1632">
              <w:t>72 (30%)</w:t>
            </w:r>
          </w:p>
        </w:tc>
      </w:tr>
      <w:tr w:rsidR="00417590" w:rsidRPr="00BF1632" w:rsidTr="002E15F5">
        <w:trPr>
          <w:cantSplit/>
          <w:trHeight w:val="297"/>
        </w:trPr>
        <w:tc>
          <w:tcPr>
            <w:tcW w:w="1333" w:type="pct"/>
            <w:tcMar>
              <w:left w:w="28" w:type="dxa"/>
              <w:right w:w="28" w:type="dxa"/>
            </w:tcMar>
          </w:tcPr>
          <w:p w:rsidR="00417590" w:rsidRPr="00BF1632" w:rsidRDefault="00417590" w:rsidP="00BB5B72">
            <w:pPr>
              <w:pStyle w:val="TableText"/>
              <w:keepNext w:val="0"/>
              <w:ind w:firstLine="109"/>
              <w:rPr>
                <w:lang w:val="en-AU"/>
              </w:rPr>
            </w:pPr>
            <w:r w:rsidRPr="00BF1632">
              <w:t xml:space="preserve">Drug related </w:t>
            </w:r>
          </w:p>
        </w:tc>
        <w:tc>
          <w:tcPr>
            <w:tcW w:w="78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keepNext w:val="0"/>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keepNext w:val="0"/>
              <w:rPr>
                <w:lang w:val="en-AU"/>
              </w:rPr>
            </w:pPr>
            <w:r w:rsidRPr="00BF1632">
              <w:t>50 (21%)</w:t>
            </w:r>
          </w:p>
        </w:tc>
      </w:tr>
      <w:tr w:rsidR="00417590" w:rsidRPr="00BF1632" w:rsidTr="002E15F5">
        <w:trPr>
          <w:cantSplit/>
          <w:trHeight w:val="250"/>
        </w:trPr>
        <w:tc>
          <w:tcPr>
            <w:tcW w:w="1333" w:type="pct"/>
            <w:tcMar>
              <w:left w:w="28" w:type="dxa"/>
              <w:right w:w="28" w:type="dxa"/>
            </w:tcMar>
          </w:tcPr>
          <w:p w:rsidR="00417590" w:rsidRPr="00BF1632" w:rsidRDefault="00417590" w:rsidP="00BB5B72">
            <w:pPr>
              <w:pStyle w:val="TableText"/>
              <w:keepNext w:val="0"/>
              <w:rPr>
                <w:lang w:val="en-AU"/>
              </w:rPr>
            </w:pPr>
            <w:r w:rsidRPr="00BF1632">
              <w:t>AE resulting in discontinuation</w:t>
            </w:r>
          </w:p>
        </w:tc>
        <w:tc>
          <w:tcPr>
            <w:tcW w:w="78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keepNext w:val="0"/>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keepNext w:val="0"/>
              <w:rPr>
                <w:lang w:val="en-AU"/>
              </w:rPr>
            </w:pPr>
            <w:r w:rsidRPr="00BF1632">
              <w:t>17 (7%)</w:t>
            </w:r>
          </w:p>
        </w:tc>
      </w:tr>
      <w:tr w:rsidR="00417590" w:rsidRPr="00BF1632" w:rsidTr="002E15F5">
        <w:trPr>
          <w:cantSplit/>
          <w:trHeight w:val="141"/>
        </w:trPr>
        <w:tc>
          <w:tcPr>
            <w:tcW w:w="1333" w:type="pct"/>
            <w:tcMar>
              <w:left w:w="28" w:type="dxa"/>
              <w:right w:w="28" w:type="dxa"/>
            </w:tcMar>
          </w:tcPr>
          <w:p w:rsidR="00417590" w:rsidRPr="00BF1632" w:rsidRDefault="00417590" w:rsidP="00BB5B72">
            <w:pPr>
              <w:pStyle w:val="TableText"/>
              <w:keepNext w:val="0"/>
              <w:rPr>
                <w:lang w:val="en-AU"/>
              </w:rPr>
            </w:pPr>
            <w:r w:rsidRPr="00BF1632">
              <w:t>AE resulting in death</w:t>
            </w:r>
          </w:p>
        </w:tc>
        <w:tc>
          <w:tcPr>
            <w:tcW w:w="78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keepNext w:val="0"/>
              <w:rPr>
                <w:highlight w:val="black"/>
                <w:lang w:val="en-AU"/>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keepNext w:val="0"/>
              <w:rPr>
                <w:lang w:val="en-AU"/>
              </w:rPr>
            </w:pPr>
            <w:r w:rsidRPr="00BF1632">
              <w:t>12 (5%)</w:t>
            </w:r>
          </w:p>
        </w:tc>
      </w:tr>
      <w:tr w:rsidR="00417590" w:rsidRPr="00BF1632" w:rsidTr="002E15F5">
        <w:trPr>
          <w:cantSplit/>
          <w:trHeight w:val="141"/>
        </w:trPr>
        <w:tc>
          <w:tcPr>
            <w:tcW w:w="5000" w:type="pct"/>
            <w:gridSpan w:val="6"/>
            <w:tcMar>
              <w:left w:w="28" w:type="dxa"/>
              <w:right w:w="28" w:type="dxa"/>
            </w:tcMar>
          </w:tcPr>
          <w:p w:rsidR="00417590" w:rsidRPr="00BF1632" w:rsidRDefault="00417590" w:rsidP="00BB5B72">
            <w:pPr>
              <w:pStyle w:val="TableText"/>
              <w:keepNext w:val="0"/>
            </w:pPr>
            <w:r w:rsidRPr="00BF1632">
              <w:t>Additional AEs</w:t>
            </w:r>
          </w:p>
        </w:tc>
      </w:tr>
      <w:tr w:rsidR="00417590" w:rsidRPr="00BF1632" w:rsidTr="002E15F5">
        <w:trPr>
          <w:cantSplit/>
          <w:trHeight w:val="141"/>
        </w:trPr>
        <w:tc>
          <w:tcPr>
            <w:tcW w:w="1333" w:type="pct"/>
            <w:tcMar>
              <w:left w:w="28" w:type="dxa"/>
              <w:right w:w="28" w:type="dxa"/>
            </w:tcMar>
          </w:tcPr>
          <w:p w:rsidR="00417590" w:rsidRPr="00BF1632" w:rsidRDefault="00417590" w:rsidP="00BB5B72">
            <w:pPr>
              <w:pStyle w:val="TableText"/>
              <w:keepNext w:val="0"/>
            </w:pPr>
            <w:r w:rsidRPr="00BF1632">
              <w:t>Atrial fibrillation (Grade ≥ 3)</w:t>
            </w:r>
          </w:p>
        </w:tc>
        <w:tc>
          <w:tcPr>
            <w:tcW w:w="78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7" w:type="pct"/>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87"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709" w:type="pct"/>
            <w:tcBorders>
              <w:right w:val="single" w:sz="4" w:space="0" w:color="auto"/>
            </w:tcBorders>
            <w:tcMar>
              <w:left w:w="28" w:type="dxa"/>
              <w:right w:w="28" w:type="dxa"/>
            </w:tcMar>
          </w:tcPr>
          <w:p w:rsidR="00417590" w:rsidRPr="00F36A91" w:rsidRDefault="00F36A91" w:rsidP="00BB5B72">
            <w:pPr>
              <w:pStyle w:val="TableText"/>
              <w:keepNext w:val="0"/>
              <w:rPr>
                <w:highlight w:val="black"/>
              </w:rPr>
            </w:pPr>
            <w:r>
              <w:rPr>
                <w:noProof/>
                <w:color w:val="000000"/>
                <w:highlight w:val="black"/>
              </w:rPr>
              <w:t>''' '''''''''''</w:t>
            </w:r>
          </w:p>
        </w:tc>
        <w:tc>
          <w:tcPr>
            <w:tcW w:w="676" w:type="pct"/>
            <w:tcBorders>
              <w:left w:val="single" w:sz="4" w:space="0" w:color="auto"/>
            </w:tcBorders>
            <w:tcMar>
              <w:left w:w="28" w:type="dxa"/>
              <w:right w:w="28" w:type="dxa"/>
            </w:tcMar>
          </w:tcPr>
          <w:p w:rsidR="00417590" w:rsidRPr="00BF1632" w:rsidRDefault="00417590" w:rsidP="00BB5B72">
            <w:pPr>
              <w:pStyle w:val="TableText"/>
              <w:keepNext w:val="0"/>
            </w:pPr>
            <w:r w:rsidRPr="00BF1632">
              <w:t xml:space="preserve"> NR</w:t>
            </w:r>
          </w:p>
        </w:tc>
      </w:tr>
    </w:tbl>
    <w:p w:rsidR="00417590" w:rsidRPr="00BF1632" w:rsidRDefault="00417590" w:rsidP="00417590">
      <w:pPr>
        <w:pStyle w:val="TableFooter"/>
        <w:keepNext/>
        <w:keepLines/>
      </w:pPr>
      <w:r w:rsidRPr="00BF1632">
        <w:t xml:space="preserve">Source: Table 2.35, p81, Section 2 of the resubmission; Tables TSFAE39A and TSFAE41A, pp899-920 of interim CSR  </w:t>
      </w:r>
    </w:p>
    <w:p w:rsidR="00417590" w:rsidRPr="00BF1632" w:rsidRDefault="00417590" w:rsidP="00417590">
      <w:pPr>
        <w:pStyle w:val="TableFooter"/>
      </w:pPr>
      <w:r w:rsidRPr="00BF1632">
        <w:t xml:space="preserve">AE = adverse events; CSR = clinical study report; NR = not reported; R-CHOP = rituximab, cyclophosphamide, doxorubicin, vincristine, prednisone; SAE = serious adverse event; TE = treatment emergent </w:t>
      </w:r>
    </w:p>
    <w:p w:rsidR="00B538CF" w:rsidRPr="00BF1632" w:rsidRDefault="00D916E2" w:rsidP="000D6801">
      <w:pPr>
        <w:pStyle w:val="ListParagraph"/>
        <w:numPr>
          <w:ilvl w:val="1"/>
          <w:numId w:val="1"/>
        </w:numPr>
        <w:spacing w:before="0" w:after="120"/>
        <w:ind w:left="720" w:hanging="720"/>
        <w:jc w:val="both"/>
        <w:rPr>
          <w:color w:val="4472C4" w:themeColor="accent5"/>
        </w:rPr>
      </w:pPr>
      <w:r w:rsidRPr="00BF1632">
        <w:t>Compared to temsirolimus, ibrutinib patients had a lower incidence of any Grade 3 or higher adverse event, any drug related adverse event, any drug related serious adverse event, and any adverse event resulting in discontinuation from the trial at both six months and at the final analysis of MCL-3001.</w:t>
      </w:r>
    </w:p>
    <w:p w:rsidR="00B538CF" w:rsidRPr="00BF1632" w:rsidRDefault="00D916E2" w:rsidP="000D6801">
      <w:pPr>
        <w:pStyle w:val="ListParagraph"/>
        <w:numPr>
          <w:ilvl w:val="1"/>
          <w:numId w:val="1"/>
        </w:numPr>
        <w:spacing w:before="0" w:after="120"/>
        <w:ind w:left="720" w:hanging="720"/>
        <w:jc w:val="both"/>
        <w:rPr>
          <w:color w:val="4472C4" w:themeColor="accent5"/>
        </w:rPr>
      </w:pPr>
      <w:r w:rsidRPr="00BF1632">
        <w:t>Based on the naïve indirect comparison, the rates of any Grade 3 or higher adverse events, drug related adverse events and serious drug related adverse events were lower for ibrutinib patients than R-CHOP patients at six months. This was despite ibrutinib patients being relapsed or refractory and R-CHOP patients being newly diagnosed. Although difficult to quantify, as the comparison was naïve, the PBAC had previously agreed with the resubmission’s argument that using R-CHOP data sourced from a newly diagnosed population potentially biased the comparison against ibrutinib as patients in the R-CHOP studies were younger, not previously treated, had more bone marrow reserve and may have had less co-morbidities (paragraph 7.5, November 2016 PSD).</w:t>
      </w:r>
    </w:p>
    <w:p w:rsidR="00DB417B" w:rsidRPr="005168C0" w:rsidRDefault="00D916E2" w:rsidP="000D6801">
      <w:pPr>
        <w:pStyle w:val="ListParagraph"/>
        <w:numPr>
          <w:ilvl w:val="1"/>
          <w:numId w:val="1"/>
        </w:numPr>
        <w:spacing w:before="0" w:after="120"/>
        <w:jc w:val="both"/>
        <w:rPr>
          <w:color w:val="4472C4" w:themeColor="accent5"/>
        </w:rPr>
      </w:pPr>
      <w:r w:rsidRPr="00BF1632">
        <w:t>The PBAC had previously noted that emerging data suggested that ibrutinib was associated with an increased risk of atrial fibrillation (paragraph 7.7, November 2016 PSD).</w:t>
      </w:r>
      <w:r w:rsidRPr="00BF1632">
        <w:rPr>
          <w:rFonts w:ascii="Calibri" w:eastAsia="Calibri" w:hAnsi="Calibri" w:cs="Arial"/>
        </w:rPr>
        <w:t xml:space="preserve"> Ibrutinib patients at six months and at the final analysis of MCL-3001 had higher rates of atrial fibrillation than temsirolimus patients. Atrial fibrillation was not reported in the R-CHOP trial (Robak 2015).</w:t>
      </w:r>
      <w:r w:rsidR="00803797" w:rsidRPr="00BF1632">
        <w:t xml:space="preserve"> </w:t>
      </w:r>
      <w:r w:rsidR="00AA7B97" w:rsidRPr="00BF1632">
        <w:rPr>
          <w:rFonts w:ascii="Calibri" w:eastAsia="Calibri" w:hAnsi="Calibri" w:cs="Arial"/>
        </w:rPr>
        <w:t xml:space="preserve">The </w:t>
      </w:r>
      <w:r w:rsidR="001E240F">
        <w:rPr>
          <w:rFonts w:ascii="Calibri" w:eastAsia="Calibri" w:hAnsi="Calibri" w:cs="Arial"/>
        </w:rPr>
        <w:t>Pre-Sub-Committee Response (</w:t>
      </w:r>
      <w:r w:rsidR="00AA7B97" w:rsidRPr="00BF1632">
        <w:rPr>
          <w:rFonts w:ascii="Calibri" w:eastAsia="Calibri" w:hAnsi="Calibri" w:cs="Arial"/>
        </w:rPr>
        <w:t>PSCR</w:t>
      </w:r>
      <w:r w:rsidR="001E240F">
        <w:rPr>
          <w:rFonts w:ascii="Calibri" w:eastAsia="Calibri" w:hAnsi="Calibri" w:cs="Arial"/>
        </w:rPr>
        <w:t>)</w:t>
      </w:r>
      <w:r w:rsidR="00803797" w:rsidRPr="00BF1632">
        <w:rPr>
          <w:rFonts w:ascii="Calibri" w:eastAsia="Calibri" w:hAnsi="Calibri" w:cs="Arial"/>
        </w:rPr>
        <w:t xml:space="preserve"> (p2) state</w:t>
      </w:r>
      <w:r w:rsidR="00150DB8" w:rsidRPr="00BF1632">
        <w:rPr>
          <w:rFonts w:ascii="Calibri" w:eastAsia="Calibri" w:hAnsi="Calibri" w:cs="Arial"/>
        </w:rPr>
        <w:t>d</w:t>
      </w:r>
      <w:r w:rsidR="00803797" w:rsidRPr="00BF1632">
        <w:rPr>
          <w:rFonts w:ascii="Calibri" w:eastAsia="Calibri" w:hAnsi="Calibri" w:cs="Arial"/>
        </w:rPr>
        <w:t xml:space="preserve"> the data available from MCL-3001 are the longest-term safety data available for ibrutinib (or any other therapy) in RR MCL, and the incidence of atrial fibrillation (5% for ibrutinib versus 1.4% for temsirolimus) was similar to the rates reported for the pooled relapsed refractory MCL and chronic lymphocytic </w:t>
      </w:r>
      <w:r w:rsidR="000F29C4" w:rsidRPr="00BF1632">
        <w:rPr>
          <w:rFonts w:ascii="Calibri" w:eastAsia="Calibri" w:hAnsi="Calibri" w:cs="Arial"/>
        </w:rPr>
        <w:t>leukaemia</w:t>
      </w:r>
      <w:r w:rsidR="00803797" w:rsidRPr="00BF1632">
        <w:rPr>
          <w:rFonts w:ascii="Calibri" w:eastAsia="Calibri" w:hAnsi="Calibri" w:cs="Arial"/>
        </w:rPr>
        <w:t xml:space="preserve"> (CLL) trials (6.5% for ibrutinib versus 1.6% for comparator treatments). The PSCR further note</w:t>
      </w:r>
      <w:r w:rsidR="000E3467" w:rsidRPr="00BF1632">
        <w:rPr>
          <w:rFonts w:ascii="Calibri" w:eastAsia="Calibri" w:hAnsi="Calibri" w:cs="Arial"/>
        </w:rPr>
        <w:t>d</w:t>
      </w:r>
      <w:r w:rsidR="00803797" w:rsidRPr="00BF1632">
        <w:rPr>
          <w:rFonts w:ascii="Calibri" w:eastAsia="Calibri" w:hAnsi="Calibri" w:cs="Arial"/>
        </w:rPr>
        <w:t xml:space="preserve"> (p3) that most of the atrial fibrillation events were managed through dose reductions and interruptions rather than treatment discontinuations or use of additional therapies. The ESC noted the incidence of atrial fibrillation with ibrutinib when used outside of the clinical trial setting is currently unknown.</w:t>
      </w:r>
      <w:r w:rsidR="00B66747">
        <w:rPr>
          <w:rFonts w:ascii="Calibri" w:eastAsia="Calibri" w:hAnsi="Calibri" w:cs="Arial"/>
        </w:rPr>
        <w:t xml:space="preserve"> </w:t>
      </w:r>
    </w:p>
    <w:p w:rsidR="00B31832" w:rsidRPr="00B31832" w:rsidRDefault="00B66747" w:rsidP="00B31832">
      <w:pPr>
        <w:pStyle w:val="ListParagraph"/>
        <w:numPr>
          <w:ilvl w:val="1"/>
          <w:numId w:val="1"/>
        </w:numPr>
        <w:spacing w:before="0" w:after="120"/>
        <w:jc w:val="both"/>
        <w:rPr>
          <w:rFonts w:ascii="Calibri" w:eastAsia="Calibri" w:hAnsi="Calibri" w:cs="Arial"/>
        </w:rPr>
      </w:pPr>
      <w:r w:rsidRPr="00B31832">
        <w:rPr>
          <w:rFonts w:ascii="Calibri" w:eastAsia="Calibri" w:hAnsi="Calibri" w:cs="Arial"/>
        </w:rPr>
        <w:t xml:space="preserve">The </w:t>
      </w:r>
      <w:r w:rsidR="002D1765">
        <w:rPr>
          <w:rFonts w:ascii="Calibri" w:eastAsia="Calibri" w:hAnsi="Calibri" w:cs="Arial"/>
        </w:rPr>
        <w:t>p</w:t>
      </w:r>
      <w:r w:rsidRPr="00B31832">
        <w:rPr>
          <w:rFonts w:ascii="Calibri" w:eastAsia="Calibri" w:hAnsi="Calibri" w:cs="Arial"/>
        </w:rPr>
        <w:t xml:space="preserve">re-PBAC </w:t>
      </w:r>
      <w:r w:rsidR="008F10E5">
        <w:rPr>
          <w:rFonts w:ascii="Calibri" w:eastAsia="Calibri" w:hAnsi="Calibri" w:cs="Arial"/>
        </w:rPr>
        <w:t>r</w:t>
      </w:r>
      <w:r w:rsidRPr="00B31832">
        <w:rPr>
          <w:rFonts w:ascii="Calibri" w:eastAsia="Calibri" w:hAnsi="Calibri" w:cs="Arial"/>
        </w:rPr>
        <w:t>esponse</w:t>
      </w:r>
      <w:r w:rsidR="002D1765">
        <w:rPr>
          <w:rFonts w:ascii="Calibri" w:eastAsia="Calibri" w:hAnsi="Calibri" w:cs="Arial"/>
        </w:rPr>
        <w:t xml:space="preserve"> (p2)</w:t>
      </w:r>
      <w:r w:rsidRPr="00B31832">
        <w:rPr>
          <w:rFonts w:ascii="Calibri" w:eastAsia="Calibri" w:hAnsi="Calibri" w:cs="Arial"/>
        </w:rPr>
        <w:t xml:space="preserve"> referred to a </w:t>
      </w:r>
      <w:r w:rsidR="00B31832" w:rsidRPr="00B31832">
        <w:rPr>
          <w:rFonts w:ascii="Calibri" w:eastAsia="Calibri" w:hAnsi="Calibri" w:cs="Arial"/>
        </w:rPr>
        <w:t xml:space="preserve">systematic review and </w:t>
      </w:r>
      <w:r w:rsidRPr="00B31832">
        <w:rPr>
          <w:rFonts w:ascii="Calibri" w:eastAsia="Calibri" w:hAnsi="Calibri" w:cs="Arial"/>
        </w:rPr>
        <w:t xml:space="preserve">meta-analysis </w:t>
      </w:r>
      <w:r w:rsidR="00B31832" w:rsidRPr="00B31832">
        <w:rPr>
          <w:rFonts w:ascii="Calibri" w:eastAsia="Calibri" w:hAnsi="Calibri" w:cs="Arial"/>
        </w:rPr>
        <w:t>of the risk of atrial fibrillation with ibrutinib across a range of conditions (Leong 2016).</w:t>
      </w:r>
      <w:r w:rsidR="001F63F7">
        <w:rPr>
          <w:rStyle w:val="FootnoteReference"/>
          <w:rFonts w:ascii="Calibri" w:eastAsia="Calibri" w:hAnsi="Calibri" w:cs="Arial"/>
        </w:rPr>
        <w:footnoteReference w:id="1"/>
      </w:r>
      <w:r w:rsidR="00B31832" w:rsidRPr="00B31832">
        <w:rPr>
          <w:rFonts w:ascii="Calibri" w:eastAsia="Calibri" w:hAnsi="Calibri" w:cs="Arial"/>
        </w:rPr>
        <w:t xml:space="preserve"> The meta-analysis found that, over median follow-ups of up to 26 months, the pooled rate of </w:t>
      </w:r>
      <w:r w:rsidR="001F63F7">
        <w:rPr>
          <w:rFonts w:ascii="Calibri" w:eastAsia="Calibri" w:hAnsi="Calibri" w:cs="Arial"/>
        </w:rPr>
        <w:t>atrial fibrillation</w:t>
      </w:r>
      <w:r w:rsidR="00B31832" w:rsidRPr="00B31832">
        <w:rPr>
          <w:rFonts w:ascii="Calibri" w:eastAsia="Calibri" w:hAnsi="Calibri" w:cs="Arial"/>
        </w:rPr>
        <w:t xml:space="preserve"> was 3.3 (</w:t>
      </w:r>
      <w:r w:rsidR="00B31832">
        <w:rPr>
          <w:rFonts w:ascii="Calibri" w:eastAsia="Calibri" w:hAnsi="Calibri" w:cs="Arial"/>
        </w:rPr>
        <w:t xml:space="preserve">95% CI: </w:t>
      </w:r>
      <w:r w:rsidR="00B31832" w:rsidRPr="00B31832">
        <w:rPr>
          <w:rFonts w:ascii="Calibri" w:eastAsia="Calibri" w:hAnsi="Calibri" w:cs="Arial"/>
        </w:rPr>
        <w:t>2.5-4.1) per 100 person-years</w:t>
      </w:r>
      <w:r w:rsidR="001F63F7">
        <w:rPr>
          <w:rFonts w:ascii="Calibri" w:eastAsia="Calibri" w:hAnsi="Calibri" w:cs="Arial"/>
        </w:rPr>
        <w:t xml:space="preserve"> in patients treated with ibrutinib,</w:t>
      </w:r>
      <w:r w:rsidR="00B31832">
        <w:rPr>
          <w:rFonts w:ascii="Calibri" w:eastAsia="Calibri" w:hAnsi="Calibri" w:cs="Arial"/>
        </w:rPr>
        <w:t xml:space="preserve"> versus </w:t>
      </w:r>
      <w:r w:rsidR="00B31832" w:rsidRPr="00B31832">
        <w:rPr>
          <w:rFonts w:ascii="Calibri" w:eastAsia="Calibri" w:hAnsi="Calibri" w:cs="Arial"/>
        </w:rPr>
        <w:t>0.84 (</w:t>
      </w:r>
      <w:r w:rsidR="00B31832">
        <w:rPr>
          <w:rFonts w:ascii="Calibri" w:eastAsia="Calibri" w:hAnsi="Calibri" w:cs="Arial"/>
        </w:rPr>
        <w:t xml:space="preserve">95% CI: </w:t>
      </w:r>
      <w:r w:rsidR="00B31832" w:rsidRPr="00B31832">
        <w:rPr>
          <w:rFonts w:ascii="Calibri" w:eastAsia="Calibri" w:hAnsi="Calibri" w:cs="Arial"/>
        </w:rPr>
        <w:t>0.32-1.6)</w:t>
      </w:r>
      <w:r w:rsidR="00B31832">
        <w:rPr>
          <w:rFonts w:ascii="Calibri" w:eastAsia="Calibri" w:hAnsi="Calibri" w:cs="Arial"/>
        </w:rPr>
        <w:t xml:space="preserve"> in patients treated with other therapies. </w:t>
      </w:r>
      <w:r w:rsidR="00604E48">
        <w:rPr>
          <w:rFonts w:ascii="Calibri" w:eastAsia="Calibri" w:hAnsi="Calibri" w:cs="Arial"/>
        </w:rPr>
        <w:t xml:space="preserve">The </w:t>
      </w:r>
      <w:r w:rsidR="008F10E5">
        <w:rPr>
          <w:rFonts w:ascii="Calibri" w:eastAsia="Calibri" w:hAnsi="Calibri" w:cs="Arial"/>
        </w:rPr>
        <w:t>p</w:t>
      </w:r>
      <w:r w:rsidR="00604E48">
        <w:rPr>
          <w:rFonts w:ascii="Calibri" w:eastAsia="Calibri" w:hAnsi="Calibri" w:cs="Arial"/>
        </w:rPr>
        <w:t xml:space="preserve">re-PBAC </w:t>
      </w:r>
      <w:r w:rsidR="008F10E5">
        <w:rPr>
          <w:rFonts w:ascii="Calibri" w:eastAsia="Calibri" w:hAnsi="Calibri" w:cs="Arial"/>
        </w:rPr>
        <w:t>r</w:t>
      </w:r>
      <w:r w:rsidR="00B31832">
        <w:rPr>
          <w:rFonts w:ascii="Calibri" w:eastAsia="Calibri" w:hAnsi="Calibri" w:cs="Arial"/>
        </w:rPr>
        <w:t xml:space="preserve">esponse stated that most atrial fibrillation events occur early in therapy and are mild to moderate in severity. </w:t>
      </w:r>
    </w:p>
    <w:p w:rsidR="00B538CF" w:rsidRPr="00BF1632" w:rsidRDefault="00D916E2" w:rsidP="00F574D1">
      <w:pPr>
        <w:pStyle w:val="ListParagraph"/>
        <w:numPr>
          <w:ilvl w:val="1"/>
          <w:numId w:val="1"/>
        </w:numPr>
        <w:spacing w:before="0" w:after="120"/>
        <w:jc w:val="both"/>
      </w:pPr>
      <w:r w:rsidRPr="00BF1632">
        <w:t>The most common adverse events associated with ibrutinib were diarrhoea (</w:t>
      </w:r>
      <w:r w:rsidR="00F36A91">
        <w:rPr>
          <w:noProof/>
          <w:color w:val="000000"/>
          <w:highlight w:val="black"/>
        </w:rPr>
        <w:t>'''''</w:t>
      </w:r>
      <w:r w:rsidRPr="00BF1632">
        <w:t>%), fatigue (</w:t>
      </w:r>
      <w:r w:rsidR="00F36A91">
        <w:rPr>
          <w:noProof/>
          <w:color w:val="000000"/>
          <w:highlight w:val="black"/>
        </w:rPr>
        <w:t>''''''</w:t>
      </w:r>
      <w:r w:rsidRPr="00BF1632">
        <w:t>%) and cough (</w:t>
      </w:r>
      <w:r w:rsidR="00F36A91">
        <w:rPr>
          <w:noProof/>
          <w:color w:val="000000"/>
          <w:highlight w:val="black"/>
        </w:rPr>
        <w:t>'''''</w:t>
      </w:r>
      <w:r w:rsidRPr="00BF1632">
        <w:t>%). The most common serious adverse events associated with ibrutinib were pneumonia (</w:t>
      </w:r>
      <w:r w:rsidR="00F36A91">
        <w:rPr>
          <w:noProof/>
          <w:color w:val="000000"/>
          <w:highlight w:val="black"/>
        </w:rPr>
        <w:t>'''''</w:t>
      </w:r>
      <w:r w:rsidRPr="00BF1632">
        <w:t>%) and atrial fibrillation (</w:t>
      </w:r>
      <w:r w:rsidR="00F36A91">
        <w:rPr>
          <w:noProof/>
          <w:color w:val="000000"/>
          <w:highlight w:val="black"/>
        </w:rPr>
        <w:t>'''</w:t>
      </w:r>
      <w:r w:rsidRPr="00BF1632">
        <w:t>%).</w:t>
      </w:r>
      <w:bookmarkStart w:id="24" w:name="_Toc413139281"/>
    </w:p>
    <w:p w:rsidR="00025F74" w:rsidRPr="00BF1632" w:rsidRDefault="00025F74" w:rsidP="000D6801">
      <w:pPr>
        <w:pStyle w:val="ListParagraph"/>
        <w:numPr>
          <w:ilvl w:val="1"/>
          <w:numId w:val="1"/>
        </w:numPr>
        <w:spacing w:before="0" w:after="120"/>
        <w:jc w:val="both"/>
        <w:rPr>
          <w:szCs w:val="24"/>
        </w:rPr>
      </w:pPr>
      <w:r w:rsidRPr="00BF1632">
        <w:rPr>
          <w:szCs w:val="24"/>
        </w:rPr>
        <w:t>The ESC noted, when reviewing the submission for ibrutinib for first-line CLL, that there is an increased risk of bleeding in patients taking ibrutinib and it is contraindicated in patients with high bleeding risk including those who are on anticoagulant medications. Haemorrhage and bruising are listed as very common treatment-emergent adverse drug reactions in the ibrutinib Product Information, with other common events being subdural haematoma, petechiae, epistaxis. The incidence is decreased in subsequent clinical trials including RESONATE-2</w:t>
      </w:r>
      <w:r w:rsidR="000E3467" w:rsidRPr="00BF1632">
        <w:rPr>
          <w:szCs w:val="24"/>
        </w:rPr>
        <w:t>,</w:t>
      </w:r>
      <w:r w:rsidRPr="00BF1632">
        <w:rPr>
          <w:szCs w:val="24"/>
        </w:rPr>
        <w:t xml:space="preserve"> likely due to stringent exclusion criteria of patients </w:t>
      </w:r>
      <w:r w:rsidR="000E3467" w:rsidRPr="00BF1632">
        <w:rPr>
          <w:szCs w:val="24"/>
        </w:rPr>
        <w:t>with</w:t>
      </w:r>
      <w:r w:rsidRPr="00BF1632">
        <w:rPr>
          <w:szCs w:val="24"/>
        </w:rPr>
        <w:t xml:space="preserve"> high bleeding risk.</w:t>
      </w:r>
    </w:p>
    <w:p w:rsidR="00B538CF" w:rsidRPr="00BF1632" w:rsidRDefault="00B538CF" w:rsidP="00B538CF">
      <w:pPr>
        <w:pStyle w:val="Heading2"/>
        <w:rPr>
          <w:i w:val="0"/>
        </w:rPr>
      </w:pPr>
      <w:bookmarkStart w:id="25" w:name="_Toc492390038"/>
      <w:bookmarkStart w:id="26" w:name="_Toc493002976"/>
      <w:r w:rsidRPr="00BF1632">
        <w:rPr>
          <w:i w:val="0"/>
        </w:rPr>
        <w:t>Benefits and harms</w:t>
      </w:r>
      <w:bookmarkEnd w:id="25"/>
      <w:bookmarkEnd w:id="26"/>
    </w:p>
    <w:p w:rsidR="00150626" w:rsidRPr="00BF1632" w:rsidRDefault="00D916E2" w:rsidP="000D6801">
      <w:pPr>
        <w:pStyle w:val="ListParagraph"/>
        <w:numPr>
          <w:ilvl w:val="1"/>
          <w:numId w:val="1"/>
        </w:numPr>
        <w:spacing w:before="0" w:after="120"/>
        <w:ind w:left="720" w:hanging="720"/>
        <w:jc w:val="both"/>
      </w:pPr>
      <w:r w:rsidRPr="00BF1632">
        <w:t>A summary of the benefits and harms for ibrutinib and temsirolimus/ immunochemotherapy/R-CHOP is presented in the table below.</w:t>
      </w:r>
    </w:p>
    <w:p w:rsidR="00150626" w:rsidRPr="00BF1632" w:rsidRDefault="00150626">
      <w:pPr>
        <w:spacing w:before="0" w:line="259" w:lineRule="auto"/>
      </w:pPr>
      <w:r w:rsidRPr="00BF1632">
        <w:br w:type="page"/>
      </w:r>
    </w:p>
    <w:p w:rsidR="00D916E2" w:rsidRPr="00BF1632" w:rsidRDefault="00D916E2" w:rsidP="00D916E2">
      <w:pPr>
        <w:pStyle w:val="TableHeading1"/>
        <w:rPr>
          <w:rStyle w:val="CommentReference"/>
          <w:sz w:val="20"/>
          <w:szCs w:val="20"/>
        </w:rPr>
      </w:pPr>
      <w:r w:rsidRPr="00BF1632">
        <w:rPr>
          <w:rStyle w:val="CommentReference"/>
          <w:sz w:val="20"/>
          <w:szCs w:val="20"/>
        </w:rPr>
        <w:t xml:space="preserve">Table 8: Benefits and harms: ibrutinib and immunochemotherapy/R-CHOP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Benefits and harms: ibrutinib and immunochemotherapy/R-CHOP  "/>
      </w:tblPr>
      <w:tblGrid>
        <w:gridCol w:w="2003"/>
        <w:gridCol w:w="719"/>
        <w:gridCol w:w="570"/>
        <w:gridCol w:w="716"/>
        <w:gridCol w:w="712"/>
        <w:gridCol w:w="570"/>
        <w:gridCol w:w="857"/>
        <w:gridCol w:w="570"/>
        <w:gridCol w:w="856"/>
        <w:gridCol w:w="1509"/>
      </w:tblGrid>
      <w:tr w:rsidR="00D916E2" w:rsidRPr="00BF1632" w:rsidTr="00167A5D">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10"/>
            <w:shd w:val="clear" w:color="auto" w:fill="auto"/>
            <w:vAlign w:val="center"/>
          </w:tcPr>
          <w:p w:rsidR="00D916E2" w:rsidRPr="00BF1632" w:rsidRDefault="00D916E2" w:rsidP="00BB5B72">
            <w:pPr>
              <w:pStyle w:val="TableText"/>
              <w:rPr>
                <w:szCs w:val="20"/>
              </w:rPr>
            </w:pPr>
            <w:r w:rsidRPr="00BF1632">
              <w:rPr>
                <w:szCs w:val="20"/>
              </w:rPr>
              <w:t>EFFICACY</w:t>
            </w:r>
          </w:p>
        </w:tc>
      </w:tr>
      <w:tr w:rsidR="00D916E2" w:rsidRPr="00BF1632" w:rsidTr="002E15F5">
        <w:trPr>
          <w:cantSplit/>
          <w:trHeight w:val="56"/>
        </w:trPr>
        <w:tc>
          <w:tcPr>
            <w:tcW w:w="1102" w:type="pct"/>
            <w:shd w:val="clear" w:color="auto" w:fill="auto"/>
            <w:vAlign w:val="center"/>
          </w:tcPr>
          <w:p w:rsidR="00D916E2" w:rsidRPr="00BF1632" w:rsidRDefault="00D916E2" w:rsidP="00BB5B72">
            <w:pPr>
              <w:pStyle w:val="TableText"/>
              <w:rPr>
                <w:szCs w:val="20"/>
              </w:rPr>
            </w:pPr>
          </w:p>
        </w:tc>
        <w:tc>
          <w:tcPr>
            <w:tcW w:w="710" w:type="pct"/>
            <w:gridSpan w:val="2"/>
          </w:tcPr>
          <w:p w:rsidR="00D916E2" w:rsidRPr="00BF1632" w:rsidRDefault="00D916E2" w:rsidP="00BB5B72">
            <w:pPr>
              <w:pStyle w:val="TableText"/>
              <w:rPr>
                <w:b/>
                <w:szCs w:val="20"/>
              </w:rPr>
            </w:pPr>
            <w:r w:rsidRPr="00BF1632">
              <w:rPr>
                <w:b/>
                <w:szCs w:val="20"/>
              </w:rPr>
              <w:t>Ibrutinib</w:t>
            </w:r>
          </w:p>
        </w:tc>
        <w:tc>
          <w:tcPr>
            <w:tcW w:w="786" w:type="pct"/>
            <w:gridSpan w:val="2"/>
          </w:tcPr>
          <w:p w:rsidR="00D916E2" w:rsidRPr="00BF1632" w:rsidRDefault="00D916E2" w:rsidP="00BB5B72">
            <w:pPr>
              <w:pStyle w:val="TableText"/>
              <w:rPr>
                <w:b/>
                <w:szCs w:val="20"/>
              </w:rPr>
            </w:pPr>
            <w:r w:rsidRPr="00BF1632">
              <w:rPr>
                <w:b/>
                <w:szCs w:val="20"/>
              </w:rPr>
              <w:t>Temsirolimus</w:t>
            </w:r>
          </w:p>
        </w:tc>
        <w:tc>
          <w:tcPr>
            <w:tcW w:w="1099" w:type="pct"/>
            <w:gridSpan w:val="3"/>
          </w:tcPr>
          <w:p w:rsidR="00D916E2" w:rsidRPr="00BF1632" w:rsidRDefault="00D916E2" w:rsidP="00BB5B72">
            <w:pPr>
              <w:pStyle w:val="TableText"/>
              <w:rPr>
                <w:b/>
                <w:szCs w:val="20"/>
              </w:rPr>
            </w:pPr>
            <w:r w:rsidRPr="00BF1632">
              <w:rPr>
                <w:b/>
                <w:szCs w:val="20"/>
              </w:rPr>
              <w:t>Immunochemotherapy</w:t>
            </w:r>
          </w:p>
        </w:tc>
        <w:tc>
          <w:tcPr>
            <w:tcW w:w="471" w:type="pct"/>
          </w:tcPr>
          <w:p w:rsidR="00D916E2" w:rsidRPr="00BF1632" w:rsidRDefault="00D916E2" w:rsidP="00BB5B72">
            <w:pPr>
              <w:pStyle w:val="TableText"/>
              <w:rPr>
                <w:b/>
                <w:szCs w:val="20"/>
              </w:rPr>
            </w:pPr>
            <w:r w:rsidRPr="00BF1632">
              <w:rPr>
                <w:b/>
                <w:szCs w:val="20"/>
              </w:rPr>
              <w:t>Absolute difference</w:t>
            </w:r>
          </w:p>
        </w:tc>
        <w:tc>
          <w:tcPr>
            <w:tcW w:w="832" w:type="pct"/>
          </w:tcPr>
          <w:p w:rsidR="00D916E2" w:rsidRPr="00BF1632" w:rsidRDefault="00D916E2" w:rsidP="00BB5B72">
            <w:pPr>
              <w:pStyle w:val="TableText"/>
              <w:rPr>
                <w:b/>
                <w:szCs w:val="20"/>
              </w:rPr>
            </w:pPr>
            <w:r w:rsidRPr="00BF1632">
              <w:rPr>
                <w:b/>
                <w:szCs w:val="20"/>
              </w:rPr>
              <w:t>HR (95% CI)</w:t>
            </w:r>
          </w:p>
        </w:tc>
      </w:tr>
      <w:tr w:rsidR="00D916E2" w:rsidRPr="00BF1632" w:rsidTr="002E15F5">
        <w:trPr>
          <w:cantSplit/>
        </w:trPr>
        <w:tc>
          <w:tcPr>
            <w:tcW w:w="5000" w:type="pct"/>
            <w:gridSpan w:val="10"/>
          </w:tcPr>
          <w:p w:rsidR="00D916E2" w:rsidRPr="00BF1632" w:rsidRDefault="00D916E2" w:rsidP="00BB5B72">
            <w:pPr>
              <w:pStyle w:val="TableText"/>
              <w:rPr>
                <w:b/>
                <w:szCs w:val="20"/>
              </w:rPr>
            </w:pPr>
            <w:r w:rsidRPr="00BF1632">
              <w:rPr>
                <w:b/>
                <w:szCs w:val="20"/>
              </w:rPr>
              <w:t>Progression free survival – median (months)</w:t>
            </w:r>
          </w:p>
        </w:tc>
      </w:tr>
      <w:tr w:rsidR="00D916E2" w:rsidRPr="00BF1632" w:rsidTr="002E15F5">
        <w:trPr>
          <w:cantSplit/>
        </w:trPr>
        <w:tc>
          <w:tcPr>
            <w:tcW w:w="1102" w:type="pct"/>
            <w:shd w:val="clear" w:color="auto" w:fill="auto"/>
            <w:vAlign w:val="center"/>
          </w:tcPr>
          <w:p w:rsidR="00D916E2" w:rsidRPr="00BF1632" w:rsidRDefault="00D916E2" w:rsidP="00BB5B72">
            <w:pPr>
              <w:pStyle w:val="TableText"/>
              <w:rPr>
                <w:szCs w:val="20"/>
              </w:rPr>
            </w:pPr>
            <w:r w:rsidRPr="00BF1632">
              <w:rPr>
                <w:szCs w:val="20"/>
              </w:rPr>
              <w:t>MCL-3001-final analysis</w:t>
            </w:r>
          </w:p>
          <w:p w:rsidR="00D916E2" w:rsidRPr="00BF1632" w:rsidRDefault="00D916E2" w:rsidP="00BB5B72">
            <w:pPr>
              <w:pStyle w:val="TableText"/>
              <w:ind w:firstLine="114"/>
              <w:rPr>
                <w:szCs w:val="20"/>
              </w:rPr>
            </w:pPr>
            <w:r w:rsidRPr="00BF1632">
              <w:rPr>
                <w:szCs w:val="20"/>
              </w:rPr>
              <w:t>Events, n/N (%)</w:t>
            </w:r>
            <w:r w:rsidRPr="00BF1632">
              <w:rPr>
                <w:szCs w:val="20"/>
                <w:vertAlign w:val="superscript"/>
              </w:rPr>
              <w:t>a</w:t>
            </w:r>
          </w:p>
          <w:p w:rsidR="00D916E2" w:rsidRPr="00BF1632" w:rsidRDefault="00D916E2" w:rsidP="00BB5B72">
            <w:pPr>
              <w:pStyle w:val="TableText"/>
              <w:ind w:firstLine="114"/>
              <w:rPr>
                <w:szCs w:val="20"/>
              </w:rPr>
            </w:pPr>
            <w:r w:rsidRPr="00BF1632">
              <w:rPr>
                <w:szCs w:val="20"/>
              </w:rPr>
              <w:t>Median PFS, months</w:t>
            </w:r>
          </w:p>
        </w:tc>
        <w:tc>
          <w:tcPr>
            <w:tcW w:w="710" w:type="pct"/>
            <w:gridSpan w:val="2"/>
          </w:tcPr>
          <w:p w:rsidR="00D916E2" w:rsidRPr="00F36A91" w:rsidRDefault="00D916E2" w:rsidP="00BB5B72">
            <w:pPr>
              <w:pStyle w:val="TableText"/>
              <w:rPr>
                <w:rFonts w:cs="Arial"/>
                <w:snapToGrid w:val="0"/>
                <w:szCs w:val="20"/>
              </w:rPr>
            </w:pPr>
          </w:p>
          <w:p w:rsidR="00D916E2" w:rsidRPr="00F36A91" w:rsidRDefault="00F36A91" w:rsidP="00BB5B72">
            <w:pPr>
              <w:pStyle w:val="TableText"/>
              <w:rPr>
                <w:rFonts w:cs="Arial"/>
                <w:snapToGrid w:val="0"/>
                <w:szCs w:val="20"/>
                <w:highlight w:val="black"/>
              </w:rPr>
            </w:pPr>
            <w:r>
              <w:rPr>
                <w:rFonts w:cs="Arial"/>
                <w:noProof/>
                <w:snapToGrid w:val="0"/>
                <w:color w:val="000000"/>
                <w:szCs w:val="20"/>
                <w:highlight w:val="black"/>
              </w:rPr>
              <w:t>''''''''''''''' '''''''''''''''</w:t>
            </w:r>
          </w:p>
          <w:p w:rsidR="00D916E2" w:rsidRPr="00F36A91" w:rsidRDefault="00F36A91" w:rsidP="00BB5B72">
            <w:pPr>
              <w:pStyle w:val="TableText"/>
              <w:rPr>
                <w:szCs w:val="20"/>
                <w:highlight w:val="black"/>
              </w:rPr>
            </w:pPr>
            <w:r>
              <w:rPr>
                <w:rFonts w:cs="Arial"/>
                <w:noProof/>
                <w:snapToGrid w:val="0"/>
                <w:color w:val="000000"/>
                <w:szCs w:val="20"/>
                <w:highlight w:val="black"/>
              </w:rPr>
              <w:t>''''''''''' '''''''''''''' ''''''''''''''</w:t>
            </w:r>
          </w:p>
        </w:tc>
        <w:tc>
          <w:tcPr>
            <w:tcW w:w="786" w:type="pct"/>
            <w:gridSpan w:val="2"/>
          </w:tcPr>
          <w:p w:rsidR="00D916E2" w:rsidRPr="00F36A91" w:rsidRDefault="00D916E2" w:rsidP="00BB5B72">
            <w:pPr>
              <w:pStyle w:val="TableText"/>
              <w:rPr>
                <w:rFonts w:cs="Arial"/>
                <w:snapToGrid w:val="0"/>
                <w:szCs w:val="20"/>
              </w:rPr>
            </w:pPr>
          </w:p>
          <w:p w:rsidR="00D916E2" w:rsidRPr="00F36A91" w:rsidRDefault="00F36A91" w:rsidP="00BB5B72">
            <w:pPr>
              <w:pStyle w:val="TableText"/>
              <w:rPr>
                <w:rFonts w:cs="Arial"/>
                <w:snapToGrid w:val="0"/>
                <w:szCs w:val="20"/>
                <w:highlight w:val="black"/>
              </w:rPr>
            </w:pPr>
            <w:r>
              <w:rPr>
                <w:rFonts w:cs="Arial"/>
                <w:noProof/>
                <w:snapToGrid w:val="0"/>
                <w:color w:val="000000"/>
                <w:szCs w:val="20"/>
                <w:highlight w:val="black"/>
              </w:rPr>
              <w:t>''''''''''''''''''''' ''''''''''''''''</w:t>
            </w:r>
          </w:p>
          <w:p w:rsidR="00D916E2" w:rsidRPr="00F36A91" w:rsidRDefault="00F36A91" w:rsidP="00BB5B72">
            <w:pPr>
              <w:pStyle w:val="TableText"/>
              <w:rPr>
                <w:szCs w:val="20"/>
                <w:highlight w:val="black"/>
              </w:rPr>
            </w:pPr>
            <w:r>
              <w:rPr>
                <w:rFonts w:cs="Arial"/>
                <w:noProof/>
                <w:snapToGrid w:val="0"/>
                <w:color w:val="000000"/>
                <w:szCs w:val="20"/>
                <w:highlight w:val="black"/>
              </w:rPr>
              <w:t>'''''''' '''''''''' ''''''''</w:t>
            </w:r>
          </w:p>
        </w:tc>
        <w:tc>
          <w:tcPr>
            <w:tcW w:w="1099" w:type="pct"/>
            <w:gridSpan w:val="3"/>
            <w:vAlign w:val="center"/>
          </w:tcPr>
          <w:p w:rsidR="00D916E2" w:rsidRPr="00F36A91" w:rsidRDefault="00F36A91" w:rsidP="00BB5B72">
            <w:pPr>
              <w:pStyle w:val="TableText"/>
              <w:rPr>
                <w:szCs w:val="20"/>
                <w:highlight w:val="black"/>
              </w:rPr>
            </w:pPr>
            <w:r>
              <w:rPr>
                <w:noProof/>
                <w:color w:val="000000"/>
                <w:szCs w:val="20"/>
                <w:highlight w:val="black"/>
              </w:rPr>
              <w:t>'''</w:t>
            </w:r>
          </w:p>
        </w:tc>
        <w:tc>
          <w:tcPr>
            <w:tcW w:w="471" w:type="pct"/>
            <w:vAlign w:val="center"/>
          </w:tcPr>
          <w:p w:rsidR="00D916E2" w:rsidRPr="00F36A91" w:rsidRDefault="00D916E2" w:rsidP="00BB5B72">
            <w:pPr>
              <w:pStyle w:val="TableText"/>
              <w:rPr>
                <w:szCs w:val="20"/>
              </w:rPr>
            </w:pPr>
          </w:p>
          <w:p w:rsidR="00D916E2" w:rsidRPr="00F36A91" w:rsidRDefault="00F36A91" w:rsidP="00BB5B72">
            <w:pPr>
              <w:pStyle w:val="TableText"/>
              <w:rPr>
                <w:szCs w:val="20"/>
                <w:highlight w:val="black"/>
              </w:rPr>
            </w:pPr>
            <w:r>
              <w:rPr>
                <w:noProof/>
                <w:color w:val="000000"/>
                <w:szCs w:val="20"/>
                <w:highlight w:val="black"/>
              </w:rPr>
              <w:t>''''''''''</w:t>
            </w:r>
          </w:p>
          <w:p w:rsidR="00D916E2" w:rsidRPr="00F36A91" w:rsidRDefault="00F36A91" w:rsidP="00BB5B72">
            <w:pPr>
              <w:pStyle w:val="TableText"/>
              <w:rPr>
                <w:szCs w:val="20"/>
                <w:highlight w:val="black"/>
              </w:rPr>
            </w:pPr>
            <w:r>
              <w:rPr>
                <w:noProof/>
                <w:color w:val="000000"/>
                <w:szCs w:val="20"/>
                <w:highlight w:val="black"/>
              </w:rPr>
              <w:t>'''''''</w:t>
            </w:r>
          </w:p>
        </w:tc>
        <w:tc>
          <w:tcPr>
            <w:tcW w:w="832" w:type="pct"/>
            <w:vAlign w:val="center"/>
          </w:tcPr>
          <w:p w:rsidR="00D916E2" w:rsidRPr="00F36A91" w:rsidRDefault="00D916E2" w:rsidP="00BB5B72">
            <w:pPr>
              <w:pStyle w:val="TableText"/>
              <w:rPr>
                <w:rFonts w:cs="Arial"/>
                <w:b/>
                <w:snapToGrid w:val="0"/>
                <w:szCs w:val="20"/>
              </w:rPr>
            </w:pPr>
          </w:p>
          <w:p w:rsidR="00D916E2" w:rsidRPr="00F36A91" w:rsidRDefault="00D916E2" w:rsidP="00BB5B72">
            <w:pPr>
              <w:pStyle w:val="TableText"/>
              <w:rPr>
                <w:rFonts w:cs="Arial"/>
                <w:b/>
                <w:snapToGrid w:val="0"/>
                <w:szCs w:val="20"/>
              </w:rPr>
            </w:pPr>
          </w:p>
          <w:p w:rsidR="00D916E2" w:rsidRPr="00F36A91" w:rsidRDefault="00F36A91" w:rsidP="00BB5B72">
            <w:pPr>
              <w:pStyle w:val="TableText"/>
              <w:rPr>
                <w:b/>
                <w:szCs w:val="20"/>
                <w:highlight w:val="black"/>
              </w:rPr>
            </w:pPr>
            <w:r>
              <w:rPr>
                <w:rFonts w:cs="Arial"/>
                <w:b/>
                <w:noProof/>
                <w:snapToGrid w:val="0"/>
                <w:color w:val="000000"/>
                <w:szCs w:val="20"/>
                <w:highlight w:val="black"/>
              </w:rPr>
              <w:t>''''''''' '''''''''' ''''''''''</w:t>
            </w:r>
          </w:p>
        </w:tc>
      </w:tr>
      <w:tr w:rsidR="00D916E2" w:rsidRPr="00BF1632" w:rsidTr="002E15F5">
        <w:trPr>
          <w:cantSplit/>
          <w:trHeight w:val="283"/>
        </w:trPr>
        <w:tc>
          <w:tcPr>
            <w:tcW w:w="1102" w:type="pct"/>
            <w:shd w:val="clear" w:color="auto" w:fill="auto"/>
            <w:vAlign w:val="center"/>
          </w:tcPr>
          <w:p w:rsidR="00D916E2" w:rsidRPr="00BF1632" w:rsidRDefault="00D916E2" w:rsidP="00BB5B72">
            <w:pPr>
              <w:pStyle w:val="TableText"/>
              <w:rPr>
                <w:szCs w:val="20"/>
              </w:rPr>
            </w:pPr>
            <w:r w:rsidRPr="00BF1632">
              <w:rPr>
                <w:szCs w:val="20"/>
              </w:rPr>
              <w:t>Rummel (2016)</w:t>
            </w:r>
          </w:p>
          <w:p w:rsidR="00D916E2" w:rsidRPr="00BF1632" w:rsidRDefault="00D916E2" w:rsidP="00BB5B72">
            <w:pPr>
              <w:pStyle w:val="TableText"/>
              <w:ind w:firstLine="114"/>
              <w:rPr>
                <w:szCs w:val="20"/>
              </w:rPr>
            </w:pPr>
            <w:r w:rsidRPr="00BF1632">
              <w:rPr>
                <w:szCs w:val="20"/>
              </w:rPr>
              <w:t>Median PFS, months</w:t>
            </w:r>
          </w:p>
        </w:tc>
        <w:tc>
          <w:tcPr>
            <w:tcW w:w="710" w:type="pct"/>
            <w:gridSpan w:val="2"/>
            <w:vAlign w:val="center"/>
          </w:tcPr>
          <w:p w:rsidR="00D916E2" w:rsidRPr="00BF1632" w:rsidRDefault="00D916E2" w:rsidP="00BB5B72">
            <w:pPr>
              <w:pStyle w:val="TableText"/>
              <w:rPr>
                <w:szCs w:val="20"/>
              </w:rPr>
            </w:pPr>
            <w:r w:rsidRPr="00BF1632">
              <w:rPr>
                <w:szCs w:val="20"/>
              </w:rPr>
              <w:t>-</w:t>
            </w:r>
          </w:p>
        </w:tc>
        <w:tc>
          <w:tcPr>
            <w:tcW w:w="786" w:type="pct"/>
            <w:gridSpan w:val="2"/>
            <w:vAlign w:val="center"/>
          </w:tcPr>
          <w:p w:rsidR="00D916E2" w:rsidRPr="00BF1632" w:rsidRDefault="00D916E2" w:rsidP="00BB5B72">
            <w:pPr>
              <w:pStyle w:val="TableText"/>
              <w:rPr>
                <w:szCs w:val="20"/>
              </w:rPr>
            </w:pPr>
            <w:r w:rsidRPr="00BF1632">
              <w:rPr>
                <w:szCs w:val="20"/>
              </w:rPr>
              <w:t>-</w:t>
            </w:r>
          </w:p>
        </w:tc>
        <w:tc>
          <w:tcPr>
            <w:tcW w:w="1099" w:type="pct"/>
            <w:gridSpan w:val="3"/>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 xml:space="preserve">R-F = </w:t>
            </w:r>
            <w:r w:rsidRPr="00BF1632">
              <w:rPr>
                <w:snapToGrid w:val="0"/>
                <w:szCs w:val="20"/>
              </w:rPr>
              <w:t>4.7 (2.3, 11.2)</w:t>
            </w:r>
          </w:p>
        </w:tc>
        <w:tc>
          <w:tcPr>
            <w:tcW w:w="471" w:type="pct"/>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c>
          <w:tcPr>
            <w:tcW w:w="832" w:type="pct"/>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r>
      <w:tr w:rsidR="00D916E2" w:rsidRPr="00BF1632" w:rsidTr="002E15F5">
        <w:trPr>
          <w:cantSplit/>
        </w:trPr>
        <w:tc>
          <w:tcPr>
            <w:tcW w:w="1102" w:type="pct"/>
            <w:shd w:val="clear" w:color="auto" w:fill="auto"/>
            <w:vAlign w:val="center"/>
          </w:tcPr>
          <w:p w:rsidR="00D916E2" w:rsidRPr="00BF1632" w:rsidRDefault="00D916E2" w:rsidP="00BB5B72">
            <w:pPr>
              <w:pStyle w:val="TableText"/>
              <w:rPr>
                <w:szCs w:val="20"/>
              </w:rPr>
            </w:pPr>
            <w:r w:rsidRPr="00BF1632">
              <w:rPr>
                <w:szCs w:val="20"/>
              </w:rPr>
              <w:t>Forstpointner (2004)</w:t>
            </w:r>
          </w:p>
          <w:p w:rsidR="00D916E2" w:rsidRPr="00BF1632" w:rsidRDefault="00D916E2" w:rsidP="00BB5B72">
            <w:pPr>
              <w:pStyle w:val="TableText"/>
              <w:ind w:firstLine="114"/>
              <w:rPr>
                <w:szCs w:val="20"/>
              </w:rPr>
            </w:pPr>
            <w:r w:rsidRPr="00BF1632">
              <w:rPr>
                <w:szCs w:val="20"/>
              </w:rPr>
              <w:t>Median PFS, months</w:t>
            </w:r>
          </w:p>
        </w:tc>
        <w:tc>
          <w:tcPr>
            <w:tcW w:w="710" w:type="pct"/>
            <w:gridSpan w:val="2"/>
            <w:vAlign w:val="center"/>
          </w:tcPr>
          <w:p w:rsidR="00D916E2" w:rsidRPr="00BF1632" w:rsidRDefault="00D916E2" w:rsidP="00BB5B72">
            <w:pPr>
              <w:pStyle w:val="TableText"/>
              <w:rPr>
                <w:szCs w:val="20"/>
              </w:rPr>
            </w:pPr>
            <w:r w:rsidRPr="00BF1632">
              <w:rPr>
                <w:szCs w:val="20"/>
              </w:rPr>
              <w:t>-</w:t>
            </w:r>
          </w:p>
        </w:tc>
        <w:tc>
          <w:tcPr>
            <w:tcW w:w="786" w:type="pct"/>
            <w:gridSpan w:val="2"/>
            <w:vAlign w:val="center"/>
          </w:tcPr>
          <w:p w:rsidR="00D916E2" w:rsidRPr="00BF1632" w:rsidRDefault="00D916E2" w:rsidP="00BB5B72">
            <w:pPr>
              <w:pStyle w:val="TableText"/>
              <w:rPr>
                <w:szCs w:val="20"/>
              </w:rPr>
            </w:pPr>
            <w:r w:rsidRPr="00BF1632">
              <w:rPr>
                <w:szCs w:val="20"/>
              </w:rPr>
              <w:t>-</w:t>
            </w:r>
          </w:p>
        </w:tc>
        <w:tc>
          <w:tcPr>
            <w:tcW w:w="1099" w:type="pct"/>
            <w:gridSpan w:val="3"/>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 xml:space="preserve">R-FCM = 8 </w:t>
            </w:r>
          </w:p>
        </w:tc>
        <w:tc>
          <w:tcPr>
            <w:tcW w:w="471" w:type="pct"/>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c>
          <w:tcPr>
            <w:tcW w:w="832" w:type="pct"/>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r>
      <w:tr w:rsidR="00D916E2" w:rsidRPr="00BF1632" w:rsidTr="002E15F5">
        <w:tblPrEx>
          <w:tblCellMar>
            <w:left w:w="108" w:type="dxa"/>
            <w:right w:w="108" w:type="dxa"/>
          </w:tblCellMar>
        </w:tblPrEx>
        <w:trPr>
          <w:cantSplit/>
        </w:trPr>
        <w:tc>
          <w:tcPr>
            <w:tcW w:w="5000" w:type="pct"/>
            <w:gridSpan w:val="10"/>
            <w:tcMar>
              <w:left w:w="28" w:type="dxa"/>
              <w:right w:w="28" w:type="dxa"/>
            </w:tcMar>
          </w:tcPr>
          <w:p w:rsidR="00D916E2" w:rsidRPr="00BF1632" w:rsidRDefault="00D916E2" w:rsidP="00BB5B72">
            <w:pPr>
              <w:pStyle w:val="TableText"/>
              <w:tabs>
                <w:tab w:val="left" w:pos="6265"/>
              </w:tabs>
              <w:rPr>
                <w:b/>
                <w:szCs w:val="20"/>
              </w:rPr>
            </w:pPr>
            <w:r w:rsidRPr="00BF1632">
              <w:rPr>
                <w:b/>
                <w:szCs w:val="20"/>
              </w:rPr>
              <w:t>Overall survival – median (months)</w:t>
            </w:r>
            <w:r w:rsidRPr="00BF1632">
              <w:rPr>
                <w:b/>
                <w:szCs w:val="20"/>
              </w:rPr>
              <w:tab/>
            </w:r>
          </w:p>
        </w:tc>
      </w:tr>
      <w:tr w:rsidR="00D916E2" w:rsidRPr="00BF1632" w:rsidTr="002E15F5">
        <w:tblPrEx>
          <w:tblCellMar>
            <w:left w:w="108" w:type="dxa"/>
            <w:right w:w="108" w:type="dxa"/>
          </w:tblCellMar>
        </w:tblPrEx>
        <w:trPr>
          <w:cantSplit/>
        </w:trPr>
        <w:tc>
          <w:tcPr>
            <w:tcW w:w="1102" w:type="pct"/>
            <w:tcMar>
              <w:left w:w="28" w:type="dxa"/>
              <w:right w:w="28" w:type="dxa"/>
            </w:tcMar>
            <w:vAlign w:val="center"/>
          </w:tcPr>
          <w:p w:rsidR="00D916E2" w:rsidRPr="00BF1632" w:rsidRDefault="00D916E2" w:rsidP="00BB5B72">
            <w:pPr>
              <w:pStyle w:val="TableText"/>
              <w:rPr>
                <w:szCs w:val="20"/>
              </w:rPr>
            </w:pPr>
            <w:r w:rsidRPr="00BF1632">
              <w:rPr>
                <w:szCs w:val="20"/>
              </w:rPr>
              <w:t>MCL-3001</w:t>
            </w:r>
          </w:p>
          <w:p w:rsidR="00D916E2" w:rsidRPr="00BF1632" w:rsidRDefault="00D916E2" w:rsidP="00BB5B72">
            <w:pPr>
              <w:pStyle w:val="TableText"/>
              <w:ind w:firstLine="114"/>
              <w:rPr>
                <w:szCs w:val="20"/>
              </w:rPr>
            </w:pPr>
            <w:r w:rsidRPr="00BF1632">
              <w:rPr>
                <w:szCs w:val="20"/>
              </w:rPr>
              <w:t>Events, n/N (%)</w:t>
            </w:r>
            <w:r w:rsidRPr="00BF1632">
              <w:rPr>
                <w:szCs w:val="20"/>
                <w:vertAlign w:val="superscript"/>
              </w:rPr>
              <w:t>a</w:t>
            </w:r>
          </w:p>
          <w:p w:rsidR="00D916E2" w:rsidRPr="00BF1632" w:rsidRDefault="00D916E2" w:rsidP="00BB5B72">
            <w:pPr>
              <w:pStyle w:val="TableText"/>
              <w:ind w:firstLine="114"/>
              <w:rPr>
                <w:szCs w:val="20"/>
              </w:rPr>
            </w:pPr>
            <w:r w:rsidRPr="00BF1632">
              <w:rPr>
                <w:szCs w:val="20"/>
              </w:rPr>
              <w:t>Median OS, months</w:t>
            </w:r>
          </w:p>
        </w:tc>
        <w:tc>
          <w:tcPr>
            <w:tcW w:w="710" w:type="pct"/>
            <w:gridSpan w:val="2"/>
            <w:tcMar>
              <w:left w:w="28" w:type="dxa"/>
              <w:right w:w="28" w:type="dxa"/>
            </w:tcMar>
            <w:vAlign w:val="center"/>
          </w:tcPr>
          <w:p w:rsidR="00D916E2" w:rsidRPr="00F36A91" w:rsidRDefault="00D916E2" w:rsidP="00BB5B72">
            <w:pPr>
              <w:pStyle w:val="TableText"/>
              <w:rPr>
                <w:szCs w:val="20"/>
              </w:rPr>
            </w:pPr>
          </w:p>
          <w:p w:rsidR="00D916E2" w:rsidRPr="00F36A91" w:rsidRDefault="00F36A91" w:rsidP="00BB5B72">
            <w:pPr>
              <w:pStyle w:val="TableText"/>
              <w:rPr>
                <w:szCs w:val="20"/>
                <w:highlight w:val="black"/>
              </w:rPr>
            </w:pPr>
            <w:r>
              <w:rPr>
                <w:noProof/>
                <w:color w:val="000000"/>
                <w:szCs w:val="20"/>
                <w:highlight w:val="black"/>
              </w:rPr>
              <w:t>'''''''''''''''''' ''''''''''''''</w:t>
            </w:r>
          </w:p>
          <w:p w:rsidR="00D916E2" w:rsidRPr="00F36A91" w:rsidRDefault="00F36A91" w:rsidP="00BB5B72">
            <w:pPr>
              <w:pStyle w:val="TableText"/>
              <w:rPr>
                <w:szCs w:val="20"/>
                <w:highlight w:val="black"/>
              </w:rPr>
            </w:pPr>
            <w:r>
              <w:rPr>
                <w:noProof/>
                <w:color w:val="000000"/>
                <w:szCs w:val="20"/>
                <w:highlight w:val="black"/>
              </w:rPr>
              <w:t>''''''''''' ''''''''''''' ''''''''''''</w:t>
            </w:r>
          </w:p>
        </w:tc>
        <w:tc>
          <w:tcPr>
            <w:tcW w:w="786" w:type="pct"/>
            <w:gridSpan w:val="2"/>
            <w:tcMar>
              <w:left w:w="28" w:type="dxa"/>
              <w:right w:w="28" w:type="dxa"/>
            </w:tcMar>
            <w:vAlign w:val="center"/>
          </w:tcPr>
          <w:p w:rsidR="00D916E2" w:rsidRPr="00F36A91" w:rsidRDefault="00D916E2" w:rsidP="00BB5B72">
            <w:pPr>
              <w:pStyle w:val="TableText"/>
              <w:rPr>
                <w:snapToGrid w:val="0"/>
                <w:szCs w:val="20"/>
              </w:rPr>
            </w:pPr>
          </w:p>
          <w:p w:rsidR="00D916E2" w:rsidRPr="00F36A91" w:rsidRDefault="00F36A91" w:rsidP="00BB5B72">
            <w:pPr>
              <w:pStyle w:val="TableText"/>
              <w:rPr>
                <w:snapToGrid w:val="0"/>
                <w:szCs w:val="20"/>
                <w:highlight w:val="black"/>
              </w:rPr>
            </w:pPr>
            <w:r>
              <w:rPr>
                <w:noProof/>
                <w:snapToGrid w:val="0"/>
                <w:color w:val="000000"/>
                <w:szCs w:val="20"/>
                <w:highlight w:val="black"/>
              </w:rPr>
              <w:t>'''''''''''''''''' ''''''''''''''</w:t>
            </w:r>
          </w:p>
          <w:p w:rsidR="00D916E2" w:rsidRPr="00F36A91" w:rsidRDefault="00F36A91" w:rsidP="00BB5B72">
            <w:pPr>
              <w:pStyle w:val="TableText"/>
              <w:rPr>
                <w:szCs w:val="20"/>
                <w:highlight w:val="black"/>
              </w:rPr>
            </w:pPr>
            <w:r>
              <w:rPr>
                <w:noProof/>
                <w:snapToGrid w:val="0"/>
                <w:color w:val="000000"/>
                <w:szCs w:val="20"/>
                <w:highlight w:val="black"/>
              </w:rPr>
              <w:t>'''''''''' ''''''''''''''' '''''''''''''</w:t>
            </w:r>
          </w:p>
        </w:tc>
        <w:tc>
          <w:tcPr>
            <w:tcW w:w="1099" w:type="pct"/>
            <w:gridSpan w:val="3"/>
            <w:tcMar>
              <w:left w:w="28" w:type="dxa"/>
              <w:right w:w="28" w:type="dxa"/>
            </w:tcMar>
            <w:vAlign w:val="center"/>
          </w:tcPr>
          <w:p w:rsidR="00D916E2" w:rsidRPr="00F36A91" w:rsidRDefault="00D916E2" w:rsidP="00BB5B72">
            <w:pPr>
              <w:pStyle w:val="TableText"/>
              <w:rPr>
                <w:szCs w:val="20"/>
              </w:rPr>
            </w:pPr>
          </w:p>
          <w:p w:rsidR="00D916E2" w:rsidRPr="00F36A91" w:rsidRDefault="00F36A91" w:rsidP="00BB5B72">
            <w:pPr>
              <w:pStyle w:val="TableText"/>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D916E2" w:rsidP="00BB5B72">
            <w:pPr>
              <w:pStyle w:val="TableText"/>
              <w:rPr>
                <w:szCs w:val="20"/>
              </w:rPr>
            </w:pPr>
          </w:p>
          <w:p w:rsidR="00D916E2" w:rsidRPr="00F36A91" w:rsidRDefault="00F36A91" w:rsidP="00BB5B72">
            <w:pPr>
              <w:pStyle w:val="TableText"/>
              <w:rPr>
                <w:szCs w:val="20"/>
                <w:highlight w:val="black"/>
              </w:rPr>
            </w:pPr>
            <w:r>
              <w:rPr>
                <w:noProof/>
                <w:color w:val="000000"/>
                <w:szCs w:val="20"/>
                <w:highlight w:val="black"/>
              </w:rPr>
              <w:t>''''''''</w:t>
            </w:r>
          </w:p>
          <w:p w:rsidR="00D916E2" w:rsidRPr="00F36A91" w:rsidRDefault="00F36A91" w:rsidP="00BB5B72">
            <w:pPr>
              <w:pStyle w:val="TableText"/>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D916E2" w:rsidP="00BB5B72">
            <w:pPr>
              <w:pStyle w:val="TableText"/>
              <w:rPr>
                <w:rFonts w:cs="Arial"/>
                <w:snapToGrid w:val="0"/>
                <w:szCs w:val="20"/>
              </w:rPr>
            </w:pPr>
          </w:p>
          <w:p w:rsidR="00D916E2" w:rsidRPr="00F36A91" w:rsidRDefault="00D916E2" w:rsidP="00BB5B72">
            <w:pPr>
              <w:pStyle w:val="TableText"/>
              <w:rPr>
                <w:rFonts w:cs="Arial"/>
                <w:snapToGrid w:val="0"/>
                <w:szCs w:val="20"/>
              </w:rPr>
            </w:pPr>
          </w:p>
          <w:p w:rsidR="00D916E2" w:rsidRPr="00F36A91" w:rsidRDefault="00F36A91" w:rsidP="00BB5B72">
            <w:pPr>
              <w:pStyle w:val="TableText"/>
              <w:rPr>
                <w:szCs w:val="20"/>
                <w:highlight w:val="black"/>
                <w:vertAlign w:val="superscript"/>
              </w:rPr>
            </w:pPr>
            <w:r>
              <w:rPr>
                <w:rFonts w:cs="Arial"/>
                <w:noProof/>
                <w:snapToGrid w:val="0"/>
                <w:color w:val="000000"/>
                <w:szCs w:val="20"/>
                <w:highlight w:val="black"/>
              </w:rPr>
              <w:t>''''''''''' ''''''''''''''' ''''''''''''</w:t>
            </w:r>
          </w:p>
        </w:tc>
      </w:tr>
      <w:tr w:rsidR="00D916E2" w:rsidRPr="00BF1632" w:rsidTr="002E15F5">
        <w:tblPrEx>
          <w:tblCellMar>
            <w:left w:w="108" w:type="dxa"/>
            <w:right w:w="108" w:type="dxa"/>
          </w:tblCellMar>
        </w:tblPrEx>
        <w:trPr>
          <w:cantSplit/>
          <w:trHeight w:val="57"/>
        </w:trPr>
        <w:tc>
          <w:tcPr>
            <w:tcW w:w="1102" w:type="pct"/>
            <w:tcMar>
              <w:left w:w="28" w:type="dxa"/>
              <w:right w:w="28" w:type="dxa"/>
            </w:tcMar>
            <w:vAlign w:val="center"/>
          </w:tcPr>
          <w:p w:rsidR="00D916E2" w:rsidRPr="00BF1632" w:rsidRDefault="00D916E2" w:rsidP="00BB5B72">
            <w:pPr>
              <w:pStyle w:val="TableText"/>
              <w:rPr>
                <w:szCs w:val="20"/>
              </w:rPr>
            </w:pPr>
            <w:r w:rsidRPr="00BF1632">
              <w:rPr>
                <w:szCs w:val="20"/>
              </w:rPr>
              <w:t>Rummel (2016)</w:t>
            </w:r>
          </w:p>
          <w:p w:rsidR="00D916E2" w:rsidRPr="00BF1632" w:rsidRDefault="00D916E2" w:rsidP="00BB5B72">
            <w:pPr>
              <w:pStyle w:val="TableText"/>
              <w:ind w:firstLine="114"/>
              <w:rPr>
                <w:szCs w:val="20"/>
              </w:rPr>
            </w:pPr>
            <w:r w:rsidRPr="00BF1632">
              <w:rPr>
                <w:szCs w:val="20"/>
              </w:rPr>
              <w:t>Median OS, months</w:t>
            </w:r>
          </w:p>
        </w:tc>
        <w:tc>
          <w:tcPr>
            <w:tcW w:w="710"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786"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1099" w:type="pct"/>
            <w:gridSpan w:val="3"/>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R-F = 20.9 (10.6, 56.7)</w:t>
            </w:r>
          </w:p>
        </w:tc>
        <w:tc>
          <w:tcPr>
            <w:tcW w:w="471"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c>
          <w:tcPr>
            <w:tcW w:w="832"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r>
      <w:tr w:rsidR="00D916E2" w:rsidRPr="00BF1632" w:rsidTr="002E15F5">
        <w:tblPrEx>
          <w:tblCellMar>
            <w:left w:w="108" w:type="dxa"/>
            <w:right w:w="108" w:type="dxa"/>
          </w:tblCellMar>
        </w:tblPrEx>
        <w:trPr>
          <w:cantSplit/>
        </w:trPr>
        <w:tc>
          <w:tcPr>
            <w:tcW w:w="1102" w:type="pct"/>
            <w:tcMar>
              <w:left w:w="28" w:type="dxa"/>
              <w:right w:w="28" w:type="dxa"/>
            </w:tcMar>
          </w:tcPr>
          <w:p w:rsidR="00D916E2" w:rsidRPr="00BF1632" w:rsidRDefault="00D916E2" w:rsidP="00BB5B72">
            <w:pPr>
              <w:pStyle w:val="TableText"/>
              <w:rPr>
                <w:snapToGrid w:val="0"/>
                <w:szCs w:val="20"/>
              </w:rPr>
            </w:pPr>
            <w:r w:rsidRPr="00BF1632">
              <w:rPr>
                <w:snapToGrid w:val="0"/>
                <w:szCs w:val="20"/>
              </w:rPr>
              <w:t>Opat (2016)</w:t>
            </w:r>
          </w:p>
          <w:p w:rsidR="00D916E2" w:rsidRPr="00BF1632" w:rsidRDefault="00D916E2" w:rsidP="00BB5B72">
            <w:pPr>
              <w:pStyle w:val="TableText"/>
              <w:ind w:firstLine="114"/>
              <w:rPr>
                <w:szCs w:val="20"/>
              </w:rPr>
            </w:pPr>
            <w:r w:rsidRPr="00BF1632">
              <w:rPr>
                <w:snapToGrid w:val="0"/>
                <w:szCs w:val="20"/>
              </w:rPr>
              <w:t>Median OS, months</w:t>
            </w:r>
          </w:p>
        </w:tc>
        <w:tc>
          <w:tcPr>
            <w:tcW w:w="710"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786"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1099" w:type="pct"/>
            <w:gridSpan w:val="3"/>
            <w:tcMar>
              <w:left w:w="28" w:type="dxa"/>
              <w:right w:w="28" w:type="dxa"/>
            </w:tcMar>
          </w:tcPr>
          <w:p w:rsidR="00D916E2" w:rsidRPr="00BF1632" w:rsidRDefault="00D916E2" w:rsidP="00BB5B72">
            <w:pPr>
              <w:pStyle w:val="TableText"/>
              <w:rPr>
                <w:snapToGrid w:val="0"/>
                <w:szCs w:val="20"/>
              </w:rPr>
            </w:pPr>
          </w:p>
          <w:p w:rsidR="00D916E2" w:rsidRPr="00BF1632" w:rsidRDefault="00D916E2" w:rsidP="00BB5B72">
            <w:pPr>
              <w:pStyle w:val="TableText"/>
              <w:rPr>
                <w:szCs w:val="20"/>
              </w:rPr>
            </w:pPr>
            <w:r w:rsidRPr="00BF1632">
              <w:rPr>
                <w:snapToGrid w:val="0"/>
                <w:szCs w:val="20"/>
              </w:rPr>
              <w:t xml:space="preserve">Various = 22.8 </w:t>
            </w:r>
          </w:p>
        </w:tc>
        <w:tc>
          <w:tcPr>
            <w:tcW w:w="471"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c>
          <w:tcPr>
            <w:tcW w:w="832"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r>
      <w:tr w:rsidR="00D916E2" w:rsidRPr="00BF1632" w:rsidTr="002E15F5">
        <w:tblPrEx>
          <w:tblCellMar>
            <w:left w:w="108" w:type="dxa"/>
            <w:right w:w="108" w:type="dxa"/>
          </w:tblCellMar>
        </w:tblPrEx>
        <w:trPr>
          <w:cantSplit/>
        </w:trPr>
        <w:tc>
          <w:tcPr>
            <w:tcW w:w="1102" w:type="pct"/>
            <w:tcMar>
              <w:left w:w="28" w:type="dxa"/>
              <w:right w:w="28" w:type="dxa"/>
            </w:tcMar>
          </w:tcPr>
          <w:p w:rsidR="00D916E2" w:rsidRPr="00BF1632" w:rsidRDefault="00D916E2" w:rsidP="00BB5B72">
            <w:pPr>
              <w:pStyle w:val="TableText"/>
              <w:rPr>
                <w:snapToGrid w:val="0"/>
                <w:szCs w:val="20"/>
              </w:rPr>
            </w:pPr>
            <w:r w:rsidRPr="00BF1632">
              <w:rPr>
                <w:snapToGrid w:val="0"/>
                <w:szCs w:val="20"/>
              </w:rPr>
              <w:t>Patmore (2016)</w:t>
            </w:r>
          </w:p>
          <w:p w:rsidR="00D916E2" w:rsidRPr="00BF1632" w:rsidRDefault="00D916E2" w:rsidP="00BB5B72">
            <w:pPr>
              <w:pStyle w:val="TableText"/>
              <w:ind w:firstLine="114"/>
              <w:rPr>
                <w:szCs w:val="20"/>
              </w:rPr>
            </w:pPr>
            <w:r w:rsidRPr="00BF1632">
              <w:rPr>
                <w:snapToGrid w:val="0"/>
                <w:szCs w:val="20"/>
              </w:rPr>
              <w:t>Median OS, months</w:t>
            </w:r>
          </w:p>
        </w:tc>
        <w:tc>
          <w:tcPr>
            <w:tcW w:w="710"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786" w:type="pct"/>
            <w:gridSpan w:val="2"/>
            <w:tcMar>
              <w:left w:w="28" w:type="dxa"/>
              <w:right w:w="28" w:type="dxa"/>
            </w:tcMar>
            <w:vAlign w:val="center"/>
          </w:tcPr>
          <w:p w:rsidR="00D916E2" w:rsidRPr="00BF1632" w:rsidRDefault="00D916E2" w:rsidP="00BB5B72">
            <w:pPr>
              <w:pStyle w:val="TableText"/>
              <w:rPr>
                <w:szCs w:val="20"/>
              </w:rPr>
            </w:pPr>
            <w:r w:rsidRPr="00BF1632">
              <w:rPr>
                <w:szCs w:val="20"/>
              </w:rPr>
              <w:t>-</w:t>
            </w:r>
          </w:p>
        </w:tc>
        <w:tc>
          <w:tcPr>
            <w:tcW w:w="1099" w:type="pct"/>
            <w:gridSpan w:val="3"/>
            <w:tcMar>
              <w:left w:w="28" w:type="dxa"/>
              <w:right w:w="28" w:type="dxa"/>
            </w:tcMar>
          </w:tcPr>
          <w:p w:rsidR="00D916E2" w:rsidRPr="00BF1632" w:rsidRDefault="00D916E2" w:rsidP="00BB5B72">
            <w:pPr>
              <w:pStyle w:val="TableText"/>
              <w:rPr>
                <w:snapToGrid w:val="0"/>
                <w:szCs w:val="20"/>
              </w:rPr>
            </w:pPr>
          </w:p>
          <w:p w:rsidR="00D916E2" w:rsidRPr="00BF1632" w:rsidRDefault="00D916E2" w:rsidP="00BB5B72">
            <w:pPr>
              <w:pStyle w:val="TableText"/>
              <w:rPr>
                <w:szCs w:val="20"/>
              </w:rPr>
            </w:pPr>
            <w:r w:rsidRPr="00BF1632">
              <w:rPr>
                <w:snapToGrid w:val="0"/>
                <w:szCs w:val="20"/>
              </w:rPr>
              <w:t xml:space="preserve">Various =   </w:t>
            </w:r>
            <w:r w:rsidRPr="00BF1632">
              <w:rPr>
                <w:rFonts w:ascii="Arial" w:hAnsi="Arial" w:cs="Arial"/>
                <w:snapToGrid w:val="0"/>
                <w:szCs w:val="20"/>
              </w:rPr>
              <w:t>̴</w:t>
            </w:r>
            <w:r w:rsidRPr="00BF1632">
              <w:rPr>
                <w:snapToGrid w:val="0"/>
                <w:szCs w:val="20"/>
              </w:rPr>
              <w:t xml:space="preserve">12 </w:t>
            </w:r>
          </w:p>
        </w:tc>
        <w:tc>
          <w:tcPr>
            <w:tcW w:w="471"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c>
          <w:tcPr>
            <w:tcW w:w="832" w:type="pct"/>
            <w:tcMar>
              <w:left w:w="28" w:type="dxa"/>
              <w:right w:w="28" w:type="dxa"/>
            </w:tcMar>
            <w:vAlign w:val="center"/>
          </w:tcPr>
          <w:p w:rsidR="00D916E2" w:rsidRPr="00BF1632" w:rsidRDefault="00D916E2" w:rsidP="00BB5B72">
            <w:pPr>
              <w:pStyle w:val="TableText"/>
              <w:rPr>
                <w:szCs w:val="20"/>
              </w:rPr>
            </w:pPr>
          </w:p>
          <w:p w:rsidR="00D916E2" w:rsidRPr="00BF1632" w:rsidRDefault="00D916E2" w:rsidP="00BB5B72">
            <w:pPr>
              <w:pStyle w:val="TableText"/>
              <w:rPr>
                <w:szCs w:val="20"/>
              </w:rPr>
            </w:pPr>
            <w:r w:rsidRPr="00BF1632">
              <w:rPr>
                <w:szCs w:val="20"/>
              </w:rPr>
              <w:t>NC</w:t>
            </w:r>
          </w:p>
        </w:tc>
      </w:tr>
      <w:tr w:rsidR="00D916E2" w:rsidRPr="00BF1632" w:rsidTr="002E15F5">
        <w:trPr>
          <w:cantSplit/>
        </w:trPr>
        <w:tc>
          <w:tcPr>
            <w:tcW w:w="5000" w:type="pct"/>
            <w:gridSpan w:val="10"/>
            <w:shd w:val="clear" w:color="auto" w:fill="auto"/>
            <w:vAlign w:val="center"/>
          </w:tcPr>
          <w:p w:rsidR="00D916E2" w:rsidRPr="00BF1632" w:rsidRDefault="00D916E2" w:rsidP="00BB5B72">
            <w:pPr>
              <w:pStyle w:val="TableText"/>
              <w:keepNext w:val="0"/>
              <w:rPr>
                <w:b/>
                <w:szCs w:val="20"/>
              </w:rPr>
            </w:pPr>
            <w:r w:rsidRPr="00BF1632">
              <w:rPr>
                <w:b/>
                <w:szCs w:val="20"/>
              </w:rPr>
              <w:t xml:space="preserve">HARMS </w:t>
            </w:r>
          </w:p>
        </w:tc>
      </w:tr>
      <w:tr w:rsidR="00D916E2" w:rsidRPr="00BF1632" w:rsidTr="002E15F5">
        <w:trPr>
          <w:cantSplit/>
          <w:trHeight w:val="166"/>
        </w:trPr>
        <w:tc>
          <w:tcPr>
            <w:tcW w:w="1102" w:type="pct"/>
            <w:vMerge w:val="restart"/>
            <w:shd w:val="clear" w:color="auto" w:fill="auto"/>
            <w:tcMar>
              <w:left w:w="28" w:type="dxa"/>
              <w:right w:w="28" w:type="dxa"/>
            </w:tcMar>
            <w:vAlign w:val="center"/>
          </w:tcPr>
          <w:p w:rsidR="00D916E2" w:rsidRPr="00BF1632" w:rsidRDefault="00D916E2" w:rsidP="00BB5B72">
            <w:pPr>
              <w:pStyle w:val="TableText"/>
              <w:keepNext w:val="0"/>
              <w:rPr>
                <w:b/>
                <w:szCs w:val="20"/>
              </w:rPr>
            </w:pPr>
          </w:p>
        </w:tc>
        <w:tc>
          <w:tcPr>
            <w:tcW w:w="396" w:type="pct"/>
            <w:vMerge w:val="restart"/>
            <w:tcMar>
              <w:left w:w="28" w:type="dxa"/>
              <w:right w:w="28" w:type="dxa"/>
            </w:tcMar>
          </w:tcPr>
          <w:p w:rsidR="00D916E2" w:rsidRPr="00BF1632" w:rsidRDefault="00D916E2" w:rsidP="00BB5B72">
            <w:pPr>
              <w:pStyle w:val="TableText"/>
              <w:keepNext w:val="0"/>
              <w:rPr>
                <w:b/>
                <w:szCs w:val="20"/>
              </w:rPr>
            </w:pPr>
            <w:r w:rsidRPr="00BF1632">
              <w:rPr>
                <w:b/>
                <w:szCs w:val="20"/>
              </w:rPr>
              <w:t>Ibrutinib</w:t>
            </w:r>
          </w:p>
        </w:tc>
        <w:tc>
          <w:tcPr>
            <w:tcW w:w="314" w:type="pct"/>
            <w:vMerge w:val="restart"/>
            <w:tcMar>
              <w:left w:w="28" w:type="dxa"/>
              <w:right w:w="28" w:type="dxa"/>
            </w:tcMar>
          </w:tcPr>
          <w:p w:rsidR="00D916E2" w:rsidRPr="00BF1632" w:rsidRDefault="00D916E2" w:rsidP="00BB5B72">
            <w:pPr>
              <w:pStyle w:val="TableText"/>
              <w:keepNext w:val="0"/>
              <w:rPr>
                <w:b/>
                <w:szCs w:val="20"/>
              </w:rPr>
            </w:pPr>
            <w:r w:rsidRPr="00BF1632">
              <w:rPr>
                <w:b/>
                <w:szCs w:val="20"/>
              </w:rPr>
              <w:t>TEM</w:t>
            </w:r>
          </w:p>
        </w:tc>
        <w:tc>
          <w:tcPr>
            <w:tcW w:w="394" w:type="pct"/>
            <w:vMerge w:val="restart"/>
            <w:tcMar>
              <w:left w:w="28" w:type="dxa"/>
              <w:right w:w="28" w:type="dxa"/>
            </w:tcMar>
          </w:tcPr>
          <w:p w:rsidR="00D916E2" w:rsidRPr="00BF1632" w:rsidRDefault="00D916E2" w:rsidP="00BB5B72">
            <w:pPr>
              <w:pStyle w:val="TableText"/>
              <w:keepNext w:val="0"/>
              <w:rPr>
                <w:b/>
                <w:szCs w:val="20"/>
              </w:rPr>
            </w:pPr>
            <w:r w:rsidRPr="00BF1632">
              <w:rPr>
                <w:b/>
                <w:szCs w:val="20"/>
              </w:rPr>
              <w:t>R-CHOP</w:t>
            </w:r>
          </w:p>
        </w:tc>
        <w:tc>
          <w:tcPr>
            <w:tcW w:w="706" w:type="pct"/>
            <w:gridSpan w:val="2"/>
            <w:vMerge w:val="restart"/>
            <w:tcMar>
              <w:left w:w="28" w:type="dxa"/>
              <w:right w:w="28" w:type="dxa"/>
            </w:tcMar>
          </w:tcPr>
          <w:p w:rsidR="00D916E2" w:rsidRPr="00BF1632" w:rsidRDefault="00D916E2" w:rsidP="00BB5B72">
            <w:pPr>
              <w:pStyle w:val="TableText"/>
              <w:keepNext w:val="0"/>
              <w:rPr>
                <w:b/>
                <w:szCs w:val="20"/>
              </w:rPr>
            </w:pPr>
            <w:r w:rsidRPr="00BF1632">
              <w:rPr>
                <w:b/>
                <w:szCs w:val="20"/>
              </w:rPr>
              <w:t>RR (95% CI)</w:t>
            </w:r>
          </w:p>
        </w:tc>
        <w:tc>
          <w:tcPr>
            <w:tcW w:w="1257" w:type="pct"/>
            <w:gridSpan w:val="3"/>
            <w:tcMar>
              <w:left w:w="28" w:type="dxa"/>
              <w:right w:w="28" w:type="dxa"/>
            </w:tcMar>
          </w:tcPr>
          <w:p w:rsidR="00D916E2" w:rsidRPr="00BF1632" w:rsidRDefault="00D916E2" w:rsidP="00BB5B72">
            <w:pPr>
              <w:pStyle w:val="TableText"/>
              <w:keepNext w:val="0"/>
              <w:rPr>
                <w:b/>
                <w:szCs w:val="20"/>
              </w:rPr>
            </w:pPr>
            <w:r w:rsidRPr="00BF1632">
              <w:rPr>
                <w:b/>
                <w:szCs w:val="20"/>
              </w:rPr>
              <w:t xml:space="preserve">Event rate/100 patients* </w:t>
            </w:r>
          </w:p>
        </w:tc>
        <w:tc>
          <w:tcPr>
            <w:tcW w:w="832" w:type="pct"/>
            <w:vMerge w:val="restart"/>
            <w:tcMar>
              <w:left w:w="28" w:type="dxa"/>
              <w:right w:w="28" w:type="dxa"/>
            </w:tcMar>
          </w:tcPr>
          <w:p w:rsidR="00D916E2" w:rsidRPr="00BF1632" w:rsidRDefault="00D916E2" w:rsidP="00BB5B72">
            <w:pPr>
              <w:pStyle w:val="TableText"/>
              <w:keepNext w:val="0"/>
              <w:rPr>
                <w:b/>
                <w:szCs w:val="20"/>
              </w:rPr>
            </w:pPr>
            <w:r w:rsidRPr="00BF1632">
              <w:rPr>
                <w:b/>
                <w:szCs w:val="20"/>
              </w:rPr>
              <w:t>RD (95% CI)</w:t>
            </w:r>
          </w:p>
        </w:tc>
      </w:tr>
      <w:tr w:rsidR="00D916E2" w:rsidRPr="00BF1632" w:rsidTr="002E15F5">
        <w:trPr>
          <w:cantSplit/>
          <w:trHeight w:val="127"/>
        </w:trPr>
        <w:tc>
          <w:tcPr>
            <w:tcW w:w="1102" w:type="pct"/>
            <w:vMerge/>
            <w:shd w:val="clear" w:color="auto" w:fill="auto"/>
            <w:tcMar>
              <w:left w:w="28" w:type="dxa"/>
              <w:right w:w="28" w:type="dxa"/>
            </w:tcMar>
            <w:vAlign w:val="center"/>
          </w:tcPr>
          <w:p w:rsidR="00D916E2" w:rsidRPr="00BF1632" w:rsidRDefault="00D916E2" w:rsidP="00BB5B72">
            <w:pPr>
              <w:pStyle w:val="TableText"/>
              <w:keepNext w:val="0"/>
              <w:rPr>
                <w:b/>
                <w:szCs w:val="20"/>
              </w:rPr>
            </w:pPr>
          </w:p>
        </w:tc>
        <w:tc>
          <w:tcPr>
            <w:tcW w:w="396" w:type="pct"/>
            <w:vMerge/>
            <w:tcMar>
              <w:left w:w="28" w:type="dxa"/>
              <w:right w:w="28" w:type="dxa"/>
            </w:tcMar>
            <w:vAlign w:val="center"/>
          </w:tcPr>
          <w:p w:rsidR="00D916E2" w:rsidRPr="00BF1632" w:rsidRDefault="00D916E2" w:rsidP="00BB5B72">
            <w:pPr>
              <w:pStyle w:val="TableText"/>
              <w:keepNext w:val="0"/>
              <w:rPr>
                <w:b/>
                <w:szCs w:val="20"/>
              </w:rPr>
            </w:pPr>
          </w:p>
        </w:tc>
        <w:tc>
          <w:tcPr>
            <w:tcW w:w="314" w:type="pct"/>
            <w:vMerge/>
            <w:tcMar>
              <w:left w:w="28" w:type="dxa"/>
              <w:right w:w="28" w:type="dxa"/>
            </w:tcMar>
            <w:vAlign w:val="center"/>
          </w:tcPr>
          <w:p w:rsidR="00D916E2" w:rsidRPr="00BF1632" w:rsidRDefault="00D916E2" w:rsidP="00BB5B72">
            <w:pPr>
              <w:pStyle w:val="TableText"/>
              <w:keepNext w:val="0"/>
              <w:rPr>
                <w:b/>
                <w:szCs w:val="20"/>
              </w:rPr>
            </w:pPr>
          </w:p>
        </w:tc>
        <w:tc>
          <w:tcPr>
            <w:tcW w:w="394" w:type="pct"/>
            <w:vMerge/>
            <w:tcMar>
              <w:left w:w="28" w:type="dxa"/>
              <w:right w:w="28" w:type="dxa"/>
            </w:tcMar>
            <w:vAlign w:val="center"/>
          </w:tcPr>
          <w:p w:rsidR="00D916E2" w:rsidRPr="00BF1632" w:rsidRDefault="00D916E2" w:rsidP="00BB5B72">
            <w:pPr>
              <w:pStyle w:val="TableText"/>
              <w:keepNext w:val="0"/>
              <w:rPr>
                <w:b/>
                <w:szCs w:val="20"/>
              </w:rPr>
            </w:pPr>
          </w:p>
        </w:tc>
        <w:tc>
          <w:tcPr>
            <w:tcW w:w="706" w:type="pct"/>
            <w:gridSpan w:val="2"/>
            <w:vMerge/>
            <w:tcMar>
              <w:left w:w="28" w:type="dxa"/>
              <w:right w:w="28" w:type="dxa"/>
            </w:tcMar>
            <w:vAlign w:val="center"/>
          </w:tcPr>
          <w:p w:rsidR="00D916E2" w:rsidRPr="00BF1632" w:rsidRDefault="00D916E2" w:rsidP="00BB5B72">
            <w:pPr>
              <w:pStyle w:val="TableText"/>
              <w:keepNext w:val="0"/>
              <w:rPr>
                <w:b/>
                <w:szCs w:val="20"/>
              </w:rPr>
            </w:pPr>
          </w:p>
        </w:tc>
        <w:tc>
          <w:tcPr>
            <w:tcW w:w="472" w:type="pct"/>
            <w:tcMar>
              <w:left w:w="28" w:type="dxa"/>
              <w:right w:w="28" w:type="dxa"/>
            </w:tcMar>
            <w:vAlign w:val="center"/>
          </w:tcPr>
          <w:p w:rsidR="00D916E2" w:rsidRPr="00BF1632" w:rsidRDefault="00D916E2" w:rsidP="00BB5B72">
            <w:pPr>
              <w:pStyle w:val="TableText"/>
              <w:keepNext w:val="0"/>
              <w:rPr>
                <w:b/>
                <w:szCs w:val="20"/>
              </w:rPr>
            </w:pPr>
            <w:r w:rsidRPr="00BF1632">
              <w:rPr>
                <w:b/>
                <w:szCs w:val="20"/>
              </w:rPr>
              <w:t>Ibrutinib</w:t>
            </w:r>
          </w:p>
        </w:tc>
        <w:tc>
          <w:tcPr>
            <w:tcW w:w="314" w:type="pct"/>
            <w:tcMar>
              <w:left w:w="28" w:type="dxa"/>
              <w:right w:w="28" w:type="dxa"/>
            </w:tcMar>
            <w:vAlign w:val="center"/>
          </w:tcPr>
          <w:p w:rsidR="00D916E2" w:rsidRPr="00BF1632" w:rsidRDefault="00D916E2" w:rsidP="00BB5B72">
            <w:pPr>
              <w:pStyle w:val="TableText"/>
              <w:keepNext w:val="0"/>
              <w:rPr>
                <w:b/>
                <w:szCs w:val="20"/>
              </w:rPr>
            </w:pPr>
            <w:r w:rsidRPr="00BF1632">
              <w:rPr>
                <w:b/>
                <w:szCs w:val="20"/>
              </w:rPr>
              <w:t>TEM</w:t>
            </w:r>
          </w:p>
        </w:tc>
        <w:tc>
          <w:tcPr>
            <w:tcW w:w="471" w:type="pct"/>
            <w:tcMar>
              <w:left w:w="28" w:type="dxa"/>
              <w:right w:w="28" w:type="dxa"/>
            </w:tcMar>
            <w:vAlign w:val="center"/>
          </w:tcPr>
          <w:p w:rsidR="00D916E2" w:rsidRPr="00BF1632" w:rsidRDefault="00D916E2" w:rsidP="00BB5B72">
            <w:pPr>
              <w:pStyle w:val="TableText"/>
              <w:keepNext w:val="0"/>
              <w:rPr>
                <w:b/>
                <w:szCs w:val="20"/>
              </w:rPr>
            </w:pPr>
            <w:r w:rsidRPr="00BF1632">
              <w:rPr>
                <w:b/>
                <w:szCs w:val="20"/>
              </w:rPr>
              <w:t>R-CHOP</w:t>
            </w:r>
          </w:p>
        </w:tc>
        <w:tc>
          <w:tcPr>
            <w:tcW w:w="832" w:type="pct"/>
            <w:vMerge/>
            <w:tcMar>
              <w:left w:w="28" w:type="dxa"/>
              <w:right w:w="28" w:type="dxa"/>
            </w:tcMar>
            <w:vAlign w:val="center"/>
          </w:tcPr>
          <w:p w:rsidR="00D916E2" w:rsidRPr="00BF1632" w:rsidRDefault="00D916E2" w:rsidP="00BB5B72">
            <w:pPr>
              <w:pStyle w:val="TableText"/>
              <w:keepNext w:val="0"/>
              <w:rPr>
                <w:b/>
                <w:szCs w:val="20"/>
              </w:rPr>
            </w:pPr>
          </w:p>
        </w:tc>
      </w:tr>
      <w:tr w:rsidR="00D916E2" w:rsidRPr="00BF1632" w:rsidTr="002E15F5">
        <w:trPr>
          <w:cantSplit/>
        </w:trPr>
        <w:tc>
          <w:tcPr>
            <w:tcW w:w="5000" w:type="pct"/>
            <w:gridSpan w:val="10"/>
            <w:shd w:val="clear" w:color="auto" w:fill="auto"/>
            <w:tcMar>
              <w:left w:w="28" w:type="dxa"/>
              <w:right w:w="28" w:type="dxa"/>
            </w:tcMar>
            <w:vAlign w:val="center"/>
          </w:tcPr>
          <w:p w:rsidR="00D916E2" w:rsidRPr="00BF1632" w:rsidRDefault="00D916E2" w:rsidP="00BB5B72">
            <w:pPr>
              <w:pStyle w:val="TableText"/>
              <w:keepNext w:val="0"/>
              <w:rPr>
                <w:b/>
                <w:szCs w:val="20"/>
              </w:rPr>
            </w:pPr>
            <w:r w:rsidRPr="00BF1632">
              <w:rPr>
                <w:b/>
                <w:szCs w:val="20"/>
              </w:rPr>
              <w:t>Neutropenia (≥ Grade 3)</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vertAlign w:val="superscript"/>
              </w:rPr>
            </w:pPr>
            <w:r w:rsidRPr="00BF1632">
              <w:rPr>
                <w:szCs w:val="20"/>
              </w:rPr>
              <w:t>MCL-3001 - 6 months</w:t>
            </w:r>
            <w:r w:rsidRPr="00BF1632">
              <w:rPr>
                <w:szCs w:val="20"/>
                <w:vertAlign w:val="superscript"/>
              </w:rPr>
              <w:t>b</w:t>
            </w:r>
          </w:p>
        </w:tc>
        <w:tc>
          <w:tcPr>
            <w:tcW w:w="396"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706" w:type="pct"/>
            <w:gridSpan w:val="2"/>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c>
          <w:tcPr>
            <w:tcW w:w="47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 xml:space="preserve">MCL-3001 - final analysis </w:t>
            </w:r>
          </w:p>
        </w:tc>
        <w:tc>
          <w:tcPr>
            <w:tcW w:w="396"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706" w:type="pct"/>
            <w:gridSpan w:val="2"/>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c>
          <w:tcPr>
            <w:tcW w:w="47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Robak (2015)</w:t>
            </w:r>
          </w:p>
        </w:tc>
        <w:tc>
          <w:tcPr>
            <w:tcW w:w="396"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Next w:val="0"/>
              <w:rPr>
                <w:szCs w:val="20"/>
              </w:rPr>
            </w:pPr>
            <w:r w:rsidRPr="00BF1632">
              <w:rPr>
                <w:szCs w:val="20"/>
              </w:rPr>
              <w:t>162/242</w:t>
            </w:r>
          </w:p>
        </w:tc>
        <w:tc>
          <w:tcPr>
            <w:tcW w:w="706" w:type="pct"/>
            <w:gridSpan w:val="2"/>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c>
          <w:tcPr>
            <w:tcW w:w="472"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Next w:val="0"/>
              <w:rPr>
                <w:szCs w:val="20"/>
              </w:rPr>
            </w:pPr>
            <w:r w:rsidRPr="00BF1632">
              <w:rPr>
                <w:szCs w:val="20"/>
              </w:rPr>
              <w:t>67</w:t>
            </w:r>
          </w:p>
        </w:tc>
        <w:tc>
          <w:tcPr>
            <w:tcW w:w="832" w:type="pct"/>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Kluin-Nelemans (2012)</w:t>
            </w:r>
          </w:p>
        </w:tc>
        <w:tc>
          <w:tcPr>
            <w:tcW w:w="396"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Next w:val="0"/>
              <w:rPr>
                <w:szCs w:val="20"/>
              </w:rPr>
            </w:pPr>
            <w:r w:rsidRPr="00BF1632">
              <w:rPr>
                <w:szCs w:val="20"/>
              </w:rPr>
              <w:t>149/249</w:t>
            </w:r>
          </w:p>
        </w:tc>
        <w:tc>
          <w:tcPr>
            <w:tcW w:w="706" w:type="pct"/>
            <w:gridSpan w:val="2"/>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c>
          <w:tcPr>
            <w:tcW w:w="472"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Next w:val="0"/>
              <w:rPr>
                <w:szCs w:val="20"/>
              </w:rPr>
            </w:pPr>
            <w:r w:rsidRPr="00BF1632">
              <w:rPr>
                <w:szCs w:val="20"/>
              </w:rPr>
              <w:t>60</w:t>
            </w:r>
          </w:p>
        </w:tc>
        <w:tc>
          <w:tcPr>
            <w:tcW w:w="832" w:type="pct"/>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r>
      <w:tr w:rsidR="00D916E2" w:rsidRPr="00BF1632" w:rsidTr="002E15F5">
        <w:trPr>
          <w:cantSplit/>
        </w:trPr>
        <w:tc>
          <w:tcPr>
            <w:tcW w:w="5000" w:type="pct"/>
            <w:gridSpan w:val="10"/>
            <w:shd w:val="clear" w:color="auto" w:fill="auto"/>
            <w:tcMar>
              <w:left w:w="28" w:type="dxa"/>
              <w:right w:w="28" w:type="dxa"/>
            </w:tcMar>
            <w:vAlign w:val="center"/>
          </w:tcPr>
          <w:p w:rsidR="00D916E2" w:rsidRPr="00BF1632" w:rsidRDefault="00D916E2" w:rsidP="00BB5B72">
            <w:pPr>
              <w:pStyle w:val="TableText"/>
              <w:keepNext w:val="0"/>
              <w:rPr>
                <w:b/>
                <w:szCs w:val="20"/>
              </w:rPr>
            </w:pPr>
            <w:r w:rsidRPr="00BF1632">
              <w:rPr>
                <w:b/>
                <w:szCs w:val="20"/>
              </w:rPr>
              <w:t>Febrile neutropenia (≥ Grade 3)</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vertAlign w:val="superscript"/>
              </w:rPr>
            </w:pPr>
            <w:r w:rsidRPr="00BF1632">
              <w:rPr>
                <w:szCs w:val="20"/>
              </w:rPr>
              <w:t>MCL-3001 - 6 months</w:t>
            </w:r>
            <w:r w:rsidRPr="00BF1632">
              <w:rPr>
                <w:szCs w:val="20"/>
                <w:vertAlign w:val="superscript"/>
              </w:rPr>
              <w:t>b</w:t>
            </w:r>
          </w:p>
        </w:tc>
        <w:tc>
          <w:tcPr>
            <w:tcW w:w="396"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D916E2" w:rsidP="00BB5B72">
            <w:pPr>
              <w:pStyle w:val="TableText"/>
              <w:keepNext w:val="0"/>
              <w:rPr>
                <w:szCs w:val="20"/>
              </w:rPr>
            </w:pPr>
          </w:p>
        </w:tc>
        <w:tc>
          <w:tcPr>
            <w:tcW w:w="706" w:type="pct"/>
            <w:gridSpan w:val="2"/>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c>
          <w:tcPr>
            <w:tcW w:w="47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 xml:space="preserve">MCL-3001 - final analysis </w:t>
            </w:r>
          </w:p>
        </w:tc>
        <w:tc>
          <w:tcPr>
            <w:tcW w:w="396"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D916E2" w:rsidP="00BB5B72">
            <w:pPr>
              <w:pStyle w:val="TableText"/>
              <w:keepNext w:val="0"/>
              <w:rPr>
                <w:szCs w:val="20"/>
              </w:rPr>
            </w:pPr>
          </w:p>
        </w:tc>
        <w:tc>
          <w:tcPr>
            <w:tcW w:w="706" w:type="pct"/>
            <w:gridSpan w:val="2"/>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c>
          <w:tcPr>
            <w:tcW w:w="47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Next w:val="0"/>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Robak (2015)</w:t>
            </w:r>
          </w:p>
        </w:tc>
        <w:tc>
          <w:tcPr>
            <w:tcW w:w="396"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Next w:val="0"/>
              <w:rPr>
                <w:szCs w:val="20"/>
              </w:rPr>
            </w:pPr>
            <w:r w:rsidRPr="00BF1632">
              <w:rPr>
                <w:szCs w:val="20"/>
              </w:rPr>
              <w:t>33/242</w:t>
            </w:r>
          </w:p>
        </w:tc>
        <w:tc>
          <w:tcPr>
            <w:tcW w:w="706" w:type="pct"/>
            <w:gridSpan w:val="2"/>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c>
          <w:tcPr>
            <w:tcW w:w="472"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Next w:val="0"/>
              <w:rPr>
                <w:szCs w:val="20"/>
              </w:rPr>
            </w:pPr>
            <w:r w:rsidRPr="00BF1632">
              <w:rPr>
                <w:szCs w:val="20"/>
              </w:rPr>
              <w:t>14</w:t>
            </w:r>
          </w:p>
        </w:tc>
        <w:tc>
          <w:tcPr>
            <w:tcW w:w="832" w:type="pct"/>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Next w:val="0"/>
              <w:rPr>
                <w:szCs w:val="20"/>
              </w:rPr>
            </w:pPr>
            <w:r w:rsidRPr="00BF1632">
              <w:rPr>
                <w:szCs w:val="20"/>
              </w:rPr>
              <w:t>Kluin-Nelemans (2012)</w:t>
            </w:r>
          </w:p>
        </w:tc>
        <w:tc>
          <w:tcPr>
            <w:tcW w:w="396"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Next w:val="0"/>
              <w:rPr>
                <w:szCs w:val="20"/>
              </w:rPr>
            </w:pPr>
            <w:r w:rsidRPr="00BF1632">
              <w:rPr>
                <w:szCs w:val="20"/>
              </w:rPr>
              <w:t>42/249</w:t>
            </w:r>
          </w:p>
        </w:tc>
        <w:tc>
          <w:tcPr>
            <w:tcW w:w="706" w:type="pct"/>
            <w:gridSpan w:val="2"/>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c>
          <w:tcPr>
            <w:tcW w:w="472"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Next w:val="0"/>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Next w:val="0"/>
              <w:rPr>
                <w:szCs w:val="20"/>
              </w:rPr>
            </w:pPr>
            <w:r w:rsidRPr="00BF1632">
              <w:rPr>
                <w:szCs w:val="20"/>
              </w:rPr>
              <w:t>17</w:t>
            </w:r>
          </w:p>
        </w:tc>
        <w:tc>
          <w:tcPr>
            <w:tcW w:w="832" w:type="pct"/>
            <w:tcMar>
              <w:left w:w="28" w:type="dxa"/>
              <w:right w:w="28" w:type="dxa"/>
            </w:tcMar>
            <w:vAlign w:val="center"/>
          </w:tcPr>
          <w:p w:rsidR="00D916E2" w:rsidRPr="00BF1632" w:rsidRDefault="00D916E2" w:rsidP="00BB5B72">
            <w:pPr>
              <w:pStyle w:val="TableText"/>
              <w:keepNext w:val="0"/>
              <w:rPr>
                <w:szCs w:val="20"/>
              </w:rPr>
            </w:pPr>
            <w:r w:rsidRPr="00BF1632">
              <w:rPr>
                <w:szCs w:val="20"/>
              </w:rPr>
              <w:t>NC</w:t>
            </w:r>
          </w:p>
        </w:tc>
      </w:tr>
      <w:tr w:rsidR="00D916E2" w:rsidRPr="00BF1632" w:rsidTr="002E15F5">
        <w:trPr>
          <w:cantSplit/>
        </w:trPr>
        <w:tc>
          <w:tcPr>
            <w:tcW w:w="5000" w:type="pct"/>
            <w:gridSpan w:val="10"/>
            <w:shd w:val="clear" w:color="auto" w:fill="auto"/>
            <w:tcMar>
              <w:left w:w="28" w:type="dxa"/>
              <w:right w:w="28" w:type="dxa"/>
            </w:tcMar>
            <w:vAlign w:val="center"/>
          </w:tcPr>
          <w:p w:rsidR="00D916E2" w:rsidRPr="00BF1632" w:rsidRDefault="00D916E2" w:rsidP="00BB5B72">
            <w:pPr>
              <w:pStyle w:val="TableText"/>
              <w:keepLines/>
              <w:rPr>
                <w:szCs w:val="20"/>
              </w:rPr>
            </w:pPr>
            <w:r w:rsidRPr="00BF1632">
              <w:rPr>
                <w:b/>
                <w:szCs w:val="20"/>
              </w:rPr>
              <w:t>Atrial Fibrillation (≥ Grade 3)</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Lines/>
              <w:rPr>
                <w:szCs w:val="20"/>
              </w:rPr>
            </w:pPr>
            <w:r w:rsidRPr="00BF1632">
              <w:rPr>
                <w:szCs w:val="20"/>
              </w:rPr>
              <w:t>MCL-3001 - 6 months</w:t>
            </w:r>
            <w:r w:rsidRPr="00BF1632">
              <w:rPr>
                <w:szCs w:val="20"/>
                <w:vertAlign w:val="superscript"/>
              </w:rPr>
              <w:t>b</w:t>
            </w:r>
          </w:p>
        </w:tc>
        <w:tc>
          <w:tcPr>
            <w:tcW w:w="396"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706" w:type="pct"/>
            <w:gridSpan w:val="2"/>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 xml:space="preserve">'''''''''' </w:t>
            </w:r>
          </w:p>
          <w:p w:rsidR="00D916E2" w:rsidRPr="00F36A91" w:rsidRDefault="00F36A91" w:rsidP="00BB5B72">
            <w:pPr>
              <w:pStyle w:val="TableText"/>
              <w:keepLines/>
              <w:rPr>
                <w:szCs w:val="20"/>
                <w:highlight w:val="black"/>
              </w:rPr>
            </w:pPr>
            <w:r>
              <w:rPr>
                <w:noProof/>
                <w:color w:val="000000"/>
                <w:szCs w:val="20"/>
                <w:highlight w:val="black"/>
              </w:rPr>
              <w:t>'''''''''''''' '''''''''''''''</w:t>
            </w:r>
          </w:p>
        </w:tc>
        <w:tc>
          <w:tcPr>
            <w:tcW w:w="472"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Lines/>
              <w:rPr>
                <w:szCs w:val="20"/>
              </w:rPr>
            </w:pPr>
            <w:r w:rsidRPr="00BF1632">
              <w:rPr>
                <w:szCs w:val="20"/>
              </w:rPr>
              <w:t xml:space="preserve">MCL-3001 - final analysis </w:t>
            </w:r>
          </w:p>
        </w:tc>
        <w:tc>
          <w:tcPr>
            <w:tcW w:w="396"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9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706" w:type="pct"/>
            <w:gridSpan w:val="2"/>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 '''''''''''''''''''''''''''</w:t>
            </w:r>
          </w:p>
        </w:tc>
        <w:tc>
          <w:tcPr>
            <w:tcW w:w="472"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314"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471"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w:t>
            </w:r>
          </w:p>
        </w:tc>
        <w:tc>
          <w:tcPr>
            <w:tcW w:w="832" w:type="pct"/>
            <w:tcMar>
              <w:left w:w="28" w:type="dxa"/>
              <w:right w:w="28" w:type="dxa"/>
            </w:tcMar>
            <w:vAlign w:val="center"/>
          </w:tcPr>
          <w:p w:rsidR="00D916E2" w:rsidRPr="00F36A91" w:rsidRDefault="00F36A91" w:rsidP="00BB5B72">
            <w:pPr>
              <w:pStyle w:val="TableText"/>
              <w:keepLines/>
              <w:rPr>
                <w:szCs w:val="20"/>
                <w:highlight w:val="black"/>
              </w:rPr>
            </w:pPr>
            <w:r>
              <w:rPr>
                <w:noProof/>
                <w:color w:val="000000"/>
                <w:szCs w:val="20"/>
                <w:highlight w:val="black"/>
              </w:rPr>
              <w:t>'''''''''''''' ''''''''''''' '''''''''</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Lines/>
              <w:rPr>
                <w:szCs w:val="20"/>
              </w:rPr>
            </w:pPr>
            <w:r w:rsidRPr="00BF1632">
              <w:rPr>
                <w:szCs w:val="20"/>
              </w:rPr>
              <w:t>Robak (2015)</w:t>
            </w:r>
          </w:p>
        </w:tc>
        <w:tc>
          <w:tcPr>
            <w:tcW w:w="396"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706" w:type="pct"/>
            <w:gridSpan w:val="2"/>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472"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832"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r>
      <w:tr w:rsidR="00D916E2" w:rsidRPr="00BF1632" w:rsidTr="002E15F5">
        <w:trPr>
          <w:cantSplit/>
        </w:trPr>
        <w:tc>
          <w:tcPr>
            <w:tcW w:w="1102" w:type="pct"/>
            <w:shd w:val="clear" w:color="auto" w:fill="auto"/>
            <w:tcMar>
              <w:left w:w="28" w:type="dxa"/>
              <w:right w:w="28" w:type="dxa"/>
            </w:tcMar>
            <w:vAlign w:val="center"/>
          </w:tcPr>
          <w:p w:rsidR="00D916E2" w:rsidRPr="00BF1632" w:rsidRDefault="00D916E2" w:rsidP="00BB5B72">
            <w:pPr>
              <w:pStyle w:val="TableText"/>
              <w:keepLines/>
              <w:rPr>
                <w:szCs w:val="20"/>
              </w:rPr>
            </w:pPr>
            <w:r w:rsidRPr="00BF1632">
              <w:rPr>
                <w:szCs w:val="20"/>
              </w:rPr>
              <w:t>Kluin-Nelemans (2012)</w:t>
            </w:r>
          </w:p>
        </w:tc>
        <w:tc>
          <w:tcPr>
            <w:tcW w:w="396"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9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706" w:type="pct"/>
            <w:gridSpan w:val="2"/>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472"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314"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471"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c>
          <w:tcPr>
            <w:tcW w:w="832" w:type="pct"/>
            <w:tcMar>
              <w:left w:w="28" w:type="dxa"/>
              <w:right w:w="28" w:type="dxa"/>
            </w:tcMar>
            <w:vAlign w:val="center"/>
          </w:tcPr>
          <w:p w:rsidR="00D916E2" w:rsidRPr="00BF1632" w:rsidRDefault="00D916E2" w:rsidP="00BB5B72">
            <w:pPr>
              <w:pStyle w:val="TableText"/>
              <w:keepLines/>
              <w:rPr>
                <w:szCs w:val="20"/>
              </w:rPr>
            </w:pPr>
            <w:r w:rsidRPr="00BF1632">
              <w:rPr>
                <w:szCs w:val="20"/>
              </w:rPr>
              <w:t>-</w:t>
            </w:r>
          </w:p>
        </w:tc>
      </w:tr>
    </w:tbl>
    <w:p w:rsidR="00D916E2" w:rsidRPr="00BF1632" w:rsidRDefault="00D916E2" w:rsidP="00D916E2">
      <w:pPr>
        <w:pStyle w:val="TableFooter"/>
      </w:pPr>
      <w:r w:rsidRPr="00BF1632">
        <w:t>Source: Table 2.16 and 2.18, pp30-36, and Table 2.35, p80, Section 2 of the resubmission; Tables TSFAE02 and TSFAE06, pp74-113 of final CSR; Tables TSFAE39A and TSFAE41A, pp899-920 of interim CSR; Kluin-Nelemans (2012); Robak (2015); Patmore (2016); Opat (2016); Forstpointner (2004); and Rummel (2016)</w:t>
      </w:r>
    </w:p>
    <w:p w:rsidR="00D916E2" w:rsidRPr="00BF1632" w:rsidRDefault="00D916E2" w:rsidP="00D916E2">
      <w:pPr>
        <w:pStyle w:val="TableFooter"/>
      </w:pPr>
      <w:r w:rsidRPr="00BF1632">
        <w:t xml:space="preserve">CI = confidence interval; CSR = clinical study report; HR = hazard ratio; R-CHOP = rituximab, cyclophosphamide, doxorubicin, vincristine, prednisone; NC = not calculable; RD = risk difference; R-F = rituximab, fludarabine; R-FCM = rituximab, fludarabine, cyclophosphamide, mitozantrone; RR = relative risk; TEM = temsirolimus; </w:t>
      </w:r>
      <w:r w:rsidRPr="00BF1632">
        <w:rPr>
          <w:b/>
        </w:rPr>
        <w:t>Bold</w:t>
      </w:r>
      <w:r w:rsidRPr="00BF1632">
        <w:t xml:space="preserve"> = statistically significant</w:t>
      </w:r>
    </w:p>
    <w:p w:rsidR="00D916E2" w:rsidRPr="00BF1632" w:rsidRDefault="00D916E2" w:rsidP="00D916E2">
      <w:pPr>
        <w:pStyle w:val="TableFooter"/>
      </w:pPr>
      <w:r w:rsidRPr="00BF1632">
        <w:t xml:space="preserve">* Median duration of treatment: MCL-3001 ibrutinib arm = 14.4 months, temsirolimus arm = 3 months; Robak = 3.7 months; Kluin-Nelemans = 5.0 months </w:t>
      </w:r>
    </w:p>
    <w:p w:rsidR="00D916E2" w:rsidRPr="00BF1632" w:rsidRDefault="00D916E2" w:rsidP="00D916E2">
      <w:pPr>
        <w:pStyle w:val="TableFooter"/>
        <w:keepNext/>
      </w:pPr>
      <w:r w:rsidRPr="00BF1632">
        <w:rPr>
          <w:vertAlign w:val="superscript"/>
        </w:rPr>
        <w:t xml:space="preserve">a </w:t>
      </w:r>
      <w:r w:rsidR="00F36A91">
        <w:rPr>
          <w:noProof/>
          <w:color w:val="000000"/>
          <w:highlight w:val="black"/>
        </w:rPr>
        <w:t>'''''''''''''''' '''''''''''''''''''' ''''' '''''''''' '''''''''''''''''</w:t>
      </w:r>
    </w:p>
    <w:p w:rsidR="00D916E2" w:rsidRPr="00BF1632" w:rsidRDefault="00D916E2" w:rsidP="00D916E2">
      <w:pPr>
        <w:pStyle w:val="TableFooter"/>
        <w:keepNext/>
      </w:pPr>
      <w:r w:rsidRPr="00BF1632">
        <w:rPr>
          <w:vertAlign w:val="superscript"/>
        </w:rPr>
        <w:t xml:space="preserve">b </w:t>
      </w:r>
      <w:r w:rsidRPr="00BF1632">
        <w:t>Any grade adverse event reported</w:t>
      </w:r>
    </w:p>
    <w:p w:rsidR="00B538CF" w:rsidRPr="00BF1632" w:rsidRDefault="00D916E2" w:rsidP="000D6801">
      <w:pPr>
        <w:pStyle w:val="ListParagraph"/>
        <w:numPr>
          <w:ilvl w:val="1"/>
          <w:numId w:val="1"/>
        </w:numPr>
        <w:spacing w:before="0" w:after="120"/>
        <w:ind w:left="720" w:hanging="720"/>
        <w:jc w:val="both"/>
      </w:pPr>
      <w:r w:rsidRPr="00BF1632">
        <w:t>The resubmission did not present any evidence of the efficacy of R-CHOP in patients with relapsed or refractory mantle cell lymphoma. Therefore, it was not possible to compare ibrutinib with R-CHOP in terms of efficacy in the proposed patient population.</w:t>
      </w:r>
    </w:p>
    <w:p w:rsidR="00B538CF" w:rsidRPr="00BF1632" w:rsidRDefault="00D916E2" w:rsidP="000D6801">
      <w:pPr>
        <w:pStyle w:val="ListParagraph"/>
        <w:numPr>
          <w:ilvl w:val="1"/>
          <w:numId w:val="1"/>
        </w:numPr>
        <w:spacing w:before="0" w:after="120"/>
        <w:ind w:left="720" w:hanging="720"/>
        <w:jc w:val="both"/>
      </w:pPr>
      <w:r w:rsidRPr="00BF1632">
        <w:t>The resubmission did not present any evidence of the safety of R-CHOP in patients with relapsed or refractory mantle cell lymphoma. Therefore, it was not possible to compare ibrutinib with R-CHOP in terms of safety in the proposed patient population.</w:t>
      </w:r>
    </w:p>
    <w:p w:rsidR="00B538CF" w:rsidRPr="00BF1632" w:rsidRDefault="00D916E2" w:rsidP="000D6801">
      <w:pPr>
        <w:pStyle w:val="ListParagraph"/>
        <w:numPr>
          <w:ilvl w:val="1"/>
          <w:numId w:val="1"/>
        </w:numPr>
        <w:spacing w:before="0" w:after="120"/>
        <w:ind w:left="720" w:hanging="720"/>
        <w:jc w:val="both"/>
      </w:pPr>
      <w:r w:rsidRPr="00BF1632">
        <w:t xml:space="preserve">When compared to temsirolimus, which was not the nominated comparator, but which provided the data used in the economic model, on the basis of the direct evidence presented by the resubmission, for every 100 patients treated with ibrutinib there would be approximately </w:t>
      </w:r>
      <w:r w:rsidR="00F36A91">
        <w:rPr>
          <w:noProof/>
          <w:color w:val="000000"/>
          <w:highlight w:val="black"/>
        </w:rPr>
        <w:t>''''' '''''''''''</w:t>
      </w:r>
      <w:r w:rsidRPr="00BF1632">
        <w:t xml:space="preserve"> patients who remained progression-free over a median duration of follow-up of </w:t>
      </w:r>
      <w:r w:rsidR="00F36A91">
        <w:rPr>
          <w:noProof/>
          <w:color w:val="000000"/>
          <w:highlight w:val="black"/>
        </w:rPr>
        <w:t>''''''''' ''''''''''''''</w:t>
      </w:r>
      <w:r w:rsidRPr="00BF1632">
        <w:t xml:space="preserve">; </w:t>
      </w:r>
      <w:r w:rsidR="00F36A91">
        <w:rPr>
          <w:noProof/>
          <w:color w:val="000000"/>
          <w:highlight w:val="black"/>
        </w:rPr>
        <w:t>''''''''''''''''' ''''''''''' '''''''''''' ''''' '''''' '''''''''''''''''''''' ''''''''''''''''' ''''''''''''''''''''''''</w:t>
      </w:r>
      <w:r w:rsidRPr="00BF1632">
        <w:t xml:space="preserve"> in overall survival between the two groups.</w:t>
      </w:r>
      <w:r w:rsidR="00541326" w:rsidRPr="00BF1632">
        <w:t xml:space="preserve"> </w:t>
      </w:r>
    </w:p>
    <w:p w:rsidR="00D916E2" w:rsidRPr="00BF1632" w:rsidRDefault="00D916E2" w:rsidP="000D6801">
      <w:pPr>
        <w:pStyle w:val="ListParagraph"/>
        <w:numPr>
          <w:ilvl w:val="1"/>
          <w:numId w:val="1"/>
        </w:numPr>
        <w:spacing w:before="0" w:after="120"/>
        <w:ind w:left="720" w:hanging="720"/>
        <w:jc w:val="both"/>
      </w:pPr>
      <w:r w:rsidRPr="00BF1632">
        <w:t>When compared to temsirolimus, which was not the nominated comparator, on the basis of the evidence presented in the resubmission, for every 100 patients treated with ibrutinib:</w:t>
      </w:r>
    </w:p>
    <w:p w:rsidR="00D916E2" w:rsidRPr="00BF1632" w:rsidRDefault="00D916E2" w:rsidP="000D6801">
      <w:pPr>
        <w:pStyle w:val="ListParagraph"/>
        <w:numPr>
          <w:ilvl w:val="0"/>
          <w:numId w:val="10"/>
        </w:numPr>
        <w:spacing w:before="0" w:after="120"/>
        <w:jc w:val="both"/>
      </w:pPr>
      <w:r w:rsidRPr="00BF1632">
        <w:t xml:space="preserve">Approximately </w:t>
      </w:r>
      <w:r w:rsidR="00F36A91">
        <w:rPr>
          <w:noProof/>
          <w:color w:val="000000"/>
          <w:highlight w:val="black"/>
        </w:rPr>
        <w:t>''' ''''''''''''''''''</w:t>
      </w:r>
      <w:r w:rsidRPr="00BF1632">
        <w:t xml:space="preserve"> patients would experience atrial fibrillation over a duration of follow-up of six months; and </w:t>
      </w:r>
    </w:p>
    <w:p w:rsidR="00C317F3" w:rsidRPr="00BF1632" w:rsidRDefault="00D916E2" w:rsidP="000D6801">
      <w:pPr>
        <w:pStyle w:val="ListParagraph"/>
        <w:numPr>
          <w:ilvl w:val="0"/>
          <w:numId w:val="10"/>
        </w:numPr>
        <w:spacing w:before="0" w:after="120"/>
        <w:jc w:val="both"/>
        <w:rPr>
          <w:szCs w:val="24"/>
        </w:rPr>
      </w:pPr>
      <w:r w:rsidRPr="00BF1632">
        <w:rPr>
          <w:szCs w:val="24"/>
        </w:rPr>
        <w:t xml:space="preserve">Approximately </w:t>
      </w:r>
      <w:r w:rsidR="00F36A91">
        <w:rPr>
          <w:noProof/>
          <w:color w:val="000000"/>
          <w:szCs w:val="24"/>
          <w:highlight w:val="black"/>
        </w:rPr>
        <w:t>'' '''''''''''''''''''</w:t>
      </w:r>
      <w:r w:rsidRPr="00BF1632">
        <w:rPr>
          <w:szCs w:val="24"/>
        </w:rPr>
        <w:t xml:space="preserve"> patients would experience atrial fibrillation over a median duration of follow-up of </w:t>
      </w:r>
      <w:r w:rsidR="00F36A91">
        <w:rPr>
          <w:noProof/>
          <w:color w:val="000000"/>
          <w:szCs w:val="24"/>
          <w:highlight w:val="black"/>
        </w:rPr>
        <w:t>'''''''''</w:t>
      </w:r>
      <w:r w:rsidRPr="00BF1632">
        <w:rPr>
          <w:szCs w:val="24"/>
        </w:rPr>
        <w:t xml:space="preserve"> months</w:t>
      </w:r>
      <w:bookmarkEnd w:id="24"/>
      <w:r w:rsidR="00B538CF" w:rsidRPr="00BF1632">
        <w:rPr>
          <w:szCs w:val="24"/>
        </w:rPr>
        <w:t>.</w:t>
      </w:r>
    </w:p>
    <w:p w:rsidR="00C317F3" w:rsidRPr="00BF1632" w:rsidRDefault="004A6593" w:rsidP="00772501">
      <w:pPr>
        <w:pStyle w:val="Heading2"/>
        <w:rPr>
          <w:i w:val="0"/>
        </w:rPr>
      </w:pPr>
      <w:bookmarkStart w:id="27" w:name="_Toc413139282"/>
      <w:bookmarkStart w:id="28" w:name="_Toc493002977"/>
      <w:r w:rsidRPr="00BF1632">
        <w:rPr>
          <w:i w:val="0"/>
        </w:rPr>
        <w:t xml:space="preserve">Interpretation of clinical evidence </w:t>
      </w:r>
      <w:bookmarkEnd w:id="27"/>
      <w:bookmarkEnd w:id="28"/>
    </w:p>
    <w:p w:rsidR="00D916E2" w:rsidRPr="00BF1632" w:rsidRDefault="00D916E2" w:rsidP="00D916E2">
      <w:pPr>
        <w:rPr>
          <w:u w:val="single"/>
        </w:rPr>
      </w:pPr>
      <w:r w:rsidRPr="00BF1632">
        <w:rPr>
          <w:u w:val="single"/>
        </w:rPr>
        <w:t>Ibrutinib versus temsirolimus</w:t>
      </w:r>
    </w:p>
    <w:p w:rsidR="00B538CF" w:rsidRPr="00BF1632" w:rsidRDefault="00D916E2" w:rsidP="000D6801">
      <w:pPr>
        <w:pStyle w:val="ListParagraph"/>
        <w:numPr>
          <w:ilvl w:val="1"/>
          <w:numId w:val="1"/>
        </w:numPr>
        <w:spacing w:before="0" w:after="120"/>
        <w:ind w:left="720" w:hanging="720"/>
        <w:jc w:val="both"/>
        <w:rPr>
          <w:szCs w:val="24"/>
        </w:rPr>
      </w:pPr>
      <w:r w:rsidRPr="00BF1632">
        <w:rPr>
          <w:szCs w:val="24"/>
        </w:rPr>
        <w:t>The resubmission described ibrutinib as superior in terms of comparative effectiveness and superior in terms of comparative safety over temsirolimus.</w:t>
      </w:r>
    </w:p>
    <w:p w:rsidR="00D916E2" w:rsidRPr="00BF1632" w:rsidRDefault="00D916E2" w:rsidP="000D6801">
      <w:pPr>
        <w:pStyle w:val="ListParagraph"/>
        <w:numPr>
          <w:ilvl w:val="1"/>
          <w:numId w:val="1"/>
        </w:numPr>
        <w:spacing w:before="0" w:after="120"/>
        <w:ind w:left="720" w:hanging="720"/>
        <w:jc w:val="both"/>
        <w:rPr>
          <w:szCs w:val="24"/>
        </w:rPr>
      </w:pPr>
      <w:r w:rsidRPr="00BF1632">
        <w:rPr>
          <w:szCs w:val="24"/>
        </w:rPr>
        <w:t>The final analysis data from the MCL-3001 trial supported the trend of superiority of ibrutinib over temsirolimus. However, as in the November 2016 submission, there remained uncertainty associated with the magnitude of benefit as:</w:t>
      </w:r>
    </w:p>
    <w:p w:rsidR="00D916E2" w:rsidRPr="00BF1632" w:rsidRDefault="00D916E2" w:rsidP="000D6801">
      <w:pPr>
        <w:pStyle w:val="ListParagraph"/>
        <w:numPr>
          <w:ilvl w:val="0"/>
          <w:numId w:val="11"/>
        </w:numPr>
        <w:spacing w:before="0" w:after="120"/>
        <w:jc w:val="both"/>
        <w:rPr>
          <w:szCs w:val="24"/>
        </w:rPr>
      </w:pPr>
      <w:r w:rsidRPr="00BF1632">
        <w:rPr>
          <w:szCs w:val="24"/>
        </w:rPr>
        <w:t xml:space="preserve">although ibrutinib again showed statistically significant gains in progression free survival (HR = </w:t>
      </w:r>
      <w:r w:rsidR="00F36A91">
        <w:rPr>
          <w:noProof/>
          <w:color w:val="000000"/>
          <w:szCs w:val="24"/>
          <w:highlight w:val="black"/>
        </w:rPr>
        <w:t>'''''''''</w:t>
      </w:r>
      <w:r w:rsidRPr="00BF1632">
        <w:rPr>
          <w:szCs w:val="24"/>
        </w:rPr>
        <w:t xml:space="preserve">; 95% CI: </w:t>
      </w:r>
      <w:r w:rsidR="00F36A91">
        <w:rPr>
          <w:noProof/>
          <w:color w:val="000000"/>
          <w:szCs w:val="24"/>
          <w:highlight w:val="black"/>
        </w:rPr>
        <w:t>''''''''' '''''''''</w:t>
      </w:r>
      <w:r w:rsidRPr="00BF1632">
        <w:rPr>
          <w:szCs w:val="24"/>
        </w:rPr>
        <w:t xml:space="preserve">), the overall survival analysis did not demonstrate a statistically significant improvement (HR = </w:t>
      </w:r>
      <w:r w:rsidR="00F36A91">
        <w:rPr>
          <w:noProof/>
          <w:color w:val="000000"/>
          <w:szCs w:val="24"/>
          <w:highlight w:val="black"/>
        </w:rPr>
        <w:t>'''''''''</w:t>
      </w:r>
      <w:r w:rsidRPr="00BF1632">
        <w:rPr>
          <w:szCs w:val="24"/>
        </w:rPr>
        <w:t xml:space="preserve">; 95% CI: </w:t>
      </w:r>
      <w:r w:rsidR="00F36A91">
        <w:rPr>
          <w:noProof/>
          <w:color w:val="000000"/>
          <w:szCs w:val="24"/>
          <w:highlight w:val="black"/>
        </w:rPr>
        <w:t>'''''''''' ''''''''</w:t>
      </w:r>
      <w:r w:rsidRPr="00BF1632">
        <w:rPr>
          <w:szCs w:val="24"/>
        </w:rPr>
        <w:t>); and</w:t>
      </w:r>
    </w:p>
    <w:p w:rsidR="00D916E2" w:rsidRPr="00F36A91" w:rsidRDefault="00D916E2" w:rsidP="000D6801">
      <w:pPr>
        <w:pStyle w:val="ListParagraph"/>
        <w:numPr>
          <w:ilvl w:val="0"/>
          <w:numId w:val="11"/>
        </w:numPr>
        <w:spacing w:before="0" w:after="120"/>
        <w:jc w:val="both"/>
        <w:rPr>
          <w:szCs w:val="24"/>
        </w:rPr>
      </w:pPr>
      <w:r w:rsidRPr="00A55E65">
        <w:rPr>
          <w:szCs w:val="24"/>
        </w:rPr>
        <w:t xml:space="preserve">overall survival gains </w:t>
      </w:r>
      <w:r w:rsidR="00F36A91">
        <w:rPr>
          <w:noProof/>
          <w:color w:val="000000"/>
          <w:szCs w:val="24"/>
          <w:highlight w:val="black"/>
        </w:rPr>
        <w:t xml:space="preserve">''''''''' ''''''''''''''''' '''''''''''''''''''' ''''''''''''''''' ''''''''''' ''''''' '''''''''''''''''''''' '''''''' '''''''' ''''''''''''''''' ''''' '''''''''''''''' ''''''''''' '''''' ''''''''''' '''''''''''''''' ''''''' '' ''''''''' ''''''' ''''' ''''''''''' '''''''''' </w:t>
      </w:r>
    </w:p>
    <w:p w:rsidR="00D916E2" w:rsidRPr="00BF1632" w:rsidRDefault="00D916E2" w:rsidP="000D6801">
      <w:pPr>
        <w:pStyle w:val="ListParagraph"/>
        <w:numPr>
          <w:ilvl w:val="1"/>
          <w:numId w:val="1"/>
        </w:numPr>
        <w:spacing w:before="0" w:after="120"/>
        <w:jc w:val="both"/>
        <w:rPr>
          <w:color w:val="4472C4" w:themeColor="accent5"/>
          <w:szCs w:val="24"/>
        </w:rPr>
      </w:pPr>
      <w:r w:rsidRPr="00BF1632">
        <w:rPr>
          <w:szCs w:val="24"/>
        </w:rPr>
        <w:t xml:space="preserve">The </w:t>
      </w:r>
      <w:r w:rsidR="006C12A0" w:rsidRPr="00BF1632">
        <w:rPr>
          <w:szCs w:val="24"/>
        </w:rPr>
        <w:t xml:space="preserve">evaluation considered the </w:t>
      </w:r>
      <w:r w:rsidRPr="00BF1632">
        <w:rPr>
          <w:szCs w:val="24"/>
        </w:rPr>
        <w:t xml:space="preserve">claim of superior safety of ibrutinib compared to temsirolimus was adequately supported by the final analysis results from the MCL-3001 trial. Ibrutinib demonstrated a </w:t>
      </w:r>
      <w:r w:rsidR="00F36A91">
        <w:rPr>
          <w:noProof/>
          <w:color w:val="000000"/>
          <w:szCs w:val="24"/>
          <w:highlight w:val="black"/>
        </w:rPr>
        <w:t>'''''''''''''''''''' '''''''''''</w:t>
      </w:r>
      <w:r w:rsidRPr="00BF1632">
        <w:rPr>
          <w:szCs w:val="24"/>
        </w:rPr>
        <w:t xml:space="preserve"> incidence, over a median follow-up </w:t>
      </w:r>
      <w:r w:rsidR="00F36A91">
        <w:rPr>
          <w:noProof/>
          <w:color w:val="000000"/>
          <w:szCs w:val="24"/>
          <w:highlight w:val="black"/>
        </w:rPr>
        <w:t>'''''''''</w:t>
      </w:r>
      <w:r w:rsidRPr="00BF1632">
        <w:rPr>
          <w:szCs w:val="24"/>
        </w:rPr>
        <w:t xml:space="preserve"> months, of Grade 3 or higher adverse events, drug related adverse events, drug related serious adverse events and adverse events resulting in discontinuation from the trial. Ibrutinib patients did experience a non-statistically significant increase in the rates of atrial fibrillation. Longer-term safety data comparing ibrutinib and temsirolimus was not provided.</w:t>
      </w:r>
    </w:p>
    <w:p w:rsidR="00D916E2" w:rsidRPr="00BF1632" w:rsidRDefault="00D916E2" w:rsidP="000D6801">
      <w:pPr>
        <w:spacing w:before="0" w:after="120"/>
        <w:jc w:val="both"/>
        <w:rPr>
          <w:szCs w:val="24"/>
          <w:u w:val="single"/>
        </w:rPr>
      </w:pPr>
      <w:r w:rsidRPr="00BF1632">
        <w:rPr>
          <w:szCs w:val="24"/>
          <w:u w:val="single"/>
        </w:rPr>
        <w:t>Ibrutinib versus R-CHOP</w:t>
      </w:r>
    </w:p>
    <w:p w:rsidR="00E63A6B" w:rsidRPr="00BF1632" w:rsidRDefault="00D916E2" w:rsidP="000D6801">
      <w:pPr>
        <w:pStyle w:val="ListParagraph"/>
        <w:numPr>
          <w:ilvl w:val="1"/>
          <w:numId w:val="1"/>
        </w:numPr>
        <w:spacing w:before="0" w:after="120"/>
        <w:jc w:val="both"/>
        <w:rPr>
          <w:color w:val="4472C4" w:themeColor="accent5"/>
          <w:szCs w:val="24"/>
        </w:rPr>
      </w:pPr>
      <w:r w:rsidRPr="00BF1632">
        <w:rPr>
          <w:szCs w:val="24"/>
        </w:rPr>
        <w:t>The resubmission described ibrutinib as superior to R-CHOP in terms of comparative efficacy and superior in terms of comparative safety when compared to patients on active treatment with R-CHOP, and inferior in terms of comparative safety when compared to patients who have completed or discontinued R-CHOP treatment but remained progression free.</w:t>
      </w:r>
    </w:p>
    <w:p w:rsidR="00E63A6B" w:rsidRPr="00BF1632" w:rsidRDefault="00E63A6B" w:rsidP="000D6801">
      <w:pPr>
        <w:pStyle w:val="ListParagraph"/>
        <w:numPr>
          <w:ilvl w:val="1"/>
          <w:numId w:val="1"/>
        </w:numPr>
        <w:spacing w:before="0" w:after="120"/>
        <w:jc w:val="both"/>
        <w:rPr>
          <w:color w:val="4472C4" w:themeColor="accent5"/>
          <w:szCs w:val="24"/>
        </w:rPr>
      </w:pPr>
      <w:r w:rsidRPr="00BF1632">
        <w:rPr>
          <w:szCs w:val="24"/>
        </w:rPr>
        <w:t xml:space="preserve">As per the November 2016 submission, the resubmission’s clinical claim was based on a naïve </w:t>
      </w:r>
      <w:r w:rsidR="004A6593" w:rsidRPr="00BF1632">
        <w:rPr>
          <w:szCs w:val="24"/>
        </w:rPr>
        <w:t xml:space="preserve">indirect </w:t>
      </w:r>
      <w:r w:rsidRPr="00BF1632">
        <w:rPr>
          <w:szCs w:val="24"/>
        </w:rPr>
        <w:t>comparison between temsirolimus and immunochemotherapy regimens, which were used as a proxy for R-CHOP. The</w:t>
      </w:r>
      <w:r w:rsidR="006C12A0" w:rsidRPr="00BF1632">
        <w:rPr>
          <w:szCs w:val="24"/>
        </w:rPr>
        <w:t xml:space="preserve"> evaluation considered the</w:t>
      </w:r>
      <w:r w:rsidRPr="00BF1632">
        <w:rPr>
          <w:szCs w:val="24"/>
        </w:rPr>
        <w:t xml:space="preserve"> claim of superior effectiveness might not be adequately supported as:</w:t>
      </w:r>
    </w:p>
    <w:p w:rsidR="00E63A6B" w:rsidRPr="00BF1632" w:rsidRDefault="00E63A6B" w:rsidP="000D6801">
      <w:pPr>
        <w:pStyle w:val="ListParagraph"/>
        <w:numPr>
          <w:ilvl w:val="0"/>
          <w:numId w:val="12"/>
        </w:numPr>
        <w:spacing w:before="0" w:after="120"/>
        <w:jc w:val="both"/>
        <w:rPr>
          <w:szCs w:val="24"/>
        </w:rPr>
      </w:pPr>
      <w:r w:rsidRPr="00BF1632">
        <w:rPr>
          <w:szCs w:val="24"/>
        </w:rPr>
        <w:t xml:space="preserve">no evidence was provided to support the assumption that R-CHOP was comparable to rituximab plus fludarabine or R-FCM;  </w:t>
      </w:r>
    </w:p>
    <w:p w:rsidR="00E63A6B" w:rsidRPr="00BF1632" w:rsidRDefault="00E63A6B" w:rsidP="000D6801">
      <w:pPr>
        <w:pStyle w:val="ListParagraph"/>
        <w:numPr>
          <w:ilvl w:val="0"/>
          <w:numId w:val="12"/>
        </w:numPr>
        <w:spacing w:before="0" w:after="120"/>
        <w:jc w:val="both"/>
        <w:rPr>
          <w:szCs w:val="24"/>
        </w:rPr>
      </w:pPr>
      <w:r w:rsidRPr="00BF1632">
        <w:rPr>
          <w:szCs w:val="24"/>
        </w:rPr>
        <w:t>the indirect comparison between temsirolimus and the immunochemotherapies had no common comparator; and</w:t>
      </w:r>
    </w:p>
    <w:p w:rsidR="00E63A6B" w:rsidRPr="00BF1632" w:rsidRDefault="00E63A6B" w:rsidP="000D6801">
      <w:pPr>
        <w:pStyle w:val="ListParagraph"/>
        <w:numPr>
          <w:ilvl w:val="0"/>
          <w:numId w:val="12"/>
        </w:numPr>
        <w:spacing w:before="0" w:after="120"/>
        <w:jc w:val="both"/>
      </w:pPr>
      <w:r w:rsidRPr="00BF1632">
        <w:rPr>
          <w:szCs w:val="24"/>
        </w:rPr>
        <w:t>although the additional data from Opat (2016) and Patmore (2016) suggested that temsirolimus might be at least as effective as current treatments at prolonging life in relapsed or refractory mantle cell lymphoma patients, the data were based on naïve, indirect retrospective analyses of heterogeneous patients and compared trial and non-trial based patient populations</w:t>
      </w:r>
      <w:r w:rsidRPr="00BF1632">
        <w:t xml:space="preserve">. </w:t>
      </w:r>
    </w:p>
    <w:p w:rsidR="00E63A6B" w:rsidRPr="00BF1632" w:rsidRDefault="00E63A6B" w:rsidP="000D6801">
      <w:pPr>
        <w:pStyle w:val="ListParagraph"/>
        <w:numPr>
          <w:ilvl w:val="1"/>
          <w:numId w:val="1"/>
        </w:numPr>
        <w:spacing w:before="0" w:after="120"/>
        <w:jc w:val="both"/>
        <w:rPr>
          <w:color w:val="4472C4" w:themeColor="accent5"/>
          <w:szCs w:val="24"/>
        </w:rPr>
      </w:pPr>
      <w:r w:rsidRPr="00BF1632">
        <w:rPr>
          <w:szCs w:val="24"/>
        </w:rPr>
        <w:t>The</w:t>
      </w:r>
      <w:r w:rsidR="006C12A0" w:rsidRPr="00BF1632">
        <w:rPr>
          <w:szCs w:val="24"/>
        </w:rPr>
        <w:t xml:space="preserve"> evaluation considered the</w:t>
      </w:r>
      <w:r w:rsidRPr="00BF1632">
        <w:rPr>
          <w:szCs w:val="24"/>
        </w:rPr>
        <w:t xml:space="preserve"> claim that ibrutinib was associated with superior comparative safety compared to </w:t>
      </w:r>
      <w:r w:rsidRPr="00BF1632">
        <w:rPr>
          <w:szCs w:val="24"/>
          <w:u w:val="single"/>
        </w:rPr>
        <w:t>active</w:t>
      </w:r>
      <w:r w:rsidRPr="00BF1632">
        <w:rPr>
          <w:szCs w:val="24"/>
        </w:rPr>
        <w:t xml:space="preserve"> treatment with </w:t>
      </w:r>
      <w:r w:rsidR="006C12A0" w:rsidRPr="00BF1632">
        <w:rPr>
          <w:szCs w:val="24"/>
        </w:rPr>
        <w:t>R-CHOP was reasonable. However</w:t>
      </w:r>
      <w:r w:rsidRPr="00BF1632">
        <w:rPr>
          <w:szCs w:val="24"/>
        </w:rPr>
        <w:t>, as in the November 2016 submission, the results were based on a naïve indirect comparison between relapsed or refractory ibrutinib patients and newly diagnosed R-CHOP patients and should be interpreted with caution.</w:t>
      </w:r>
      <w:r w:rsidR="00D916E2" w:rsidRPr="00BF1632">
        <w:rPr>
          <w:color w:val="4472C4" w:themeColor="accent5"/>
          <w:szCs w:val="24"/>
        </w:rPr>
        <w:t xml:space="preserve"> </w:t>
      </w:r>
    </w:p>
    <w:p w:rsidR="00E63A6B" w:rsidRPr="00BE76A2" w:rsidRDefault="00E63A6B" w:rsidP="00BB3EFA">
      <w:pPr>
        <w:pStyle w:val="ListParagraph"/>
        <w:numPr>
          <w:ilvl w:val="1"/>
          <w:numId w:val="1"/>
        </w:numPr>
        <w:spacing w:before="0" w:after="120"/>
        <w:jc w:val="both"/>
        <w:rPr>
          <w:szCs w:val="24"/>
        </w:rPr>
      </w:pPr>
      <w:r w:rsidRPr="00BF1632">
        <w:rPr>
          <w:szCs w:val="24"/>
        </w:rPr>
        <w:t xml:space="preserve">The </w:t>
      </w:r>
      <w:r w:rsidR="006C12A0" w:rsidRPr="00BF1632">
        <w:rPr>
          <w:szCs w:val="24"/>
        </w:rPr>
        <w:t xml:space="preserve">evaluation considered the </w:t>
      </w:r>
      <w:r w:rsidRPr="00BF1632">
        <w:rPr>
          <w:szCs w:val="24"/>
        </w:rPr>
        <w:t xml:space="preserve">claim that ibrutinib was associated with inferior comparative safety compared to </w:t>
      </w:r>
      <w:r w:rsidRPr="00BF1632">
        <w:rPr>
          <w:szCs w:val="24"/>
          <w:u w:val="single"/>
        </w:rPr>
        <w:t>completed or discontinued</w:t>
      </w:r>
      <w:r w:rsidRPr="00BF1632">
        <w:rPr>
          <w:szCs w:val="24"/>
        </w:rPr>
        <w:t xml:space="preserve"> R-CHOP treatm</w:t>
      </w:r>
      <w:r w:rsidR="006C12A0" w:rsidRPr="00BF1632">
        <w:rPr>
          <w:szCs w:val="24"/>
        </w:rPr>
        <w:t xml:space="preserve">ent was </w:t>
      </w:r>
      <w:r w:rsidR="006C12A0" w:rsidRPr="00BE76A2">
        <w:rPr>
          <w:szCs w:val="24"/>
        </w:rPr>
        <w:t xml:space="preserve">reasonable. </w:t>
      </w:r>
      <w:r w:rsidR="00BB3EFA" w:rsidRPr="00BB3EFA">
        <w:rPr>
          <w:szCs w:val="24"/>
        </w:rPr>
        <w:t xml:space="preserve">However, the </w:t>
      </w:r>
      <w:r w:rsidR="00BB3EFA">
        <w:rPr>
          <w:szCs w:val="24"/>
        </w:rPr>
        <w:t xml:space="preserve">evaluation considered that the </w:t>
      </w:r>
      <w:r w:rsidR="00BB3EFA" w:rsidRPr="00BB3EFA">
        <w:rPr>
          <w:szCs w:val="24"/>
        </w:rPr>
        <w:t xml:space="preserve">resubmission </w:t>
      </w:r>
      <w:r w:rsidR="00F574D1">
        <w:rPr>
          <w:szCs w:val="24"/>
        </w:rPr>
        <w:t>had</w:t>
      </w:r>
      <w:r w:rsidR="00BB3EFA" w:rsidRPr="00BB3EFA">
        <w:rPr>
          <w:szCs w:val="24"/>
        </w:rPr>
        <w:t xml:space="preserve"> not provide</w:t>
      </w:r>
      <w:r w:rsidR="00F574D1">
        <w:rPr>
          <w:szCs w:val="24"/>
        </w:rPr>
        <w:t>d</w:t>
      </w:r>
      <w:r w:rsidR="00BB3EFA" w:rsidRPr="00BB3EFA">
        <w:rPr>
          <w:szCs w:val="24"/>
        </w:rPr>
        <w:t xml:space="preserve"> any new long-term safety data for ibrutinib and did not address the PBAC’s concerns regarding the longer-term safety of ibrutinib, particularly the emerging evidence that it may be associated with atrial fibrillation.</w:t>
      </w:r>
      <w:r w:rsidR="00BB3EFA">
        <w:rPr>
          <w:szCs w:val="24"/>
        </w:rPr>
        <w:t xml:space="preserve"> The pre-PBAC response (p2) disagreed stating that safety data from the longer-term follow-up of MCL-3001 had been provided</w:t>
      </w:r>
      <w:r w:rsidR="00F574D1">
        <w:rPr>
          <w:szCs w:val="24"/>
        </w:rPr>
        <w:t xml:space="preserve"> (</w:t>
      </w:r>
      <w:r w:rsidR="00310DD2">
        <w:rPr>
          <w:szCs w:val="24"/>
        </w:rPr>
        <w:t>presented in</w:t>
      </w:r>
      <w:r w:rsidR="00F574D1">
        <w:rPr>
          <w:szCs w:val="24"/>
        </w:rPr>
        <w:t xml:space="preserve"> Table 7, above)</w:t>
      </w:r>
      <w:r w:rsidR="00310DD2">
        <w:rPr>
          <w:szCs w:val="24"/>
        </w:rPr>
        <w:t>, albeit this was versus temsirolimus</w:t>
      </w:r>
      <w:r w:rsidR="00F574D1">
        <w:rPr>
          <w:szCs w:val="24"/>
        </w:rPr>
        <w:t xml:space="preserve">. Further, the pre-PBAC response </w:t>
      </w:r>
      <w:r w:rsidR="00310DD2">
        <w:rPr>
          <w:szCs w:val="24"/>
        </w:rPr>
        <w:t xml:space="preserve">had </w:t>
      </w:r>
      <w:r w:rsidR="00F574D1">
        <w:rPr>
          <w:szCs w:val="24"/>
        </w:rPr>
        <w:t>provided additional information on the risk of atrial fibrillation (refer to paragraph 6.31)</w:t>
      </w:r>
      <w:r w:rsidR="00BB3EFA">
        <w:rPr>
          <w:szCs w:val="24"/>
        </w:rPr>
        <w:t xml:space="preserve">.  </w:t>
      </w:r>
    </w:p>
    <w:p w:rsidR="0000694C" w:rsidRPr="00BF1632" w:rsidRDefault="0000694C" w:rsidP="000D6801">
      <w:pPr>
        <w:pStyle w:val="ListParagraph"/>
        <w:numPr>
          <w:ilvl w:val="1"/>
          <w:numId w:val="1"/>
        </w:numPr>
        <w:spacing w:before="0" w:after="120"/>
        <w:ind w:left="567" w:hanging="567"/>
        <w:jc w:val="both"/>
        <w:rPr>
          <w:szCs w:val="24"/>
        </w:rPr>
      </w:pPr>
      <w:r w:rsidRPr="00BF1632">
        <w:rPr>
          <w:szCs w:val="24"/>
        </w:rPr>
        <w:t>The PSCR (p2) acknowledged the limitations of the evidence presented by the resubmission, but reiterated that these data were the best available evidence of the efficacy and safety of any immunochemotherapy regimen in relapsed or refractory mantel cell lymphoma. The PSCR stated that there are unlikely to be any clinical trials conducted with R-CHOP or other immunochemotherapies in relapsed or refractory mantel cell lymphoma in the future as the standard of care globally is now targeted therapies such as ibrutinib. The PSCR argued that the PBAC will face these same issues in the quality of the evidence when considering the PBS listing of any new therapy for relapsed or refractory mantel cell lymphoma.</w:t>
      </w:r>
    </w:p>
    <w:p w:rsidR="0000694C" w:rsidRDefault="0000694C" w:rsidP="000D6801">
      <w:pPr>
        <w:pStyle w:val="ListParagraph"/>
        <w:numPr>
          <w:ilvl w:val="1"/>
          <w:numId w:val="1"/>
        </w:numPr>
        <w:spacing w:before="0" w:after="120"/>
        <w:ind w:left="567" w:hanging="567"/>
        <w:jc w:val="both"/>
        <w:rPr>
          <w:szCs w:val="24"/>
        </w:rPr>
      </w:pPr>
      <w:r w:rsidRPr="00BF1632">
        <w:rPr>
          <w:szCs w:val="24"/>
        </w:rPr>
        <w:t>The ESC considered</w:t>
      </w:r>
      <w:r w:rsidR="00DE49CB" w:rsidRPr="00BF1632">
        <w:rPr>
          <w:szCs w:val="24"/>
        </w:rPr>
        <w:t>, despite the additional clinical data presented in the resubmission, that</w:t>
      </w:r>
      <w:r w:rsidRPr="00BF1632">
        <w:rPr>
          <w:szCs w:val="24"/>
        </w:rPr>
        <w:t xml:space="preserve"> the uncertainty around the magnitude of benefit, and safety, of ibrutinib compared to R-CHOP remained, due to the inherent methodological issues (low internal and external validity) associated with the naïve indirect comparison of ibrutinib versus R-CHOP, via the naïve indirect comparison</w:t>
      </w:r>
      <w:r w:rsidRPr="00BF1632">
        <w:t xml:space="preserve"> </w:t>
      </w:r>
      <w:r w:rsidRPr="00BF1632">
        <w:rPr>
          <w:szCs w:val="24"/>
        </w:rPr>
        <w:t xml:space="preserve">between temsirolimus and immunochemotherapy regimens. </w:t>
      </w:r>
    </w:p>
    <w:p w:rsidR="009E4137" w:rsidRPr="005F667D" w:rsidRDefault="009E4137" w:rsidP="009E4137">
      <w:pPr>
        <w:pStyle w:val="ListParagraph"/>
        <w:numPr>
          <w:ilvl w:val="1"/>
          <w:numId w:val="1"/>
        </w:numPr>
        <w:spacing w:before="0" w:after="120"/>
        <w:jc w:val="both"/>
        <w:rPr>
          <w:szCs w:val="24"/>
        </w:rPr>
      </w:pPr>
      <w:r w:rsidRPr="005F667D">
        <w:rPr>
          <w:szCs w:val="24"/>
        </w:rPr>
        <w:t>The PBAC considered that the claim of superior comparative effectiveness</w:t>
      </w:r>
      <w:r w:rsidR="00E42519">
        <w:rPr>
          <w:szCs w:val="24"/>
        </w:rPr>
        <w:t xml:space="preserve"> of ibrutinib versus R-CHOP</w:t>
      </w:r>
      <w:r w:rsidRPr="005F667D">
        <w:rPr>
          <w:szCs w:val="24"/>
        </w:rPr>
        <w:t xml:space="preserve"> was reasonable, but that the magnitude of the </w:t>
      </w:r>
      <w:r w:rsidR="0032678B" w:rsidRPr="003C0C67">
        <w:rPr>
          <w:szCs w:val="24"/>
        </w:rPr>
        <w:t xml:space="preserve">incremental </w:t>
      </w:r>
      <w:r w:rsidRPr="005F667D">
        <w:rPr>
          <w:szCs w:val="24"/>
        </w:rPr>
        <w:t>benefit remained uncertain</w:t>
      </w:r>
      <w:r w:rsidRPr="003C0C67">
        <w:rPr>
          <w:szCs w:val="24"/>
        </w:rPr>
        <w:t xml:space="preserve"> due to the limitations of the naïve indirect comparison</w:t>
      </w:r>
      <w:r w:rsidR="005F667D" w:rsidRPr="003C0C67">
        <w:rPr>
          <w:szCs w:val="24"/>
        </w:rPr>
        <w:t>.</w:t>
      </w:r>
    </w:p>
    <w:p w:rsidR="009E4137" w:rsidRPr="00E42519" w:rsidRDefault="00E42519" w:rsidP="003C0C67">
      <w:pPr>
        <w:pStyle w:val="ListParagraph"/>
        <w:numPr>
          <w:ilvl w:val="1"/>
          <w:numId w:val="1"/>
        </w:numPr>
        <w:spacing w:before="0" w:after="120"/>
        <w:ind w:left="567"/>
        <w:jc w:val="both"/>
        <w:rPr>
          <w:szCs w:val="24"/>
        </w:rPr>
      </w:pPr>
      <w:r w:rsidRPr="00E42519">
        <w:rPr>
          <w:szCs w:val="24"/>
        </w:rPr>
        <w:t xml:space="preserve">The PBAC considered the claim that ibrutinib was associated with superior comparative safety versus active treatment with R-CHOP was reasonable. </w:t>
      </w:r>
    </w:p>
    <w:p w:rsidR="00E63A6B" w:rsidRPr="00BF1632" w:rsidRDefault="00E63A6B" w:rsidP="000D6801">
      <w:pPr>
        <w:pStyle w:val="Heading2"/>
        <w:spacing w:before="0"/>
        <w:rPr>
          <w:i w:val="0"/>
        </w:rPr>
      </w:pPr>
      <w:bookmarkStart w:id="29" w:name="_Toc492390040"/>
      <w:bookmarkStart w:id="30" w:name="_Toc493002978"/>
      <w:r w:rsidRPr="00BF1632">
        <w:rPr>
          <w:i w:val="0"/>
        </w:rPr>
        <w:t>Economic analysis</w:t>
      </w:r>
      <w:bookmarkEnd w:id="29"/>
      <w:bookmarkEnd w:id="30"/>
    </w:p>
    <w:p w:rsidR="00B538CF" w:rsidRPr="00BF1632" w:rsidRDefault="00E63A6B" w:rsidP="000D6801">
      <w:pPr>
        <w:pStyle w:val="ListParagraph"/>
        <w:numPr>
          <w:ilvl w:val="1"/>
          <w:numId w:val="1"/>
        </w:numPr>
        <w:spacing w:before="0" w:after="120"/>
        <w:jc w:val="both"/>
        <w:rPr>
          <w:szCs w:val="24"/>
        </w:rPr>
      </w:pPr>
      <w:r w:rsidRPr="00BF1632">
        <w:rPr>
          <w:szCs w:val="24"/>
        </w:rPr>
        <w:t xml:space="preserve">As per the November 2016 submission, the resubmission presented a partitioned survival economic evaluation, based on the randomised trial (MCL-3001) that compared ibrutinib with temsirolimus, and naïve comparisons between temsirolimus and other rituximab-based regimens that were used as a proxy for the main comparator, R-CHOP. The type of economic evaluation presented was a cost-utility analysis. </w:t>
      </w:r>
    </w:p>
    <w:p w:rsidR="00E63A6B" w:rsidRPr="00BF1632" w:rsidRDefault="00E63A6B" w:rsidP="000D6801">
      <w:pPr>
        <w:pStyle w:val="ListParagraph"/>
        <w:numPr>
          <w:ilvl w:val="1"/>
          <w:numId w:val="1"/>
        </w:numPr>
        <w:spacing w:before="0" w:after="120"/>
        <w:jc w:val="both"/>
        <w:rPr>
          <w:szCs w:val="24"/>
        </w:rPr>
      </w:pPr>
      <w:r w:rsidRPr="00BF1632">
        <w:rPr>
          <w:szCs w:val="24"/>
        </w:rPr>
        <w:t>The table below summarises the key components of the economic evaluation.</w:t>
      </w:r>
    </w:p>
    <w:p w:rsidR="00E63A6B" w:rsidRPr="00BF1632" w:rsidRDefault="00E63A6B" w:rsidP="00E63A6B">
      <w:pPr>
        <w:pStyle w:val="TableHeading1"/>
      </w:pPr>
      <w:r w:rsidRPr="00BF1632">
        <w:t>Table 9: Summary of model structure and rationale</w:t>
      </w:r>
      <w:r w:rsidRPr="00BF1632">
        <w:rPr>
          <w:b w:val="0"/>
          <w:color w:val="4472C4" w:themeColor="accent5"/>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4"/>
        <w:gridCol w:w="7088"/>
      </w:tblGrid>
      <w:tr w:rsidR="00E63A6B" w:rsidRPr="00BF1632" w:rsidTr="002E15F5">
        <w:trPr>
          <w:cantSplit/>
          <w:tblHeader/>
        </w:trPr>
        <w:tc>
          <w:tcPr>
            <w:tcW w:w="1098" w:type="pct"/>
            <w:shd w:val="clear" w:color="auto" w:fill="auto"/>
            <w:vAlign w:val="center"/>
          </w:tcPr>
          <w:p w:rsidR="00E63A6B" w:rsidRPr="00BF1632" w:rsidRDefault="00E63A6B" w:rsidP="00BB5B72">
            <w:pPr>
              <w:pStyle w:val="TableText"/>
              <w:rPr>
                <w:b/>
              </w:rPr>
            </w:pPr>
            <w:r w:rsidRPr="00BF1632">
              <w:rPr>
                <w:b/>
              </w:rPr>
              <w:t>Component</w:t>
            </w:r>
          </w:p>
        </w:tc>
        <w:tc>
          <w:tcPr>
            <w:tcW w:w="3902" w:type="pct"/>
            <w:shd w:val="clear" w:color="auto" w:fill="auto"/>
            <w:vAlign w:val="center"/>
          </w:tcPr>
          <w:p w:rsidR="00E63A6B" w:rsidRPr="00BF1632" w:rsidRDefault="00E63A6B" w:rsidP="00BB5B72">
            <w:pPr>
              <w:pStyle w:val="TableText"/>
              <w:rPr>
                <w:b/>
              </w:rPr>
            </w:pPr>
            <w:r w:rsidRPr="00BF1632">
              <w:rPr>
                <w:b/>
              </w:rPr>
              <w:t>Summary</w:t>
            </w:r>
          </w:p>
        </w:tc>
      </w:tr>
      <w:tr w:rsidR="00E63A6B" w:rsidRPr="00BF1632" w:rsidTr="002E15F5">
        <w:trPr>
          <w:cantSplit/>
        </w:trPr>
        <w:tc>
          <w:tcPr>
            <w:tcW w:w="1098" w:type="pct"/>
            <w:shd w:val="clear" w:color="auto" w:fill="auto"/>
          </w:tcPr>
          <w:p w:rsidR="00E63A6B" w:rsidRPr="00BF1632" w:rsidRDefault="00E63A6B" w:rsidP="00BB5B72">
            <w:pPr>
              <w:pStyle w:val="TableText"/>
            </w:pPr>
            <w:r w:rsidRPr="00BF1632">
              <w:t>Time horizon</w:t>
            </w:r>
          </w:p>
        </w:tc>
        <w:tc>
          <w:tcPr>
            <w:tcW w:w="3902" w:type="pct"/>
            <w:shd w:val="clear" w:color="auto" w:fill="auto"/>
            <w:vAlign w:val="center"/>
          </w:tcPr>
          <w:p w:rsidR="00E63A6B" w:rsidRPr="00BF1632" w:rsidRDefault="00E63A6B" w:rsidP="00BB5B72">
            <w:pPr>
              <w:pStyle w:val="TableText"/>
              <w:rPr>
                <w:rFonts w:ascii="Times" w:eastAsia="Times New Roman" w:hAnsi="Times" w:cs="Times New Roman"/>
              </w:rPr>
            </w:pPr>
            <w:r w:rsidRPr="00BF1632">
              <w:rPr>
                <w:rFonts w:eastAsia="Calibri" w:cs="Arial"/>
              </w:rPr>
              <w:t xml:space="preserve">17 years in the model base case (versus </w:t>
            </w:r>
            <w:r w:rsidR="00F36A91">
              <w:rPr>
                <w:rFonts w:eastAsia="Calibri" w:cs="Arial"/>
                <w:noProof/>
                <w:color w:val="000000"/>
                <w:highlight w:val="black"/>
              </w:rPr>
              <w:t>''''''</w:t>
            </w:r>
            <w:r w:rsidRPr="00BF1632">
              <w:rPr>
                <w:rFonts w:eastAsia="Calibri" w:cs="Arial"/>
              </w:rPr>
              <w:t xml:space="preserve"> months OS follow-up in MCL-3001) – Increased from 15 years in the November 2016 submission.</w:t>
            </w:r>
          </w:p>
        </w:tc>
      </w:tr>
      <w:tr w:rsidR="00E63A6B" w:rsidRPr="00BF1632" w:rsidTr="002E15F5">
        <w:trPr>
          <w:cantSplit/>
        </w:trPr>
        <w:tc>
          <w:tcPr>
            <w:tcW w:w="1098" w:type="pct"/>
            <w:shd w:val="clear" w:color="auto" w:fill="auto"/>
          </w:tcPr>
          <w:p w:rsidR="00E63A6B" w:rsidRPr="00BF1632" w:rsidRDefault="00E63A6B" w:rsidP="00BB5B72">
            <w:pPr>
              <w:pStyle w:val="TableText"/>
              <w:rPr>
                <w:rFonts w:ascii="Times" w:eastAsia="Times New Roman" w:hAnsi="Times" w:cs="Times New Roman"/>
              </w:rPr>
            </w:pPr>
            <w:r w:rsidRPr="00BF1632">
              <w:t>Outcomes</w:t>
            </w:r>
          </w:p>
        </w:tc>
        <w:tc>
          <w:tcPr>
            <w:tcW w:w="3902" w:type="pct"/>
            <w:shd w:val="clear" w:color="auto" w:fill="auto"/>
          </w:tcPr>
          <w:p w:rsidR="00E63A6B" w:rsidRPr="00BF1632" w:rsidRDefault="00E63A6B" w:rsidP="00BB5B72">
            <w:pPr>
              <w:pStyle w:val="TableText"/>
              <w:rPr>
                <w:rFonts w:ascii="Times" w:eastAsia="Times New Roman" w:hAnsi="Times" w:cs="Times New Roman"/>
              </w:rPr>
            </w:pPr>
            <w:r w:rsidRPr="00BF1632">
              <w:t xml:space="preserve">LYs and QALYs </w:t>
            </w:r>
          </w:p>
        </w:tc>
      </w:tr>
      <w:tr w:rsidR="00E63A6B" w:rsidRPr="00BF1632" w:rsidTr="002E15F5">
        <w:trPr>
          <w:cantSplit/>
        </w:trPr>
        <w:tc>
          <w:tcPr>
            <w:tcW w:w="1098" w:type="pct"/>
            <w:shd w:val="clear" w:color="auto" w:fill="auto"/>
          </w:tcPr>
          <w:p w:rsidR="00E63A6B" w:rsidRPr="00BF1632" w:rsidRDefault="00E63A6B" w:rsidP="00BB5B72">
            <w:pPr>
              <w:pStyle w:val="TableText"/>
              <w:rPr>
                <w:rFonts w:ascii="Times" w:eastAsia="Times New Roman" w:hAnsi="Times" w:cs="Times New Roman"/>
              </w:rPr>
            </w:pPr>
            <w:r w:rsidRPr="00BF1632">
              <w:t>Method used to generate results</w:t>
            </w:r>
          </w:p>
        </w:tc>
        <w:tc>
          <w:tcPr>
            <w:tcW w:w="3902" w:type="pct"/>
            <w:shd w:val="clear" w:color="auto" w:fill="auto"/>
          </w:tcPr>
          <w:p w:rsidR="00E63A6B" w:rsidRPr="00BF1632" w:rsidRDefault="00E63A6B" w:rsidP="00BB5B72">
            <w:pPr>
              <w:pStyle w:val="TableText"/>
              <w:rPr>
                <w:rFonts w:ascii="Times" w:eastAsia="Times New Roman" w:hAnsi="Times" w:cs="Times New Roman"/>
              </w:rPr>
            </w:pPr>
            <w:r w:rsidRPr="00BF1632">
              <w:rPr>
                <w:rFonts w:eastAsia="Calibri" w:cs="Arial"/>
                <w:lang w:eastAsia="en-AU"/>
              </w:rPr>
              <w:t>Decision analytic model that used the area under the curve methods to estimate PFS and OS (partitioned survival analysis).</w:t>
            </w:r>
          </w:p>
        </w:tc>
      </w:tr>
      <w:tr w:rsidR="00E63A6B" w:rsidRPr="00BF1632" w:rsidTr="002E15F5">
        <w:trPr>
          <w:cantSplit/>
        </w:trPr>
        <w:tc>
          <w:tcPr>
            <w:tcW w:w="1098" w:type="pct"/>
            <w:shd w:val="clear" w:color="auto" w:fill="auto"/>
          </w:tcPr>
          <w:p w:rsidR="00E63A6B" w:rsidRPr="00BF1632" w:rsidRDefault="00E63A6B" w:rsidP="00BB5B72">
            <w:pPr>
              <w:pStyle w:val="TableText"/>
            </w:pPr>
            <w:r w:rsidRPr="00BF1632">
              <w:t>Health states</w:t>
            </w:r>
          </w:p>
        </w:tc>
        <w:tc>
          <w:tcPr>
            <w:tcW w:w="3902" w:type="pct"/>
            <w:shd w:val="clear" w:color="auto" w:fill="auto"/>
          </w:tcPr>
          <w:p w:rsidR="00E63A6B" w:rsidRPr="00BF1632" w:rsidRDefault="00E63A6B" w:rsidP="00BB5B72">
            <w:pPr>
              <w:pStyle w:val="TableText"/>
              <w:rPr>
                <w:rFonts w:eastAsia="Calibri" w:cs="Arial"/>
                <w:lang w:eastAsia="en-AU"/>
              </w:rPr>
            </w:pPr>
            <w:r w:rsidRPr="00BF1632">
              <w:rPr>
                <w:rFonts w:eastAsia="Calibri" w:cs="Arial"/>
                <w:lang w:eastAsia="en-AU"/>
              </w:rPr>
              <w:t>Progression free, progressed and dead</w:t>
            </w:r>
          </w:p>
        </w:tc>
      </w:tr>
      <w:tr w:rsidR="00E63A6B" w:rsidRPr="00BF1632" w:rsidTr="002E15F5">
        <w:trPr>
          <w:cantSplit/>
        </w:trPr>
        <w:tc>
          <w:tcPr>
            <w:tcW w:w="1098" w:type="pct"/>
            <w:shd w:val="clear" w:color="auto" w:fill="auto"/>
          </w:tcPr>
          <w:p w:rsidR="00E63A6B" w:rsidRPr="00BF1632" w:rsidRDefault="00E63A6B" w:rsidP="00BB5B72">
            <w:pPr>
              <w:pStyle w:val="TableText"/>
            </w:pPr>
            <w:r w:rsidRPr="00BF1632">
              <w:t>Utilities</w:t>
            </w:r>
          </w:p>
        </w:tc>
        <w:tc>
          <w:tcPr>
            <w:tcW w:w="3902" w:type="pct"/>
            <w:shd w:val="clear" w:color="auto" w:fill="auto"/>
          </w:tcPr>
          <w:p w:rsidR="00E63A6B" w:rsidRPr="00BF1632" w:rsidRDefault="00E63A6B" w:rsidP="00BB5B72">
            <w:pPr>
              <w:pStyle w:val="TableText"/>
              <w:rPr>
                <w:rFonts w:eastAsia="Calibri" w:cs="Arial"/>
                <w:lang w:eastAsia="en-AU"/>
              </w:rPr>
            </w:pPr>
            <w:r w:rsidRPr="00BF1632">
              <w:rPr>
                <w:rFonts w:eastAsia="Calibri" w:cs="Arial"/>
                <w:lang w:eastAsia="en-AU"/>
              </w:rPr>
              <w:t>Trial based (MCL-3001)</w:t>
            </w:r>
          </w:p>
        </w:tc>
      </w:tr>
      <w:tr w:rsidR="00E63A6B" w:rsidRPr="00BF1632" w:rsidTr="002E15F5">
        <w:trPr>
          <w:cantSplit/>
        </w:trPr>
        <w:tc>
          <w:tcPr>
            <w:tcW w:w="1098" w:type="pct"/>
            <w:shd w:val="clear" w:color="auto" w:fill="auto"/>
          </w:tcPr>
          <w:p w:rsidR="00E63A6B" w:rsidRPr="00BF1632" w:rsidRDefault="00E63A6B" w:rsidP="00BB5B72">
            <w:pPr>
              <w:pStyle w:val="TableText"/>
              <w:rPr>
                <w:rFonts w:ascii="Times" w:eastAsia="Times New Roman" w:hAnsi="Times" w:cs="Times New Roman"/>
              </w:rPr>
            </w:pPr>
            <w:r w:rsidRPr="00BF1632">
              <w:t>Cycle length</w:t>
            </w:r>
          </w:p>
        </w:tc>
        <w:tc>
          <w:tcPr>
            <w:tcW w:w="3902" w:type="pct"/>
            <w:shd w:val="clear" w:color="auto" w:fill="auto"/>
          </w:tcPr>
          <w:p w:rsidR="00E63A6B" w:rsidRPr="00BF1632" w:rsidRDefault="00E63A6B" w:rsidP="00BB5B72">
            <w:pPr>
              <w:pStyle w:val="TableText"/>
              <w:rPr>
                <w:rFonts w:ascii="Times" w:eastAsia="Times New Roman" w:hAnsi="Times" w:cs="Times New Roman"/>
              </w:rPr>
            </w:pPr>
            <w:r w:rsidRPr="00BF1632">
              <w:t>30 days (1 month) with half-cycle correction</w:t>
            </w:r>
          </w:p>
        </w:tc>
      </w:tr>
      <w:tr w:rsidR="00E63A6B" w:rsidRPr="00BF1632" w:rsidTr="002E15F5">
        <w:trPr>
          <w:cantSplit/>
        </w:trPr>
        <w:tc>
          <w:tcPr>
            <w:tcW w:w="1098" w:type="pct"/>
            <w:shd w:val="clear" w:color="auto" w:fill="auto"/>
          </w:tcPr>
          <w:p w:rsidR="00E63A6B" w:rsidRPr="00BF1632" w:rsidRDefault="00E63A6B" w:rsidP="00BB5B72">
            <w:pPr>
              <w:pStyle w:val="TableText"/>
              <w:rPr>
                <w:rFonts w:ascii="Times" w:eastAsia="Times New Roman" w:hAnsi="Times" w:cs="Times New Roman"/>
              </w:rPr>
            </w:pPr>
            <w:r w:rsidRPr="00BF1632">
              <w:t>Transition probabilities</w:t>
            </w:r>
          </w:p>
        </w:tc>
        <w:tc>
          <w:tcPr>
            <w:tcW w:w="3902" w:type="pct"/>
            <w:shd w:val="clear" w:color="auto" w:fill="auto"/>
          </w:tcPr>
          <w:p w:rsidR="00E63A6B" w:rsidRPr="00BF1632" w:rsidRDefault="00E63A6B" w:rsidP="00BB5B72">
            <w:pPr>
              <w:pStyle w:val="Tabletext0"/>
              <w:rPr>
                <w:rFonts w:eastAsia="Calibri" w:cs="Arial"/>
                <w:lang w:val="en-GB"/>
              </w:rPr>
            </w:pPr>
            <w:r w:rsidRPr="00BF1632">
              <w:t xml:space="preserve">PFS: </w:t>
            </w:r>
            <w:r w:rsidRPr="00BF1632">
              <w:rPr>
                <w:rFonts w:eastAsia="Calibri" w:cs="Arial"/>
                <w:lang w:val="en-GB"/>
              </w:rPr>
              <w:t>KM estimates from MCL-3001 were used until 10% of patients remained at risk. Beyond this exponential extrapolation was applied – Updated using final analysis data.</w:t>
            </w:r>
          </w:p>
          <w:p w:rsidR="00E63A6B" w:rsidRPr="00BF1632" w:rsidRDefault="00E63A6B" w:rsidP="00BB5B72">
            <w:pPr>
              <w:pStyle w:val="Tabletext0"/>
            </w:pPr>
            <w:r w:rsidRPr="00BF1632">
              <w:rPr>
                <w:rFonts w:eastAsia="Calibri" w:cs="Arial"/>
                <w:lang w:val="en-GB"/>
              </w:rPr>
              <w:t>OS: KM estimates from MCL-3001 were used until 20% of patients remained at risk. Beyond this exponential extrapolation was applied – Updated using final analysis data.</w:t>
            </w:r>
          </w:p>
        </w:tc>
      </w:tr>
      <w:tr w:rsidR="00E63A6B" w:rsidRPr="00BF1632" w:rsidTr="002E15F5">
        <w:trPr>
          <w:cantSplit/>
        </w:trPr>
        <w:tc>
          <w:tcPr>
            <w:tcW w:w="1098" w:type="pct"/>
            <w:shd w:val="clear" w:color="auto" w:fill="auto"/>
          </w:tcPr>
          <w:p w:rsidR="00E63A6B" w:rsidRPr="00BF1632" w:rsidRDefault="00E63A6B" w:rsidP="00BB5B72">
            <w:pPr>
              <w:pStyle w:val="TableText"/>
              <w:rPr>
                <w:rFonts w:ascii="Times" w:eastAsia="Times New Roman" w:hAnsi="Times" w:cs="Times New Roman"/>
              </w:rPr>
            </w:pPr>
            <w:r w:rsidRPr="00BF1632">
              <w:t>Discount rate</w:t>
            </w:r>
          </w:p>
        </w:tc>
        <w:tc>
          <w:tcPr>
            <w:tcW w:w="3902" w:type="pct"/>
            <w:shd w:val="clear" w:color="auto" w:fill="auto"/>
          </w:tcPr>
          <w:p w:rsidR="00E63A6B" w:rsidRPr="00BF1632" w:rsidRDefault="00E63A6B" w:rsidP="00BB5B72">
            <w:pPr>
              <w:pStyle w:val="TableText"/>
              <w:rPr>
                <w:rFonts w:ascii="Times" w:eastAsia="Times New Roman" w:hAnsi="Times" w:cs="Times New Roman"/>
              </w:rPr>
            </w:pPr>
            <w:r w:rsidRPr="00BF1632">
              <w:t>5% for costs and outcomes</w:t>
            </w:r>
          </w:p>
        </w:tc>
      </w:tr>
    </w:tbl>
    <w:p w:rsidR="00E63A6B" w:rsidRPr="00BF1632" w:rsidRDefault="00E63A6B" w:rsidP="00E63A6B">
      <w:pPr>
        <w:pStyle w:val="TableFooter"/>
      </w:pPr>
      <w:r w:rsidRPr="00BF1632">
        <w:t>Source: Section 3 of the resubmission</w:t>
      </w:r>
    </w:p>
    <w:p w:rsidR="00E63A6B" w:rsidRPr="00BF1632" w:rsidRDefault="00E63A6B" w:rsidP="00E63A6B">
      <w:pPr>
        <w:pStyle w:val="TableFooter"/>
      </w:pPr>
      <w:r w:rsidRPr="00BF1632">
        <w:t>KM = Kaplan-Meier; LY = life year; OS = overall survival; PFS = progression free survival; QALY = quality-adjusted life year</w:t>
      </w:r>
    </w:p>
    <w:p w:rsidR="00E63A6B" w:rsidRPr="00BF1632" w:rsidRDefault="00E63A6B" w:rsidP="000D6801">
      <w:pPr>
        <w:pStyle w:val="ListParagraph"/>
        <w:numPr>
          <w:ilvl w:val="1"/>
          <w:numId w:val="1"/>
        </w:numPr>
        <w:spacing w:before="0" w:after="120"/>
        <w:jc w:val="both"/>
        <w:rPr>
          <w:szCs w:val="24"/>
        </w:rPr>
      </w:pPr>
      <w:r w:rsidRPr="00BF1632">
        <w:rPr>
          <w:szCs w:val="24"/>
        </w:rPr>
        <w:t xml:space="preserve">The resubmission presented a scenario analysis to generate a range of incremental cost-effectiveness ratios (ICERs) to demonstrate the cost-effectiveness of ibrutinib in relapsed or refractory mantle cell lymphoma. The scenarios presented explored the impact of treatment crossover in the temsirolimus/R-CHOP arm and converging </w:t>
      </w:r>
      <w:r w:rsidR="00205999" w:rsidRPr="00BF1632">
        <w:rPr>
          <w:szCs w:val="24"/>
        </w:rPr>
        <w:t xml:space="preserve">of </w:t>
      </w:r>
      <w:r w:rsidRPr="00BF1632">
        <w:rPr>
          <w:szCs w:val="24"/>
        </w:rPr>
        <w:t xml:space="preserve">the overall survival curves at 10 years. The resubmission stated that by providing an ICER range the uncertainty around the cost-effectiveness was quantified. </w:t>
      </w:r>
    </w:p>
    <w:p w:rsidR="00E63A6B" w:rsidRPr="00BF1632" w:rsidRDefault="00E63A6B" w:rsidP="000D6801">
      <w:pPr>
        <w:pStyle w:val="ListParagraph"/>
        <w:numPr>
          <w:ilvl w:val="1"/>
          <w:numId w:val="1"/>
        </w:numPr>
        <w:spacing w:before="0" w:after="120"/>
        <w:jc w:val="both"/>
        <w:rPr>
          <w:szCs w:val="24"/>
        </w:rPr>
      </w:pPr>
      <w:r w:rsidRPr="00BF1632">
        <w:rPr>
          <w:szCs w:val="24"/>
        </w:rPr>
        <w:t>The four scenarios used to generate the ICER range are outlined in the table below.</w:t>
      </w:r>
      <w:r w:rsidR="00205999" w:rsidRPr="00BF1632">
        <w:rPr>
          <w:szCs w:val="24"/>
        </w:rPr>
        <w:t xml:space="preserve"> </w:t>
      </w:r>
    </w:p>
    <w:p w:rsidR="00E63A6B" w:rsidRPr="00BF1632" w:rsidRDefault="00E63A6B" w:rsidP="00E63A6B">
      <w:pPr>
        <w:pStyle w:val="TableHeading1"/>
      </w:pPr>
      <w:r w:rsidRPr="00BF1632">
        <w:t>Table 10: Scenarios used in the economic evaluation to generate the range of ICERs</w:t>
      </w:r>
    </w:p>
    <w:tbl>
      <w:tblPr>
        <w:tblStyle w:val="TableGrid1"/>
        <w:tblW w:w="5000" w:type="pct"/>
        <w:tblLook w:val="04A0" w:firstRow="1" w:lastRow="0" w:firstColumn="1" w:lastColumn="0" w:noHBand="0" w:noVBand="1"/>
        <w:tblCaption w:val="Table 10: Scenarios used in the economic evaluation to generate the range of ICERs"/>
      </w:tblPr>
      <w:tblGrid>
        <w:gridCol w:w="1817"/>
        <w:gridCol w:w="1817"/>
        <w:gridCol w:w="1816"/>
        <w:gridCol w:w="1816"/>
        <w:gridCol w:w="1816"/>
      </w:tblGrid>
      <w:tr w:rsidR="00E63A6B" w:rsidRPr="00BF1632" w:rsidTr="00163FD8">
        <w:trPr>
          <w:tblHeader/>
        </w:trPr>
        <w:tc>
          <w:tcPr>
            <w:tcW w:w="1000" w:type="pct"/>
            <w:tcMar>
              <w:left w:w="28" w:type="dxa"/>
              <w:right w:w="28" w:type="dxa"/>
            </w:tcMar>
          </w:tcPr>
          <w:p w:rsidR="00E63A6B" w:rsidRPr="00BF1632" w:rsidRDefault="00E63A6B" w:rsidP="00BB5B72">
            <w:pPr>
              <w:pStyle w:val="TableText"/>
            </w:pPr>
          </w:p>
        </w:tc>
        <w:tc>
          <w:tcPr>
            <w:tcW w:w="1000" w:type="pct"/>
            <w:tcMar>
              <w:left w:w="28" w:type="dxa"/>
              <w:right w:w="28" w:type="dxa"/>
            </w:tcMar>
          </w:tcPr>
          <w:p w:rsidR="00E63A6B" w:rsidRPr="00BF1632" w:rsidRDefault="00E63A6B" w:rsidP="00BB5B72">
            <w:pPr>
              <w:pStyle w:val="TableText"/>
              <w:rPr>
                <w:b/>
              </w:rPr>
            </w:pPr>
            <w:r w:rsidRPr="00BF1632">
              <w:rPr>
                <w:b/>
              </w:rPr>
              <w:t>Scenario 1</w:t>
            </w:r>
          </w:p>
        </w:tc>
        <w:tc>
          <w:tcPr>
            <w:tcW w:w="1000" w:type="pct"/>
            <w:tcMar>
              <w:left w:w="28" w:type="dxa"/>
              <w:right w:w="28" w:type="dxa"/>
            </w:tcMar>
          </w:tcPr>
          <w:p w:rsidR="00E63A6B" w:rsidRPr="00BF1632" w:rsidRDefault="00E63A6B" w:rsidP="00BB5B72">
            <w:pPr>
              <w:pStyle w:val="TableText"/>
              <w:rPr>
                <w:b/>
              </w:rPr>
            </w:pPr>
            <w:r w:rsidRPr="00BF1632">
              <w:rPr>
                <w:b/>
              </w:rPr>
              <w:t>Scenario 2</w:t>
            </w:r>
          </w:p>
        </w:tc>
        <w:tc>
          <w:tcPr>
            <w:tcW w:w="1000" w:type="pct"/>
            <w:tcMar>
              <w:left w:w="28" w:type="dxa"/>
              <w:right w:w="28" w:type="dxa"/>
            </w:tcMar>
          </w:tcPr>
          <w:p w:rsidR="00E63A6B" w:rsidRPr="00BF1632" w:rsidRDefault="00E63A6B" w:rsidP="00BB5B72">
            <w:pPr>
              <w:pStyle w:val="TableText"/>
              <w:rPr>
                <w:b/>
              </w:rPr>
            </w:pPr>
            <w:r w:rsidRPr="00BF1632">
              <w:rPr>
                <w:b/>
              </w:rPr>
              <w:t>Scenario 3</w:t>
            </w:r>
          </w:p>
        </w:tc>
        <w:tc>
          <w:tcPr>
            <w:tcW w:w="1000" w:type="pct"/>
            <w:tcMar>
              <w:left w:w="28" w:type="dxa"/>
              <w:right w:w="28" w:type="dxa"/>
            </w:tcMar>
          </w:tcPr>
          <w:p w:rsidR="00E63A6B" w:rsidRPr="00BF1632" w:rsidRDefault="00E63A6B" w:rsidP="00BB5B72">
            <w:pPr>
              <w:pStyle w:val="TableText"/>
              <w:rPr>
                <w:b/>
              </w:rPr>
            </w:pPr>
            <w:r w:rsidRPr="00BF1632">
              <w:rPr>
                <w:b/>
              </w:rPr>
              <w:t>Scenario 4</w:t>
            </w:r>
          </w:p>
        </w:tc>
      </w:tr>
      <w:tr w:rsidR="00E63A6B" w:rsidRPr="00BF1632" w:rsidTr="00163FD8">
        <w:tc>
          <w:tcPr>
            <w:tcW w:w="1000" w:type="pct"/>
            <w:tcMar>
              <w:left w:w="28" w:type="dxa"/>
              <w:right w:w="28" w:type="dxa"/>
            </w:tcMar>
          </w:tcPr>
          <w:p w:rsidR="00E63A6B" w:rsidRPr="00BF1632" w:rsidRDefault="00E63A6B" w:rsidP="00BB5B72">
            <w:pPr>
              <w:pStyle w:val="TableText"/>
            </w:pPr>
            <w:r w:rsidRPr="00BF1632">
              <w:t>OS convergence</w:t>
            </w:r>
          </w:p>
        </w:tc>
        <w:tc>
          <w:tcPr>
            <w:tcW w:w="1000" w:type="pct"/>
            <w:tcMar>
              <w:left w:w="28" w:type="dxa"/>
              <w:right w:w="28" w:type="dxa"/>
            </w:tcMar>
          </w:tcPr>
          <w:p w:rsidR="00E63A6B" w:rsidRPr="00BF1632" w:rsidRDefault="00E63A6B" w:rsidP="00BB5B72">
            <w:pPr>
              <w:pStyle w:val="TableText"/>
            </w:pPr>
            <w:r w:rsidRPr="00BF1632">
              <w:t>No, lifetime = 17 years</w:t>
            </w:r>
          </w:p>
        </w:tc>
        <w:tc>
          <w:tcPr>
            <w:tcW w:w="1000" w:type="pct"/>
            <w:tcMar>
              <w:left w:w="28" w:type="dxa"/>
              <w:right w:w="28" w:type="dxa"/>
            </w:tcMar>
          </w:tcPr>
          <w:p w:rsidR="00E63A6B" w:rsidRPr="00BF1632" w:rsidRDefault="00E63A6B" w:rsidP="00BB5B72">
            <w:pPr>
              <w:pStyle w:val="TableText"/>
            </w:pPr>
            <w:r w:rsidRPr="00BF1632">
              <w:t>Yes, at 10 years</w:t>
            </w:r>
          </w:p>
        </w:tc>
        <w:tc>
          <w:tcPr>
            <w:tcW w:w="1000" w:type="pct"/>
            <w:tcMar>
              <w:left w:w="28" w:type="dxa"/>
              <w:right w:w="28" w:type="dxa"/>
            </w:tcMar>
          </w:tcPr>
          <w:p w:rsidR="00E63A6B" w:rsidRPr="00BF1632" w:rsidRDefault="00E63A6B" w:rsidP="00BB5B72">
            <w:pPr>
              <w:pStyle w:val="TableText"/>
            </w:pPr>
            <w:r w:rsidRPr="00BF1632">
              <w:t>No, lifetime  = 17 years</w:t>
            </w:r>
          </w:p>
        </w:tc>
        <w:tc>
          <w:tcPr>
            <w:tcW w:w="1000" w:type="pct"/>
            <w:tcMar>
              <w:left w:w="28" w:type="dxa"/>
              <w:right w:w="28" w:type="dxa"/>
            </w:tcMar>
          </w:tcPr>
          <w:p w:rsidR="00E63A6B" w:rsidRPr="00BF1632" w:rsidRDefault="00E63A6B" w:rsidP="00BB5B72">
            <w:pPr>
              <w:pStyle w:val="TableText"/>
            </w:pPr>
            <w:r w:rsidRPr="00BF1632">
              <w:t>Yes, at 10 years</w:t>
            </w:r>
          </w:p>
        </w:tc>
      </w:tr>
      <w:tr w:rsidR="00E63A6B" w:rsidRPr="00BF1632" w:rsidTr="00163FD8">
        <w:tc>
          <w:tcPr>
            <w:tcW w:w="1000" w:type="pct"/>
            <w:tcMar>
              <w:left w:w="28" w:type="dxa"/>
              <w:right w:w="28" w:type="dxa"/>
            </w:tcMar>
          </w:tcPr>
          <w:p w:rsidR="00E63A6B" w:rsidRPr="00BF1632" w:rsidRDefault="00E63A6B" w:rsidP="00BB5B72">
            <w:pPr>
              <w:pStyle w:val="TableText"/>
            </w:pPr>
            <w:r w:rsidRPr="00BF1632">
              <w:t>OS adjustment due to comparator switching</w:t>
            </w:r>
          </w:p>
        </w:tc>
        <w:tc>
          <w:tcPr>
            <w:tcW w:w="1000" w:type="pct"/>
            <w:tcMar>
              <w:left w:w="28" w:type="dxa"/>
              <w:right w:w="28" w:type="dxa"/>
            </w:tcMar>
          </w:tcPr>
          <w:p w:rsidR="00E63A6B" w:rsidRPr="00BF1632" w:rsidRDefault="00E63A6B" w:rsidP="00BB5B72">
            <w:pPr>
              <w:pStyle w:val="TableText"/>
            </w:pPr>
            <w:r w:rsidRPr="00BF1632">
              <w:t>Yes, RPSFT method</w:t>
            </w:r>
          </w:p>
        </w:tc>
        <w:tc>
          <w:tcPr>
            <w:tcW w:w="1000" w:type="pct"/>
            <w:tcMar>
              <w:left w:w="28" w:type="dxa"/>
              <w:right w:w="28" w:type="dxa"/>
            </w:tcMar>
          </w:tcPr>
          <w:p w:rsidR="00E63A6B" w:rsidRPr="00BF1632" w:rsidRDefault="00E63A6B" w:rsidP="00BB5B72">
            <w:pPr>
              <w:pStyle w:val="TableText"/>
            </w:pPr>
            <w:r w:rsidRPr="00BF1632">
              <w:t>Yes, RPSFT method</w:t>
            </w:r>
          </w:p>
        </w:tc>
        <w:tc>
          <w:tcPr>
            <w:tcW w:w="1000" w:type="pct"/>
            <w:tcMar>
              <w:left w:w="28" w:type="dxa"/>
              <w:right w:w="28" w:type="dxa"/>
            </w:tcMar>
          </w:tcPr>
          <w:p w:rsidR="00E63A6B" w:rsidRPr="00BF1632" w:rsidRDefault="00E63A6B" w:rsidP="00BB5B72">
            <w:pPr>
              <w:pStyle w:val="TableText"/>
            </w:pPr>
            <w:r w:rsidRPr="00BF1632">
              <w:t>No, ITT population</w:t>
            </w:r>
          </w:p>
        </w:tc>
        <w:tc>
          <w:tcPr>
            <w:tcW w:w="1000" w:type="pct"/>
            <w:tcMar>
              <w:left w:w="28" w:type="dxa"/>
              <w:right w:w="28" w:type="dxa"/>
            </w:tcMar>
          </w:tcPr>
          <w:p w:rsidR="00E63A6B" w:rsidRPr="00BF1632" w:rsidRDefault="00E63A6B" w:rsidP="00BB5B72">
            <w:pPr>
              <w:pStyle w:val="TableText"/>
            </w:pPr>
            <w:r w:rsidRPr="00BF1632">
              <w:t>No, ITT population</w:t>
            </w:r>
          </w:p>
        </w:tc>
      </w:tr>
    </w:tbl>
    <w:p w:rsidR="00E63A6B" w:rsidRPr="00BF1632" w:rsidRDefault="00E63A6B" w:rsidP="00E63A6B">
      <w:pPr>
        <w:pStyle w:val="TableFooter"/>
      </w:pPr>
      <w:r w:rsidRPr="00BF1632">
        <w:t>Source: Table 3.3, p12, Section 3 of the resubmission</w:t>
      </w:r>
    </w:p>
    <w:p w:rsidR="00E63A6B" w:rsidRPr="00BF1632" w:rsidRDefault="00E63A6B" w:rsidP="00E63A6B">
      <w:pPr>
        <w:pStyle w:val="TableFooter"/>
      </w:pPr>
      <w:r w:rsidRPr="00BF1632">
        <w:t>ICER = incremental cost-effectiveness ratio; ITT = intention-to-treat; OS = overall survival; RPSFT = rank preserving structural failure time</w:t>
      </w:r>
    </w:p>
    <w:p w:rsidR="00955A7E" w:rsidRPr="00BF1632" w:rsidRDefault="00955A7E" w:rsidP="000D6801">
      <w:pPr>
        <w:pStyle w:val="ListParagraph"/>
        <w:numPr>
          <w:ilvl w:val="1"/>
          <w:numId w:val="1"/>
        </w:numPr>
        <w:spacing w:before="0" w:after="120"/>
        <w:jc w:val="both"/>
        <w:rPr>
          <w:szCs w:val="24"/>
        </w:rPr>
      </w:pPr>
      <w:r w:rsidRPr="00BF1632">
        <w:rPr>
          <w:szCs w:val="24"/>
        </w:rPr>
        <w:t>The ESC considered that Scenario 4 was most consistent with the PBAC’s recommendations from November 2016.</w:t>
      </w:r>
    </w:p>
    <w:p w:rsidR="00E63A6B" w:rsidRPr="00BF1632" w:rsidRDefault="00E63A6B" w:rsidP="000D6801">
      <w:pPr>
        <w:pStyle w:val="ListParagraph"/>
        <w:numPr>
          <w:ilvl w:val="1"/>
          <w:numId w:val="1"/>
        </w:numPr>
        <w:spacing w:before="0" w:after="120"/>
        <w:jc w:val="both"/>
        <w:rPr>
          <w:color w:val="4472C4" w:themeColor="accent5"/>
          <w:szCs w:val="24"/>
        </w:rPr>
      </w:pPr>
      <w:r w:rsidRPr="00BF1632">
        <w:rPr>
          <w:szCs w:val="24"/>
        </w:rPr>
        <w:t>Figure 1 presents the progression free survival transitions used in the economic model.</w:t>
      </w:r>
    </w:p>
    <w:p w:rsidR="00B538CF" w:rsidRPr="00BF1632" w:rsidRDefault="00B538CF" w:rsidP="00B538CF">
      <w:pPr>
        <w:pStyle w:val="TableHeading1"/>
      </w:pPr>
      <w:r w:rsidRPr="00BF1632">
        <w:t>Figure 1: PFS transitions used in the economic model – Kaplan-Meier estimates from MCL-3001 and exponential extrapolation</w:t>
      </w:r>
    </w:p>
    <w:p w:rsidR="00B538CF" w:rsidRPr="00BF1632" w:rsidRDefault="00F36A91" w:rsidP="00B538CF">
      <w:pPr>
        <w:pStyle w:val="TableFooter"/>
        <w:spacing w:after="0"/>
      </w:pPr>
      <w:r>
        <w:rPr>
          <w:noProof/>
          <w:snapToGrid/>
          <w:lang w:eastAsia="en-AU"/>
        </w:rPr>
        <w:drawing>
          <wp:inline distT="0" distB="0" distL="0" distR="0">
            <wp:extent cx="5715000" cy="32029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3202940"/>
                    </a:xfrm>
                    <a:prstGeom prst="rect">
                      <a:avLst/>
                    </a:prstGeom>
                  </pic:spPr>
                </pic:pic>
              </a:graphicData>
            </a:graphic>
          </wp:inline>
        </w:drawing>
      </w:r>
    </w:p>
    <w:p w:rsidR="00B538CF" w:rsidRPr="00BF1632" w:rsidRDefault="00B538CF" w:rsidP="00B538CF">
      <w:pPr>
        <w:pStyle w:val="TableFooter"/>
      </w:pPr>
      <w:r w:rsidRPr="00BF1632">
        <w:t>Source: Figure 3.8, p26, Section 3 of the resubmission</w:t>
      </w:r>
    </w:p>
    <w:p w:rsidR="00B538CF" w:rsidRPr="00BF1632" w:rsidRDefault="00B538CF" w:rsidP="00B538CF">
      <w:pPr>
        <w:pStyle w:val="TableFooter"/>
      </w:pPr>
      <w:r w:rsidRPr="00BF1632">
        <w:t xml:space="preserve">COMP = comparator (R-CHOP); FU = follow-up; IBR = ibrutinib; KM = Kaplan-Meier; PFS = progression free survival; R-CHOP = rituximab, cyclophosphamide, doxorubicin, vincristine, prednisone </w:t>
      </w:r>
    </w:p>
    <w:p w:rsidR="00E63A6B" w:rsidRPr="00BF1632" w:rsidRDefault="00B538CF" w:rsidP="000D6801">
      <w:pPr>
        <w:pStyle w:val="ListParagraph"/>
        <w:numPr>
          <w:ilvl w:val="1"/>
          <w:numId w:val="1"/>
        </w:numPr>
        <w:spacing w:before="0" w:after="120"/>
        <w:ind w:left="578" w:hanging="578"/>
        <w:jc w:val="both"/>
      </w:pPr>
      <w:r w:rsidRPr="00BF1632">
        <w:t>Figure 2 presents the overall survival transitions used in the economic model. The left panel shows the overall survival curves adjusted for crossover in the temsirolimus/R-CHOP arm using the RPSFT method for the lifetime horizon (17 years) and converging at 10 years (Scenarios 1 and 2). The right panel shows the unadjusted overall survival curves for the lifetime horizon (17 years) and converging at 10 years (Scenarios 3 and 4).</w:t>
      </w:r>
    </w:p>
    <w:p w:rsidR="00B538CF" w:rsidRPr="00BF1632" w:rsidRDefault="00B538CF" w:rsidP="00B538CF">
      <w:pPr>
        <w:pStyle w:val="TableHeading1"/>
      </w:pPr>
      <w:r w:rsidRPr="00BF1632">
        <w:t>Figure 2: OS curves with and without convergence at 10 years: Left panel - RPSFT method adjusted model (Scenarios 1 and 2); and Right panel - the ITT population model (Scenarios 3 and 4)</w:t>
      </w:r>
    </w:p>
    <w:p w:rsidR="00B538CF" w:rsidRPr="00F36A91" w:rsidRDefault="00F36A91" w:rsidP="00B538CF">
      <w:pPr>
        <w:pStyle w:val="TableHeading1"/>
        <w:rPr>
          <w:highlight w:val="black"/>
        </w:rPr>
      </w:pPr>
      <w:r>
        <w:rPr>
          <w:noProof/>
          <w:lang w:eastAsia="en-AU"/>
        </w:rPr>
        <w:drawing>
          <wp:inline distT="0" distB="0" distL="0" distR="0">
            <wp:extent cx="2965450" cy="2510790"/>
            <wp:effectExtent l="0" t="0" r="635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65450" cy="2510790"/>
                    </a:xfrm>
                    <a:prstGeom prst="rect">
                      <a:avLst/>
                    </a:prstGeom>
                  </pic:spPr>
                </pic:pic>
              </a:graphicData>
            </a:graphic>
          </wp:inline>
        </w:drawing>
      </w:r>
      <w:r>
        <w:rPr>
          <w:noProof/>
          <w:lang w:eastAsia="en-AU"/>
        </w:rPr>
        <w:drawing>
          <wp:inline distT="0" distB="0" distL="0" distR="0">
            <wp:extent cx="2684780" cy="2550160"/>
            <wp:effectExtent l="0" t="0" r="1270" b="254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84780" cy="2550160"/>
                    </a:xfrm>
                    <a:prstGeom prst="rect">
                      <a:avLst/>
                    </a:prstGeom>
                  </pic:spPr>
                </pic:pic>
              </a:graphicData>
            </a:graphic>
          </wp:inline>
        </w:drawing>
      </w:r>
    </w:p>
    <w:p w:rsidR="00B538CF" w:rsidRPr="00BF1632" w:rsidRDefault="00B538CF" w:rsidP="00B538CF">
      <w:pPr>
        <w:pStyle w:val="TableFooter"/>
      </w:pPr>
      <w:r w:rsidRPr="00BF1632">
        <w:t>Source: Figure 3.12, p35, Section 3 of the resubmission and created during the evaluation using Ibrutinib – RR MCL – Model Updated Follow-Up.xlsx Excel file</w:t>
      </w:r>
    </w:p>
    <w:p w:rsidR="00B538CF" w:rsidRPr="00BF1632" w:rsidRDefault="00B538CF" w:rsidP="00B538CF">
      <w:pPr>
        <w:pStyle w:val="TableFooter"/>
      </w:pPr>
      <w:r w:rsidRPr="00BF1632">
        <w:t>COMP = comparator (R-CHOP); FU = follow-up; IBR = ibrutinib; KM = Kaplan-Meier; OS = overall survival; R-CHOP = rituximab, cyclophosphamide, doxorubicin, vincristine, prednisone; RPSFT = rank preserving structural failure time</w:t>
      </w:r>
    </w:p>
    <w:p w:rsidR="00FC44AB" w:rsidRPr="00BF1632" w:rsidRDefault="00EC76CB" w:rsidP="000D6801">
      <w:pPr>
        <w:pStyle w:val="ListParagraph"/>
        <w:numPr>
          <w:ilvl w:val="1"/>
          <w:numId w:val="1"/>
        </w:numPr>
        <w:spacing w:before="0" w:after="120"/>
        <w:ind w:left="578" w:hanging="578"/>
        <w:jc w:val="both"/>
      </w:pPr>
      <w:r w:rsidRPr="00BF1632">
        <w:t>The ESC noted that the ibrutinib treatment effect would be overestimated when using the RPSFT adjustment method if the survival of patients treated with ibrutinib following temsirolimus (i.e. those who crossed over) was shorter than the survival for patients randomised to ibrutinib</w:t>
      </w:r>
      <w:r w:rsidR="00D14320" w:rsidRPr="00BF1632">
        <w:t xml:space="preserve"> (see paragraph 6.14)</w:t>
      </w:r>
      <w:r w:rsidRPr="00BF1632">
        <w:t>. The ESC noted that</w:t>
      </w:r>
      <w:r w:rsidR="00481B42" w:rsidRPr="00BF1632">
        <w:t xml:space="preserve"> </w:t>
      </w:r>
      <w:r w:rsidR="00C247CB" w:rsidRPr="00BF1632">
        <w:t xml:space="preserve">the </w:t>
      </w:r>
      <w:r w:rsidR="00481B42" w:rsidRPr="00BF1632">
        <w:t>I</w:t>
      </w:r>
      <w:r w:rsidRPr="00BF1632">
        <w:t>P</w:t>
      </w:r>
      <w:r w:rsidR="00481B42" w:rsidRPr="00BF1632">
        <w:t>C</w:t>
      </w:r>
      <w:r w:rsidRPr="00BF1632">
        <w:t>W analysis produced the most conservative adjusted estimate of treatment effect.</w:t>
      </w:r>
      <w:r w:rsidR="00481B42" w:rsidRPr="00BF1632">
        <w:t xml:space="preserve"> Use of the IPCW adjusted estimates in the economic model rather than the RPSFT estimates increased the ICER to </w:t>
      </w:r>
      <w:r w:rsidR="001E240F">
        <w:t>$75,000 - $105,000</w:t>
      </w:r>
      <w:r w:rsidR="00481B42" w:rsidRPr="00BF1632">
        <w:t xml:space="preserve"> per QALY gained for scenario 1 (17 year time horizon without convergence) and to </w:t>
      </w:r>
      <w:r w:rsidR="001E240F">
        <w:t>$105,000 - $200,000</w:t>
      </w:r>
      <w:r w:rsidR="00481B42" w:rsidRPr="00BF1632">
        <w:t xml:space="preserve"> per QALY gained for scenario 2 (convergence at 10 years).</w:t>
      </w:r>
    </w:p>
    <w:p w:rsidR="00FC44AB" w:rsidRPr="00BF1632" w:rsidRDefault="00BB4C63" w:rsidP="000D6801">
      <w:pPr>
        <w:pStyle w:val="ListParagraph"/>
        <w:numPr>
          <w:ilvl w:val="1"/>
          <w:numId w:val="1"/>
        </w:numPr>
        <w:spacing w:before="0" w:after="120"/>
        <w:ind w:left="578" w:hanging="578"/>
        <w:jc w:val="both"/>
      </w:pPr>
      <w:r w:rsidRPr="00BF1632">
        <w:t>The ESC noted for the scenarios where convergence was not applied that a</w:t>
      </w:r>
      <w:r w:rsidR="00FC44AB" w:rsidRPr="00BF1632">
        <w:t xml:space="preserve"> </w:t>
      </w:r>
      <w:r w:rsidR="002E31A4">
        <w:t>persistent</w:t>
      </w:r>
      <w:r w:rsidR="00FC44AB" w:rsidRPr="00BF1632">
        <w:t xml:space="preserve"> treatmen</w:t>
      </w:r>
      <w:r w:rsidR="00F44D9D" w:rsidRPr="00BF1632">
        <w:t xml:space="preserve">t effect </w:t>
      </w:r>
      <w:r w:rsidRPr="00BF1632">
        <w:t>wa</w:t>
      </w:r>
      <w:r w:rsidR="00F44D9D" w:rsidRPr="00BF1632">
        <w:t xml:space="preserve">s assumed over time. </w:t>
      </w:r>
      <w:r w:rsidR="006F054F" w:rsidRPr="00BF1632">
        <w:t xml:space="preserve">The </w:t>
      </w:r>
      <w:r w:rsidR="00F44D9D" w:rsidRPr="00BF1632">
        <w:t xml:space="preserve">ESC </w:t>
      </w:r>
      <w:r w:rsidRPr="00BF1632">
        <w:t>considered this may not be appropriate, especially for the period when patients are no longer treated with ibrutinib</w:t>
      </w:r>
      <w:r w:rsidR="00FC44AB" w:rsidRPr="00BF1632">
        <w:t>.</w:t>
      </w:r>
    </w:p>
    <w:p w:rsidR="007451F5" w:rsidRPr="00BF1632" w:rsidRDefault="006F054F" w:rsidP="000D6801">
      <w:pPr>
        <w:pStyle w:val="ListParagraph"/>
        <w:numPr>
          <w:ilvl w:val="1"/>
          <w:numId w:val="1"/>
        </w:numPr>
        <w:spacing w:before="0" w:after="120"/>
        <w:ind w:left="578" w:hanging="578"/>
        <w:jc w:val="both"/>
      </w:pPr>
      <w:r w:rsidRPr="00BF1632">
        <w:t xml:space="preserve">The </w:t>
      </w:r>
      <w:r w:rsidR="00F44D9D" w:rsidRPr="00BF1632">
        <w:t xml:space="preserve">ESC </w:t>
      </w:r>
      <w:r w:rsidR="00BB4C63" w:rsidRPr="00BF1632">
        <w:t xml:space="preserve">noted both PFS and OS were extrapolated by fitting </w:t>
      </w:r>
      <w:r w:rsidR="00FC44AB" w:rsidRPr="00BF1632">
        <w:t>exponential</w:t>
      </w:r>
      <w:r w:rsidR="00BB4C63" w:rsidRPr="00BF1632">
        <w:t xml:space="preserve"> functions to the trial data</w:t>
      </w:r>
      <w:r w:rsidR="00683689" w:rsidRPr="00BF1632">
        <w:t xml:space="preserve"> </w:t>
      </w:r>
      <w:r w:rsidR="00FC44AB" w:rsidRPr="00BF1632">
        <w:t xml:space="preserve">despite </w:t>
      </w:r>
      <w:r w:rsidR="00F44D9D" w:rsidRPr="00BF1632">
        <w:t xml:space="preserve">other </w:t>
      </w:r>
      <w:r w:rsidR="00683689" w:rsidRPr="00BF1632">
        <w:t xml:space="preserve">functions </w:t>
      </w:r>
      <w:r w:rsidR="00F44D9D" w:rsidRPr="00BF1632">
        <w:t>having lower AICs</w:t>
      </w:r>
      <w:r w:rsidR="009B3DC4">
        <w:t>.</w:t>
      </w:r>
      <w:r w:rsidR="00F44D9D" w:rsidRPr="00BF1632">
        <w:t xml:space="preserve"> </w:t>
      </w:r>
      <w:r w:rsidRPr="00BF1632">
        <w:rPr>
          <w:snapToGrid w:val="0"/>
        </w:rPr>
        <w:t xml:space="preserve">The </w:t>
      </w:r>
      <w:r w:rsidR="00EE31F2" w:rsidRPr="00BF1632">
        <w:rPr>
          <w:snapToGrid w:val="0"/>
        </w:rPr>
        <w:t>ESC noted that t</w:t>
      </w:r>
      <w:r w:rsidR="00645206" w:rsidRPr="00BF1632">
        <w:rPr>
          <w:snapToGrid w:val="0"/>
        </w:rPr>
        <w:t>he log</w:t>
      </w:r>
      <w:r w:rsidR="00FA5D95" w:rsidRPr="00BF1632">
        <w:rPr>
          <w:snapToGrid w:val="0"/>
        </w:rPr>
        <w:t>-</w:t>
      </w:r>
      <w:r w:rsidR="00645206" w:rsidRPr="00BF1632">
        <w:rPr>
          <w:snapToGrid w:val="0"/>
        </w:rPr>
        <w:t xml:space="preserve">normal model has the lowest AIC for both the ITT and RPSFT analyses. </w:t>
      </w:r>
      <w:r w:rsidR="009B3DC4">
        <w:rPr>
          <w:snapToGrid w:val="0"/>
        </w:rPr>
        <w:t xml:space="preserve">The </w:t>
      </w:r>
      <w:r w:rsidR="006E0761">
        <w:rPr>
          <w:snapToGrid w:val="0"/>
        </w:rPr>
        <w:t>p</w:t>
      </w:r>
      <w:r w:rsidR="009B3DC4">
        <w:rPr>
          <w:snapToGrid w:val="0"/>
        </w:rPr>
        <w:t xml:space="preserve">re-PBAC </w:t>
      </w:r>
      <w:r w:rsidR="006E0761">
        <w:rPr>
          <w:snapToGrid w:val="0"/>
        </w:rPr>
        <w:t>r</w:t>
      </w:r>
      <w:r w:rsidR="009B3DC4">
        <w:rPr>
          <w:snapToGrid w:val="0"/>
        </w:rPr>
        <w:t>esponse</w:t>
      </w:r>
      <w:r w:rsidR="006E0761">
        <w:rPr>
          <w:snapToGrid w:val="0"/>
        </w:rPr>
        <w:t xml:space="preserve"> (p3)</w:t>
      </w:r>
      <w:r w:rsidR="009B3DC4">
        <w:rPr>
          <w:snapToGrid w:val="0"/>
        </w:rPr>
        <w:t xml:space="preserve"> stated that the exponential function was chosen because it had the leanest tail and was the most conservative function for Scenario 4. </w:t>
      </w:r>
    </w:p>
    <w:p w:rsidR="00B538CF" w:rsidRPr="00BF1632" w:rsidRDefault="00B538CF" w:rsidP="000D6801">
      <w:pPr>
        <w:pStyle w:val="ListParagraph"/>
        <w:numPr>
          <w:ilvl w:val="1"/>
          <w:numId w:val="1"/>
        </w:numPr>
        <w:spacing w:before="0" w:after="120"/>
        <w:ind w:left="578" w:hanging="578"/>
        <w:jc w:val="both"/>
      </w:pPr>
      <w:r w:rsidRPr="00BF1632">
        <w:t>The key drivers of the economic model are provided below.</w:t>
      </w:r>
    </w:p>
    <w:p w:rsidR="00B538CF" w:rsidRPr="00BF1632" w:rsidRDefault="00B538CF" w:rsidP="00B538CF">
      <w:pPr>
        <w:pStyle w:val="TableHeading1"/>
      </w:pPr>
      <w:r w:rsidRPr="00BF1632">
        <w:t>Table 11: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7"/>
        <w:gridCol w:w="3856"/>
        <w:gridCol w:w="2449"/>
      </w:tblGrid>
      <w:tr w:rsidR="00B538CF" w:rsidRPr="00BF1632" w:rsidTr="002E15F5">
        <w:trPr>
          <w:tblHeader/>
        </w:trPr>
        <w:tc>
          <w:tcPr>
            <w:tcW w:w="1529" w:type="pct"/>
            <w:shd w:val="clear" w:color="auto" w:fill="auto"/>
          </w:tcPr>
          <w:p w:rsidR="00B538CF" w:rsidRPr="00BF1632" w:rsidRDefault="00B538CF" w:rsidP="00BB6D04">
            <w:pPr>
              <w:pStyle w:val="TableText"/>
              <w:rPr>
                <w:b/>
              </w:rPr>
            </w:pPr>
            <w:r w:rsidRPr="00BF1632">
              <w:rPr>
                <w:b/>
              </w:rPr>
              <w:t>Description</w:t>
            </w:r>
          </w:p>
        </w:tc>
        <w:tc>
          <w:tcPr>
            <w:tcW w:w="2123" w:type="pct"/>
            <w:shd w:val="clear" w:color="auto" w:fill="auto"/>
          </w:tcPr>
          <w:p w:rsidR="00B538CF" w:rsidRPr="00BF1632" w:rsidRDefault="00B538CF" w:rsidP="00BB6D04">
            <w:pPr>
              <w:pStyle w:val="TableText"/>
              <w:rPr>
                <w:b/>
              </w:rPr>
            </w:pPr>
            <w:r w:rsidRPr="00BF1632">
              <w:rPr>
                <w:b/>
              </w:rPr>
              <w:t>Method/Value</w:t>
            </w:r>
          </w:p>
        </w:tc>
        <w:tc>
          <w:tcPr>
            <w:tcW w:w="1348" w:type="pct"/>
            <w:shd w:val="clear" w:color="auto" w:fill="auto"/>
          </w:tcPr>
          <w:p w:rsidR="00B538CF" w:rsidRPr="00BF1632" w:rsidRDefault="00B538CF" w:rsidP="00BB6D04">
            <w:pPr>
              <w:pStyle w:val="TableText"/>
              <w:rPr>
                <w:b/>
              </w:rPr>
            </w:pPr>
            <w:r w:rsidRPr="00BF1632">
              <w:rPr>
                <w:b/>
              </w:rPr>
              <w:t>Impact</w:t>
            </w:r>
          </w:p>
        </w:tc>
      </w:tr>
      <w:tr w:rsidR="00B538CF" w:rsidRPr="00BF1632" w:rsidTr="002E15F5">
        <w:trPr>
          <w:tblHeader/>
        </w:trPr>
        <w:tc>
          <w:tcPr>
            <w:tcW w:w="1529" w:type="pct"/>
            <w:shd w:val="clear" w:color="auto" w:fill="auto"/>
          </w:tcPr>
          <w:p w:rsidR="00B538CF" w:rsidRPr="00BF1632" w:rsidRDefault="00B538CF" w:rsidP="00BB6D04">
            <w:pPr>
              <w:pStyle w:val="TableText"/>
            </w:pPr>
            <w:r w:rsidRPr="00BF1632">
              <w:t>PFS and OS in the R-CHOP arm</w:t>
            </w:r>
          </w:p>
        </w:tc>
        <w:tc>
          <w:tcPr>
            <w:tcW w:w="2123" w:type="pct"/>
            <w:shd w:val="clear" w:color="auto" w:fill="auto"/>
          </w:tcPr>
          <w:p w:rsidR="00B538CF" w:rsidRPr="00BF1632" w:rsidRDefault="00B538CF" w:rsidP="00BB6D04">
            <w:pPr>
              <w:pStyle w:val="TableText"/>
            </w:pPr>
            <w:r w:rsidRPr="00BF1632">
              <w:rPr>
                <w:lang w:val="en-US"/>
              </w:rPr>
              <w:t>Efficacy of R-CHOP was assumed to be the same as the efficacy of temsirolimus in MCL-3001</w:t>
            </w:r>
          </w:p>
        </w:tc>
        <w:tc>
          <w:tcPr>
            <w:tcW w:w="1348" w:type="pct"/>
            <w:shd w:val="clear" w:color="auto" w:fill="auto"/>
          </w:tcPr>
          <w:p w:rsidR="00B538CF" w:rsidRPr="00BF1632" w:rsidRDefault="00B538CF" w:rsidP="00EE31F2">
            <w:pPr>
              <w:pStyle w:val="TableText"/>
            </w:pPr>
            <w:r w:rsidRPr="00BF1632">
              <w:rPr>
                <w:lang w:val="en-US"/>
              </w:rPr>
              <w:t xml:space="preserve">Unknown; but likely to favour ibrutinib </w:t>
            </w:r>
          </w:p>
        </w:tc>
      </w:tr>
      <w:tr w:rsidR="00B538CF" w:rsidRPr="00BF1632" w:rsidTr="002E15F5">
        <w:trPr>
          <w:tblHeader/>
        </w:trPr>
        <w:tc>
          <w:tcPr>
            <w:tcW w:w="1529" w:type="pct"/>
            <w:shd w:val="clear" w:color="auto" w:fill="auto"/>
          </w:tcPr>
          <w:p w:rsidR="00B538CF" w:rsidRPr="00BF1632" w:rsidRDefault="00B538CF" w:rsidP="00BB6D04">
            <w:pPr>
              <w:pStyle w:val="TableText"/>
            </w:pPr>
            <w:r w:rsidRPr="00BF1632">
              <w:t>Time horizon</w:t>
            </w:r>
          </w:p>
        </w:tc>
        <w:tc>
          <w:tcPr>
            <w:tcW w:w="2123" w:type="pct"/>
            <w:shd w:val="clear" w:color="auto" w:fill="auto"/>
          </w:tcPr>
          <w:p w:rsidR="00B538CF" w:rsidRPr="00BF1632" w:rsidRDefault="00B538CF" w:rsidP="00BB6D04">
            <w:pPr>
              <w:pStyle w:val="TableText"/>
              <w:rPr>
                <w:lang w:val="en-US"/>
              </w:rPr>
            </w:pPr>
            <w:r w:rsidRPr="00BF1632">
              <w:rPr>
                <w:lang w:val="en-US"/>
              </w:rPr>
              <w:t>The time horizon was extrapolated to 17 years (compared to 15 years in the November 2016 submission) in Scenarios 1 and 2, whereas overall survival was converged at 10 years in Scenarios 3 and 4.</w:t>
            </w:r>
          </w:p>
        </w:tc>
        <w:tc>
          <w:tcPr>
            <w:tcW w:w="1348" w:type="pct"/>
            <w:shd w:val="clear" w:color="auto" w:fill="auto"/>
          </w:tcPr>
          <w:p w:rsidR="00B538CF" w:rsidRPr="00BF1632" w:rsidRDefault="00B538CF" w:rsidP="00BB6D04">
            <w:pPr>
              <w:pStyle w:val="TableText"/>
              <w:rPr>
                <w:lang w:val="en-US"/>
              </w:rPr>
            </w:pPr>
            <w:r w:rsidRPr="00BF1632">
              <w:rPr>
                <w:lang w:val="en-US"/>
              </w:rPr>
              <w:t>High; favours ibrutinib</w:t>
            </w:r>
          </w:p>
        </w:tc>
      </w:tr>
      <w:tr w:rsidR="00B538CF" w:rsidRPr="00BF1632" w:rsidTr="002E15F5">
        <w:trPr>
          <w:tblHeader/>
        </w:trPr>
        <w:tc>
          <w:tcPr>
            <w:tcW w:w="1529" w:type="pct"/>
            <w:shd w:val="clear" w:color="auto" w:fill="auto"/>
          </w:tcPr>
          <w:p w:rsidR="00B538CF" w:rsidRPr="00BF1632" w:rsidRDefault="00B538CF" w:rsidP="00BB6D04">
            <w:pPr>
              <w:pStyle w:val="TableText"/>
            </w:pPr>
            <w:r w:rsidRPr="00BF1632">
              <w:t>Adjustment for crossover and OS gains</w:t>
            </w:r>
          </w:p>
        </w:tc>
        <w:tc>
          <w:tcPr>
            <w:tcW w:w="2123" w:type="pct"/>
            <w:shd w:val="clear" w:color="auto" w:fill="auto"/>
          </w:tcPr>
          <w:p w:rsidR="00B538CF" w:rsidRPr="00BF1632" w:rsidRDefault="00B538CF" w:rsidP="00BB6D04">
            <w:pPr>
              <w:pStyle w:val="TableText"/>
              <w:rPr>
                <w:lang w:val="en-US"/>
              </w:rPr>
            </w:pPr>
            <w:r w:rsidRPr="00BF1632">
              <w:rPr>
                <w:lang w:val="en-US"/>
              </w:rPr>
              <w:t xml:space="preserve">The difference in overall survival in the clinical trial </w:t>
            </w:r>
            <w:r w:rsidR="00F36A91">
              <w:rPr>
                <w:noProof/>
                <w:color w:val="000000"/>
                <w:highlight w:val="black"/>
                <w:lang w:val="en-US"/>
              </w:rPr>
              <w:t>''''''''' ''''''' '''''''''''''''''''''''' '''''''''''''''''''''''''</w:t>
            </w:r>
            <w:r w:rsidRPr="00BF1632">
              <w:rPr>
                <w:lang w:val="en-US"/>
              </w:rPr>
              <w:t xml:space="preserve">. The RPSFT method was used to adjust for crossover in the temsirolimus arm. This resulted in </w:t>
            </w:r>
            <w:r w:rsidR="00F36A91">
              <w:rPr>
                <w:noProof/>
                <w:color w:val="000000"/>
                <w:highlight w:val="black"/>
                <w:lang w:val="en-US"/>
              </w:rPr>
              <w:t>'''''''''''''''''''''''''''' ''''''''''''''''''''''' ''''''' ''''''''''''' ''''''' ''''''''''''''''''''</w:t>
            </w:r>
            <w:r w:rsidRPr="00BF1632">
              <w:rPr>
                <w:lang w:val="en-US"/>
              </w:rPr>
              <w:t>.</w:t>
            </w:r>
          </w:p>
        </w:tc>
        <w:tc>
          <w:tcPr>
            <w:tcW w:w="1348" w:type="pct"/>
            <w:shd w:val="clear" w:color="auto" w:fill="auto"/>
          </w:tcPr>
          <w:p w:rsidR="00B538CF" w:rsidRPr="00BF1632" w:rsidRDefault="00B538CF" w:rsidP="00BB6D04">
            <w:pPr>
              <w:pStyle w:val="TableText"/>
              <w:rPr>
                <w:lang w:val="en-US"/>
              </w:rPr>
            </w:pPr>
            <w:r w:rsidRPr="00BF1632">
              <w:rPr>
                <w:lang w:val="en-US"/>
              </w:rPr>
              <w:t>High; favours ibrutinib</w:t>
            </w:r>
          </w:p>
        </w:tc>
      </w:tr>
      <w:tr w:rsidR="00B538CF" w:rsidRPr="00BF1632" w:rsidTr="002E15F5">
        <w:tc>
          <w:tcPr>
            <w:tcW w:w="1529" w:type="pct"/>
            <w:shd w:val="clear" w:color="auto" w:fill="auto"/>
          </w:tcPr>
          <w:p w:rsidR="00B538CF" w:rsidRPr="00BF1632" w:rsidRDefault="00B538CF" w:rsidP="00BB6D04">
            <w:pPr>
              <w:pStyle w:val="TableText"/>
            </w:pPr>
            <w:r w:rsidRPr="00BF1632">
              <w:t>PFS utilities</w:t>
            </w:r>
          </w:p>
        </w:tc>
        <w:tc>
          <w:tcPr>
            <w:tcW w:w="2123" w:type="pct"/>
            <w:shd w:val="clear" w:color="auto" w:fill="auto"/>
          </w:tcPr>
          <w:p w:rsidR="00B538CF" w:rsidRPr="00BF1632" w:rsidRDefault="00B538CF" w:rsidP="00BB6D04">
            <w:pPr>
              <w:pStyle w:val="TableText"/>
            </w:pPr>
            <w:r w:rsidRPr="00BF1632">
              <w:t>Higher utilities were applied to ibrutinib patients (0.790) than R-CHOP patients (0.733) in the progression free health state</w:t>
            </w:r>
          </w:p>
        </w:tc>
        <w:tc>
          <w:tcPr>
            <w:tcW w:w="1348" w:type="pct"/>
            <w:shd w:val="clear" w:color="auto" w:fill="auto"/>
          </w:tcPr>
          <w:p w:rsidR="00B538CF" w:rsidRPr="00BF1632" w:rsidRDefault="00B538CF" w:rsidP="00BB6D04">
            <w:pPr>
              <w:pStyle w:val="TableText"/>
            </w:pPr>
            <w:r w:rsidRPr="00BF1632">
              <w:rPr>
                <w:lang w:val="en-US"/>
              </w:rPr>
              <w:t>High; favours ibrutinib</w:t>
            </w:r>
          </w:p>
        </w:tc>
      </w:tr>
      <w:tr w:rsidR="00B538CF" w:rsidRPr="00BF1632" w:rsidTr="002E15F5">
        <w:tc>
          <w:tcPr>
            <w:tcW w:w="1529" w:type="pct"/>
            <w:shd w:val="clear" w:color="auto" w:fill="auto"/>
          </w:tcPr>
          <w:p w:rsidR="00B538CF" w:rsidRPr="00BF1632" w:rsidRDefault="00B538CF" w:rsidP="00BB6D04">
            <w:pPr>
              <w:pStyle w:val="TableText"/>
            </w:pPr>
            <w:r w:rsidRPr="00BF1632">
              <w:rPr>
                <w:lang w:val="en-US"/>
              </w:rPr>
              <w:t>Disutilities due to adverse events</w:t>
            </w:r>
          </w:p>
        </w:tc>
        <w:tc>
          <w:tcPr>
            <w:tcW w:w="2123" w:type="pct"/>
            <w:shd w:val="clear" w:color="auto" w:fill="auto"/>
          </w:tcPr>
          <w:p w:rsidR="00B538CF" w:rsidRPr="00BF1632" w:rsidRDefault="00B538CF" w:rsidP="00BB6D04">
            <w:pPr>
              <w:pStyle w:val="TableText"/>
            </w:pPr>
            <w:r w:rsidRPr="00BF1632">
              <w:rPr>
                <w:lang w:val="en-US"/>
              </w:rPr>
              <w:t>Disutilities associated with adverse events were applied to R-CHOP patients only</w:t>
            </w:r>
          </w:p>
        </w:tc>
        <w:tc>
          <w:tcPr>
            <w:tcW w:w="1348" w:type="pct"/>
            <w:shd w:val="clear" w:color="auto" w:fill="auto"/>
          </w:tcPr>
          <w:p w:rsidR="00B538CF" w:rsidRPr="00BF1632" w:rsidRDefault="00B538CF" w:rsidP="00BB6D04">
            <w:pPr>
              <w:pStyle w:val="TableText"/>
            </w:pPr>
            <w:r w:rsidRPr="00BF1632">
              <w:rPr>
                <w:lang w:val="en-US"/>
              </w:rPr>
              <w:t>Moderate; favours ibrutinib</w:t>
            </w:r>
          </w:p>
        </w:tc>
      </w:tr>
    </w:tbl>
    <w:p w:rsidR="00B538CF" w:rsidRPr="00BF1632" w:rsidRDefault="00B538CF" w:rsidP="00B538CF">
      <w:pPr>
        <w:pStyle w:val="TableFooter"/>
      </w:pPr>
      <w:r w:rsidRPr="00BF1632">
        <w:t>Source: Section 3 of the resubmission</w:t>
      </w:r>
    </w:p>
    <w:p w:rsidR="00B538CF" w:rsidRPr="00BF1632" w:rsidRDefault="00B538CF" w:rsidP="00B538CF">
      <w:pPr>
        <w:pStyle w:val="TableFooter"/>
        <w:spacing w:after="0"/>
      </w:pPr>
      <w:r w:rsidRPr="00BF1632">
        <w:t>OS = overall survival; PFS = progression free survival; R-CHOP = rituximab, cyclophosphamide, doxorubicin, vincristine, prednisone; RPSFT = rank preserving structural failure time</w:t>
      </w:r>
    </w:p>
    <w:p w:rsidR="002058E6" w:rsidRPr="00BF1632" w:rsidRDefault="002058E6" w:rsidP="00B538CF">
      <w:pPr>
        <w:pStyle w:val="TableFooter"/>
        <w:spacing w:after="0"/>
      </w:pPr>
    </w:p>
    <w:p w:rsidR="00B538CF" w:rsidRPr="00BF1632" w:rsidRDefault="00B538CF" w:rsidP="000D6801">
      <w:pPr>
        <w:pStyle w:val="ListParagraph"/>
        <w:numPr>
          <w:ilvl w:val="1"/>
          <w:numId w:val="1"/>
        </w:numPr>
        <w:spacing w:before="0" w:after="120"/>
        <w:ind w:left="578" w:hanging="578"/>
        <w:jc w:val="both"/>
        <w:rPr>
          <w:color w:val="4472C4" w:themeColor="accent5"/>
        </w:rPr>
      </w:pPr>
      <w:r w:rsidRPr="00BF1632">
        <w:t xml:space="preserve">The PBAC </w:t>
      </w:r>
      <w:r w:rsidR="00ED090B">
        <w:t xml:space="preserve">previously </w:t>
      </w:r>
      <w:r w:rsidRPr="00BF1632">
        <w:t>considered that the 15 year time horizon presented in the November 2016 submission was inconsistent with the poor prognosis of patients with relapsed or refractory mantle cell lymphoma of approximately two years (paragraph 7.9 November 2016 PSD). The resubmission extended the time horizon to 17 years in Scenarios 1 and 2 based on the final analysis results from MCL-3001, which was optimistic. Convergence of overall survival at 10 years in Scenarios 3 and 4 provided more conservative analyses.</w:t>
      </w:r>
    </w:p>
    <w:p w:rsidR="00B538CF" w:rsidRPr="00BF1632" w:rsidRDefault="00B538CF" w:rsidP="006D754D">
      <w:pPr>
        <w:pStyle w:val="ListParagraph"/>
        <w:numPr>
          <w:ilvl w:val="1"/>
          <w:numId w:val="1"/>
        </w:numPr>
        <w:spacing w:before="0" w:after="120"/>
        <w:jc w:val="both"/>
        <w:rPr>
          <w:color w:val="4472C4" w:themeColor="accent5"/>
        </w:rPr>
      </w:pPr>
      <w:r w:rsidRPr="00BF1632">
        <w:t xml:space="preserve">As in the November 2016 submission, a lower baseline utility was applied to patients treated with R-CHOP in the progression free health state (0.733) compared with ibrutinib treated patients (0.790). The PBAC had </w:t>
      </w:r>
      <w:r w:rsidR="00ED090B">
        <w:t xml:space="preserve">previously </w:t>
      </w:r>
      <w:r w:rsidRPr="00BF1632">
        <w:t xml:space="preserve">noted this as an issue within the model to be addressed (paragraph 7.9, November 2016 </w:t>
      </w:r>
      <w:r w:rsidR="008E5AA6">
        <w:t>PSD</w:t>
      </w:r>
      <w:r w:rsidRPr="00BF1632">
        <w:t>).</w:t>
      </w:r>
      <w:r w:rsidR="00E26DEA" w:rsidRPr="00BF1632">
        <w:t xml:space="preserve"> </w:t>
      </w:r>
      <w:r w:rsidR="00670E70" w:rsidRPr="00BF1632">
        <w:t xml:space="preserve">The utility values applied in the model were unchanged in the resubmission. </w:t>
      </w:r>
      <w:r w:rsidR="00665A64" w:rsidRPr="00BF1632">
        <w:t xml:space="preserve">The PSCR (p3) argued that a higher baseline utility for ibrutinib is justified by the significant improvement in the FACT-Lym subscale compared with temsirolimus and this is noted to reflect faster recovery and greater improvement in lymphoma symptoms and hence quality of life with ibrutinib. The ESC noted the evidence may support the application of a higher utility to patients receiving ibrutinib, however, considered that the magnitude and duration of such effects are uncertain. The ESC considered that a reasonable approach, in light of this uncertainty, might be to apply an increased utility value for ibrutinib (0.79) over the first 8 cycles with the same utility value (0.733) after cycle 8. </w:t>
      </w:r>
      <w:r w:rsidR="003549BB">
        <w:t xml:space="preserve">The pre-PBAC response </w:t>
      </w:r>
      <w:r w:rsidR="00DA3331">
        <w:t xml:space="preserve">(p3) </w:t>
      </w:r>
      <w:r w:rsidR="003549BB">
        <w:t>disagreed with this approach</w:t>
      </w:r>
      <w:r w:rsidR="00E93282">
        <w:t xml:space="preserve">, stating </w:t>
      </w:r>
      <w:r w:rsidR="003549BB">
        <w:t>that th</w:t>
      </w:r>
      <w:r w:rsidR="006D754D">
        <w:t xml:space="preserve">e </w:t>
      </w:r>
      <w:r w:rsidR="00F049C1">
        <w:t xml:space="preserve">higher baseline utility with ibrutinib (which it stated was likely due to </w:t>
      </w:r>
      <w:r w:rsidR="00AF4BF9">
        <w:t>a</w:t>
      </w:r>
      <w:r w:rsidR="00F049C1">
        <w:t xml:space="preserve"> </w:t>
      </w:r>
      <w:r w:rsidR="000D13CE">
        <w:t xml:space="preserve">greater </w:t>
      </w:r>
      <w:r w:rsidR="006D754D" w:rsidRPr="006D754D">
        <w:t xml:space="preserve">improvement in lymphoma symptoms </w:t>
      </w:r>
      <w:r w:rsidR="000D13CE">
        <w:t>with ibrutinib</w:t>
      </w:r>
      <w:r w:rsidR="006D754D">
        <w:t xml:space="preserve">) </w:t>
      </w:r>
      <w:r w:rsidR="00E93282">
        <w:t xml:space="preserve">was </w:t>
      </w:r>
      <w:r w:rsidR="006D754D">
        <w:t>un</w:t>
      </w:r>
      <w:r w:rsidR="00E93282">
        <w:t>related to</w:t>
      </w:r>
      <w:r w:rsidR="00DA3331">
        <w:t xml:space="preserve">, </w:t>
      </w:r>
      <w:r w:rsidR="006D754D">
        <w:t>and longer than</w:t>
      </w:r>
      <w:r w:rsidR="00DA3331">
        <w:t>,</w:t>
      </w:r>
      <w:r w:rsidR="006D754D">
        <w:t xml:space="preserve"> </w:t>
      </w:r>
      <w:r w:rsidR="00E93282">
        <w:t xml:space="preserve">the duration of treatment with R-CHOP. </w:t>
      </w:r>
      <w:r w:rsidR="002230F4">
        <w:t xml:space="preserve">Further, the pre-PBAC response argued that there was a correlation between lymphoma symptoms (FACT-Lym) and EQ-5D data from MCL-3001. </w:t>
      </w:r>
      <w:r w:rsidR="00E93282">
        <w:t xml:space="preserve">However, the PBAC </w:t>
      </w:r>
      <w:r w:rsidR="00DA3331">
        <w:t xml:space="preserve">agreed with the ESC </w:t>
      </w:r>
      <w:r w:rsidR="00E93282">
        <w:t xml:space="preserve">that the </w:t>
      </w:r>
      <w:r w:rsidR="00E93282" w:rsidRPr="00BF1632">
        <w:t xml:space="preserve">magnitude and duration of </w:t>
      </w:r>
      <w:r w:rsidR="00DA3331">
        <w:t>the effect</w:t>
      </w:r>
      <w:r w:rsidR="00E93282">
        <w:t xml:space="preserve"> </w:t>
      </w:r>
      <w:r w:rsidR="00291E7C">
        <w:t>are</w:t>
      </w:r>
      <w:r w:rsidR="00E93282" w:rsidRPr="00BF1632">
        <w:t xml:space="preserve"> uncertain</w:t>
      </w:r>
      <w:r w:rsidR="00E93282">
        <w:t>.</w:t>
      </w:r>
    </w:p>
    <w:p w:rsidR="00B538CF" w:rsidRPr="00BF1632" w:rsidRDefault="00B538CF" w:rsidP="000D6801">
      <w:pPr>
        <w:pStyle w:val="ListParagraph"/>
        <w:numPr>
          <w:ilvl w:val="1"/>
          <w:numId w:val="1"/>
        </w:numPr>
        <w:spacing w:before="0" w:after="120"/>
        <w:ind w:left="578" w:hanging="578"/>
        <w:jc w:val="both"/>
        <w:rPr>
          <w:color w:val="4472C4" w:themeColor="accent5"/>
        </w:rPr>
      </w:pPr>
      <w:r w:rsidRPr="00BF1632">
        <w:t>As per the November 2016 submission, the resubmission applied disutilities for specific adverse events to patients in the R-CHOP arm of the economic model only. However, the magnitude of these disutilities was reduced and the duration of time they were applied in the economic model was adjusted to address the concerns raised by the PBAC (paragraph 7.9, November 2016 PSD).</w:t>
      </w:r>
    </w:p>
    <w:p w:rsidR="00B538CF" w:rsidRPr="00BF1632" w:rsidRDefault="00B538CF" w:rsidP="000D6801">
      <w:pPr>
        <w:pStyle w:val="ListParagraph"/>
        <w:numPr>
          <w:ilvl w:val="1"/>
          <w:numId w:val="1"/>
        </w:numPr>
        <w:spacing w:before="0" w:after="120"/>
        <w:ind w:left="578" w:hanging="578"/>
        <w:jc w:val="both"/>
        <w:rPr>
          <w:color w:val="4472C4" w:themeColor="accent5"/>
        </w:rPr>
      </w:pPr>
      <w:r w:rsidRPr="00BF1632">
        <w:t>The disutilities used in the resubmission and how these compared to the November 2016 submission are presented below.</w:t>
      </w:r>
    </w:p>
    <w:p w:rsidR="00B538CF" w:rsidRPr="00BF1632" w:rsidRDefault="00B538CF" w:rsidP="00B538CF">
      <w:pPr>
        <w:pStyle w:val="TableHeading1"/>
      </w:pPr>
      <w:r w:rsidRPr="00BF1632">
        <w:t xml:space="preserve">Table 12: Comparison of adverse event disutilities applied in the November 2016 submission and resubmission </w:t>
      </w:r>
    </w:p>
    <w:tbl>
      <w:tblPr>
        <w:tblStyle w:val="TableGrid3"/>
        <w:tblW w:w="5000" w:type="pct"/>
        <w:tblLook w:val="04A0" w:firstRow="1" w:lastRow="0" w:firstColumn="1" w:lastColumn="0" w:noHBand="0" w:noVBand="1"/>
        <w:tblCaption w:val="Table 12: Comparison of adverse event disutilities applied in the November 2016 submission and resubmission "/>
      </w:tblPr>
      <w:tblGrid>
        <w:gridCol w:w="2836"/>
        <w:gridCol w:w="2272"/>
        <w:gridCol w:w="2414"/>
        <w:gridCol w:w="1560"/>
      </w:tblGrid>
      <w:tr w:rsidR="00B538CF" w:rsidRPr="00BF1632" w:rsidTr="00167A5D">
        <w:trPr>
          <w:trHeight w:val="267"/>
          <w:tblHeader/>
        </w:trPr>
        <w:tc>
          <w:tcPr>
            <w:tcW w:w="1561" w:type="pct"/>
            <w:shd w:val="clear" w:color="auto" w:fill="auto"/>
            <w:tcMar>
              <w:left w:w="28" w:type="dxa"/>
              <w:right w:w="28" w:type="dxa"/>
            </w:tcMar>
          </w:tcPr>
          <w:p w:rsidR="00B538CF" w:rsidRPr="00BF1632" w:rsidRDefault="00B538CF" w:rsidP="00BB6D04">
            <w:pPr>
              <w:pStyle w:val="TableText"/>
              <w:rPr>
                <w:b/>
                <w:lang w:val="en-AU"/>
              </w:rPr>
            </w:pPr>
            <w:r w:rsidRPr="00BF1632">
              <w:rPr>
                <w:b/>
              </w:rPr>
              <w:t>Adverse event</w:t>
            </w:r>
          </w:p>
        </w:tc>
        <w:tc>
          <w:tcPr>
            <w:tcW w:w="1251" w:type="pct"/>
            <w:shd w:val="clear" w:color="auto" w:fill="auto"/>
            <w:tcMar>
              <w:left w:w="28" w:type="dxa"/>
              <w:right w:w="28" w:type="dxa"/>
            </w:tcMar>
          </w:tcPr>
          <w:p w:rsidR="00B538CF" w:rsidRPr="00BF1632" w:rsidRDefault="00B538CF" w:rsidP="00BB6D04">
            <w:pPr>
              <w:pStyle w:val="TableText"/>
              <w:rPr>
                <w:b/>
                <w:lang w:val="en-AU"/>
              </w:rPr>
            </w:pPr>
            <w:r w:rsidRPr="00BF1632">
              <w:rPr>
                <w:b/>
              </w:rPr>
              <w:t>November 2016 submission</w:t>
            </w:r>
          </w:p>
        </w:tc>
        <w:tc>
          <w:tcPr>
            <w:tcW w:w="1329" w:type="pct"/>
            <w:shd w:val="clear" w:color="auto" w:fill="auto"/>
            <w:tcMar>
              <w:left w:w="28" w:type="dxa"/>
              <w:right w:w="28" w:type="dxa"/>
            </w:tcMar>
          </w:tcPr>
          <w:p w:rsidR="00B538CF" w:rsidRPr="00BF1632" w:rsidRDefault="00B538CF" w:rsidP="00BB6D04">
            <w:pPr>
              <w:pStyle w:val="TableText"/>
              <w:rPr>
                <w:b/>
                <w:lang w:val="en-AU"/>
              </w:rPr>
            </w:pPr>
            <w:r w:rsidRPr="00BF1632">
              <w:rPr>
                <w:b/>
              </w:rPr>
              <w:t>November 2017 resubmission</w:t>
            </w:r>
          </w:p>
        </w:tc>
        <w:tc>
          <w:tcPr>
            <w:tcW w:w="860" w:type="pct"/>
            <w:shd w:val="clear" w:color="auto" w:fill="auto"/>
            <w:tcMar>
              <w:left w:w="28" w:type="dxa"/>
              <w:right w:w="28" w:type="dxa"/>
            </w:tcMar>
          </w:tcPr>
          <w:p w:rsidR="00B538CF" w:rsidRPr="00BF1632" w:rsidRDefault="00B538CF" w:rsidP="00BB6D04">
            <w:pPr>
              <w:pStyle w:val="TableText"/>
              <w:rPr>
                <w:b/>
                <w:lang w:val="en-AU"/>
              </w:rPr>
            </w:pPr>
            <w:r w:rsidRPr="00BF1632">
              <w:rPr>
                <w:b/>
              </w:rPr>
              <w:t>% reduction</w:t>
            </w:r>
          </w:p>
        </w:tc>
      </w:tr>
      <w:tr w:rsidR="00B538CF" w:rsidRPr="00BF1632" w:rsidTr="002E15F5">
        <w:tc>
          <w:tcPr>
            <w:tcW w:w="1561" w:type="pct"/>
            <w:shd w:val="clear" w:color="auto" w:fill="auto"/>
            <w:tcMar>
              <w:left w:w="28" w:type="dxa"/>
              <w:right w:w="28" w:type="dxa"/>
            </w:tcMar>
          </w:tcPr>
          <w:p w:rsidR="00B538CF" w:rsidRPr="00BF1632" w:rsidRDefault="00B538CF" w:rsidP="00BB6D04">
            <w:pPr>
              <w:pStyle w:val="TableText"/>
              <w:rPr>
                <w:lang w:val="en-AU"/>
              </w:rPr>
            </w:pPr>
            <w:r w:rsidRPr="00BF1632">
              <w:t>≥ Grade 3 neutropenia</w:t>
            </w:r>
          </w:p>
        </w:tc>
        <w:tc>
          <w:tcPr>
            <w:tcW w:w="1251" w:type="pct"/>
            <w:shd w:val="clear" w:color="auto" w:fill="auto"/>
            <w:tcMar>
              <w:left w:w="28" w:type="dxa"/>
              <w:right w:w="28" w:type="dxa"/>
            </w:tcMar>
          </w:tcPr>
          <w:p w:rsidR="00B538CF" w:rsidRPr="00BF1632" w:rsidRDefault="00B538CF" w:rsidP="00BB6D04">
            <w:pPr>
              <w:pStyle w:val="TableText"/>
              <w:rPr>
                <w:lang w:val="en-AU"/>
              </w:rPr>
            </w:pPr>
            <w:r w:rsidRPr="00BF1632">
              <w:t>-0.50 (cycle 1 only)</w:t>
            </w:r>
          </w:p>
        </w:tc>
        <w:tc>
          <w:tcPr>
            <w:tcW w:w="1329" w:type="pct"/>
            <w:shd w:val="clear" w:color="auto" w:fill="auto"/>
            <w:tcMar>
              <w:left w:w="28" w:type="dxa"/>
              <w:right w:w="28" w:type="dxa"/>
            </w:tcMar>
          </w:tcPr>
          <w:p w:rsidR="00B538CF" w:rsidRPr="00BF1632" w:rsidRDefault="00B538CF" w:rsidP="00BB6D04">
            <w:pPr>
              <w:pStyle w:val="TableText"/>
              <w:rPr>
                <w:lang w:val="en-AU"/>
              </w:rPr>
            </w:pPr>
            <w:r w:rsidRPr="00BF1632">
              <w:t>-0.23 (cycle 1 only)</w:t>
            </w:r>
          </w:p>
        </w:tc>
        <w:tc>
          <w:tcPr>
            <w:tcW w:w="860" w:type="pct"/>
            <w:shd w:val="clear" w:color="auto" w:fill="auto"/>
            <w:tcMar>
              <w:left w:w="28" w:type="dxa"/>
              <w:right w:w="28" w:type="dxa"/>
            </w:tcMar>
          </w:tcPr>
          <w:p w:rsidR="00B538CF" w:rsidRPr="00BF1632" w:rsidRDefault="00B538CF" w:rsidP="00BB6D04">
            <w:pPr>
              <w:pStyle w:val="TableText"/>
              <w:rPr>
                <w:lang w:val="en-AU"/>
              </w:rPr>
            </w:pPr>
            <w:r w:rsidRPr="00BF1632">
              <w:t>54.0%</w:t>
            </w:r>
          </w:p>
        </w:tc>
      </w:tr>
      <w:tr w:rsidR="00B538CF" w:rsidRPr="00BF1632" w:rsidTr="002E15F5">
        <w:tc>
          <w:tcPr>
            <w:tcW w:w="1561" w:type="pct"/>
            <w:shd w:val="clear" w:color="auto" w:fill="auto"/>
            <w:tcMar>
              <w:left w:w="28" w:type="dxa"/>
              <w:right w:w="28" w:type="dxa"/>
            </w:tcMar>
          </w:tcPr>
          <w:p w:rsidR="00B538CF" w:rsidRPr="00BF1632" w:rsidRDefault="00B538CF" w:rsidP="00BB6D04">
            <w:pPr>
              <w:pStyle w:val="TableText"/>
              <w:rPr>
                <w:lang w:val="en-AU"/>
              </w:rPr>
            </w:pPr>
            <w:r w:rsidRPr="00BF1632">
              <w:t>≥ Grade 3 febrile neutropenia</w:t>
            </w:r>
          </w:p>
        </w:tc>
        <w:tc>
          <w:tcPr>
            <w:tcW w:w="1251" w:type="pct"/>
            <w:shd w:val="clear" w:color="auto" w:fill="auto"/>
            <w:tcMar>
              <w:left w:w="28" w:type="dxa"/>
              <w:right w:w="28" w:type="dxa"/>
            </w:tcMar>
          </w:tcPr>
          <w:p w:rsidR="00B538CF" w:rsidRPr="00BF1632" w:rsidRDefault="00B538CF" w:rsidP="00BB6D04">
            <w:pPr>
              <w:pStyle w:val="TableText"/>
              <w:rPr>
                <w:lang w:val="en-AU"/>
              </w:rPr>
            </w:pPr>
            <w:r w:rsidRPr="00BF1632">
              <w:t>-0.49 (cycle 1 only)</w:t>
            </w:r>
          </w:p>
        </w:tc>
        <w:tc>
          <w:tcPr>
            <w:tcW w:w="1329" w:type="pct"/>
            <w:shd w:val="clear" w:color="auto" w:fill="auto"/>
            <w:tcMar>
              <w:left w:w="28" w:type="dxa"/>
              <w:right w:w="28" w:type="dxa"/>
            </w:tcMar>
          </w:tcPr>
          <w:p w:rsidR="00B538CF" w:rsidRPr="00BF1632" w:rsidRDefault="00B538CF" w:rsidP="00BB6D04">
            <w:pPr>
              <w:pStyle w:val="TableText"/>
              <w:rPr>
                <w:lang w:val="en-AU"/>
              </w:rPr>
            </w:pPr>
            <w:r w:rsidRPr="00BF1632">
              <w:t>-0.22 (cycle 1 only)</w:t>
            </w:r>
          </w:p>
        </w:tc>
        <w:tc>
          <w:tcPr>
            <w:tcW w:w="860" w:type="pct"/>
            <w:shd w:val="clear" w:color="auto" w:fill="auto"/>
            <w:tcMar>
              <w:left w:w="28" w:type="dxa"/>
              <w:right w:w="28" w:type="dxa"/>
            </w:tcMar>
          </w:tcPr>
          <w:p w:rsidR="00B538CF" w:rsidRPr="00BF1632" w:rsidRDefault="00B538CF" w:rsidP="00BB6D04">
            <w:pPr>
              <w:pStyle w:val="TableText"/>
              <w:rPr>
                <w:lang w:val="en-AU"/>
              </w:rPr>
            </w:pPr>
            <w:r w:rsidRPr="00BF1632">
              <w:t>55.1%</w:t>
            </w:r>
          </w:p>
        </w:tc>
      </w:tr>
      <w:tr w:rsidR="00B538CF" w:rsidRPr="00BF1632" w:rsidTr="002E15F5">
        <w:tc>
          <w:tcPr>
            <w:tcW w:w="1561" w:type="pct"/>
            <w:shd w:val="clear" w:color="auto" w:fill="auto"/>
            <w:tcMar>
              <w:left w:w="28" w:type="dxa"/>
              <w:right w:w="28" w:type="dxa"/>
            </w:tcMar>
          </w:tcPr>
          <w:p w:rsidR="00B538CF" w:rsidRPr="00BF1632" w:rsidRDefault="00B538CF" w:rsidP="00BB6D04">
            <w:pPr>
              <w:pStyle w:val="TableText"/>
              <w:rPr>
                <w:lang w:val="en-AU"/>
              </w:rPr>
            </w:pPr>
            <w:r w:rsidRPr="00BF1632">
              <w:t>≥ Grade 3 alopecia</w:t>
            </w:r>
          </w:p>
        </w:tc>
        <w:tc>
          <w:tcPr>
            <w:tcW w:w="1251" w:type="pct"/>
            <w:shd w:val="clear" w:color="auto" w:fill="auto"/>
            <w:tcMar>
              <w:left w:w="28" w:type="dxa"/>
              <w:right w:w="28" w:type="dxa"/>
            </w:tcMar>
          </w:tcPr>
          <w:p w:rsidR="00B538CF" w:rsidRPr="00BF1632" w:rsidRDefault="00B538CF" w:rsidP="00BB6D04">
            <w:pPr>
              <w:pStyle w:val="TableText"/>
              <w:rPr>
                <w:lang w:val="en-AU"/>
              </w:rPr>
            </w:pPr>
            <w:r w:rsidRPr="00BF1632">
              <w:t>-0.17 (cycles 1-8)</w:t>
            </w:r>
          </w:p>
        </w:tc>
        <w:tc>
          <w:tcPr>
            <w:tcW w:w="1329" w:type="pct"/>
            <w:shd w:val="clear" w:color="auto" w:fill="auto"/>
            <w:tcMar>
              <w:left w:w="28" w:type="dxa"/>
              <w:right w:w="28" w:type="dxa"/>
            </w:tcMar>
          </w:tcPr>
          <w:p w:rsidR="00B538CF" w:rsidRPr="00BF1632" w:rsidRDefault="00B538CF" w:rsidP="00BB6D04">
            <w:pPr>
              <w:pStyle w:val="TableText"/>
              <w:rPr>
                <w:lang w:val="en-AU"/>
              </w:rPr>
            </w:pPr>
            <w:r w:rsidRPr="00BF1632">
              <w:t>-0.09 (cycles 2-8)</w:t>
            </w:r>
          </w:p>
        </w:tc>
        <w:tc>
          <w:tcPr>
            <w:tcW w:w="860" w:type="pct"/>
            <w:shd w:val="clear" w:color="auto" w:fill="auto"/>
            <w:tcMar>
              <w:left w:w="28" w:type="dxa"/>
              <w:right w:w="28" w:type="dxa"/>
            </w:tcMar>
          </w:tcPr>
          <w:p w:rsidR="00B538CF" w:rsidRPr="00BF1632" w:rsidRDefault="00B538CF" w:rsidP="00BB6D04">
            <w:pPr>
              <w:pStyle w:val="TableText"/>
              <w:rPr>
                <w:lang w:val="en-AU"/>
              </w:rPr>
            </w:pPr>
            <w:r w:rsidRPr="00BF1632">
              <w:t>47.1%</w:t>
            </w:r>
          </w:p>
        </w:tc>
      </w:tr>
      <w:tr w:rsidR="00B538CF" w:rsidRPr="00BF1632" w:rsidTr="002E15F5">
        <w:tc>
          <w:tcPr>
            <w:tcW w:w="1561" w:type="pct"/>
            <w:shd w:val="clear" w:color="auto" w:fill="auto"/>
            <w:tcMar>
              <w:left w:w="28" w:type="dxa"/>
              <w:right w:w="28" w:type="dxa"/>
            </w:tcMar>
          </w:tcPr>
          <w:p w:rsidR="00B538CF" w:rsidRPr="00BF1632" w:rsidRDefault="00B538CF" w:rsidP="00BB6D04">
            <w:pPr>
              <w:pStyle w:val="TableText"/>
              <w:rPr>
                <w:lang w:val="en-AU"/>
              </w:rPr>
            </w:pPr>
            <w:r w:rsidRPr="00BF1632">
              <w:t>Any Grade fatigue</w:t>
            </w:r>
          </w:p>
        </w:tc>
        <w:tc>
          <w:tcPr>
            <w:tcW w:w="1251" w:type="pct"/>
            <w:shd w:val="clear" w:color="auto" w:fill="auto"/>
            <w:tcMar>
              <w:left w:w="28" w:type="dxa"/>
              <w:right w:w="28" w:type="dxa"/>
            </w:tcMar>
          </w:tcPr>
          <w:p w:rsidR="00B538CF" w:rsidRPr="00BF1632" w:rsidRDefault="00B538CF" w:rsidP="00BB6D04">
            <w:pPr>
              <w:pStyle w:val="TableText"/>
              <w:rPr>
                <w:lang w:val="en-AU"/>
              </w:rPr>
            </w:pPr>
            <w:r w:rsidRPr="00BF1632">
              <w:t>-0.49  (cycles 1-8)</w:t>
            </w:r>
          </w:p>
        </w:tc>
        <w:tc>
          <w:tcPr>
            <w:tcW w:w="1329" w:type="pct"/>
            <w:shd w:val="clear" w:color="auto" w:fill="auto"/>
            <w:tcMar>
              <w:left w:w="28" w:type="dxa"/>
              <w:right w:w="28" w:type="dxa"/>
            </w:tcMar>
          </w:tcPr>
          <w:p w:rsidR="00B538CF" w:rsidRPr="00BF1632" w:rsidRDefault="00B538CF" w:rsidP="00BB6D04">
            <w:pPr>
              <w:pStyle w:val="TableText"/>
              <w:rPr>
                <w:lang w:val="en-AU"/>
              </w:rPr>
            </w:pPr>
            <w:r w:rsidRPr="00BF1632">
              <w:t>-0.20 (cycles 2-8)</w:t>
            </w:r>
          </w:p>
        </w:tc>
        <w:tc>
          <w:tcPr>
            <w:tcW w:w="860" w:type="pct"/>
            <w:shd w:val="clear" w:color="auto" w:fill="auto"/>
            <w:tcMar>
              <w:left w:w="28" w:type="dxa"/>
              <w:right w:w="28" w:type="dxa"/>
            </w:tcMar>
          </w:tcPr>
          <w:p w:rsidR="00B538CF" w:rsidRPr="00BF1632" w:rsidRDefault="00B538CF" w:rsidP="00BB6D04">
            <w:pPr>
              <w:pStyle w:val="TableText"/>
              <w:rPr>
                <w:lang w:val="en-AU"/>
              </w:rPr>
            </w:pPr>
            <w:r w:rsidRPr="00BF1632">
              <w:t>59.2%</w:t>
            </w:r>
          </w:p>
        </w:tc>
      </w:tr>
      <w:tr w:rsidR="00B538CF" w:rsidRPr="00BF1632" w:rsidTr="002E15F5">
        <w:tc>
          <w:tcPr>
            <w:tcW w:w="1561" w:type="pct"/>
            <w:shd w:val="clear" w:color="auto" w:fill="auto"/>
            <w:tcMar>
              <w:left w:w="28" w:type="dxa"/>
              <w:right w:w="28" w:type="dxa"/>
            </w:tcMar>
          </w:tcPr>
          <w:p w:rsidR="00B538CF" w:rsidRPr="00BF1632" w:rsidRDefault="00B538CF" w:rsidP="00BB6D04">
            <w:pPr>
              <w:pStyle w:val="TableText"/>
              <w:rPr>
                <w:lang w:val="en-AU"/>
              </w:rPr>
            </w:pPr>
            <w:r w:rsidRPr="00BF1632">
              <w:t xml:space="preserve">Any grade peripheral neuropathy </w:t>
            </w:r>
          </w:p>
        </w:tc>
        <w:tc>
          <w:tcPr>
            <w:tcW w:w="1251" w:type="pct"/>
            <w:shd w:val="clear" w:color="auto" w:fill="auto"/>
            <w:tcMar>
              <w:left w:w="28" w:type="dxa"/>
              <w:right w:w="28" w:type="dxa"/>
            </w:tcMar>
          </w:tcPr>
          <w:p w:rsidR="00B538CF" w:rsidRPr="00BF1632" w:rsidRDefault="00B538CF" w:rsidP="00BB6D04">
            <w:pPr>
              <w:pStyle w:val="TableText"/>
              <w:rPr>
                <w:lang w:val="en-AU"/>
              </w:rPr>
            </w:pPr>
            <w:r w:rsidRPr="00BF1632">
              <w:t>-0.14  (cycles 1-8)</w:t>
            </w:r>
          </w:p>
        </w:tc>
        <w:tc>
          <w:tcPr>
            <w:tcW w:w="1329" w:type="pct"/>
            <w:shd w:val="clear" w:color="auto" w:fill="auto"/>
            <w:tcMar>
              <w:left w:w="28" w:type="dxa"/>
              <w:right w:w="28" w:type="dxa"/>
            </w:tcMar>
          </w:tcPr>
          <w:p w:rsidR="00B538CF" w:rsidRPr="00BF1632" w:rsidRDefault="00B538CF" w:rsidP="00BB6D04">
            <w:pPr>
              <w:pStyle w:val="TableText"/>
              <w:rPr>
                <w:lang w:val="en-AU"/>
              </w:rPr>
            </w:pPr>
            <w:r w:rsidRPr="00BF1632">
              <w:t>-0.115 (cycles 2-8)</w:t>
            </w:r>
          </w:p>
        </w:tc>
        <w:tc>
          <w:tcPr>
            <w:tcW w:w="860" w:type="pct"/>
            <w:shd w:val="clear" w:color="auto" w:fill="auto"/>
            <w:tcMar>
              <w:left w:w="28" w:type="dxa"/>
              <w:right w:w="28" w:type="dxa"/>
            </w:tcMar>
          </w:tcPr>
          <w:p w:rsidR="00B538CF" w:rsidRPr="00BF1632" w:rsidRDefault="00B538CF" w:rsidP="00BB6D04">
            <w:pPr>
              <w:pStyle w:val="TableText"/>
              <w:rPr>
                <w:lang w:val="en-AU"/>
              </w:rPr>
            </w:pPr>
            <w:r w:rsidRPr="00BF1632">
              <w:t>17.9%</w:t>
            </w:r>
          </w:p>
        </w:tc>
      </w:tr>
    </w:tbl>
    <w:p w:rsidR="00B538CF" w:rsidRPr="00BF1632" w:rsidRDefault="00B538CF" w:rsidP="00B538CF">
      <w:pPr>
        <w:pStyle w:val="TableFooter"/>
        <w:keepNext/>
      </w:pPr>
      <w:r w:rsidRPr="00BF1632">
        <w:t xml:space="preserve">Source: Table 3.13, p48, Section 3 of the resubmission </w:t>
      </w:r>
    </w:p>
    <w:p w:rsidR="00B538CF" w:rsidRPr="00BF1632" w:rsidRDefault="00B538CF" w:rsidP="000D6801">
      <w:pPr>
        <w:pStyle w:val="ListParagraph"/>
        <w:numPr>
          <w:ilvl w:val="1"/>
          <w:numId w:val="1"/>
        </w:numPr>
        <w:spacing w:before="0" w:after="120"/>
        <w:ind w:left="578" w:hanging="578"/>
        <w:jc w:val="both"/>
      </w:pPr>
      <w:r w:rsidRPr="00BF1632">
        <w:t xml:space="preserve">The disutility decrements were applied additively. In the </w:t>
      </w:r>
      <w:r w:rsidRPr="00BF1632">
        <w:rPr>
          <w:rFonts w:ascii="Calibri" w:eastAsia="Calibri" w:hAnsi="Calibri" w:cs="Arial"/>
        </w:rPr>
        <w:t>November 2016 submission the resulting utility values applied in the first and second cycles for progression free patients were 0.73 and 0.79 respectively for ibrutinib and 0.03 and 0.38 for R-CHOP</w:t>
      </w:r>
      <w:r w:rsidR="00C247CB" w:rsidRPr="00BF1632">
        <w:rPr>
          <w:rFonts w:ascii="Calibri" w:eastAsia="Calibri" w:hAnsi="Calibri" w:cs="Arial"/>
        </w:rPr>
        <w:t xml:space="preserve">; </w:t>
      </w:r>
      <w:r w:rsidR="00E36E0E" w:rsidRPr="00BF1632">
        <w:rPr>
          <w:rFonts w:ascii="Calibri" w:eastAsia="Calibri" w:hAnsi="Calibri" w:cs="Arial"/>
        </w:rPr>
        <w:t>the ESC considered</w:t>
      </w:r>
      <w:r w:rsidRPr="00BF1632">
        <w:rPr>
          <w:rFonts w:ascii="Calibri" w:eastAsia="Calibri" w:hAnsi="Calibri" w:cs="Arial"/>
        </w:rPr>
        <w:t xml:space="preserve"> </w:t>
      </w:r>
      <w:r w:rsidR="00E36E0E" w:rsidRPr="00BF1632">
        <w:rPr>
          <w:rFonts w:ascii="Calibri" w:eastAsia="Calibri" w:hAnsi="Calibri" w:cs="Arial"/>
        </w:rPr>
        <w:t>t</w:t>
      </w:r>
      <w:r w:rsidRPr="00BF1632">
        <w:rPr>
          <w:rFonts w:ascii="Calibri" w:eastAsia="Calibri" w:hAnsi="Calibri" w:cs="Arial"/>
        </w:rPr>
        <w:t>hese differences to be implausible. In the resubmission the utility values applied for R-CHOP the first and second cycles were 0.616 and 0.609, which were more reasonable.</w:t>
      </w:r>
    </w:p>
    <w:p w:rsidR="00665A64" w:rsidRPr="00BF1632" w:rsidRDefault="00665A64" w:rsidP="000D6801">
      <w:pPr>
        <w:pStyle w:val="ListParagraph"/>
        <w:numPr>
          <w:ilvl w:val="1"/>
          <w:numId w:val="1"/>
        </w:numPr>
        <w:spacing w:before="0" w:after="120"/>
        <w:ind w:left="578" w:hanging="578"/>
        <w:jc w:val="both"/>
      </w:pPr>
      <w:r w:rsidRPr="00BF1632">
        <w:t>The ESC noted, although</w:t>
      </w:r>
      <w:r w:rsidR="00670E70" w:rsidRPr="00BF1632">
        <w:t xml:space="preserve"> the </w:t>
      </w:r>
      <w:r w:rsidR="000F29C4" w:rsidRPr="00BF1632">
        <w:t>disutilities</w:t>
      </w:r>
      <w:r w:rsidR="00670E70" w:rsidRPr="00BF1632">
        <w:t xml:space="preserve"> applied in the resubmission were reduced compared with the November 2016 submission, that they are still potentially overestimated when compared with the utility data from the trial (0.790 for ibrutinib and 0.716 for temsirolimus for patients progression free).</w:t>
      </w:r>
    </w:p>
    <w:p w:rsidR="00FA5D95" w:rsidRPr="00BF1632" w:rsidRDefault="00670E70" w:rsidP="000D6801">
      <w:pPr>
        <w:pStyle w:val="ListParagraph"/>
        <w:numPr>
          <w:ilvl w:val="1"/>
          <w:numId w:val="1"/>
        </w:numPr>
        <w:spacing w:before="0" w:after="120"/>
        <w:ind w:left="578" w:hanging="578"/>
        <w:jc w:val="both"/>
      </w:pPr>
      <w:r w:rsidRPr="00BF1632">
        <w:t>The ESC noted more detailed utility data from the trial may provide more certainty regarding the application of treatment specific utility values. For example, information regarding the timing of data collection and the corresponding response rates, including response rates for patients with and without recorded adverse events, may be useful.</w:t>
      </w:r>
    </w:p>
    <w:p w:rsidR="00B538CF" w:rsidRPr="00BF1632" w:rsidRDefault="00B538CF" w:rsidP="000D6801">
      <w:pPr>
        <w:pStyle w:val="ListParagraph"/>
        <w:numPr>
          <w:ilvl w:val="1"/>
          <w:numId w:val="1"/>
        </w:numPr>
        <w:spacing w:before="0" w:after="120"/>
        <w:jc w:val="both"/>
      </w:pPr>
      <w:r w:rsidRPr="00BF1632">
        <w:t>The results of the stepped economic evaluation for the four scenarios are presented below.</w:t>
      </w:r>
    </w:p>
    <w:p w:rsidR="00B538CF" w:rsidRPr="00BF1632" w:rsidRDefault="00B538CF" w:rsidP="00B538CF">
      <w:pPr>
        <w:pStyle w:val="TableHeading1"/>
      </w:pPr>
      <w:r w:rsidRPr="00BF1632">
        <w:t>Table 13: Incremental health outcomes obtained in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5"/>
        <w:gridCol w:w="999"/>
        <w:gridCol w:w="999"/>
        <w:gridCol w:w="999"/>
        <w:gridCol w:w="999"/>
        <w:gridCol w:w="1001"/>
        <w:gridCol w:w="1141"/>
        <w:gridCol w:w="1379"/>
      </w:tblGrid>
      <w:tr w:rsidR="00B538CF" w:rsidRPr="00BF1632" w:rsidTr="002E15F5">
        <w:trPr>
          <w:cantSplit/>
          <w:tblHeader/>
        </w:trPr>
        <w:tc>
          <w:tcPr>
            <w:tcW w:w="862" w:type="pct"/>
            <w:vMerge w:val="restart"/>
            <w:shd w:val="clear" w:color="auto" w:fill="FFFFFF" w:themeFill="background1"/>
            <w:tcMar>
              <w:left w:w="28" w:type="dxa"/>
              <w:right w:w="28" w:type="dxa"/>
            </w:tcMar>
          </w:tcPr>
          <w:p w:rsidR="00B538CF" w:rsidRPr="00BF1632" w:rsidRDefault="00B538CF" w:rsidP="00BB6D04">
            <w:pPr>
              <w:pStyle w:val="TableText"/>
              <w:rPr>
                <w:b/>
              </w:rPr>
            </w:pPr>
          </w:p>
        </w:tc>
        <w:tc>
          <w:tcPr>
            <w:tcW w:w="1650" w:type="pct"/>
            <w:gridSpan w:val="3"/>
            <w:shd w:val="clear" w:color="auto" w:fill="FFFFFF" w:themeFill="background1"/>
            <w:tcMar>
              <w:left w:w="28" w:type="dxa"/>
              <w:right w:w="28" w:type="dxa"/>
            </w:tcMar>
          </w:tcPr>
          <w:p w:rsidR="00B538CF" w:rsidRPr="00BF1632" w:rsidRDefault="00B538CF" w:rsidP="00BB6D04">
            <w:pPr>
              <w:pStyle w:val="TableText"/>
              <w:rPr>
                <w:b/>
              </w:rPr>
            </w:pPr>
            <w:r w:rsidRPr="00BF1632">
              <w:rPr>
                <w:b/>
              </w:rPr>
              <w:t xml:space="preserve">Costs </w:t>
            </w:r>
          </w:p>
        </w:tc>
        <w:tc>
          <w:tcPr>
            <w:tcW w:w="1729" w:type="pct"/>
            <w:gridSpan w:val="3"/>
            <w:shd w:val="clear" w:color="auto" w:fill="FFFFFF" w:themeFill="background1"/>
            <w:tcMar>
              <w:left w:w="28" w:type="dxa"/>
              <w:right w:w="28" w:type="dxa"/>
            </w:tcMar>
          </w:tcPr>
          <w:p w:rsidR="00B538CF" w:rsidRPr="00BF1632" w:rsidRDefault="00B538CF" w:rsidP="00BB6D04">
            <w:pPr>
              <w:pStyle w:val="TableText"/>
              <w:rPr>
                <w:b/>
              </w:rPr>
            </w:pPr>
            <w:r w:rsidRPr="00BF1632">
              <w:rPr>
                <w:b/>
              </w:rPr>
              <w:t xml:space="preserve">Health outcomes </w:t>
            </w:r>
          </w:p>
        </w:tc>
        <w:tc>
          <w:tcPr>
            <w:tcW w:w="759" w:type="pct"/>
            <w:vMerge w:val="restart"/>
            <w:shd w:val="clear" w:color="auto" w:fill="FFFFFF" w:themeFill="background1"/>
            <w:tcMar>
              <w:left w:w="28" w:type="dxa"/>
              <w:right w:w="28" w:type="dxa"/>
            </w:tcMar>
          </w:tcPr>
          <w:p w:rsidR="00B538CF" w:rsidRPr="00BF1632" w:rsidRDefault="00B538CF" w:rsidP="00BB6D04">
            <w:pPr>
              <w:pStyle w:val="TableText"/>
              <w:rPr>
                <w:b/>
              </w:rPr>
            </w:pPr>
            <w:r w:rsidRPr="00BF1632">
              <w:rPr>
                <w:b/>
              </w:rPr>
              <w:t xml:space="preserve">ICER </w:t>
            </w:r>
          </w:p>
        </w:tc>
      </w:tr>
      <w:tr w:rsidR="00B538CF" w:rsidRPr="00BF1632" w:rsidTr="002E15F5">
        <w:trPr>
          <w:cantSplit/>
          <w:tblHeader/>
        </w:trPr>
        <w:tc>
          <w:tcPr>
            <w:tcW w:w="862" w:type="pct"/>
            <w:vMerge/>
            <w:shd w:val="clear" w:color="auto" w:fill="FFFFFF" w:themeFill="background1"/>
            <w:tcMar>
              <w:left w:w="28" w:type="dxa"/>
              <w:right w:w="28" w:type="dxa"/>
            </w:tcMar>
          </w:tcPr>
          <w:p w:rsidR="00B538CF" w:rsidRPr="00BF1632" w:rsidRDefault="00B538CF" w:rsidP="00BB6D04">
            <w:pPr>
              <w:pStyle w:val="TableText"/>
            </w:pPr>
          </w:p>
        </w:tc>
        <w:tc>
          <w:tcPr>
            <w:tcW w:w="550" w:type="pct"/>
            <w:shd w:val="clear" w:color="auto" w:fill="FFFFFF" w:themeFill="background1"/>
            <w:tcMar>
              <w:left w:w="28" w:type="dxa"/>
              <w:right w:w="28" w:type="dxa"/>
            </w:tcMar>
          </w:tcPr>
          <w:p w:rsidR="00B538CF" w:rsidRPr="00BF1632" w:rsidRDefault="00B538CF" w:rsidP="00BB6D04">
            <w:pPr>
              <w:pStyle w:val="TableText"/>
              <w:rPr>
                <w:rFonts w:ascii="Times" w:eastAsia="Times New Roman" w:hAnsi="Times" w:cs="Times New Roman"/>
                <w:b/>
              </w:rPr>
            </w:pPr>
            <w:r w:rsidRPr="00BF1632">
              <w:rPr>
                <w:b/>
              </w:rPr>
              <w:t>Ibrutinib</w:t>
            </w:r>
          </w:p>
        </w:tc>
        <w:tc>
          <w:tcPr>
            <w:tcW w:w="550" w:type="pct"/>
            <w:shd w:val="clear" w:color="auto" w:fill="FFFFFF" w:themeFill="background1"/>
            <w:tcMar>
              <w:left w:w="28" w:type="dxa"/>
              <w:right w:w="28" w:type="dxa"/>
            </w:tcMar>
          </w:tcPr>
          <w:p w:rsidR="00B538CF" w:rsidRPr="00BF1632" w:rsidRDefault="00B538CF" w:rsidP="00BB6D04">
            <w:pPr>
              <w:pStyle w:val="TableText"/>
              <w:rPr>
                <w:rFonts w:ascii="Times" w:eastAsia="Times New Roman" w:hAnsi="Times" w:cs="Times New Roman"/>
                <w:b/>
              </w:rPr>
            </w:pPr>
            <w:r w:rsidRPr="00BF1632">
              <w:rPr>
                <w:b/>
              </w:rPr>
              <w:t>R-CHOP</w:t>
            </w:r>
          </w:p>
        </w:tc>
        <w:tc>
          <w:tcPr>
            <w:tcW w:w="550" w:type="pct"/>
            <w:shd w:val="clear" w:color="auto" w:fill="FFFFFF" w:themeFill="background1"/>
            <w:tcMar>
              <w:left w:w="28" w:type="dxa"/>
              <w:right w:w="28" w:type="dxa"/>
            </w:tcMar>
          </w:tcPr>
          <w:p w:rsidR="00B538CF" w:rsidRPr="00BF1632" w:rsidRDefault="00B538CF" w:rsidP="00BB6D04">
            <w:pPr>
              <w:pStyle w:val="TableText"/>
              <w:rPr>
                <w:rFonts w:ascii="Times" w:eastAsia="Times New Roman" w:hAnsi="Times" w:cs="Times New Roman"/>
                <w:b/>
              </w:rPr>
            </w:pPr>
            <w:r w:rsidRPr="00BF1632">
              <w:rPr>
                <w:b/>
              </w:rPr>
              <w:t>Increment</w:t>
            </w:r>
          </w:p>
        </w:tc>
        <w:tc>
          <w:tcPr>
            <w:tcW w:w="550" w:type="pct"/>
            <w:shd w:val="clear" w:color="auto" w:fill="FFFFFF" w:themeFill="background1"/>
            <w:tcMar>
              <w:left w:w="28" w:type="dxa"/>
              <w:right w:w="28" w:type="dxa"/>
            </w:tcMar>
          </w:tcPr>
          <w:p w:rsidR="00B538CF" w:rsidRPr="00BF1632" w:rsidRDefault="00B538CF" w:rsidP="00BB6D04">
            <w:pPr>
              <w:pStyle w:val="TableText"/>
              <w:rPr>
                <w:rFonts w:ascii="Times" w:eastAsia="Times New Roman" w:hAnsi="Times" w:cs="Times New Roman"/>
                <w:b/>
              </w:rPr>
            </w:pPr>
            <w:r w:rsidRPr="00BF1632">
              <w:rPr>
                <w:b/>
              </w:rPr>
              <w:t>Ibrutinib</w:t>
            </w:r>
          </w:p>
        </w:tc>
        <w:tc>
          <w:tcPr>
            <w:tcW w:w="551" w:type="pct"/>
            <w:shd w:val="clear" w:color="auto" w:fill="FFFFFF" w:themeFill="background1"/>
            <w:tcMar>
              <w:left w:w="28" w:type="dxa"/>
              <w:right w:w="28" w:type="dxa"/>
            </w:tcMar>
          </w:tcPr>
          <w:p w:rsidR="00B538CF" w:rsidRPr="00BF1632" w:rsidRDefault="00B538CF" w:rsidP="00BB6D04">
            <w:pPr>
              <w:pStyle w:val="TableText"/>
              <w:rPr>
                <w:b/>
              </w:rPr>
            </w:pPr>
            <w:r w:rsidRPr="00BF1632">
              <w:rPr>
                <w:b/>
              </w:rPr>
              <w:t>R-CHOP</w:t>
            </w:r>
          </w:p>
        </w:tc>
        <w:tc>
          <w:tcPr>
            <w:tcW w:w="628" w:type="pct"/>
            <w:shd w:val="clear" w:color="auto" w:fill="FFFFFF" w:themeFill="background1"/>
            <w:tcMar>
              <w:left w:w="28" w:type="dxa"/>
              <w:right w:w="28" w:type="dxa"/>
            </w:tcMar>
          </w:tcPr>
          <w:p w:rsidR="00B538CF" w:rsidRPr="00BF1632" w:rsidRDefault="00B538CF" w:rsidP="00BB6D04">
            <w:pPr>
              <w:pStyle w:val="TableText"/>
              <w:rPr>
                <w:b/>
              </w:rPr>
            </w:pPr>
            <w:r w:rsidRPr="00BF1632">
              <w:rPr>
                <w:b/>
              </w:rPr>
              <w:t>Increment</w:t>
            </w:r>
          </w:p>
        </w:tc>
        <w:tc>
          <w:tcPr>
            <w:tcW w:w="759" w:type="pct"/>
            <w:vMerge/>
            <w:shd w:val="clear" w:color="auto" w:fill="FFFFFF" w:themeFill="background1"/>
            <w:tcMar>
              <w:left w:w="28" w:type="dxa"/>
              <w:right w:w="28" w:type="dxa"/>
            </w:tcMar>
          </w:tcPr>
          <w:p w:rsidR="00B538CF" w:rsidRPr="00BF1632" w:rsidRDefault="00B538CF" w:rsidP="00BB6D04">
            <w:pPr>
              <w:pStyle w:val="TableText"/>
            </w:pPr>
          </w:p>
        </w:tc>
      </w:tr>
      <w:tr w:rsidR="00B538CF" w:rsidRPr="00BF1632" w:rsidTr="002E15F5">
        <w:trPr>
          <w:cantSplit/>
        </w:trPr>
        <w:tc>
          <w:tcPr>
            <w:tcW w:w="5000" w:type="pct"/>
            <w:gridSpan w:val="8"/>
            <w:shd w:val="clear" w:color="auto" w:fill="FFFFFF" w:themeFill="background1"/>
            <w:tcMar>
              <w:left w:w="28" w:type="dxa"/>
              <w:right w:w="28" w:type="dxa"/>
            </w:tcMar>
          </w:tcPr>
          <w:p w:rsidR="00B538CF" w:rsidRPr="00BF1632" w:rsidRDefault="00B538CF" w:rsidP="00BB6D04">
            <w:pPr>
              <w:pStyle w:val="TableText"/>
              <w:rPr>
                <w:b/>
              </w:rPr>
            </w:pPr>
            <w:r w:rsidRPr="00BF1632">
              <w:rPr>
                <w:b/>
              </w:rPr>
              <w:t xml:space="preserve">Step 1: Trial based economic evaluation (RPSFT adjusted) </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pPr>
            <w:r w:rsidRPr="00BF1632">
              <w:t>MCL-3001</w:t>
            </w:r>
          </w:p>
          <w:p w:rsidR="00B538CF" w:rsidRPr="00BF1632" w:rsidRDefault="00B538CF" w:rsidP="00BB6D04">
            <w:pPr>
              <w:pStyle w:val="TableText"/>
            </w:pPr>
            <w:r w:rsidRPr="00BF1632">
              <w:t>Time horizon: 47 months</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Height w:val="341"/>
        </w:trPr>
        <w:tc>
          <w:tcPr>
            <w:tcW w:w="5000" w:type="pct"/>
            <w:gridSpan w:val="8"/>
            <w:shd w:val="clear" w:color="auto" w:fill="FFFFFF" w:themeFill="background1"/>
            <w:tcMar>
              <w:left w:w="28" w:type="dxa"/>
              <w:right w:w="28" w:type="dxa"/>
            </w:tcMar>
          </w:tcPr>
          <w:p w:rsidR="00B538CF" w:rsidRPr="00BF1632" w:rsidRDefault="00B538CF" w:rsidP="00BB6D04">
            <w:pPr>
              <w:pStyle w:val="TableText"/>
            </w:pPr>
            <w:r w:rsidRPr="00BF1632">
              <w:rPr>
                <w:b/>
              </w:rPr>
              <w:t xml:space="preserve">Step 1: Trial based economic evaluation (ITT population) </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pPr>
            <w:r w:rsidRPr="00BF1632">
              <w:t>MCL-3001</w:t>
            </w:r>
          </w:p>
          <w:p w:rsidR="00B538CF" w:rsidRPr="00BF1632" w:rsidRDefault="00B538CF" w:rsidP="00BB6D04">
            <w:pPr>
              <w:pStyle w:val="TableText"/>
            </w:pPr>
            <w:r w:rsidRPr="00BF1632">
              <w:t>Time horizon: 47 months</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5000" w:type="pct"/>
            <w:gridSpan w:val="8"/>
            <w:shd w:val="clear" w:color="auto" w:fill="FFFFFF" w:themeFill="background1"/>
            <w:tcMar>
              <w:left w:w="28" w:type="dxa"/>
              <w:right w:w="28" w:type="dxa"/>
            </w:tcMar>
          </w:tcPr>
          <w:p w:rsidR="00B538CF" w:rsidRPr="00BF1632" w:rsidRDefault="00B538CF" w:rsidP="00BB6D04">
            <w:pPr>
              <w:pStyle w:val="TableText"/>
              <w:rPr>
                <w:b/>
              </w:rPr>
            </w:pPr>
            <w:r w:rsidRPr="00BF1632">
              <w:rPr>
                <w:b/>
              </w:rPr>
              <w:t>Step 2: Modelled lifetime economic evaluation (17 versus 10 year time horizon)</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pPr>
            <w:r w:rsidRPr="00BF1632">
              <w:rPr>
                <w:b/>
              </w:rPr>
              <w:t>Scenario 1</w:t>
            </w:r>
            <w:r w:rsidRPr="00BF1632">
              <w:t>: no convergence; RPSFT adjusted</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 xml:space="preserve">''''''''''''''''''''''''''''''''''' </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rPr>
                <w:b/>
              </w:rPr>
            </w:pPr>
            <w:r w:rsidRPr="00BF1632">
              <w:rPr>
                <w:b/>
              </w:rPr>
              <w:t>Scenario 2</w:t>
            </w:r>
            <w:r w:rsidRPr="00BF1632">
              <w:t>: OS convergence; RPSFT adjusted</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pPr>
            <w:r w:rsidRPr="00BF1632">
              <w:rPr>
                <w:b/>
              </w:rPr>
              <w:t>Scenario 3</w:t>
            </w:r>
            <w:r w:rsidRPr="00BF1632">
              <w:t>: No convergence; ITT population</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pPr>
            <w:r w:rsidRPr="00BF1632">
              <w:rPr>
                <w:b/>
              </w:rPr>
              <w:t>Scenario 4</w:t>
            </w:r>
            <w:r w:rsidRPr="00BF1632">
              <w:t>: OS convergence; ITT population</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rFonts w:ascii="Times" w:eastAsia="Times New Roman" w:hAnsi="Times" w:cs="Times New Roman"/>
                <w:highlight w:val="black"/>
              </w:rPr>
            </w:pPr>
            <w:r>
              <w:rPr>
                <w:noProof/>
                <w:color w:val="000000"/>
                <w:highlight w:val="black"/>
              </w:rPr>
              <w:t>'''''''''''''''''''''''''''''''''''</w:t>
            </w:r>
          </w:p>
        </w:tc>
      </w:tr>
      <w:tr w:rsidR="00B538CF" w:rsidRPr="00BF1632" w:rsidTr="002E15F5">
        <w:trPr>
          <w:cantSplit/>
        </w:trPr>
        <w:tc>
          <w:tcPr>
            <w:tcW w:w="5000" w:type="pct"/>
            <w:gridSpan w:val="8"/>
            <w:shd w:val="clear" w:color="auto" w:fill="FFFFFF" w:themeFill="background1"/>
            <w:tcMar>
              <w:left w:w="28" w:type="dxa"/>
              <w:right w:w="28" w:type="dxa"/>
            </w:tcMar>
          </w:tcPr>
          <w:p w:rsidR="00B538CF" w:rsidRPr="00BF1632" w:rsidRDefault="00B538CF" w:rsidP="00BB6D04">
            <w:pPr>
              <w:pStyle w:val="TableText"/>
              <w:rPr>
                <w:b/>
              </w:rPr>
            </w:pPr>
            <w:r w:rsidRPr="00BF1632">
              <w:rPr>
                <w:b/>
              </w:rPr>
              <w:t>November 2016 submission</w:t>
            </w:r>
          </w:p>
        </w:tc>
      </w:tr>
      <w:tr w:rsidR="00B538CF" w:rsidRPr="00BF1632" w:rsidTr="002E15F5">
        <w:trPr>
          <w:cantSplit/>
        </w:trPr>
        <w:tc>
          <w:tcPr>
            <w:tcW w:w="862" w:type="pct"/>
            <w:shd w:val="clear" w:color="auto" w:fill="FFFFFF" w:themeFill="background1"/>
            <w:tcMar>
              <w:left w:w="28" w:type="dxa"/>
              <w:right w:w="28" w:type="dxa"/>
            </w:tcMar>
          </w:tcPr>
          <w:p w:rsidR="00B538CF" w:rsidRPr="00BF1632" w:rsidRDefault="00B538CF" w:rsidP="00BB6D04">
            <w:pPr>
              <w:pStyle w:val="TableText"/>
              <w:tabs>
                <w:tab w:val="center" w:pos="748"/>
              </w:tabs>
            </w:pPr>
            <w:r w:rsidRPr="00BF1632">
              <w:t xml:space="preserve">Base case </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tc>
        <w:tc>
          <w:tcPr>
            <w:tcW w:w="550"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 ''''''''''''''</w:t>
            </w:r>
          </w:p>
        </w:tc>
        <w:tc>
          <w:tcPr>
            <w:tcW w:w="551"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 ''''''''''''''</w:t>
            </w:r>
          </w:p>
        </w:tc>
        <w:tc>
          <w:tcPr>
            <w:tcW w:w="628"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 ''''''</w:t>
            </w:r>
          </w:p>
          <w:p w:rsidR="00B538CF" w:rsidRPr="00F36A91" w:rsidRDefault="00F36A91" w:rsidP="00BB6D04">
            <w:pPr>
              <w:pStyle w:val="TableText"/>
              <w:rPr>
                <w:highlight w:val="black"/>
              </w:rPr>
            </w:pPr>
            <w:r>
              <w:rPr>
                <w:noProof/>
                <w:color w:val="000000"/>
                <w:highlight w:val="black"/>
              </w:rPr>
              <w:t>'''''''''' ''''''''''''''</w:t>
            </w:r>
          </w:p>
        </w:tc>
        <w:tc>
          <w:tcPr>
            <w:tcW w:w="759" w:type="pct"/>
            <w:shd w:val="clear" w:color="auto" w:fill="FFFFFF" w:themeFill="background1"/>
            <w:tcMar>
              <w:left w:w="28" w:type="dxa"/>
              <w:right w:w="28" w:type="dxa"/>
            </w:tcMar>
          </w:tcPr>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r>
    </w:tbl>
    <w:p w:rsidR="00B538CF" w:rsidRPr="00BF1632" w:rsidRDefault="00B538CF" w:rsidP="00B538CF">
      <w:pPr>
        <w:pStyle w:val="TableFooter"/>
      </w:pPr>
      <w:r w:rsidRPr="00BF1632">
        <w:t>Source: Tables 3.24 and 3.25, pp69-70, and Tables 3.26 and 3.27, pp73-74, Section 3 of the resubmission; Ibrutinib – RR MCL Model Updated Follow-Up.xlsx Excel file; and calculated during evaluation (corrected for % of R-CHOP patients experiencing AEs and for an incorrect cell linkage when calculating the R-CHOP life years)</w:t>
      </w:r>
    </w:p>
    <w:p w:rsidR="00B538CF" w:rsidRPr="00BF1632" w:rsidRDefault="00B538CF" w:rsidP="00B538CF">
      <w:pPr>
        <w:pStyle w:val="TableFooter"/>
      </w:pPr>
      <w:r w:rsidRPr="00BF1632">
        <w:t>AE = adverse event; ICER = incremental cost-effectiveness ratio; LY = life year; OS = overall survival; ITT = intention to treat; QALY = quality-adjusted life year; R-CHOP = rituximab, cyclophosphamide, doxorubicin, vincristine, prednisone; RPSFT = rank preserving structural failure time</w:t>
      </w:r>
    </w:p>
    <w:p w:rsidR="00B538CF" w:rsidRPr="00BF1632" w:rsidRDefault="00B538CF" w:rsidP="000D6801">
      <w:pPr>
        <w:pStyle w:val="ListParagraph"/>
        <w:numPr>
          <w:ilvl w:val="1"/>
          <w:numId w:val="1"/>
        </w:numPr>
        <w:spacing w:before="0" w:after="120"/>
        <w:jc w:val="both"/>
      </w:pPr>
      <w:r w:rsidRPr="00BF1632">
        <w:t xml:space="preserve">The four scenarios presented by the resubmission suggested that ibrutinib resulted in an incremental life year gain of between </w:t>
      </w:r>
      <w:r w:rsidR="00F36A91">
        <w:rPr>
          <w:noProof/>
          <w:color w:val="000000"/>
          <w:highlight w:val="black"/>
        </w:rPr>
        <w:t>'''''''''</w:t>
      </w:r>
      <w:r w:rsidRPr="00BF1632">
        <w:t xml:space="preserve"> and </w:t>
      </w:r>
      <w:r w:rsidR="00F36A91">
        <w:rPr>
          <w:noProof/>
          <w:color w:val="000000"/>
          <w:highlight w:val="black"/>
        </w:rPr>
        <w:t>''''''''</w:t>
      </w:r>
      <w:r w:rsidRPr="00BF1632">
        <w:t xml:space="preserve"> and an incremental quality-adjusted life year (QALY) gain of </w:t>
      </w:r>
      <w:r w:rsidR="00F36A91">
        <w:rPr>
          <w:noProof/>
          <w:color w:val="000000"/>
          <w:highlight w:val="black"/>
        </w:rPr>
        <w:t>''''''''</w:t>
      </w:r>
      <w:r w:rsidRPr="00BF1632">
        <w:t xml:space="preserve"> to </w:t>
      </w:r>
      <w:r w:rsidR="00F36A91">
        <w:rPr>
          <w:noProof/>
          <w:color w:val="000000"/>
          <w:highlight w:val="black"/>
        </w:rPr>
        <w:t>''''''''</w:t>
      </w:r>
      <w:r w:rsidRPr="00BF1632">
        <w:t xml:space="preserve">. The incremental cost-effectiveness ratio (ICER) for ibrutinib ranged from </w:t>
      </w:r>
      <w:r w:rsidR="001E240F">
        <w:t>$75,000 - $105,000</w:t>
      </w:r>
      <w:r w:rsidRPr="00BF1632">
        <w:t xml:space="preserve"> in Scenario 1 to </w:t>
      </w:r>
      <w:r w:rsidR="001E240F">
        <w:t>$105,000 - $200,000</w:t>
      </w:r>
      <w:r w:rsidRPr="00BF1632">
        <w:t xml:space="preserve"> in Scenario 4 per QALY gained, a difference of $</w:t>
      </w:r>
      <w:r w:rsidR="00F36A91">
        <w:rPr>
          <w:noProof/>
          <w:color w:val="000000"/>
          <w:highlight w:val="black"/>
        </w:rPr>
        <w:t>''''''''''''''</w:t>
      </w:r>
      <w:r w:rsidRPr="00BF1632">
        <w:t>.</w:t>
      </w:r>
    </w:p>
    <w:p w:rsidR="00B538CF" w:rsidRPr="00BF1632" w:rsidRDefault="00B538CF" w:rsidP="000D6801">
      <w:pPr>
        <w:pStyle w:val="ListParagraph"/>
        <w:numPr>
          <w:ilvl w:val="1"/>
          <w:numId w:val="1"/>
        </w:numPr>
        <w:spacing w:before="0" w:after="120"/>
        <w:jc w:val="both"/>
      </w:pPr>
      <w:r w:rsidRPr="00BF1632">
        <w:t xml:space="preserve">Scenario 1 was most similar to the base case presented in the November 2016 submission, which presented an ICER of </w:t>
      </w:r>
      <w:r w:rsidR="00C95536">
        <w:t>$75,000/QALY - $105,000/QALY</w:t>
      </w:r>
      <w:r w:rsidR="00C95536" w:rsidRPr="00BF1632">
        <w:t xml:space="preserve"> </w:t>
      </w:r>
      <w:r w:rsidRPr="00BF1632">
        <w:t xml:space="preserve">and an incremental cost per life year of </w:t>
      </w:r>
      <w:r w:rsidR="00C95536">
        <w:t>$105,000 - $200,000</w:t>
      </w:r>
      <w:r w:rsidRPr="00BF1632">
        <w:t xml:space="preserve">. The ICER in Scenario 1, </w:t>
      </w:r>
      <w:r w:rsidR="00C95536">
        <w:t>$75,000 - $105,000</w:t>
      </w:r>
      <w:r w:rsidRPr="00BF1632">
        <w:t>, was lower than that presented in the November 2016 submission primarily due to the lower proposed price for ibrutinib.</w:t>
      </w:r>
    </w:p>
    <w:p w:rsidR="00ED32BB" w:rsidRPr="00BF1632" w:rsidRDefault="0071601C" w:rsidP="000D6801">
      <w:pPr>
        <w:pStyle w:val="ListParagraph"/>
        <w:numPr>
          <w:ilvl w:val="1"/>
          <w:numId w:val="1"/>
        </w:numPr>
        <w:spacing w:before="0" w:after="120"/>
        <w:jc w:val="both"/>
      </w:pPr>
      <w:r w:rsidRPr="00BF1632">
        <w:t xml:space="preserve">The ESC considered that </w:t>
      </w:r>
      <w:r w:rsidR="00B538CF" w:rsidRPr="00BF1632">
        <w:t>Scenario 4 (overall survival convergence at 10 years</w:t>
      </w:r>
      <w:r w:rsidR="00ED32BB" w:rsidRPr="00BF1632">
        <w:t xml:space="preserve">, no adjustment for crossover) </w:t>
      </w:r>
      <w:r w:rsidR="00B538CF" w:rsidRPr="00BF1632">
        <w:t>was</w:t>
      </w:r>
      <w:r w:rsidRPr="00BF1632">
        <w:t xml:space="preserve"> the most consistent with t</w:t>
      </w:r>
      <w:r w:rsidR="00B538CF" w:rsidRPr="00BF1632">
        <w:t>he PBAC</w:t>
      </w:r>
      <w:r w:rsidRPr="00BF1632">
        <w:t>’s recommendations</w:t>
      </w:r>
      <w:r w:rsidR="00B538CF" w:rsidRPr="00BF1632">
        <w:t xml:space="preserve"> based on the November 2016 submission. This scenario presented an ICER of </w:t>
      </w:r>
      <w:r w:rsidR="00C95536">
        <w:t>$105,000 - $200,000</w:t>
      </w:r>
      <w:r w:rsidR="00B538CF" w:rsidRPr="00BF1632">
        <w:t>per QALY gained.</w:t>
      </w:r>
      <w:r w:rsidR="00ED32BB" w:rsidRPr="00BF1632">
        <w:t xml:space="preserve"> The ESC considered the cost per QALY gained (Scenario 4) still reflects the following optimistic assumptions:</w:t>
      </w:r>
    </w:p>
    <w:p w:rsidR="00ED32BB" w:rsidRPr="00BF1632" w:rsidRDefault="00ED32BB" w:rsidP="000D6801">
      <w:pPr>
        <w:pStyle w:val="ListParagraph"/>
        <w:numPr>
          <w:ilvl w:val="0"/>
          <w:numId w:val="19"/>
        </w:numPr>
        <w:spacing w:before="0" w:after="120"/>
        <w:jc w:val="both"/>
      </w:pPr>
      <w:r w:rsidRPr="00BF1632">
        <w:t xml:space="preserve">Application of exponential extrapolation curves with convergence </w:t>
      </w:r>
      <w:r w:rsidR="002E31A4">
        <w:t>at</w:t>
      </w:r>
      <w:r w:rsidRPr="00BF1632">
        <w:t xml:space="preserve"> 10 years is not necessarily a conservative approach (the other scenarios are not plausible). </w:t>
      </w:r>
      <w:r w:rsidR="00BB1951">
        <w:t xml:space="preserve">The pre-PBAC response (p3) stated that the exponential function was chosen as it had the leanest tail and </w:t>
      </w:r>
      <w:r w:rsidR="007B5434">
        <w:t>was the most conservative function when Scenario 4 was applied. However, the PBAC considered that the issue</w:t>
      </w:r>
      <w:r w:rsidR="00BB3EFA">
        <w:t xml:space="preserve"> - </w:t>
      </w:r>
      <w:r w:rsidR="007B5434">
        <w:t>that convergence of survival curves at 10 years was not necessarily conservative</w:t>
      </w:r>
      <w:r w:rsidR="00BB3EFA">
        <w:t xml:space="preserve"> -</w:t>
      </w:r>
      <w:r w:rsidR="003549BB">
        <w:t xml:space="preserve"> remained</w:t>
      </w:r>
      <w:r w:rsidR="00BB3EFA">
        <w:t xml:space="preserve"> given</w:t>
      </w:r>
      <w:r w:rsidR="007B5434" w:rsidRPr="002230F4">
        <w:t xml:space="preserve"> </w:t>
      </w:r>
      <w:r w:rsidR="00A2088B" w:rsidRPr="00F049C1">
        <w:t>the poor prognosis of patients with relapsed or refractory mantle cell lymphoma</w:t>
      </w:r>
      <w:r w:rsidR="003549BB" w:rsidRPr="00BB3EFA">
        <w:t>.</w:t>
      </w:r>
      <w:r w:rsidR="00A2088B">
        <w:t xml:space="preserve"> </w:t>
      </w:r>
    </w:p>
    <w:p w:rsidR="00FD5503" w:rsidRPr="00BF1632" w:rsidRDefault="00ED32BB" w:rsidP="002E31A4">
      <w:pPr>
        <w:pStyle w:val="ListParagraph"/>
        <w:numPr>
          <w:ilvl w:val="0"/>
          <w:numId w:val="19"/>
        </w:numPr>
        <w:spacing w:before="0" w:after="120"/>
        <w:jc w:val="both"/>
      </w:pPr>
      <w:r w:rsidRPr="00BF1632">
        <w:t xml:space="preserve">Significant utility decrements applied to the comparator arm and utility differences between the treatment arms while patients remain progression-free. Assigning the same progression-free utilities for both treatment arms increased the ICER to </w:t>
      </w:r>
      <w:r w:rsidR="00C95536">
        <w:t>$105,000 - $200,000</w:t>
      </w:r>
      <w:r w:rsidRPr="00BF1632">
        <w:t xml:space="preserve">per QALY gained. Assigning the same progression-free utilities for both treatment arms and removing the treatment period utility decrements for the comparator arm increased the ICER to </w:t>
      </w:r>
      <w:r w:rsidR="00C95536">
        <w:t>$105,000/QALY - $200,000/QALY</w:t>
      </w:r>
      <w:r w:rsidRPr="00BF1632">
        <w:t>.</w:t>
      </w:r>
    </w:p>
    <w:p w:rsidR="00B538CF" w:rsidRPr="00BF1632" w:rsidRDefault="00B538CF" w:rsidP="000D6801">
      <w:pPr>
        <w:pStyle w:val="ListParagraph"/>
        <w:numPr>
          <w:ilvl w:val="1"/>
          <w:numId w:val="1"/>
        </w:numPr>
        <w:spacing w:before="0" w:after="120"/>
        <w:jc w:val="both"/>
      </w:pPr>
      <w:r w:rsidRPr="00BF1632">
        <w:t>Table 14 presents the key sensitivity analyses for the four scenarios presented in the economic evaluation.</w:t>
      </w:r>
    </w:p>
    <w:p w:rsidR="00B538CF" w:rsidRPr="00BF1632" w:rsidRDefault="00B538CF" w:rsidP="00B538CF">
      <w:pPr>
        <w:pStyle w:val="TableHeading1"/>
      </w:pPr>
      <w:r w:rsidRPr="00BF1632">
        <w:t xml:space="preserve">Table 14: Results of the key sensitivity analyses for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136"/>
        <w:gridCol w:w="999"/>
        <w:gridCol w:w="992"/>
        <w:gridCol w:w="7"/>
        <w:gridCol w:w="948"/>
      </w:tblGrid>
      <w:tr w:rsidR="00B538CF" w:rsidRPr="00BF1632" w:rsidTr="002E15F5">
        <w:trPr>
          <w:cantSplit/>
          <w:trHeight w:val="264"/>
          <w:tblHeader/>
        </w:trPr>
        <w:tc>
          <w:tcPr>
            <w:tcW w:w="3378" w:type="pct"/>
            <w:tcBorders>
              <w:top w:val="single" w:sz="4" w:space="0" w:color="auto"/>
              <w:left w:val="single" w:sz="4" w:space="0" w:color="auto"/>
              <w:bottom w:val="single" w:sz="4" w:space="0" w:color="auto"/>
              <w:right w:val="single" w:sz="4" w:space="0" w:color="auto"/>
            </w:tcBorders>
          </w:tcPr>
          <w:p w:rsidR="00B538CF" w:rsidRPr="00BF1632" w:rsidRDefault="00B538CF" w:rsidP="00BB6D04">
            <w:pPr>
              <w:pStyle w:val="TableText"/>
              <w:rPr>
                <w:b/>
              </w:rPr>
            </w:pPr>
          </w:p>
        </w:tc>
        <w:tc>
          <w:tcPr>
            <w:tcW w:w="550" w:type="pct"/>
            <w:tcBorders>
              <w:top w:val="single" w:sz="4" w:space="0" w:color="auto"/>
              <w:left w:val="single" w:sz="4" w:space="0" w:color="auto"/>
              <w:bottom w:val="single" w:sz="4" w:space="0" w:color="auto"/>
              <w:right w:val="single" w:sz="4" w:space="0" w:color="auto"/>
            </w:tcBorders>
          </w:tcPr>
          <w:p w:rsidR="00B538CF" w:rsidRPr="00BF1632" w:rsidRDefault="00B538CF" w:rsidP="00BB6D04">
            <w:pPr>
              <w:pStyle w:val="TableText"/>
              <w:rPr>
                <w:b/>
              </w:rPr>
            </w:pPr>
            <w:r w:rsidRPr="00BF1632">
              <w:rPr>
                <w:b/>
              </w:rPr>
              <w:t>Incremental costs</w:t>
            </w:r>
          </w:p>
        </w:tc>
        <w:tc>
          <w:tcPr>
            <w:tcW w:w="550" w:type="pct"/>
            <w:gridSpan w:val="2"/>
            <w:tcBorders>
              <w:top w:val="single" w:sz="4" w:space="0" w:color="auto"/>
              <w:left w:val="single" w:sz="4" w:space="0" w:color="auto"/>
              <w:bottom w:val="single" w:sz="4" w:space="0" w:color="auto"/>
              <w:right w:val="single" w:sz="4" w:space="0" w:color="auto"/>
            </w:tcBorders>
          </w:tcPr>
          <w:p w:rsidR="00B538CF" w:rsidRPr="00BF1632" w:rsidRDefault="00B538CF" w:rsidP="00BB6D04">
            <w:pPr>
              <w:pStyle w:val="TableText"/>
              <w:rPr>
                <w:b/>
              </w:rPr>
            </w:pPr>
            <w:r w:rsidRPr="00BF1632">
              <w:rPr>
                <w:b/>
              </w:rPr>
              <w:t>Incremental QALY</w:t>
            </w:r>
          </w:p>
        </w:tc>
        <w:tc>
          <w:tcPr>
            <w:tcW w:w="522" w:type="pct"/>
            <w:tcBorders>
              <w:top w:val="single" w:sz="4" w:space="0" w:color="auto"/>
              <w:left w:val="single" w:sz="4" w:space="0" w:color="auto"/>
              <w:bottom w:val="single" w:sz="4" w:space="0" w:color="auto"/>
              <w:right w:val="single" w:sz="4" w:space="0" w:color="auto"/>
            </w:tcBorders>
          </w:tcPr>
          <w:p w:rsidR="00B538CF" w:rsidRPr="00BF1632" w:rsidRDefault="00B538CF" w:rsidP="00BB6D04">
            <w:pPr>
              <w:pStyle w:val="TableText"/>
              <w:rPr>
                <w:b/>
              </w:rPr>
            </w:pPr>
            <w:r w:rsidRPr="00BF1632">
              <w:rPr>
                <w:b/>
              </w:rPr>
              <w:t>ICER</w:t>
            </w:r>
          </w:p>
        </w:tc>
      </w:tr>
      <w:tr w:rsidR="00B538CF" w:rsidRPr="00BF1632" w:rsidTr="002E15F5">
        <w:trPr>
          <w:cantSplit/>
          <w:trHeight w:val="56"/>
        </w:trPr>
        <w:tc>
          <w:tcPr>
            <w:tcW w:w="5000" w:type="pct"/>
            <w:gridSpan w:val="5"/>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Scenario 1: no convergence (17 year time horizon), RPSFT method adjusted</w:t>
            </w:r>
          </w:p>
        </w:tc>
      </w:tr>
      <w:tr w:rsidR="00B538CF" w:rsidRPr="00BF1632" w:rsidTr="002E15F5">
        <w:trPr>
          <w:cantSplit/>
          <w:trHeight w:val="120"/>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Base case</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r>
      <w:tr w:rsidR="00F03295" w:rsidRPr="00BF1632" w:rsidTr="002E15F5">
        <w:trPr>
          <w:cantSplit/>
          <w:trHeight w:val="120"/>
        </w:trPr>
        <w:tc>
          <w:tcPr>
            <w:tcW w:w="3378" w:type="pct"/>
            <w:tcBorders>
              <w:top w:val="single" w:sz="4" w:space="0" w:color="auto"/>
              <w:left w:val="single" w:sz="4" w:space="0" w:color="auto"/>
              <w:bottom w:val="single" w:sz="4" w:space="0" w:color="auto"/>
              <w:right w:val="single" w:sz="4" w:space="0" w:color="auto"/>
            </w:tcBorders>
            <w:vAlign w:val="center"/>
          </w:tcPr>
          <w:p w:rsidR="00F03295" w:rsidRPr="00BF1632" w:rsidRDefault="00F03295" w:rsidP="00F03295">
            <w:pPr>
              <w:keepNext/>
              <w:keepLines/>
              <w:spacing w:before="40" w:after="40"/>
              <w:jc w:val="both"/>
              <w:rPr>
                <w:rFonts w:ascii="Arial Narrow" w:hAnsi="Arial Narrow"/>
                <w:sz w:val="20"/>
              </w:rPr>
            </w:pPr>
            <w:r w:rsidRPr="00BF1632">
              <w:rPr>
                <w:rFonts w:ascii="Arial Narrow" w:hAnsi="Arial Narrow"/>
                <w:sz w:val="20"/>
              </w:rPr>
              <w:t>Adjustments for crossover  (base case = RPSFT method)</w:t>
            </w:r>
          </w:p>
          <w:p w:rsidR="00F03295" w:rsidRPr="00BF1632" w:rsidRDefault="00F03295" w:rsidP="00F03295">
            <w:pPr>
              <w:keepNext/>
              <w:keepLines/>
              <w:spacing w:before="40" w:after="40"/>
              <w:ind w:firstLine="109"/>
              <w:jc w:val="both"/>
              <w:rPr>
                <w:rFonts w:ascii="Arial Narrow" w:hAnsi="Arial Narrow"/>
                <w:sz w:val="20"/>
              </w:rPr>
            </w:pPr>
            <w:r w:rsidRPr="00BF1632">
              <w:rPr>
                <w:rFonts w:ascii="Arial Narrow" w:hAnsi="Arial Narrow"/>
                <w:sz w:val="20"/>
              </w:rPr>
              <w:t>ITT (unbiased; temsirolimus censored at amendment)</w:t>
            </w:r>
          </w:p>
          <w:p w:rsidR="00F03295" w:rsidRPr="00BF1632" w:rsidRDefault="00F03295" w:rsidP="00F03295">
            <w:pPr>
              <w:keepNext/>
              <w:keepLines/>
              <w:spacing w:before="40" w:after="40"/>
              <w:ind w:firstLine="109"/>
              <w:jc w:val="both"/>
              <w:rPr>
                <w:rFonts w:ascii="Arial Narrow" w:hAnsi="Arial Narrow"/>
                <w:sz w:val="20"/>
              </w:rPr>
            </w:pPr>
            <w:r w:rsidRPr="00BF1632">
              <w:rPr>
                <w:rFonts w:ascii="Arial Narrow" w:hAnsi="Arial Narrow"/>
                <w:sz w:val="20"/>
              </w:rPr>
              <w:t>IPE</w:t>
            </w:r>
          </w:p>
          <w:p w:rsidR="00F03295" w:rsidRPr="00BF1632" w:rsidRDefault="00F03295" w:rsidP="00F03295">
            <w:pPr>
              <w:pStyle w:val="TableText"/>
              <w:rPr>
                <w:b/>
              </w:rPr>
            </w:pPr>
            <w:r w:rsidRPr="00BF1632">
              <w:t xml:space="preserve">  IPCW</w:t>
            </w:r>
          </w:p>
        </w:tc>
        <w:tc>
          <w:tcPr>
            <w:tcW w:w="550" w:type="pct"/>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rPr>
                <w:b/>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rPr>
                <w:b/>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rPr>
                <w:b/>
                <w:highlight w:val="black"/>
              </w:rPr>
            </w:pPr>
            <w:r>
              <w:rPr>
                <w:noProof/>
                <w:color w:val="000000"/>
                <w:highlight w:val="black"/>
              </w:rPr>
              <w:t>''''''''''''''''''''''</w:t>
            </w:r>
          </w:p>
        </w:tc>
      </w:tr>
      <w:tr w:rsidR="00B538CF" w:rsidRPr="00BF1632" w:rsidTr="002E15F5">
        <w:trPr>
          <w:cantSplit/>
          <w:trHeight w:val="209"/>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Baseline utility - progression free (base case: ibrutinib = 0.790; R-CHOP = 0.733)</w:t>
            </w:r>
          </w:p>
          <w:p w:rsidR="00B538CF" w:rsidRPr="00BF1632" w:rsidRDefault="00B538CF" w:rsidP="00BB6D04">
            <w:pPr>
              <w:pStyle w:val="TableText"/>
              <w:ind w:firstLine="109"/>
            </w:pPr>
            <w:r w:rsidRPr="00BF1632">
              <w:t>Baseline in both arms = 0.733</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Height w:val="331"/>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Adverse event disutilities</w:t>
            </w:r>
          </w:p>
          <w:p w:rsidR="00B538CF" w:rsidRPr="00BF1632" w:rsidRDefault="00B538CF" w:rsidP="00BB6D04">
            <w:pPr>
              <w:pStyle w:val="TableText"/>
              <w:keepNext w:val="0"/>
              <w:ind w:firstLine="109"/>
            </w:pPr>
            <w:r w:rsidRPr="00BF1632">
              <w:t>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Height w:val="56"/>
        </w:trPr>
        <w:tc>
          <w:tcPr>
            <w:tcW w:w="5000" w:type="pct"/>
            <w:gridSpan w:val="5"/>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rPr>
                <w:b/>
              </w:rPr>
              <w:t>Scenario 2: convergence at 10 years, RPSFT method adjusted</w:t>
            </w:r>
          </w:p>
        </w:tc>
      </w:tr>
      <w:tr w:rsidR="00B538CF" w:rsidRPr="00BF1632" w:rsidTr="002E15F5">
        <w:trPr>
          <w:cantSplit/>
          <w:trHeight w:val="56"/>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rPr>
                <w:b/>
              </w:rPr>
              <w:t>Base case</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b/>
                <w:highlight w:val="black"/>
              </w:rPr>
            </w:pPr>
            <w:r>
              <w:rPr>
                <w:b/>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b/>
                <w:highlight w:val="black"/>
              </w:rPr>
            </w:pPr>
            <w:r>
              <w:rPr>
                <w:b/>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b/>
                <w:highlight w:val="black"/>
              </w:rPr>
            </w:pPr>
            <w:r>
              <w:rPr>
                <w:b/>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Overall survival convergence (base case = 10 years)</w:t>
            </w:r>
            <w:r w:rsidRPr="00BF1632">
              <w:rPr>
                <w:vertAlign w:val="superscript"/>
              </w:rPr>
              <w:t xml:space="preserve"> </w:t>
            </w:r>
          </w:p>
          <w:p w:rsidR="00B538CF" w:rsidRPr="00BF1632" w:rsidRDefault="00B538CF" w:rsidP="00BB6D04">
            <w:pPr>
              <w:pStyle w:val="TableText"/>
              <w:keepNext w:val="0"/>
              <w:ind w:firstLine="109"/>
            </w:pPr>
            <w:r w:rsidRPr="00BF1632">
              <w:t xml:space="preserve">5 years </w:t>
            </w:r>
          </w:p>
          <w:p w:rsidR="00B538CF" w:rsidRPr="00BF1632" w:rsidRDefault="00B538CF" w:rsidP="00BB6D04">
            <w:pPr>
              <w:pStyle w:val="TableText"/>
              <w:keepNext w:val="0"/>
              <w:ind w:firstLine="109"/>
            </w:pPr>
            <w:r w:rsidRPr="00BF1632">
              <w:t xml:space="preserve">7 years </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p w:rsidR="00B538CF" w:rsidRPr="00F36A91" w:rsidRDefault="00F36A91" w:rsidP="00BB6D04">
            <w:pPr>
              <w:pStyle w:val="TableText"/>
              <w:keepNext w:val="0"/>
              <w:rPr>
                <w:highlight w:val="black"/>
              </w:rPr>
            </w:pPr>
            <w:r>
              <w:rPr>
                <w:noProof/>
                <w:color w:val="000000"/>
                <w:highlight w:val="black"/>
              </w:rPr>
              <w:t>''''''''''''''''''''''''</w:t>
            </w:r>
          </w:p>
        </w:tc>
      </w:tr>
      <w:tr w:rsidR="00F03295"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F03295" w:rsidRPr="00BF1632" w:rsidRDefault="00F03295" w:rsidP="00FA2B64">
            <w:pPr>
              <w:keepNext/>
              <w:keepLines/>
              <w:spacing w:before="40" w:after="40"/>
              <w:jc w:val="both"/>
              <w:rPr>
                <w:rFonts w:ascii="Arial Narrow" w:hAnsi="Arial Narrow"/>
                <w:sz w:val="20"/>
              </w:rPr>
            </w:pPr>
            <w:r w:rsidRPr="00BF1632">
              <w:rPr>
                <w:rFonts w:ascii="Arial Narrow" w:hAnsi="Arial Narrow"/>
                <w:sz w:val="20"/>
              </w:rPr>
              <w:t>Adjustments for crossover (base case = RPSFT method)</w:t>
            </w:r>
          </w:p>
          <w:p w:rsidR="00F03295" w:rsidRPr="00BF1632" w:rsidRDefault="00F03295" w:rsidP="00FA2B64">
            <w:pPr>
              <w:keepNext/>
              <w:keepLines/>
              <w:spacing w:before="40" w:after="40"/>
              <w:ind w:firstLine="109"/>
              <w:jc w:val="both"/>
              <w:rPr>
                <w:rFonts w:ascii="Arial Narrow" w:hAnsi="Arial Narrow"/>
                <w:sz w:val="20"/>
              </w:rPr>
            </w:pPr>
            <w:r w:rsidRPr="00BF1632">
              <w:rPr>
                <w:rFonts w:ascii="Arial Narrow" w:hAnsi="Arial Narrow"/>
                <w:sz w:val="20"/>
              </w:rPr>
              <w:t>ITT (unbiased; temsirolimus censored at amendment)</w:t>
            </w:r>
          </w:p>
          <w:p w:rsidR="00F03295" w:rsidRPr="00BF1632" w:rsidRDefault="00F03295" w:rsidP="00FA2B64">
            <w:pPr>
              <w:keepNext/>
              <w:keepLines/>
              <w:spacing w:before="40" w:after="40"/>
              <w:ind w:firstLine="109"/>
              <w:jc w:val="both"/>
              <w:rPr>
                <w:rFonts w:ascii="Arial Narrow" w:hAnsi="Arial Narrow"/>
                <w:sz w:val="20"/>
              </w:rPr>
            </w:pPr>
            <w:r w:rsidRPr="00BF1632">
              <w:rPr>
                <w:rFonts w:ascii="Arial Narrow" w:hAnsi="Arial Narrow"/>
                <w:sz w:val="20"/>
              </w:rPr>
              <w:t>IPE</w:t>
            </w:r>
          </w:p>
          <w:p w:rsidR="00F03295" w:rsidRPr="00BF1632" w:rsidRDefault="00F03295" w:rsidP="00BB6D04">
            <w:pPr>
              <w:pStyle w:val="TableText"/>
              <w:keepNext w:val="0"/>
            </w:pPr>
            <w:r w:rsidRPr="00BF1632">
              <w:t xml:space="preserve">  IPCW</w:t>
            </w:r>
          </w:p>
        </w:tc>
        <w:tc>
          <w:tcPr>
            <w:tcW w:w="550" w:type="pct"/>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F03295" w:rsidRPr="00F36A91" w:rsidRDefault="00F03295" w:rsidP="00FA2B64">
            <w:pPr>
              <w:keepNext/>
              <w:keepLines/>
              <w:spacing w:before="40" w:after="40"/>
              <w:jc w:val="both"/>
              <w:rPr>
                <w:rFonts w:ascii="Arial Narrow" w:hAnsi="Arial Narrow"/>
                <w:sz w:val="20"/>
              </w:rPr>
            </w:pP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FA2B64">
            <w:pPr>
              <w:keepNext/>
              <w:keepLines/>
              <w:spacing w:before="40" w:after="40"/>
              <w:jc w:val="both"/>
              <w:rPr>
                <w:rFonts w:ascii="Arial Narrow" w:hAnsi="Arial Narrow"/>
                <w:sz w:val="20"/>
                <w:highlight w:val="black"/>
              </w:rPr>
            </w:pPr>
            <w:r>
              <w:rPr>
                <w:rFonts w:ascii="Arial Narrow" w:hAnsi="Arial Narrow"/>
                <w:noProof/>
                <w:color w:val="000000"/>
                <w:sz w:val="20"/>
                <w:highlight w:val="black"/>
              </w:rPr>
              <w:t>''''''''''''''''''</w:t>
            </w:r>
          </w:p>
          <w:p w:rsidR="00F03295"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Baseline utility - progression free (base case: ibrutinib = 0.790; R-CHOP = 0.733)</w:t>
            </w:r>
          </w:p>
          <w:p w:rsidR="00B538CF" w:rsidRPr="00BF1632" w:rsidRDefault="00B538CF" w:rsidP="00BB6D04">
            <w:pPr>
              <w:pStyle w:val="TableText"/>
              <w:keepNext w:val="0"/>
              <w:ind w:firstLine="109"/>
            </w:pPr>
            <w:r w:rsidRPr="00BF1632">
              <w:t>Baseline in both arms = 0.733</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Height w:val="354"/>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Adverse event disutilities</w:t>
            </w:r>
          </w:p>
          <w:p w:rsidR="00B538CF" w:rsidRPr="00BF1632" w:rsidRDefault="00B538CF" w:rsidP="00BB6D04">
            <w:pPr>
              <w:pStyle w:val="TableText"/>
              <w:keepNext w:val="0"/>
              <w:ind w:firstLine="109"/>
            </w:pPr>
            <w:r w:rsidRPr="00BF1632">
              <w:t>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keepNext w:val="0"/>
            </w:pPr>
          </w:p>
          <w:p w:rsidR="00B538CF"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Baseline utility in both arms = 0.733; 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Height w:val="56"/>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Convergence at 5 years; baseline utility in both arms = 0.733; 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c>
          <w:tcPr>
            <w:tcW w:w="522"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keepNext w:val="0"/>
              <w:rPr>
                <w:highlight w:val="black"/>
              </w:rPr>
            </w:pPr>
            <w:r>
              <w:rPr>
                <w:noProof/>
                <w:color w:val="000000"/>
                <w:highlight w:val="black"/>
              </w:rPr>
              <w:t>''''''''''''''''''''''''</w:t>
            </w:r>
          </w:p>
        </w:tc>
      </w:tr>
      <w:tr w:rsidR="00B538CF" w:rsidRPr="00BF1632" w:rsidTr="002E15F5">
        <w:trPr>
          <w:cantSplit/>
          <w:trHeight w:val="11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 xml:space="preserve">Scenario 3: no convergence (17 year time horizon), unadjusted ITT population </w:t>
            </w:r>
          </w:p>
        </w:tc>
      </w:tr>
      <w:tr w:rsidR="00B538CF" w:rsidRPr="00BF1632" w:rsidTr="002E15F5">
        <w:trPr>
          <w:cantSplit/>
          <w:trHeight w:val="79"/>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Base case</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0.66</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r>
      <w:tr w:rsidR="00B538CF" w:rsidRPr="00BF1632" w:rsidTr="002E15F5">
        <w:trPr>
          <w:cantSplit/>
          <w:trHeight w:val="325"/>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Baseline utility - progression free (base case: ibrutinib = 0.790; R-CHOP = 0.733)</w:t>
            </w:r>
          </w:p>
          <w:p w:rsidR="00B538CF" w:rsidRPr="00BF1632" w:rsidRDefault="00B538CF" w:rsidP="00BB6D04">
            <w:pPr>
              <w:pStyle w:val="TableText"/>
              <w:ind w:firstLine="109"/>
            </w:pPr>
            <w:r w:rsidRPr="00BF1632">
              <w:t>Baseline in both arms = 0.733</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p>
          <w:p w:rsidR="00B538CF" w:rsidRPr="00BF1632" w:rsidRDefault="00B538CF" w:rsidP="00BB6D04">
            <w:pPr>
              <w:pStyle w:val="TableText"/>
            </w:pPr>
            <w:r w:rsidRPr="00BF1632">
              <w:t>0.56</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Adverse event disutilities</w:t>
            </w:r>
          </w:p>
          <w:p w:rsidR="00B538CF" w:rsidRPr="00BF1632" w:rsidRDefault="00B538CF" w:rsidP="00BB6D04">
            <w:pPr>
              <w:pStyle w:val="TableText"/>
              <w:ind w:firstLine="109"/>
            </w:pPr>
            <w:r w:rsidRPr="00BF1632">
              <w:t>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p>
          <w:p w:rsidR="00B538CF" w:rsidRPr="00BF1632" w:rsidRDefault="00B538CF" w:rsidP="00BB6D04">
            <w:pPr>
              <w:pStyle w:val="TableText"/>
            </w:pPr>
            <w:r w:rsidRPr="00BF1632">
              <w:t>0.61</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Height w:val="143"/>
        </w:trPr>
        <w:tc>
          <w:tcPr>
            <w:tcW w:w="5000" w:type="pct"/>
            <w:gridSpan w:val="5"/>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rPr>
                <w:b/>
              </w:rPr>
              <w:t>Scenario 4: convergence at 10 years, unadjusted ITT population</w:t>
            </w:r>
          </w:p>
        </w:tc>
      </w:tr>
      <w:tr w:rsidR="00B538CF" w:rsidRPr="00BF1632" w:rsidTr="002E15F5">
        <w:trPr>
          <w:cantSplit/>
          <w:trHeight w:val="56"/>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rPr>
                <w:b/>
              </w:rPr>
              <w:t>Base case</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rPr>
                <w:b/>
              </w:rPr>
            </w:pPr>
            <w:r w:rsidRPr="00BF1632">
              <w:rPr>
                <w:b/>
              </w:rPr>
              <w:t>0.53</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b/>
                <w:highlight w:val="black"/>
              </w:rPr>
            </w:pPr>
            <w:r>
              <w:rPr>
                <w:b/>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Overall survival convergence (base case = 10 years)</w:t>
            </w:r>
            <w:r w:rsidRPr="00BF1632">
              <w:rPr>
                <w:vertAlign w:val="superscript"/>
              </w:rPr>
              <w:t xml:space="preserve"> </w:t>
            </w:r>
          </w:p>
          <w:p w:rsidR="00B538CF" w:rsidRPr="00BF1632" w:rsidRDefault="00B538CF" w:rsidP="00BB6D04">
            <w:pPr>
              <w:pStyle w:val="TableText"/>
              <w:keepNext w:val="0"/>
              <w:ind w:firstLine="109"/>
            </w:pPr>
            <w:r w:rsidRPr="00BF1632">
              <w:t xml:space="preserve">5 years </w:t>
            </w:r>
          </w:p>
          <w:p w:rsidR="00B538CF" w:rsidRPr="00BF1632" w:rsidRDefault="00B538CF" w:rsidP="00BB6D04">
            <w:pPr>
              <w:pStyle w:val="TableText"/>
              <w:ind w:firstLine="109"/>
            </w:pPr>
            <w:r w:rsidRPr="00BF1632">
              <w:t>7 years</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p>
          <w:p w:rsidR="00B538CF" w:rsidRPr="00BF1632" w:rsidRDefault="00B538CF" w:rsidP="00BB6D04">
            <w:pPr>
              <w:pStyle w:val="TableText"/>
            </w:pPr>
            <w:r w:rsidRPr="00BF1632">
              <w:t>0.43</w:t>
            </w:r>
          </w:p>
          <w:p w:rsidR="00B538CF" w:rsidRPr="00BF1632" w:rsidRDefault="00B538CF" w:rsidP="00BB6D04">
            <w:pPr>
              <w:pStyle w:val="TableText"/>
            </w:pPr>
            <w:r w:rsidRPr="00BF1632">
              <w:t>0.48</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Baseline utility - progression free (base case: ibrutinib = 0.790; R-CHOP = 0.733)</w:t>
            </w:r>
          </w:p>
          <w:p w:rsidR="00B538CF" w:rsidRPr="00BF1632" w:rsidRDefault="00B538CF" w:rsidP="00BB6D04">
            <w:pPr>
              <w:pStyle w:val="TableText"/>
              <w:ind w:firstLine="109"/>
            </w:pPr>
            <w:r w:rsidRPr="00BF1632">
              <w:t>Baseline in both arms = 0.733</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p>
          <w:p w:rsidR="00B538CF" w:rsidRPr="00BF1632" w:rsidRDefault="00B538CF" w:rsidP="00BB6D04">
            <w:pPr>
              <w:pStyle w:val="TableText"/>
            </w:pPr>
            <w:r w:rsidRPr="00BF1632">
              <w:t>0.43</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Adverse event disutilities</w:t>
            </w:r>
          </w:p>
          <w:p w:rsidR="00B538CF" w:rsidRPr="00BF1632" w:rsidRDefault="00B538CF" w:rsidP="00BB6D04">
            <w:pPr>
              <w:pStyle w:val="TableText"/>
              <w:ind w:firstLine="109"/>
            </w:pPr>
            <w:r w:rsidRPr="00BF1632">
              <w:t>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p>
          <w:p w:rsidR="00B538CF" w:rsidRPr="00BF1632" w:rsidRDefault="00B538CF" w:rsidP="00BB6D04">
            <w:pPr>
              <w:pStyle w:val="TableText"/>
            </w:pPr>
            <w:r w:rsidRPr="00BF1632">
              <w:t>0.48</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B538CF" w:rsidP="00BB6D04">
            <w:pPr>
              <w:pStyle w:val="TableText"/>
            </w:pPr>
          </w:p>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Baseline utility in both arms = 0.733; 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0.38</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highlight w:val="black"/>
              </w:rPr>
            </w:pPr>
            <w:r>
              <w:rPr>
                <w:noProof/>
                <w:color w:val="000000"/>
                <w:highlight w:val="black"/>
              </w:rPr>
              <w:t>'''''''''''''''''''''''</w:t>
            </w:r>
          </w:p>
        </w:tc>
      </w:tr>
      <w:tr w:rsidR="00B538CF" w:rsidRPr="00BF1632" w:rsidTr="002E15F5">
        <w:trPr>
          <w:cantSplit/>
        </w:trPr>
        <w:tc>
          <w:tcPr>
            <w:tcW w:w="3378"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keepNext w:val="0"/>
            </w:pPr>
            <w:r w:rsidRPr="00BF1632">
              <w:t>Convergence at 5 years; baseline utility in both arms = 0.733; all disutilities = 0</w:t>
            </w:r>
          </w:p>
        </w:tc>
        <w:tc>
          <w:tcPr>
            <w:tcW w:w="550" w:type="pct"/>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highlight w:val="black"/>
              </w:rPr>
            </w:pPr>
            <w:r>
              <w:rPr>
                <w:noProof/>
                <w:color w:val="000000"/>
                <w:highlight w:val="black"/>
              </w:rPr>
              <w:t>''''''''''''''''''</w:t>
            </w:r>
          </w:p>
        </w:tc>
        <w:tc>
          <w:tcPr>
            <w:tcW w:w="546" w:type="pct"/>
            <w:tcBorders>
              <w:top w:val="single" w:sz="4" w:space="0" w:color="auto"/>
              <w:left w:val="single" w:sz="4" w:space="0" w:color="auto"/>
              <w:bottom w:val="single" w:sz="4" w:space="0" w:color="auto"/>
              <w:right w:val="single" w:sz="4" w:space="0" w:color="auto"/>
            </w:tcBorders>
            <w:vAlign w:val="center"/>
          </w:tcPr>
          <w:p w:rsidR="00B538CF" w:rsidRPr="00BF1632" w:rsidRDefault="00B538CF" w:rsidP="00BB6D04">
            <w:pPr>
              <w:pStyle w:val="TableText"/>
            </w:pPr>
            <w:r w:rsidRPr="00BF1632">
              <w:t>0.28</w:t>
            </w:r>
          </w:p>
        </w:tc>
        <w:tc>
          <w:tcPr>
            <w:tcW w:w="526" w:type="pct"/>
            <w:gridSpan w:val="2"/>
            <w:tcBorders>
              <w:top w:val="single" w:sz="4" w:space="0" w:color="auto"/>
              <w:left w:val="single" w:sz="4" w:space="0" w:color="auto"/>
              <w:bottom w:val="single" w:sz="4" w:space="0" w:color="auto"/>
              <w:right w:val="single" w:sz="4" w:space="0" w:color="auto"/>
            </w:tcBorders>
            <w:vAlign w:val="center"/>
          </w:tcPr>
          <w:p w:rsidR="00B538CF" w:rsidRPr="00F36A91" w:rsidRDefault="00F36A91" w:rsidP="00BB6D04">
            <w:pPr>
              <w:pStyle w:val="TableText"/>
              <w:rPr>
                <w:highlight w:val="black"/>
              </w:rPr>
            </w:pPr>
            <w:r>
              <w:rPr>
                <w:noProof/>
                <w:color w:val="000000"/>
                <w:highlight w:val="black"/>
              </w:rPr>
              <w:t>''''''''''''''''''''</w:t>
            </w:r>
          </w:p>
        </w:tc>
      </w:tr>
    </w:tbl>
    <w:p w:rsidR="00B538CF" w:rsidRPr="00BF1632" w:rsidRDefault="00B538CF" w:rsidP="00B538CF">
      <w:pPr>
        <w:pStyle w:val="TableFooter"/>
      </w:pPr>
      <w:r w:rsidRPr="00BF1632">
        <w:t>Source: Table 3.29, p77, Section 3 of the resubmission; Ibrutinib – RR MCL Model Updated Follow-Up.xlsx Excel file; and conducted during the evaluation</w:t>
      </w:r>
      <w:r w:rsidR="0041756E" w:rsidRPr="00BF1632">
        <w:t xml:space="preserve"> (corrected for % of R-CHOP patients experiencing AEs and for an incorrect cell linkage when calculating the R-CHOP life years)</w:t>
      </w:r>
    </w:p>
    <w:p w:rsidR="00B538CF" w:rsidRDefault="00B538CF" w:rsidP="00E72FCE">
      <w:pPr>
        <w:pStyle w:val="TableFooter"/>
      </w:pPr>
      <w:r w:rsidRPr="00BF1632">
        <w:t>ICER = incremental cost-effectiveness ratio; ITT = intention=to-treat; QALY = quality-adjusted life year; R-CHOP = rituximab, cyclophosphamide, doxorubicin, vincristine, prednisone; RPSFT = rank-preserving structural failure time</w:t>
      </w:r>
    </w:p>
    <w:p w:rsidR="004032A3" w:rsidRDefault="004032A3" w:rsidP="00E72FCE">
      <w:pPr>
        <w:pStyle w:val="TableFooter"/>
      </w:pPr>
    </w:p>
    <w:p w:rsidR="004032A3" w:rsidRPr="004032A3" w:rsidRDefault="004032A3" w:rsidP="004032A3">
      <w:pPr>
        <w:ind w:left="360"/>
        <w:jc w:val="both"/>
        <w:rPr>
          <w:rFonts w:cs="Arial"/>
          <w:i/>
          <w:szCs w:val="24"/>
        </w:rPr>
      </w:pPr>
      <w:r w:rsidRPr="004032A3">
        <w:rPr>
          <w:rFonts w:cs="Arial"/>
          <w:szCs w:val="24"/>
        </w:rPr>
        <w:t xml:space="preserve">The redacted table shows ICERs in the range of </w:t>
      </w:r>
      <w:r>
        <w:rPr>
          <w:rFonts w:cs="Arial"/>
          <w:szCs w:val="24"/>
        </w:rPr>
        <w:t xml:space="preserve">$45,000/QALY to more than $200,000/QALY. </w:t>
      </w:r>
    </w:p>
    <w:p w:rsidR="004032A3" w:rsidRPr="00BF1632" w:rsidRDefault="004032A3" w:rsidP="00E72FCE">
      <w:pPr>
        <w:pStyle w:val="TableFooter"/>
      </w:pPr>
    </w:p>
    <w:p w:rsidR="00E72FCE" w:rsidRPr="00BF1632" w:rsidRDefault="00E72FCE" w:rsidP="000D6801">
      <w:pPr>
        <w:pStyle w:val="ListParagraph"/>
        <w:numPr>
          <w:ilvl w:val="1"/>
          <w:numId w:val="1"/>
        </w:numPr>
        <w:spacing w:before="0" w:after="120"/>
        <w:jc w:val="both"/>
      </w:pPr>
      <w:r w:rsidRPr="00BF1632">
        <w:t xml:space="preserve">The ICER for each scenario was most sensitive to applying the same baseline utility to ibrutinib and R-CHOP patients in the progression free health state (0.733). Multivariate analyses which combined convergence of overall survival, a common baseline utility in the progression free health state and no disutilities due to adverse events resulted in large changes to the ICERs, particularly when the unadjusted intention-to-treat population was used (Scenario 4). </w:t>
      </w:r>
    </w:p>
    <w:p w:rsidR="00E72FCE" w:rsidRPr="00BF1632" w:rsidRDefault="00E72FCE" w:rsidP="00E72FCE">
      <w:pPr>
        <w:pStyle w:val="Heading2"/>
        <w:rPr>
          <w:i w:val="0"/>
          <w:szCs w:val="22"/>
        </w:rPr>
      </w:pPr>
      <w:bookmarkStart w:id="31" w:name="_Toc492390041"/>
      <w:bookmarkStart w:id="32" w:name="_Toc493002979"/>
      <w:r w:rsidRPr="00BF1632">
        <w:rPr>
          <w:i w:val="0"/>
        </w:rPr>
        <w:t>Drug cost/patient/course: $</w:t>
      </w:r>
      <w:bookmarkEnd w:id="31"/>
      <w:bookmarkEnd w:id="32"/>
      <w:r w:rsidR="00F36A91">
        <w:rPr>
          <w:i w:val="0"/>
          <w:noProof/>
          <w:color w:val="000000"/>
          <w:highlight w:val="black"/>
        </w:rPr>
        <w:t>''''''''''''''''</w:t>
      </w:r>
    </w:p>
    <w:p w:rsidR="00E72FCE" w:rsidRPr="00BF1632" w:rsidRDefault="00E72FCE" w:rsidP="000D6801">
      <w:pPr>
        <w:pStyle w:val="ListParagraph"/>
        <w:numPr>
          <w:ilvl w:val="1"/>
          <w:numId w:val="1"/>
        </w:numPr>
        <w:spacing w:before="0" w:after="120"/>
        <w:jc w:val="both"/>
        <w:rPr>
          <w:color w:val="4472C4" w:themeColor="accent5"/>
        </w:rPr>
      </w:pPr>
      <w:r w:rsidRPr="00BF1632">
        <w:t>The average cost of ibrutinib was estimated to be $</w:t>
      </w:r>
      <w:r w:rsidR="00F36A91">
        <w:rPr>
          <w:noProof/>
          <w:color w:val="000000"/>
          <w:highlight w:val="black"/>
        </w:rPr>
        <w:t>''''''''''''''''</w:t>
      </w:r>
      <w:r w:rsidRPr="00BF1632">
        <w:t xml:space="preserve"> per cycle/month (30 days), based on the proposed effective DPMQ of $</w:t>
      </w:r>
      <w:r w:rsidR="00F36A91">
        <w:rPr>
          <w:noProof/>
          <w:color w:val="000000"/>
          <w:highlight w:val="black"/>
        </w:rPr>
        <w:t>'''''''''''''''''</w:t>
      </w:r>
      <w:r w:rsidRPr="00BF1632">
        <w:t xml:space="preserve"> and a dose intensity of </w:t>
      </w:r>
      <w:r w:rsidR="00F36A91">
        <w:rPr>
          <w:noProof/>
          <w:color w:val="000000"/>
          <w:highlight w:val="black"/>
        </w:rPr>
        <w:t>''''''''''</w:t>
      </w:r>
      <w:r w:rsidRPr="00BF1632">
        <w:t xml:space="preserve">% from the key clinical trial. Treatment continues until disease progression or toxicity. In the economic model (17 year time horizon), the average length of treatment was </w:t>
      </w:r>
      <w:r w:rsidR="00F36A91">
        <w:rPr>
          <w:noProof/>
          <w:color w:val="000000"/>
          <w:highlight w:val="black"/>
        </w:rPr>
        <w:t>''''''''''</w:t>
      </w:r>
      <w:r w:rsidRPr="00BF1632">
        <w:t xml:space="preserve"> months. The total cost per patient per course was estimated to be $</w:t>
      </w:r>
      <w:r w:rsidR="00F36A91">
        <w:rPr>
          <w:noProof/>
          <w:color w:val="000000"/>
          <w:highlight w:val="black"/>
        </w:rPr>
        <w:t>''''''''''''''''</w:t>
      </w:r>
      <w:r w:rsidRPr="00BF1632">
        <w:t>.</w:t>
      </w:r>
    </w:p>
    <w:p w:rsidR="00E72FCE" w:rsidRPr="00BF1632" w:rsidRDefault="00E72FCE" w:rsidP="000D6801">
      <w:pPr>
        <w:pStyle w:val="ListParagraph"/>
        <w:numPr>
          <w:ilvl w:val="1"/>
          <w:numId w:val="1"/>
        </w:numPr>
        <w:spacing w:before="0" w:after="120"/>
        <w:jc w:val="both"/>
        <w:rPr>
          <w:color w:val="4472C4" w:themeColor="accent5"/>
        </w:rPr>
      </w:pPr>
      <w:r w:rsidRPr="00BF1632">
        <w:t>In the November 2016 submission, the average cost per cycle/month for ibrutinib was $</w:t>
      </w:r>
      <w:r w:rsidR="00F36A91">
        <w:rPr>
          <w:noProof/>
          <w:color w:val="000000"/>
          <w:highlight w:val="black"/>
        </w:rPr>
        <w:t>''''''''''''''''''</w:t>
      </w:r>
      <w:r w:rsidRPr="00BF1632">
        <w:t>, and the total cost per patient was estimated to be $</w:t>
      </w:r>
      <w:r w:rsidR="00F36A91">
        <w:rPr>
          <w:noProof/>
          <w:color w:val="000000"/>
          <w:highlight w:val="black"/>
        </w:rPr>
        <w:t>''''''''''''''''</w:t>
      </w:r>
      <w:r w:rsidRPr="00BF1632">
        <w:t xml:space="preserve"> (average length of treatment was 23.4 months, dose intensity was </w:t>
      </w:r>
      <w:r w:rsidR="00F36A91">
        <w:rPr>
          <w:noProof/>
          <w:color w:val="000000"/>
          <w:highlight w:val="black"/>
        </w:rPr>
        <w:t>''''''''''</w:t>
      </w:r>
      <w:r w:rsidRPr="00BF1632">
        <w:t xml:space="preserve">%). </w:t>
      </w:r>
    </w:p>
    <w:p w:rsidR="00C317F3" w:rsidRPr="00BF1632" w:rsidRDefault="00E72FCE" w:rsidP="000D6801">
      <w:pPr>
        <w:pStyle w:val="ListParagraph"/>
        <w:numPr>
          <w:ilvl w:val="1"/>
          <w:numId w:val="1"/>
        </w:numPr>
        <w:spacing w:before="0" w:after="120"/>
        <w:jc w:val="both"/>
        <w:rPr>
          <w:color w:val="4472C4" w:themeColor="accent5"/>
        </w:rPr>
      </w:pPr>
      <w:r w:rsidRPr="00BF1632">
        <w:t>The average cost of R-CHOP was estimated to be $</w:t>
      </w:r>
      <w:r w:rsidR="00F36A91">
        <w:rPr>
          <w:noProof/>
          <w:color w:val="000000"/>
          <w:highlight w:val="black"/>
        </w:rPr>
        <w:t>''''''''''''''''</w:t>
      </w:r>
      <w:r w:rsidRPr="00BF1632">
        <w:t xml:space="preserve"> per cycle, based on the DPMQs of each component, a 32% to 68% split across public and private hospital use and an average patient body surface area of 1.84 kg/m</w:t>
      </w:r>
      <w:r w:rsidRPr="00BF1632">
        <w:rPr>
          <w:vertAlign w:val="superscript"/>
        </w:rPr>
        <w:t>2</w:t>
      </w:r>
      <w:r w:rsidRPr="00BF1632">
        <w:t>. In the economic model the average patient received 5.6 cycles, which equated to a total drug cost of $</w:t>
      </w:r>
      <w:r w:rsidR="00F36A91">
        <w:rPr>
          <w:noProof/>
          <w:color w:val="000000"/>
          <w:highlight w:val="black"/>
        </w:rPr>
        <w:t>''''''''''''''</w:t>
      </w:r>
      <w:r w:rsidRPr="00BF1632">
        <w:t xml:space="preserve"> per patient.</w:t>
      </w:r>
      <w:r w:rsidRPr="00BF1632">
        <w:rPr>
          <w:color w:val="4472C4" w:themeColor="accent5"/>
        </w:rPr>
        <w:t xml:space="preserve"> </w:t>
      </w:r>
    </w:p>
    <w:p w:rsidR="00C317F3" w:rsidRPr="00BF1632" w:rsidRDefault="00C317F3" w:rsidP="00772501">
      <w:pPr>
        <w:pStyle w:val="Heading2"/>
        <w:rPr>
          <w:i w:val="0"/>
        </w:rPr>
      </w:pPr>
      <w:bookmarkStart w:id="33" w:name="_Toc413139284"/>
      <w:bookmarkStart w:id="34" w:name="_Toc493002980"/>
      <w:r w:rsidRPr="00BF1632">
        <w:rPr>
          <w:i w:val="0"/>
        </w:rPr>
        <w:t>Estimated PBS usage &amp; financial implications</w:t>
      </w:r>
      <w:bookmarkEnd w:id="33"/>
      <w:bookmarkEnd w:id="34"/>
    </w:p>
    <w:p w:rsidR="00E72FCE" w:rsidRPr="00BF1632" w:rsidRDefault="00E72FCE" w:rsidP="000D6801">
      <w:pPr>
        <w:pStyle w:val="ListParagraph"/>
        <w:numPr>
          <w:ilvl w:val="1"/>
          <w:numId w:val="1"/>
        </w:numPr>
        <w:spacing w:before="0" w:after="120"/>
        <w:jc w:val="both"/>
        <w:rPr>
          <w:color w:val="4472C4" w:themeColor="accent5"/>
        </w:rPr>
      </w:pPr>
      <w:r w:rsidRPr="00BF1632">
        <w:t xml:space="preserve">This </w:t>
      </w:r>
      <w:r w:rsidR="00BA6EAC" w:rsidRPr="00BF1632">
        <w:t>re</w:t>
      </w:r>
      <w:r w:rsidRPr="00BF1632">
        <w:t xml:space="preserve">submission </w:t>
      </w:r>
      <w:r w:rsidR="009E2043" w:rsidRPr="00BF1632">
        <w:t xml:space="preserve">was </w:t>
      </w:r>
      <w:r w:rsidRPr="00BF1632">
        <w:t>not considered by DUSC</w:t>
      </w:r>
      <w:r w:rsidRPr="00BF1632">
        <w:rPr>
          <w:color w:val="4472C4" w:themeColor="accent5"/>
        </w:rPr>
        <w:t>.</w:t>
      </w:r>
    </w:p>
    <w:p w:rsidR="00E72FCE" w:rsidRPr="00BF1632" w:rsidRDefault="00E72FCE" w:rsidP="000D6801">
      <w:pPr>
        <w:pStyle w:val="ListParagraph"/>
        <w:numPr>
          <w:ilvl w:val="1"/>
          <w:numId w:val="1"/>
        </w:numPr>
        <w:spacing w:before="0" w:after="120"/>
        <w:jc w:val="both"/>
        <w:rPr>
          <w:color w:val="4472C4" w:themeColor="accent5"/>
        </w:rPr>
      </w:pPr>
      <w:r w:rsidRPr="00BF1632">
        <w:rPr>
          <w:rFonts w:ascii="Calibri" w:eastAsia="Calibri" w:hAnsi="Calibri" w:cs="Arial"/>
        </w:rPr>
        <w:t>The resubmission, like the November 2016 submission, used an epidemiological approach to estimate the utilisation and financial impact of listing ibrutinib on the PBS for the treatment of relapsed or refractory mantle cell lymphoma.</w:t>
      </w:r>
    </w:p>
    <w:p w:rsidR="00E72FCE" w:rsidRPr="00BF1632" w:rsidRDefault="00E72FCE" w:rsidP="000D6801">
      <w:pPr>
        <w:pStyle w:val="ListParagraph"/>
        <w:numPr>
          <w:ilvl w:val="1"/>
          <w:numId w:val="1"/>
        </w:numPr>
        <w:spacing w:before="0" w:after="120"/>
        <w:jc w:val="both"/>
        <w:rPr>
          <w:color w:val="4472C4" w:themeColor="accent5"/>
        </w:rPr>
      </w:pPr>
      <w:r w:rsidRPr="00BF1632">
        <w:rPr>
          <w:rFonts w:ascii="Calibri" w:eastAsia="Calibri" w:hAnsi="Calibri" w:cs="Arial"/>
        </w:rPr>
        <w:t>Unlike the November 2016 submission, the resubmission estimated treatment duration of ibrutinib and R-CHOP using the progression free survival Kaplan-Meier curves from the economic model. As ibrutinib is taken until progression, the Kaplan-Meier curves were used to estimate the number or patients remaining on treatment each month and then, the estimated total number of treatment months. The average treatment duration in the resubmission was estimated to be 24.98 months. In the November 2016 submission i</w:t>
      </w:r>
      <w:r w:rsidR="00BA6EAC" w:rsidRPr="00BF1632">
        <w:rPr>
          <w:rFonts w:ascii="Calibri" w:eastAsia="Calibri" w:hAnsi="Calibri" w:cs="Arial"/>
        </w:rPr>
        <w:t>t</w:t>
      </w:r>
      <w:r w:rsidRPr="00BF1632">
        <w:rPr>
          <w:rFonts w:ascii="Calibri" w:eastAsia="Calibri" w:hAnsi="Calibri" w:cs="Arial"/>
        </w:rPr>
        <w:t xml:space="preserve"> was estimated to be 23.4 months.</w:t>
      </w:r>
    </w:p>
    <w:p w:rsidR="00E72FCE" w:rsidRPr="00BF1632" w:rsidRDefault="00E72FCE" w:rsidP="00F12AA9">
      <w:pPr>
        <w:pStyle w:val="TableHeading1"/>
      </w:pPr>
      <w:r w:rsidRPr="00BF1632">
        <w:t>Table 15: Estimated use and financial implications of ibrutinib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05"/>
        <w:gridCol w:w="1063"/>
        <w:gridCol w:w="1063"/>
        <w:gridCol w:w="1094"/>
        <w:gridCol w:w="1031"/>
        <w:gridCol w:w="1063"/>
        <w:gridCol w:w="1063"/>
      </w:tblGrid>
      <w:tr w:rsidR="00E72FCE" w:rsidRPr="00BF1632" w:rsidTr="002E15F5">
        <w:trPr>
          <w:cantSplit/>
          <w:tblHeader/>
        </w:trPr>
        <w:tc>
          <w:tcPr>
            <w:tcW w:w="1727" w:type="pct"/>
            <w:shd w:val="clear" w:color="auto" w:fill="auto"/>
            <w:vAlign w:val="center"/>
          </w:tcPr>
          <w:p w:rsidR="00E72FCE" w:rsidRPr="00BF1632" w:rsidRDefault="00E72FCE" w:rsidP="00F12AA9">
            <w:pPr>
              <w:pStyle w:val="TableText"/>
              <w:rPr>
                <w:b/>
              </w:rPr>
            </w:pPr>
          </w:p>
        </w:tc>
        <w:tc>
          <w:tcPr>
            <w:tcW w:w="549" w:type="pct"/>
            <w:shd w:val="clear" w:color="auto" w:fill="auto"/>
            <w:vAlign w:val="center"/>
          </w:tcPr>
          <w:p w:rsidR="00E72FCE" w:rsidRPr="00BF1632" w:rsidRDefault="00E72FCE" w:rsidP="00F12AA9">
            <w:pPr>
              <w:pStyle w:val="TableText"/>
              <w:rPr>
                <w:b/>
              </w:rPr>
            </w:pPr>
            <w:r w:rsidRPr="00BF1632">
              <w:rPr>
                <w:b/>
              </w:rPr>
              <w:t>Year 1</w:t>
            </w:r>
          </w:p>
        </w:tc>
        <w:tc>
          <w:tcPr>
            <w:tcW w:w="550" w:type="pct"/>
            <w:shd w:val="clear" w:color="auto" w:fill="auto"/>
            <w:vAlign w:val="center"/>
          </w:tcPr>
          <w:p w:rsidR="00E72FCE" w:rsidRPr="00BF1632" w:rsidRDefault="00E72FCE" w:rsidP="00F12AA9">
            <w:pPr>
              <w:pStyle w:val="TableText"/>
              <w:rPr>
                <w:b/>
              </w:rPr>
            </w:pPr>
            <w:r w:rsidRPr="00BF1632">
              <w:rPr>
                <w:b/>
              </w:rPr>
              <w:t>Year 2</w:t>
            </w:r>
          </w:p>
        </w:tc>
        <w:tc>
          <w:tcPr>
            <w:tcW w:w="550" w:type="pct"/>
            <w:shd w:val="clear" w:color="auto" w:fill="auto"/>
            <w:vAlign w:val="center"/>
          </w:tcPr>
          <w:p w:rsidR="00E72FCE" w:rsidRPr="00BF1632" w:rsidRDefault="00E72FCE" w:rsidP="00F12AA9">
            <w:pPr>
              <w:pStyle w:val="TableText"/>
              <w:rPr>
                <w:b/>
              </w:rPr>
            </w:pPr>
            <w:r w:rsidRPr="00BF1632">
              <w:rPr>
                <w:b/>
              </w:rPr>
              <w:t>Year 3</w:t>
            </w:r>
          </w:p>
        </w:tc>
        <w:tc>
          <w:tcPr>
            <w:tcW w:w="546" w:type="pct"/>
            <w:shd w:val="clear" w:color="auto" w:fill="auto"/>
            <w:vAlign w:val="center"/>
          </w:tcPr>
          <w:p w:rsidR="00E72FCE" w:rsidRPr="00BF1632" w:rsidRDefault="00E72FCE" w:rsidP="00F12AA9">
            <w:pPr>
              <w:pStyle w:val="TableText"/>
              <w:rPr>
                <w:b/>
              </w:rPr>
            </w:pPr>
            <w:r w:rsidRPr="00BF1632">
              <w:rPr>
                <w:b/>
              </w:rPr>
              <w:t>Year 4</w:t>
            </w:r>
          </w:p>
        </w:tc>
        <w:tc>
          <w:tcPr>
            <w:tcW w:w="537" w:type="pct"/>
            <w:shd w:val="clear" w:color="auto" w:fill="auto"/>
            <w:vAlign w:val="center"/>
          </w:tcPr>
          <w:p w:rsidR="00E72FCE" w:rsidRPr="00BF1632" w:rsidRDefault="00E72FCE" w:rsidP="00F12AA9">
            <w:pPr>
              <w:pStyle w:val="TableText"/>
              <w:rPr>
                <w:b/>
              </w:rPr>
            </w:pPr>
            <w:r w:rsidRPr="00BF1632">
              <w:rPr>
                <w:b/>
              </w:rPr>
              <w:t>Year 5</w:t>
            </w:r>
          </w:p>
        </w:tc>
        <w:tc>
          <w:tcPr>
            <w:tcW w:w="541" w:type="pct"/>
          </w:tcPr>
          <w:p w:rsidR="00E72FCE" w:rsidRPr="00BF1632" w:rsidRDefault="00E72FCE" w:rsidP="00F12AA9">
            <w:pPr>
              <w:pStyle w:val="TableText"/>
              <w:rPr>
                <w:b/>
              </w:rPr>
            </w:pPr>
            <w:r w:rsidRPr="00BF1632">
              <w:rPr>
                <w:b/>
              </w:rPr>
              <w:t>Year 6</w:t>
            </w:r>
          </w:p>
        </w:tc>
      </w:tr>
      <w:tr w:rsidR="00E72FCE" w:rsidRPr="00BF1632" w:rsidTr="002E15F5">
        <w:trPr>
          <w:cantSplit/>
        </w:trPr>
        <w:tc>
          <w:tcPr>
            <w:tcW w:w="5000" w:type="pct"/>
            <w:gridSpan w:val="7"/>
            <w:shd w:val="clear" w:color="auto" w:fill="auto"/>
            <w:vAlign w:val="center"/>
          </w:tcPr>
          <w:p w:rsidR="00E72FCE" w:rsidRPr="00BF1632" w:rsidRDefault="00E72FCE" w:rsidP="00F12AA9">
            <w:pPr>
              <w:pStyle w:val="TableText"/>
              <w:rPr>
                <w:b/>
              </w:rPr>
            </w:pPr>
            <w:r w:rsidRPr="00BF1632">
              <w:rPr>
                <w:b/>
              </w:rPr>
              <w:t>Estimated extent of ibrutinib use</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Patients initiating treatment</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 xml:space="preserve">''''''''' </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 xml:space="preserve">'''''''''' </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 xml:space="preserve">''''''''' </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 xml:space="preserve">''''''''' </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 xml:space="preserve">'''''''''' </w:t>
            </w:r>
          </w:p>
        </w:tc>
        <w:tc>
          <w:tcPr>
            <w:tcW w:w="541" w:type="pct"/>
          </w:tcPr>
          <w:p w:rsidR="00E72FCE" w:rsidRPr="00F36A91" w:rsidRDefault="00F36A91" w:rsidP="00F12AA9">
            <w:pPr>
              <w:pStyle w:val="TableText"/>
              <w:rPr>
                <w:highlight w:val="black"/>
              </w:rPr>
            </w:pPr>
            <w:r>
              <w:rPr>
                <w:noProof/>
                <w:color w:val="000000"/>
                <w:highlight w:val="black"/>
              </w:rPr>
              <w:t xml:space="preserve">'''''''''' </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Months of ibrutinib treatment</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 xml:space="preserve">Number of scripts dispensed </w:t>
            </w:r>
            <w:r w:rsidRPr="00BF1632">
              <w:rPr>
                <w:vertAlign w:val="superscript"/>
              </w:rPr>
              <w:t>a</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5000" w:type="pct"/>
            <w:gridSpan w:val="7"/>
            <w:shd w:val="clear" w:color="auto" w:fill="auto"/>
            <w:vAlign w:val="center"/>
          </w:tcPr>
          <w:p w:rsidR="00E72FCE" w:rsidRPr="00BF1632" w:rsidRDefault="00E72FCE" w:rsidP="00F12AA9">
            <w:pPr>
              <w:pStyle w:val="TableText"/>
              <w:rPr>
                <w:b/>
              </w:rPr>
            </w:pPr>
            <w:r w:rsidRPr="00BF1632">
              <w:rPr>
                <w:b/>
              </w:rPr>
              <w:t xml:space="preserve">Estimated financial implications of ibrutinib </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Cost to PBS/RPBS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Copayments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Cost to PBS/RPBS less copayments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5000" w:type="pct"/>
            <w:gridSpan w:val="7"/>
            <w:shd w:val="clear" w:color="auto" w:fill="auto"/>
            <w:vAlign w:val="center"/>
          </w:tcPr>
          <w:p w:rsidR="00E72FCE" w:rsidRPr="00BF1632" w:rsidRDefault="00E72FCE" w:rsidP="00F12AA9">
            <w:pPr>
              <w:pStyle w:val="TableText"/>
              <w:rPr>
                <w:b/>
              </w:rPr>
            </w:pPr>
            <w:r w:rsidRPr="00BF1632">
              <w:rPr>
                <w:b/>
              </w:rPr>
              <w:t>Estimated financial implications for R-CHOP and pegfilgrastim</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Cost to PBS/RPBS</w:t>
            </w:r>
          </w:p>
        </w:tc>
        <w:tc>
          <w:tcPr>
            <w:tcW w:w="549"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41" w:type="pct"/>
            <w:vAlign w:val="bottom"/>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Copayments</w:t>
            </w:r>
          </w:p>
        </w:tc>
        <w:tc>
          <w:tcPr>
            <w:tcW w:w="549"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vAlign w:val="bottom"/>
          </w:tcPr>
          <w:p w:rsidR="00E72FCE" w:rsidRPr="00F36A91" w:rsidRDefault="00F36A91" w:rsidP="00F12AA9">
            <w:pPr>
              <w:pStyle w:val="TableText"/>
              <w:rPr>
                <w:highlight w:val="black"/>
              </w:rPr>
            </w:pPr>
            <w:r>
              <w:rPr>
                <w:noProof/>
                <w:color w:val="000000"/>
                <w:highlight w:val="black"/>
              </w:rPr>
              <w:t>''''''''''''''''''''</w:t>
            </w:r>
          </w:p>
        </w:tc>
        <w:tc>
          <w:tcPr>
            <w:tcW w:w="541" w:type="pct"/>
            <w:vAlign w:val="bottom"/>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Cost to PBS/RPBS less copayments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5000" w:type="pct"/>
            <w:gridSpan w:val="7"/>
            <w:shd w:val="clear" w:color="auto" w:fill="auto"/>
            <w:vAlign w:val="center"/>
          </w:tcPr>
          <w:p w:rsidR="00E72FCE" w:rsidRPr="00BF1632" w:rsidRDefault="00E72FCE" w:rsidP="00F12AA9">
            <w:pPr>
              <w:pStyle w:val="TableText"/>
              <w:rPr>
                <w:b/>
              </w:rPr>
            </w:pPr>
            <w:r w:rsidRPr="00BF1632">
              <w:rPr>
                <w:b/>
              </w:rPr>
              <w:t>Estimated net cost to PBS/RPBS/MBS</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Net cost to PBS/RPBS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Net cost to MBS</w:t>
            </w:r>
          </w:p>
        </w:tc>
        <w:tc>
          <w:tcPr>
            <w:tcW w:w="549"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noProof/>
                <w:color w:val="000000"/>
                <w:highlight w:val="black"/>
              </w:rPr>
              <w:t>'''''''''''''''''''</w:t>
            </w:r>
          </w:p>
        </w:tc>
        <w:tc>
          <w:tcPr>
            <w:tcW w:w="541" w:type="pct"/>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Net cost to PBS/RPBS + MBS</w:t>
            </w:r>
          </w:p>
        </w:tc>
        <w:tc>
          <w:tcPr>
            <w:tcW w:w="549"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41" w:type="pct"/>
            <w:vAlign w:val="center"/>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5000" w:type="pct"/>
            <w:gridSpan w:val="7"/>
            <w:shd w:val="clear" w:color="auto" w:fill="auto"/>
            <w:vAlign w:val="center"/>
          </w:tcPr>
          <w:p w:rsidR="00E72FCE" w:rsidRPr="00BF1632" w:rsidRDefault="00E72FCE" w:rsidP="00F12AA9">
            <w:pPr>
              <w:pStyle w:val="TableText"/>
              <w:rPr>
                <w:b/>
              </w:rPr>
            </w:pPr>
            <w:r w:rsidRPr="00BF1632">
              <w:rPr>
                <w:b/>
              </w:rPr>
              <w:t>November 2016 submission</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Net cost to PBS/RPBS</w:t>
            </w:r>
          </w:p>
        </w:tc>
        <w:tc>
          <w:tcPr>
            <w:tcW w:w="549"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50"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46"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37" w:type="pct"/>
            <w:shd w:val="clear" w:color="auto" w:fill="auto"/>
            <w:vAlign w:val="center"/>
          </w:tcPr>
          <w:p w:rsidR="00E72FCE" w:rsidRPr="00F36A91" w:rsidRDefault="00F36A91" w:rsidP="00F12AA9">
            <w:pPr>
              <w:pStyle w:val="TableText"/>
              <w:rPr>
                <w:highlight w:val="black"/>
              </w:rPr>
            </w:pPr>
            <w:r>
              <w:rPr>
                <w:noProof/>
                <w:color w:val="000000"/>
                <w:highlight w:val="black"/>
              </w:rPr>
              <w:t>'''''''''''''''''''''''''''''</w:t>
            </w:r>
          </w:p>
        </w:tc>
        <w:tc>
          <w:tcPr>
            <w:tcW w:w="541" w:type="pct"/>
            <w:vAlign w:val="center"/>
          </w:tcPr>
          <w:p w:rsidR="00E72FCE" w:rsidRPr="00F36A91" w:rsidRDefault="00F36A91" w:rsidP="00F12AA9">
            <w:pPr>
              <w:pStyle w:val="TableText"/>
              <w:rPr>
                <w:highlight w:val="black"/>
              </w:rPr>
            </w:pPr>
            <w:r>
              <w:rPr>
                <w:noProof/>
                <w:color w:val="000000"/>
                <w:highlight w:val="black"/>
              </w:rPr>
              <w:t>''''''''''''''''''''''''''''</w:t>
            </w:r>
          </w:p>
        </w:tc>
      </w:tr>
      <w:tr w:rsidR="00E72FCE" w:rsidRPr="00BF1632" w:rsidTr="002E15F5">
        <w:trPr>
          <w:cantSplit/>
        </w:trPr>
        <w:tc>
          <w:tcPr>
            <w:tcW w:w="1727" w:type="pct"/>
            <w:shd w:val="clear" w:color="auto" w:fill="auto"/>
            <w:vAlign w:val="center"/>
          </w:tcPr>
          <w:p w:rsidR="00E72FCE" w:rsidRPr="00BF1632" w:rsidRDefault="00E72FCE" w:rsidP="00F12AA9">
            <w:pPr>
              <w:pStyle w:val="TableText"/>
            </w:pPr>
            <w:r w:rsidRPr="00BF1632">
              <w:t>Net cost to MBS</w:t>
            </w:r>
          </w:p>
        </w:tc>
        <w:tc>
          <w:tcPr>
            <w:tcW w:w="549" w:type="pct"/>
            <w:shd w:val="clear" w:color="auto" w:fill="auto"/>
            <w:vAlign w:val="center"/>
          </w:tcPr>
          <w:p w:rsidR="00E72FCE" w:rsidRPr="00F36A91" w:rsidRDefault="00F36A91" w:rsidP="00F12AA9">
            <w:pPr>
              <w:pStyle w:val="TableText"/>
              <w:rPr>
                <w:highlight w:val="black"/>
              </w:rPr>
            </w:pPr>
            <w:r>
              <w:rPr>
                <w:bCs/>
                <w:noProof/>
                <w:color w:val="000000"/>
                <w:highlight w:val="black"/>
              </w:rPr>
              <w:t>'''''''</w:t>
            </w:r>
          </w:p>
        </w:tc>
        <w:tc>
          <w:tcPr>
            <w:tcW w:w="550" w:type="pct"/>
            <w:shd w:val="clear" w:color="auto" w:fill="auto"/>
            <w:vAlign w:val="center"/>
          </w:tcPr>
          <w:p w:rsidR="00E72FCE" w:rsidRPr="00F36A91" w:rsidRDefault="00F36A91" w:rsidP="00F12AA9">
            <w:pPr>
              <w:pStyle w:val="TableText"/>
              <w:rPr>
                <w:highlight w:val="black"/>
              </w:rPr>
            </w:pPr>
            <w:r>
              <w:rPr>
                <w:bCs/>
                <w:noProof/>
                <w:color w:val="000000"/>
                <w:highlight w:val="black"/>
              </w:rPr>
              <w:t>''''''</w:t>
            </w:r>
          </w:p>
        </w:tc>
        <w:tc>
          <w:tcPr>
            <w:tcW w:w="550" w:type="pct"/>
            <w:shd w:val="clear" w:color="auto" w:fill="auto"/>
          </w:tcPr>
          <w:p w:rsidR="00E72FCE" w:rsidRPr="00F36A91" w:rsidRDefault="00F36A91" w:rsidP="00F12AA9">
            <w:pPr>
              <w:pStyle w:val="TableText"/>
              <w:rPr>
                <w:highlight w:val="black"/>
              </w:rPr>
            </w:pPr>
            <w:r>
              <w:rPr>
                <w:bCs/>
                <w:noProof/>
                <w:color w:val="000000"/>
                <w:highlight w:val="black"/>
              </w:rPr>
              <w:t>''''''</w:t>
            </w:r>
          </w:p>
        </w:tc>
        <w:tc>
          <w:tcPr>
            <w:tcW w:w="546" w:type="pct"/>
            <w:shd w:val="clear" w:color="auto" w:fill="auto"/>
          </w:tcPr>
          <w:p w:rsidR="00E72FCE" w:rsidRPr="00F36A91" w:rsidRDefault="00F36A91" w:rsidP="00F12AA9">
            <w:pPr>
              <w:pStyle w:val="TableText"/>
              <w:rPr>
                <w:highlight w:val="black"/>
              </w:rPr>
            </w:pPr>
            <w:r>
              <w:rPr>
                <w:bCs/>
                <w:noProof/>
                <w:color w:val="000000"/>
                <w:highlight w:val="black"/>
              </w:rPr>
              <w:t>''''''</w:t>
            </w:r>
          </w:p>
        </w:tc>
        <w:tc>
          <w:tcPr>
            <w:tcW w:w="537" w:type="pct"/>
            <w:shd w:val="clear" w:color="auto" w:fill="auto"/>
          </w:tcPr>
          <w:p w:rsidR="00E72FCE" w:rsidRPr="00F36A91" w:rsidRDefault="00F36A91" w:rsidP="00F12AA9">
            <w:pPr>
              <w:pStyle w:val="TableText"/>
              <w:rPr>
                <w:highlight w:val="black"/>
              </w:rPr>
            </w:pPr>
            <w:r>
              <w:rPr>
                <w:bCs/>
                <w:noProof/>
                <w:color w:val="000000"/>
                <w:highlight w:val="black"/>
              </w:rPr>
              <w:t>'''''</w:t>
            </w:r>
          </w:p>
        </w:tc>
        <w:tc>
          <w:tcPr>
            <w:tcW w:w="541" w:type="pct"/>
            <w:vAlign w:val="center"/>
          </w:tcPr>
          <w:p w:rsidR="00E72FCE" w:rsidRPr="00F36A91" w:rsidRDefault="00F36A91" w:rsidP="00F12AA9">
            <w:pPr>
              <w:pStyle w:val="TableText"/>
              <w:rPr>
                <w:highlight w:val="black"/>
              </w:rPr>
            </w:pPr>
            <w:r>
              <w:rPr>
                <w:bCs/>
                <w:noProof/>
                <w:color w:val="000000"/>
                <w:highlight w:val="black"/>
              </w:rPr>
              <w:t>'''''''</w:t>
            </w:r>
          </w:p>
        </w:tc>
      </w:tr>
    </w:tbl>
    <w:p w:rsidR="00E72FCE" w:rsidRPr="00BF1632" w:rsidRDefault="00E72FCE" w:rsidP="00F12AA9">
      <w:pPr>
        <w:pStyle w:val="TableFooter"/>
        <w:keepNext/>
        <w:rPr>
          <w:rFonts w:cs="Times New Roman"/>
          <w:szCs w:val="18"/>
        </w:rPr>
      </w:pPr>
      <w:r w:rsidRPr="00BF1632">
        <w:t>Source: Calculated during the evaluation based on “</w:t>
      </w:r>
      <w:r w:rsidRPr="00BF1632">
        <w:rPr>
          <w:rFonts w:cs="Times New Roman"/>
          <w:szCs w:val="18"/>
        </w:rPr>
        <w:t>Ibrutinib_RRMCL_Section_4.xlsx”</w:t>
      </w:r>
    </w:p>
    <w:p w:rsidR="00E72FCE" w:rsidRPr="00BF1632" w:rsidRDefault="00E72FCE" w:rsidP="00F12AA9">
      <w:pPr>
        <w:pStyle w:val="TableFooter"/>
        <w:keepNext/>
        <w:rPr>
          <w:rFonts w:eastAsia="MS Gothic"/>
          <w:lang w:val="en-US" w:eastAsia="ja-JP"/>
        </w:rPr>
      </w:pPr>
      <w:r w:rsidRPr="00BF1632">
        <w:t>MBS</w:t>
      </w:r>
      <w:r w:rsidRPr="00BF1632">
        <w:rPr>
          <w:rFonts w:cs="Times New Roman"/>
          <w:szCs w:val="18"/>
        </w:rPr>
        <w:t xml:space="preserve"> = Medicare Benefits Schedule</w:t>
      </w:r>
      <w:r w:rsidRPr="00BF1632">
        <w:rPr>
          <w:rFonts w:eastAsia="MS Gothic"/>
          <w:lang w:val="en-US" w:eastAsia="ja-JP"/>
        </w:rPr>
        <w:t>; PBS = Pharmaceutical Benefits Scheme;</w:t>
      </w:r>
      <w:r w:rsidRPr="00BF1632">
        <w:t xml:space="preserve"> </w:t>
      </w:r>
      <w:r w:rsidRPr="00BF1632">
        <w:rPr>
          <w:rFonts w:eastAsia="MS Gothic"/>
          <w:lang w:val="en-US" w:eastAsia="ja-JP"/>
        </w:rPr>
        <w:t>R-CHOP = rituximab, cyclophosphamide, doxorubicin, vincristine, prednisone; RPBS = Repatriation Pharmaceutical Benefits Scheme</w:t>
      </w:r>
    </w:p>
    <w:p w:rsidR="00E72FCE" w:rsidRPr="00BF1632" w:rsidRDefault="00E72FCE" w:rsidP="00F12AA9">
      <w:pPr>
        <w:pStyle w:val="TableFooter"/>
        <w:keepNext/>
      </w:pPr>
      <w:r w:rsidRPr="00BF1632">
        <w:rPr>
          <w:vertAlign w:val="superscript"/>
        </w:rPr>
        <w:t>a</w:t>
      </w:r>
      <w:r w:rsidRPr="00BF1632">
        <w:t xml:space="preserve"> Based on the Kaplan-Meier estimators for progression free survival from the economic model (treatment months x 95.96% (dose intensity))</w:t>
      </w:r>
    </w:p>
    <w:p w:rsidR="00D4639A" w:rsidRPr="00D4639A" w:rsidRDefault="00D4639A" w:rsidP="00D4639A">
      <w:pPr>
        <w:pStyle w:val="ListParagraph"/>
        <w:spacing w:before="0" w:after="120"/>
        <w:ind w:left="576"/>
        <w:jc w:val="both"/>
        <w:rPr>
          <w:color w:val="4472C4" w:themeColor="accent5"/>
        </w:rPr>
      </w:pPr>
      <w:r w:rsidRPr="00070622">
        <w:rPr>
          <w:color w:val="000000" w:themeColor="text1"/>
        </w:rPr>
        <w:t xml:space="preserve">The redacted table shows that at year 5, the estimated number of patients was less than 10,000 per year and the net </w:t>
      </w:r>
      <w:r>
        <w:rPr>
          <w:color w:val="000000" w:themeColor="text1"/>
        </w:rPr>
        <w:t>cost</w:t>
      </w:r>
      <w:r w:rsidRPr="00070622">
        <w:rPr>
          <w:color w:val="000000" w:themeColor="text1"/>
        </w:rPr>
        <w:t xml:space="preserve"> to </w:t>
      </w:r>
      <w:r>
        <w:rPr>
          <w:color w:val="000000" w:themeColor="text1"/>
        </w:rPr>
        <w:t>the PBS</w:t>
      </w:r>
      <w:r w:rsidRPr="00070622">
        <w:rPr>
          <w:color w:val="000000" w:themeColor="text1"/>
        </w:rPr>
        <w:t xml:space="preserve"> would be </w:t>
      </w:r>
      <w:r>
        <w:rPr>
          <w:color w:val="000000" w:themeColor="text1"/>
        </w:rPr>
        <w:t>less than $10 - $20 million per year</w:t>
      </w:r>
      <w:r w:rsidRPr="00070622">
        <w:rPr>
          <w:color w:val="000000" w:themeColor="text1"/>
        </w:rPr>
        <w:t>.</w:t>
      </w:r>
    </w:p>
    <w:p w:rsidR="00E72FCE" w:rsidRPr="00BF1632" w:rsidRDefault="00E72FCE" w:rsidP="000D6801">
      <w:pPr>
        <w:pStyle w:val="ListParagraph"/>
        <w:numPr>
          <w:ilvl w:val="1"/>
          <w:numId w:val="1"/>
        </w:numPr>
        <w:spacing w:before="0" w:after="120"/>
        <w:jc w:val="both"/>
        <w:rPr>
          <w:color w:val="4472C4" w:themeColor="accent5"/>
        </w:rPr>
      </w:pPr>
      <w:r w:rsidRPr="00BF1632">
        <w:t xml:space="preserve">The resubmission estimated a net cost to PBS/RPBS and MBS of </w:t>
      </w:r>
      <w:r w:rsidR="00E143EA">
        <w:t>$60 - $100</w:t>
      </w:r>
      <w:r w:rsidRPr="00BF1632">
        <w:t xml:space="preserve"> million over the first six years. The net cost was lower than estimated in the November 2016 submission due to the lower ibrutinib drug costs, reduced patients numbers and the use of the Kaplan-Meier method to estimate treatment utilisation.</w:t>
      </w:r>
    </w:p>
    <w:p w:rsidR="00157EE1" w:rsidRPr="00BF1632" w:rsidRDefault="0057442B" w:rsidP="000D6801">
      <w:pPr>
        <w:pStyle w:val="ListParagraph"/>
        <w:numPr>
          <w:ilvl w:val="1"/>
          <w:numId w:val="1"/>
        </w:numPr>
        <w:spacing w:before="0" w:after="120"/>
        <w:jc w:val="both"/>
        <w:rPr>
          <w:color w:val="4472C4" w:themeColor="accent5"/>
        </w:rPr>
      </w:pPr>
      <w:r w:rsidRPr="00BF1632">
        <w:t>The PSCR</w:t>
      </w:r>
      <w:r w:rsidR="0077094D" w:rsidRPr="00BF1632">
        <w:t xml:space="preserve"> (p4)</w:t>
      </w:r>
      <w:r w:rsidR="005D151D" w:rsidRPr="00BF1632">
        <w:t xml:space="preserve"> argued </w:t>
      </w:r>
      <w:r w:rsidRPr="00BF1632">
        <w:t>that the number of prevalent mantle cell lymphoma patients estimated in the resubmission for 2017 (</w:t>
      </w:r>
      <w:r w:rsidR="004032A3" w:rsidRPr="00070622">
        <w:rPr>
          <w:color w:val="000000" w:themeColor="text1"/>
        </w:rPr>
        <w:t>less than 10,000</w:t>
      </w:r>
      <w:r w:rsidRPr="00BF1632">
        <w:t>) was reasonable.</w:t>
      </w:r>
      <w:r w:rsidR="005D151D" w:rsidRPr="00BF1632">
        <w:t xml:space="preserve"> The PSCR stated that t</w:t>
      </w:r>
      <w:r w:rsidRPr="00BF1632">
        <w:t xml:space="preserve">he prevalent population estimated by the </w:t>
      </w:r>
      <w:r w:rsidR="000511FE" w:rsidRPr="00BF1632">
        <w:t>AI</w:t>
      </w:r>
      <w:r w:rsidR="000511FE">
        <w:t>HW</w:t>
      </w:r>
      <w:r w:rsidR="000511FE" w:rsidRPr="00BF1632">
        <w:t xml:space="preserve"> </w:t>
      </w:r>
      <w:r w:rsidRPr="00BF1632">
        <w:t>(</w:t>
      </w:r>
      <w:r w:rsidR="004032A3" w:rsidRPr="00070622">
        <w:rPr>
          <w:color w:val="000000" w:themeColor="text1"/>
        </w:rPr>
        <w:t>less than 10,000</w:t>
      </w:r>
      <w:r w:rsidRPr="00BF1632">
        <w:t>) was for the year 2010</w:t>
      </w:r>
      <w:r w:rsidR="005D151D" w:rsidRPr="00BF1632">
        <w:t xml:space="preserve"> and t</w:t>
      </w:r>
      <w:r w:rsidRPr="00BF1632">
        <w:t xml:space="preserve">herefore, extrapolation of this population to </w:t>
      </w:r>
      <w:r w:rsidR="004032A3" w:rsidRPr="00070622">
        <w:rPr>
          <w:color w:val="000000" w:themeColor="text1"/>
        </w:rPr>
        <w:t xml:space="preserve">less than 10,000 </w:t>
      </w:r>
      <w:r w:rsidRPr="00BF1632">
        <w:t xml:space="preserve">in 2017 was required. </w:t>
      </w:r>
    </w:p>
    <w:p w:rsidR="00FF6AE6" w:rsidRPr="00BF1632" w:rsidRDefault="00FF6AE6" w:rsidP="000D6801">
      <w:pPr>
        <w:pStyle w:val="ListParagraph"/>
        <w:numPr>
          <w:ilvl w:val="1"/>
          <w:numId w:val="1"/>
        </w:numPr>
        <w:spacing w:before="0" w:after="120"/>
        <w:jc w:val="both"/>
        <w:rPr>
          <w:color w:val="4472C4" w:themeColor="accent5"/>
        </w:rPr>
      </w:pPr>
      <w:r w:rsidRPr="00BF1632">
        <w:t>The PSCR (p4) argued that the number of patients eligible for ibrutinib should be higher than that for lenalidomide because the listing proposed is less restrictive and prevalent patients were appropriately included.</w:t>
      </w:r>
    </w:p>
    <w:p w:rsidR="00E72FCE" w:rsidRPr="00BF1632" w:rsidRDefault="00E72FCE" w:rsidP="000D6801">
      <w:pPr>
        <w:pStyle w:val="ListParagraph"/>
        <w:numPr>
          <w:ilvl w:val="1"/>
          <w:numId w:val="1"/>
        </w:numPr>
        <w:spacing w:before="0" w:after="120"/>
        <w:jc w:val="both"/>
        <w:rPr>
          <w:color w:val="4472C4" w:themeColor="accent5"/>
        </w:rPr>
      </w:pPr>
      <w:r w:rsidRPr="00BF1632">
        <w:t>The</w:t>
      </w:r>
      <w:r w:rsidR="000E76B8">
        <w:t xml:space="preserve"> evaluation considered there</w:t>
      </w:r>
      <w:r w:rsidRPr="00BF1632">
        <w:t xml:space="preserve"> was potential for the net cost per year of listing ibrutinib to the PBS/RPBS to be greater or less than the estimate in the resubmission given that:</w:t>
      </w:r>
    </w:p>
    <w:p w:rsidR="00E72FCE" w:rsidRPr="00BF1632" w:rsidRDefault="00E72FCE" w:rsidP="000D6801">
      <w:pPr>
        <w:numPr>
          <w:ilvl w:val="0"/>
          <w:numId w:val="18"/>
        </w:numPr>
        <w:spacing w:before="0" w:after="120"/>
        <w:jc w:val="both"/>
      </w:pPr>
      <w:r w:rsidRPr="00BF1632">
        <w:t>there was uncertainty in the estimated number of treated patients as:</w:t>
      </w:r>
    </w:p>
    <w:p w:rsidR="00E72FCE" w:rsidRPr="00BF1632" w:rsidRDefault="00E72FCE" w:rsidP="000D6801">
      <w:pPr>
        <w:widowControl w:val="0"/>
        <w:numPr>
          <w:ilvl w:val="1"/>
          <w:numId w:val="16"/>
        </w:numPr>
        <w:spacing w:before="0" w:after="120"/>
        <w:ind w:left="1434" w:hanging="357"/>
        <w:contextualSpacing/>
        <w:jc w:val="both"/>
        <w:rPr>
          <w:szCs w:val="24"/>
        </w:rPr>
      </w:pPr>
      <w:r w:rsidRPr="00BF1632">
        <w:rPr>
          <w:szCs w:val="24"/>
        </w:rPr>
        <w:t>treatment duration of ibrutinib was model-based; and</w:t>
      </w:r>
    </w:p>
    <w:p w:rsidR="00E72FCE" w:rsidRPr="00BF1632" w:rsidRDefault="00E72FCE" w:rsidP="000D6801">
      <w:pPr>
        <w:widowControl w:val="0"/>
        <w:numPr>
          <w:ilvl w:val="1"/>
          <w:numId w:val="16"/>
        </w:numPr>
        <w:spacing w:before="0" w:after="120"/>
        <w:contextualSpacing/>
        <w:jc w:val="both"/>
        <w:rPr>
          <w:szCs w:val="24"/>
        </w:rPr>
      </w:pPr>
      <w:r w:rsidRPr="00BF1632">
        <w:rPr>
          <w:szCs w:val="24"/>
        </w:rPr>
        <w:t>the estimated rate of patients who relapse and receive second-line therapy (</w:t>
      </w:r>
      <w:r w:rsidR="00F36A91">
        <w:rPr>
          <w:noProof/>
          <w:color w:val="000000"/>
          <w:szCs w:val="24"/>
          <w:highlight w:val="black"/>
        </w:rPr>
        <w:t>'''''</w:t>
      </w:r>
      <w:r w:rsidRPr="00BF1632">
        <w:rPr>
          <w:szCs w:val="24"/>
        </w:rPr>
        <w:t>%) could be higher or lower;</w:t>
      </w:r>
    </w:p>
    <w:p w:rsidR="00E72FCE" w:rsidRPr="00BF1632" w:rsidRDefault="00E72FCE" w:rsidP="000D6801">
      <w:pPr>
        <w:numPr>
          <w:ilvl w:val="0"/>
          <w:numId w:val="16"/>
        </w:numPr>
        <w:spacing w:before="0" w:after="120"/>
        <w:ind w:left="1077" w:hanging="357"/>
        <w:jc w:val="both"/>
      </w:pPr>
      <w:r w:rsidRPr="00BF1632">
        <w:t>the cost off-sets were uncertain as:</w:t>
      </w:r>
    </w:p>
    <w:p w:rsidR="00E72FCE" w:rsidRPr="00BF1632" w:rsidRDefault="00E72FCE" w:rsidP="000D6801">
      <w:pPr>
        <w:widowControl w:val="0"/>
        <w:numPr>
          <w:ilvl w:val="1"/>
          <w:numId w:val="16"/>
        </w:numPr>
        <w:spacing w:before="0" w:after="120"/>
        <w:contextualSpacing/>
        <w:jc w:val="both"/>
      </w:pPr>
      <w:r w:rsidRPr="00BF1632">
        <w:t xml:space="preserve">other immunochemotherapies, which could be used in place of R-CHOP, might have been more or less expensive; </w:t>
      </w:r>
    </w:p>
    <w:p w:rsidR="00E72FCE" w:rsidRPr="00BF1632" w:rsidRDefault="00E72FCE" w:rsidP="000D6801">
      <w:pPr>
        <w:widowControl w:val="0"/>
        <w:numPr>
          <w:ilvl w:val="1"/>
          <w:numId w:val="16"/>
        </w:numPr>
        <w:spacing w:before="0" w:after="120"/>
        <w:contextualSpacing/>
        <w:jc w:val="both"/>
      </w:pPr>
      <w:r w:rsidRPr="00BF1632">
        <w:t>treatment duration of R-CHOP was model-based; and</w:t>
      </w:r>
    </w:p>
    <w:p w:rsidR="00E72FCE" w:rsidRPr="00BF1632" w:rsidRDefault="00E72FCE" w:rsidP="000D6801">
      <w:pPr>
        <w:widowControl w:val="0"/>
        <w:numPr>
          <w:ilvl w:val="1"/>
          <w:numId w:val="16"/>
        </w:numPr>
        <w:spacing w:before="0" w:after="120"/>
        <w:contextualSpacing/>
        <w:jc w:val="both"/>
      </w:pPr>
      <w:r w:rsidRPr="00BF1632">
        <w:t>the treatment of adverse events with PBS medications could be greater as the submission only considered costs associated with neutropenia.</w:t>
      </w:r>
    </w:p>
    <w:p w:rsidR="0057442B" w:rsidRDefault="005A6793" w:rsidP="000D6801">
      <w:pPr>
        <w:pStyle w:val="ListParagraph"/>
        <w:numPr>
          <w:ilvl w:val="1"/>
          <w:numId w:val="1"/>
        </w:numPr>
        <w:spacing w:before="0" w:after="120"/>
        <w:jc w:val="both"/>
      </w:pPr>
      <w:r w:rsidRPr="00BF1632">
        <w:t xml:space="preserve">The ESC considered there were uncertainties related to the estimated </w:t>
      </w:r>
      <w:r w:rsidR="008C6DF2" w:rsidRPr="00BF1632">
        <w:t xml:space="preserve">proportion </w:t>
      </w:r>
      <w:r w:rsidRPr="00BF1632">
        <w:t>of patients who relapse and receive second-line therapy (</w:t>
      </w:r>
      <w:r w:rsidR="00F36A91">
        <w:rPr>
          <w:noProof/>
          <w:color w:val="000000"/>
          <w:highlight w:val="black"/>
        </w:rPr>
        <w:t>''''''</w:t>
      </w:r>
      <w:r w:rsidRPr="00BF1632">
        <w:t>%) and the proportion of patients with WHO scores of two or less (</w:t>
      </w:r>
      <w:r w:rsidR="00F36A91">
        <w:rPr>
          <w:noProof/>
          <w:color w:val="000000"/>
          <w:highlight w:val="black"/>
        </w:rPr>
        <w:t>'''''''''''</w:t>
      </w:r>
      <w:r w:rsidRPr="00BF1632">
        <w:t>%) and the uptake rate (</w:t>
      </w:r>
      <w:r w:rsidR="00F36A91">
        <w:rPr>
          <w:noProof/>
          <w:color w:val="000000"/>
          <w:highlight w:val="black"/>
        </w:rPr>
        <w:t>''''''</w:t>
      </w:r>
      <w:r w:rsidRPr="00BF1632">
        <w:t>%).</w:t>
      </w:r>
      <w:r w:rsidR="005D0593" w:rsidRPr="00BF1632">
        <w:t xml:space="preserve"> </w:t>
      </w:r>
    </w:p>
    <w:p w:rsidR="00D61399" w:rsidRPr="00BF1632" w:rsidRDefault="00D61399" w:rsidP="000D6801">
      <w:pPr>
        <w:pStyle w:val="ListParagraph"/>
        <w:numPr>
          <w:ilvl w:val="1"/>
          <w:numId w:val="1"/>
        </w:numPr>
        <w:spacing w:before="0" w:after="120"/>
        <w:jc w:val="both"/>
      </w:pPr>
      <w:r>
        <w:t xml:space="preserve">The PBAC considered </w:t>
      </w:r>
      <w:r w:rsidR="0001362C">
        <w:t xml:space="preserve">that the estimated </w:t>
      </w:r>
      <w:r w:rsidR="00012696">
        <w:t>number of treated patients and the associated financial costs were overestimated, this was in part due to assuming</w:t>
      </w:r>
      <w:r w:rsidR="00871FDF">
        <w:t xml:space="preserve"> a high uptake rate and</w:t>
      </w:r>
      <w:r w:rsidR="00012696">
        <w:t xml:space="preserve"> the same uptake for prevalent and incident patients. The PBAC further considered </w:t>
      </w:r>
      <w:r>
        <w:t xml:space="preserve">there was potential for leakage of ibrutinib </w:t>
      </w:r>
      <w:r w:rsidR="00C67D48">
        <w:t>outside the intended</w:t>
      </w:r>
      <w:r>
        <w:t xml:space="preserve"> patient population, for example </w:t>
      </w:r>
      <w:r w:rsidR="005168C0">
        <w:t>as use in the</w:t>
      </w:r>
      <w:r w:rsidR="00C67D48">
        <w:t xml:space="preserve"> </w:t>
      </w:r>
      <w:r>
        <w:t xml:space="preserve">first-line </w:t>
      </w:r>
      <w:r w:rsidR="005168C0">
        <w:t>setting in</w:t>
      </w:r>
      <w:r>
        <w:t xml:space="preserve"> patients unable to tolerate R-CHOP.</w:t>
      </w:r>
    </w:p>
    <w:p w:rsidR="00C317F3" w:rsidRPr="00BF1632" w:rsidRDefault="00C317F3" w:rsidP="006D336B">
      <w:pPr>
        <w:pStyle w:val="Heading2"/>
        <w:spacing w:before="0"/>
        <w:rPr>
          <w:i w:val="0"/>
        </w:rPr>
      </w:pPr>
      <w:bookmarkStart w:id="35" w:name="_Toc413139285"/>
      <w:bookmarkStart w:id="36" w:name="_Toc493002981"/>
      <w:r w:rsidRPr="00BF1632">
        <w:rPr>
          <w:i w:val="0"/>
        </w:rPr>
        <w:t xml:space="preserve">Quality </w:t>
      </w:r>
      <w:r w:rsidR="00661286" w:rsidRPr="00BF1632">
        <w:rPr>
          <w:i w:val="0"/>
        </w:rPr>
        <w:t>u</w:t>
      </w:r>
      <w:r w:rsidRPr="00BF1632">
        <w:rPr>
          <w:i w:val="0"/>
        </w:rPr>
        <w:t xml:space="preserve">se of </w:t>
      </w:r>
      <w:r w:rsidR="00661286" w:rsidRPr="00BF1632">
        <w:rPr>
          <w:i w:val="0"/>
        </w:rPr>
        <w:t>m</w:t>
      </w:r>
      <w:r w:rsidRPr="00BF1632">
        <w:rPr>
          <w:i w:val="0"/>
        </w:rPr>
        <w:t>edicines</w:t>
      </w:r>
      <w:bookmarkEnd w:id="35"/>
      <w:bookmarkEnd w:id="36"/>
    </w:p>
    <w:p w:rsidR="00E72FCE" w:rsidRPr="00BF1632" w:rsidRDefault="00E72FCE" w:rsidP="000D6801">
      <w:pPr>
        <w:pStyle w:val="ListParagraph"/>
        <w:numPr>
          <w:ilvl w:val="1"/>
          <w:numId w:val="1"/>
        </w:numPr>
        <w:spacing w:before="0" w:after="120"/>
        <w:jc w:val="both"/>
        <w:rPr>
          <w:color w:val="4472C4" w:themeColor="accent5"/>
        </w:rPr>
      </w:pPr>
      <w:r w:rsidRPr="00BF1632">
        <w:t>The resubmission did not provide specific information on the quality use of medicines.</w:t>
      </w:r>
    </w:p>
    <w:p w:rsidR="00C317F3" w:rsidRPr="00BF1632" w:rsidRDefault="00C317F3" w:rsidP="00772501">
      <w:pPr>
        <w:pStyle w:val="Heading2"/>
        <w:rPr>
          <w:i w:val="0"/>
        </w:rPr>
      </w:pPr>
      <w:bookmarkStart w:id="37" w:name="_Toc413139286"/>
      <w:bookmarkStart w:id="38" w:name="_Toc493002982"/>
      <w:r w:rsidRPr="00BF1632">
        <w:rPr>
          <w:i w:val="0"/>
        </w:rPr>
        <w:t xml:space="preserve">Financial </w:t>
      </w:r>
      <w:r w:rsidR="00661286" w:rsidRPr="00BF1632">
        <w:rPr>
          <w:i w:val="0"/>
        </w:rPr>
        <w:t>m</w:t>
      </w:r>
      <w:r w:rsidRPr="00BF1632">
        <w:rPr>
          <w:i w:val="0"/>
        </w:rPr>
        <w:t xml:space="preserve">anagement – </w:t>
      </w:r>
      <w:r w:rsidR="00661286" w:rsidRPr="00BF1632">
        <w:rPr>
          <w:i w:val="0"/>
        </w:rPr>
        <w:t>r</w:t>
      </w:r>
      <w:r w:rsidRPr="00BF1632">
        <w:rPr>
          <w:i w:val="0"/>
        </w:rPr>
        <w:t xml:space="preserve">isk </w:t>
      </w:r>
      <w:r w:rsidR="00661286" w:rsidRPr="00BF1632">
        <w:rPr>
          <w:i w:val="0"/>
        </w:rPr>
        <w:t>s</w:t>
      </w:r>
      <w:r w:rsidRPr="00BF1632">
        <w:rPr>
          <w:i w:val="0"/>
        </w:rPr>
        <w:t xml:space="preserve">haring </w:t>
      </w:r>
      <w:r w:rsidR="00661286" w:rsidRPr="00BF1632">
        <w:rPr>
          <w:i w:val="0"/>
        </w:rPr>
        <w:t>a</w:t>
      </w:r>
      <w:r w:rsidRPr="00BF1632">
        <w:rPr>
          <w:i w:val="0"/>
        </w:rPr>
        <w:t>rrangements</w:t>
      </w:r>
      <w:bookmarkEnd w:id="37"/>
      <w:bookmarkEnd w:id="38"/>
    </w:p>
    <w:p w:rsidR="00E72FCE" w:rsidRDefault="00E72FCE" w:rsidP="00EC4A70">
      <w:pPr>
        <w:pStyle w:val="ListParagraph"/>
        <w:numPr>
          <w:ilvl w:val="1"/>
          <w:numId w:val="1"/>
        </w:numPr>
        <w:spacing w:before="0" w:after="120"/>
        <w:ind w:left="720" w:hanging="720"/>
        <w:jc w:val="both"/>
        <w:rPr>
          <w:color w:val="4472C4" w:themeColor="accent5"/>
        </w:rPr>
      </w:pPr>
      <w:r w:rsidRPr="00BF1632">
        <w:t xml:space="preserve">The resubmission stated that </w:t>
      </w:r>
      <w:r w:rsidR="00BA6EAC" w:rsidRPr="00BF1632">
        <w:t>the sponsor</w:t>
      </w:r>
      <w:r w:rsidRPr="00BF1632">
        <w:t xml:space="preserve"> would be </w:t>
      </w:r>
      <w:r w:rsidR="002F6455" w:rsidRPr="00BF1632">
        <w:t xml:space="preserve">open </w:t>
      </w:r>
      <w:r w:rsidRPr="00BF1632">
        <w:t>to exploring a Risk Share Agreement which would be of similar structure (and with a similar intent) to that of ibrutinib for relapsed or refractory chronic lymphocytic leukaemia.</w:t>
      </w:r>
      <w:r w:rsidRPr="00BF1632">
        <w:rPr>
          <w:color w:val="4472C4" w:themeColor="accent5"/>
        </w:rPr>
        <w:t xml:space="preserve"> </w:t>
      </w:r>
    </w:p>
    <w:p w:rsidR="00F126C6" w:rsidRPr="00F126C6" w:rsidRDefault="00F126C6" w:rsidP="00FB1903">
      <w:pPr>
        <w:pStyle w:val="ListParagraph"/>
        <w:spacing w:before="0" w:after="120"/>
        <w:jc w:val="both"/>
        <w:rPr>
          <w:i/>
        </w:rPr>
      </w:pPr>
      <w:r w:rsidRPr="00F126C6">
        <w:rPr>
          <w:i/>
        </w:rPr>
        <w:t>For more detail on PBAC’s view, see section 7 PBAC outcome.</w:t>
      </w:r>
    </w:p>
    <w:p w:rsidR="00EC4A70" w:rsidRPr="000F29C4" w:rsidRDefault="00EC4A70" w:rsidP="00EC4A70">
      <w:pPr>
        <w:pStyle w:val="Heading1"/>
        <w:ind w:left="720" w:hanging="720"/>
        <w:rPr>
          <w:rFonts w:ascii="Calibri" w:eastAsia="Times New Roman" w:hAnsi="Calibri" w:cs="Arial"/>
          <w:bCs/>
          <w:snapToGrid w:val="0"/>
          <w:szCs w:val="24"/>
        </w:rPr>
      </w:pPr>
      <w:r w:rsidRPr="000F29C4">
        <w:rPr>
          <w:rFonts w:ascii="Calibri" w:eastAsia="Times New Roman" w:hAnsi="Calibri" w:cs="Arial"/>
          <w:bCs/>
          <w:snapToGrid w:val="0"/>
          <w:szCs w:val="24"/>
        </w:rPr>
        <w:t>PBAC Outcome</w:t>
      </w:r>
    </w:p>
    <w:p w:rsidR="00855AE9" w:rsidRPr="00DA3331" w:rsidRDefault="00855AE9" w:rsidP="0082799C">
      <w:pPr>
        <w:pStyle w:val="ListParagraph"/>
        <w:numPr>
          <w:ilvl w:val="1"/>
          <w:numId w:val="1"/>
        </w:numPr>
        <w:spacing w:before="0" w:after="120"/>
        <w:ind w:left="578" w:hanging="578"/>
        <w:jc w:val="both"/>
        <w:rPr>
          <w:rFonts w:ascii="Calibri" w:eastAsia="Times New Roman" w:hAnsi="Calibri" w:cs="Arial"/>
          <w:bCs/>
          <w:snapToGrid w:val="0"/>
          <w:szCs w:val="24"/>
          <w:lang w:val="en-GB"/>
        </w:rPr>
      </w:pPr>
      <w:r w:rsidRPr="0082799C">
        <w:rPr>
          <w:rFonts w:ascii="Calibri" w:eastAsia="Times New Roman" w:hAnsi="Calibri" w:cs="Arial"/>
          <w:bCs/>
          <w:snapToGrid w:val="0"/>
          <w:szCs w:val="24"/>
          <w:lang w:val="en-GB"/>
        </w:rPr>
        <w:t xml:space="preserve">The PBAC </w:t>
      </w:r>
      <w:r w:rsidR="00CE3AE0">
        <w:rPr>
          <w:rFonts w:ascii="Calibri" w:eastAsia="Times New Roman" w:hAnsi="Calibri" w:cs="Arial"/>
          <w:bCs/>
          <w:snapToGrid w:val="0"/>
          <w:szCs w:val="24"/>
          <w:lang w:val="en-GB"/>
        </w:rPr>
        <w:t>did</w:t>
      </w:r>
      <w:r w:rsidR="00CE3AE0" w:rsidRPr="00BE76A2">
        <w:rPr>
          <w:rFonts w:ascii="Calibri" w:eastAsia="Times New Roman" w:hAnsi="Calibri" w:cs="Arial"/>
          <w:bCs/>
          <w:snapToGrid w:val="0"/>
          <w:szCs w:val="24"/>
          <w:lang w:val="en-GB"/>
        </w:rPr>
        <w:t xml:space="preserve"> </w:t>
      </w:r>
      <w:r w:rsidRPr="00BE76A2">
        <w:rPr>
          <w:rFonts w:ascii="Calibri" w:eastAsia="Times New Roman" w:hAnsi="Calibri" w:cs="Arial"/>
          <w:bCs/>
          <w:snapToGrid w:val="0"/>
          <w:szCs w:val="24"/>
          <w:lang w:val="en-GB"/>
        </w:rPr>
        <w:t xml:space="preserve">not </w:t>
      </w:r>
      <w:r w:rsidRPr="0082799C">
        <w:rPr>
          <w:rFonts w:ascii="Calibri" w:eastAsia="Times New Roman" w:hAnsi="Calibri" w:cs="Arial"/>
          <w:bCs/>
          <w:snapToGrid w:val="0"/>
          <w:szCs w:val="24"/>
          <w:lang w:val="en-GB"/>
        </w:rPr>
        <w:t xml:space="preserve">recommend the listing of ibrutinib for </w:t>
      </w:r>
      <w:r w:rsidRPr="00BE76A2">
        <w:rPr>
          <w:rFonts w:ascii="Calibri" w:eastAsia="Times New Roman" w:hAnsi="Calibri" w:cs="Arial"/>
          <w:bCs/>
          <w:snapToGrid w:val="0"/>
          <w:szCs w:val="24"/>
          <w:lang w:val="en-GB"/>
        </w:rPr>
        <w:t xml:space="preserve">mantle cell lymphoma on the basis of an </w:t>
      </w:r>
      <w:r w:rsidRPr="00411E8A">
        <w:rPr>
          <w:rFonts w:ascii="Calibri" w:eastAsia="Times New Roman" w:hAnsi="Calibri" w:cs="Arial"/>
          <w:bCs/>
          <w:snapToGrid w:val="0"/>
          <w:szCs w:val="24"/>
          <w:lang w:val="en-GB"/>
        </w:rPr>
        <w:t xml:space="preserve">unacceptably high </w:t>
      </w:r>
      <w:r w:rsidR="00C3225D" w:rsidRPr="00411E8A">
        <w:rPr>
          <w:rFonts w:ascii="Calibri" w:eastAsia="Times New Roman" w:hAnsi="Calibri" w:cs="Arial"/>
          <w:bCs/>
          <w:snapToGrid w:val="0"/>
          <w:szCs w:val="24"/>
          <w:lang w:val="en-GB"/>
        </w:rPr>
        <w:t>incremental cost per quality adjusted years (QALY) gained</w:t>
      </w:r>
      <w:r w:rsidR="009E6662">
        <w:rPr>
          <w:rFonts w:ascii="Calibri" w:eastAsia="Times New Roman" w:hAnsi="Calibri" w:cs="Arial"/>
          <w:bCs/>
          <w:snapToGrid w:val="0"/>
          <w:szCs w:val="24"/>
          <w:lang w:val="en-GB"/>
        </w:rPr>
        <w:t xml:space="preserve">. Further, the PBAC considered that the </w:t>
      </w:r>
      <w:r w:rsidR="009E6662" w:rsidRPr="00411E8A">
        <w:rPr>
          <w:rFonts w:ascii="Calibri" w:eastAsia="Times New Roman" w:hAnsi="Calibri" w:cs="Arial"/>
          <w:bCs/>
          <w:snapToGrid w:val="0"/>
          <w:szCs w:val="24"/>
          <w:lang w:val="en-GB"/>
        </w:rPr>
        <w:t>financial impact</w:t>
      </w:r>
      <w:r w:rsidR="009E6662">
        <w:rPr>
          <w:rFonts w:ascii="Calibri" w:eastAsia="Times New Roman" w:hAnsi="Calibri" w:cs="Arial"/>
          <w:bCs/>
          <w:snapToGrid w:val="0"/>
          <w:szCs w:val="24"/>
          <w:lang w:val="en-GB"/>
        </w:rPr>
        <w:t xml:space="preserve"> was </w:t>
      </w:r>
      <w:r w:rsidR="00FE3EE3" w:rsidRPr="00DA3331">
        <w:rPr>
          <w:rFonts w:ascii="Calibri" w:eastAsia="Times New Roman" w:hAnsi="Calibri" w:cs="Arial"/>
          <w:bCs/>
          <w:snapToGrid w:val="0"/>
          <w:szCs w:val="24"/>
          <w:lang w:val="en-GB"/>
        </w:rPr>
        <w:t>high and</w:t>
      </w:r>
      <w:r w:rsidR="00DD16A4" w:rsidRPr="00AF4BF9">
        <w:rPr>
          <w:rFonts w:ascii="Calibri" w:eastAsia="Times New Roman" w:hAnsi="Calibri" w:cs="Arial"/>
          <w:bCs/>
          <w:snapToGrid w:val="0"/>
          <w:szCs w:val="24"/>
          <w:lang w:val="en-GB"/>
        </w:rPr>
        <w:t xml:space="preserve"> likely</w:t>
      </w:r>
      <w:r w:rsidR="00FE3EE3" w:rsidRPr="00411E8A">
        <w:rPr>
          <w:rFonts w:ascii="Calibri" w:eastAsia="Times New Roman" w:hAnsi="Calibri" w:cs="Arial"/>
          <w:bCs/>
          <w:snapToGrid w:val="0"/>
          <w:szCs w:val="24"/>
          <w:lang w:val="en-GB"/>
        </w:rPr>
        <w:t xml:space="preserve"> overestimated</w:t>
      </w:r>
      <w:r w:rsidR="00231193" w:rsidRPr="00411E8A">
        <w:rPr>
          <w:rFonts w:ascii="Calibri" w:eastAsia="Times New Roman" w:hAnsi="Calibri" w:cs="Arial"/>
          <w:bCs/>
          <w:snapToGrid w:val="0"/>
          <w:szCs w:val="24"/>
          <w:lang w:val="en-GB"/>
        </w:rPr>
        <w:t xml:space="preserve">. </w:t>
      </w:r>
    </w:p>
    <w:p w:rsidR="00855AE9" w:rsidRPr="00BE76A2" w:rsidRDefault="00855AE9" w:rsidP="0082799C">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 xml:space="preserve">The PBAC </w:t>
      </w:r>
      <w:r w:rsidR="00C3225D">
        <w:rPr>
          <w:rFonts w:ascii="Calibri" w:eastAsia="Times New Roman" w:hAnsi="Calibri" w:cs="Arial"/>
          <w:bCs/>
          <w:snapToGrid w:val="0"/>
          <w:szCs w:val="24"/>
          <w:lang w:val="en-GB"/>
        </w:rPr>
        <w:t>acknowledged</w:t>
      </w:r>
      <w:r w:rsidRPr="00BE76A2">
        <w:rPr>
          <w:rFonts w:ascii="Calibri" w:eastAsia="Times New Roman" w:hAnsi="Calibri" w:cs="Arial"/>
          <w:bCs/>
          <w:snapToGrid w:val="0"/>
          <w:szCs w:val="24"/>
          <w:lang w:val="en-GB"/>
        </w:rPr>
        <w:t xml:space="preserve"> the</w:t>
      </w:r>
      <w:r w:rsidR="00C3225D">
        <w:rPr>
          <w:rFonts w:ascii="Calibri" w:eastAsia="Times New Roman" w:hAnsi="Calibri" w:cs="Arial"/>
          <w:bCs/>
          <w:snapToGrid w:val="0"/>
          <w:szCs w:val="24"/>
          <w:lang w:val="en-GB"/>
        </w:rPr>
        <w:t xml:space="preserve"> high</w:t>
      </w:r>
      <w:r w:rsidRPr="00BE76A2">
        <w:rPr>
          <w:rFonts w:ascii="Calibri" w:eastAsia="Times New Roman" w:hAnsi="Calibri" w:cs="Arial"/>
          <w:bCs/>
          <w:snapToGrid w:val="0"/>
          <w:szCs w:val="24"/>
          <w:lang w:val="en-GB"/>
        </w:rPr>
        <w:t xml:space="preserve"> clinical need for additional effective and well tolerated treatments for relapsed/refractory mantle cell lymphoma. </w:t>
      </w:r>
    </w:p>
    <w:p w:rsidR="00FD5503" w:rsidRPr="00BE76A2" w:rsidRDefault="00590AED" w:rsidP="0082799C">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The PBAC considered that</w:t>
      </w:r>
      <w:r w:rsidR="00FD5503" w:rsidRPr="00BE76A2">
        <w:rPr>
          <w:rFonts w:ascii="Calibri" w:eastAsia="Times New Roman" w:hAnsi="Calibri" w:cs="Arial"/>
          <w:bCs/>
          <w:snapToGrid w:val="0"/>
          <w:szCs w:val="24"/>
          <w:lang w:val="en-GB"/>
        </w:rPr>
        <w:t xml:space="preserve"> ibrutinib </w:t>
      </w:r>
      <w:r w:rsidRPr="00BE76A2">
        <w:rPr>
          <w:rFonts w:ascii="Calibri" w:eastAsia="Times New Roman" w:hAnsi="Calibri" w:cs="Arial"/>
          <w:bCs/>
          <w:snapToGrid w:val="0"/>
          <w:szCs w:val="24"/>
          <w:lang w:val="en-GB"/>
        </w:rPr>
        <w:t>had superior efficacy compared with R-CHOP, however the</w:t>
      </w:r>
      <w:r w:rsidR="00FD5503" w:rsidRPr="00BE76A2">
        <w:rPr>
          <w:rFonts w:ascii="Calibri" w:eastAsia="Times New Roman" w:hAnsi="Calibri" w:cs="Arial"/>
          <w:bCs/>
          <w:snapToGrid w:val="0"/>
          <w:szCs w:val="24"/>
          <w:lang w:val="en-GB"/>
        </w:rPr>
        <w:t xml:space="preserve"> magnitude of the benefit remained uncertain</w:t>
      </w:r>
      <w:r w:rsidR="00421194" w:rsidRPr="0082799C">
        <w:rPr>
          <w:rFonts w:ascii="Calibri" w:eastAsia="Times New Roman" w:hAnsi="Calibri" w:cs="Arial"/>
          <w:bCs/>
          <w:snapToGrid w:val="0"/>
          <w:szCs w:val="24"/>
          <w:lang w:val="en-GB"/>
        </w:rPr>
        <w:t xml:space="preserve"> </w:t>
      </w:r>
      <w:r w:rsidR="007D4ABC" w:rsidRPr="0082799C">
        <w:rPr>
          <w:rFonts w:ascii="Calibri" w:eastAsia="Times New Roman" w:hAnsi="Calibri" w:cs="Arial"/>
          <w:bCs/>
          <w:snapToGrid w:val="0"/>
          <w:szCs w:val="24"/>
          <w:lang w:val="en-GB"/>
        </w:rPr>
        <w:t xml:space="preserve">as it was </w:t>
      </w:r>
      <w:r w:rsidR="00421194" w:rsidRPr="0082799C">
        <w:rPr>
          <w:rFonts w:ascii="Calibri" w:eastAsia="Times New Roman" w:hAnsi="Calibri" w:cs="Arial"/>
          <w:bCs/>
          <w:snapToGrid w:val="0"/>
          <w:szCs w:val="24"/>
          <w:lang w:val="en-GB"/>
        </w:rPr>
        <w:t xml:space="preserve">based on a naïve indirect comparison </w:t>
      </w:r>
      <w:r w:rsidR="005F667D" w:rsidRPr="0082799C">
        <w:rPr>
          <w:rFonts w:ascii="Calibri" w:eastAsia="Times New Roman" w:hAnsi="Calibri" w:cs="Arial"/>
          <w:bCs/>
          <w:snapToGrid w:val="0"/>
          <w:szCs w:val="24"/>
          <w:lang w:val="en-GB"/>
        </w:rPr>
        <w:t>that included</w:t>
      </w:r>
      <w:r w:rsidR="007D4ABC" w:rsidRPr="0082799C">
        <w:rPr>
          <w:rFonts w:ascii="Calibri" w:eastAsia="Times New Roman" w:hAnsi="Calibri" w:cs="Arial"/>
          <w:bCs/>
          <w:snapToGrid w:val="0"/>
          <w:szCs w:val="24"/>
          <w:lang w:val="en-GB"/>
        </w:rPr>
        <w:t xml:space="preserve"> </w:t>
      </w:r>
      <w:r w:rsidR="00421194" w:rsidRPr="0082799C">
        <w:rPr>
          <w:rFonts w:ascii="Calibri" w:eastAsia="Times New Roman" w:hAnsi="Calibri" w:cs="Arial"/>
          <w:bCs/>
          <w:snapToGrid w:val="0"/>
          <w:szCs w:val="24"/>
          <w:lang w:val="en-GB"/>
        </w:rPr>
        <w:t>retrospective</w:t>
      </w:r>
      <w:r w:rsidR="007D4ABC" w:rsidRPr="0082799C">
        <w:rPr>
          <w:rFonts w:ascii="Calibri" w:eastAsia="Times New Roman" w:hAnsi="Calibri" w:cs="Arial"/>
          <w:bCs/>
          <w:snapToGrid w:val="0"/>
          <w:szCs w:val="24"/>
          <w:lang w:val="en-GB"/>
        </w:rPr>
        <w:t xml:space="preserve"> </w:t>
      </w:r>
      <w:r w:rsidR="00421194" w:rsidRPr="0082799C">
        <w:rPr>
          <w:rFonts w:ascii="Calibri" w:eastAsia="Times New Roman" w:hAnsi="Calibri" w:cs="Arial"/>
          <w:bCs/>
          <w:snapToGrid w:val="0"/>
          <w:szCs w:val="24"/>
          <w:lang w:val="en-GB"/>
        </w:rPr>
        <w:t>analyse</w:t>
      </w:r>
      <w:r w:rsidR="007D4ABC" w:rsidRPr="0082799C">
        <w:rPr>
          <w:rFonts w:ascii="Calibri" w:eastAsia="Times New Roman" w:hAnsi="Calibri" w:cs="Arial"/>
          <w:bCs/>
          <w:snapToGrid w:val="0"/>
          <w:szCs w:val="24"/>
          <w:lang w:val="en-GB"/>
        </w:rPr>
        <w:t>s of</w:t>
      </w:r>
      <w:r w:rsidR="00421194" w:rsidRPr="0082799C">
        <w:rPr>
          <w:rFonts w:ascii="Calibri" w:eastAsia="Times New Roman" w:hAnsi="Calibri" w:cs="Arial"/>
          <w:bCs/>
          <w:snapToGrid w:val="0"/>
          <w:szCs w:val="24"/>
          <w:lang w:val="en-GB"/>
        </w:rPr>
        <w:t xml:space="preserve"> </w:t>
      </w:r>
      <w:r w:rsidR="007D4ABC" w:rsidRPr="0082799C">
        <w:rPr>
          <w:rFonts w:ascii="Calibri" w:eastAsia="Times New Roman" w:hAnsi="Calibri" w:cs="Arial"/>
          <w:bCs/>
          <w:snapToGrid w:val="0"/>
          <w:szCs w:val="24"/>
          <w:lang w:val="en-GB"/>
        </w:rPr>
        <w:t>heterogeneous</w:t>
      </w:r>
      <w:r w:rsidR="00421194" w:rsidRPr="0082799C">
        <w:rPr>
          <w:rFonts w:ascii="Calibri" w:eastAsia="Times New Roman" w:hAnsi="Calibri" w:cs="Arial"/>
          <w:bCs/>
          <w:snapToGrid w:val="0"/>
          <w:szCs w:val="24"/>
          <w:lang w:val="en-GB"/>
        </w:rPr>
        <w:t xml:space="preserve"> patient groups</w:t>
      </w:r>
      <w:r w:rsidR="005F667D" w:rsidRPr="0082799C">
        <w:rPr>
          <w:rFonts w:ascii="Calibri" w:eastAsia="Times New Roman" w:hAnsi="Calibri" w:cs="Arial"/>
          <w:bCs/>
          <w:snapToGrid w:val="0"/>
          <w:szCs w:val="24"/>
          <w:lang w:val="en-GB"/>
        </w:rPr>
        <w:t xml:space="preserve"> in the R-CHOP arm</w:t>
      </w:r>
      <w:r w:rsidR="00421194" w:rsidRPr="0082799C">
        <w:rPr>
          <w:rFonts w:ascii="Calibri" w:eastAsia="Times New Roman" w:hAnsi="Calibri" w:cs="Arial"/>
          <w:bCs/>
          <w:snapToGrid w:val="0"/>
          <w:szCs w:val="24"/>
          <w:lang w:val="en-GB"/>
        </w:rPr>
        <w:t xml:space="preserve">. </w:t>
      </w:r>
      <w:r w:rsidR="001E0C92" w:rsidRPr="00BE76A2">
        <w:rPr>
          <w:rFonts w:ascii="Calibri" w:eastAsia="Times New Roman" w:hAnsi="Calibri" w:cs="Arial"/>
          <w:bCs/>
          <w:snapToGrid w:val="0"/>
          <w:szCs w:val="24"/>
          <w:lang w:val="en-GB"/>
        </w:rPr>
        <w:t xml:space="preserve">In addition, the comparison was between trial and non-trial based patients; the trial-based temsirolimus patients might have been healthier and had a better prognosis. Despite the low quality of the </w:t>
      </w:r>
      <w:r w:rsidR="00BE76A2" w:rsidRPr="00BE76A2">
        <w:rPr>
          <w:rFonts w:ascii="Calibri" w:eastAsia="Times New Roman" w:hAnsi="Calibri" w:cs="Arial"/>
          <w:bCs/>
          <w:snapToGrid w:val="0"/>
          <w:szCs w:val="24"/>
          <w:lang w:val="en-GB"/>
        </w:rPr>
        <w:t>evidence</w:t>
      </w:r>
      <w:r w:rsidR="001E0C92" w:rsidRPr="00BE76A2">
        <w:rPr>
          <w:rFonts w:ascii="Calibri" w:eastAsia="Times New Roman" w:hAnsi="Calibri" w:cs="Arial"/>
          <w:bCs/>
          <w:snapToGrid w:val="0"/>
          <w:szCs w:val="24"/>
          <w:lang w:val="en-GB"/>
        </w:rPr>
        <w:t xml:space="preserve">, the PBAC </w:t>
      </w:r>
      <w:r w:rsidR="0016294F">
        <w:rPr>
          <w:rFonts w:ascii="Calibri" w:eastAsia="Times New Roman" w:hAnsi="Calibri" w:cs="Arial"/>
          <w:bCs/>
          <w:snapToGrid w:val="0"/>
          <w:szCs w:val="24"/>
          <w:lang w:val="en-GB"/>
        </w:rPr>
        <w:t>considered</w:t>
      </w:r>
      <w:r w:rsidR="001E0C92" w:rsidRPr="00BE76A2">
        <w:rPr>
          <w:rFonts w:ascii="Calibri" w:eastAsia="Times New Roman" w:hAnsi="Calibri" w:cs="Arial"/>
          <w:bCs/>
          <w:snapToGrid w:val="0"/>
          <w:szCs w:val="24"/>
          <w:lang w:val="en-GB"/>
        </w:rPr>
        <w:t xml:space="preserve"> that ibrutinib was likely to offer benefit in an area of high clinical need. </w:t>
      </w:r>
    </w:p>
    <w:p w:rsidR="00FD5503" w:rsidRPr="00BE76A2" w:rsidRDefault="00FD5503" w:rsidP="00E42519">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 xml:space="preserve">The PBAC </w:t>
      </w:r>
      <w:r w:rsidR="00590AED" w:rsidRPr="00BE76A2">
        <w:rPr>
          <w:rFonts w:ascii="Calibri" w:eastAsia="Times New Roman" w:hAnsi="Calibri" w:cs="Arial"/>
          <w:bCs/>
          <w:snapToGrid w:val="0"/>
          <w:szCs w:val="24"/>
          <w:lang w:val="en-GB"/>
        </w:rPr>
        <w:t xml:space="preserve">noted that </w:t>
      </w:r>
      <w:r w:rsidR="00E42519" w:rsidRPr="0082799C">
        <w:rPr>
          <w:rFonts w:ascii="Calibri" w:eastAsia="Times New Roman" w:hAnsi="Calibri" w:cs="Arial"/>
          <w:bCs/>
          <w:snapToGrid w:val="0"/>
          <w:szCs w:val="24"/>
          <w:lang w:val="en-GB"/>
        </w:rPr>
        <w:t xml:space="preserve">updated safety data had been presented from the final analysis of the MCL-3001 </w:t>
      </w:r>
      <w:r w:rsidR="00DA717B">
        <w:rPr>
          <w:rFonts w:ascii="Calibri" w:eastAsia="Times New Roman" w:hAnsi="Calibri" w:cs="Arial"/>
          <w:bCs/>
          <w:snapToGrid w:val="0"/>
          <w:szCs w:val="24"/>
          <w:lang w:val="en-GB"/>
        </w:rPr>
        <w:t>trial</w:t>
      </w:r>
      <w:r w:rsidR="00E42519" w:rsidRPr="0082799C">
        <w:rPr>
          <w:rFonts w:ascii="Calibri" w:eastAsia="Times New Roman" w:hAnsi="Calibri" w:cs="Arial"/>
          <w:bCs/>
          <w:snapToGrid w:val="0"/>
          <w:szCs w:val="24"/>
          <w:lang w:val="en-GB"/>
        </w:rPr>
        <w:t xml:space="preserve"> of ibrutinib, and also that the resubmission had updated its safety claim since the previous submission</w:t>
      </w:r>
      <w:r w:rsidR="00637327" w:rsidRPr="00BE76A2">
        <w:rPr>
          <w:rFonts w:ascii="Calibri" w:eastAsia="Times New Roman" w:hAnsi="Calibri" w:cs="Arial"/>
          <w:bCs/>
          <w:snapToGrid w:val="0"/>
          <w:szCs w:val="24"/>
          <w:lang w:val="en-GB"/>
        </w:rPr>
        <w:t>.</w:t>
      </w:r>
      <w:r w:rsidR="00E42519" w:rsidRPr="0082799C">
        <w:rPr>
          <w:rFonts w:ascii="Calibri" w:eastAsia="Times New Roman" w:hAnsi="Calibri" w:cs="Arial"/>
          <w:bCs/>
          <w:snapToGrid w:val="0"/>
          <w:szCs w:val="24"/>
          <w:lang w:val="en-GB"/>
        </w:rPr>
        <w:t xml:space="preserve"> </w:t>
      </w:r>
      <w:r w:rsidR="00590AED" w:rsidRPr="00BE76A2">
        <w:rPr>
          <w:rFonts w:ascii="Calibri" w:eastAsia="Times New Roman" w:hAnsi="Calibri" w:cs="Arial"/>
          <w:bCs/>
          <w:snapToGrid w:val="0"/>
          <w:szCs w:val="24"/>
          <w:lang w:val="en-GB"/>
        </w:rPr>
        <w:t xml:space="preserve">The PBAC </w:t>
      </w:r>
      <w:r w:rsidR="00793437" w:rsidRPr="00BE76A2">
        <w:rPr>
          <w:rFonts w:ascii="Calibri" w:eastAsia="Times New Roman" w:hAnsi="Calibri" w:cs="Arial"/>
          <w:bCs/>
          <w:snapToGrid w:val="0"/>
          <w:szCs w:val="24"/>
          <w:lang w:val="en-GB"/>
        </w:rPr>
        <w:t xml:space="preserve">considered </w:t>
      </w:r>
      <w:r w:rsidR="00637327" w:rsidRPr="00BE76A2">
        <w:rPr>
          <w:rFonts w:ascii="Calibri" w:eastAsia="Times New Roman" w:hAnsi="Calibri" w:cs="Arial"/>
          <w:bCs/>
          <w:snapToGrid w:val="0"/>
          <w:szCs w:val="24"/>
          <w:lang w:val="en-GB"/>
        </w:rPr>
        <w:t xml:space="preserve">that the updated </w:t>
      </w:r>
      <w:r w:rsidR="00793437" w:rsidRPr="00BE76A2">
        <w:rPr>
          <w:rFonts w:ascii="Calibri" w:eastAsia="Times New Roman" w:hAnsi="Calibri" w:cs="Arial"/>
          <w:bCs/>
          <w:snapToGrid w:val="0"/>
          <w:szCs w:val="24"/>
          <w:lang w:val="en-GB"/>
        </w:rPr>
        <w:t>claim</w:t>
      </w:r>
      <w:r w:rsidR="00637327" w:rsidRPr="00BE76A2">
        <w:rPr>
          <w:rFonts w:ascii="Calibri" w:eastAsia="Times New Roman" w:hAnsi="Calibri" w:cs="Arial"/>
          <w:bCs/>
          <w:snapToGrid w:val="0"/>
          <w:szCs w:val="24"/>
          <w:lang w:val="en-GB"/>
        </w:rPr>
        <w:t>,</w:t>
      </w:r>
      <w:r w:rsidR="00793437" w:rsidRPr="00BE76A2">
        <w:rPr>
          <w:rFonts w:ascii="Calibri" w:eastAsia="Times New Roman" w:hAnsi="Calibri" w:cs="Arial"/>
          <w:bCs/>
          <w:snapToGrid w:val="0"/>
          <w:szCs w:val="24"/>
          <w:lang w:val="en-GB"/>
        </w:rPr>
        <w:t xml:space="preserve"> that ibrutinib was associated with superior comparative safety </w:t>
      </w:r>
      <w:r w:rsidR="00AF01A0">
        <w:rPr>
          <w:rFonts w:ascii="Calibri" w:eastAsia="Times New Roman" w:hAnsi="Calibri" w:cs="Arial"/>
          <w:bCs/>
          <w:snapToGrid w:val="0"/>
          <w:szCs w:val="24"/>
          <w:lang w:val="en-GB"/>
        </w:rPr>
        <w:t>versus</w:t>
      </w:r>
      <w:r w:rsidR="00793437" w:rsidRPr="00BE76A2">
        <w:rPr>
          <w:rFonts w:ascii="Calibri" w:eastAsia="Times New Roman" w:hAnsi="Calibri" w:cs="Arial"/>
          <w:bCs/>
          <w:snapToGrid w:val="0"/>
          <w:szCs w:val="24"/>
          <w:lang w:val="en-GB"/>
        </w:rPr>
        <w:t xml:space="preserve"> active treatment with R-CHOP</w:t>
      </w:r>
      <w:r w:rsidR="00637327" w:rsidRPr="00BE76A2">
        <w:rPr>
          <w:rFonts w:ascii="Calibri" w:eastAsia="Times New Roman" w:hAnsi="Calibri" w:cs="Arial"/>
          <w:bCs/>
          <w:snapToGrid w:val="0"/>
          <w:szCs w:val="24"/>
          <w:lang w:val="en-GB"/>
        </w:rPr>
        <w:t>,</w:t>
      </w:r>
      <w:r w:rsidR="00793437" w:rsidRPr="00BE76A2">
        <w:rPr>
          <w:rFonts w:ascii="Calibri" w:eastAsia="Times New Roman" w:hAnsi="Calibri" w:cs="Arial"/>
          <w:bCs/>
          <w:snapToGrid w:val="0"/>
          <w:szCs w:val="24"/>
          <w:lang w:val="en-GB"/>
        </w:rPr>
        <w:t xml:space="preserve"> was reasonable. </w:t>
      </w:r>
    </w:p>
    <w:p w:rsidR="00374E65" w:rsidRPr="0082799C" w:rsidRDefault="00FD5503" w:rsidP="00374E65">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 xml:space="preserve">The PBAC noted that the resubmission </w:t>
      </w:r>
      <w:r w:rsidR="001E0C92" w:rsidRPr="00BE76A2">
        <w:rPr>
          <w:rFonts w:ascii="Calibri" w:eastAsia="Times New Roman" w:hAnsi="Calibri" w:cs="Arial"/>
          <w:bCs/>
          <w:snapToGrid w:val="0"/>
          <w:szCs w:val="24"/>
          <w:lang w:val="en-GB"/>
        </w:rPr>
        <w:t xml:space="preserve">had </w:t>
      </w:r>
      <w:r w:rsidR="00421194" w:rsidRPr="00BE76A2">
        <w:rPr>
          <w:rFonts w:ascii="Calibri" w:eastAsia="Times New Roman" w:hAnsi="Calibri" w:cs="Arial"/>
          <w:bCs/>
          <w:snapToGrid w:val="0"/>
          <w:szCs w:val="24"/>
          <w:lang w:val="en-GB"/>
        </w:rPr>
        <w:t>presented scenario analyses to generate four ICERs</w:t>
      </w:r>
      <w:r w:rsidR="002045B4">
        <w:rPr>
          <w:rFonts w:ascii="Calibri" w:eastAsia="Times New Roman" w:hAnsi="Calibri" w:cs="Arial"/>
          <w:bCs/>
          <w:snapToGrid w:val="0"/>
          <w:szCs w:val="24"/>
          <w:lang w:val="en-GB"/>
        </w:rPr>
        <w:t>.</w:t>
      </w:r>
      <w:r w:rsidR="00637327" w:rsidRPr="00BE76A2">
        <w:rPr>
          <w:rFonts w:ascii="Calibri" w:eastAsia="Times New Roman" w:hAnsi="Calibri" w:cs="Arial"/>
          <w:bCs/>
          <w:snapToGrid w:val="0"/>
          <w:szCs w:val="24"/>
          <w:lang w:val="en-GB"/>
        </w:rPr>
        <w:t xml:space="preserve"> </w:t>
      </w:r>
      <w:r w:rsidR="001F63F7" w:rsidRPr="00BE76A2">
        <w:rPr>
          <w:rFonts w:ascii="Calibri" w:eastAsia="Times New Roman" w:hAnsi="Calibri" w:cs="Arial"/>
          <w:bCs/>
          <w:snapToGrid w:val="0"/>
          <w:szCs w:val="24"/>
          <w:lang w:val="en-GB"/>
        </w:rPr>
        <w:t xml:space="preserve">The PBAC considered that Scenarios 1 and 3 were </w:t>
      </w:r>
      <w:r w:rsidR="00D42E91">
        <w:rPr>
          <w:rFonts w:ascii="Calibri" w:eastAsia="Times New Roman" w:hAnsi="Calibri" w:cs="Arial"/>
          <w:bCs/>
          <w:snapToGrid w:val="0"/>
          <w:szCs w:val="24"/>
          <w:lang w:val="en-GB"/>
        </w:rPr>
        <w:t>overly optimistic</w:t>
      </w:r>
      <w:r w:rsidR="00D42E91" w:rsidRPr="00BE76A2">
        <w:rPr>
          <w:rFonts w:ascii="Calibri" w:eastAsia="Times New Roman" w:hAnsi="Calibri" w:cs="Arial"/>
          <w:bCs/>
          <w:snapToGrid w:val="0"/>
          <w:szCs w:val="24"/>
          <w:lang w:val="en-GB"/>
        </w:rPr>
        <w:t xml:space="preserve"> </w:t>
      </w:r>
      <w:r w:rsidR="00637327" w:rsidRPr="00BE76A2">
        <w:rPr>
          <w:rFonts w:ascii="Calibri" w:eastAsia="Times New Roman" w:hAnsi="Calibri" w:cs="Arial"/>
          <w:bCs/>
          <w:snapToGrid w:val="0"/>
          <w:szCs w:val="24"/>
          <w:lang w:val="en-GB"/>
        </w:rPr>
        <w:t>as the overall survival curves did not converge within the model time horizon</w:t>
      </w:r>
      <w:r w:rsidR="00D42E91">
        <w:rPr>
          <w:rFonts w:ascii="Calibri" w:eastAsia="Times New Roman" w:hAnsi="Calibri" w:cs="Arial"/>
          <w:bCs/>
          <w:snapToGrid w:val="0"/>
          <w:szCs w:val="24"/>
          <w:lang w:val="en-GB"/>
        </w:rPr>
        <w:t>.</w:t>
      </w:r>
      <w:r w:rsidR="00637327" w:rsidRPr="00BE76A2">
        <w:rPr>
          <w:rFonts w:ascii="Calibri" w:eastAsia="Times New Roman" w:hAnsi="Calibri" w:cs="Arial"/>
          <w:bCs/>
          <w:snapToGrid w:val="0"/>
          <w:szCs w:val="24"/>
          <w:lang w:val="en-GB"/>
        </w:rPr>
        <w:t xml:space="preserve"> </w:t>
      </w:r>
      <w:r w:rsidR="00D42E91">
        <w:rPr>
          <w:rFonts w:ascii="Calibri" w:eastAsia="Times New Roman" w:hAnsi="Calibri" w:cs="Arial"/>
          <w:bCs/>
          <w:snapToGrid w:val="0"/>
          <w:szCs w:val="24"/>
          <w:lang w:val="en-GB"/>
        </w:rPr>
        <w:t xml:space="preserve">Scenario 2 was considered </w:t>
      </w:r>
      <w:r w:rsidR="006E6F62">
        <w:rPr>
          <w:rFonts w:ascii="Calibri" w:eastAsia="Times New Roman" w:hAnsi="Calibri" w:cs="Arial"/>
          <w:bCs/>
          <w:snapToGrid w:val="0"/>
          <w:szCs w:val="24"/>
          <w:lang w:val="en-GB"/>
        </w:rPr>
        <w:t xml:space="preserve">uncertain, and likely optimistic, given it </w:t>
      </w:r>
      <w:r w:rsidR="00DA3331">
        <w:rPr>
          <w:rFonts w:ascii="Calibri" w:eastAsia="Times New Roman" w:hAnsi="Calibri" w:cs="Arial"/>
          <w:bCs/>
          <w:snapToGrid w:val="0"/>
          <w:szCs w:val="24"/>
          <w:lang w:val="en-GB"/>
        </w:rPr>
        <w:t xml:space="preserve">(along with Scenario 1) </w:t>
      </w:r>
      <w:r w:rsidR="006E6F62">
        <w:rPr>
          <w:rFonts w:ascii="Calibri" w:eastAsia="Times New Roman" w:hAnsi="Calibri" w:cs="Arial"/>
          <w:bCs/>
          <w:snapToGrid w:val="0"/>
          <w:szCs w:val="24"/>
          <w:lang w:val="en-GB"/>
        </w:rPr>
        <w:t xml:space="preserve">was </w:t>
      </w:r>
      <w:r w:rsidR="00323251">
        <w:rPr>
          <w:rFonts w:ascii="Calibri" w:eastAsia="Times New Roman" w:hAnsi="Calibri" w:cs="Arial"/>
          <w:bCs/>
          <w:snapToGrid w:val="0"/>
          <w:szCs w:val="24"/>
          <w:lang w:val="en-GB"/>
        </w:rPr>
        <w:t xml:space="preserve">based on </w:t>
      </w:r>
      <w:r w:rsidR="00637327" w:rsidRPr="00BE76A2">
        <w:rPr>
          <w:rFonts w:ascii="Calibri" w:eastAsia="Times New Roman" w:hAnsi="Calibri" w:cs="Arial"/>
          <w:bCs/>
          <w:snapToGrid w:val="0"/>
          <w:szCs w:val="24"/>
          <w:lang w:val="en-GB"/>
        </w:rPr>
        <w:t>adjusted trial results</w:t>
      </w:r>
      <w:r w:rsidR="00323251">
        <w:rPr>
          <w:rFonts w:ascii="Calibri" w:eastAsia="Times New Roman" w:hAnsi="Calibri" w:cs="Arial"/>
          <w:bCs/>
          <w:snapToGrid w:val="0"/>
          <w:szCs w:val="24"/>
          <w:lang w:val="en-GB"/>
        </w:rPr>
        <w:t>.</w:t>
      </w:r>
      <w:r w:rsidR="00637327" w:rsidRPr="00BE76A2">
        <w:rPr>
          <w:rFonts w:ascii="Calibri" w:eastAsia="Times New Roman" w:hAnsi="Calibri" w:cs="Arial"/>
          <w:bCs/>
          <w:snapToGrid w:val="0"/>
          <w:szCs w:val="24"/>
          <w:lang w:val="en-GB"/>
        </w:rPr>
        <w:t xml:space="preserve"> </w:t>
      </w:r>
    </w:p>
    <w:p w:rsidR="00D61399" w:rsidRPr="00BE76A2" w:rsidRDefault="00637327" w:rsidP="002E31A4">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 xml:space="preserve">The PBAC </w:t>
      </w:r>
      <w:r w:rsidR="00FE3EE3">
        <w:rPr>
          <w:rFonts w:ascii="Calibri" w:eastAsia="Times New Roman" w:hAnsi="Calibri" w:cs="Arial"/>
          <w:bCs/>
          <w:snapToGrid w:val="0"/>
          <w:szCs w:val="24"/>
          <w:lang w:val="en-GB"/>
        </w:rPr>
        <w:t xml:space="preserve">noted </w:t>
      </w:r>
      <w:r w:rsidR="001F63F7" w:rsidRPr="00BE76A2">
        <w:rPr>
          <w:rFonts w:ascii="Calibri" w:eastAsia="Times New Roman" w:hAnsi="Calibri" w:cs="Arial"/>
          <w:bCs/>
          <w:snapToGrid w:val="0"/>
          <w:szCs w:val="24"/>
          <w:lang w:val="en-GB"/>
        </w:rPr>
        <w:t>that</w:t>
      </w:r>
      <w:r w:rsidR="00FD5503" w:rsidRPr="00BE76A2">
        <w:rPr>
          <w:rFonts w:ascii="Calibri" w:eastAsia="Times New Roman" w:hAnsi="Calibri" w:cs="Arial"/>
          <w:bCs/>
          <w:snapToGrid w:val="0"/>
          <w:szCs w:val="24"/>
          <w:lang w:val="en-GB"/>
        </w:rPr>
        <w:t xml:space="preserve"> Scenario 4 </w:t>
      </w:r>
      <w:r w:rsidR="00FE3EE3">
        <w:rPr>
          <w:rFonts w:ascii="Calibri" w:eastAsia="Times New Roman" w:hAnsi="Calibri" w:cs="Arial"/>
          <w:bCs/>
          <w:snapToGrid w:val="0"/>
          <w:szCs w:val="24"/>
          <w:lang w:val="en-GB"/>
        </w:rPr>
        <w:t xml:space="preserve">was the most conservative of the scenarios presented, but considered that it still </w:t>
      </w:r>
      <w:r w:rsidR="008F3D7F" w:rsidRPr="00BE76A2">
        <w:rPr>
          <w:rFonts w:ascii="Calibri" w:eastAsia="Times New Roman" w:hAnsi="Calibri" w:cs="Arial"/>
          <w:bCs/>
          <w:snapToGrid w:val="0"/>
          <w:szCs w:val="24"/>
          <w:lang w:val="en-GB"/>
        </w:rPr>
        <w:t xml:space="preserve">reflected optimistic assumptions given the </w:t>
      </w:r>
      <w:r w:rsidR="00FD5503" w:rsidRPr="00BE76A2">
        <w:rPr>
          <w:rFonts w:ascii="Calibri" w:eastAsia="Times New Roman" w:hAnsi="Calibri" w:cs="Arial"/>
          <w:bCs/>
          <w:snapToGrid w:val="0"/>
          <w:szCs w:val="24"/>
          <w:lang w:val="en-GB"/>
        </w:rPr>
        <w:t xml:space="preserve">uncertain </w:t>
      </w:r>
      <w:r w:rsidR="002E31A4" w:rsidRPr="0082799C">
        <w:rPr>
          <w:rFonts w:ascii="Calibri" w:eastAsia="Times New Roman" w:hAnsi="Calibri" w:cs="Arial"/>
          <w:bCs/>
          <w:snapToGrid w:val="0"/>
          <w:szCs w:val="24"/>
          <w:lang w:val="en-GB"/>
        </w:rPr>
        <w:t>magnitude of the incremental benefit, convergence t</w:t>
      </w:r>
      <w:r w:rsidR="008F3D7F" w:rsidRPr="00BE76A2">
        <w:rPr>
          <w:rFonts w:ascii="Calibri" w:eastAsia="Times New Roman" w:hAnsi="Calibri" w:cs="Arial"/>
          <w:bCs/>
          <w:snapToGrid w:val="0"/>
          <w:szCs w:val="24"/>
          <w:lang w:val="en-GB"/>
        </w:rPr>
        <w:t>o</w:t>
      </w:r>
      <w:r w:rsidR="002E31A4" w:rsidRPr="0082799C">
        <w:rPr>
          <w:rFonts w:ascii="Calibri" w:eastAsia="Times New Roman" w:hAnsi="Calibri" w:cs="Arial"/>
          <w:bCs/>
          <w:snapToGrid w:val="0"/>
          <w:szCs w:val="24"/>
          <w:lang w:val="en-GB"/>
        </w:rPr>
        <w:t xml:space="preserve"> ten years </w:t>
      </w:r>
      <w:r w:rsidR="002E31A4" w:rsidRPr="00BE76A2">
        <w:rPr>
          <w:rFonts w:ascii="Calibri" w:eastAsia="Times New Roman" w:hAnsi="Calibri" w:cs="Arial"/>
          <w:bCs/>
          <w:snapToGrid w:val="0"/>
          <w:szCs w:val="24"/>
          <w:lang w:val="en-GB"/>
        </w:rPr>
        <w:t>and the utility differences between the treatment arms</w:t>
      </w:r>
      <w:r w:rsidR="00374E65" w:rsidRPr="0082799C">
        <w:rPr>
          <w:rFonts w:ascii="Calibri" w:eastAsia="Times New Roman" w:hAnsi="Calibri" w:cs="Arial"/>
          <w:bCs/>
          <w:snapToGrid w:val="0"/>
          <w:szCs w:val="24"/>
          <w:lang w:val="en-GB"/>
        </w:rPr>
        <w:t>. However, overall</w:t>
      </w:r>
      <w:r w:rsidR="008F3D7F" w:rsidRPr="00BE76A2">
        <w:rPr>
          <w:rFonts w:ascii="Calibri" w:eastAsia="Times New Roman" w:hAnsi="Calibri" w:cs="Arial"/>
          <w:bCs/>
          <w:snapToGrid w:val="0"/>
          <w:szCs w:val="24"/>
          <w:lang w:val="en-GB"/>
        </w:rPr>
        <w:t>,</w:t>
      </w:r>
      <w:r w:rsidR="00374E65" w:rsidRPr="0082799C">
        <w:rPr>
          <w:rFonts w:ascii="Calibri" w:eastAsia="Times New Roman" w:hAnsi="Calibri" w:cs="Arial"/>
          <w:bCs/>
          <w:snapToGrid w:val="0"/>
          <w:szCs w:val="24"/>
          <w:lang w:val="en-GB"/>
        </w:rPr>
        <w:t xml:space="preserve"> the PBAC considered that Scenario 4 </w:t>
      </w:r>
      <w:r w:rsidR="00FD5503" w:rsidRPr="00BE76A2">
        <w:rPr>
          <w:rFonts w:ascii="Calibri" w:eastAsia="Times New Roman" w:hAnsi="Calibri" w:cs="Arial"/>
          <w:bCs/>
          <w:snapToGrid w:val="0"/>
          <w:szCs w:val="24"/>
          <w:lang w:val="en-GB"/>
        </w:rPr>
        <w:t xml:space="preserve">had addressed many of its previous concerns. </w:t>
      </w:r>
    </w:p>
    <w:p w:rsidR="00FD5503" w:rsidRDefault="008F3D7F" w:rsidP="0082799C">
      <w:pPr>
        <w:pStyle w:val="ListParagraph"/>
        <w:numPr>
          <w:ilvl w:val="1"/>
          <w:numId w:val="1"/>
        </w:numPr>
        <w:spacing w:before="0" w:after="120"/>
        <w:jc w:val="both"/>
        <w:rPr>
          <w:rFonts w:ascii="Calibri" w:eastAsia="Times New Roman" w:hAnsi="Calibri" w:cs="Arial"/>
          <w:bCs/>
          <w:snapToGrid w:val="0"/>
          <w:szCs w:val="24"/>
          <w:lang w:val="en-GB"/>
        </w:rPr>
      </w:pPr>
      <w:r w:rsidRPr="00BE76A2">
        <w:rPr>
          <w:rFonts w:ascii="Calibri" w:eastAsia="Times New Roman" w:hAnsi="Calibri" w:cs="Arial"/>
          <w:bCs/>
          <w:snapToGrid w:val="0"/>
          <w:szCs w:val="24"/>
          <w:lang w:val="en-GB"/>
        </w:rPr>
        <w:t>T</w:t>
      </w:r>
      <w:r w:rsidR="00FD5503" w:rsidRPr="00BE76A2">
        <w:rPr>
          <w:rFonts w:ascii="Calibri" w:eastAsia="Times New Roman" w:hAnsi="Calibri" w:cs="Arial"/>
          <w:bCs/>
          <w:snapToGrid w:val="0"/>
          <w:szCs w:val="24"/>
          <w:lang w:val="en-GB"/>
        </w:rPr>
        <w:t>he PBAC considered that the ICER</w:t>
      </w:r>
      <w:r w:rsidR="00DA717B">
        <w:rPr>
          <w:rFonts w:ascii="Calibri" w:eastAsia="Times New Roman" w:hAnsi="Calibri" w:cs="Arial"/>
          <w:bCs/>
          <w:snapToGrid w:val="0"/>
          <w:szCs w:val="24"/>
          <w:lang w:val="en-GB"/>
        </w:rPr>
        <w:t>/QALY</w:t>
      </w:r>
      <w:r w:rsidR="00FD5503" w:rsidRPr="00BE76A2">
        <w:rPr>
          <w:rFonts w:ascii="Calibri" w:eastAsia="Times New Roman" w:hAnsi="Calibri" w:cs="Arial"/>
          <w:bCs/>
          <w:snapToGrid w:val="0"/>
          <w:szCs w:val="24"/>
          <w:lang w:val="en-GB"/>
        </w:rPr>
        <w:t xml:space="preserve"> resulting from Scenario 4 of the model</w:t>
      </w:r>
      <w:r w:rsidR="00C15C5F" w:rsidRPr="00BE76A2">
        <w:rPr>
          <w:rFonts w:ascii="Calibri" w:eastAsia="Times New Roman" w:hAnsi="Calibri" w:cs="Arial"/>
          <w:bCs/>
          <w:snapToGrid w:val="0"/>
          <w:szCs w:val="24"/>
          <w:lang w:val="en-GB"/>
        </w:rPr>
        <w:t xml:space="preserve">, </w:t>
      </w:r>
      <w:r w:rsidR="00163FD8">
        <w:rPr>
          <w:rFonts w:ascii="Calibri" w:eastAsia="Times New Roman" w:hAnsi="Calibri" w:cs="Arial"/>
          <w:bCs/>
          <w:snapToGrid w:val="0"/>
          <w:szCs w:val="24"/>
          <w:lang w:val="en-GB"/>
        </w:rPr>
        <w:t>$105,000/QALY - $200,000/QALY</w:t>
      </w:r>
      <w:r w:rsidR="00C15C5F" w:rsidRPr="00BE76A2">
        <w:rPr>
          <w:rFonts w:ascii="Calibri" w:eastAsia="Times New Roman" w:hAnsi="Calibri" w:cs="Arial"/>
          <w:bCs/>
          <w:snapToGrid w:val="0"/>
          <w:szCs w:val="24"/>
          <w:lang w:val="en-GB"/>
        </w:rPr>
        <w:t xml:space="preserve"> gained,</w:t>
      </w:r>
      <w:r w:rsidR="00FD5503" w:rsidRPr="00BE76A2">
        <w:rPr>
          <w:rFonts w:ascii="Calibri" w:eastAsia="Times New Roman" w:hAnsi="Calibri" w:cs="Arial"/>
          <w:bCs/>
          <w:snapToGrid w:val="0"/>
          <w:szCs w:val="24"/>
          <w:lang w:val="en-GB"/>
        </w:rPr>
        <w:t xml:space="preserve"> was unacceptably high. The PBAC considered that a significant price reduction would be required to bring</w:t>
      </w:r>
      <w:r w:rsidR="00FD5503">
        <w:rPr>
          <w:rFonts w:ascii="Calibri" w:eastAsia="Times New Roman" w:hAnsi="Calibri" w:cs="Arial"/>
          <w:bCs/>
          <w:snapToGrid w:val="0"/>
          <w:szCs w:val="24"/>
          <w:lang w:val="en-GB"/>
        </w:rPr>
        <w:t xml:space="preserve"> the ICER</w:t>
      </w:r>
      <w:r w:rsidR="00DA717B">
        <w:rPr>
          <w:rFonts w:ascii="Calibri" w:eastAsia="Times New Roman" w:hAnsi="Calibri" w:cs="Arial"/>
          <w:bCs/>
          <w:snapToGrid w:val="0"/>
          <w:szCs w:val="24"/>
          <w:lang w:val="en-GB"/>
        </w:rPr>
        <w:t>/QALY</w:t>
      </w:r>
      <w:r w:rsidR="00FD5503">
        <w:rPr>
          <w:rFonts w:ascii="Calibri" w:eastAsia="Times New Roman" w:hAnsi="Calibri" w:cs="Arial"/>
          <w:bCs/>
          <w:snapToGrid w:val="0"/>
          <w:szCs w:val="24"/>
          <w:lang w:val="en-GB"/>
        </w:rPr>
        <w:t xml:space="preserve"> into an acceptable range</w:t>
      </w:r>
      <w:r w:rsidR="005B209C">
        <w:rPr>
          <w:rFonts w:ascii="Calibri" w:eastAsia="Times New Roman" w:hAnsi="Calibri" w:cs="Arial"/>
          <w:bCs/>
          <w:snapToGrid w:val="0"/>
          <w:szCs w:val="24"/>
          <w:lang w:val="en-GB"/>
        </w:rPr>
        <w:t xml:space="preserve">, </w:t>
      </w:r>
      <w:r w:rsidR="005B209C" w:rsidRPr="005B209C">
        <w:rPr>
          <w:rFonts w:ascii="Calibri" w:eastAsia="Times New Roman" w:hAnsi="Calibri" w:cs="Arial"/>
          <w:bCs/>
          <w:snapToGrid w:val="0"/>
          <w:szCs w:val="24"/>
          <w:lang w:val="en-GB"/>
        </w:rPr>
        <w:t>particularly in the context of the uncertain incremental benefit</w:t>
      </w:r>
      <w:r w:rsidR="00DA717B">
        <w:rPr>
          <w:rFonts w:ascii="Calibri" w:eastAsia="Times New Roman" w:hAnsi="Calibri" w:cs="Arial"/>
          <w:bCs/>
          <w:snapToGrid w:val="0"/>
          <w:szCs w:val="24"/>
          <w:lang w:val="en-GB"/>
        </w:rPr>
        <w:t xml:space="preserve"> of ibrutinib</w:t>
      </w:r>
      <w:r w:rsidR="005B209C" w:rsidRPr="005B209C">
        <w:rPr>
          <w:rFonts w:ascii="Calibri" w:eastAsia="Times New Roman" w:hAnsi="Calibri" w:cs="Arial"/>
          <w:bCs/>
          <w:snapToGrid w:val="0"/>
          <w:szCs w:val="24"/>
          <w:lang w:val="en-GB"/>
        </w:rPr>
        <w:t xml:space="preserve"> compared with </w:t>
      </w:r>
      <w:r w:rsidR="005B209C">
        <w:rPr>
          <w:rFonts w:ascii="Calibri" w:eastAsia="Times New Roman" w:hAnsi="Calibri" w:cs="Arial"/>
          <w:bCs/>
          <w:snapToGrid w:val="0"/>
          <w:szCs w:val="24"/>
          <w:lang w:val="en-GB"/>
        </w:rPr>
        <w:t>R-CHOP</w:t>
      </w:r>
      <w:r w:rsidR="00FD5503">
        <w:rPr>
          <w:rFonts w:ascii="Calibri" w:eastAsia="Times New Roman" w:hAnsi="Calibri" w:cs="Arial"/>
          <w:bCs/>
          <w:snapToGrid w:val="0"/>
          <w:szCs w:val="24"/>
          <w:lang w:val="en-GB"/>
        </w:rPr>
        <w:t xml:space="preserve">. </w:t>
      </w:r>
    </w:p>
    <w:p w:rsidR="00FD5503" w:rsidRPr="0082799C" w:rsidRDefault="00590AED" w:rsidP="0082799C">
      <w:pPr>
        <w:pStyle w:val="ListParagraph"/>
        <w:numPr>
          <w:ilvl w:val="1"/>
          <w:numId w:val="1"/>
        </w:numPr>
        <w:spacing w:before="0" w:after="120"/>
        <w:jc w:val="both"/>
        <w:rPr>
          <w:rFonts w:ascii="Calibri" w:eastAsia="Times New Roman" w:hAnsi="Calibri" w:cs="Arial"/>
          <w:bCs/>
          <w:snapToGrid w:val="0"/>
          <w:szCs w:val="24"/>
          <w:lang w:val="en-GB"/>
        </w:rPr>
      </w:pPr>
      <w:r>
        <w:rPr>
          <w:rFonts w:ascii="Calibri" w:eastAsia="Times New Roman" w:hAnsi="Calibri" w:cs="Arial"/>
          <w:bCs/>
          <w:snapToGrid w:val="0"/>
          <w:szCs w:val="24"/>
          <w:lang w:val="en-GB"/>
        </w:rPr>
        <w:t>With regard to the financial estimates, t</w:t>
      </w:r>
      <w:r w:rsidR="00AB3E8B">
        <w:rPr>
          <w:rFonts w:ascii="Calibri" w:eastAsia="Times New Roman" w:hAnsi="Calibri" w:cs="Arial"/>
          <w:bCs/>
          <w:snapToGrid w:val="0"/>
          <w:szCs w:val="24"/>
          <w:lang w:val="en-GB"/>
        </w:rPr>
        <w:t xml:space="preserve">he PBAC considered that the patient </w:t>
      </w:r>
      <w:r>
        <w:rPr>
          <w:rFonts w:ascii="Calibri" w:eastAsia="Times New Roman" w:hAnsi="Calibri" w:cs="Arial"/>
          <w:bCs/>
          <w:snapToGrid w:val="0"/>
          <w:szCs w:val="24"/>
          <w:lang w:val="en-GB"/>
        </w:rPr>
        <w:t>numbers were significantly overestimated by the resubmission</w:t>
      </w:r>
      <w:r w:rsidR="00F827AC">
        <w:rPr>
          <w:rFonts w:ascii="Calibri" w:eastAsia="Times New Roman" w:hAnsi="Calibri" w:cs="Arial"/>
          <w:bCs/>
          <w:snapToGrid w:val="0"/>
          <w:szCs w:val="24"/>
          <w:lang w:val="en-GB"/>
        </w:rPr>
        <w:t xml:space="preserve"> </w:t>
      </w:r>
      <w:r w:rsidR="00AF01A0">
        <w:rPr>
          <w:rFonts w:ascii="Calibri" w:eastAsia="Times New Roman" w:hAnsi="Calibri" w:cs="Arial"/>
          <w:bCs/>
          <w:snapToGrid w:val="0"/>
          <w:szCs w:val="24"/>
          <w:lang w:val="en-GB"/>
        </w:rPr>
        <w:t>for the reasons outlined in</w:t>
      </w:r>
      <w:r w:rsidR="00F827AC" w:rsidRPr="0082799C">
        <w:rPr>
          <w:rFonts w:ascii="Calibri" w:eastAsia="Times New Roman" w:hAnsi="Calibri" w:cs="Arial"/>
          <w:bCs/>
          <w:snapToGrid w:val="0"/>
          <w:szCs w:val="24"/>
          <w:highlight w:val="yellow"/>
          <w:lang w:val="en-GB"/>
        </w:rPr>
        <w:t xml:space="preserve"> </w:t>
      </w:r>
      <w:r w:rsidR="00923E45">
        <w:rPr>
          <w:rFonts w:ascii="Calibri" w:eastAsia="Times New Roman" w:hAnsi="Calibri" w:cs="Arial"/>
          <w:bCs/>
          <w:snapToGrid w:val="0"/>
          <w:szCs w:val="24"/>
          <w:lang w:val="en-GB"/>
        </w:rPr>
        <w:t>p</w:t>
      </w:r>
      <w:r w:rsidR="00F827AC" w:rsidRPr="00B55F44">
        <w:rPr>
          <w:rFonts w:ascii="Calibri" w:eastAsia="Times New Roman" w:hAnsi="Calibri" w:cs="Arial"/>
          <w:bCs/>
          <w:snapToGrid w:val="0"/>
          <w:szCs w:val="24"/>
          <w:lang w:val="en-GB"/>
        </w:rPr>
        <w:t>aragraph</w:t>
      </w:r>
      <w:r w:rsidR="00923E45">
        <w:rPr>
          <w:rFonts w:ascii="Calibri" w:eastAsia="Times New Roman" w:hAnsi="Calibri" w:cs="Arial"/>
          <w:bCs/>
          <w:snapToGrid w:val="0"/>
          <w:szCs w:val="24"/>
          <w:lang w:val="en-GB"/>
        </w:rPr>
        <w:t>s</w:t>
      </w:r>
      <w:r w:rsidR="00F827AC" w:rsidRPr="00B55F44">
        <w:rPr>
          <w:rFonts w:ascii="Calibri" w:eastAsia="Times New Roman" w:hAnsi="Calibri" w:cs="Arial"/>
          <w:bCs/>
          <w:snapToGrid w:val="0"/>
          <w:szCs w:val="24"/>
          <w:lang w:val="en-GB"/>
        </w:rPr>
        <w:t xml:space="preserve"> 6.8</w:t>
      </w:r>
      <w:r w:rsidR="005168C0" w:rsidRPr="00B55F44">
        <w:rPr>
          <w:rFonts w:ascii="Calibri" w:eastAsia="Times New Roman" w:hAnsi="Calibri" w:cs="Arial"/>
          <w:bCs/>
          <w:snapToGrid w:val="0"/>
          <w:szCs w:val="24"/>
          <w:lang w:val="en-GB"/>
        </w:rPr>
        <w:t>3</w:t>
      </w:r>
      <w:r w:rsidR="00BC05DF" w:rsidRPr="00B55F44">
        <w:rPr>
          <w:rFonts w:ascii="Calibri" w:eastAsia="Times New Roman" w:hAnsi="Calibri" w:cs="Arial"/>
          <w:bCs/>
          <w:snapToGrid w:val="0"/>
          <w:szCs w:val="24"/>
          <w:lang w:val="en-GB"/>
        </w:rPr>
        <w:t xml:space="preserve"> and 6.85</w:t>
      </w:r>
      <w:r w:rsidRPr="00717712">
        <w:rPr>
          <w:rFonts w:ascii="Calibri" w:eastAsia="Times New Roman" w:hAnsi="Calibri" w:cs="Arial"/>
          <w:bCs/>
          <w:snapToGrid w:val="0"/>
          <w:szCs w:val="24"/>
          <w:lang w:val="en-GB"/>
        </w:rPr>
        <w:t xml:space="preserve">. The </w:t>
      </w:r>
      <w:r w:rsidR="00216B79" w:rsidRPr="00717712">
        <w:rPr>
          <w:rFonts w:ascii="Calibri" w:eastAsia="Times New Roman" w:hAnsi="Calibri" w:cs="Arial"/>
          <w:bCs/>
          <w:snapToGrid w:val="0"/>
          <w:szCs w:val="24"/>
          <w:lang w:val="en-GB"/>
        </w:rPr>
        <w:t>C</w:t>
      </w:r>
      <w:r w:rsidRPr="00717712">
        <w:rPr>
          <w:rFonts w:ascii="Calibri" w:eastAsia="Times New Roman" w:hAnsi="Calibri" w:cs="Arial"/>
          <w:bCs/>
          <w:snapToGrid w:val="0"/>
          <w:szCs w:val="24"/>
          <w:lang w:val="en-GB"/>
        </w:rPr>
        <w:t xml:space="preserve">ommittee acknowledged that uptake of ibrutinib was likely to be high, but </w:t>
      </w:r>
      <w:r w:rsidR="00F827AC" w:rsidRPr="00717712">
        <w:rPr>
          <w:rFonts w:ascii="Calibri" w:eastAsia="Times New Roman" w:hAnsi="Calibri" w:cs="Arial"/>
          <w:bCs/>
          <w:snapToGrid w:val="0"/>
          <w:szCs w:val="24"/>
          <w:lang w:val="en-GB"/>
        </w:rPr>
        <w:t>that the</w:t>
      </w:r>
      <w:r w:rsidR="00F827AC">
        <w:rPr>
          <w:rFonts w:ascii="Calibri" w:eastAsia="Times New Roman" w:hAnsi="Calibri" w:cs="Arial"/>
          <w:bCs/>
          <w:snapToGrid w:val="0"/>
          <w:szCs w:val="24"/>
          <w:lang w:val="en-GB"/>
        </w:rPr>
        <w:t xml:space="preserve"> uptake rate (</w:t>
      </w:r>
      <w:r w:rsidR="00F36A91">
        <w:rPr>
          <w:rFonts w:ascii="Calibri" w:eastAsia="Times New Roman" w:hAnsi="Calibri" w:cs="Arial"/>
          <w:bCs/>
          <w:noProof/>
          <w:snapToGrid w:val="0"/>
          <w:color w:val="000000"/>
          <w:szCs w:val="24"/>
          <w:highlight w:val="black"/>
          <w:lang w:val="en-GB"/>
        </w:rPr>
        <w:t>'''''</w:t>
      </w:r>
      <w:r w:rsidR="00F827AC">
        <w:rPr>
          <w:rFonts w:ascii="Calibri" w:eastAsia="Times New Roman" w:hAnsi="Calibri" w:cs="Arial"/>
          <w:bCs/>
          <w:snapToGrid w:val="0"/>
          <w:szCs w:val="24"/>
          <w:lang w:val="en-GB"/>
        </w:rPr>
        <w:t xml:space="preserve">%) was overestimated in </w:t>
      </w:r>
      <w:r w:rsidRPr="00D464B0">
        <w:rPr>
          <w:rFonts w:ascii="Calibri" w:eastAsia="Times New Roman" w:hAnsi="Calibri" w:cs="Arial"/>
          <w:bCs/>
          <w:snapToGrid w:val="0"/>
          <w:szCs w:val="24"/>
          <w:lang w:val="en-GB"/>
        </w:rPr>
        <w:t xml:space="preserve">the resubmission. </w:t>
      </w:r>
    </w:p>
    <w:p w:rsidR="00590AED" w:rsidRPr="00421194" w:rsidRDefault="00590AED" w:rsidP="0082799C">
      <w:pPr>
        <w:pStyle w:val="ListParagraph"/>
        <w:numPr>
          <w:ilvl w:val="1"/>
          <w:numId w:val="1"/>
        </w:numPr>
        <w:spacing w:before="0" w:after="120"/>
        <w:jc w:val="both"/>
      </w:pPr>
      <w:r w:rsidRPr="0082799C">
        <w:rPr>
          <w:rFonts w:ascii="Calibri" w:eastAsia="Times New Roman" w:hAnsi="Calibri" w:cs="Arial"/>
          <w:bCs/>
          <w:snapToGrid w:val="0"/>
          <w:szCs w:val="24"/>
          <w:lang w:val="en-GB"/>
        </w:rPr>
        <w:t xml:space="preserve">The PBAC considered that </w:t>
      </w:r>
      <w:r w:rsidR="00623CB0" w:rsidRPr="00D464B0">
        <w:rPr>
          <w:rFonts w:ascii="Calibri" w:eastAsia="Times New Roman" w:hAnsi="Calibri" w:cs="Arial"/>
          <w:bCs/>
          <w:snapToGrid w:val="0"/>
          <w:szCs w:val="24"/>
          <w:lang w:val="en-GB"/>
        </w:rPr>
        <w:t xml:space="preserve">any resubmission would need to </w:t>
      </w:r>
      <w:r w:rsidR="00DA717B">
        <w:rPr>
          <w:rFonts w:ascii="Calibri" w:eastAsia="Times New Roman" w:hAnsi="Calibri" w:cs="Arial"/>
          <w:bCs/>
          <w:snapToGrid w:val="0"/>
          <w:szCs w:val="24"/>
          <w:lang w:val="en-GB"/>
        </w:rPr>
        <w:t xml:space="preserve">provide a substantial price reduction for ibrutinib, to </w:t>
      </w:r>
      <w:r w:rsidR="00623CB0" w:rsidRPr="00D464B0">
        <w:rPr>
          <w:rFonts w:ascii="Calibri" w:eastAsia="Times New Roman" w:hAnsi="Calibri" w:cs="Arial"/>
          <w:bCs/>
          <w:snapToGrid w:val="0"/>
          <w:szCs w:val="24"/>
          <w:lang w:val="en-GB"/>
        </w:rPr>
        <w:t>address the unacceptably high ICER</w:t>
      </w:r>
      <w:r w:rsidR="00DA717B">
        <w:rPr>
          <w:rFonts w:ascii="Calibri" w:eastAsia="Times New Roman" w:hAnsi="Calibri" w:cs="Arial"/>
          <w:bCs/>
          <w:snapToGrid w:val="0"/>
          <w:szCs w:val="24"/>
          <w:lang w:val="en-GB"/>
        </w:rPr>
        <w:t>/QALY and overall financial impact.</w:t>
      </w:r>
      <w:r w:rsidR="00623CB0" w:rsidRPr="00D464B0">
        <w:rPr>
          <w:rFonts w:ascii="Calibri" w:eastAsia="Times New Roman" w:hAnsi="Calibri" w:cs="Arial"/>
          <w:bCs/>
          <w:snapToGrid w:val="0"/>
          <w:szCs w:val="24"/>
          <w:lang w:val="en-GB"/>
        </w:rPr>
        <w:t xml:space="preserve"> </w:t>
      </w:r>
      <w:r w:rsidR="00DA717B">
        <w:rPr>
          <w:rFonts w:ascii="Calibri" w:eastAsia="Times New Roman" w:hAnsi="Calibri" w:cs="Arial"/>
          <w:bCs/>
          <w:snapToGrid w:val="0"/>
          <w:szCs w:val="24"/>
          <w:lang w:val="en-GB"/>
        </w:rPr>
        <w:t>The PBAC considered that patient numbers would need to be revised to lower estimates for a Risk Share Agreement to be useful</w:t>
      </w:r>
      <w:r w:rsidR="00623CB0" w:rsidRPr="00D464B0">
        <w:rPr>
          <w:rFonts w:ascii="Calibri" w:eastAsia="Times New Roman" w:hAnsi="Calibri" w:cs="Arial"/>
          <w:bCs/>
          <w:snapToGrid w:val="0"/>
          <w:szCs w:val="24"/>
          <w:lang w:val="en-GB"/>
        </w:rPr>
        <w:t xml:space="preserve">. </w:t>
      </w:r>
    </w:p>
    <w:p w:rsidR="00EC4A70" w:rsidRPr="00421194" w:rsidRDefault="00EC4A70" w:rsidP="0082799C">
      <w:pPr>
        <w:pStyle w:val="ListParagraph"/>
        <w:numPr>
          <w:ilvl w:val="1"/>
          <w:numId w:val="1"/>
        </w:numPr>
        <w:spacing w:before="0" w:after="120"/>
        <w:jc w:val="both"/>
        <w:rPr>
          <w:rFonts w:ascii="Calibri" w:eastAsia="Times New Roman" w:hAnsi="Calibri" w:cs="Arial"/>
          <w:bCs/>
          <w:i/>
          <w:snapToGrid w:val="0"/>
          <w:szCs w:val="24"/>
          <w:lang w:val="en-GB"/>
        </w:rPr>
      </w:pPr>
      <w:r w:rsidRPr="00421194">
        <w:t>The PBAC noted that this submission is</w:t>
      </w:r>
      <w:r w:rsidR="00D464B0" w:rsidRPr="00421194">
        <w:t xml:space="preserve"> </w:t>
      </w:r>
      <w:r w:rsidRPr="00421194">
        <w:t xml:space="preserve">eligible for an Independent Review. </w:t>
      </w:r>
    </w:p>
    <w:p w:rsidR="00EC4A70" w:rsidRPr="00421194" w:rsidRDefault="00EC4A70" w:rsidP="00EC4A70">
      <w:pPr>
        <w:spacing w:before="240" w:after="120"/>
        <w:jc w:val="both"/>
        <w:rPr>
          <w:rFonts w:ascii="Calibri" w:eastAsia="Times New Roman" w:hAnsi="Calibri" w:cs="Arial"/>
          <w:b/>
          <w:bCs/>
          <w:snapToGrid w:val="0"/>
          <w:szCs w:val="24"/>
          <w:lang w:val="en-GB"/>
        </w:rPr>
      </w:pPr>
      <w:r w:rsidRPr="00421194">
        <w:rPr>
          <w:rFonts w:ascii="Calibri" w:eastAsia="Times New Roman" w:hAnsi="Calibri" w:cs="Arial"/>
          <w:b/>
          <w:bCs/>
          <w:snapToGrid w:val="0"/>
          <w:szCs w:val="24"/>
          <w:lang w:val="en-GB"/>
        </w:rPr>
        <w:t>Outcome:</w:t>
      </w:r>
    </w:p>
    <w:p w:rsidR="00004281" w:rsidRDefault="00EC4A70" w:rsidP="000A1A7E">
      <w:pPr>
        <w:spacing w:before="0" w:after="120"/>
        <w:jc w:val="both"/>
        <w:rPr>
          <w:rFonts w:ascii="Calibri" w:eastAsia="Times New Roman" w:hAnsi="Calibri" w:cs="Arial"/>
          <w:bCs/>
          <w:snapToGrid w:val="0"/>
          <w:szCs w:val="24"/>
          <w:lang w:val="en-GB"/>
        </w:rPr>
      </w:pPr>
      <w:r w:rsidRPr="00421194">
        <w:rPr>
          <w:rFonts w:ascii="Calibri" w:eastAsia="Times New Roman" w:hAnsi="Calibri" w:cs="Arial"/>
          <w:bCs/>
          <w:snapToGrid w:val="0"/>
          <w:szCs w:val="24"/>
          <w:lang w:val="en-GB"/>
        </w:rPr>
        <w:t xml:space="preserve">Rejected </w:t>
      </w:r>
    </w:p>
    <w:p w:rsidR="001A6F07" w:rsidRDefault="001A6F07" w:rsidP="000A1A7E">
      <w:pPr>
        <w:spacing w:before="0" w:after="120"/>
        <w:jc w:val="both"/>
        <w:rPr>
          <w:rFonts w:ascii="Calibri" w:eastAsia="Times New Roman" w:hAnsi="Calibri" w:cs="Arial"/>
          <w:bCs/>
          <w:snapToGrid w:val="0"/>
          <w:szCs w:val="24"/>
          <w:lang w:val="en-GB"/>
        </w:rPr>
      </w:pPr>
    </w:p>
    <w:p w:rsidR="001A6F07" w:rsidRPr="001A6F07" w:rsidRDefault="001A6F07" w:rsidP="001A6F07">
      <w:pPr>
        <w:pStyle w:val="Heading1"/>
        <w:ind w:left="720" w:hanging="720"/>
        <w:rPr>
          <w:rFonts w:ascii="Calibri" w:eastAsia="Times New Roman" w:hAnsi="Calibri" w:cs="Arial"/>
          <w:bCs/>
          <w:snapToGrid w:val="0"/>
          <w:szCs w:val="24"/>
        </w:rPr>
      </w:pPr>
      <w:r w:rsidRPr="001A6F07">
        <w:rPr>
          <w:rFonts w:ascii="Calibri" w:eastAsia="Times New Roman" w:hAnsi="Calibri" w:cs="Arial"/>
          <w:bCs/>
          <w:snapToGrid w:val="0"/>
          <w:szCs w:val="24"/>
        </w:rPr>
        <w:t>Context for Decision</w:t>
      </w:r>
    </w:p>
    <w:p w:rsidR="001A6F07" w:rsidRPr="00D24BA5" w:rsidRDefault="001A6F07" w:rsidP="001A6F07">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A6F07" w:rsidRPr="001A6F07" w:rsidRDefault="001A6F07" w:rsidP="001A6F07">
      <w:pPr>
        <w:pStyle w:val="Heading1"/>
        <w:ind w:left="720" w:hanging="720"/>
        <w:rPr>
          <w:rFonts w:ascii="Calibri" w:eastAsia="Times New Roman" w:hAnsi="Calibri" w:cs="Arial"/>
          <w:bCs/>
          <w:snapToGrid w:val="0"/>
          <w:szCs w:val="24"/>
        </w:rPr>
      </w:pPr>
      <w:r w:rsidRPr="001A6F07">
        <w:rPr>
          <w:rFonts w:ascii="Calibri" w:eastAsia="Times New Roman" w:hAnsi="Calibri" w:cs="Arial"/>
          <w:bCs/>
          <w:snapToGrid w:val="0"/>
          <w:szCs w:val="24"/>
        </w:rPr>
        <w:t>Sponsor’s Comment</w:t>
      </w:r>
    </w:p>
    <w:p w:rsidR="00373CF0" w:rsidRDefault="00373CF0" w:rsidP="00373CF0">
      <w:pPr>
        <w:jc w:val="both"/>
      </w:pPr>
      <w:r>
        <w:t>Janssen will continue to work with the PBAC to make ibrutinib available to patients as soon as practical.</w:t>
      </w:r>
    </w:p>
    <w:p w:rsidR="001A6F07" w:rsidRPr="00BF1632" w:rsidRDefault="001A6F07" w:rsidP="000A1A7E">
      <w:pPr>
        <w:spacing w:before="0" w:after="120"/>
        <w:jc w:val="both"/>
        <w:rPr>
          <w:color w:val="4472C4" w:themeColor="accent5"/>
        </w:rPr>
      </w:pPr>
    </w:p>
    <w:sectPr w:rsidR="001A6F07" w:rsidRPr="00BF1632" w:rsidSect="000042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B55EC" w15:done="0"/>
  <w15:commentEx w15:paraId="632D36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91" w:rsidRDefault="00F36A91" w:rsidP="00BA3306">
      <w:pPr>
        <w:spacing w:before="0" w:after="0"/>
      </w:pPr>
      <w:r>
        <w:separator/>
      </w:r>
    </w:p>
  </w:endnote>
  <w:endnote w:type="continuationSeparator" w:id="0">
    <w:p w:rsidR="00F36A91" w:rsidRDefault="00F36A91"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91" w:rsidRDefault="00F36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21047"/>
      <w:docPartObj>
        <w:docPartGallery w:val="Page Numbers (Bottom of Page)"/>
        <w:docPartUnique/>
      </w:docPartObj>
    </w:sdtPr>
    <w:sdtEndPr>
      <w:rPr>
        <w:b/>
        <w:noProof/>
      </w:rPr>
    </w:sdtEndPr>
    <w:sdtContent>
      <w:p w:rsidR="00083DC2" w:rsidRDefault="00083DC2">
        <w:pPr>
          <w:pStyle w:val="Footer"/>
          <w:jc w:val="center"/>
        </w:pPr>
      </w:p>
      <w:p w:rsidR="00083DC2" w:rsidRDefault="00083DC2">
        <w:pPr>
          <w:pStyle w:val="Footer"/>
          <w:jc w:val="center"/>
          <w:rPr>
            <w:b/>
            <w:noProof/>
          </w:rPr>
        </w:pPr>
        <w:r w:rsidRPr="00BF1632">
          <w:rPr>
            <w:b/>
          </w:rPr>
          <w:fldChar w:fldCharType="begin"/>
        </w:r>
        <w:r w:rsidRPr="00BF1632">
          <w:rPr>
            <w:b/>
          </w:rPr>
          <w:instrText xml:space="preserve"> PAGE   \* MERGEFORMAT </w:instrText>
        </w:r>
        <w:r w:rsidRPr="00BF1632">
          <w:rPr>
            <w:b/>
          </w:rPr>
          <w:fldChar w:fldCharType="separate"/>
        </w:r>
        <w:r w:rsidR="00F36A91">
          <w:rPr>
            <w:b/>
            <w:noProof/>
          </w:rPr>
          <w:t>1</w:t>
        </w:r>
        <w:r w:rsidRPr="00BF1632">
          <w:rPr>
            <w:b/>
            <w:noProof/>
          </w:rPr>
          <w:fldChar w:fldCharType="end"/>
        </w:r>
      </w:p>
      <w:p w:rsidR="00083DC2" w:rsidRPr="00BF1632" w:rsidRDefault="00F36A91">
        <w:pPr>
          <w:pStyle w:val="Footer"/>
          <w:jc w:val="center"/>
          <w:rPr>
            <w:b/>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91" w:rsidRDefault="00F36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91" w:rsidRDefault="00F36A91" w:rsidP="00BA3306">
      <w:pPr>
        <w:spacing w:before="0" w:after="0"/>
      </w:pPr>
      <w:r>
        <w:separator/>
      </w:r>
    </w:p>
  </w:footnote>
  <w:footnote w:type="continuationSeparator" w:id="0">
    <w:p w:rsidR="00F36A91" w:rsidRDefault="00F36A91" w:rsidP="00BA3306">
      <w:pPr>
        <w:spacing w:before="0" w:after="0"/>
      </w:pPr>
      <w:r>
        <w:continuationSeparator/>
      </w:r>
    </w:p>
  </w:footnote>
  <w:footnote w:id="1">
    <w:p w:rsidR="00083DC2" w:rsidRDefault="00083DC2">
      <w:pPr>
        <w:pStyle w:val="FootnoteText"/>
      </w:pPr>
      <w:r>
        <w:rPr>
          <w:rStyle w:val="FootnoteReference"/>
        </w:rPr>
        <w:footnoteRef/>
      </w:r>
      <w:r>
        <w:t xml:space="preserve"> </w:t>
      </w:r>
      <w:r w:rsidRPr="001F63F7">
        <w:t xml:space="preserve">Leong, D. </w:t>
      </w:r>
      <w:r>
        <w:t>et al</w:t>
      </w:r>
      <w:r w:rsidRPr="001F63F7">
        <w:t>. (2016). The risk of atrial fibrillation with ibrutinib use: a systematic review and meta-analysis. Blood, 128(1), 138-140. Accessed November 08,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91" w:rsidRDefault="00F36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C2" w:rsidRPr="00BF1632" w:rsidRDefault="00083DC2" w:rsidP="00BF1632">
    <w:pPr>
      <w:tabs>
        <w:tab w:val="center" w:pos="4153"/>
        <w:tab w:val="right" w:pos="8306"/>
      </w:tabs>
      <w:spacing w:before="0" w:after="120"/>
      <w:ind w:left="360"/>
      <w:jc w:val="center"/>
      <w:rPr>
        <w:rFonts w:ascii="Calibri" w:eastAsia="Times New Roman" w:hAnsi="Calibri" w:cs="Arial"/>
        <w:i/>
        <w:color w:val="808080"/>
        <w:sz w:val="22"/>
        <w:szCs w:val="24"/>
      </w:rPr>
    </w:pPr>
    <w:r>
      <w:rPr>
        <w:rFonts w:ascii="Calibri" w:eastAsia="Times New Roman" w:hAnsi="Calibri" w:cs="Arial"/>
        <w:i/>
        <w:color w:val="808080"/>
        <w:sz w:val="22"/>
        <w:szCs w:val="24"/>
      </w:rPr>
      <w:t xml:space="preserve">Public Summary Document </w:t>
    </w:r>
    <w:r w:rsidRPr="00BF1632">
      <w:rPr>
        <w:rFonts w:ascii="Calibri" w:eastAsia="Times New Roman" w:hAnsi="Calibri" w:cs="Arial"/>
        <w:i/>
        <w:color w:val="808080"/>
        <w:sz w:val="22"/>
        <w:szCs w:val="24"/>
      </w:rPr>
      <w:t xml:space="preserve">– </w:t>
    </w:r>
    <w:r>
      <w:rPr>
        <w:rFonts w:ascii="Calibri" w:eastAsia="Times New Roman" w:hAnsi="Calibri" w:cs="Arial"/>
        <w:i/>
        <w:color w:val="808080"/>
        <w:sz w:val="22"/>
        <w:szCs w:val="24"/>
      </w:rPr>
      <w:t>November 2017</w:t>
    </w:r>
    <w:r w:rsidRPr="00BF1632">
      <w:rPr>
        <w:rFonts w:ascii="Calibri" w:eastAsia="Times New Roman" w:hAnsi="Calibri" w:cs="Arial"/>
        <w:i/>
        <w:color w:val="808080"/>
        <w:sz w:val="22"/>
        <w:szCs w:val="24"/>
      </w:rPr>
      <w:t xml:space="preserve"> PBAC Meeting</w:t>
    </w:r>
  </w:p>
  <w:p w:rsidR="00083DC2" w:rsidRPr="00BF1632" w:rsidRDefault="00083DC2" w:rsidP="00BF1632">
    <w:pPr>
      <w:tabs>
        <w:tab w:val="center" w:pos="4153"/>
        <w:tab w:val="right" w:pos="8306"/>
      </w:tabs>
      <w:spacing w:before="0" w:after="120"/>
      <w:ind w:left="360"/>
      <w:jc w:val="center"/>
      <w:rPr>
        <w:rFonts w:ascii="Calibri" w:eastAsia="Times New Roman" w:hAnsi="Calibri" w:cs="Arial"/>
        <w:i/>
        <w:color w:val="808080"/>
        <w:sz w:val="2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91" w:rsidRDefault="00F36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7C9"/>
    <w:multiLevelType w:val="hybridMultilevel"/>
    <w:tmpl w:val="5EDE0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4500DD"/>
    <w:multiLevelType w:val="hybridMultilevel"/>
    <w:tmpl w:val="AA0C40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8634A1F"/>
    <w:multiLevelType w:val="hybridMultilevel"/>
    <w:tmpl w:val="79009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B6C3F34"/>
    <w:multiLevelType w:val="hybridMultilevel"/>
    <w:tmpl w:val="101676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E6825"/>
    <w:multiLevelType w:val="multilevel"/>
    <w:tmpl w:val="190A1504"/>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F015DD"/>
    <w:multiLevelType w:val="hybridMultilevel"/>
    <w:tmpl w:val="D6A4D3BE"/>
    <w:lvl w:ilvl="0" w:tplc="BA56F3B0">
      <w:start w:val="1"/>
      <w:numFmt w:val="decimal"/>
      <w:pStyle w:val="TableTitleA"/>
      <w:lvlText w:val="Table 4.1.%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757648"/>
    <w:multiLevelType w:val="hybridMultilevel"/>
    <w:tmpl w:val="F1784E5A"/>
    <w:lvl w:ilvl="0" w:tplc="61521476">
      <w:start w:val="1"/>
      <w:numFmt w:val="decimal"/>
      <w:pStyle w:val="FigureHeading"/>
      <w:lvlText w:val="Figure 3.%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F5EC2"/>
    <w:multiLevelType w:val="multilevel"/>
    <w:tmpl w:val="632E32B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1941533"/>
    <w:multiLevelType w:val="hybridMultilevel"/>
    <w:tmpl w:val="06C29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163A51"/>
    <w:multiLevelType w:val="hybridMultilevel"/>
    <w:tmpl w:val="B212C888"/>
    <w:lvl w:ilvl="0" w:tplc="86FE42BC">
      <w:start w:val="1"/>
      <w:numFmt w:val="decimal"/>
      <w:pStyle w:val="Tableheading"/>
      <w:lvlText w:val="Table 1.%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65997"/>
    <w:multiLevelType w:val="hybridMultilevel"/>
    <w:tmpl w:val="BFD4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760D5C"/>
    <w:multiLevelType w:val="multilevel"/>
    <w:tmpl w:val="A956BF38"/>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0D08FA"/>
    <w:multiLevelType w:val="hybridMultilevel"/>
    <w:tmpl w:val="18C234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EAC310F"/>
    <w:multiLevelType w:val="multilevel"/>
    <w:tmpl w:val="179AB3EA"/>
    <w:lvl w:ilvl="0">
      <w:start w:val="1"/>
      <w:numFmt w:val="decimal"/>
      <w:pStyle w:val="TableTitleB"/>
      <w:lvlText w:val="Table B.%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4D033C"/>
    <w:multiLevelType w:val="multilevel"/>
    <w:tmpl w:val="B28C211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7102EA"/>
    <w:multiLevelType w:val="hybridMultilevel"/>
    <w:tmpl w:val="DE54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1"/>
  </w:num>
  <w:num w:numId="4">
    <w:abstractNumId w:val="8"/>
  </w:num>
  <w:num w:numId="5">
    <w:abstractNumId w:val="20"/>
  </w:num>
  <w:num w:numId="6">
    <w:abstractNumId w:val="16"/>
  </w:num>
  <w:num w:numId="7">
    <w:abstractNumId w:val="12"/>
  </w:num>
  <w:num w:numId="8">
    <w:abstractNumId w:val="11"/>
  </w:num>
  <w:num w:numId="9">
    <w:abstractNumId w:val="5"/>
  </w:num>
  <w:num w:numId="10">
    <w:abstractNumId w:val="18"/>
  </w:num>
  <w:num w:numId="11">
    <w:abstractNumId w:val="4"/>
  </w:num>
  <w:num w:numId="12">
    <w:abstractNumId w:val="3"/>
  </w:num>
  <w:num w:numId="13">
    <w:abstractNumId w:val="14"/>
  </w:num>
  <w:num w:numId="14">
    <w:abstractNumId w:val="19"/>
  </w:num>
  <w:num w:numId="15">
    <w:abstractNumId w:val="10"/>
  </w:num>
  <w:num w:numId="16">
    <w:abstractNumId w:val="15"/>
  </w:num>
  <w:num w:numId="17">
    <w:abstractNumId w:val="9"/>
  </w:num>
  <w:num w:numId="18">
    <w:abstractNumId w:val="0"/>
  </w:num>
  <w:num w:numId="19">
    <w:abstractNumId w:val="22"/>
  </w:num>
  <w:num w:numId="20">
    <w:abstractNumId w:val="17"/>
  </w:num>
  <w:num w:numId="21">
    <w:abstractNumId w:val="2"/>
  </w:num>
  <w:num w:numId="22">
    <w:abstractNumId w:val="1"/>
  </w:num>
  <w:num w:numId="23">
    <w:abstractNumId w:val="6"/>
  </w:num>
  <w:num w:numId="24">
    <w:abstractNumId w:val="7"/>
  </w:num>
  <w:num w:numId="25">
    <w:abstractNumId w:val="7"/>
  </w:num>
  <w:num w:numId="26">
    <w:abstractNumId w:val="7"/>
  </w:num>
  <w:num w:numId="27">
    <w:abstractNumId w:val="7"/>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K1NDM1NTMwMDY3sDRW0lEKTi0uzszPAykwrAUAdpCO2SwAAAA="/>
  </w:docVars>
  <w:rsids>
    <w:rsidRoot w:val="008014EC"/>
    <w:rsid w:val="00001AB4"/>
    <w:rsid w:val="00004281"/>
    <w:rsid w:val="0000694C"/>
    <w:rsid w:val="0001066F"/>
    <w:rsid w:val="00012696"/>
    <w:rsid w:val="00013222"/>
    <w:rsid w:val="0001362C"/>
    <w:rsid w:val="0002095B"/>
    <w:rsid w:val="00025F74"/>
    <w:rsid w:val="000325A9"/>
    <w:rsid w:val="00034404"/>
    <w:rsid w:val="00040435"/>
    <w:rsid w:val="00041CDC"/>
    <w:rsid w:val="000461CF"/>
    <w:rsid w:val="000511FE"/>
    <w:rsid w:val="00056F81"/>
    <w:rsid w:val="00057F71"/>
    <w:rsid w:val="00062067"/>
    <w:rsid w:val="00065C62"/>
    <w:rsid w:val="00065CDE"/>
    <w:rsid w:val="00065F4A"/>
    <w:rsid w:val="00071AD8"/>
    <w:rsid w:val="00080FF3"/>
    <w:rsid w:val="00083DC2"/>
    <w:rsid w:val="000847FE"/>
    <w:rsid w:val="00086133"/>
    <w:rsid w:val="0009549A"/>
    <w:rsid w:val="000A1A7E"/>
    <w:rsid w:val="000A2694"/>
    <w:rsid w:val="000A2EF1"/>
    <w:rsid w:val="000A6FBD"/>
    <w:rsid w:val="000B56CD"/>
    <w:rsid w:val="000B6B69"/>
    <w:rsid w:val="000C0142"/>
    <w:rsid w:val="000C6A40"/>
    <w:rsid w:val="000C6A75"/>
    <w:rsid w:val="000D0023"/>
    <w:rsid w:val="000D13CE"/>
    <w:rsid w:val="000D2E92"/>
    <w:rsid w:val="000D6801"/>
    <w:rsid w:val="000E3467"/>
    <w:rsid w:val="000E76B8"/>
    <w:rsid w:val="000F2534"/>
    <w:rsid w:val="000F29C4"/>
    <w:rsid w:val="000F364B"/>
    <w:rsid w:val="000F3652"/>
    <w:rsid w:val="001053F1"/>
    <w:rsid w:val="001102A5"/>
    <w:rsid w:val="00110E4B"/>
    <w:rsid w:val="0012701F"/>
    <w:rsid w:val="001279AE"/>
    <w:rsid w:val="0013092C"/>
    <w:rsid w:val="00134914"/>
    <w:rsid w:val="00136E76"/>
    <w:rsid w:val="00137C6E"/>
    <w:rsid w:val="001468C6"/>
    <w:rsid w:val="00146C47"/>
    <w:rsid w:val="00150626"/>
    <w:rsid w:val="00150DB8"/>
    <w:rsid w:val="001572B0"/>
    <w:rsid w:val="00157EE1"/>
    <w:rsid w:val="0016294F"/>
    <w:rsid w:val="00163FD8"/>
    <w:rsid w:val="00165A49"/>
    <w:rsid w:val="00167586"/>
    <w:rsid w:val="00167A5D"/>
    <w:rsid w:val="001722AD"/>
    <w:rsid w:val="00173577"/>
    <w:rsid w:val="0017638E"/>
    <w:rsid w:val="00176AA5"/>
    <w:rsid w:val="0017720E"/>
    <w:rsid w:val="00177893"/>
    <w:rsid w:val="0018240D"/>
    <w:rsid w:val="00184221"/>
    <w:rsid w:val="00185D71"/>
    <w:rsid w:val="00186307"/>
    <w:rsid w:val="00186EBC"/>
    <w:rsid w:val="00195DA4"/>
    <w:rsid w:val="001A0142"/>
    <w:rsid w:val="001A02B2"/>
    <w:rsid w:val="001A6F07"/>
    <w:rsid w:val="001A7EC1"/>
    <w:rsid w:val="001B00CE"/>
    <w:rsid w:val="001B3557"/>
    <w:rsid w:val="001B6389"/>
    <w:rsid w:val="001C04CC"/>
    <w:rsid w:val="001C051E"/>
    <w:rsid w:val="001C38F1"/>
    <w:rsid w:val="001D4E24"/>
    <w:rsid w:val="001D5DE3"/>
    <w:rsid w:val="001E0C92"/>
    <w:rsid w:val="001E240F"/>
    <w:rsid w:val="001E24A6"/>
    <w:rsid w:val="001E4361"/>
    <w:rsid w:val="001E5918"/>
    <w:rsid w:val="001F0016"/>
    <w:rsid w:val="001F073C"/>
    <w:rsid w:val="001F2912"/>
    <w:rsid w:val="001F63F7"/>
    <w:rsid w:val="001F6713"/>
    <w:rsid w:val="002001C6"/>
    <w:rsid w:val="00200296"/>
    <w:rsid w:val="002018CD"/>
    <w:rsid w:val="00201ADB"/>
    <w:rsid w:val="002045B4"/>
    <w:rsid w:val="002058E5"/>
    <w:rsid w:val="002058E6"/>
    <w:rsid w:val="00205999"/>
    <w:rsid w:val="00210FAA"/>
    <w:rsid w:val="00216B79"/>
    <w:rsid w:val="0022264C"/>
    <w:rsid w:val="002230F4"/>
    <w:rsid w:val="0022312A"/>
    <w:rsid w:val="002234A6"/>
    <w:rsid w:val="00231193"/>
    <w:rsid w:val="00235C26"/>
    <w:rsid w:val="002425EA"/>
    <w:rsid w:val="00242EA0"/>
    <w:rsid w:val="00243685"/>
    <w:rsid w:val="00250D5D"/>
    <w:rsid w:val="0025223C"/>
    <w:rsid w:val="0025613F"/>
    <w:rsid w:val="00261DC6"/>
    <w:rsid w:val="002622CF"/>
    <w:rsid w:val="00264623"/>
    <w:rsid w:val="00273C92"/>
    <w:rsid w:val="00280B5B"/>
    <w:rsid w:val="00282D1F"/>
    <w:rsid w:val="00282E18"/>
    <w:rsid w:val="0028312A"/>
    <w:rsid w:val="002836DF"/>
    <w:rsid w:val="00291E7C"/>
    <w:rsid w:val="00291F40"/>
    <w:rsid w:val="002928F4"/>
    <w:rsid w:val="00295209"/>
    <w:rsid w:val="002A4503"/>
    <w:rsid w:val="002B0C54"/>
    <w:rsid w:val="002B4941"/>
    <w:rsid w:val="002B5D74"/>
    <w:rsid w:val="002B7ADB"/>
    <w:rsid w:val="002C1D2F"/>
    <w:rsid w:val="002C7CA8"/>
    <w:rsid w:val="002D1765"/>
    <w:rsid w:val="002D2FCA"/>
    <w:rsid w:val="002D34C2"/>
    <w:rsid w:val="002D64DA"/>
    <w:rsid w:val="002D668C"/>
    <w:rsid w:val="002D7823"/>
    <w:rsid w:val="002E15F5"/>
    <w:rsid w:val="002E31A4"/>
    <w:rsid w:val="002E42FD"/>
    <w:rsid w:val="002E4C2D"/>
    <w:rsid w:val="002E50E1"/>
    <w:rsid w:val="002E5DEA"/>
    <w:rsid w:val="002E724A"/>
    <w:rsid w:val="002F0CC4"/>
    <w:rsid w:val="002F1812"/>
    <w:rsid w:val="002F311E"/>
    <w:rsid w:val="002F6455"/>
    <w:rsid w:val="002F71B8"/>
    <w:rsid w:val="0030057F"/>
    <w:rsid w:val="00301EA1"/>
    <w:rsid w:val="00302FCC"/>
    <w:rsid w:val="003061FB"/>
    <w:rsid w:val="003062AE"/>
    <w:rsid w:val="00310DD2"/>
    <w:rsid w:val="0031106D"/>
    <w:rsid w:val="00315514"/>
    <w:rsid w:val="00323251"/>
    <w:rsid w:val="0032678B"/>
    <w:rsid w:val="00334ACF"/>
    <w:rsid w:val="00341A14"/>
    <w:rsid w:val="00351381"/>
    <w:rsid w:val="003530A6"/>
    <w:rsid w:val="00353627"/>
    <w:rsid w:val="003549BB"/>
    <w:rsid w:val="00355F72"/>
    <w:rsid w:val="00357657"/>
    <w:rsid w:val="00357B76"/>
    <w:rsid w:val="00361DD7"/>
    <w:rsid w:val="003639A6"/>
    <w:rsid w:val="003679AE"/>
    <w:rsid w:val="003700F2"/>
    <w:rsid w:val="003730C3"/>
    <w:rsid w:val="00373CF0"/>
    <w:rsid w:val="00374E65"/>
    <w:rsid w:val="0037527A"/>
    <w:rsid w:val="00376F24"/>
    <w:rsid w:val="0038281C"/>
    <w:rsid w:val="003851FE"/>
    <w:rsid w:val="00385A64"/>
    <w:rsid w:val="00386D1A"/>
    <w:rsid w:val="00393AE8"/>
    <w:rsid w:val="00394DD0"/>
    <w:rsid w:val="00397170"/>
    <w:rsid w:val="003A3433"/>
    <w:rsid w:val="003A407A"/>
    <w:rsid w:val="003A537E"/>
    <w:rsid w:val="003A660F"/>
    <w:rsid w:val="003B095E"/>
    <w:rsid w:val="003B5799"/>
    <w:rsid w:val="003C0BF9"/>
    <w:rsid w:val="003C0C67"/>
    <w:rsid w:val="003C0EAF"/>
    <w:rsid w:val="003C1A9F"/>
    <w:rsid w:val="003C5F28"/>
    <w:rsid w:val="003D11A9"/>
    <w:rsid w:val="003D2A37"/>
    <w:rsid w:val="003D481F"/>
    <w:rsid w:val="003D69EF"/>
    <w:rsid w:val="003D7F8C"/>
    <w:rsid w:val="003E0EDB"/>
    <w:rsid w:val="003E60E3"/>
    <w:rsid w:val="003E6475"/>
    <w:rsid w:val="003F105A"/>
    <w:rsid w:val="003F283D"/>
    <w:rsid w:val="003F5F37"/>
    <w:rsid w:val="003F6199"/>
    <w:rsid w:val="004032A3"/>
    <w:rsid w:val="004033BF"/>
    <w:rsid w:val="004110C2"/>
    <w:rsid w:val="00411E8A"/>
    <w:rsid w:val="0041756E"/>
    <w:rsid w:val="00417590"/>
    <w:rsid w:val="00421194"/>
    <w:rsid w:val="00421450"/>
    <w:rsid w:val="00427956"/>
    <w:rsid w:val="00427E55"/>
    <w:rsid w:val="00435AB4"/>
    <w:rsid w:val="00437BB5"/>
    <w:rsid w:val="00440B72"/>
    <w:rsid w:val="00443C1D"/>
    <w:rsid w:val="00453BAE"/>
    <w:rsid w:val="00453D59"/>
    <w:rsid w:val="00454493"/>
    <w:rsid w:val="00456BF8"/>
    <w:rsid w:val="004619BB"/>
    <w:rsid w:val="00465D3F"/>
    <w:rsid w:val="0046621E"/>
    <w:rsid w:val="00472D4D"/>
    <w:rsid w:val="00481B42"/>
    <w:rsid w:val="00485A41"/>
    <w:rsid w:val="004919DD"/>
    <w:rsid w:val="00494F7C"/>
    <w:rsid w:val="004A2DF5"/>
    <w:rsid w:val="004A4EF3"/>
    <w:rsid w:val="004A6593"/>
    <w:rsid w:val="004A72EA"/>
    <w:rsid w:val="004B3C00"/>
    <w:rsid w:val="004B4443"/>
    <w:rsid w:val="004C1D47"/>
    <w:rsid w:val="004C468B"/>
    <w:rsid w:val="004D1006"/>
    <w:rsid w:val="004D45DF"/>
    <w:rsid w:val="004E0C0B"/>
    <w:rsid w:val="004E2125"/>
    <w:rsid w:val="004E27C4"/>
    <w:rsid w:val="004F3688"/>
    <w:rsid w:val="004F3AAE"/>
    <w:rsid w:val="004F4415"/>
    <w:rsid w:val="004F4BDE"/>
    <w:rsid w:val="004F5F48"/>
    <w:rsid w:val="004F6163"/>
    <w:rsid w:val="004F7CAC"/>
    <w:rsid w:val="00507713"/>
    <w:rsid w:val="00511320"/>
    <w:rsid w:val="0051313C"/>
    <w:rsid w:val="005143F9"/>
    <w:rsid w:val="00516566"/>
    <w:rsid w:val="005168C0"/>
    <w:rsid w:val="005218C3"/>
    <w:rsid w:val="00531C11"/>
    <w:rsid w:val="00532C41"/>
    <w:rsid w:val="00535C74"/>
    <w:rsid w:val="005361AB"/>
    <w:rsid w:val="00536D3A"/>
    <w:rsid w:val="00541326"/>
    <w:rsid w:val="00541D43"/>
    <w:rsid w:val="00542068"/>
    <w:rsid w:val="00543AF9"/>
    <w:rsid w:val="0055532F"/>
    <w:rsid w:val="005558A9"/>
    <w:rsid w:val="005603A0"/>
    <w:rsid w:val="00561D24"/>
    <w:rsid w:val="00565EF7"/>
    <w:rsid w:val="0057442B"/>
    <w:rsid w:val="00576ADE"/>
    <w:rsid w:val="00577CFD"/>
    <w:rsid w:val="00577DEF"/>
    <w:rsid w:val="00587023"/>
    <w:rsid w:val="00590AED"/>
    <w:rsid w:val="005924A7"/>
    <w:rsid w:val="005948F6"/>
    <w:rsid w:val="00597972"/>
    <w:rsid w:val="005A0078"/>
    <w:rsid w:val="005A4CF9"/>
    <w:rsid w:val="005A6793"/>
    <w:rsid w:val="005B209C"/>
    <w:rsid w:val="005B4AE2"/>
    <w:rsid w:val="005C3BD2"/>
    <w:rsid w:val="005C52AB"/>
    <w:rsid w:val="005C6285"/>
    <w:rsid w:val="005D0593"/>
    <w:rsid w:val="005D151D"/>
    <w:rsid w:val="005D5BA1"/>
    <w:rsid w:val="005D622E"/>
    <w:rsid w:val="005E17C0"/>
    <w:rsid w:val="005E49B2"/>
    <w:rsid w:val="005F0AE8"/>
    <w:rsid w:val="005F2A6B"/>
    <w:rsid w:val="005F2C72"/>
    <w:rsid w:val="005F40C1"/>
    <w:rsid w:val="005F667D"/>
    <w:rsid w:val="006024D3"/>
    <w:rsid w:val="00604104"/>
    <w:rsid w:val="00604E48"/>
    <w:rsid w:val="00606EF9"/>
    <w:rsid w:val="0060706A"/>
    <w:rsid w:val="006070C4"/>
    <w:rsid w:val="00607758"/>
    <w:rsid w:val="00610D5E"/>
    <w:rsid w:val="006110E8"/>
    <w:rsid w:val="00613467"/>
    <w:rsid w:val="006167AB"/>
    <w:rsid w:val="00616E2A"/>
    <w:rsid w:val="00623CB0"/>
    <w:rsid w:val="00624315"/>
    <w:rsid w:val="0062545B"/>
    <w:rsid w:val="0062552A"/>
    <w:rsid w:val="00630792"/>
    <w:rsid w:val="006332BE"/>
    <w:rsid w:val="00637327"/>
    <w:rsid w:val="006408C3"/>
    <w:rsid w:val="00645206"/>
    <w:rsid w:val="006453C0"/>
    <w:rsid w:val="0064620D"/>
    <w:rsid w:val="00646EEB"/>
    <w:rsid w:val="00651824"/>
    <w:rsid w:val="006567A6"/>
    <w:rsid w:val="00657754"/>
    <w:rsid w:val="00661286"/>
    <w:rsid w:val="006623BB"/>
    <w:rsid w:val="00662DFF"/>
    <w:rsid w:val="00664356"/>
    <w:rsid w:val="00664B15"/>
    <w:rsid w:val="00665A64"/>
    <w:rsid w:val="00670E70"/>
    <w:rsid w:val="00672120"/>
    <w:rsid w:val="00675999"/>
    <w:rsid w:val="00680538"/>
    <w:rsid w:val="00683689"/>
    <w:rsid w:val="00691913"/>
    <w:rsid w:val="00692FB3"/>
    <w:rsid w:val="006940F0"/>
    <w:rsid w:val="00697E27"/>
    <w:rsid w:val="006A138B"/>
    <w:rsid w:val="006B140A"/>
    <w:rsid w:val="006B62D4"/>
    <w:rsid w:val="006C0F29"/>
    <w:rsid w:val="006C12A0"/>
    <w:rsid w:val="006C2277"/>
    <w:rsid w:val="006C4906"/>
    <w:rsid w:val="006C4A6E"/>
    <w:rsid w:val="006D3271"/>
    <w:rsid w:val="006D336B"/>
    <w:rsid w:val="006D754D"/>
    <w:rsid w:val="006E0761"/>
    <w:rsid w:val="006E6F62"/>
    <w:rsid w:val="006E7302"/>
    <w:rsid w:val="006F054F"/>
    <w:rsid w:val="006F161E"/>
    <w:rsid w:val="006F21CC"/>
    <w:rsid w:val="006F6E85"/>
    <w:rsid w:val="0070161A"/>
    <w:rsid w:val="00702C49"/>
    <w:rsid w:val="007052DB"/>
    <w:rsid w:val="00707082"/>
    <w:rsid w:val="00712C73"/>
    <w:rsid w:val="0071601C"/>
    <w:rsid w:val="00717712"/>
    <w:rsid w:val="00723AB1"/>
    <w:rsid w:val="00723E1E"/>
    <w:rsid w:val="007255AA"/>
    <w:rsid w:val="0072770C"/>
    <w:rsid w:val="00737E70"/>
    <w:rsid w:val="007451F5"/>
    <w:rsid w:val="00747333"/>
    <w:rsid w:val="007509A6"/>
    <w:rsid w:val="00750B5A"/>
    <w:rsid w:val="00751984"/>
    <w:rsid w:val="007606EB"/>
    <w:rsid w:val="007633B0"/>
    <w:rsid w:val="0077094D"/>
    <w:rsid w:val="007715D2"/>
    <w:rsid w:val="00771D73"/>
    <w:rsid w:val="00772501"/>
    <w:rsid w:val="00772C70"/>
    <w:rsid w:val="0078262F"/>
    <w:rsid w:val="007847FA"/>
    <w:rsid w:val="00790910"/>
    <w:rsid w:val="00791DE1"/>
    <w:rsid w:val="00793437"/>
    <w:rsid w:val="007A1644"/>
    <w:rsid w:val="007A3A8C"/>
    <w:rsid w:val="007A52F6"/>
    <w:rsid w:val="007B0E0C"/>
    <w:rsid w:val="007B5434"/>
    <w:rsid w:val="007B781C"/>
    <w:rsid w:val="007C2075"/>
    <w:rsid w:val="007C26E5"/>
    <w:rsid w:val="007C516E"/>
    <w:rsid w:val="007C720A"/>
    <w:rsid w:val="007D1092"/>
    <w:rsid w:val="007D2621"/>
    <w:rsid w:val="007D4ABC"/>
    <w:rsid w:val="007E0377"/>
    <w:rsid w:val="007E1094"/>
    <w:rsid w:val="007E3562"/>
    <w:rsid w:val="007F08CA"/>
    <w:rsid w:val="007F3B6E"/>
    <w:rsid w:val="007F6F10"/>
    <w:rsid w:val="008014EC"/>
    <w:rsid w:val="00803797"/>
    <w:rsid w:val="008058E8"/>
    <w:rsid w:val="00806434"/>
    <w:rsid w:val="00813288"/>
    <w:rsid w:val="00816DC9"/>
    <w:rsid w:val="00821A29"/>
    <w:rsid w:val="00821FE8"/>
    <w:rsid w:val="00823233"/>
    <w:rsid w:val="00824426"/>
    <w:rsid w:val="008264F8"/>
    <w:rsid w:val="0082799C"/>
    <w:rsid w:val="00830E52"/>
    <w:rsid w:val="008324E3"/>
    <w:rsid w:val="00834DD9"/>
    <w:rsid w:val="00836E8D"/>
    <w:rsid w:val="00845946"/>
    <w:rsid w:val="008476A0"/>
    <w:rsid w:val="00852F38"/>
    <w:rsid w:val="00854C36"/>
    <w:rsid w:val="00855AE9"/>
    <w:rsid w:val="00856C34"/>
    <w:rsid w:val="0086167E"/>
    <w:rsid w:val="00862012"/>
    <w:rsid w:val="00864BCC"/>
    <w:rsid w:val="00865DC1"/>
    <w:rsid w:val="00870089"/>
    <w:rsid w:val="00870C2F"/>
    <w:rsid w:val="00871FDF"/>
    <w:rsid w:val="008750F9"/>
    <w:rsid w:val="00875341"/>
    <w:rsid w:val="0087536F"/>
    <w:rsid w:val="00880A40"/>
    <w:rsid w:val="008869F4"/>
    <w:rsid w:val="00893EEF"/>
    <w:rsid w:val="008A3C58"/>
    <w:rsid w:val="008A4474"/>
    <w:rsid w:val="008A4880"/>
    <w:rsid w:val="008A52B1"/>
    <w:rsid w:val="008A6D90"/>
    <w:rsid w:val="008A78BF"/>
    <w:rsid w:val="008B12F1"/>
    <w:rsid w:val="008B468B"/>
    <w:rsid w:val="008B50C0"/>
    <w:rsid w:val="008B5B32"/>
    <w:rsid w:val="008C6DF2"/>
    <w:rsid w:val="008C6F14"/>
    <w:rsid w:val="008C79A8"/>
    <w:rsid w:val="008D3DCA"/>
    <w:rsid w:val="008D78FF"/>
    <w:rsid w:val="008E5AA6"/>
    <w:rsid w:val="008F10E5"/>
    <w:rsid w:val="008F3D7F"/>
    <w:rsid w:val="008F5B25"/>
    <w:rsid w:val="00905477"/>
    <w:rsid w:val="00913F6D"/>
    <w:rsid w:val="00914DA7"/>
    <w:rsid w:val="00915F63"/>
    <w:rsid w:val="009165C0"/>
    <w:rsid w:val="009177E9"/>
    <w:rsid w:val="00923E45"/>
    <w:rsid w:val="0092606A"/>
    <w:rsid w:val="009331CF"/>
    <w:rsid w:val="009334AC"/>
    <w:rsid w:val="00933DBC"/>
    <w:rsid w:val="00942010"/>
    <w:rsid w:val="0094320A"/>
    <w:rsid w:val="0094732E"/>
    <w:rsid w:val="0095170D"/>
    <w:rsid w:val="009526F8"/>
    <w:rsid w:val="0095307F"/>
    <w:rsid w:val="00955526"/>
    <w:rsid w:val="00955A7E"/>
    <w:rsid w:val="00966C09"/>
    <w:rsid w:val="0096785C"/>
    <w:rsid w:val="00974EEF"/>
    <w:rsid w:val="009775C0"/>
    <w:rsid w:val="009812FD"/>
    <w:rsid w:val="009813A5"/>
    <w:rsid w:val="00981EB9"/>
    <w:rsid w:val="00982F3A"/>
    <w:rsid w:val="00984441"/>
    <w:rsid w:val="009844CF"/>
    <w:rsid w:val="00984DD8"/>
    <w:rsid w:val="0099085F"/>
    <w:rsid w:val="009925DB"/>
    <w:rsid w:val="00993CC9"/>
    <w:rsid w:val="009A6F74"/>
    <w:rsid w:val="009B29BB"/>
    <w:rsid w:val="009B376D"/>
    <w:rsid w:val="009B3DC4"/>
    <w:rsid w:val="009B5260"/>
    <w:rsid w:val="009B589B"/>
    <w:rsid w:val="009D10FB"/>
    <w:rsid w:val="009D3628"/>
    <w:rsid w:val="009D4C2A"/>
    <w:rsid w:val="009D4DFB"/>
    <w:rsid w:val="009D6914"/>
    <w:rsid w:val="009E1C22"/>
    <w:rsid w:val="009E2043"/>
    <w:rsid w:val="009E2481"/>
    <w:rsid w:val="009E388B"/>
    <w:rsid w:val="009E4137"/>
    <w:rsid w:val="009E6662"/>
    <w:rsid w:val="009E71AF"/>
    <w:rsid w:val="009F22AB"/>
    <w:rsid w:val="009F3631"/>
    <w:rsid w:val="009F3790"/>
    <w:rsid w:val="009F4659"/>
    <w:rsid w:val="009F7CEB"/>
    <w:rsid w:val="00A040FD"/>
    <w:rsid w:val="00A0426A"/>
    <w:rsid w:val="00A04C0D"/>
    <w:rsid w:val="00A071F9"/>
    <w:rsid w:val="00A07A7F"/>
    <w:rsid w:val="00A12983"/>
    <w:rsid w:val="00A16CFF"/>
    <w:rsid w:val="00A2088B"/>
    <w:rsid w:val="00A20B1A"/>
    <w:rsid w:val="00A219ED"/>
    <w:rsid w:val="00A22A39"/>
    <w:rsid w:val="00A270FD"/>
    <w:rsid w:val="00A33513"/>
    <w:rsid w:val="00A3754F"/>
    <w:rsid w:val="00A41E5D"/>
    <w:rsid w:val="00A45735"/>
    <w:rsid w:val="00A535FB"/>
    <w:rsid w:val="00A55E65"/>
    <w:rsid w:val="00A6374D"/>
    <w:rsid w:val="00A707C0"/>
    <w:rsid w:val="00A81F82"/>
    <w:rsid w:val="00A841B0"/>
    <w:rsid w:val="00A85A2B"/>
    <w:rsid w:val="00A92878"/>
    <w:rsid w:val="00A93543"/>
    <w:rsid w:val="00A94EFC"/>
    <w:rsid w:val="00A95184"/>
    <w:rsid w:val="00A97F43"/>
    <w:rsid w:val="00AA1681"/>
    <w:rsid w:val="00AA2FA1"/>
    <w:rsid w:val="00AA51C1"/>
    <w:rsid w:val="00AA6156"/>
    <w:rsid w:val="00AA73AC"/>
    <w:rsid w:val="00AA7B77"/>
    <w:rsid w:val="00AA7B97"/>
    <w:rsid w:val="00AB187A"/>
    <w:rsid w:val="00AB2160"/>
    <w:rsid w:val="00AB3E8B"/>
    <w:rsid w:val="00AB514A"/>
    <w:rsid w:val="00AC1081"/>
    <w:rsid w:val="00AC50E3"/>
    <w:rsid w:val="00AC5CF2"/>
    <w:rsid w:val="00AD298D"/>
    <w:rsid w:val="00AD51C9"/>
    <w:rsid w:val="00AD6180"/>
    <w:rsid w:val="00AD7693"/>
    <w:rsid w:val="00AE2A68"/>
    <w:rsid w:val="00AE513E"/>
    <w:rsid w:val="00AE66A5"/>
    <w:rsid w:val="00AE7AA8"/>
    <w:rsid w:val="00AF01A0"/>
    <w:rsid w:val="00AF0DF9"/>
    <w:rsid w:val="00AF2B8C"/>
    <w:rsid w:val="00AF4BE4"/>
    <w:rsid w:val="00AF4BF9"/>
    <w:rsid w:val="00B05A6C"/>
    <w:rsid w:val="00B11EA0"/>
    <w:rsid w:val="00B16796"/>
    <w:rsid w:val="00B17FDB"/>
    <w:rsid w:val="00B21BB1"/>
    <w:rsid w:val="00B25D68"/>
    <w:rsid w:val="00B2777B"/>
    <w:rsid w:val="00B31832"/>
    <w:rsid w:val="00B45FEA"/>
    <w:rsid w:val="00B538CF"/>
    <w:rsid w:val="00B539FB"/>
    <w:rsid w:val="00B55F44"/>
    <w:rsid w:val="00B606C7"/>
    <w:rsid w:val="00B6367E"/>
    <w:rsid w:val="00B63B06"/>
    <w:rsid w:val="00B63FCB"/>
    <w:rsid w:val="00B666C2"/>
    <w:rsid w:val="00B66747"/>
    <w:rsid w:val="00B66C37"/>
    <w:rsid w:val="00B67119"/>
    <w:rsid w:val="00B71675"/>
    <w:rsid w:val="00B71B62"/>
    <w:rsid w:val="00B75BC0"/>
    <w:rsid w:val="00B7796D"/>
    <w:rsid w:val="00B80B83"/>
    <w:rsid w:val="00B81A5A"/>
    <w:rsid w:val="00B863A0"/>
    <w:rsid w:val="00B915D3"/>
    <w:rsid w:val="00B96925"/>
    <w:rsid w:val="00BA01AB"/>
    <w:rsid w:val="00BA3306"/>
    <w:rsid w:val="00BA6EAC"/>
    <w:rsid w:val="00BA73EE"/>
    <w:rsid w:val="00BB1951"/>
    <w:rsid w:val="00BB1C5C"/>
    <w:rsid w:val="00BB28A7"/>
    <w:rsid w:val="00BB3EFA"/>
    <w:rsid w:val="00BB4C63"/>
    <w:rsid w:val="00BB5B72"/>
    <w:rsid w:val="00BB6D04"/>
    <w:rsid w:val="00BC05DF"/>
    <w:rsid w:val="00BC1BA6"/>
    <w:rsid w:val="00BC31D5"/>
    <w:rsid w:val="00BC7FCB"/>
    <w:rsid w:val="00BD03EC"/>
    <w:rsid w:val="00BE3CAA"/>
    <w:rsid w:val="00BE3E5F"/>
    <w:rsid w:val="00BE583A"/>
    <w:rsid w:val="00BE76A2"/>
    <w:rsid w:val="00BF10F4"/>
    <w:rsid w:val="00BF13A5"/>
    <w:rsid w:val="00BF1632"/>
    <w:rsid w:val="00C00B11"/>
    <w:rsid w:val="00C06418"/>
    <w:rsid w:val="00C07417"/>
    <w:rsid w:val="00C07BBA"/>
    <w:rsid w:val="00C104C2"/>
    <w:rsid w:val="00C11033"/>
    <w:rsid w:val="00C15C5F"/>
    <w:rsid w:val="00C23FEA"/>
    <w:rsid w:val="00C247CB"/>
    <w:rsid w:val="00C2721F"/>
    <w:rsid w:val="00C313AD"/>
    <w:rsid w:val="00C317F3"/>
    <w:rsid w:val="00C3225D"/>
    <w:rsid w:val="00C434AF"/>
    <w:rsid w:val="00C44C37"/>
    <w:rsid w:val="00C46AE5"/>
    <w:rsid w:val="00C47654"/>
    <w:rsid w:val="00C52ACF"/>
    <w:rsid w:val="00C5311A"/>
    <w:rsid w:val="00C57E4D"/>
    <w:rsid w:val="00C626E2"/>
    <w:rsid w:val="00C628C8"/>
    <w:rsid w:val="00C66C8C"/>
    <w:rsid w:val="00C67D48"/>
    <w:rsid w:val="00C74DAE"/>
    <w:rsid w:val="00C7519E"/>
    <w:rsid w:val="00C763E9"/>
    <w:rsid w:val="00C81369"/>
    <w:rsid w:val="00C81A12"/>
    <w:rsid w:val="00C846BE"/>
    <w:rsid w:val="00C95536"/>
    <w:rsid w:val="00C963DE"/>
    <w:rsid w:val="00CA0AD5"/>
    <w:rsid w:val="00CA0C26"/>
    <w:rsid w:val="00CB07A8"/>
    <w:rsid w:val="00CB0C9A"/>
    <w:rsid w:val="00CB14A1"/>
    <w:rsid w:val="00CB5389"/>
    <w:rsid w:val="00CB7A69"/>
    <w:rsid w:val="00CC10E1"/>
    <w:rsid w:val="00CC1AA5"/>
    <w:rsid w:val="00CD12E3"/>
    <w:rsid w:val="00CD15B0"/>
    <w:rsid w:val="00CD6327"/>
    <w:rsid w:val="00CE2B78"/>
    <w:rsid w:val="00CE3AE0"/>
    <w:rsid w:val="00CE72CA"/>
    <w:rsid w:val="00CE74A3"/>
    <w:rsid w:val="00D034DD"/>
    <w:rsid w:val="00D03D0C"/>
    <w:rsid w:val="00D04952"/>
    <w:rsid w:val="00D05FCD"/>
    <w:rsid w:val="00D06A16"/>
    <w:rsid w:val="00D07951"/>
    <w:rsid w:val="00D1078F"/>
    <w:rsid w:val="00D10E60"/>
    <w:rsid w:val="00D12CD2"/>
    <w:rsid w:val="00D14320"/>
    <w:rsid w:val="00D14966"/>
    <w:rsid w:val="00D14D23"/>
    <w:rsid w:val="00D15D8B"/>
    <w:rsid w:val="00D17984"/>
    <w:rsid w:val="00D24DAD"/>
    <w:rsid w:val="00D25916"/>
    <w:rsid w:val="00D329E6"/>
    <w:rsid w:val="00D3645D"/>
    <w:rsid w:val="00D37972"/>
    <w:rsid w:val="00D40896"/>
    <w:rsid w:val="00D41534"/>
    <w:rsid w:val="00D42E91"/>
    <w:rsid w:val="00D43E90"/>
    <w:rsid w:val="00D4439C"/>
    <w:rsid w:val="00D451FC"/>
    <w:rsid w:val="00D4639A"/>
    <w:rsid w:val="00D464B0"/>
    <w:rsid w:val="00D50D56"/>
    <w:rsid w:val="00D61399"/>
    <w:rsid w:val="00D63C48"/>
    <w:rsid w:val="00D64289"/>
    <w:rsid w:val="00D6667B"/>
    <w:rsid w:val="00D71400"/>
    <w:rsid w:val="00D72C23"/>
    <w:rsid w:val="00D768BD"/>
    <w:rsid w:val="00D773A7"/>
    <w:rsid w:val="00D8435D"/>
    <w:rsid w:val="00D916E2"/>
    <w:rsid w:val="00D94E8B"/>
    <w:rsid w:val="00D95394"/>
    <w:rsid w:val="00D970E7"/>
    <w:rsid w:val="00DA032B"/>
    <w:rsid w:val="00DA0456"/>
    <w:rsid w:val="00DA3331"/>
    <w:rsid w:val="00DA55BB"/>
    <w:rsid w:val="00DA717B"/>
    <w:rsid w:val="00DA73EE"/>
    <w:rsid w:val="00DB417B"/>
    <w:rsid w:val="00DC1743"/>
    <w:rsid w:val="00DC1F73"/>
    <w:rsid w:val="00DC34D0"/>
    <w:rsid w:val="00DC4549"/>
    <w:rsid w:val="00DC4CC9"/>
    <w:rsid w:val="00DC7746"/>
    <w:rsid w:val="00DD16A4"/>
    <w:rsid w:val="00DD3049"/>
    <w:rsid w:val="00DE134B"/>
    <w:rsid w:val="00DE30E2"/>
    <w:rsid w:val="00DE3A9A"/>
    <w:rsid w:val="00DE49CB"/>
    <w:rsid w:val="00DE5365"/>
    <w:rsid w:val="00DE6421"/>
    <w:rsid w:val="00DF16C0"/>
    <w:rsid w:val="00DF548B"/>
    <w:rsid w:val="00E04D2A"/>
    <w:rsid w:val="00E054FC"/>
    <w:rsid w:val="00E05FBC"/>
    <w:rsid w:val="00E076E7"/>
    <w:rsid w:val="00E10B7D"/>
    <w:rsid w:val="00E143EA"/>
    <w:rsid w:val="00E227EA"/>
    <w:rsid w:val="00E23660"/>
    <w:rsid w:val="00E26DEA"/>
    <w:rsid w:val="00E2761D"/>
    <w:rsid w:val="00E31A1E"/>
    <w:rsid w:val="00E34484"/>
    <w:rsid w:val="00E36B64"/>
    <w:rsid w:val="00E36E0E"/>
    <w:rsid w:val="00E37424"/>
    <w:rsid w:val="00E4041E"/>
    <w:rsid w:val="00E42519"/>
    <w:rsid w:val="00E4380A"/>
    <w:rsid w:val="00E45180"/>
    <w:rsid w:val="00E45305"/>
    <w:rsid w:val="00E4634C"/>
    <w:rsid w:val="00E46AC9"/>
    <w:rsid w:val="00E5332F"/>
    <w:rsid w:val="00E53DB6"/>
    <w:rsid w:val="00E54FB3"/>
    <w:rsid w:val="00E55904"/>
    <w:rsid w:val="00E55E72"/>
    <w:rsid w:val="00E63A6B"/>
    <w:rsid w:val="00E66614"/>
    <w:rsid w:val="00E67B7D"/>
    <w:rsid w:val="00E72FCE"/>
    <w:rsid w:val="00E773DF"/>
    <w:rsid w:val="00E8269B"/>
    <w:rsid w:val="00E930FA"/>
    <w:rsid w:val="00E93282"/>
    <w:rsid w:val="00E94B6C"/>
    <w:rsid w:val="00EA1B29"/>
    <w:rsid w:val="00EA4A60"/>
    <w:rsid w:val="00EA66E6"/>
    <w:rsid w:val="00EB3F3E"/>
    <w:rsid w:val="00EB426B"/>
    <w:rsid w:val="00EB5E6D"/>
    <w:rsid w:val="00EC4A70"/>
    <w:rsid w:val="00EC76CB"/>
    <w:rsid w:val="00ED090B"/>
    <w:rsid w:val="00ED32BB"/>
    <w:rsid w:val="00ED5516"/>
    <w:rsid w:val="00ED7916"/>
    <w:rsid w:val="00EE117D"/>
    <w:rsid w:val="00EE31F2"/>
    <w:rsid w:val="00EE43F4"/>
    <w:rsid w:val="00EE4BE7"/>
    <w:rsid w:val="00EF3278"/>
    <w:rsid w:val="00EF4BAB"/>
    <w:rsid w:val="00F03295"/>
    <w:rsid w:val="00F03A1B"/>
    <w:rsid w:val="00F049C1"/>
    <w:rsid w:val="00F049EC"/>
    <w:rsid w:val="00F126C6"/>
    <w:rsid w:val="00F12AA9"/>
    <w:rsid w:val="00F17210"/>
    <w:rsid w:val="00F26B4B"/>
    <w:rsid w:val="00F2706C"/>
    <w:rsid w:val="00F3094A"/>
    <w:rsid w:val="00F32D23"/>
    <w:rsid w:val="00F34F7A"/>
    <w:rsid w:val="00F36A91"/>
    <w:rsid w:val="00F419C5"/>
    <w:rsid w:val="00F42841"/>
    <w:rsid w:val="00F44D9D"/>
    <w:rsid w:val="00F44EFB"/>
    <w:rsid w:val="00F5146C"/>
    <w:rsid w:val="00F56314"/>
    <w:rsid w:val="00F574D1"/>
    <w:rsid w:val="00F63AE4"/>
    <w:rsid w:val="00F65655"/>
    <w:rsid w:val="00F72B42"/>
    <w:rsid w:val="00F733F3"/>
    <w:rsid w:val="00F73A39"/>
    <w:rsid w:val="00F75D3A"/>
    <w:rsid w:val="00F80139"/>
    <w:rsid w:val="00F827AC"/>
    <w:rsid w:val="00F87C31"/>
    <w:rsid w:val="00F9212E"/>
    <w:rsid w:val="00F9783F"/>
    <w:rsid w:val="00FA0329"/>
    <w:rsid w:val="00FA2B64"/>
    <w:rsid w:val="00FA5D95"/>
    <w:rsid w:val="00FB1903"/>
    <w:rsid w:val="00FB366A"/>
    <w:rsid w:val="00FB57DB"/>
    <w:rsid w:val="00FB6238"/>
    <w:rsid w:val="00FB64B1"/>
    <w:rsid w:val="00FC06E3"/>
    <w:rsid w:val="00FC2230"/>
    <w:rsid w:val="00FC22AB"/>
    <w:rsid w:val="00FC44AB"/>
    <w:rsid w:val="00FC594B"/>
    <w:rsid w:val="00FD0DA5"/>
    <w:rsid w:val="00FD45F0"/>
    <w:rsid w:val="00FD5503"/>
    <w:rsid w:val="00FD7841"/>
    <w:rsid w:val="00FE0662"/>
    <w:rsid w:val="00FE09BE"/>
    <w:rsid w:val="00FE2431"/>
    <w:rsid w:val="00FE3EE3"/>
    <w:rsid w:val="00FE4C58"/>
    <w:rsid w:val="00FE6746"/>
    <w:rsid w:val="00FF2550"/>
    <w:rsid w:val="00FF2AD1"/>
    <w:rsid w:val="00FF47CF"/>
    <w:rsid w:val="00FF610D"/>
    <w:rsid w:val="00FF6AE6"/>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D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0"/>
    <w:lsdException w:name="caption" w:uiPriority="35" w:qFormat="1"/>
    <w:lsdException w:name="footnote reference" w:uiPriority="0"/>
    <w:lsdException w:name="annotation reference"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1">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59"/>
    <w:rsid w:val="0041759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759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75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E63A6B"/>
    <w:pPr>
      <w:numPr>
        <w:numId w:val="13"/>
      </w:numPr>
      <w:spacing w:before="0" w:after="0"/>
      <w:ind w:left="360"/>
      <w:jc w:val="both"/>
    </w:pPr>
    <w:rPr>
      <w:rFonts w:ascii="Arial" w:hAnsi="Arial"/>
      <w:b/>
      <w:sz w:val="20"/>
      <w:lang w:val="en-US"/>
    </w:rPr>
  </w:style>
  <w:style w:type="numbering" w:customStyle="1" w:styleId="NoList1">
    <w:name w:val="No List1"/>
    <w:next w:val="NoList"/>
    <w:uiPriority w:val="99"/>
    <w:semiHidden/>
    <w:unhideWhenUsed/>
    <w:rsid w:val="00816DC9"/>
  </w:style>
  <w:style w:type="table" w:customStyle="1" w:styleId="TableGrid2">
    <w:name w:val="Table Grid2"/>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16DC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AU"/>
    </w:rPr>
  </w:style>
  <w:style w:type="table" w:customStyle="1" w:styleId="TableGrid4">
    <w:name w:val="Table Grid4"/>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B">
    <w:name w:val="Table Title B"/>
    <w:next w:val="BodyText"/>
    <w:qFormat/>
    <w:rsid w:val="00816DC9"/>
    <w:pPr>
      <w:numPr>
        <w:numId w:val="14"/>
      </w:numPr>
      <w:spacing w:after="120"/>
    </w:pPr>
    <w:rPr>
      <w:rFonts w:ascii="Arial" w:eastAsia="Times New Roman" w:hAnsi="Arial" w:cs="Times New Roman"/>
      <w:b/>
      <w:sz w:val="20"/>
      <w:szCs w:val="24"/>
    </w:rPr>
  </w:style>
  <w:style w:type="paragraph" w:customStyle="1" w:styleId="TableFigureFootnote">
    <w:name w:val="Table &amp; Figure Footnote"/>
    <w:basedOn w:val="BodyText"/>
    <w:next w:val="BodyText"/>
    <w:qFormat/>
    <w:rsid w:val="00816DC9"/>
    <w:pPr>
      <w:widowControl/>
      <w:spacing w:before="20" w:after="20"/>
      <w:jc w:val="both"/>
    </w:pPr>
    <w:rPr>
      <w:rFonts w:cs="Times New Roman"/>
      <w:snapToGrid/>
      <w:sz w:val="16"/>
      <w:szCs w:val="24"/>
    </w:rPr>
  </w:style>
  <w:style w:type="table" w:customStyle="1" w:styleId="TableGrid7">
    <w:name w:val="Table Grid7"/>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Heading">
    <w:name w:val="Figure Heading"/>
    <w:basedOn w:val="Normal"/>
    <w:qFormat/>
    <w:rsid w:val="00816DC9"/>
    <w:pPr>
      <w:numPr>
        <w:numId w:val="15"/>
      </w:numPr>
      <w:spacing w:before="0" w:after="0"/>
      <w:ind w:left="0" w:firstLine="0"/>
      <w:jc w:val="both"/>
    </w:pPr>
    <w:rPr>
      <w:rFonts w:ascii="Arial" w:hAnsi="Arial"/>
      <w:b/>
      <w:sz w:val="20"/>
      <w:lang w:val="en-US"/>
    </w:rPr>
  </w:style>
  <w:style w:type="table" w:customStyle="1" w:styleId="CMATableTemplate2">
    <w:name w:val="CMA Table Template2"/>
    <w:basedOn w:val="TableNormal"/>
    <w:next w:val="TableGrid"/>
    <w:uiPriority w:val="59"/>
    <w:rsid w:val="00816DC9"/>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tgc">
    <w:name w:val="_tgc"/>
    <w:basedOn w:val="DefaultParagraphFont"/>
    <w:rsid w:val="00816DC9"/>
  </w:style>
  <w:style w:type="character" w:customStyle="1" w:styleId="st">
    <w:name w:val="st"/>
    <w:basedOn w:val="DefaultParagraphFont"/>
    <w:rsid w:val="00816DC9"/>
  </w:style>
  <w:style w:type="numbering" w:customStyle="1" w:styleId="Headings1">
    <w:name w:val="Headings1"/>
    <w:uiPriority w:val="99"/>
    <w:rsid w:val="00816DC9"/>
  </w:style>
  <w:style w:type="paragraph" w:customStyle="1" w:styleId="TableTitleA">
    <w:name w:val="Table Title A"/>
    <w:next w:val="BodyText"/>
    <w:link w:val="TableTitleAChar"/>
    <w:qFormat/>
    <w:rsid w:val="00816DC9"/>
    <w:pPr>
      <w:keepNext/>
      <w:keepLines/>
      <w:numPr>
        <w:numId w:val="17"/>
      </w:numPr>
      <w:spacing w:after="120"/>
      <w:ind w:left="357" w:hanging="357"/>
      <w:jc w:val="both"/>
    </w:pPr>
    <w:rPr>
      <w:rFonts w:ascii="Arial" w:eastAsia="Times New Roman" w:hAnsi="Arial" w:cs="Times New Roman"/>
      <w:b/>
      <w:sz w:val="20"/>
      <w:szCs w:val="24"/>
    </w:rPr>
  </w:style>
  <w:style w:type="character" w:customStyle="1" w:styleId="TableTitleAChar">
    <w:name w:val="Table Title A Char"/>
    <w:basedOn w:val="DefaultParagraphFont"/>
    <w:link w:val="TableTitleA"/>
    <w:rsid w:val="00816DC9"/>
    <w:rPr>
      <w:rFonts w:ascii="Arial" w:eastAsia="Times New Roman" w:hAnsi="Arial" w:cs="Times New Roman"/>
      <w:b/>
      <w:sz w:val="20"/>
      <w:szCs w:val="24"/>
    </w:rPr>
  </w:style>
  <w:style w:type="table" w:customStyle="1" w:styleId="GridTable1Light1">
    <w:name w:val="Grid Table 1 Light1"/>
    <w:basedOn w:val="TableNormal"/>
    <w:uiPriority w:val="46"/>
    <w:rsid w:val="00816DC9"/>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CMATableTemplate4">
    <w:name w:val="CMA Table Template4"/>
    <w:basedOn w:val="TableNormal"/>
    <w:next w:val="TableGrid"/>
    <w:rsid w:val="00816DC9"/>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ListBullet">
    <w:name w:val="List Bullet"/>
    <w:basedOn w:val="Normal"/>
    <w:autoRedefine/>
    <w:rsid w:val="004E27C4"/>
    <w:pPr>
      <w:spacing w:before="0" w:after="0"/>
    </w:pPr>
    <w:rPr>
      <w:rFonts w:ascii="Arial" w:eastAsia="Times New Roman" w:hAnsi="Arial" w:cs="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0"/>
    <w:lsdException w:name="caption" w:uiPriority="35" w:qFormat="1"/>
    <w:lsdException w:name="footnote reference" w:uiPriority="0"/>
    <w:lsdException w:name="annotation reference"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1">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qFormat/>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59"/>
    <w:rsid w:val="0041759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759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75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E63A6B"/>
    <w:pPr>
      <w:numPr>
        <w:numId w:val="13"/>
      </w:numPr>
      <w:spacing w:before="0" w:after="0"/>
      <w:ind w:left="360"/>
      <w:jc w:val="both"/>
    </w:pPr>
    <w:rPr>
      <w:rFonts w:ascii="Arial" w:hAnsi="Arial"/>
      <w:b/>
      <w:sz w:val="20"/>
      <w:lang w:val="en-US"/>
    </w:rPr>
  </w:style>
  <w:style w:type="numbering" w:customStyle="1" w:styleId="NoList1">
    <w:name w:val="No List1"/>
    <w:next w:val="NoList"/>
    <w:uiPriority w:val="99"/>
    <w:semiHidden/>
    <w:unhideWhenUsed/>
    <w:rsid w:val="00816DC9"/>
  </w:style>
  <w:style w:type="table" w:customStyle="1" w:styleId="TableGrid2">
    <w:name w:val="Table Grid2"/>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16DC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AU"/>
    </w:rPr>
  </w:style>
  <w:style w:type="table" w:customStyle="1" w:styleId="TableGrid4">
    <w:name w:val="Table Grid4"/>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B">
    <w:name w:val="Table Title B"/>
    <w:next w:val="BodyText"/>
    <w:qFormat/>
    <w:rsid w:val="00816DC9"/>
    <w:pPr>
      <w:numPr>
        <w:numId w:val="14"/>
      </w:numPr>
      <w:spacing w:after="120"/>
    </w:pPr>
    <w:rPr>
      <w:rFonts w:ascii="Arial" w:eastAsia="Times New Roman" w:hAnsi="Arial" w:cs="Times New Roman"/>
      <w:b/>
      <w:sz w:val="20"/>
      <w:szCs w:val="24"/>
    </w:rPr>
  </w:style>
  <w:style w:type="paragraph" w:customStyle="1" w:styleId="TableFigureFootnote">
    <w:name w:val="Table &amp; Figure Footnote"/>
    <w:basedOn w:val="BodyText"/>
    <w:next w:val="BodyText"/>
    <w:qFormat/>
    <w:rsid w:val="00816DC9"/>
    <w:pPr>
      <w:widowControl/>
      <w:spacing w:before="20" w:after="20"/>
      <w:jc w:val="both"/>
    </w:pPr>
    <w:rPr>
      <w:rFonts w:cs="Times New Roman"/>
      <w:snapToGrid/>
      <w:sz w:val="16"/>
      <w:szCs w:val="24"/>
    </w:rPr>
  </w:style>
  <w:style w:type="table" w:customStyle="1" w:styleId="TableGrid7">
    <w:name w:val="Table Grid7"/>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16DC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16DC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Heading">
    <w:name w:val="Figure Heading"/>
    <w:basedOn w:val="Normal"/>
    <w:qFormat/>
    <w:rsid w:val="00816DC9"/>
    <w:pPr>
      <w:numPr>
        <w:numId w:val="15"/>
      </w:numPr>
      <w:spacing w:before="0" w:after="0"/>
      <w:ind w:left="0" w:firstLine="0"/>
      <w:jc w:val="both"/>
    </w:pPr>
    <w:rPr>
      <w:rFonts w:ascii="Arial" w:hAnsi="Arial"/>
      <w:b/>
      <w:sz w:val="20"/>
      <w:lang w:val="en-US"/>
    </w:rPr>
  </w:style>
  <w:style w:type="table" w:customStyle="1" w:styleId="CMATableTemplate2">
    <w:name w:val="CMA Table Template2"/>
    <w:basedOn w:val="TableNormal"/>
    <w:next w:val="TableGrid"/>
    <w:uiPriority w:val="59"/>
    <w:rsid w:val="00816DC9"/>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tgc">
    <w:name w:val="_tgc"/>
    <w:basedOn w:val="DefaultParagraphFont"/>
    <w:rsid w:val="00816DC9"/>
  </w:style>
  <w:style w:type="character" w:customStyle="1" w:styleId="st">
    <w:name w:val="st"/>
    <w:basedOn w:val="DefaultParagraphFont"/>
    <w:rsid w:val="00816DC9"/>
  </w:style>
  <w:style w:type="numbering" w:customStyle="1" w:styleId="Headings1">
    <w:name w:val="Headings1"/>
    <w:uiPriority w:val="99"/>
    <w:rsid w:val="00816DC9"/>
  </w:style>
  <w:style w:type="paragraph" w:customStyle="1" w:styleId="TableTitleA">
    <w:name w:val="Table Title A"/>
    <w:next w:val="BodyText"/>
    <w:link w:val="TableTitleAChar"/>
    <w:qFormat/>
    <w:rsid w:val="00816DC9"/>
    <w:pPr>
      <w:keepNext/>
      <w:keepLines/>
      <w:numPr>
        <w:numId w:val="17"/>
      </w:numPr>
      <w:spacing w:after="120"/>
      <w:ind w:left="357" w:hanging="357"/>
      <w:jc w:val="both"/>
    </w:pPr>
    <w:rPr>
      <w:rFonts w:ascii="Arial" w:eastAsia="Times New Roman" w:hAnsi="Arial" w:cs="Times New Roman"/>
      <w:b/>
      <w:sz w:val="20"/>
      <w:szCs w:val="24"/>
    </w:rPr>
  </w:style>
  <w:style w:type="character" w:customStyle="1" w:styleId="TableTitleAChar">
    <w:name w:val="Table Title A Char"/>
    <w:basedOn w:val="DefaultParagraphFont"/>
    <w:link w:val="TableTitleA"/>
    <w:rsid w:val="00816DC9"/>
    <w:rPr>
      <w:rFonts w:ascii="Arial" w:eastAsia="Times New Roman" w:hAnsi="Arial" w:cs="Times New Roman"/>
      <w:b/>
      <w:sz w:val="20"/>
      <w:szCs w:val="24"/>
    </w:rPr>
  </w:style>
  <w:style w:type="table" w:customStyle="1" w:styleId="GridTable1Light1">
    <w:name w:val="Grid Table 1 Light1"/>
    <w:basedOn w:val="TableNormal"/>
    <w:uiPriority w:val="46"/>
    <w:rsid w:val="00816DC9"/>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CMATableTemplate4">
    <w:name w:val="CMA Table Template4"/>
    <w:basedOn w:val="TableNormal"/>
    <w:next w:val="TableGrid"/>
    <w:rsid w:val="00816DC9"/>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ListBullet">
    <w:name w:val="List Bullet"/>
    <w:basedOn w:val="Normal"/>
    <w:autoRedefine/>
    <w:rsid w:val="004E27C4"/>
    <w:pPr>
      <w:spacing w:before="0" w:after="0"/>
    </w:pPr>
    <w:rPr>
      <w:rFonts w:ascii="Arial" w:eastAsia="Times New Roman" w:hAnsi="Arial" w:cs="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618534416">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903907346">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4F56-9F63-4CA1-BA8C-4102DED1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11981</Words>
  <Characters>68293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2018-02-19T01:15:00Z</dcterms:created>
  <dcterms:modified xsi:type="dcterms:W3CDTF">2018-02-19T01:15:00Z</dcterms:modified>
</cp:coreProperties>
</file>