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BC3CE0" w:rsidRDefault="006E1D08" w:rsidP="00577C4D">
      <w:pPr>
        <w:pStyle w:val="Title"/>
        <w:spacing w:before="120" w:after="160"/>
        <w:ind w:left="720" w:hanging="720"/>
        <w:rPr>
          <w:rFonts w:asciiTheme="minorHAnsi" w:hAnsiTheme="minorHAnsi"/>
          <w:sz w:val="36"/>
          <w:szCs w:val="36"/>
        </w:rPr>
      </w:pPr>
      <w:bookmarkStart w:id="0" w:name="_GoBack"/>
      <w:bookmarkEnd w:id="0"/>
      <w:r w:rsidRPr="00BC3CE0">
        <w:rPr>
          <w:rFonts w:asciiTheme="minorHAnsi" w:hAnsiTheme="minorHAnsi"/>
          <w:sz w:val="36"/>
          <w:szCs w:val="36"/>
        </w:rPr>
        <w:t>6.16</w:t>
      </w:r>
      <w:r w:rsidR="007C0F57" w:rsidRPr="00BC3CE0">
        <w:rPr>
          <w:rFonts w:asciiTheme="minorHAnsi" w:hAnsiTheme="minorHAnsi"/>
          <w:sz w:val="36"/>
          <w:szCs w:val="36"/>
        </w:rPr>
        <w:tab/>
      </w:r>
      <w:r w:rsidRPr="00BC3CE0">
        <w:rPr>
          <w:rFonts w:asciiTheme="minorHAnsi" w:hAnsiTheme="minorHAnsi"/>
          <w:sz w:val="36"/>
          <w:szCs w:val="36"/>
        </w:rPr>
        <w:t>INFLIXIMAB</w:t>
      </w:r>
      <w:r w:rsidR="008A50F1" w:rsidRPr="00BC3CE0">
        <w:rPr>
          <w:rFonts w:asciiTheme="minorHAnsi" w:hAnsiTheme="minorHAnsi"/>
          <w:sz w:val="36"/>
          <w:szCs w:val="36"/>
        </w:rPr>
        <w:t xml:space="preserve"> </w:t>
      </w:r>
      <w:r w:rsidR="008A50F1" w:rsidRPr="00BC3CE0">
        <w:rPr>
          <w:rFonts w:asciiTheme="minorHAnsi" w:hAnsiTheme="minorHAnsi"/>
          <w:sz w:val="36"/>
          <w:szCs w:val="36"/>
        </w:rPr>
        <w:br/>
      </w:r>
      <w:r w:rsidRPr="00BC3CE0">
        <w:rPr>
          <w:rFonts w:asciiTheme="minorHAnsi" w:hAnsiTheme="minorHAnsi"/>
          <w:sz w:val="36"/>
          <w:szCs w:val="36"/>
        </w:rPr>
        <w:t>Powder for I.V. infusion 100 mg</w:t>
      </w:r>
      <w:r w:rsidR="0004240E" w:rsidRPr="00BC3CE0">
        <w:rPr>
          <w:rFonts w:asciiTheme="minorHAnsi" w:hAnsiTheme="minorHAnsi"/>
          <w:sz w:val="36"/>
          <w:szCs w:val="36"/>
        </w:rPr>
        <w:t>,</w:t>
      </w:r>
      <w:r w:rsidR="008A50F1" w:rsidRPr="00BC3CE0">
        <w:rPr>
          <w:rFonts w:asciiTheme="minorHAnsi" w:hAnsiTheme="minorHAnsi"/>
          <w:sz w:val="36"/>
          <w:szCs w:val="36"/>
        </w:rPr>
        <w:t xml:space="preserve"> </w:t>
      </w:r>
      <w:r w:rsidR="008A50F1" w:rsidRPr="00BC3CE0">
        <w:rPr>
          <w:rFonts w:asciiTheme="minorHAnsi" w:hAnsiTheme="minorHAnsi"/>
          <w:sz w:val="36"/>
          <w:szCs w:val="36"/>
        </w:rPr>
        <w:br/>
      </w:r>
      <w:r w:rsidRPr="00BC3CE0">
        <w:rPr>
          <w:rFonts w:asciiTheme="minorHAnsi" w:hAnsiTheme="minorHAnsi"/>
          <w:sz w:val="36"/>
          <w:szCs w:val="36"/>
        </w:rPr>
        <w:t>Renflexis®</w:t>
      </w:r>
      <w:r w:rsidR="00EF44A0" w:rsidRPr="00BC3CE0">
        <w:rPr>
          <w:rFonts w:asciiTheme="minorHAnsi" w:hAnsiTheme="minorHAnsi"/>
          <w:sz w:val="36"/>
          <w:szCs w:val="36"/>
        </w:rPr>
        <w:t xml:space="preserve">, </w:t>
      </w:r>
      <w:r w:rsidRPr="00BC3CE0">
        <w:rPr>
          <w:rFonts w:asciiTheme="minorHAnsi" w:hAnsiTheme="minorHAnsi"/>
          <w:sz w:val="36"/>
          <w:szCs w:val="36"/>
        </w:rPr>
        <w:t>Merck Sharp &amp; Dohme (Australia) Pty Ltd</w:t>
      </w:r>
    </w:p>
    <w:p w:rsidR="008A50F1" w:rsidRPr="00BC3CE0" w:rsidRDefault="00CE10C4" w:rsidP="00EB0B63">
      <w:pPr>
        <w:pStyle w:val="PBACHeading1"/>
        <w:spacing w:before="240" w:after="120"/>
        <w:ind w:left="709" w:hanging="709"/>
        <w:rPr>
          <w:rFonts w:asciiTheme="minorHAnsi" w:hAnsiTheme="minorHAnsi"/>
          <w:sz w:val="32"/>
          <w:szCs w:val="32"/>
        </w:rPr>
      </w:pPr>
      <w:r w:rsidRPr="00BC3CE0">
        <w:rPr>
          <w:rFonts w:asciiTheme="minorHAnsi" w:hAnsiTheme="minorHAnsi"/>
          <w:sz w:val="32"/>
          <w:szCs w:val="32"/>
        </w:rPr>
        <w:t xml:space="preserve">Purpose of </w:t>
      </w:r>
      <w:r w:rsidR="0004240E" w:rsidRPr="00BC3CE0">
        <w:rPr>
          <w:rFonts w:asciiTheme="minorHAnsi" w:hAnsiTheme="minorHAnsi"/>
          <w:sz w:val="32"/>
          <w:szCs w:val="32"/>
        </w:rPr>
        <w:t>Application</w:t>
      </w:r>
    </w:p>
    <w:p w:rsidR="00816848" w:rsidRPr="00BC3CE0" w:rsidRDefault="00D9386A" w:rsidP="00D9386A">
      <w:pPr>
        <w:pStyle w:val="ListParagraph"/>
        <w:numPr>
          <w:ilvl w:val="1"/>
          <w:numId w:val="5"/>
        </w:numPr>
        <w:spacing w:after="120"/>
        <w:rPr>
          <w:rFonts w:asciiTheme="minorHAnsi" w:eastAsiaTheme="minorHAnsi" w:hAnsiTheme="minorHAnsi" w:cstheme="minorBidi"/>
          <w:snapToGrid/>
          <w:sz w:val="24"/>
          <w:szCs w:val="22"/>
        </w:rPr>
      </w:pPr>
      <w:r w:rsidRPr="00D9386A">
        <w:rPr>
          <w:rFonts w:asciiTheme="minorHAnsi" w:eastAsiaTheme="minorHAnsi" w:hAnsiTheme="minorHAnsi" w:cstheme="minorBidi"/>
          <w:snapToGrid/>
          <w:sz w:val="24"/>
          <w:szCs w:val="22"/>
        </w:rPr>
        <w:t xml:space="preserve">Merck Sharp &amp; Dohme (Australia) Pty Ltd </w:t>
      </w:r>
      <w:r>
        <w:rPr>
          <w:rFonts w:asciiTheme="minorHAnsi" w:eastAsiaTheme="minorHAnsi" w:hAnsiTheme="minorHAnsi" w:cstheme="minorBidi"/>
          <w:snapToGrid/>
          <w:sz w:val="24"/>
          <w:szCs w:val="22"/>
        </w:rPr>
        <w:t>(</w:t>
      </w:r>
      <w:r w:rsidR="00816848" w:rsidRPr="00BC3CE0">
        <w:rPr>
          <w:rFonts w:asciiTheme="minorHAnsi" w:eastAsiaTheme="minorHAnsi" w:hAnsiTheme="minorHAnsi" w:cstheme="minorBidi"/>
          <w:snapToGrid/>
          <w:sz w:val="24"/>
          <w:szCs w:val="22"/>
        </w:rPr>
        <w:t>MSD</w:t>
      </w:r>
      <w:r>
        <w:rPr>
          <w:rFonts w:asciiTheme="minorHAnsi" w:eastAsiaTheme="minorHAnsi" w:hAnsiTheme="minorHAnsi" w:cstheme="minorBidi"/>
          <w:snapToGrid/>
          <w:sz w:val="24"/>
          <w:szCs w:val="22"/>
        </w:rPr>
        <w:t>)</w:t>
      </w:r>
      <w:r w:rsidR="00816848" w:rsidRPr="00BC3CE0">
        <w:rPr>
          <w:rFonts w:asciiTheme="minorHAnsi" w:eastAsiaTheme="minorHAnsi" w:hAnsiTheme="minorHAnsi" w:cstheme="minorBidi"/>
          <w:snapToGrid/>
          <w:sz w:val="24"/>
          <w:szCs w:val="22"/>
        </w:rPr>
        <w:t xml:space="preserve"> has requested a change to the initial 2 and continuing treatment restrictions for the biosimilar</w:t>
      </w:r>
      <w:r w:rsidR="0071368C" w:rsidRPr="00BC3CE0">
        <w:rPr>
          <w:rFonts w:asciiTheme="minorHAnsi" w:eastAsiaTheme="minorHAnsi" w:hAnsiTheme="minorHAnsi" w:cstheme="minorBidi"/>
          <w:snapToGrid/>
          <w:sz w:val="24"/>
          <w:szCs w:val="22"/>
        </w:rPr>
        <w:t xml:space="preserve"> brand of infliximab</w:t>
      </w:r>
      <w:r w:rsidR="00816848" w:rsidRPr="00BC3CE0">
        <w:rPr>
          <w:rFonts w:asciiTheme="minorHAnsi" w:eastAsiaTheme="minorHAnsi" w:hAnsiTheme="minorHAnsi" w:cstheme="minorBidi"/>
          <w:snapToGrid/>
          <w:sz w:val="24"/>
          <w:szCs w:val="22"/>
        </w:rPr>
        <w:t>, Renflexis</w:t>
      </w:r>
      <w:r w:rsidR="0071368C" w:rsidRPr="00BC3CE0">
        <w:rPr>
          <w:rFonts w:asciiTheme="minorHAnsi" w:eastAsiaTheme="minorHAnsi" w:hAnsiTheme="minorHAnsi" w:cstheme="minorBidi"/>
          <w:snapToGrid/>
          <w:sz w:val="24"/>
          <w:szCs w:val="22"/>
        </w:rPr>
        <w:t>®</w:t>
      </w:r>
      <w:r w:rsidR="00816848" w:rsidRPr="00BC3CE0">
        <w:rPr>
          <w:rFonts w:asciiTheme="minorHAnsi" w:eastAsiaTheme="minorHAnsi" w:hAnsiTheme="minorHAnsi" w:cstheme="minorBidi"/>
          <w:snapToGrid/>
          <w:sz w:val="24"/>
          <w:szCs w:val="22"/>
        </w:rPr>
        <w:t>, to Authority Required (STREAMLINED).</w:t>
      </w:r>
    </w:p>
    <w:p w:rsidR="00816848" w:rsidRPr="00BC3CE0" w:rsidRDefault="00816848" w:rsidP="00816848">
      <w:pPr>
        <w:pStyle w:val="ListParagraph"/>
        <w:spacing w:after="120"/>
        <w:rPr>
          <w:rFonts w:asciiTheme="minorHAnsi" w:eastAsiaTheme="minorHAnsi" w:hAnsiTheme="minorHAnsi" w:cstheme="minorBidi"/>
          <w:snapToGrid/>
          <w:sz w:val="24"/>
          <w:szCs w:val="22"/>
        </w:rPr>
      </w:pPr>
    </w:p>
    <w:p w:rsidR="00816848" w:rsidRPr="00BC3CE0" w:rsidRDefault="00816848" w:rsidP="00816848">
      <w:pPr>
        <w:pStyle w:val="ListParagraph"/>
        <w:numPr>
          <w:ilvl w:val="1"/>
          <w:numId w:val="5"/>
        </w:numPr>
        <w:spacing w:after="120"/>
        <w:rPr>
          <w:rFonts w:asciiTheme="minorHAnsi" w:eastAsiaTheme="minorHAnsi" w:hAnsiTheme="minorHAnsi" w:cstheme="minorBidi"/>
          <w:snapToGrid/>
          <w:sz w:val="24"/>
          <w:szCs w:val="22"/>
        </w:rPr>
      </w:pPr>
      <w:r w:rsidRPr="00BC3CE0">
        <w:rPr>
          <w:rFonts w:asciiTheme="minorHAnsi" w:eastAsiaTheme="minorHAnsi" w:hAnsiTheme="minorHAnsi" w:cstheme="minorBidi"/>
          <w:snapToGrid/>
          <w:sz w:val="24"/>
          <w:szCs w:val="22"/>
        </w:rPr>
        <w:t>The MSD application also requests a change to the prescribing software that gives preference to Renflexis</w:t>
      </w:r>
      <w:r w:rsidR="0071368C" w:rsidRPr="00BC3CE0">
        <w:rPr>
          <w:rFonts w:asciiTheme="minorHAnsi" w:eastAsiaTheme="minorHAnsi" w:hAnsiTheme="minorHAnsi" w:cstheme="minorBidi"/>
          <w:snapToGrid/>
          <w:sz w:val="24"/>
          <w:szCs w:val="22"/>
        </w:rPr>
        <w:t>®</w:t>
      </w:r>
      <w:r w:rsidRPr="00BC3CE0">
        <w:rPr>
          <w:rFonts w:asciiTheme="minorHAnsi" w:eastAsiaTheme="minorHAnsi" w:hAnsiTheme="minorHAnsi" w:cstheme="minorBidi"/>
          <w:snapToGrid/>
          <w:sz w:val="24"/>
          <w:szCs w:val="22"/>
        </w:rPr>
        <w:t xml:space="preserve"> for </w:t>
      </w:r>
      <w:r w:rsidR="006B7D38" w:rsidRPr="00BC3CE0">
        <w:rPr>
          <w:rFonts w:asciiTheme="minorHAnsi" w:eastAsiaTheme="minorHAnsi" w:hAnsiTheme="minorHAnsi" w:cstheme="minorBidi"/>
          <w:snapToGrid/>
          <w:sz w:val="24"/>
          <w:szCs w:val="22"/>
        </w:rPr>
        <w:t xml:space="preserve">infliximab </w:t>
      </w:r>
      <w:r w:rsidRPr="00BC3CE0">
        <w:rPr>
          <w:rFonts w:asciiTheme="minorHAnsi" w:eastAsiaTheme="minorHAnsi" w:hAnsiTheme="minorHAnsi" w:cstheme="minorBidi"/>
          <w:snapToGrid/>
          <w:sz w:val="24"/>
          <w:szCs w:val="22"/>
        </w:rPr>
        <w:t xml:space="preserve">naïve patients. </w:t>
      </w:r>
    </w:p>
    <w:p w:rsidR="00816848" w:rsidRPr="00BC3CE0" w:rsidRDefault="00816848" w:rsidP="00816848">
      <w:pPr>
        <w:pStyle w:val="ListParagraph"/>
        <w:spacing w:after="120"/>
        <w:rPr>
          <w:rFonts w:asciiTheme="minorHAnsi" w:eastAsiaTheme="minorHAnsi" w:hAnsiTheme="minorHAnsi" w:cstheme="minorBidi"/>
          <w:snapToGrid/>
          <w:sz w:val="24"/>
          <w:szCs w:val="22"/>
        </w:rPr>
      </w:pPr>
    </w:p>
    <w:p w:rsidR="00EF44A0" w:rsidRPr="00BC3CE0" w:rsidRDefault="00816848" w:rsidP="00816848">
      <w:pPr>
        <w:pStyle w:val="ListParagraph"/>
        <w:numPr>
          <w:ilvl w:val="1"/>
          <w:numId w:val="5"/>
        </w:numPr>
        <w:spacing w:after="120"/>
        <w:rPr>
          <w:rFonts w:asciiTheme="minorHAnsi" w:eastAsiaTheme="minorHAnsi" w:hAnsiTheme="minorHAnsi" w:cstheme="minorBidi"/>
          <w:snapToGrid/>
          <w:sz w:val="24"/>
          <w:szCs w:val="22"/>
        </w:rPr>
      </w:pPr>
      <w:r w:rsidRPr="00BC3CE0">
        <w:rPr>
          <w:rFonts w:asciiTheme="minorHAnsi" w:eastAsiaTheme="minorHAnsi" w:hAnsiTheme="minorHAnsi" w:cstheme="minorBidi"/>
          <w:snapToGrid/>
          <w:sz w:val="24"/>
          <w:szCs w:val="22"/>
        </w:rPr>
        <w:t xml:space="preserve">The Minister (delegate) has requested that the PBAC provide advice under section 101(3) of the </w:t>
      </w:r>
      <w:r w:rsidRPr="00BC3CE0">
        <w:rPr>
          <w:rFonts w:asciiTheme="minorHAnsi" w:eastAsiaTheme="minorHAnsi" w:hAnsiTheme="minorHAnsi" w:cstheme="minorBidi"/>
          <w:i/>
          <w:snapToGrid/>
          <w:sz w:val="24"/>
          <w:szCs w:val="22"/>
        </w:rPr>
        <w:t>National Health Act, 1953</w:t>
      </w:r>
      <w:r w:rsidRPr="00BC3CE0">
        <w:rPr>
          <w:rFonts w:asciiTheme="minorHAnsi" w:eastAsiaTheme="minorHAnsi" w:hAnsiTheme="minorHAnsi" w:cstheme="minorBidi"/>
          <w:snapToGrid/>
          <w:sz w:val="24"/>
          <w:szCs w:val="22"/>
        </w:rPr>
        <w:t xml:space="preserve"> (the Act) as to whether there would be any clinical or other concerns about appropriate use of medicines</w:t>
      </w:r>
      <w:r w:rsidR="00E47B11" w:rsidRPr="00BC3CE0">
        <w:rPr>
          <w:rFonts w:asciiTheme="minorHAnsi" w:eastAsiaTheme="minorHAnsi" w:hAnsiTheme="minorHAnsi" w:cstheme="minorBidi"/>
          <w:snapToGrid/>
          <w:sz w:val="24"/>
          <w:szCs w:val="22"/>
        </w:rPr>
        <w:t>,</w:t>
      </w:r>
      <w:r w:rsidRPr="00BC3CE0">
        <w:rPr>
          <w:rFonts w:asciiTheme="minorHAnsi" w:eastAsiaTheme="minorHAnsi" w:hAnsiTheme="minorHAnsi" w:cstheme="minorBidi"/>
          <w:snapToGrid/>
          <w:sz w:val="24"/>
          <w:szCs w:val="22"/>
        </w:rPr>
        <w:t xml:space="preserve"> if a policy decision were made to apply the biosimilar uptake measures agreed as part of the strategic agreement with Medicines Australia to </w:t>
      </w:r>
      <w:r w:rsidR="0081473B" w:rsidRPr="00BC3CE0">
        <w:rPr>
          <w:rFonts w:asciiTheme="minorHAnsi" w:eastAsiaTheme="minorHAnsi" w:hAnsiTheme="minorHAnsi" w:cstheme="minorBidi"/>
          <w:snapToGrid/>
          <w:sz w:val="24"/>
          <w:szCs w:val="22"/>
        </w:rPr>
        <w:t>infliximab</w:t>
      </w:r>
      <w:r w:rsidR="008C5309" w:rsidRPr="00BC3CE0">
        <w:rPr>
          <w:rFonts w:asciiTheme="minorHAnsi" w:eastAsiaTheme="minorHAnsi" w:hAnsiTheme="minorHAnsi" w:cstheme="minorBidi"/>
          <w:snapToGrid/>
          <w:sz w:val="24"/>
          <w:szCs w:val="22"/>
        </w:rPr>
        <w:t xml:space="preserve"> biosimilar brands</w:t>
      </w:r>
      <w:r w:rsidRPr="00BC3CE0">
        <w:rPr>
          <w:rFonts w:asciiTheme="minorHAnsi" w:eastAsiaTheme="minorHAnsi" w:hAnsiTheme="minorHAnsi" w:cstheme="minorBidi"/>
          <w:snapToGrid/>
          <w:sz w:val="24"/>
          <w:szCs w:val="22"/>
        </w:rPr>
        <w:t>.</w:t>
      </w:r>
    </w:p>
    <w:p w:rsidR="00C603D4" w:rsidRPr="00BC3CE0" w:rsidRDefault="00CE10C4" w:rsidP="00696129">
      <w:pPr>
        <w:pStyle w:val="PBACHeading1"/>
        <w:spacing w:before="240" w:after="120"/>
        <w:ind w:left="709" w:hanging="709"/>
        <w:rPr>
          <w:rFonts w:asciiTheme="minorHAnsi" w:hAnsiTheme="minorHAnsi"/>
          <w:sz w:val="32"/>
          <w:szCs w:val="32"/>
        </w:rPr>
      </w:pPr>
      <w:r w:rsidRPr="00BC3CE0">
        <w:rPr>
          <w:rFonts w:asciiTheme="minorHAnsi" w:hAnsiTheme="minorHAnsi"/>
          <w:sz w:val="32"/>
          <w:szCs w:val="32"/>
        </w:rPr>
        <w:t>Background</w:t>
      </w:r>
    </w:p>
    <w:p w:rsidR="00E1766D" w:rsidRPr="00BC3CE0" w:rsidRDefault="006B7D38" w:rsidP="00E1766D">
      <w:pPr>
        <w:pStyle w:val="ListParagraph"/>
        <w:spacing w:before="120" w:after="160"/>
        <w:rPr>
          <w:rFonts w:asciiTheme="minorHAnsi" w:eastAsiaTheme="minorHAnsi" w:hAnsiTheme="minorHAnsi" w:cstheme="minorBidi"/>
          <w:b/>
          <w:i/>
          <w:snapToGrid/>
          <w:sz w:val="28"/>
          <w:szCs w:val="28"/>
        </w:rPr>
      </w:pPr>
      <w:r w:rsidRPr="00BC3CE0">
        <w:rPr>
          <w:rFonts w:asciiTheme="minorHAnsi" w:eastAsiaTheme="minorHAnsi" w:hAnsiTheme="minorHAnsi" w:cstheme="minorBidi"/>
          <w:b/>
          <w:i/>
          <w:snapToGrid/>
          <w:sz w:val="28"/>
          <w:szCs w:val="28"/>
        </w:rPr>
        <w:t>Biosimilar brands of i</w:t>
      </w:r>
      <w:r w:rsidR="005359DF" w:rsidRPr="00BC3CE0">
        <w:rPr>
          <w:rFonts w:asciiTheme="minorHAnsi" w:eastAsiaTheme="minorHAnsi" w:hAnsiTheme="minorHAnsi" w:cstheme="minorBidi"/>
          <w:b/>
          <w:i/>
          <w:snapToGrid/>
          <w:sz w:val="28"/>
          <w:szCs w:val="28"/>
        </w:rPr>
        <w:t>nfliximab</w:t>
      </w:r>
      <w:r w:rsidRPr="00BC3CE0">
        <w:rPr>
          <w:rFonts w:asciiTheme="minorHAnsi" w:eastAsiaTheme="minorHAnsi" w:hAnsiTheme="minorHAnsi" w:cstheme="minorBidi"/>
          <w:b/>
          <w:i/>
          <w:snapToGrid/>
          <w:sz w:val="28"/>
          <w:szCs w:val="28"/>
        </w:rPr>
        <w:t xml:space="preserve"> on the PBS</w:t>
      </w:r>
    </w:p>
    <w:p w:rsidR="006B7D38" w:rsidRPr="00BC3CE0" w:rsidRDefault="006B7D38" w:rsidP="00E1766D">
      <w:pPr>
        <w:pStyle w:val="ListParagraph"/>
        <w:numPr>
          <w:ilvl w:val="1"/>
          <w:numId w:val="14"/>
        </w:numPr>
        <w:spacing w:before="120" w:after="160"/>
        <w:rPr>
          <w:rFonts w:asciiTheme="minorHAnsi" w:eastAsiaTheme="minorHAnsi" w:hAnsiTheme="minorHAnsi" w:cstheme="minorBidi"/>
          <w:snapToGrid/>
          <w:sz w:val="24"/>
          <w:szCs w:val="22"/>
        </w:rPr>
      </w:pPr>
      <w:r w:rsidRPr="00BC3CE0">
        <w:rPr>
          <w:rFonts w:asciiTheme="minorHAnsi" w:eastAsiaTheme="minorHAnsi" w:hAnsiTheme="minorHAnsi" w:cstheme="minorBidi"/>
          <w:snapToGrid/>
          <w:sz w:val="24"/>
          <w:szCs w:val="22"/>
        </w:rPr>
        <w:t>At its July 2015 meeting, the PBAC recommended the listing of Inflectra®, the first biosimilar brand of infliximab, to which it recommended that Inflectra</w:t>
      </w:r>
      <w:r w:rsidR="00141720" w:rsidRPr="00BC3CE0">
        <w:rPr>
          <w:rFonts w:asciiTheme="minorHAnsi" w:eastAsiaTheme="minorHAnsi" w:hAnsiTheme="minorHAnsi" w:cstheme="minorBidi"/>
          <w:snapToGrid/>
          <w:sz w:val="24"/>
          <w:szCs w:val="22"/>
        </w:rPr>
        <w:t>®</w:t>
      </w:r>
      <w:r w:rsidRPr="00BC3CE0">
        <w:rPr>
          <w:rFonts w:asciiTheme="minorHAnsi" w:eastAsiaTheme="minorHAnsi" w:hAnsiTheme="minorHAnsi" w:cstheme="minorBidi"/>
          <w:snapToGrid/>
          <w:sz w:val="24"/>
          <w:szCs w:val="22"/>
        </w:rPr>
        <w:t xml:space="preserve"> should be treated as a schedule equivalent ‘a’ flag to Remicade®, the reference brand of infliximab. </w:t>
      </w:r>
    </w:p>
    <w:p w:rsidR="006B7D38" w:rsidRPr="00BC3CE0" w:rsidRDefault="006B7D38" w:rsidP="003E1E96">
      <w:pPr>
        <w:pStyle w:val="ListParagraph"/>
        <w:spacing w:before="120" w:after="160"/>
        <w:rPr>
          <w:rFonts w:asciiTheme="minorHAnsi" w:eastAsiaTheme="minorHAnsi" w:hAnsiTheme="minorHAnsi" w:cstheme="minorBidi"/>
          <w:snapToGrid/>
          <w:sz w:val="24"/>
          <w:szCs w:val="22"/>
        </w:rPr>
      </w:pPr>
    </w:p>
    <w:p w:rsidR="00E1766D" w:rsidRPr="00BC3CE0" w:rsidRDefault="006B7D38" w:rsidP="00D51705">
      <w:pPr>
        <w:pStyle w:val="ListParagraph"/>
        <w:numPr>
          <w:ilvl w:val="1"/>
          <w:numId w:val="14"/>
        </w:numPr>
        <w:spacing w:before="120" w:after="160"/>
        <w:rPr>
          <w:rFonts w:asciiTheme="minorHAnsi" w:eastAsiaTheme="minorHAnsi" w:hAnsiTheme="minorHAnsi" w:cstheme="minorBidi"/>
          <w:snapToGrid/>
          <w:sz w:val="24"/>
          <w:szCs w:val="22"/>
        </w:rPr>
      </w:pPr>
      <w:r w:rsidRPr="00BC3CE0">
        <w:rPr>
          <w:rFonts w:asciiTheme="minorHAnsi" w:eastAsiaTheme="minorHAnsi" w:hAnsiTheme="minorHAnsi" w:cstheme="minorBidi"/>
          <w:snapToGrid/>
          <w:sz w:val="24"/>
          <w:szCs w:val="22"/>
        </w:rPr>
        <w:t>At its November 2016 meeting, t</w:t>
      </w:r>
      <w:r w:rsidR="00E1766D" w:rsidRPr="00BC3CE0">
        <w:rPr>
          <w:rFonts w:asciiTheme="minorHAnsi" w:eastAsiaTheme="minorHAnsi" w:hAnsiTheme="minorHAnsi" w:cstheme="minorBidi"/>
          <w:snapToGrid/>
          <w:sz w:val="24"/>
          <w:szCs w:val="22"/>
        </w:rPr>
        <w:t xml:space="preserve">he PBAC recommended the listing of </w:t>
      </w:r>
      <w:r w:rsidR="005359DF" w:rsidRPr="00BC3CE0">
        <w:rPr>
          <w:rFonts w:asciiTheme="minorHAnsi" w:eastAsiaTheme="minorHAnsi" w:hAnsiTheme="minorHAnsi" w:cstheme="minorBidi"/>
          <w:snapToGrid/>
          <w:sz w:val="24"/>
          <w:szCs w:val="22"/>
        </w:rPr>
        <w:t>Renflexis</w:t>
      </w:r>
      <w:r w:rsidRPr="00BC3CE0">
        <w:rPr>
          <w:rFonts w:asciiTheme="minorHAnsi" w:eastAsiaTheme="minorHAnsi" w:hAnsiTheme="minorHAnsi" w:cstheme="minorBidi"/>
          <w:snapToGrid/>
          <w:sz w:val="24"/>
          <w:szCs w:val="22"/>
        </w:rPr>
        <w:t>®</w:t>
      </w:r>
      <w:r w:rsidR="00E1766D" w:rsidRPr="00BC3CE0">
        <w:rPr>
          <w:rFonts w:asciiTheme="minorHAnsi" w:eastAsiaTheme="minorHAnsi" w:hAnsiTheme="minorHAnsi" w:cstheme="minorBidi"/>
          <w:snapToGrid/>
          <w:sz w:val="24"/>
          <w:szCs w:val="22"/>
        </w:rPr>
        <w:t xml:space="preserve">, a biosimilar brand of </w:t>
      </w:r>
      <w:r w:rsidR="005359DF" w:rsidRPr="00BC3CE0">
        <w:rPr>
          <w:rFonts w:asciiTheme="minorHAnsi" w:eastAsiaTheme="minorHAnsi" w:hAnsiTheme="minorHAnsi" w:cstheme="minorBidi"/>
          <w:snapToGrid/>
          <w:sz w:val="24"/>
          <w:szCs w:val="22"/>
        </w:rPr>
        <w:t>infliximab</w:t>
      </w:r>
      <w:r w:rsidR="00E1766D" w:rsidRPr="00BC3CE0">
        <w:rPr>
          <w:rFonts w:asciiTheme="minorHAnsi" w:eastAsiaTheme="minorHAnsi" w:hAnsiTheme="minorHAnsi" w:cstheme="minorBidi"/>
          <w:snapToGrid/>
          <w:sz w:val="24"/>
          <w:szCs w:val="22"/>
        </w:rPr>
        <w:t xml:space="preserve">, </w:t>
      </w:r>
      <w:r w:rsidR="00D51705" w:rsidRPr="00BC3CE0">
        <w:rPr>
          <w:rFonts w:asciiTheme="minorHAnsi" w:eastAsiaTheme="minorHAnsi" w:hAnsiTheme="minorHAnsi" w:cstheme="minorBidi"/>
          <w:snapToGrid/>
          <w:sz w:val="24"/>
          <w:szCs w:val="22"/>
        </w:rPr>
        <w:t xml:space="preserve">to which it recommended that Inflectra should be treated as a schedule equivalent ‘a’ flag to Remicade®, the reference brand of infliximab. </w:t>
      </w:r>
      <w:r w:rsidR="00DF601E" w:rsidRPr="00BC3CE0">
        <w:rPr>
          <w:rFonts w:asciiTheme="minorHAnsi" w:eastAsiaTheme="minorHAnsi" w:hAnsiTheme="minorHAnsi" w:cstheme="minorBidi"/>
          <w:snapToGrid/>
          <w:sz w:val="24"/>
          <w:szCs w:val="22"/>
        </w:rPr>
        <w:t>The PBAC noted that in recommending an ‘a’ flag for Renflexis</w:t>
      </w:r>
      <w:r w:rsidR="00141720" w:rsidRPr="00BC3CE0">
        <w:rPr>
          <w:rFonts w:asciiTheme="minorHAnsi" w:eastAsiaTheme="minorHAnsi" w:hAnsiTheme="minorHAnsi" w:cstheme="minorBidi"/>
          <w:snapToGrid/>
          <w:sz w:val="24"/>
          <w:szCs w:val="22"/>
        </w:rPr>
        <w:t>®</w:t>
      </w:r>
      <w:r w:rsidR="00DF601E" w:rsidRPr="00BC3CE0">
        <w:rPr>
          <w:rFonts w:asciiTheme="minorHAnsi" w:eastAsiaTheme="minorHAnsi" w:hAnsiTheme="minorHAnsi" w:cstheme="minorBidi"/>
          <w:snapToGrid/>
          <w:sz w:val="24"/>
          <w:szCs w:val="22"/>
        </w:rPr>
        <w:t xml:space="preserve"> with Remicade</w:t>
      </w:r>
      <w:r w:rsidR="00141720" w:rsidRPr="00BC3CE0">
        <w:rPr>
          <w:rFonts w:asciiTheme="minorHAnsi" w:eastAsiaTheme="minorHAnsi" w:hAnsiTheme="minorHAnsi" w:cstheme="minorBidi"/>
          <w:snapToGrid/>
          <w:sz w:val="24"/>
          <w:szCs w:val="22"/>
        </w:rPr>
        <w:t>®</w:t>
      </w:r>
      <w:r w:rsidR="00DF601E" w:rsidRPr="00BC3CE0">
        <w:rPr>
          <w:rFonts w:asciiTheme="minorHAnsi" w:eastAsiaTheme="minorHAnsi" w:hAnsiTheme="minorHAnsi" w:cstheme="minorBidi"/>
          <w:snapToGrid/>
          <w:sz w:val="24"/>
          <w:szCs w:val="22"/>
        </w:rPr>
        <w:t xml:space="preserve">, it is possible that switches between </w:t>
      </w:r>
      <w:r w:rsidR="00D62223" w:rsidRPr="00BC3CE0">
        <w:rPr>
          <w:rFonts w:asciiTheme="minorHAnsi" w:eastAsiaTheme="minorHAnsi" w:hAnsiTheme="minorHAnsi" w:cstheme="minorBidi"/>
          <w:snapToGrid/>
          <w:sz w:val="24"/>
          <w:szCs w:val="22"/>
        </w:rPr>
        <w:t>Inflectra®, Renflexis® and Remicade® could</w:t>
      </w:r>
      <w:r w:rsidR="00DF601E" w:rsidRPr="00BC3CE0">
        <w:rPr>
          <w:rFonts w:asciiTheme="minorHAnsi" w:eastAsiaTheme="minorHAnsi" w:hAnsiTheme="minorHAnsi" w:cstheme="minorBidi"/>
          <w:snapToGrid/>
          <w:sz w:val="24"/>
          <w:szCs w:val="22"/>
        </w:rPr>
        <w:t xml:space="preserve"> occur in practice.</w:t>
      </w:r>
    </w:p>
    <w:p w:rsidR="00DF08B4" w:rsidRPr="00BC3CE0" w:rsidRDefault="00DF08B4" w:rsidP="003E1E96">
      <w:pPr>
        <w:pStyle w:val="ListParagraph"/>
        <w:spacing w:before="120" w:after="160"/>
        <w:rPr>
          <w:rFonts w:asciiTheme="minorHAnsi" w:eastAsiaTheme="minorHAnsi" w:hAnsiTheme="minorHAnsi" w:cstheme="minorBidi"/>
          <w:snapToGrid/>
          <w:sz w:val="24"/>
          <w:szCs w:val="22"/>
        </w:rPr>
      </w:pPr>
    </w:p>
    <w:p w:rsidR="00DF08B4" w:rsidRPr="00BC3CE0" w:rsidRDefault="00DF08B4" w:rsidP="00D51705">
      <w:pPr>
        <w:pStyle w:val="ListParagraph"/>
        <w:numPr>
          <w:ilvl w:val="1"/>
          <w:numId w:val="14"/>
        </w:numPr>
        <w:spacing w:before="120" w:after="160"/>
        <w:rPr>
          <w:rFonts w:asciiTheme="minorHAnsi" w:eastAsiaTheme="minorHAnsi" w:hAnsiTheme="minorHAnsi" w:cstheme="minorBidi"/>
          <w:snapToGrid/>
          <w:sz w:val="24"/>
          <w:szCs w:val="22"/>
        </w:rPr>
      </w:pPr>
      <w:r w:rsidRPr="00BC3CE0">
        <w:rPr>
          <w:rFonts w:asciiTheme="minorHAnsi" w:eastAsiaTheme="minorHAnsi" w:hAnsiTheme="minorHAnsi" w:cstheme="minorBidi"/>
          <w:snapToGrid/>
          <w:sz w:val="24"/>
          <w:szCs w:val="22"/>
        </w:rPr>
        <w:t>Infliximab is PBS listed for the following indications;</w:t>
      </w:r>
    </w:p>
    <w:p w:rsidR="00DF08B4" w:rsidRPr="00BC3CE0" w:rsidRDefault="00141720" w:rsidP="003E1E96">
      <w:pPr>
        <w:pStyle w:val="ListParagraph"/>
        <w:numPr>
          <w:ilvl w:val="2"/>
          <w:numId w:val="14"/>
        </w:numPr>
        <w:spacing w:before="120" w:after="160"/>
        <w:ind w:left="1276" w:hanging="567"/>
        <w:rPr>
          <w:rFonts w:asciiTheme="minorHAnsi" w:eastAsiaTheme="minorHAnsi" w:hAnsiTheme="minorHAnsi" w:cstheme="minorBidi"/>
          <w:snapToGrid/>
          <w:sz w:val="24"/>
          <w:szCs w:val="22"/>
        </w:rPr>
      </w:pPr>
      <w:r w:rsidRPr="00BC3CE0">
        <w:rPr>
          <w:rFonts w:asciiTheme="minorHAnsi" w:eastAsiaTheme="minorHAnsi" w:hAnsiTheme="minorHAnsi" w:cstheme="minorBidi"/>
          <w:snapToGrid/>
          <w:sz w:val="24"/>
          <w:szCs w:val="22"/>
        </w:rPr>
        <w:t xml:space="preserve">Severe active </w:t>
      </w:r>
      <w:r w:rsidR="00DF08B4" w:rsidRPr="00BC3CE0">
        <w:rPr>
          <w:rFonts w:asciiTheme="minorHAnsi" w:eastAsiaTheme="minorHAnsi" w:hAnsiTheme="minorHAnsi" w:cstheme="minorBidi"/>
          <w:snapToGrid/>
          <w:sz w:val="24"/>
          <w:szCs w:val="22"/>
        </w:rPr>
        <w:t>rheumatoid arthritis</w:t>
      </w:r>
    </w:p>
    <w:p w:rsidR="00DF08B4" w:rsidRPr="00BC3CE0" w:rsidRDefault="00141720" w:rsidP="003E1E96">
      <w:pPr>
        <w:pStyle w:val="ListParagraph"/>
        <w:numPr>
          <w:ilvl w:val="2"/>
          <w:numId w:val="14"/>
        </w:numPr>
        <w:spacing w:before="120" w:after="160"/>
        <w:ind w:left="1276" w:hanging="567"/>
        <w:rPr>
          <w:rFonts w:asciiTheme="minorHAnsi" w:eastAsiaTheme="minorHAnsi" w:hAnsiTheme="minorHAnsi" w:cstheme="minorBidi"/>
          <w:snapToGrid/>
          <w:sz w:val="24"/>
          <w:szCs w:val="22"/>
        </w:rPr>
      </w:pPr>
      <w:r w:rsidRPr="00BC3CE0">
        <w:rPr>
          <w:rFonts w:asciiTheme="minorHAnsi" w:eastAsiaTheme="minorHAnsi" w:hAnsiTheme="minorHAnsi" w:cstheme="minorBidi"/>
          <w:snapToGrid/>
          <w:sz w:val="24"/>
          <w:szCs w:val="22"/>
        </w:rPr>
        <w:t xml:space="preserve">active </w:t>
      </w:r>
      <w:r w:rsidR="00DF08B4" w:rsidRPr="00BC3CE0">
        <w:rPr>
          <w:rFonts w:asciiTheme="minorHAnsi" w:eastAsiaTheme="minorHAnsi" w:hAnsiTheme="minorHAnsi" w:cstheme="minorBidi"/>
          <w:snapToGrid/>
          <w:sz w:val="24"/>
          <w:szCs w:val="22"/>
        </w:rPr>
        <w:t>ankylosing spondylitis</w:t>
      </w:r>
    </w:p>
    <w:p w:rsidR="00DF08B4" w:rsidRPr="00BC3CE0" w:rsidRDefault="00141720" w:rsidP="003E1E96">
      <w:pPr>
        <w:pStyle w:val="ListParagraph"/>
        <w:numPr>
          <w:ilvl w:val="2"/>
          <w:numId w:val="14"/>
        </w:numPr>
        <w:spacing w:before="120" w:after="160"/>
        <w:ind w:left="1276" w:hanging="567"/>
        <w:rPr>
          <w:rFonts w:asciiTheme="minorHAnsi" w:eastAsiaTheme="minorHAnsi" w:hAnsiTheme="minorHAnsi" w:cstheme="minorBidi"/>
          <w:snapToGrid/>
          <w:sz w:val="24"/>
          <w:szCs w:val="22"/>
        </w:rPr>
      </w:pPr>
      <w:r w:rsidRPr="00BC3CE0">
        <w:rPr>
          <w:rFonts w:asciiTheme="minorHAnsi" w:eastAsiaTheme="minorHAnsi" w:hAnsiTheme="minorHAnsi" w:cstheme="minorBidi"/>
          <w:snapToGrid/>
          <w:sz w:val="24"/>
          <w:szCs w:val="22"/>
        </w:rPr>
        <w:t xml:space="preserve">severe </w:t>
      </w:r>
      <w:r w:rsidR="00DF08B4" w:rsidRPr="00BC3CE0">
        <w:rPr>
          <w:rFonts w:asciiTheme="minorHAnsi" w:eastAsiaTheme="minorHAnsi" w:hAnsiTheme="minorHAnsi" w:cstheme="minorBidi"/>
          <w:snapToGrid/>
          <w:sz w:val="24"/>
          <w:szCs w:val="22"/>
        </w:rPr>
        <w:t>psoriatic arthritis</w:t>
      </w:r>
    </w:p>
    <w:p w:rsidR="00DF08B4" w:rsidRPr="00BC3CE0" w:rsidRDefault="00DF08B4" w:rsidP="003E1E96">
      <w:pPr>
        <w:pStyle w:val="ListParagraph"/>
        <w:numPr>
          <w:ilvl w:val="2"/>
          <w:numId w:val="14"/>
        </w:numPr>
        <w:spacing w:before="120" w:after="160"/>
        <w:ind w:left="1276" w:hanging="567"/>
        <w:rPr>
          <w:rFonts w:asciiTheme="minorHAnsi" w:eastAsiaTheme="minorHAnsi" w:hAnsiTheme="minorHAnsi" w:cstheme="minorBidi"/>
          <w:snapToGrid/>
          <w:sz w:val="24"/>
          <w:szCs w:val="22"/>
        </w:rPr>
      </w:pPr>
      <w:r w:rsidRPr="00BC3CE0">
        <w:rPr>
          <w:rFonts w:asciiTheme="minorHAnsi" w:eastAsiaTheme="minorHAnsi" w:hAnsiTheme="minorHAnsi" w:cstheme="minorBidi"/>
          <w:snapToGrid/>
          <w:sz w:val="24"/>
          <w:szCs w:val="22"/>
        </w:rPr>
        <w:t>severe</w:t>
      </w:r>
      <w:r w:rsidR="00141720" w:rsidRPr="00BC3CE0">
        <w:rPr>
          <w:rFonts w:asciiTheme="minorHAnsi" w:eastAsiaTheme="minorHAnsi" w:hAnsiTheme="minorHAnsi" w:cstheme="minorBidi"/>
          <w:snapToGrid/>
          <w:sz w:val="24"/>
          <w:szCs w:val="22"/>
        </w:rPr>
        <w:t xml:space="preserve"> chronic plaque</w:t>
      </w:r>
      <w:r w:rsidRPr="00BC3CE0">
        <w:rPr>
          <w:rFonts w:asciiTheme="minorHAnsi" w:eastAsiaTheme="minorHAnsi" w:hAnsiTheme="minorHAnsi" w:cstheme="minorBidi"/>
          <w:snapToGrid/>
          <w:sz w:val="24"/>
          <w:szCs w:val="22"/>
        </w:rPr>
        <w:t xml:space="preserve"> psoriasis</w:t>
      </w:r>
    </w:p>
    <w:p w:rsidR="00D54B31" w:rsidRPr="00BC3CE0" w:rsidRDefault="00D54B31" w:rsidP="003E1E96">
      <w:pPr>
        <w:pStyle w:val="ListParagraph"/>
        <w:numPr>
          <w:ilvl w:val="2"/>
          <w:numId w:val="14"/>
        </w:numPr>
        <w:spacing w:before="120" w:after="160"/>
        <w:ind w:left="1276" w:hanging="567"/>
        <w:rPr>
          <w:rFonts w:asciiTheme="minorHAnsi" w:eastAsiaTheme="minorHAnsi" w:hAnsiTheme="minorHAnsi" w:cstheme="minorBidi"/>
          <w:snapToGrid/>
          <w:sz w:val="24"/>
          <w:szCs w:val="22"/>
        </w:rPr>
      </w:pPr>
      <w:r w:rsidRPr="00BC3CE0">
        <w:rPr>
          <w:rFonts w:asciiTheme="minorHAnsi" w:eastAsiaTheme="minorHAnsi" w:hAnsiTheme="minorHAnsi" w:cstheme="minorBidi"/>
          <w:snapToGrid/>
          <w:sz w:val="24"/>
          <w:szCs w:val="22"/>
        </w:rPr>
        <w:t>Crohn disease</w:t>
      </w:r>
    </w:p>
    <w:p w:rsidR="00DF08B4" w:rsidRPr="00BC3CE0" w:rsidRDefault="00141720" w:rsidP="00D54B31">
      <w:pPr>
        <w:pStyle w:val="ListParagraph"/>
        <w:numPr>
          <w:ilvl w:val="2"/>
          <w:numId w:val="25"/>
        </w:numPr>
        <w:spacing w:before="120" w:after="160"/>
        <w:ind w:left="1134" w:hanging="141"/>
        <w:rPr>
          <w:rFonts w:asciiTheme="minorHAnsi" w:eastAsiaTheme="minorHAnsi" w:hAnsiTheme="minorHAnsi" w:cstheme="minorBidi"/>
          <w:snapToGrid/>
          <w:sz w:val="24"/>
          <w:szCs w:val="22"/>
        </w:rPr>
      </w:pPr>
      <w:r w:rsidRPr="00BC3CE0">
        <w:rPr>
          <w:rFonts w:asciiTheme="minorHAnsi" w:eastAsiaTheme="minorHAnsi" w:hAnsiTheme="minorHAnsi" w:cstheme="minorBidi"/>
          <w:snapToGrid/>
          <w:sz w:val="24"/>
          <w:szCs w:val="22"/>
        </w:rPr>
        <w:t xml:space="preserve">severe </w:t>
      </w:r>
      <w:r w:rsidR="00DF08B4" w:rsidRPr="00BC3CE0">
        <w:rPr>
          <w:rFonts w:asciiTheme="minorHAnsi" w:eastAsiaTheme="minorHAnsi" w:hAnsiTheme="minorHAnsi" w:cstheme="minorBidi"/>
          <w:snapToGrid/>
          <w:sz w:val="24"/>
          <w:szCs w:val="22"/>
        </w:rPr>
        <w:t>Crohn disease</w:t>
      </w:r>
    </w:p>
    <w:p w:rsidR="00141720" w:rsidRPr="00BC3CE0" w:rsidRDefault="00141720" w:rsidP="00D54B31">
      <w:pPr>
        <w:pStyle w:val="ListParagraph"/>
        <w:numPr>
          <w:ilvl w:val="2"/>
          <w:numId w:val="25"/>
        </w:numPr>
        <w:spacing w:before="120" w:after="160"/>
        <w:ind w:left="1134" w:hanging="141"/>
        <w:rPr>
          <w:rFonts w:asciiTheme="minorHAnsi" w:eastAsiaTheme="minorHAnsi" w:hAnsiTheme="minorHAnsi" w:cstheme="minorBidi"/>
          <w:snapToGrid/>
          <w:sz w:val="24"/>
          <w:szCs w:val="22"/>
        </w:rPr>
      </w:pPr>
      <w:r w:rsidRPr="00BC3CE0">
        <w:rPr>
          <w:rFonts w:asciiTheme="minorHAnsi" w:eastAsiaTheme="minorHAnsi" w:hAnsiTheme="minorHAnsi" w:cstheme="minorBidi"/>
          <w:snapToGrid/>
          <w:sz w:val="24"/>
          <w:szCs w:val="22"/>
        </w:rPr>
        <w:t>moderate to severe Crohn disease (paediatric)</w:t>
      </w:r>
    </w:p>
    <w:p w:rsidR="00DF08B4" w:rsidRPr="00BC3CE0" w:rsidRDefault="00DF08B4" w:rsidP="00D54B31">
      <w:pPr>
        <w:pStyle w:val="ListParagraph"/>
        <w:numPr>
          <w:ilvl w:val="2"/>
          <w:numId w:val="25"/>
        </w:numPr>
        <w:spacing w:before="120" w:after="160"/>
        <w:ind w:left="1134" w:hanging="141"/>
        <w:rPr>
          <w:rFonts w:asciiTheme="minorHAnsi" w:eastAsiaTheme="minorHAnsi" w:hAnsiTheme="minorHAnsi" w:cstheme="minorBidi"/>
          <w:snapToGrid/>
          <w:sz w:val="24"/>
          <w:szCs w:val="22"/>
        </w:rPr>
      </w:pPr>
      <w:r w:rsidRPr="00BC3CE0">
        <w:rPr>
          <w:rFonts w:asciiTheme="minorHAnsi" w:eastAsiaTheme="minorHAnsi" w:hAnsiTheme="minorHAnsi" w:cstheme="minorBidi"/>
          <w:snapToGrid/>
          <w:sz w:val="24"/>
          <w:szCs w:val="22"/>
        </w:rPr>
        <w:t>refractory fistulising Crohn disease</w:t>
      </w:r>
    </w:p>
    <w:p w:rsidR="00D54B31" w:rsidRPr="00BC3CE0" w:rsidRDefault="00D54B31" w:rsidP="003E1E96">
      <w:pPr>
        <w:pStyle w:val="ListParagraph"/>
        <w:numPr>
          <w:ilvl w:val="2"/>
          <w:numId w:val="14"/>
        </w:numPr>
        <w:spacing w:before="120" w:after="160"/>
        <w:ind w:left="1276" w:hanging="567"/>
        <w:rPr>
          <w:rFonts w:asciiTheme="minorHAnsi" w:eastAsiaTheme="minorHAnsi" w:hAnsiTheme="minorHAnsi" w:cstheme="minorBidi"/>
          <w:snapToGrid/>
          <w:sz w:val="24"/>
          <w:szCs w:val="22"/>
        </w:rPr>
      </w:pPr>
      <w:r w:rsidRPr="00BC3CE0">
        <w:rPr>
          <w:rFonts w:asciiTheme="minorHAnsi" w:eastAsiaTheme="minorHAnsi" w:hAnsiTheme="minorHAnsi" w:cstheme="minorBidi"/>
          <w:snapToGrid/>
          <w:sz w:val="24"/>
          <w:szCs w:val="22"/>
        </w:rPr>
        <w:t>ulcerative colitis</w:t>
      </w:r>
    </w:p>
    <w:p w:rsidR="00DF08B4" w:rsidRPr="00BC3CE0" w:rsidRDefault="00141720" w:rsidP="00D54B31">
      <w:pPr>
        <w:pStyle w:val="ListParagraph"/>
        <w:numPr>
          <w:ilvl w:val="2"/>
          <w:numId w:val="25"/>
        </w:numPr>
        <w:spacing w:before="120" w:after="160"/>
        <w:ind w:left="1134" w:hanging="141"/>
        <w:rPr>
          <w:rFonts w:asciiTheme="minorHAnsi" w:eastAsiaTheme="minorHAnsi" w:hAnsiTheme="minorHAnsi" w:cstheme="minorBidi"/>
          <w:snapToGrid/>
          <w:sz w:val="24"/>
          <w:szCs w:val="22"/>
        </w:rPr>
      </w:pPr>
      <w:r w:rsidRPr="00BC3CE0">
        <w:rPr>
          <w:rFonts w:asciiTheme="minorHAnsi" w:eastAsiaTheme="minorHAnsi" w:hAnsiTheme="minorHAnsi" w:cstheme="minorBidi"/>
          <w:snapToGrid/>
          <w:sz w:val="24"/>
          <w:szCs w:val="22"/>
        </w:rPr>
        <w:t xml:space="preserve">acute severe </w:t>
      </w:r>
      <w:r w:rsidR="00DF08B4" w:rsidRPr="00BC3CE0">
        <w:rPr>
          <w:rFonts w:asciiTheme="minorHAnsi" w:eastAsiaTheme="minorHAnsi" w:hAnsiTheme="minorHAnsi" w:cstheme="minorBidi"/>
          <w:snapToGrid/>
          <w:sz w:val="24"/>
          <w:szCs w:val="22"/>
        </w:rPr>
        <w:t xml:space="preserve">ulcerative colitis </w:t>
      </w:r>
    </w:p>
    <w:p w:rsidR="00141720" w:rsidRPr="00BC3CE0" w:rsidRDefault="00141720" w:rsidP="00D54B31">
      <w:pPr>
        <w:pStyle w:val="ListParagraph"/>
        <w:numPr>
          <w:ilvl w:val="2"/>
          <w:numId w:val="25"/>
        </w:numPr>
        <w:spacing w:before="120" w:after="160"/>
        <w:ind w:left="1134" w:hanging="141"/>
        <w:rPr>
          <w:rFonts w:asciiTheme="minorHAnsi" w:eastAsiaTheme="minorHAnsi" w:hAnsiTheme="minorHAnsi" w:cstheme="minorBidi"/>
          <w:snapToGrid/>
          <w:sz w:val="24"/>
          <w:szCs w:val="22"/>
        </w:rPr>
      </w:pPr>
      <w:r w:rsidRPr="00BC3CE0">
        <w:rPr>
          <w:rFonts w:asciiTheme="minorHAnsi" w:eastAsiaTheme="minorHAnsi" w:hAnsiTheme="minorHAnsi" w:cstheme="minorBidi"/>
          <w:snapToGrid/>
          <w:sz w:val="24"/>
          <w:szCs w:val="22"/>
        </w:rPr>
        <w:t>moderate to severe ulcerative colitis</w:t>
      </w:r>
    </w:p>
    <w:p w:rsidR="005C1CDC" w:rsidRPr="00BC3CE0" w:rsidRDefault="005C1CDC" w:rsidP="00E1766D">
      <w:pPr>
        <w:pStyle w:val="ListParagraph"/>
        <w:spacing w:before="120" w:after="160"/>
        <w:rPr>
          <w:rFonts w:asciiTheme="minorHAnsi" w:eastAsiaTheme="minorHAnsi" w:hAnsiTheme="minorHAnsi" w:cstheme="minorBidi"/>
          <w:b/>
          <w:i/>
          <w:snapToGrid/>
          <w:sz w:val="24"/>
          <w:szCs w:val="22"/>
        </w:rPr>
      </w:pPr>
    </w:p>
    <w:p w:rsidR="00E1766D" w:rsidRPr="00BC3CE0" w:rsidRDefault="00E1766D" w:rsidP="00E1766D">
      <w:pPr>
        <w:pStyle w:val="ListParagraph"/>
        <w:spacing w:before="120" w:after="160"/>
        <w:rPr>
          <w:rFonts w:asciiTheme="minorHAnsi" w:eastAsiaTheme="minorHAnsi" w:hAnsiTheme="minorHAnsi" w:cstheme="minorBidi"/>
          <w:b/>
          <w:i/>
          <w:snapToGrid/>
          <w:sz w:val="28"/>
          <w:szCs w:val="28"/>
        </w:rPr>
      </w:pPr>
      <w:r w:rsidRPr="00BC3CE0">
        <w:rPr>
          <w:rFonts w:asciiTheme="minorHAnsi" w:eastAsiaTheme="minorHAnsi" w:hAnsiTheme="minorHAnsi" w:cstheme="minorBidi"/>
          <w:b/>
          <w:i/>
          <w:snapToGrid/>
          <w:sz w:val="28"/>
          <w:szCs w:val="28"/>
        </w:rPr>
        <w:t>Biosimilar uptake measures</w:t>
      </w:r>
    </w:p>
    <w:p w:rsidR="00E1766D" w:rsidRPr="00BC3CE0" w:rsidRDefault="00E1766D" w:rsidP="00E1766D">
      <w:pPr>
        <w:pStyle w:val="ListParagraph"/>
        <w:numPr>
          <w:ilvl w:val="1"/>
          <w:numId w:val="14"/>
        </w:numPr>
        <w:spacing w:before="120" w:after="160"/>
        <w:rPr>
          <w:rFonts w:asciiTheme="minorHAnsi" w:eastAsiaTheme="minorHAnsi" w:hAnsiTheme="minorHAnsi" w:cstheme="minorBidi"/>
          <w:snapToGrid/>
          <w:sz w:val="24"/>
          <w:szCs w:val="22"/>
        </w:rPr>
      </w:pPr>
      <w:r w:rsidRPr="00BC3CE0">
        <w:rPr>
          <w:rFonts w:asciiTheme="minorHAnsi" w:eastAsiaTheme="minorHAnsi" w:hAnsiTheme="minorHAnsi" w:cstheme="minorBidi"/>
          <w:snapToGrid/>
          <w:sz w:val="24"/>
          <w:szCs w:val="22"/>
        </w:rPr>
        <w:t>As part of the 2017-18 budget, the Government entered into a Strategic Agreement with Medicines Australia. Part of this agreement was to introduce biosimilar uptake drivers. Two biosimilar uptake drivers identified were to:</w:t>
      </w:r>
    </w:p>
    <w:p w:rsidR="00E1766D" w:rsidRPr="00BC3CE0" w:rsidRDefault="00524350" w:rsidP="00E1766D">
      <w:pPr>
        <w:pStyle w:val="ListParagraph"/>
        <w:numPr>
          <w:ilvl w:val="0"/>
          <w:numId w:val="15"/>
        </w:numPr>
        <w:spacing w:before="120" w:after="160"/>
        <w:ind w:left="1134"/>
        <w:rPr>
          <w:rFonts w:asciiTheme="minorHAnsi" w:eastAsiaTheme="minorHAnsi" w:hAnsiTheme="minorHAnsi" w:cstheme="minorBidi"/>
          <w:snapToGrid/>
          <w:sz w:val="24"/>
          <w:szCs w:val="22"/>
        </w:rPr>
      </w:pPr>
      <w:r w:rsidRPr="00BC3CE0">
        <w:rPr>
          <w:rFonts w:asciiTheme="minorHAnsi" w:eastAsiaTheme="minorHAnsi" w:hAnsiTheme="minorHAnsi" w:cstheme="minorBidi"/>
          <w:snapToGrid/>
          <w:sz w:val="24"/>
          <w:szCs w:val="22"/>
        </w:rPr>
        <w:t>a</w:t>
      </w:r>
      <w:r w:rsidR="00E1766D" w:rsidRPr="00BC3CE0">
        <w:rPr>
          <w:rFonts w:asciiTheme="minorHAnsi" w:eastAsiaTheme="minorHAnsi" w:hAnsiTheme="minorHAnsi" w:cstheme="minorBidi"/>
          <w:snapToGrid/>
          <w:sz w:val="24"/>
          <w:szCs w:val="22"/>
        </w:rPr>
        <w:t>llow a lower level of authority for the biosimilar than the reference biologic</w:t>
      </w:r>
      <w:r w:rsidRPr="00BC3CE0">
        <w:rPr>
          <w:rFonts w:asciiTheme="minorHAnsi" w:eastAsiaTheme="minorHAnsi" w:hAnsiTheme="minorHAnsi" w:cstheme="minorBidi"/>
          <w:snapToGrid/>
          <w:sz w:val="24"/>
          <w:szCs w:val="22"/>
        </w:rPr>
        <w:t>al brand</w:t>
      </w:r>
      <w:r w:rsidR="00E1766D" w:rsidRPr="00BC3CE0">
        <w:rPr>
          <w:rFonts w:asciiTheme="minorHAnsi" w:eastAsiaTheme="minorHAnsi" w:hAnsiTheme="minorHAnsi" w:cstheme="minorBidi"/>
          <w:snapToGrid/>
          <w:sz w:val="24"/>
          <w:szCs w:val="22"/>
        </w:rPr>
        <w:t xml:space="preserve"> at commencement and/or continuation of therapy; and</w:t>
      </w:r>
    </w:p>
    <w:p w:rsidR="00E1766D" w:rsidRPr="00BC3CE0" w:rsidRDefault="00524350" w:rsidP="00E1766D">
      <w:pPr>
        <w:pStyle w:val="ListParagraph"/>
        <w:numPr>
          <w:ilvl w:val="0"/>
          <w:numId w:val="15"/>
        </w:numPr>
        <w:spacing w:before="120" w:after="160"/>
        <w:ind w:left="1134"/>
        <w:rPr>
          <w:rFonts w:asciiTheme="minorHAnsi" w:eastAsiaTheme="minorHAnsi" w:hAnsiTheme="minorHAnsi" w:cstheme="minorBidi"/>
          <w:snapToGrid/>
          <w:sz w:val="24"/>
          <w:szCs w:val="22"/>
        </w:rPr>
      </w:pPr>
      <w:r w:rsidRPr="00BC3CE0">
        <w:rPr>
          <w:rFonts w:asciiTheme="minorHAnsi" w:eastAsiaTheme="minorHAnsi" w:hAnsiTheme="minorHAnsi" w:cstheme="minorBidi"/>
          <w:snapToGrid/>
          <w:sz w:val="24"/>
          <w:szCs w:val="22"/>
        </w:rPr>
        <w:t>i</w:t>
      </w:r>
      <w:r w:rsidR="00E1766D" w:rsidRPr="00BC3CE0">
        <w:rPr>
          <w:rFonts w:asciiTheme="minorHAnsi" w:eastAsiaTheme="minorHAnsi" w:hAnsiTheme="minorHAnsi" w:cstheme="minorBidi"/>
          <w:snapToGrid/>
          <w:sz w:val="24"/>
          <w:szCs w:val="22"/>
        </w:rPr>
        <w:t>dentify the biosimilar brand as the preferred choice for treatment naïve patients.</w:t>
      </w:r>
    </w:p>
    <w:p w:rsidR="00E1766D" w:rsidRPr="00BC3CE0" w:rsidRDefault="00E1766D" w:rsidP="00E1766D">
      <w:pPr>
        <w:pStyle w:val="ListParagraph"/>
        <w:spacing w:before="120" w:after="160"/>
        <w:rPr>
          <w:rFonts w:asciiTheme="minorHAnsi" w:eastAsiaTheme="minorHAnsi" w:hAnsiTheme="minorHAnsi" w:cstheme="minorBidi"/>
          <w:snapToGrid/>
          <w:sz w:val="24"/>
          <w:szCs w:val="22"/>
        </w:rPr>
      </w:pPr>
    </w:p>
    <w:p w:rsidR="008A1956" w:rsidRPr="00BC3CE0" w:rsidRDefault="00E1766D" w:rsidP="00E1766D">
      <w:pPr>
        <w:pStyle w:val="ListParagraph"/>
        <w:numPr>
          <w:ilvl w:val="1"/>
          <w:numId w:val="14"/>
        </w:numPr>
        <w:spacing w:before="120" w:after="160"/>
        <w:rPr>
          <w:rFonts w:asciiTheme="minorHAnsi" w:eastAsiaTheme="minorHAnsi" w:hAnsiTheme="minorHAnsi" w:cstheme="minorBidi"/>
          <w:snapToGrid/>
          <w:sz w:val="24"/>
          <w:szCs w:val="22"/>
        </w:rPr>
      </w:pPr>
      <w:r w:rsidRPr="00BC3CE0">
        <w:rPr>
          <w:rFonts w:asciiTheme="minorHAnsi" w:eastAsiaTheme="minorHAnsi" w:hAnsiTheme="minorHAnsi" w:cstheme="minorBidi"/>
          <w:snapToGrid/>
          <w:sz w:val="24"/>
          <w:szCs w:val="22"/>
        </w:rPr>
        <w:t xml:space="preserve">With respect to these uptake measures, PBAC </w:t>
      </w:r>
      <w:r w:rsidR="00984BE6" w:rsidRPr="00BC3CE0">
        <w:rPr>
          <w:rFonts w:asciiTheme="minorHAnsi" w:eastAsiaTheme="minorHAnsi" w:hAnsiTheme="minorHAnsi" w:cstheme="minorBidi"/>
          <w:snapToGrid/>
          <w:sz w:val="24"/>
          <w:szCs w:val="22"/>
        </w:rPr>
        <w:t xml:space="preserve">was </w:t>
      </w:r>
      <w:r w:rsidRPr="00BC3CE0">
        <w:rPr>
          <w:rFonts w:asciiTheme="minorHAnsi" w:eastAsiaTheme="minorHAnsi" w:hAnsiTheme="minorHAnsi" w:cstheme="minorBidi"/>
          <w:snapToGrid/>
          <w:sz w:val="24"/>
          <w:szCs w:val="22"/>
        </w:rPr>
        <w:t>requested to provide case by case advice as to whether there would be any clinical or other concerns about appropriate use of medicines if a policy decisio</w:t>
      </w:r>
      <w:r w:rsidR="009A53D9" w:rsidRPr="00BC3CE0">
        <w:rPr>
          <w:rFonts w:asciiTheme="minorHAnsi" w:eastAsiaTheme="minorHAnsi" w:hAnsiTheme="minorHAnsi" w:cstheme="minorBidi"/>
          <w:snapToGrid/>
          <w:sz w:val="24"/>
          <w:szCs w:val="22"/>
        </w:rPr>
        <w:t xml:space="preserve">n were made to apply the uptake </w:t>
      </w:r>
      <w:r w:rsidRPr="00BC3CE0">
        <w:rPr>
          <w:rFonts w:asciiTheme="minorHAnsi" w:eastAsiaTheme="minorHAnsi" w:hAnsiTheme="minorHAnsi" w:cstheme="minorBidi"/>
          <w:snapToGrid/>
          <w:sz w:val="24"/>
          <w:szCs w:val="22"/>
        </w:rPr>
        <w:t>measures mentioned above.</w:t>
      </w:r>
    </w:p>
    <w:p w:rsidR="009A53D9" w:rsidRPr="00BC3CE0" w:rsidRDefault="009A53D9" w:rsidP="009A53D9">
      <w:pPr>
        <w:pStyle w:val="ListParagraph"/>
        <w:spacing w:before="120" w:after="160"/>
        <w:rPr>
          <w:rFonts w:asciiTheme="minorHAnsi" w:eastAsiaTheme="minorHAnsi" w:hAnsiTheme="minorHAnsi" w:cstheme="minorBidi"/>
          <w:snapToGrid/>
          <w:sz w:val="24"/>
          <w:szCs w:val="22"/>
        </w:rPr>
      </w:pPr>
    </w:p>
    <w:p w:rsidR="00892464" w:rsidRPr="00BC3CE0" w:rsidRDefault="00892464" w:rsidP="009A53D9">
      <w:pPr>
        <w:pStyle w:val="ListParagraph"/>
        <w:numPr>
          <w:ilvl w:val="1"/>
          <w:numId w:val="14"/>
        </w:numPr>
        <w:spacing w:before="120" w:after="160"/>
        <w:rPr>
          <w:rFonts w:asciiTheme="minorHAnsi" w:eastAsiaTheme="minorHAnsi" w:hAnsiTheme="minorHAnsi" w:cstheme="minorBidi"/>
          <w:snapToGrid/>
          <w:sz w:val="24"/>
          <w:szCs w:val="22"/>
        </w:rPr>
      </w:pPr>
      <w:r w:rsidRPr="00BC3CE0">
        <w:rPr>
          <w:rFonts w:asciiTheme="minorHAnsi" w:eastAsiaTheme="minorHAnsi" w:hAnsiTheme="minorHAnsi" w:cstheme="minorBidi"/>
          <w:snapToGrid/>
          <w:sz w:val="24"/>
          <w:szCs w:val="22"/>
        </w:rPr>
        <w:t xml:space="preserve">At the August 2017 Special meeting, </w:t>
      </w:r>
      <w:r w:rsidR="004D38D5" w:rsidRPr="00BC3CE0">
        <w:rPr>
          <w:rFonts w:asciiTheme="minorHAnsi" w:eastAsiaTheme="minorHAnsi" w:hAnsiTheme="minorHAnsi" w:cstheme="minorBidi"/>
          <w:snapToGrid/>
          <w:sz w:val="24"/>
          <w:szCs w:val="22"/>
        </w:rPr>
        <w:t xml:space="preserve">PBAC did not </w:t>
      </w:r>
      <w:r w:rsidRPr="00BC3CE0">
        <w:rPr>
          <w:rFonts w:asciiTheme="minorHAnsi" w:eastAsiaTheme="minorHAnsi" w:hAnsiTheme="minorHAnsi" w:cstheme="minorBidi"/>
          <w:snapToGrid/>
          <w:sz w:val="24"/>
          <w:szCs w:val="22"/>
        </w:rPr>
        <w:t>anticipate</w:t>
      </w:r>
      <w:r w:rsidR="004D38D5" w:rsidRPr="00BC3CE0">
        <w:rPr>
          <w:rFonts w:asciiTheme="minorHAnsi" w:eastAsiaTheme="minorHAnsi" w:hAnsiTheme="minorHAnsi" w:cstheme="minorBidi"/>
          <w:snapToGrid/>
          <w:sz w:val="24"/>
          <w:szCs w:val="22"/>
        </w:rPr>
        <w:t xml:space="preserve"> </w:t>
      </w:r>
      <w:r w:rsidRPr="00BC3CE0">
        <w:rPr>
          <w:rFonts w:asciiTheme="minorHAnsi" w:eastAsiaTheme="minorHAnsi" w:hAnsiTheme="minorHAnsi" w:cstheme="minorBidi"/>
          <w:snapToGrid/>
          <w:sz w:val="24"/>
          <w:szCs w:val="22"/>
        </w:rPr>
        <w:t xml:space="preserve">having </w:t>
      </w:r>
      <w:r w:rsidR="004D38D5" w:rsidRPr="00BC3CE0">
        <w:rPr>
          <w:rFonts w:asciiTheme="minorHAnsi" w:eastAsiaTheme="minorHAnsi" w:hAnsiTheme="minorHAnsi" w:cstheme="minorBidi"/>
          <w:snapToGrid/>
          <w:sz w:val="24"/>
          <w:szCs w:val="22"/>
        </w:rPr>
        <w:t>any concerns about encouraging prescribing of a biosimilar brand rather than the reference biological brand for treatment naïve patients, including through prescribing software changes, notes in the Schedule, education or by other methods</w:t>
      </w:r>
      <w:r w:rsidRPr="00BC3CE0">
        <w:rPr>
          <w:rFonts w:asciiTheme="minorHAnsi" w:eastAsiaTheme="minorHAnsi" w:hAnsiTheme="minorHAnsi" w:cstheme="minorBidi"/>
          <w:snapToGrid/>
          <w:sz w:val="24"/>
          <w:szCs w:val="22"/>
        </w:rPr>
        <w:t>.</w:t>
      </w:r>
    </w:p>
    <w:p w:rsidR="00892464" w:rsidRPr="00BC3CE0" w:rsidRDefault="00892464" w:rsidP="003E1E96">
      <w:pPr>
        <w:pStyle w:val="ListParagraph"/>
        <w:spacing w:before="120" w:after="160"/>
        <w:rPr>
          <w:rFonts w:asciiTheme="minorHAnsi" w:eastAsiaTheme="minorHAnsi" w:hAnsiTheme="minorHAnsi" w:cstheme="minorBidi"/>
          <w:snapToGrid/>
          <w:sz w:val="24"/>
          <w:szCs w:val="22"/>
        </w:rPr>
      </w:pPr>
    </w:p>
    <w:p w:rsidR="00E47995" w:rsidRPr="00BC3CE0" w:rsidRDefault="00D51705" w:rsidP="003E1E96">
      <w:pPr>
        <w:pStyle w:val="ListParagraph"/>
        <w:numPr>
          <w:ilvl w:val="1"/>
          <w:numId w:val="14"/>
        </w:numPr>
        <w:spacing w:before="120" w:after="160"/>
        <w:rPr>
          <w:rFonts w:asciiTheme="minorHAnsi" w:eastAsiaTheme="minorHAnsi" w:hAnsiTheme="minorHAnsi" w:cstheme="minorBidi"/>
          <w:snapToGrid/>
          <w:sz w:val="24"/>
          <w:szCs w:val="22"/>
        </w:rPr>
      </w:pPr>
      <w:r w:rsidRPr="00BC3CE0">
        <w:rPr>
          <w:rFonts w:asciiTheme="minorHAnsi" w:eastAsiaTheme="minorHAnsi" w:hAnsiTheme="minorHAnsi" w:cstheme="minorBidi"/>
          <w:snapToGrid/>
          <w:sz w:val="24"/>
          <w:szCs w:val="22"/>
        </w:rPr>
        <w:t xml:space="preserve">PBAC </w:t>
      </w:r>
      <w:r w:rsidR="00892464" w:rsidRPr="00BC3CE0">
        <w:rPr>
          <w:rFonts w:asciiTheme="minorHAnsi" w:eastAsiaTheme="minorHAnsi" w:hAnsiTheme="minorHAnsi" w:cstheme="minorBidi"/>
          <w:snapToGrid/>
          <w:sz w:val="24"/>
          <w:szCs w:val="22"/>
        </w:rPr>
        <w:t xml:space="preserve">also </w:t>
      </w:r>
      <w:r w:rsidR="00524350" w:rsidRPr="00BC3CE0">
        <w:rPr>
          <w:rFonts w:asciiTheme="minorHAnsi" w:eastAsiaTheme="minorHAnsi" w:hAnsiTheme="minorHAnsi" w:cstheme="minorBidi"/>
          <w:snapToGrid/>
          <w:sz w:val="24"/>
          <w:szCs w:val="22"/>
        </w:rPr>
        <w:t xml:space="preserve">previously </w:t>
      </w:r>
      <w:r w:rsidRPr="00BC3CE0">
        <w:rPr>
          <w:rFonts w:asciiTheme="minorHAnsi" w:eastAsiaTheme="minorHAnsi" w:hAnsiTheme="minorHAnsi" w:cstheme="minorBidi"/>
          <w:snapToGrid/>
          <w:sz w:val="24"/>
          <w:szCs w:val="22"/>
        </w:rPr>
        <w:t>discussed the possibility that a lower level of authority for prescribing biosimilar medicines could result in a potential increase in use outside of the intended PBS population.</w:t>
      </w:r>
      <w:r w:rsidR="00892464" w:rsidRPr="00BC3CE0">
        <w:rPr>
          <w:rFonts w:asciiTheme="minorHAnsi" w:eastAsiaTheme="minorHAnsi" w:hAnsiTheme="minorHAnsi" w:cstheme="minorBidi"/>
          <w:snapToGrid/>
          <w:sz w:val="24"/>
          <w:szCs w:val="22"/>
        </w:rPr>
        <w:t xml:space="preserve"> </w:t>
      </w:r>
      <w:r w:rsidR="00E47995" w:rsidRPr="00BC3CE0">
        <w:rPr>
          <w:rFonts w:asciiTheme="minorHAnsi" w:eastAsiaTheme="minorHAnsi" w:hAnsiTheme="minorHAnsi" w:cstheme="minorBidi"/>
          <w:snapToGrid/>
          <w:sz w:val="24"/>
          <w:szCs w:val="22"/>
        </w:rPr>
        <w:t xml:space="preserve">PBAC </w:t>
      </w:r>
      <w:r w:rsidR="00892464" w:rsidRPr="00BC3CE0">
        <w:rPr>
          <w:rFonts w:asciiTheme="minorHAnsi" w:eastAsiaTheme="minorHAnsi" w:hAnsiTheme="minorHAnsi" w:cstheme="minorBidi"/>
          <w:snapToGrid/>
          <w:sz w:val="24"/>
          <w:szCs w:val="22"/>
        </w:rPr>
        <w:t xml:space="preserve">generally </w:t>
      </w:r>
      <w:r w:rsidR="00E47995" w:rsidRPr="00BC3CE0">
        <w:rPr>
          <w:rFonts w:asciiTheme="minorHAnsi" w:eastAsiaTheme="minorHAnsi" w:hAnsiTheme="minorHAnsi" w:cstheme="minorBidi"/>
          <w:snapToGrid/>
          <w:sz w:val="24"/>
          <w:szCs w:val="22"/>
        </w:rPr>
        <w:t xml:space="preserve">considered that </w:t>
      </w:r>
      <w:r w:rsidR="00892464" w:rsidRPr="00BC3CE0">
        <w:rPr>
          <w:rFonts w:asciiTheme="minorHAnsi" w:eastAsiaTheme="minorHAnsi" w:hAnsiTheme="minorHAnsi" w:cstheme="minorBidi"/>
          <w:snapToGrid/>
          <w:sz w:val="24"/>
          <w:szCs w:val="22"/>
        </w:rPr>
        <w:t xml:space="preserve">it would have minimal concerns about potential application of the ‘lower authority’ uptake driver for subsequent continuation of treatment, where the patient has met the response criteria in the first continuing restriction. </w:t>
      </w:r>
    </w:p>
    <w:p w:rsidR="004445D2" w:rsidRPr="00BC3CE0" w:rsidRDefault="004445D2" w:rsidP="004445D2">
      <w:pPr>
        <w:pStyle w:val="PBACHeading1"/>
        <w:spacing w:before="240" w:after="120"/>
        <w:ind w:left="709" w:hanging="709"/>
        <w:rPr>
          <w:rFonts w:asciiTheme="minorHAnsi" w:hAnsiTheme="minorHAnsi"/>
          <w:sz w:val="32"/>
          <w:szCs w:val="32"/>
        </w:rPr>
      </w:pPr>
      <w:r w:rsidRPr="00BC3CE0">
        <w:rPr>
          <w:rFonts w:asciiTheme="minorHAnsi" w:hAnsiTheme="minorHAnsi"/>
          <w:sz w:val="32"/>
          <w:szCs w:val="32"/>
        </w:rPr>
        <w:t>Requested advice</w:t>
      </w:r>
    </w:p>
    <w:p w:rsidR="00AA798F" w:rsidRPr="00BC3CE0" w:rsidRDefault="004445D2" w:rsidP="003E1E96">
      <w:pPr>
        <w:pStyle w:val="ListParagraph"/>
        <w:numPr>
          <w:ilvl w:val="1"/>
          <w:numId w:val="14"/>
        </w:numPr>
        <w:spacing w:before="120" w:after="160"/>
        <w:rPr>
          <w:rFonts w:asciiTheme="minorHAnsi" w:hAnsiTheme="minorHAnsi"/>
          <w:sz w:val="32"/>
          <w:szCs w:val="32"/>
        </w:rPr>
      </w:pPr>
      <w:r w:rsidRPr="00BC3CE0">
        <w:rPr>
          <w:rFonts w:asciiTheme="minorHAnsi" w:hAnsiTheme="minorHAnsi"/>
          <w:sz w:val="24"/>
          <w:szCs w:val="24"/>
        </w:rPr>
        <w:t>The submission</w:t>
      </w:r>
      <w:r w:rsidRPr="00BC3CE0">
        <w:t xml:space="preserve"> </w:t>
      </w:r>
      <w:r w:rsidRPr="00BC3CE0">
        <w:rPr>
          <w:rFonts w:asciiTheme="minorHAnsi" w:hAnsiTheme="minorHAnsi"/>
          <w:sz w:val="24"/>
          <w:szCs w:val="24"/>
        </w:rPr>
        <w:t xml:space="preserve">requests all </w:t>
      </w:r>
      <w:r w:rsidR="00152F6D" w:rsidRPr="00BC3CE0">
        <w:rPr>
          <w:rFonts w:asciiTheme="minorHAnsi" w:hAnsiTheme="minorHAnsi"/>
          <w:sz w:val="24"/>
          <w:szCs w:val="24"/>
        </w:rPr>
        <w:t>Renflexis</w:t>
      </w:r>
      <w:r w:rsidRPr="00BC3CE0">
        <w:rPr>
          <w:rFonts w:asciiTheme="minorHAnsi" w:hAnsiTheme="minorHAnsi"/>
          <w:sz w:val="24"/>
          <w:szCs w:val="24"/>
        </w:rPr>
        <w:t xml:space="preserve"> initial 2 (switch or recommencement of therapy) and continuing restrictions be changed to Authority Required (STREAMLINED), and that a ‘note’ be included in all initial 1 restrictions to indicate that the biosimilar brand is the preferred choice for treatment naïve patients. </w:t>
      </w:r>
    </w:p>
    <w:p w:rsidR="004445D2" w:rsidRPr="00BC3CE0" w:rsidRDefault="004445D2" w:rsidP="003E1E96">
      <w:pPr>
        <w:pStyle w:val="ListParagraph"/>
        <w:spacing w:before="120" w:after="160"/>
        <w:rPr>
          <w:rFonts w:asciiTheme="minorHAnsi" w:hAnsiTheme="minorHAnsi"/>
          <w:sz w:val="24"/>
          <w:szCs w:val="24"/>
        </w:rPr>
      </w:pPr>
    </w:p>
    <w:p w:rsidR="004445D2" w:rsidRPr="00BC3CE0" w:rsidRDefault="004445D2" w:rsidP="003E1E96">
      <w:pPr>
        <w:pStyle w:val="ListParagraph"/>
        <w:numPr>
          <w:ilvl w:val="1"/>
          <w:numId w:val="14"/>
        </w:numPr>
        <w:spacing w:before="120" w:after="160"/>
        <w:rPr>
          <w:rFonts w:asciiTheme="minorHAnsi" w:hAnsiTheme="minorHAnsi"/>
          <w:sz w:val="32"/>
          <w:szCs w:val="32"/>
        </w:rPr>
      </w:pPr>
      <w:r w:rsidRPr="00BC3CE0">
        <w:rPr>
          <w:rFonts w:asciiTheme="minorHAnsi" w:hAnsiTheme="minorHAnsi"/>
          <w:sz w:val="24"/>
          <w:szCs w:val="24"/>
        </w:rPr>
        <w:t xml:space="preserve">The submission </w:t>
      </w:r>
      <w:r w:rsidR="00EB247D" w:rsidRPr="00BC3CE0">
        <w:rPr>
          <w:rFonts w:asciiTheme="minorHAnsi" w:hAnsiTheme="minorHAnsi"/>
          <w:sz w:val="24"/>
          <w:szCs w:val="24"/>
        </w:rPr>
        <w:t>stated that MSD would be supportive of applying the streamlined authority from the s</w:t>
      </w:r>
      <w:r w:rsidR="009C14A4" w:rsidRPr="00BC3CE0">
        <w:rPr>
          <w:rFonts w:asciiTheme="minorHAnsi" w:hAnsiTheme="minorHAnsi"/>
          <w:sz w:val="24"/>
          <w:szCs w:val="24"/>
        </w:rPr>
        <w:t>ubsequent</w:t>
      </w:r>
      <w:r w:rsidR="00EB247D" w:rsidRPr="00BC3CE0">
        <w:rPr>
          <w:rFonts w:asciiTheme="minorHAnsi" w:hAnsiTheme="minorHAnsi"/>
          <w:sz w:val="24"/>
          <w:szCs w:val="24"/>
        </w:rPr>
        <w:t xml:space="preserve"> continuing script</w:t>
      </w:r>
      <w:r w:rsidR="00CD76ED" w:rsidRPr="00BC3CE0">
        <w:rPr>
          <w:rFonts w:asciiTheme="minorHAnsi" w:hAnsiTheme="minorHAnsi"/>
          <w:sz w:val="24"/>
          <w:szCs w:val="24"/>
        </w:rPr>
        <w:t xml:space="preserve"> (see figure 1)</w:t>
      </w:r>
      <w:r w:rsidR="00EB247D" w:rsidRPr="00BC3CE0">
        <w:rPr>
          <w:rFonts w:asciiTheme="minorHAnsi" w:hAnsiTheme="minorHAnsi"/>
          <w:sz w:val="24"/>
          <w:szCs w:val="24"/>
        </w:rPr>
        <w:t xml:space="preserve"> as this would </w:t>
      </w:r>
      <w:r w:rsidRPr="00BC3CE0">
        <w:rPr>
          <w:rFonts w:asciiTheme="minorHAnsi" w:hAnsiTheme="minorHAnsi"/>
          <w:sz w:val="24"/>
          <w:szCs w:val="24"/>
        </w:rPr>
        <w:t>address</w:t>
      </w:r>
      <w:r w:rsidR="00AA798F" w:rsidRPr="00BC3CE0">
        <w:rPr>
          <w:rFonts w:asciiTheme="minorHAnsi" w:hAnsiTheme="minorHAnsi"/>
          <w:sz w:val="24"/>
          <w:szCs w:val="24"/>
        </w:rPr>
        <w:t xml:space="preserve"> PBAC’s</w:t>
      </w:r>
      <w:r w:rsidRPr="00BC3CE0">
        <w:rPr>
          <w:rFonts w:asciiTheme="minorHAnsi" w:hAnsiTheme="minorHAnsi"/>
          <w:sz w:val="24"/>
          <w:szCs w:val="24"/>
        </w:rPr>
        <w:t xml:space="preserve"> </w:t>
      </w:r>
      <w:r w:rsidR="00A223C4" w:rsidRPr="00BC3CE0">
        <w:rPr>
          <w:rFonts w:asciiTheme="minorHAnsi" w:hAnsiTheme="minorHAnsi"/>
          <w:sz w:val="24"/>
          <w:szCs w:val="24"/>
        </w:rPr>
        <w:t xml:space="preserve">previous stated </w:t>
      </w:r>
      <w:r w:rsidRPr="00BC3CE0">
        <w:rPr>
          <w:rFonts w:asciiTheme="minorHAnsi" w:hAnsiTheme="minorHAnsi"/>
          <w:sz w:val="24"/>
          <w:szCs w:val="24"/>
        </w:rPr>
        <w:t xml:space="preserve">concerns regarding </w:t>
      </w:r>
      <w:r w:rsidR="00AA798F" w:rsidRPr="00BC3CE0">
        <w:rPr>
          <w:rFonts w:asciiTheme="minorHAnsi" w:hAnsiTheme="minorHAnsi"/>
          <w:sz w:val="24"/>
          <w:szCs w:val="24"/>
        </w:rPr>
        <w:t xml:space="preserve">potential </w:t>
      </w:r>
      <w:r w:rsidRPr="00BC3CE0">
        <w:rPr>
          <w:rFonts w:asciiTheme="minorHAnsi" w:hAnsiTheme="minorHAnsi"/>
          <w:sz w:val="24"/>
          <w:szCs w:val="24"/>
        </w:rPr>
        <w:t>leakage.</w:t>
      </w:r>
    </w:p>
    <w:p w:rsidR="00DF08B4" w:rsidRPr="00BC3CE0" w:rsidRDefault="00DF08B4" w:rsidP="003E1E96">
      <w:pPr>
        <w:pStyle w:val="ListParagraph"/>
        <w:spacing w:before="120" w:after="160"/>
        <w:rPr>
          <w:rFonts w:asciiTheme="minorHAnsi" w:hAnsiTheme="minorHAnsi"/>
          <w:sz w:val="32"/>
          <w:szCs w:val="32"/>
        </w:rPr>
      </w:pPr>
    </w:p>
    <w:p w:rsidR="00AA798F" w:rsidRPr="00D9386A" w:rsidRDefault="00AA798F" w:rsidP="00D9386A">
      <w:pPr>
        <w:pStyle w:val="PBACHeading1"/>
        <w:numPr>
          <w:ilvl w:val="0"/>
          <w:numId w:val="0"/>
        </w:numPr>
        <w:ind w:left="720"/>
        <w:outlineLvl w:val="9"/>
        <w:rPr>
          <w:rFonts w:asciiTheme="minorHAnsi" w:hAnsiTheme="minorHAnsi"/>
        </w:rPr>
      </w:pPr>
      <w:r w:rsidRPr="00BC3CE0">
        <w:rPr>
          <w:noProof/>
          <w:lang w:eastAsia="en-AU"/>
        </w:rPr>
        <w:lastRenderedPageBreak/>
        <w:drawing>
          <wp:inline distT="0" distB="0" distL="0" distR="0" wp14:anchorId="2AB362D8" wp14:editId="70660C96">
            <wp:extent cx="5047615" cy="2974975"/>
            <wp:effectExtent l="0" t="0" r="635" b="0"/>
            <wp:docPr id="3" name="Picture 3" descr="Figure 1. Approach to streamlined authorities for biosimilar brands of infliximab. Purple boxes indicate proposed Authority Required (STREAMLINED) restrictions; blue boxes indicate proposed written Authority required " title="Figure 1. Approach to streamlined authorities for biosimilar brands of inflixim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7615" cy="2974975"/>
                    </a:xfrm>
                    <a:prstGeom prst="rect">
                      <a:avLst/>
                    </a:prstGeom>
                    <a:noFill/>
                  </pic:spPr>
                </pic:pic>
              </a:graphicData>
            </a:graphic>
          </wp:inline>
        </w:drawing>
      </w:r>
    </w:p>
    <w:p w:rsidR="00AA798F" w:rsidRPr="00BC3CE0" w:rsidRDefault="00AA798F" w:rsidP="003E1E96">
      <w:pPr>
        <w:pStyle w:val="ListParagraph"/>
        <w:ind w:left="0"/>
        <w:rPr>
          <w:i/>
        </w:rPr>
      </w:pPr>
      <w:r w:rsidRPr="00BC3CE0">
        <w:rPr>
          <w:rFonts w:asciiTheme="minorHAnsi" w:hAnsiTheme="minorHAnsi"/>
          <w:b/>
          <w:sz w:val="20"/>
        </w:rPr>
        <w:t xml:space="preserve">Figure 1. Approach to streamlined authorities for biosimilar brands of infliximab. </w:t>
      </w:r>
      <w:r w:rsidRPr="00BC3CE0">
        <w:rPr>
          <w:rFonts w:asciiTheme="minorHAnsi" w:hAnsiTheme="minorHAnsi"/>
          <w:sz w:val="20"/>
        </w:rPr>
        <w:t xml:space="preserve">Purple boxes indicate proposed Authority Required (STREAMLINED) restrictions; blue boxes indicate proposed written Authority required </w:t>
      </w:r>
    </w:p>
    <w:p w:rsidR="004445D2" w:rsidRPr="00BC3CE0" w:rsidRDefault="004445D2" w:rsidP="004445D2">
      <w:pPr>
        <w:pStyle w:val="ListParagraph"/>
        <w:spacing w:before="120" w:after="160"/>
        <w:rPr>
          <w:rFonts w:asciiTheme="minorHAnsi" w:hAnsiTheme="minorHAnsi"/>
          <w:sz w:val="24"/>
          <w:szCs w:val="24"/>
        </w:rPr>
      </w:pPr>
    </w:p>
    <w:p w:rsidR="00D43578" w:rsidRPr="00BC3CE0" w:rsidRDefault="00D43578" w:rsidP="00AA798F">
      <w:pPr>
        <w:pStyle w:val="ListParagraph"/>
        <w:numPr>
          <w:ilvl w:val="1"/>
          <w:numId w:val="22"/>
        </w:numPr>
        <w:rPr>
          <w:rFonts w:asciiTheme="minorHAnsi" w:hAnsiTheme="minorHAnsi"/>
          <w:sz w:val="24"/>
          <w:szCs w:val="24"/>
        </w:rPr>
      </w:pPr>
      <w:r w:rsidRPr="00BC3CE0">
        <w:rPr>
          <w:rFonts w:asciiTheme="minorHAnsi" w:hAnsiTheme="minorHAnsi"/>
          <w:sz w:val="24"/>
          <w:szCs w:val="24"/>
        </w:rPr>
        <w:t xml:space="preserve">The PBAC </w:t>
      </w:r>
      <w:r w:rsidR="00F449AF" w:rsidRPr="00BC3CE0">
        <w:rPr>
          <w:rFonts w:asciiTheme="minorHAnsi" w:hAnsiTheme="minorHAnsi"/>
          <w:sz w:val="24"/>
          <w:szCs w:val="24"/>
        </w:rPr>
        <w:t>noted</w:t>
      </w:r>
      <w:r w:rsidRPr="00BC3CE0">
        <w:rPr>
          <w:rFonts w:asciiTheme="minorHAnsi" w:hAnsiTheme="minorHAnsi"/>
          <w:sz w:val="24"/>
          <w:szCs w:val="24"/>
        </w:rPr>
        <w:t xml:space="preserve"> that the proposed streamlined continuing treatment restriction does not require patients to provide evidence of response in order to access ongoing treatment, although that evidence will need to be documented in the patient’s medical records. </w:t>
      </w:r>
    </w:p>
    <w:p w:rsidR="00AD39E7" w:rsidRPr="00BC3CE0" w:rsidRDefault="00AD39E7" w:rsidP="00AD39E7">
      <w:pPr>
        <w:pStyle w:val="ListParagraph"/>
        <w:rPr>
          <w:rFonts w:asciiTheme="minorHAnsi" w:hAnsiTheme="minorHAnsi"/>
          <w:sz w:val="24"/>
        </w:rPr>
      </w:pPr>
    </w:p>
    <w:p w:rsidR="00AA798F" w:rsidRPr="00BC3CE0" w:rsidRDefault="00AA798F" w:rsidP="00AA798F">
      <w:pPr>
        <w:pStyle w:val="ListParagraph"/>
        <w:numPr>
          <w:ilvl w:val="1"/>
          <w:numId w:val="22"/>
        </w:numPr>
        <w:rPr>
          <w:rFonts w:asciiTheme="minorHAnsi" w:hAnsiTheme="minorHAnsi"/>
          <w:sz w:val="24"/>
        </w:rPr>
      </w:pPr>
      <w:r w:rsidRPr="00BC3CE0">
        <w:rPr>
          <w:rFonts w:asciiTheme="minorHAnsi" w:hAnsiTheme="minorHAnsi"/>
          <w:sz w:val="24"/>
        </w:rPr>
        <w:t>The PBAC previously noted that under this option the DHS will not receive evidence of treatment failure (inadequate ongoing response to treatment) if treatment failure occurs at the second or subsequent continuing stage.</w:t>
      </w:r>
    </w:p>
    <w:p w:rsidR="00524350" w:rsidRPr="00BC3CE0" w:rsidRDefault="00524350" w:rsidP="00524350">
      <w:pPr>
        <w:rPr>
          <w:rFonts w:asciiTheme="minorHAnsi" w:hAnsiTheme="minorHAnsi"/>
        </w:rPr>
      </w:pPr>
    </w:p>
    <w:p w:rsidR="00D43578" w:rsidRPr="00BC3CE0" w:rsidRDefault="00D43578" w:rsidP="007A6583">
      <w:pPr>
        <w:pStyle w:val="ListParagraph"/>
        <w:numPr>
          <w:ilvl w:val="1"/>
          <w:numId w:val="22"/>
        </w:numPr>
        <w:spacing w:before="120" w:after="160"/>
        <w:rPr>
          <w:rFonts w:asciiTheme="minorHAnsi" w:hAnsiTheme="minorHAnsi"/>
          <w:i/>
          <w:sz w:val="24"/>
          <w:szCs w:val="24"/>
        </w:rPr>
      </w:pPr>
      <w:r w:rsidRPr="00BC3CE0">
        <w:rPr>
          <w:rFonts w:asciiTheme="minorHAnsi" w:hAnsiTheme="minorHAnsi"/>
          <w:sz w:val="24"/>
          <w:szCs w:val="24"/>
        </w:rPr>
        <w:t xml:space="preserve">The submission requested the proposed changes only apply to </w:t>
      </w:r>
      <w:r w:rsidR="00F13119" w:rsidRPr="00BC3CE0">
        <w:rPr>
          <w:rFonts w:asciiTheme="minorHAnsi" w:hAnsiTheme="minorHAnsi"/>
          <w:sz w:val="24"/>
          <w:szCs w:val="24"/>
        </w:rPr>
        <w:t>the Renflexis</w:t>
      </w:r>
      <w:r w:rsidRPr="00BC3CE0">
        <w:rPr>
          <w:rFonts w:asciiTheme="minorHAnsi" w:hAnsiTheme="minorHAnsi"/>
          <w:sz w:val="24"/>
          <w:szCs w:val="24"/>
        </w:rPr>
        <w:t xml:space="preserve">® brand of infliximab. The advice provided by the PBAC regarding the </w:t>
      </w:r>
      <w:r w:rsidR="00F449AF" w:rsidRPr="00BC3CE0">
        <w:rPr>
          <w:rFonts w:asciiTheme="minorHAnsi" w:hAnsiTheme="minorHAnsi"/>
          <w:sz w:val="24"/>
          <w:szCs w:val="24"/>
        </w:rPr>
        <w:t xml:space="preserve">biosimilar </w:t>
      </w:r>
      <w:r w:rsidRPr="00BC3CE0">
        <w:rPr>
          <w:rFonts w:asciiTheme="minorHAnsi" w:hAnsiTheme="minorHAnsi"/>
          <w:sz w:val="24"/>
          <w:szCs w:val="24"/>
        </w:rPr>
        <w:t xml:space="preserve">uptake drivers will be at the medicine level and not at the brand level. The decision about applying the lower authority level for one or more brands of infliximab will be </w:t>
      </w:r>
      <w:r w:rsidR="00AD39E7" w:rsidRPr="00BC3CE0">
        <w:rPr>
          <w:rFonts w:asciiTheme="minorHAnsi" w:hAnsiTheme="minorHAnsi"/>
          <w:sz w:val="24"/>
          <w:szCs w:val="24"/>
        </w:rPr>
        <w:t>made</w:t>
      </w:r>
      <w:r w:rsidRPr="00BC3CE0">
        <w:rPr>
          <w:rFonts w:asciiTheme="minorHAnsi" w:hAnsiTheme="minorHAnsi"/>
          <w:sz w:val="24"/>
          <w:szCs w:val="24"/>
        </w:rPr>
        <w:t xml:space="preserve"> by the Minister or Departmental delegate following PBAC advice. It is expected that the uptake drivers will be applied to all biosimilar brands for a reference biological medicine following positive advice from PBAC.</w:t>
      </w:r>
    </w:p>
    <w:p w:rsidR="005C7534" w:rsidRPr="00BC3CE0" w:rsidRDefault="005C7534" w:rsidP="005C7534">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BC3CE0">
        <w:rPr>
          <w:rFonts w:asciiTheme="minorHAnsi" w:hAnsiTheme="minorHAnsi"/>
          <w:sz w:val="32"/>
          <w:szCs w:val="32"/>
        </w:rPr>
        <w:t>Consideration of the evidence</w:t>
      </w:r>
    </w:p>
    <w:p w:rsidR="005C7534" w:rsidRPr="00BC3CE0" w:rsidRDefault="005C7534" w:rsidP="005C7534">
      <w:pPr>
        <w:pStyle w:val="Heading2"/>
        <w:keepLines/>
        <w:spacing w:before="240" w:after="120"/>
        <w:rPr>
          <w:rFonts w:asciiTheme="minorHAnsi" w:eastAsiaTheme="majorEastAsia" w:hAnsiTheme="minorHAnsi" w:cstheme="majorBidi"/>
          <w:sz w:val="28"/>
          <w:szCs w:val="28"/>
          <w:lang w:eastAsia="en-US"/>
        </w:rPr>
      </w:pPr>
      <w:r w:rsidRPr="00BC3CE0">
        <w:rPr>
          <w:rFonts w:asciiTheme="minorHAnsi" w:eastAsiaTheme="majorEastAsia" w:hAnsiTheme="minorHAnsi" w:cstheme="majorBidi"/>
          <w:sz w:val="28"/>
          <w:szCs w:val="28"/>
          <w:lang w:eastAsia="en-US"/>
        </w:rPr>
        <w:t>Sponsor hearing</w:t>
      </w:r>
    </w:p>
    <w:p w:rsidR="005C7534" w:rsidRPr="00BC3CE0" w:rsidRDefault="005C7534" w:rsidP="005C7534">
      <w:pPr>
        <w:pStyle w:val="ListParagraph"/>
        <w:widowControl/>
        <w:numPr>
          <w:ilvl w:val="1"/>
          <w:numId w:val="5"/>
        </w:numPr>
        <w:spacing w:before="120" w:after="160"/>
        <w:contextualSpacing w:val="0"/>
        <w:rPr>
          <w:rFonts w:asciiTheme="minorHAnsi" w:hAnsiTheme="minorHAnsi"/>
          <w:sz w:val="24"/>
          <w:szCs w:val="24"/>
        </w:rPr>
      </w:pPr>
      <w:r w:rsidRPr="00BC3CE0">
        <w:rPr>
          <w:rFonts w:asciiTheme="minorHAnsi" w:hAnsiTheme="minorHAnsi"/>
          <w:sz w:val="24"/>
          <w:szCs w:val="24"/>
        </w:rPr>
        <w:t>There was no hearing for this item as it was a minor submission.</w:t>
      </w:r>
    </w:p>
    <w:p w:rsidR="005C7534" w:rsidRPr="00BC3CE0" w:rsidRDefault="005C7534" w:rsidP="005C7534">
      <w:pPr>
        <w:pStyle w:val="Heading2"/>
        <w:keepLines/>
        <w:spacing w:before="240" w:after="120"/>
        <w:rPr>
          <w:rFonts w:asciiTheme="minorHAnsi" w:eastAsiaTheme="majorEastAsia" w:hAnsiTheme="minorHAnsi" w:cstheme="majorBidi"/>
          <w:sz w:val="28"/>
          <w:szCs w:val="28"/>
          <w:lang w:eastAsia="en-US"/>
        </w:rPr>
      </w:pPr>
      <w:r w:rsidRPr="00BC3CE0">
        <w:rPr>
          <w:rFonts w:asciiTheme="minorHAnsi" w:eastAsiaTheme="majorEastAsia" w:hAnsiTheme="minorHAnsi" w:cstheme="majorBidi"/>
          <w:sz w:val="28"/>
          <w:szCs w:val="28"/>
          <w:lang w:eastAsia="en-US"/>
        </w:rPr>
        <w:t>Consumer comments</w:t>
      </w:r>
    </w:p>
    <w:p w:rsidR="005C7534" w:rsidRPr="00BC3CE0" w:rsidRDefault="005C7534" w:rsidP="005C7534">
      <w:pPr>
        <w:pStyle w:val="ListParagraph"/>
        <w:widowControl/>
        <w:numPr>
          <w:ilvl w:val="1"/>
          <w:numId w:val="5"/>
        </w:numPr>
        <w:spacing w:before="120" w:after="160"/>
        <w:contextualSpacing w:val="0"/>
        <w:rPr>
          <w:rFonts w:asciiTheme="minorHAnsi" w:hAnsiTheme="minorHAnsi"/>
          <w:sz w:val="24"/>
          <w:szCs w:val="24"/>
        </w:rPr>
      </w:pPr>
      <w:r w:rsidRPr="00BC3CE0">
        <w:rPr>
          <w:rFonts w:asciiTheme="minorHAnsi" w:hAnsiTheme="minorHAnsi"/>
          <w:sz w:val="24"/>
          <w:szCs w:val="24"/>
        </w:rPr>
        <w:t>The PBAC noted that no consumer comments were received for this item.</w:t>
      </w:r>
    </w:p>
    <w:p w:rsidR="00482D00" w:rsidRPr="00BC3CE0" w:rsidRDefault="00482D00" w:rsidP="00482D00">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BC3CE0">
        <w:rPr>
          <w:rFonts w:asciiTheme="minorHAnsi" w:hAnsiTheme="minorHAnsi"/>
          <w:sz w:val="32"/>
          <w:szCs w:val="32"/>
        </w:rPr>
        <w:t>PBAC Outcome</w:t>
      </w:r>
    </w:p>
    <w:p w:rsidR="007A3964" w:rsidRPr="00BC3CE0" w:rsidRDefault="007A3964" w:rsidP="00F13119">
      <w:pPr>
        <w:pStyle w:val="ListParagraph"/>
        <w:numPr>
          <w:ilvl w:val="1"/>
          <w:numId w:val="5"/>
        </w:numPr>
        <w:rPr>
          <w:rFonts w:asciiTheme="minorHAnsi" w:hAnsiTheme="minorHAnsi"/>
          <w:sz w:val="24"/>
          <w:szCs w:val="24"/>
        </w:rPr>
      </w:pPr>
      <w:r w:rsidRPr="00BC3CE0">
        <w:rPr>
          <w:rFonts w:asciiTheme="minorHAnsi" w:hAnsiTheme="minorHAnsi"/>
          <w:sz w:val="24"/>
          <w:szCs w:val="24"/>
        </w:rPr>
        <w:t xml:space="preserve">The PBAC advised that there </w:t>
      </w:r>
      <w:r w:rsidR="00014ACA">
        <w:rPr>
          <w:rFonts w:asciiTheme="minorHAnsi" w:hAnsiTheme="minorHAnsi"/>
          <w:sz w:val="24"/>
          <w:szCs w:val="24"/>
        </w:rPr>
        <w:t xml:space="preserve">are </w:t>
      </w:r>
      <w:r w:rsidRPr="00BC3CE0">
        <w:rPr>
          <w:rFonts w:asciiTheme="minorHAnsi" w:hAnsiTheme="minorHAnsi"/>
          <w:sz w:val="24"/>
          <w:szCs w:val="24"/>
        </w:rPr>
        <w:t xml:space="preserve">no clinical or other concerns about appropriate use of medicines if </w:t>
      </w:r>
      <w:r w:rsidR="00014ACA">
        <w:rPr>
          <w:rFonts w:asciiTheme="minorHAnsi" w:hAnsiTheme="minorHAnsi"/>
          <w:sz w:val="24"/>
          <w:szCs w:val="24"/>
        </w:rPr>
        <w:t xml:space="preserve">the </w:t>
      </w:r>
      <w:r w:rsidRPr="00BC3CE0">
        <w:rPr>
          <w:rFonts w:asciiTheme="minorHAnsi" w:hAnsiTheme="minorHAnsi"/>
          <w:sz w:val="24"/>
          <w:szCs w:val="24"/>
        </w:rPr>
        <w:t>policy to lower the authority requirement for only the biosimilar brand</w:t>
      </w:r>
      <w:r w:rsidR="00ED6070" w:rsidRPr="00BC3CE0">
        <w:rPr>
          <w:rFonts w:asciiTheme="minorHAnsi" w:hAnsiTheme="minorHAnsi"/>
          <w:sz w:val="24"/>
          <w:szCs w:val="24"/>
        </w:rPr>
        <w:t>s</w:t>
      </w:r>
      <w:r w:rsidRPr="00BC3CE0">
        <w:rPr>
          <w:rFonts w:asciiTheme="minorHAnsi" w:hAnsiTheme="minorHAnsi"/>
          <w:sz w:val="24"/>
          <w:szCs w:val="24"/>
        </w:rPr>
        <w:t xml:space="preserve"> of infliximab </w:t>
      </w:r>
      <w:r w:rsidR="00014ACA">
        <w:rPr>
          <w:rFonts w:asciiTheme="minorHAnsi" w:hAnsiTheme="minorHAnsi"/>
          <w:sz w:val="24"/>
          <w:szCs w:val="24"/>
        </w:rPr>
        <w:t xml:space="preserve">is adopted providing the following </w:t>
      </w:r>
      <w:r w:rsidRPr="00BC3CE0">
        <w:rPr>
          <w:rFonts w:asciiTheme="minorHAnsi" w:hAnsiTheme="minorHAnsi"/>
          <w:sz w:val="24"/>
          <w:szCs w:val="24"/>
        </w:rPr>
        <w:t xml:space="preserve">recommendations </w:t>
      </w:r>
      <w:r w:rsidR="00014ACA">
        <w:rPr>
          <w:rFonts w:asciiTheme="minorHAnsi" w:hAnsiTheme="minorHAnsi"/>
          <w:sz w:val="24"/>
          <w:szCs w:val="24"/>
        </w:rPr>
        <w:t>below are followed</w:t>
      </w:r>
      <w:r w:rsidRPr="00BC3CE0">
        <w:rPr>
          <w:rFonts w:asciiTheme="minorHAnsi" w:hAnsiTheme="minorHAnsi"/>
          <w:sz w:val="24"/>
          <w:szCs w:val="24"/>
        </w:rPr>
        <w:t xml:space="preserve">. </w:t>
      </w:r>
    </w:p>
    <w:p w:rsidR="00984BE6" w:rsidRPr="00BC3CE0" w:rsidRDefault="00984BE6" w:rsidP="00F13119">
      <w:pPr>
        <w:pStyle w:val="ListParagraph"/>
        <w:rPr>
          <w:rFonts w:asciiTheme="minorHAnsi" w:hAnsiTheme="minorHAnsi"/>
          <w:sz w:val="24"/>
          <w:szCs w:val="24"/>
        </w:rPr>
      </w:pPr>
    </w:p>
    <w:p w:rsidR="003939D5" w:rsidRPr="00BC3CE0" w:rsidRDefault="003939D5" w:rsidP="00D9386A">
      <w:pPr>
        <w:pStyle w:val="PBACHeading1"/>
        <w:numPr>
          <w:ilvl w:val="1"/>
          <w:numId w:val="5"/>
        </w:numPr>
        <w:jc w:val="both"/>
        <w:outlineLvl w:val="9"/>
        <w:rPr>
          <w:rFonts w:asciiTheme="minorHAnsi" w:hAnsiTheme="minorHAnsi"/>
          <w:b w:val="0"/>
          <w:sz w:val="24"/>
          <w:szCs w:val="24"/>
        </w:rPr>
      </w:pPr>
      <w:r w:rsidRPr="00BC3CE0">
        <w:rPr>
          <w:rFonts w:asciiTheme="minorHAnsi" w:hAnsiTheme="minorHAnsi"/>
          <w:b w:val="0"/>
          <w:sz w:val="24"/>
          <w:szCs w:val="24"/>
        </w:rPr>
        <w:t xml:space="preserve">The PBAC recommended that all initial treatment restrictions for infliximab, including those for new patients, patients changing treatment and recommencing treatment, remain as Authority Required (in writing) listings. The PBAC advised that the current restriction for acute severe ulcerative colitis remain unchanged for public hospitals as it is already an Authority Required (STREAMLINED) within the Section 100 </w:t>
      </w:r>
      <w:r w:rsidR="001C6A42">
        <w:rPr>
          <w:rFonts w:asciiTheme="minorHAnsi" w:hAnsiTheme="minorHAnsi"/>
          <w:b w:val="0"/>
          <w:sz w:val="24"/>
          <w:szCs w:val="24"/>
        </w:rPr>
        <w:t>H</w:t>
      </w:r>
      <w:r w:rsidRPr="00BC3CE0">
        <w:rPr>
          <w:rFonts w:asciiTheme="minorHAnsi" w:hAnsiTheme="minorHAnsi"/>
          <w:b w:val="0"/>
          <w:sz w:val="24"/>
          <w:szCs w:val="24"/>
        </w:rPr>
        <w:t xml:space="preserve">ighly </w:t>
      </w:r>
      <w:r w:rsidR="001C6A42">
        <w:rPr>
          <w:rFonts w:asciiTheme="minorHAnsi" w:hAnsiTheme="minorHAnsi"/>
          <w:b w:val="0"/>
          <w:sz w:val="24"/>
          <w:szCs w:val="24"/>
        </w:rPr>
        <w:t>S</w:t>
      </w:r>
      <w:r w:rsidRPr="00BC3CE0">
        <w:rPr>
          <w:rFonts w:asciiTheme="minorHAnsi" w:hAnsiTheme="minorHAnsi"/>
          <w:b w:val="0"/>
          <w:sz w:val="24"/>
          <w:szCs w:val="24"/>
        </w:rPr>
        <w:t xml:space="preserve">pecialised </w:t>
      </w:r>
      <w:r w:rsidR="001C6A42">
        <w:rPr>
          <w:rFonts w:asciiTheme="minorHAnsi" w:hAnsiTheme="minorHAnsi"/>
          <w:b w:val="0"/>
          <w:sz w:val="24"/>
          <w:szCs w:val="24"/>
        </w:rPr>
        <w:t>D</w:t>
      </w:r>
      <w:r w:rsidRPr="00BC3CE0">
        <w:rPr>
          <w:rFonts w:asciiTheme="minorHAnsi" w:hAnsiTheme="minorHAnsi"/>
          <w:b w:val="0"/>
          <w:sz w:val="24"/>
          <w:szCs w:val="24"/>
        </w:rPr>
        <w:t>rugs (HSD) program .</w:t>
      </w:r>
      <w:r w:rsidR="00014ACA">
        <w:rPr>
          <w:rFonts w:asciiTheme="minorHAnsi" w:hAnsiTheme="minorHAnsi"/>
          <w:b w:val="0"/>
          <w:sz w:val="24"/>
          <w:szCs w:val="24"/>
        </w:rPr>
        <w:t xml:space="preserve"> This will ensure the medicine will continue to be targeted at the group where cost-effectiveness has been accepted.</w:t>
      </w:r>
    </w:p>
    <w:p w:rsidR="003939D5" w:rsidRPr="00BC3CE0" w:rsidRDefault="003939D5" w:rsidP="00F13119">
      <w:pPr>
        <w:pStyle w:val="ListParagraph"/>
        <w:widowControl/>
        <w:numPr>
          <w:ilvl w:val="1"/>
          <w:numId w:val="5"/>
        </w:numPr>
        <w:spacing w:before="120" w:after="160"/>
        <w:contextualSpacing w:val="0"/>
        <w:rPr>
          <w:rFonts w:asciiTheme="minorHAnsi" w:hAnsiTheme="minorHAnsi"/>
          <w:sz w:val="24"/>
          <w:szCs w:val="24"/>
        </w:rPr>
      </w:pPr>
      <w:r w:rsidRPr="00BC3CE0">
        <w:rPr>
          <w:rFonts w:asciiTheme="minorHAnsi" w:hAnsiTheme="minorHAnsi"/>
          <w:sz w:val="24"/>
        </w:rPr>
        <w:t xml:space="preserve">The PBAC did not recommend lowering the category of authority for the initial 2 and continuing restrictions for infliximab as proposed by the sponsor as it considered that changing the restrictions for these treatment phases to Authority required (streamlined) was likely to result in use outside the intended PBS population to a wider population, such as patients who do not demonstrate the extent of response required for continuing treatment and use in patients with less severe disease.  </w:t>
      </w:r>
    </w:p>
    <w:p w:rsidR="001A5FCC" w:rsidRPr="00D37185" w:rsidRDefault="003939D5" w:rsidP="00D37185">
      <w:pPr>
        <w:pStyle w:val="ListParagraph"/>
        <w:widowControl/>
        <w:numPr>
          <w:ilvl w:val="1"/>
          <w:numId w:val="5"/>
        </w:numPr>
        <w:spacing w:before="120" w:after="160"/>
        <w:contextualSpacing w:val="0"/>
        <w:rPr>
          <w:rFonts w:asciiTheme="minorHAnsi" w:hAnsiTheme="minorHAnsi"/>
          <w:sz w:val="24"/>
          <w:szCs w:val="24"/>
        </w:rPr>
      </w:pPr>
      <w:r w:rsidRPr="00BC3CE0">
        <w:rPr>
          <w:rFonts w:asciiTheme="minorHAnsi" w:hAnsiTheme="minorHAnsi"/>
          <w:sz w:val="24"/>
          <w:szCs w:val="24"/>
        </w:rPr>
        <w:t xml:space="preserve">The PBAC recommended that the continuing restrictions for infliximab be split into first continuing and subsequent continuing restrictions. The PBAC recommended that the first continuing restrictions be Authority Required (in writing) </w:t>
      </w:r>
      <w:r w:rsidR="00F13119" w:rsidRPr="00BC3CE0">
        <w:rPr>
          <w:rFonts w:asciiTheme="minorHAnsi" w:hAnsiTheme="minorHAnsi"/>
          <w:sz w:val="24"/>
          <w:szCs w:val="24"/>
        </w:rPr>
        <w:t>which retains</w:t>
      </w:r>
      <w:r w:rsidRPr="00BC3CE0">
        <w:rPr>
          <w:rFonts w:asciiTheme="minorHAnsi" w:hAnsiTheme="minorHAnsi"/>
          <w:sz w:val="24"/>
          <w:szCs w:val="24"/>
        </w:rPr>
        <w:t xml:space="preserve"> the response to treatment criteria that currently exists in the continuing restrictions. The PBAC recommended that the subsequent continuing restrictions be Authority Required (STREAMLINED) restrictions. The PBAC recommended that subsequent continuing restrictions for infliximab retain the requirement for patients to be responding to treatment.</w:t>
      </w:r>
      <w:r w:rsidR="001A5FCC">
        <w:rPr>
          <w:rFonts w:asciiTheme="minorHAnsi" w:hAnsiTheme="minorHAnsi"/>
          <w:sz w:val="24"/>
          <w:szCs w:val="24"/>
        </w:rPr>
        <w:t xml:space="preserve"> </w:t>
      </w:r>
    </w:p>
    <w:p w:rsidR="003939D5" w:rsidRPr="00D37185" w:rsidRDefault="005B7008" w:rsidP="00D37185">
      <w:pPr>
        <w:pStyle w:val="ListParagraph"/>
        <w:widowControl/>
        <w:numPr>
          <w:ilvl w:val="1"/>
          <w:numId w:val="5"/>
        </w:numPr>
        <w:spacing w:before="120" w:after="160"/>
        <w:contextualSpacing w:val="0"/>
        <w:rPr>
          <w:rFonts w:asciiTheme="minorHAnsi" w:hAnsiTheme="minorHAnsi"/>
          <w:sz w:val="24"/>
          <w:szCs w:val="24"/>
        </w:rPr>
      </w:pPr>
      <w:r>
        <w:rPr>
          <w:rFonts w:asciiTheme="minorHAnsi" w:hAnsiTheme="minorHAnsi"/>
          <w:sz w:val="24"/>
          <w:szCs w:val="24"/>
        </w:rPr>
        <w:t xml:space="preserve">The </w:t>
      </w:r>
      <w:r w:rsidR="000420BF">
        <w:rPr>
          <w:rFonts w:asciiTheme="minorHAnsi" w:hAnsiTheme="minorHAnsi"/>
          <w:sz w:val="24"/>
          <w:szCs w:val="24"/>
        </w:rPr>
        <w:t xml:space="preserve">PBAC </w:t>
      </w:r>
      <w:r>
        <w:rPr>
          <w:rFonts w:asciiTheme="minorHAnsi" w:hAnsiTheme="minorHAnsi"/>
          <w:sz w:val="24"/>
          <w:szCs w:val="24"/>
        </w:rPr>
        <w:t xml:space="preserve">confirmed its previous </w:t>
      </w:r>
      <w:r w:rsidR="000420BF">
        <w:rPr>
          <w:rFonts w:asciiTheme="minorHAnsi" w:hAnsiTheme="minorHAnsi"/>
          <w:sz w:val="24"/>
          <w:szCs w:val="24"/>
        </w:rPr>
        <w:t>recommendation</w:t>
      </w:r>
      <w:r w:rsidR="001A5FCC">
        <w:rPr>
          <w:rFonts w:asciiTheme="minorHAnsi" w:hAnsiTheme="minorHAnsi"/>
          <w:sz w:val="24"/>
          <w:szCs w:val="24"/>
        </w:rPr>
        <w:t xml:space="preserve"> regarding ‘a’ flagging</w:t>
      </w:r>
      <w:r>
        <w:rPr>
          <w:rFonts w:asciiTheme="minorHAnsi" w:hAnsiTheme="minorHAnsi"/>
          <w:sz w:val="24"/>
          <w:szCs w:val="24"/>
        </w:rPr>
        <w:t xml:space="preserve"> which is intended to support all brands of infliximab.</w:t>
      </w:r>
      <w:r w:rsidR="003939D5" w:rsidRPr="00BC3CE0">
        <w:rPr>
          <w:rFonts w:asciiTheme="minorHAnsi" w:hAnsiTheme="minorHAnsi"/>
          <w:sz w:val="24"/>
          <w:szCs w:val="24"/>
        </w:rPr>
        <w:t xml:space="preserve"> </w:t>
      </w:r>
    </w:p>
    <w:p w:rsidR="00E441DC" w:rsidRPr="00BC3CE0" w:rsidRDefault="000E5D74" w:rsidP="000E5D74">
      <w:pPr>
        <w:pStyle w:val="ListParagraph"/>
        <w:widowControl/>
        <w:numPr>
          <w:ilvl w:val="1"/>
          <w:numId w:val="5"/>
        </w:numPr>
        <w:spacing w:before="120" w:after="160"/>
        <w:contextualSpacing w:val="0"/>
        <w:rPr>
          <w:rFonts w:asciiTheme="minorHAnsi" w:hAnsiTheme="minorHAnsi"/>
          <w:sz w:val="24"/>
          <w:szCs w:val="24"/>
        </w:rPr>
      </w:pPr>
      <w:r w:rsidRPr="00BC3CE0">
        <w:rPr>
          <w:rFonts w:asciiTheme="minorHAnsi" w:hAnsiTheme="minorHAnsi"/>
          <w:sz w:val="24"/>
          <w:szCs w:val="24"/>
        </w:rPr>
        <w:t>The PBAC noted the request for a change to prescribing software to give preference to Renflexis® for infliximab naïve patients. The PBAC did not have any concerns a</w:t>
      </w:r>
      <w:r w:rsidR="00A75D42" w:rsidRPr="00BC3CE0">
        <w:rPr>
          <w:rFonts w:asciiTheme="minorHAnsi" w:hAnsiTheme="minorHAnsi"/>
          <w:sz w:val="24"/>
          <w:szCs w:val="24"/>
        </w:rPr>
        <w:t xml:space="preserve">bout encouraging prescribing of </w:t>
      </w:r>
      <w:r w:rsidRPr="00BC3CE0">
        <w:rPr>
          <w:rFonts w:asciiTheme="minorHAnsi" w:hAnsiTheme="minorHAnsi"/>
          <w:sz w:val="24"/>
          <w:szCs w:val="24"/>
        </w:rPr>
        <w:t>a biosimilar brand for treatment naïve patients.</w:t>
      </w:r>
    </w:p>
    <w:p w:rsidR="009C14A4" w:rsidRPr="00BC3CE0" w:rsidRDefault="009C14A4" w:rsidP="009C14A4">
      <w:pPr>
        <w:pStyle w:val="ListParagraph"/>
        <w:numPr>
          <w:ilvl w:val="1"/>
          <w:numId w:val="5"/>
        </w:numPr>
        <w:rPr>
          <w:rFonts w:asciiTheme="minorHAnsi" w:hAnsiTheme="minorHAnsi"/>
          <w:sz w:val="24"/>
        </w:rPr>
      </w:pPr>
      <w:r w:rsidRPr="00BC3CE0">
        <w:rPr>
          <w:rFonts w:asciiTheme="minorHAnsi" w:hAnsiTheme="minorHAnsi"/>
          <w:sz w:val="24"/>
        </w:rPr>
        <w:t xml:space="preserve">The PBAC noted that there will be a number of changes required to the restriction wording </w:t>
      </w:r>
      <w:r w:rsidR="00CF3631" w:rsidRPr="00BC3CE0">
        <w:rPr>
          <w:rFonts w:asciiTheme="minorHAnsi" w:hAnsiTheme="minorHAnsi"/>
          <w:sz w:val="24"/>
        </w:rPr>
        <w:t>for infliximab</w:t>
      </w:r>
      <w:r w:rsidRPr="00BC3CE0">
        <w:rPr>
          <w:rFonts w:asciiTheme="minorHAnsi" w:hAnsiTheme="minorHAnsi"/>
          <w:sz w:val="24"/>
        </w:rPr>
        <w:t xml:space="preserve"> across all treatment phases (the current initial, change, recommencement and continuing restrictions and associated notes) to accommodate these changes.</w:t>
      </w:r>
    </w:p>
    <w:p w:rsidR="003C0EEA" w:rsidRPr="00BC3CE0" w:rsidRDefault="003C0EEA" w:rsidP="003C0EEA">
      <w:pPr>
        <w:rPr>
          <w:rFonts w:ascii="Calibri" w:hAnsi="Calibri"/>
          <w:b/>
        </w:rPr>
      </w:pPr>
      <w:r w:rsidRPr="00BC3CE0">
        <w:rPr>
          <w:rFonts w:ascii="Calibri" w:hAnsi="Calibri"/>
          <w:b/>
        </w:rPr>
        <w:t>Outcome</w:t>
      </w:r>
    </w:p>
    <w:p w:rsidR="003C0EEA" w:rsidRPr="00BC3CE0" w:rsidRDefault="003C0EEA" w:rsidP="003C0EEA">
      <w:pPr>
        <w:rPr>
          <w:rFonts w:ascii="Calibri" w:hAnsi="Calibri"/>
        </w:rPr>
      </w:pPr>
      <w:r w:rsidRPr="00BC3CE0">
        <w:rPr>
          <w:rFonts w:ascii="Calibri" w:hAnsi="Calibri"/>
        </w:rPr>
        <w:t>Recommended</w:t>
      </w:r>
    </w:p>
    <w:p w:rsidR="003C0EEA" w:rsidRPr="00BC3CE0" w:rsidRDefault="003C0EEA" w:rsidP="003C0EEA">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BC3CE0">
        <w:rPr>
          <w:rFonts w:asciiTheme="minorHAnsi" w:hAnsiTheme="minorHAnsi"/>
          <w:sz w:val="32"/>
          <w:szCs w:val="32"/>
        </w:rPr>
        <w:t>Recommended listing</w:t>
      </w:r>
    </w:p>
    <w:p w:rsidR="00F64CC1" w:rsidRPr="00BC3CE0" w:rsidRDefault="003939D5" w:rsidP="00B647CE">
      <w:pPr>
        <w:ind w:left="709"/>
        <w:rPr>
          <w:rFonts w:asciiTheme="minorHAnsi" w:hAnsiTheme="minorHAnsi" w:cs="Arial"/>
          <w:snapToGrid w:val="0"/>
          <w:szCs w:val="22"/>
          <w:lang w:eastAsia="en-US"/>
        </w:rPr>
      </w:pPr>
      <w:r w:rsidRPr="00BC3CE0">
        <w:rPr>
          <w:rFonts w:asciiTheme="minorHAnsi" w:hAnsiTheme="minorHAnsi" w:cs="Arial"/>
          <w:snapToGrid w:val="0"/>
          <w:szCs w:val="22"/>
          <w:lang w:eastAsia="en-US"/>
        </w:rPr>
        <w:t>Yet to be finalised</w:t>
      </w:r>
      <w:r w:rsidR="00B647CE">
        <w:rPr>
          <w:rFonts w:asciiTheme="minorHAnsi" w:hAnsiTheme="minorHAnsi" w:cs="Arial"/>
          <w:snapToGrid w:val="0"/>
          <w:szCs w:val="22"/>
          <w:lang w:eastAsia="en-US"/>
        </w:rPr>
        <w:t>.</w:t>
      </w:r>
    </w:p>
    <w:p w:rsidR="003939D5" w:rsidRPr="00BC3CE0" w:rsidRDefault="003939D5" w:rsidP="006147E5">
      <w:pPr>
        <w:rPr>
          <w:rFonts w:asciiTheme="minorHAnsi" w:hAnsiTheme="minorHAnsi" w:cs="Arial"/>
          <w:b/>
          <w:snapToGrid w:val="0"/>
          <w:szCs w:val="22"/>
          <w:lang w:eastAsia="en-US"/>
        </w:rPr>
      </w:pPr>
    </w:p>
    <w:p w:rsidR="003939D5" w:rsidRPr="00BC3CE0" w:rsidRDefault="003939D5" w:rsidP="006147E5">
      <w:pPr>
        <w:rPr>
          <w:rFonts w:asciiTheme="minorHAnsi" w:hAnsiTheme="minorHAnsi" w:cs="Arial"/>
          <w:b/>
          <w:snapToGrid w:val="0"/>
          <w:szCs w:val="22"/>
          <w:lang w:eastAsia="en-US"/>
        </w:rPr>
      </w:pPr>
    </w:p>
    <w:p w:rsidR="006E6E07" w:rsidRPr="00EC2BB1" w:rsidRDefault="006E6E07" w:rsidP="006E6E07">
      <w:pPr>
        <w:pStyle w:val="PBACHeading1"/>
        <w:spacing w:before="240" w:after="120"/>
        <w:ind w:left="709" w:hanging="709"/>
        <w:rPr>
          <w:rFonts w:asciiTheme="minorHAnsi" w:hAnsiTheme="minorHAnsi"/>
          <w:sz w:val="32"/>
          <w:szCs w:val="32"/>
        </w:rPr>
      </w:pPr>
      <w:r w:rsidRPr="00EC2BB1">
        <w:rPr>
          <w:rFonts w:asciiTheme="minorHAnsi" w:hAnsiTheme="minorHAnsi"/>
          <w:sz w:val="32"/>
          <w:szCs w:val="32"/>
        </w:rPr>
        <w:t>Context for Decision</w:t>
      </w:r>
    </w:p>
    <w:p w:rsidR="006E6E07" w:rsidRPr="003D3A59" w:rsidRDefault="006E6E07" w:rsidP="00B647CE">
      <w:pPr>
        <w:ind w:left="709"/>
        <w:jc w:val="both"/>
        <w:rPr>
          <w:rFonts w:asciiTheme="minorHAnsi" w:hAnsiTheme="minorHAnsi" w:cs="Arial"/>
        </w:rPr>
      </w:pPr>
      <w:r w:rsidRPr="003D3A59">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E6E07" w:rsidRPr="003D3A59" w:rsidRDefault="006E6E07" w:rsidP="006E6E07">
      <w:pPr>
        <w:ind w:left="426"/>
        <w:jc w:val="both"/>
        <w:rPr>
          <w:rFonts w:asciiTheme="minorHAnsi" w:hAnsiTheme="minorHAnsi" w:cs="Arial"/>
        </w:rPr>
      </w:pPr>
    </w:p>
    <w:p w:rsidR="006E6E07" w:rsidRPr="00EC2BB1" w:rsidRDefault="006E6E07" w:rsidP="006E6E07">
      <w:pPr>
        <w:pStyle w:val="PBACHeading1"/>
        <w:spacing w:before="240" w:after="120"/>
        <w:ind w:left="709" w:hanging="709"/>
        <w:rPr>
          <w:rFonts w:asciiTheme="minorHAnsi" w:hAnsiTheme="minorHAnsi"/>
          <w:sz w:val="32"/>
          <w:szCs w:val="32"/>
        </w:rPr>
      </w:pPr>
      <w:r w:rsidRPr="00EC2BB1">
        <w:rPr>
          <w:rFonts w:asciiTheme="minorHAnsi" w:hAnsiTheme="minorHAnsi"/>
          <w:sz w:val="32"/>
          <w:szCs w:val="32"/>
        </w:rPr>
        <w:t>Sponsor’s Comment</w:t>
      </w:r>
    </w:p>
    <w:p w:rsidR="006E6E07" w:rsidRPr="003D3A59" w:rsidRDefault="006E6E07" w:rsidP="00B647CE">
      <w:pPr>
        <w:spacing w:after="120"/>
        <w:ind w:left="709"/>
        <w:jc w:val="both"/>
        <w:rPr>
          <w:rFonts w:asciiTheme="minorHAnsi" w:hAnsiTheme="minorHAnsi" w:cs="Arial"/>
          <w:bCs/>
        </w:rPr>
      </w:pPr>
      <w:r w:rsidRPr="003D3A59">
        <w:rPr>
          <w:rFonts w:asciiTheme="minorHAnsi" w:hAnsiTheme="minorHAnsi" w:cs="Arial"/>
          <w:bCs/>
        </w:rPr>
        <w:t>The sponsor had no comment.</w:t>
      </w:r>
    </w:p>
    <w:p w:rsidR="00C14147" w:rsidRPr="00BC3CE0" w:rsidRDefault="00C14147" w:rsidP="006147E5">
      <w:pPr>
        <w:rPr>
          <w:rFonts w:asciiTheme="minorHAnsi" w:hAnsiTheme="minorHAnsi" w:cs="Arial"/>
          <w:b/>
          <w:snapToGrid w:val="0"/>
          <w:szCs w:val="22"/>
          <w:lang w:eastAsia="en-US"/>
        </w:rPr>
      </w:pPr>
    </w:p>
    <w:sectPr w:rsidR="00C14147" w:rsidRPr="00BC3CE0" w:rsidSect="00F915FD">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FAD" w:rsidRDefault="00081FAD">
      <w:r>
        <w:separator/>
      </w:r>
    </w:p>
    <w:p w:rsidR="00081FAD" w:rsidRDefault="00081FAD"/>
  </w:endnote>
  <w:endnote w:type="continuationSeparator" w:id="0">
    <w:p w:rsidR="00081FAD" w:rsidRDefault="00081FAD">
      <w:r>
        <w:continuationSeparator/>
      </w:r>
    </w:p>
    <w:p w:rsidR="00081FAD" w:rsidRDefault="00081F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E1D08" w:rsidTr="005A3173">
      <w:trPr>
        <w:trHeight w:val="151"/>
      </w:trPr>
      <w:tc>
        <w:tcPr>
          <w:tcW w:w="2250" w:type="pct"/>
          <w:tcBorders>
            <w:top w:val="nil"/>
            <w:left w:val="nil"/>
            <w:bottom w:val="single" w:sz="4" w:space="0" w:color="4F81BD"/>
            <w:right w:val="nil"/>
          </w:tcBorders>
        </w:tcPr>
        <w:p w:rsidR="006E1D08" w:rsidRPr="005A3173" w:rsidRDefault="006E1D0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E1D08" w:rsidRPr="005A3173" w:rsidRDefault="006E1D0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E1D08" w:rsidRPr="005A3173" w:rsidRDefault="006E1D08" w:rsidP="005A3173">
          <w:pPr>
            <w:pStyle w:val="Header"/>
            <w:spacing w:line="276" w:lineRule="auto"/>
            <w:rPr>
              <w:rFonts w:ascii="Calibri" w:eastAsia="MS Gothic" w:hAnsi="Calibri"/>
              <w:b/>
              <w:bCs/>
              <w:color w:val="4F81BD"/>
            </w:rPr>
          </w:pPr>
        </w:p>
      </w:tc>
    </w:tr>
    <w:tr w:rsidR="006E1D08" w:rsidTr="005A3173">
      <w:trPr>
        <w:trHeight w:val="150"/>
      </w:trPr>
      <w:tc>
        <w:tcPr>
          <w:tcW w:w="2250" w:type="pct"/>
          <w:tcBorders>
            <w:top w:val="single" w:sz="4" w:space="0" w:color="4F81BD"/>
            <w:left w:val="nil"/>
            <w:bottom w:val="nil"/>
            <w:right w:val="nil"/>
          </w:tcBorders>
        </w:tcPr>
        <w:p w:rsidR="006E1D08" w:rsidRPr="005A3173" w:rsidRDefault="006E1D08" w:rsidP="005A3173">
          <w:pPr>
            <w:pStyle w:val="Header"/>
            <w:spacing w:line="276" w:lineRule="auto"/>
            <w:rPr>
              <w:rFonts w:ascii="Calibri" w:eastAsia="MS Gothic" w:hAnsi="Calibri"/>
              <w:b/>
              <w:bCs/>
              <w:color w:val="4F81BD"/>
            </w:rPr>
          </w:pPr>
        </w:p>
      </w:tc>
      <w:tc>
        <w:tcPr>
          <w:tcW w:w="0" w:type="auto"/>
          <w:vMerge/>
          <w:vAlign w:val="center"/>
          <w:hideMark/>
        </w:tcPr>
        <w:p w:rsidR="006E1D08" w:rsidRPr="005A3173" w:rsidRDefault="006E1D08" w:rsidP="005A3173">
          <w:pPr>
            <w:rPr>
              <w:rFonts w:ascii="Calibri" w:hAnsi="Calibri"/>
              <w:color w:val="365F91"/>
              <w:sz w:val="22"/>
              <w:szCs w:val="22"/>
            </w:rPr>
          </w:pPr>
        </w:p>
      </w:tc>
      <w:tc>
        <w:tcPr>
          <w:tcW w:w="2250" w:type="pct"/>
          <w:tcBorders>
            <w:top w:val="single" w:sz="4" w:space="0" w:color="4F81BD"/>
            <w:left w:val="nil"/>
            <w:bottom w:val="nil"/>
            <w:right w:val="nil"/>
          </w:tcBorders>
        </w:tcPr>
        <w:p w:rsidR="006E1D08" w:rsidRPr="005A3173" w:rsidRDefault="006E1D08" w:rsidP="005A3173">
          <w:pPr>
            <w:pStyle w:val="Header"/>
            <w:spacing w:line="276" w:lineRule="auto"/>
            <w:rPr>
              <w:rFonts w:ascii="Calibri" w:eastAsia="MS Gothic" w:hAnsi="Calibri"/>
              <w:b/>
              <w:bCs/>
              <w:color w:val="4F81BD"/>
            </w:rPr>
          </w:pPr>
        </w:p>
      </w:tc>
    </w:tr>
  </w:tbl>
  <w:p w:rsidR="006E1D08" w:rsidRDefault="006E1D08"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1D08" w:rsidRDefault="006E1D08">
    <w:pPr>
      <w:pStyle w:val="Footer"/>
    </w:pPr>
  </w:p>
  <w:p w:rsidR="006E1D08" w:rsidRDefault="006E1D0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084339"/>
      <w:docPartObj>
        <w:docPartGallery w:val="Page Numbers (Bottom of Page)"/>
        <w:docPartUnique/>
      </w:docPartObj>
    </w:sdtPr>
    <w:sdtEndPr>
      <w:rPr>
        <w:noProof/>
      </w:rPr>
    </w:sdtEndPr>
    <w:sdtContent>
      <w:p w:rsidR="006E1D08" w:rsidRPr="00F84F9A" w:rsidRDefault="00572658" w:rsidP="00F84F9A">
        <w:pPr>
          <w:pStyle w:val="Footer"/>
          <w:jc w:val="center"/>
        </w:pPr>
        <w:r w:rsidRPr="00572658">
          <w:rPr>
            <w:rFonts w:asciiTheme="minorHAnsi" w:hAnsiTheme="minorHAnsi"/>
            <w:b/>
          </w:rPr>
          <w:fldChar w:fldCharType="begin"/>
        </w:r>
        <w:r w:rsidRPr="00572658">
          <w:rPr>
            <w:rFonts w:asciiTheme="minorHAnsi" w:hAnsiTheme="minorHAnsi"/>
            <w:b/>
          </w:rPr>
          <w:instrText xml:space="preserve"> PAGE   \* MERGEFORMAT </w:instrText>
        </w:r>
        <w:r w:rsidRPr="00572658">
          <w:rPr>
            <w:rFonts w:asciiTheme="minorHAnsi" w:hAnsiTheme="minorHAnsi"/>
            <w:b/>
          </w:rPr>
          <w:fldChar w:fldCharType="separate"/>
        </w:r>
        <w:r w:rsidR="00081FAD">
          <w:rPr>
            <w:rFonts w:asciiTheme="minorHAnsi" w:hAnsiTheme="minorHAnsi"/>
            <w:b/>
            <w:noProof/>
          </w:rPr>
          <w:t>1</w:t>
        </w:r>
        <w:r w:rsidRPr="00572658">
          <w:rPr>
            <w:rFonts w:asciiTheme="minorHAnsi" w:hAnsiTheme="minorHAnsi"/>
            <w:b/>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6E1D08" w:rsidTr="005A3173">
      <w:trPr>
        <w:trHeight w:val="151"/>
      </w:trPr>
      <w:tc>
        <w:tcPr>
          <w:tcW w:w="2250" w:type="pct"/>
          <w:tcBorders>
            <w:top w:val="nil"/>
            <w:left w:val="nil"/>
            <w:bottom w:val="single" w:sz="4" w:space="0" w:color="4F81BD"/>
            <w:right w:val="nil"/>
          </w:tcBorders>
        </w:tcPr>
        <w:p w:rsidR="006E1D08" w:rsidRPr="005A3173" w:rsidRDefault="006E1D0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E1D08" w:rsidRPr="005A3173" w:rsidRDefault="006E1D0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E1D08" w:rsidRPr="005A3173" w:rsidRDefault="006E1D08" w:rsidP="005A3173">
          <w:pPr>
            <w:pStyle w:val="Header"/>
            <w:spacing w:line="276" w:lineRule="auto"/>
            <w:rPr>
              <w:rFonts w:ascii="Calibri" w:eastAsia="MS Gothic" w:hAnsi="Calibri"/>
              <w:b/>
              <w:bCs/>
              <w:color w:val="4F81BD"/>
            </w:rPr>
          </w:pPr>
        </w:p>
      </w:tc>
    </w:tr>
    <w:tr w:rsidR="006E1D08" w:rsidTr="005A3173">
      <w:trPr>
        <w:trHeight w:val="150"/>
      </w:trPr>
      <w:tc>
        <w:tcPr>
          <w:tcW w:w="2250" w:type="pct"/>
          <w:tcBorders>
            <w:top w:val="single" w:sz="4" w:space="0" w:color="4F81BD"/>
            <w:left w:val="nil"/>
            <w:bottom w:val="nil"/>
            <w:right w:val="nil"/>
          </w:tcBorders>
        </w:tcPr>
        <w:p w:rsidR="006E1D08" w:rsidRPr="005A3173" w:rsidRDefault="006E1D08" w:rsidP="005A3173">
          <w:pPr>
            <w:pStyle w:val="Header"/>
            <w:spacing w:line="276" w:lineRule="auto"/>
            <w:rPr>
              <w:rFonts w:ascii="Calibri" w:eastAsia="MS Gothic" w:hAnsi="Calibri"/>
              <w:b/>
              <w:bCs/>
              <w:color w:val="4F81BD"/>
            </w:rPr>
          </w:pPr>
        </w:p>
      </w:tc>
      <w:tc>
        <w:tcPr>
          <w:tcW w:w="0" w:type="auto"/>
          <w:vMerge/>
          <w:vAlign w:val="center"/>
          <w:hideMark/>
        </w:tcPr>
        <w:p w:rsidR="006E1D08" w:rsidRPr="005A3173" w:rsidRDefault="006E1D08" w:rsidP="005A3173">
          <w:pPr>
            <w:rPr>
              <w:rFonts w:ascii="Calibri" w:hAnsi="Calibri"/>
              <w:color w:val="365F91"/>
              <w:sz w:val="22"/>
              <w:szCs w:val="22"/>
            </w:rPr>
          </w:pPr>
        </w:p>
      </w:tc>
      <w:tc>
        <w:tcPr>
          <w:tcW w:w="2250" w:type="pct"/>
          <w:tcBorders>
            <w:top w:val="single" w:sz="4" w:space="0" w:color="4F81BD"/>
            <w:left w:val="nil"/>
            <w:bottom w:val="nil"/>
            <w:right w:val="nil"/>
          </w:tcBorders>
        </w:tcPr>
        <w:p w:rsidR="006E1D08" w:rsidRPr="005A3173" w:rsidRDefault="006E1D08"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E1D08" w:rsidTr="005A3173">
      <w:trPr>
        <w:trHeight w:val="151"/>
      </w:trPr>
      <w:tc>
        <w:tcPr>
          <w:tcW w:w="2250" w:type="pct"/>
          <w:tcBorders>
            <w:top w:val="nil"/>
            <w:left w:val="nil"/>
            <w:bottom w:val="single" w:sz="4" w:space="0" w:color="4F81BD"/>
            <w:right w:val="nil"/>
          </w:tcBorders>
        </w:tcPr>
        <w:p w:rsidR="006E1D08" w:rsidRPr="005A3173" w:rsidRDefault="006E1D0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E1D08" w:rsidRPr="005A3173" w:rsidRDefault="006E1D0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E1D08" w:rsidRPr="005A3173" w:rsidRDefault="006E1D08" w:rsidP="005A3173">
          <w:pPr>
            <w:pStyle w:val="Header"/>
            <w:spacing w:line="276" w:lineRule="auto"/>
            <w:rPr>
              <w:rFonts w:ascii="Calibri" w:eastAsia="MS Gothic" w:hAnsi="Calibri"/>
              <w:b/>
              <w:bCs/>
              <w:color w:val="4F81BD"/>
            </w:rPr>
          </w:pPr>
        </w:p>
      </w:tc>
    </w:tr>
    <w:tr w:rsidR="006E1D08" w:rsidTr="005A3173">
      <w:trPr>
        <w:trHeight w:val="150"/>
      </w:trPr>
      <w:tc>
        <w:tcPr>
          <w:tcW w:w="2250" w:type="pct"/>
          <w:tcBorders>
            <w:top w:val="single" w:sz="4" w:space="0" w:color="4F81BD"/>
            <w:left w:val="nil"/>
            <w:bottom w:val="nil"/>
            <w:right w:val="nil"/>
          </w:tcBorders>
        </w:tcPr>
        <w:p w:rsidR="006E1D08" w:rsidRPr="005A3173" w:rsidRDefault="006E1D08" w:rsidP="005A3173">
          <w:pPr>
            <w:pStyle w:val="Header"/>
            <w:spacing w:line="276" w:lineRule="auto"/>
            <w:rPr>
              <w:rFonts w:ascii="Calibri" w:eastAsia="MS Gothic" w:hAnsi="Calibri"/>
              <w:b/>
              <w:bCs/>
              <w:color w:val="4F81BD"/>
            </w:rPr>
          </w:pPr>
        </w:p>
      </w:tc>
      <w:tc>
        <w:tcPr>
          <w:tcW w:w="0" w:type="auto"/>
          <w:vMerge/>
          <w:vAlign w:val="center"/>
          <w:hideMark/>
        </w:tcPr>
        <w:p w:rsidR="006E1D08" w:rsidRPr="005A3173" w:rsidRDefault="006E1D08" w:rsidP="005A3173">
          <w:pPr>
            <w:rPr>
              <w:rFonts w:ascii="Calibri" w:hAnsi="Calibri"/>
              <w:color w:val="365F91"/>
              <w:sz w:val="22"/>
              <w:szCs w:val="22"/>
            </w:rPr>
          </w:pPr>
        </w:p>
      </w:tc>
      <w:tc>
        <w:tcPr>
          <w:tcW w:w="2250" w:type="pct"/>
          <w:tcBorders>
            <w:top w:val="single" w:sz="4" w:space="0" w:color="4F81BD"/>
            <w:left w:val="nil"/>
            <w:bottom w:val="nil"/>
            <w:right w:val="nil"/>
          </w:tcBorders>
        </w:tcPr>
        <w:p w:rsidR="006E1D08" w:rsidRPr="005A3173" w:rsidRDefault="006E1D08" w:rsidP="005A3173">
          <w:pPr>
            <w:pStyle w:val="Header"/>
            <w:spacing w:line="276" w:lineRule="auto"/>
            <w:rPr>
              <w:rFonts w:ascii="Calibri" w:eastAsia="MS Gothic" w:hAnsi="Calibri"/>
              <w:b/>
              <w:bCs/>
              <w:color w:val="4F81BD"/>
            </w:rPr>
          </w:pPr>
        </w:p>
      </w:tc>
    </w:tr>
  </w:tbl>
  <w:p w:rsidR="006E1D08" w:rsidRPr="007C0F57" w:rsidRDefault="006E1D08"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6E1D08" w:rsidRPr="007C0F57" w:rsidRDefault="006E1D08" w:rsidP="007C0F57">
    <w:pPr>
      <w:pStyle w:val="Footer"/>
      <w:jc w:val="center"/>
      <w:rPr>
        <w:b/>
        <w:i/>
        <w:sz w:val="20"/>
        <w:szCs w:val="20"/>
      </w:rPr>
    </w:pPr>
    <w:r w:rsidRPr="007C0F57">
      <w:rPr>
        <w:b/>
        <w:i/>
        <w:sz w:val="20"/>
        <w:szCs w:val="20"/>
      </w:rPr>
      <w:t>Commercial-in-Confidence</w:t>
    </w:r>
  </w:p>
  <w:p w:rsidR="006E1D08" w:rsidRDefault="006E1D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FAD" w:rsidRDefault="00081FAD">
      <w:r>
        <w:separator/>
      </w:r>
    </w:p>
    <w:p w:rsidR="00081FAD" w:rsidRDefault="00081FAD"/>
  </w:footnote>
  <w:footnote w:type="continuationSeparator" w:id="0">
    <w:p w:rsidR="00081FAD" w:rsidRDefault="00081FAD">
      <w:r>
        <w:continuationSeparator/>
      </w:r>
    </w:p>
    <w:p w:rsidR="00081FAD" w:rsidRDefault="00081F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6E1D08" w:rsidRPr="008E0D90" w:rsidTr="00A06225">
      <w:trPr>
        <w:trHeight w:val="151"/>
      </w:trPr>
      <w:tc>
        <w:tcPr>
          <w:tcW w:w="2389" w:type="pct"/>
          <w:tcBorders>
            <w:top w:val="nil"/>
            <w:left w:val="nil"/>
            <w:bottom w:val="single" w:sz="4" w:space="0" w:color="4F81BD"/>
            <w:right w:val="nil"/>
          </w:tcBorders>
        </w:tcPr>
        <w:p w:rsidR="006E1D08" w:rsidRPr="00A06225" w:rsidRDefault="006E1D08">
          <w:pPr>
            <w:pStyle w:val="Header"/>
            <w:spacing w:line="276" w:lineRule="auto"/>
            <w:rPr>
              <w:rFonts w:ascii="Cambria" w:eastAsia="MS Gothic" w:hAnsi="Cambria"/>
              <w:b/>
              <w:bCs/>
              <w:color w:val="4F81BD"/>
            </w:rPr>
          </w:pPr>
        </w:p>
      </w:tc>
      <w:tc>
        <w:tcPr>
          <w:tcW w:w="333" w:type="pct"/>
          <w:vMerge w:val="restart"/>
          <w:noWrap/>
          <w:vAlign w:val="center"/>
          <w:hideMark/>
        </w:tcPr>
        <w:p w:rsidR="006E1D08" w:rsidRPr="00A06225" w:rsidRDefault="006E1D08"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6E1D08" w:rsidRPr="00A06225" w:rsidRDefault="006E1D08">
          <w:pPr>
            <w:pStyle w:val="Header"/>
            <w:spacing w:line="276" w:lineRule="auto"/>
            <w:rPr>
              <w:rFonts w:ascii="Cambria" w:eastAsia="MS Gothic" w:hAnsi="Cambria"/>
              <w:b/>
              <w:bCs/>
              <w:color w:val="4F81BD"/>
            </w:rPr>
          </w:pPr>
        </w:p>
      </w:tc>
    </w:tr>
    <w:tr w:rsidR="006E1D08" w:rsidRPr="008E0D90" w:rsidTr="00A06225">
      <w:trPr>
        <w:trHeight w:val="150"/>
      </w:trPr>
      <w:tc>
        <w:tcPr>
          <w:tcW w:w="2389" w:type="pct"/>
          <w:tcBorders>
            <w:top w:val="single" w:sz="4" w:space="0" w:color="4F81BD"/>
            <w:left w:val="nil"/>
            <w:bottom w:val="nil"/>
            <w:right w:val="nil"/>
          </w:tcBorders>
        </w:tcPr>
        <w:p w:rsidR="006E1D08" w:rsidRPr="00A06225" w:rsidRDefault="006E1D08">
          <w:pPr>
            <w:pStyle w:val="Header"/>
            <w:spacing w:line="276" w:lineRule="auto"/>
            <w:rPr>
              <w:rFonts w:ascii="Cambria" w:eastAsia="MS Gothic" w:hAnsi="Cambria"/>
              <w:b/>
              <w:bCs/>
              <w:color w:val="4F81BD"/>
            </w:rPr>
          </w:pPr>
        </w:p>
      </w:tc>
      <w:tc>
        <w:tcPr>
          <w:tcW w:w="0" w:type="auto"/>
          <w:vMerge/>
          <w:vAlign w:val="center"/>
          <w:hideMark/>
        </w:tcPr>
        <w:p w:rsidR="006E1D08" w:rsidRPr="00A06225" w:rsidRDefault="006E1D08">
          <w:pPr>
            <w:rPr>
              <w:rFonts w:ascii="Cambria" w:hAnsi="Cambria"/>
              <w:color w:val="4F81BD"/>
              <w:sz w:val="22"/>
              <w:szCs w:val="22"/>
            </w:rPr>
          </w:pPr>
        </w:p>
      </w:tc>
      <w:tc>
        <w:tcPr>
          <w:tcW w:w="2278" w:type="pct"/>
          <w:tcBorders>
            <w:top w:val="single" w:sz="4" w:space="0" w:color="4F81BD"/>
            <w:left w:val="nil"/>
            <w:bottom w:val="nil"/>
            <w:right w:val="nil"/>
          </w:tcBorders>
        </w:tcPr>
        <w:p w:rsidR="006E1D08" w:rsidRPr="00A06225" w:rsidRDefault="006E1D08">
          <w:pPr>
            <w:pStyle w:val="Header"/>
            <w:spacing w:line="276" w:lineRule="auto"/>
            <w:rPr>
              <w:rFonts w:ascii="Cambria" w:eastAsia="MS Gothic" w:hAnsi="Cambria"/>
              <w:b/>
              <w:bCs/>
              <w:color w:val="4F81BD"/>
            </w:rPr>
          </w:pPr>
        </w:p>
      </w:tc>
    </w:tr>
  </w:tbl>
  <w:p w:rsidR="006E1D08" w:rsidRDefault="006E1D08">
    <w:pPr>
      <w:pStyle w:val="Header"/>
    </w:pPr>
  </w:p>
  <w:p w:rsidR="006E1D08" w:rsidRDefault="006E1D0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658" w:rsidRDefault="00142DBD" w:rsidP="00572658">
    <w:pPr>
      <w:pStyle w:val="Header"/>
      <w:jc w:val="center"/>
      <w:rPr>
        <w:rFonts w:asciiTheme="minorHAnsi" w:hAnsiTheme="minorHAnsi" w:cs="Arial"/>
        <w:i/>
      </w:rPr>
    </w:pPr>
    <w:r>
      <w:rPr>
        <w:rFonts w:asciiTheme="minorHAnsi" w:hAnsiTheme="minorHAnsi" w:cs="Arial"/>
        <w:i/>
      </w:rPr>
      <w:t>Public Summary Document</w:t>
    </w:r>
    <w:r w:rsidR="00572658">
      <w:rPr>
        <w:rFonts w:asciiTheme="minorHAnsi" w:hAnsiTheme="minorHAnsi" w:cs="Arial"/>
        <w:i/>
      </w:rPr>
      <w:t xml:space="preserve"> – November 2017 PBAC Meeting</w:t>
    </w:r>
  </w:p>
  <w:p w:rsidR="00142DBD" w:rsidRDefault="00142DBD" w:rsidP="00572658">
    <w:pPr>
      <w:pStyle w:val="Header"/>
      <w:jc w:val="center"/>
      <w:rPr>
        <w:rFonts w:asciiTheme="minorHAnsi" w:hAnsiTheme="minorHAnsi" w:cs="Arial"/>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8E0" w:rsidRDefault="005448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EB72FE5"/>
    <w:multiLevelType w:val="hybridMultilevel"/>
    <w:tmpl w:val="590EF4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8">
    <w:nsid w:val="22764AC3"/>
    <w:multiLevelType w:val="hybridMultilevel"/>
    <w:tmpl w:val="B5A070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2FF5083D"/>
    <w:multiLevelType w:val="hybridMultilevel"/>
    <w:tmpl w:val="89367C3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24D6E41"/>
    <w:multiLevelType w:val="multilevel"/>
    <w:tmpl w:val="1896A2B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B4C01C9"/>
    <w:multiLevelType w:val="hybridMultilevel"/>
    <w:tmpl w:val="60FC3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D70142D"/>
    <w:multiLevelType w:val="multilevel"/>
    <w:tmpl w:val="7B8C161A"/>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sz w:val="24"/>
        <w:szCs w:val="24"/>
      </w:rPr>
    </w:lvl>
    <w:lvl w:ilvl="2">
      <w:start w:val="1"/>
      <w:numFmt w:val="bullet"/>
      <w:lvlText w:val="o"/>
      <w:lvlJc w:val="left"/>
      <w:pPr>
        <w:ind w:left="720" w:hanging="720"/>
      </w:pPr>
      <w:rPr>
        <w:rFonts w:ascii="Courier New" w:hAnsi="Courier New" w:cs="Courier New"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58054E2"/>
    <w:multiLevelType w:val="hybridMultilevel"/>
    <w:tmpl w:val="2F72AF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5A390AA0"/>
    <w:multiLevelType w:val="multilevel"/>
    <w:tmpl w:val="8F8ED25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imes New Roman" w:hAnsi="Times New Roman" w:cs="Times New Roman"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84D033C"/>
    <w:multiLevelType w:val="multilevel"/>
    <w:tmpl w:val="B9462E3C"/>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
  </w:num>
  <w:num w:numId="3">
    <w:abstractNumId w:val="5"/>
  </w:num>
  <w:num w:numId="4">
    <w:abstractNumId w:val="16"/>
  </w:num>
  <w:num w:numId="5">
    <w:abstractNumId w:val="20"/>
  </w:num>
  <w:num w:numId="6">
    <w:abstractNumId w:val="6"/>
  </w:num>
  <w:num w:numId="7">
    <w:abstractNumId w:val="14"/>
  </w:num>
  <w:num w:numId="8">
    <w:abstractNumId w:val="3"/>
  </w:num>
  <w:num w:numId="9">
    <w:abstractNumId w:val="13"/>
  </w:num>
  <w:num w:numId="10">
    <w:abstractNumId w:val="11"/>
  </w:num>
  <w:num w:numId="11">
    <w:abstractNumId w:val="9"/>
  </w:num>
  <w:num w:numId="12">
    <w:abstractNumId w:val="1"/>
  </w:num>
  <w:num w:numId="13">
    <w:abstractNumId w:val="0"/>
  </w:num>
  <w:num w:numId="14">
    <w:abstractNumId w:val="20"/>
  </w:num>
  <w:num w:numId="15">
    <w:abstractNumId w:val="4"/>
  </w:num>
  <w:num w:numId="16">
    <w:abstractNumId w:val="20"/>
  </w:num>
  <w:num w:numId="17">
    <w:abstractNumId w:val="8"/>
  </w:num>
  <w:num w:numId="18">
    <w:abstractNumId w:val="20"/>
  </w:num>
  <w:num w:numId="19">
    <w:abstractNumId w:val="15"/>
  </w:num>
  <w:num w:numId="20">
    <w:abstractNumId w:val="18"/>
  </w:num>
  <w:num w:numId="21">
    <w:abstractNumId w:val="10"/>
  </w:num>
  <w:num w:numId="22">
    <w:abstractNumId w:val="20"/>
    <w:lvlOverride w:ilvl="0">
      <w:startOverride w:val="3"/>
    </w:lvlOverride>
    <w:lvlOverride w:ilvl="1">
      <w:startOverride w:val="5"/>
    </w:lvlOverride>
  </w:num>
  <w:num w:numId="23">
    <w:abstractNumId w:val="12"/>
  </w:num>
  <w:num w:numId="24">
    <w:abstractNumId w:val="19"/>
  </w:num>
  <w:num w:numId="25">
    <w:abstractNumId w:val="17"/>
  </w:num>
  <w:numIdMacAtCleanup w:val="14"/>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w Wilson">
    <w15:presenceInfo w15:providerId="Windows Live" w15:userId="240b7366bdefdb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14ACA"/>
    <w:rsid w:val="0002464A"/>
    <w:rsid w:val="0003106B"/>
    <w:rsid w:val="000420BF"/>
    <w:rsid w:val="000421A1"/>
    <w:rsid w:val="0004240E"/>
    <w:rsid w:val="00045E26"/>
    <w:rsid w:val="000514B5"/>
    <w:rsid w:val="00060E64"/>
    <w:rsid w:val="00066755"/>
    <w:rsid w:val="00077143"/>
    <w:rsid w:val="0007769C"/>
    <w:rsid w:val="00081FAD"/>
    <w:rsid w:val="00082169"/>
    <w:rsid w:val="00083CD8"/>
    <w:rsid w:val="000969AD"/>
    <w:rsid w:val="000B558D"/>
    <w:rsid w:val="000C4741"/>
    <w:rsid w:val="000C6996"/>
    <w:rsid w:val="000D23BA"/>
    <w:rsid w:val="000E5D74"/>
    <w:rsid w:val="000E681E"/>
    <w:rsid w:val="000F0003"/>
    <w:rsid w:val="000F4E6A"/>
    <w:rsid w:val="00104227"/>
    <w:rsid w:val="001107BF"/>
    <w:rsid w:val="0012417C"/>
    <w:rsid w:val="00137BD6"/>
    <w:rsid w:val="00141720"/>
    <w:rsid w:val="00142395"/>
    <w:rsid w:val="00142714"/>
    <w:rsid w:val="00142D91"/>
    <w:rsid w:val="00142DBD"/>
    <w:rsid w:val="001452ED"/>
    <w:rsid w:val="00152F6D"/>
    <w:rsid w:val="00163329"/>
    <w:rsid w:val="00164623"/>
    <w:rsid w:val="00165B64"/>
    <w:rsid w:val="00174812"/>
    <w:rsid w:val="001830CE"/>
    <w:rsid w:val="0018643B"/>
    <w:rsid w:val="00196307"/>
    <w:rsid w:val="001A33EA"/>
    <w:rsid w:val="001A5FCC"/>
    <w:rsid w:val="001B017F"/>
    <w:rsid w:val="001B2BBC"/>
    <w:rsid w:val="001B5129"/>
    <w:rsid w:val="001B5603"/>
    <w:rsid w:val="001C1195"/>
    <w:rsid w:val="001C6A42"/>
    <w:rsid w:val="001C6B0C"/>
    <w:rsid w:val="001E62E9"/>
    <w:rsid w:val="001F1850"/>
    <w:rsid w:val="00203FAC"/>
    <w:rsid w:val="00213CFB"/>
    <w:rsid w:val="00217BE1"/>
    <w:rsid w:val="00226359"/>
    <w:rsid w:val="00271BA1"/>
    <w:rsid w:val="002762FA"/>
    <w:rsid w:val="00277505"/>
    <w:rsid w:val="0029458F"/>
    <w:rsid w:val="002A104C"/>
    <w:rsid w:val="002A4960"/>
    <w:rsid w:val="002B1AE6"/>
    <w:rsid w:val="002B2DE8"/>
    <w:rsid w:val="002B30F8"/>
    <w:rsid w:val="002B5596"/>
    <w:rsid w:val="002C212F"/>
    <w:rsid w:val="002D4543"/>
    <w:rsid w:val="002E3153"/>
    <w:rsid w:val="002E5A37"/>
    <w:rsid w:val="002E72CA"/>
    <w:rsid w:val="002F4301"/>
    <w:rsid w:val="00300AD6"/>
    <w:rsid w:val="003033A2"/>
    <w:rsid w:val="00304DA1"/>
    <w:rsid w:val="00317C6C"/>
    <w:rsid w:val="00326E79"/>
    <w:rsid w:val="0033518A"/>
    <w:rsid w:val="003367EF"/>
    <w:rsid w:val="00341AE4"/>
    <w:rsid w:val="003872CF"/>
    <w:rsid w:val="003939D5"/>
    <w:rsid w:val="0039782C"/>
    <w:rsid w:val="003A5B4A"/>
    <w:rsid w:val="003B23C5"/>
    <w:rsid w:val="003B2A75"/>
    <w:rsid w:val="003B6124"/>
    <w:rsid w:val="003C0EEA"/>
    <w:rsid w:val="003C2FB5"/>
    <w:rsid w:val="003C5EC5"/>
    <w:rsid w:val="003D4AC4"/>
    <w:rsid w:val="003D63B7"/>
    <w:rsid w:val="003E1E96"/>
    <w:rsid w:val="003E468B"/>
    <w:rsid w:val="003F3228"/>
    <w:rsid w:val="003F5C8C"/>
    <w:rsid w:val="004252EC"/>
    <w:rsid w:val="00433F16"/>
    <w:rsid w:val="004445D2"/>
    <w:rsid w:val="004465BD"/>
    <w:rsid w:val="00466ADA"/>
    <w:rsid w:val="00476245"/>
    <w:rsid w:val="00482D00"/>
    <w:rsid w:val="00483035"/>
    <w:rsid w:val="00485940"/>
    <w:rsid w:val="00490020"/>
    <w:rsid w:val="004928E5"/>
    <w:rsid w:val="004A2484"/>
    <w:rsid w:val="004A5A85"/>
    <w:rsid w:val="004A71D1"/>
    <w:rsid w:val="004B35DF"/>
    <w:rsid w:val="004B5640"/>
    <w:rsid w:val="004C1BD7"/>
    <w:rsid w:val="004C31FE"/>
    <w:rsid w:val="004C691D"/>
    <w:rsid w:val="004C6C07"/>
    <w:rsid w:val="004D38D5"/>
    <w:rsid w:val="004E692D"/>
    <w:rsid w:val="00501554"/>
    <w:rsid w:val="00514CD7"/>
    <w:rsid w:val="00524350"/>
    <w:rsid w:val="005319B2"/>
    <w:rsid w:val="00532402"/>
    <w:rsid w:val="00532C74"/>
    <w:rsid w:val="00534E2E"/>
    <w:rsid w:val="005359DF"/>
    <w:rsid w:val="00544552"/>
    <w:rsid w:val="005448E0"/>
    <w:rsid w:val="00561C66"/>
    <w:rsid w:val="0056763B"/>
    <w:rsid w:val="00572658"/>
    <w:rsid w:val="00577C4D"/>
    <w:rsid w:val="00581932"/>
    <w:rsid w:val="005963BB"/>
    <w:rsid w:val="005A3173"/>
    <w:rsid w:val="005A3223"/>
    <w:rsid w:val="005A3DA3"/>
    <w:rsid w:val="005A52C4"/>
    <w:rsid w:val="005B7008"/>
    <w:rsid w:val="005C1CDC"/>
    <w:rsid w:val="005C7534"/>
    <w:rsid w:val="005D03AB"/>
    <w:rsid w:val="005D32E0"/>
    <w:rsid w:val="005D5017"/>
    <w:rsid w:val="005E1333"/>
    <w:rsid w:val="00601A91"/>
    <w:rsid w:val="00602BA3"/>
    <w:rsid w:val="00612E34"/>
    <w:rsid w:val="00614159"/>
    <w:rsid w:val="006147E5"/>
    <w:rsid w:val="00617C00"/>
    <w:rsid w:val="006263BF"/>
    <w:rsid w:val="0062748A"/>
    <w:rsid w:val="00630A2C"/>
    <w:rsid w:val="0063682E"/>
    <w:rsid w:val="006436CD"/>
    <w:rsid w:val="00651169"/>
    <w:rsid w:val="00653D69"/>
    <w:rsid w:val="006670BE"/>
    <w:rsid w:val="00670A76"/>
    <w:rsid w:val="006711AA"/>
    <w:rsid w:val="00672B57"/>
    <w:rsid w:val="00675622"/>
    <w:rsid w:val="006906DB"/>
    <w:rsid w:val="00691E6C"/>
    <w:rsid w:val="006942F5"/>
    <w:rsid w:val="00696129"/>
    <w:rsid w:val="00697CF2"/>
    <w:rsid w:val="006A12A5"/>
    <w:rsid w:val="006B0D94"/>
    <w:rsid w:val="006B485D"/>
    <w:rsid w:val="006B7D38"/>
    <w:rsid w:val="006C708E"/>
    <w:rsid w:val="006D3DED"/>
    <w:rsid w:val="006D6EC7"/>
    <w:rsid w:val="006E1D08"/>
    <w:rsid w:val="006E6E07"/>
    <w:rsid w:val="006F5125"/>
    <w:rsid w:val="00702B6F"/>
    <w:rsid w:val="0071340B"/>
    <w:rsid w:val="0071368C"/>
    <w:rsid w:val="00714BCE"/>
    <w:rsid w:val="007174BB"/>
    <w:rsid w:val="0072025D"/>
    <w:rsid w:val="007353D3"/>
    <w:rsid w:val="0076420C"/>
    <w:rsid w:val="00770E6F"/>
    <w:rsid w:val="007753C2"/>
    <w:rsid w:val="007838B8"/>
    <w:rsid w:val="007A3964"/>
    <w:rsid w:val="007A6583"/>
    <w:rsid w:val="007C04AD"/>
    <w:rsid w:val="007C0F57"/>
    <w:rsid w:val="007C40B6"/>
    <w:rsid w:val="007C729F"/>
    <w:rsid w:val="007E1D28"/>
    <w:rsid w:val="007F2641"/>
    <w:rsid w:val="007F7C36"/>
    <w:rsid w:val="00806796"/>
    <w:rsid w:val="0081473B"/>
    <w:rsid w:val="008151D6"/>
    <w:rsid w:val="00816848"/>
    <w:rsid w:val="00826F6D"/>
    <w:rsid w:val="008306F3"/>
    <w:rsid w:val="00856DDD"/>
    <w:rsid w:val="00857967"/>
    <w:rsid w:val="00863E68"/>
    <w:rsid w:val="00867DD6"/>
    <w:rsid w:val="00880B34"/>
    <w:rsid w:val="00882085"/>
    <w:rsid w:val="00883024"/>
    <w:rsid w:val="00883188"/>
    <w:rsid w:val="00892464"/>
    <w:rsid w:val="00897D58"/>
    <w:rsid w:val="00897F22"/>
    <w:rsid w:val="008A1956"/>
    <w:rsid w:val="008A4937"/>
    <w:rsid w:val="008A50F1"/>
    <w:rsid w:val="008C5309"/>
    <w:rsid w:val="008D1B5C"/>
    <w:rsid w:val="008D3C82"/>
    <w:rsid w:val="008D447E"/>
    <w:rsid w:val="008D7A41"/>
    <w:rsid w:val="008E3680"/>
    <w:rsid w:val="008E5870"/>
    <w:rsid w:val="008F1434"/>
    <w:rsid w:val="008F7355"/>
    <w:rsid w:val="00905CC0"/>
    <w:rsid w:val="009067B7"/>
    <w:rsid w:val="00910350"/>
    <w:rsid w:val="00930937"/>
    <w:rsid w:val="00933E6C"/>
    <w:rsid w:val="00937958"/>
    <w:rsid w:val="00942160"/>
    <w:rsid w:val="0095146F"/>
    <w:rsid w:val="00951B53"/>
    <w:rsid w:val="009602C5"/>
    <w:rsid w:val="00962223"/>
    <w:rsid w:val="00966D0D"/>
    <w:rsid w:val="00974C21"/>
    <w:rsid w:val="00984BE6"/>
    <w:rsid w:val="009A53D9"/>
    <w:rsid w:val="009B0F67"/>
    <w:rsid w:val="009C14A4"/>
    <w:rsid w:val="009C703C"/>
    <w:rsid w:val="009D3CAA"/>
    <w:rsid w:val="009E7BEE"/>
    <w:rsid w:val="009F4E46"/>
    <w:rsid w:val="009F5B65"/>
    <w:rsid w:val="009F5F2E"/>
    <w:rsid w:val="00A032E5"/>
    <w:rsid w:val="00A06225"/>
    <w:rsid w:val="00A128E6"/>
    <w:rsid w:val="00A2053E"/>
    <w:rsid w:val="00A223C4"/>
    <w:rsid w:val="00A34E6C"/>
    <w:rsid w:val="00A37C8D"/>
    <w:rsid w:val="00A5273B"/>
    <w:rsid w:val="00A53A9D"/>
    <w:rsid w:val="00A55FEE"/>
    <w:rsid w:val="00A62C1A"/>
    <w:rsid w:val="00A6426D"/>
    <w:rsid w:val="00A665C1"/>
    <w:rsid w:val="00A70622"/>
    <w:rsid w:val="00A70977"/>
    <w:rsid w:val="00A75D42"/>
    <w:rsid w:val="00A77613"/>
    <w:rsid w:val="00A8390C"/>
    <w:rsid w:val="00A928BD"/>
    <w:rsid w:val="00AA26B6"/>
    <w:rsid w:val="00AA4D1C"/>
    <w:rsid w:val="00AA798F"/>
    <w:rsid w:val="00AA7A97"/>
    <w:rsid w:val="00AC193C"/>
    <w:rsid w:val="00AC5206"/>
    <w:rsid w:val="00AD39E7"/>
    <w:rsid w:val="00AD512F"/>
    <w:rsid w:val="00AE11A5"/>
    <w:rsid w:val="00AE13E2"/>
    <w:rsid w:val="00AE22D3"/>
    <w:rsid w:val="00AE712C"/>
    <w:rsid w:val="00AF0644"/>
    <w:rsid w:val="00AF5E5C"/>
    <w:rsid w:val="00AF62DF"/>
    <w:rsid w:val="00AF68CC"/>
    <w:rsid w:val="00B1059E"/>
    <w:rsid w:val="00B11BA4"/>
    <w:rsid w:val="00B176C8"/>
    <w:rsid w:val="00B205AA"/>
    <w:rsid w:val="00B22E84"/>
    <w:rsid w:val="00B25F75"/>
    <w:rsid w:val="00B26B3F"/>
    <w:rsid w:val="00B37C92"/>
    <w:rsid w:val="00B43E90"/>
    <w:rsid w:val="00B467DC"/>
    <w:rsid w:val="00B56118"/>
    <w:rsid w:val="00B647CE"/>
    <w:rsid w:val="00B6773F"/>
    <w:rsid w:val="00B801BA"/>
    <w:rsid w:val="00B84458"/>
    <w:rsid w:val="00B84D5C"/>
    <w:rsid w:val="00B8742C"/>
    <w:rsid w:val="00BB69F5"/>
    <w:rsid w:val="00BB7EC3"/>
    <w:rsid w:val="00BC3CE0"/>
    <w:rsid w:val="00BC4B9A"/>
    <w:rsid w:val="00BD2375"/>
    <w:rsid w:val="00BD784C"/>
    <w:rsid w:val="00BF4CB6"/>
    <w:rsid w:val="00C00DA7"/>
    <w:rsid w:val="00C12768"/>
    <w:rsid w:val="00C14147"/>
    <w:rsid w:val="00C27B58"/>
    <w:rsid w:val="00C35996"/>
    <w:rsid w:val="00C4747E"/>
    <w:rsid w:val="00C5342C"/>
    <w:rsid w:val="00C5674C"/>
    <w:rsid w:val="00C603D4"/>
    <w:rsid w:val="00C6256A"/>
    <w:rsid w:val="00C7040B"/>
    <w:rsid w:val="00C77891"/>
    <w:rsid w:val="00C91449"/>
    <w:rsid w:val="00C92D10"/>
    <w:rsid w:val="00CB6670"/>
    <w:rsid w:val="00CD76ED"/>
    <w:rsid w:val="00CE10C4"/>
    <w:rsid w:val="00CE27B5"/>
    <w:rsid w:val="00CF3631"/>
    <w:rsid w:val="00D0321E"/>
    <w:rsid w:val="00D1455A"/>
    <w:rsid w:val="00D20229"/>
    <w:rsid w:val="00D31150"/>
    <w:rsid w:val="00D3138B"/>
    <w:rsid w:val="00D3280C"/>
    <w:rsid w:val="00D3406A"/>
    <w:rsid w:val="00D37185"/>
    <w:rsid w:val="00D43578"/>
    <w:rsid w:val="00D4572C"/>
    <w:rsid w:val="00D469B2"/>
    <w:rsid w:val="00D51705"/>
    <w:rsid w:val="00D54B31"/>
    <w:rsid w:val="00D618D7"/>
    <w:rsid w:val="00D62223"/>
    <w:rsid w:val="00D741EB"/>
    <w:rsid w:val="00D83605"/>
    <w:rsid w:val="00D84934"/>
    <w:rsid w:val="00D91271"/>
    <w:rsid w:val="00D935DC"/>
    <w:rsid w:val="00D9386A"/>
    <w:rsid w:val="00DA2CB5"/>
    <w:rsid w:val="00DA4BAC"/>
    <w:rsid w:val="00DE6D27"/>
    <w:rsid w:val="00DF08B4"/>
    <w:rsid w:val="00DF1765"/>
    <w:rsid w:val="00DF217D"/>
    <w:rsid w:val="00DF26A7"/>
    <w:rsid w:val="00DF601E"/>
    <w:rsid w:val="00E02656"/>
    <w:rsid w:val="00E15627"/>
    <w:rsid w:val="00E164B3"/>
    <w:rsid w:val="00E16910"/>
    <w:rsid w:val="00E1766D"/>
    <w:rsid w:val="00E42BDB"/>
    <w:rsid w:val="00E441DC"/>
    <w:rsid w:val="00E47995"/>
    <w:rsid w:val="00E47B11"/>
    <w:rsid w:val="00E57EEB"/>
    <w:rsid w:val="00E62D94"/>
    <w:rsid w:val="00E65E54"/>
    <w:rsid w:val="00E80155"/>
    <w:rsid w:val="00E848C0"/>
    <w:rsid w:val="00E87843"/>
    <w:rsid w:val="00E91B96"/>
    <w:rsid w:val="00E941A1"/>
    <w:rsid w:val="00E95CE3"/>
    <w:rsid w:val="00EA2825"/>
    <w:rsid w:val="00EA5189"/>
    <w:rsid w:val="00EB0B63"/>
    <w:rsid w:val="00EB247D"/>
    <w:rsid w:val="00EB3590"/>
    <w:rsid w:val="00EB5088"/>
    <w:rsid w:val="00ED1644"/>
    <w:rsid w:val="00ED2593"/>
    <w:rsid w:val="00ED6070"/>
    <w:rsid w:val="00ED7D9C"/>
    <w:rsid w:val="00EF44A0"/>
    <w:rsid w:val="00EF4FED"/>
    <w:rsid w:val="00F050BD"/>
    <w:rsid w:val="00F05657"/>
    <w:rsid w:val="00F13119"/>
    <w:rsid w:val="00F25578"/>
    <w:rsid w:val="00F258E5"/>
    <w:rsid w:val="00F300BC"/>
    <w:rsid w:val="00F3334E"/>
    <w:rsid w:val="00F35C20"/>
    <w:rsid w:val="00F36CCB"/>
    <w:rsid w:val="00F374E5"/>
    <w:rsid w:val="00F43AF2"/>
    <w:rsid w:val="00F449AF"/>
    <w:rsid w:val="00F50EC4"/>
    <w:rsid w:val="00F550CF"/>
    <w:rsid w:val="00F57A6D"/>
    <w:rsid w:val="00F638CC"/>
    <w:rsid w:val="00F64CC1"/>
    <w:rsid w:val="00F72317"/>
    <w:rsid w:val="00F80475"/>
    <w:rsid w:val="00F8247A"/>
    <w:rsid w:val="00F84F9A"/>
    <w:rsid w:val="00F915FD"/>
    <w:rsid w:val="00F9629A"/>
    <w:rsid w:val="00F97573"/>
    <w:rsid w:val="00F97EFC"/>
    <w:rsid w:val="00FA1D02"/>
    <w:rsid w:val="00FA5883"/>
    <w:rsid w:val="00FA6055"/>
    <w:rsid w:val="00FB322F"/>
    <w:rsid w:val="00FB442F"/>
    <w:rsid w:val="00FC1929"/>
    <w:rsid w:val="00FC5B46"/>
    <w:rsid w:val="00FD6D8E"/>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27C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customStyle="1" w:styleId="PBACheading10">
    <w:name w:val="PBAC heading 1"/>
    <w:qFormat/>
    <w:rsid w:val="00FA1D02"/>
    <w:pPr>
      <w:ind w:left="720" w:hanging="720"/>
      <w:outlineLvl w:val="0"/>
    </w:pPr>
    <w:rPr>
      <w:rFonts w:ascii="Arial" w:hAnsi="Arial" w:cs="Arial"/>
      <w:b/>
      <w:snapToGrid w:val="0"/>
      <w:sz w:val="22"/>
      <w:szCs w:val="22"/>
      <w:lang w:eastAsia="en-US"/>
    </w:rPr>
  </w:style>
  <w:style w:type="paragraph" w:styleId="Revision">
    <w:name w:val="Revision"/>
    <w:hidden/>
    <w:uiPriority w:val="71"/>
    <w:rsid w:val="009A53D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customStyle="1" w:styleId="PBACheading10">
    <w:name w:val="PBAC heading 1"/>
    <w:qFormat/>
    <w:rsid w:val="00FA1D02"/>
    <w:pPr>
      <w:ind w:left="720" w:hanging="720"/>
      <w:outlineLvl w:val="0"/>
    </w:pPr>
    <w:rPr>
      <w:rFonts w:ascii="Arial" w:hAnsi="Arial" w:cs="Arial"/>
      <w:b/>
      <w:snapToGrid w:val="0"/>
      <w:sz w:val="22"/>
      <w:szCs w:val="22"/>
      <w:lang w:eastAsia="en-US"/>
    </w:rPr>
  </w:style>
  <w:style w:type="paragraph" w:styleId="Revision">
    <w:name w:val="Revision"/>
    <w:hidden/>
    <w:uiPriority w:val="71"/>
    <w:rsid w:val="009A53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190C1-B50E-4DC1-A864-B16E6EAB8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1304</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2018-02-14T22:03:00Z</dcterms:created>
  <dcterms:modified xsi:type="dcterms:W3CDTF">2018-02-14T22:04:00Z</dcterms:modified>
</cp:coreProperties>
</file>