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7EA" w:rsidRPr="00992C13" w:rsidRDefault="00AA5F62" w:rsidP="00302730">
      <w:pPr>
        <w:ind w:left="992" w:hanging="993"/>
        <w:outlineLvl w:val="0"/>
        <w:rPr>
          <w:b/>
          <w:sz w:val="36"/>
          <w:szCs w:val="36"/>
          <w:lang w:val="en-AU"/>
        </w:rPr>
      </w:pPr>
      <w:bookmarkStart w:id="0" w:name="_GoBack"/>
      <w:bookmarkEnd w:id="0"/>
      <w:r w:rsidRPr="00C756B5">
        <w:rPr>
          <w:rFonts w:ascii="Calibri" w:eastAsia="Calibri" w:hAnsi="Calibri" w:cs="Arial"/>
          <w:b/>
          <w:sz w:val="36"/>
          <w:szCs w:val="36"/>
        </w:rPr>
        <w:t>5.09</w:t>
      </w:r>
      <w:r w:rsidR="00EC17EA" w:rsidRPr="00C756B5">
        <w:rPr>
          <w:rFonts w:ascii="Calibri" w:eastAsia="Calibri" w:hAnsi="Calibri" w:cs="Arial"/>
          <w:b/>
          <w:sz w:val="36"/>
          <w:szCs w:val="36"/>
        </w:rPr>
        <w:tab/>
      </w:r>
      <w:r w:rsidR="00EC17EA" w:rsidRPr="00992C13">
        <w:rPr>
          <w:b/>
          <w:sz w:val="36"/>
          <w:szCs w:val="36"/>
          <w:lang w:val="en-AU"/>
        </w:rPr>
        <w:t>INSULIN DEGLUDEC</w:t>
      </w:r>
      <w:r w:rsidR="00C10B3C" w:rsidRPr="00992C13">
        <w:rPr>
          <w:b/>
          <w:sz w:val="36"/>
          <w:szCs w:val="36"/>
          <w:lang w:val="en-AU"/>
        </w:rPr>
        <w:t xml:space="preserve"> WITH </w:t>
      </w:r>
      <w:r w:rsidR="00EC17EA" w:rsidRPr="00992C13">
        <w:rPr>
          <w:b/>
          <w:sz w:val="36"/>
          <w:szCs w:val="36"/>
          <w:lang w:val="en-AU"/>
        </w:rPr>
        <w:t>INSULIN ASPART,</w:t>
      </w:r>
      <w:r w:rsidR="00EC17EA" w:rsidRPr="00992C13">
        <w:rPr>
          <w:b/>
          <w:sz w:val="36"/>
          <w:szCs w:val="36"/>
          <w:lang w:val="en-AU"/>
        </w:rPr>
        <w:br/>
      </w:r>
      <w:r w:rsidR="00C10B3C" w:rsidRPr="00992C13">
        <w:rPr>
          <w:b/>
          <w:sz w:val="36"/>
          <w:szCs w:val="36"/>
          <w:lang w:val="en-AU"/>
        </w:rPr>
        <w:t>Injections, cartridges, 70 units-30 units per mL, 3 mL, 5</w:t>
      </w:r>
      <w:r w:rsidR="00302730">
        <w:rPr>
          <w:b/>
          <w:sz w:val="36"/>
          <w:szCs w:val="36"/>
          <w:lang w:val="en-AU"/>
        </w:rPr>
        <w:br/>
      </w:r>
      <w:r w:rsidR="00C10B3C" w:rsidRPr="00992C13">
        <w:rPr>
          <w:b/>
          <w:sz w:val="36"/>
          <w:szCs w:val="36"/>
          <w:lang w:val="en-AU"/>
        </w:rPr>
        <w:t>Injections, pre-filled pen, 70 units-30 units per mL, 3 mL, 5</w:t>
      </w:r>
      <w:r w:rsidR="00EC17EA" w:rsidRPr="00992C13">
        <w:rPr>
          <w:b/>
          <w:sz w:val="36"/>
          <w:szCs w:val="36"/>
          <w:lang w:val="en-AU"/>
        </w:rPr>
        <w:t xml:space="preserve"> </w:t>
      </w:r>
      <w:r w:rsidR="00EC17EA" w:rsidRPr="00992C13">
        <w:rPr>
          <w:b/>
          <w:sz w:val="36"/>
          <w:szCs w:val="36"/>
          <w:lang w:val="en-AU"/>
        </w:rPr>
        <w:br/>
        <w:t>Ryzodeg®, Novo Nordisk Pharmaceuticals Pty Ltd</w:t>
      </w:r>
    </w:p>
    <w:p w:rsidR="00C317F3" w:rsidRPr="00C756B5" w:rsidRDefault="00C317F3" w:rsidP="002001C6">
      <w:pPr>
        <w:pStyle w:val="Heading1"/>
        <w:ind w:left="709" w:hanging="709"/>
      </w:pPr>
      <w:bookmarkStart w:id="1" w:name="_Toc413139271"/>
      <w:bookmarkStart w:id="2" w:name="_Toc493067736"/>
      <w:r w:rsidRPr="00C756B5">
        <w:t xml:space="preserve">Purpose of </w:t>
      </w:r>
      <w:r w:rsidR="00661286" w:rsidRPr="00C756B5">
        <w:t>a</w:t>
      </w:r>
      <w:r w:rsidRPr="00C756B5">
        <w:t>pplication</w:t>
      </w:r>
      <w:bookmarkEnd w:id="1"/>
      <w:bookmarkEnd w:id="2"/>
    </w:p>
    <w:p w:rsidR="00EA2573" w:rsidRDefault="001C69A6" w:rsidP="00EA2573">
      <w:pPr>
        <w:pStyle w:val="ListParagraph"/>
        <w:numPr>
          <w:ilvl w:val="1"/>
          <w:numId w:val="1"/>
        </w:numPr>
        <w:ind w:left="720" w:hanging="720"/>
        <w:jc w:val="both"/>
      </w:pPr>
      <w:r w:rsidRPr="00C756B5">
        <w:rPr>
          <w:lang w:eastAsia="zh-CN"/>
        </w:rPr>
        <w:t xml:space="preserve">The submission requested an unrestricted listing for </w:t>
      </w:r>
      <w:r w:rsidRPr="00C756B5">
        <w:t>insulin degludec</w:t>
      </w:r>
      <w:r w:rsidR="00BC6B26">
        <w:t xml:space="preserve"> with</w:t>
      </w:r>
      <w:r w:rsidR="00C74D90">
        <w:t xml:space="preserve"> </w:t>
      </w:r>
      <w:r w:rsidRPr="00C756B5">
        <w:t>insulin aspart</w:t>
      </w:r>
      <w:r w:rsidRPr="00C756B5">
        <w:rPr>
          <w:lang w:eastAsia="zh-CN"/>
        </w:rPr>
        <w:t xml:space="preserve"> (IDegAsp) </w:t>
      </w:r>
      <w:r w:rsidRPr="00C756B5">
        <w:rPr>
          <w:noProof/>
          <w:lang w:eastAsia="zh-CN"/>
        </w:rPr>
        <w:t>for treatment of</w:t>
      </w:r>
      <w:r w:rsidRPr="00C756B5">
        <w:rPr>
          <w:lang w:eastAsia="zh-CN"/>
        </w:rPr>
        <w:t xml:space="preserve"> adult patients with diabetes mellitus where insulin treatment is necessary.</w:t>
      </w:r>
    </w:p>
    <w:p w:rsidR="00CF3E7D" w:rsidRPr="00EA2573" w:rsidRDefault="001C69A6" w:rsidP="00EA2573">
      <w:pPr>
        <w:pStyle w:val="ListParagraph"/>
        <w:numPr>
          <w:ilvl w:val="1"/>
          <w:numId w:val="1"/>
        </w:numPr>
        <w:ind w:left="720" w:hanging="720"/>
        <w:jc w:val="both"/>
      </w:pPr>
      <w:r w:rsidRPr="00C756B5">
        <w:rPr>
          <w:lang w:eastAsia="zh-CN"/>
        </w:rPr>
        <w:t xml:space="preserve">For the proposed drug a cost-minimisation was made to biphasic insulin aspart 30 (BIAsp 30) as main comparator in </w:t>
      </w:r>
      <w:r w:rsidR="0092550A" w:rsidRPr="00C756B5">
        <w:rPr>
          <w:lang w:eastAsia="zh-CN"/>
        </w:rPr>
        <w:t>type 2 diabetes mellitus (</w:t>
      </w:r>
      <w:r w:rsidRPr="00C756B5">
        <w:rPr>
          <w:lang w:eastAsia="zh-CN"/>
        </w:rPr>
        <w:t>T2DM</w:t>
      </w:r>
      <w:r w:rsidR="0092550A" w:rsidRPr="00C756B5">
        <w:rPr>
          <w:lang w:eastAsia="zh-CN"/>
        </w:rPr>
        <w:t>)</w:t>
      </w:r>
      <w:r w:rsidRPr="00C756B5">
        <w:rPr>
          <w:lang w:eastAsia="zh-CN"/>
        </w:rPr>
        <w:t xml:space="preserve"> patients and insulin detemir </w:t>
      </w:r>
      <w:r w:rsidR="00B375B6" w:rsidRPr="00C756B5">
        <w:rPr>
          <w:lang w:eastAsia="zh-CN"/>
        </w:rPr>
        <w:t xml:space="preserve">(IDet) </w:t>
      </w:r>
      <w:r w:rsidRPr="00C756B5">
        <w:rPr>
          <w:lang w:eastAsia="zh-CN"/>
        </w:rPr>
        <w:t xml:space="preserve">in </w:t>
      </w:r>
      <w:r w:rsidR="0092550A" w:rsidRPr="00C756B5">
        <w:rPr>
          <w:lang w:eastAsia="zh-CN"/>
        </w:rPr>
        <w:t>type 1 diabetes mellitus (</w:t>
      </w:r>
      <w:r w:rsidRPr="00C756B5">
        <w:rPr>
          <w:lang w:eastAsia="zh-CN"/>
        </w:rPr>
        <w:t>T1DM</w:t>
      </w:r>
      <w:r w:rsidR="0092550A" w:rsidRPr="00C756B5">
        <w:rPr>
          <w:lang w:eastAsia="zh-CN"/>
        </w:rPr>
        <w:t>)</w:t>
      </w:r>
      <w:r w:rsidRPr="00C756B5">
        <w:rPr>
          <w:lang w:eastAsia="zh-CN"/>
        </w:rPr>
        <w:t xml:space="preserve"> patients.</w:t>
      </w:r>
    </w:p>
    <w:p w:rsidR="001C69A6" w:rsidRPr="00C756B5" w:rsidRDefault="001C69A6" w:rsidP="001C69A6">
      <w:pPr>
        <w:pStyle w:val="TableHeading0"/>
        <w:rPr>
          <w:color w:val="4472C4" w:themeColor="accent5"/>
        </w:rPr>
      </w:pPr>
      <w:r w:rsidRPr="00C756B5">
        <w:t>Table 1</w:t>
      </w:r>
      <w:r w:rsidRPr="00C756B5">
        <w:rPr>
          <w:noProof/>
        </w:rPr>
        <w:t xml:space="preserve">: </w:t>
      </w:r>
      <w:r w:rsidRPr="00C756B5">
        <w:t>Key components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7978"/>
      </w:tblGrid>
      <w:tr w:rsidR="001C69A6" w:rsidRPr="00C756B5" w:rsidTr="002E1AB3">
        <w:tc>
          <w:tcPr>
            <w:tcW w:w="684" w:type="pct"/>
            <w:shd w:val="clear" w:color="auto" w:fill="auto"/>
            <w:vAlign w:val="center"/>
          </w:tcPr>
          <w:p w:rsidR="001C69A6" w:rsidRPr="00C756B5" w:rsidRDefault="001C69A6" w:rsidP="00F63640">
            <w:pPr>
              <w:pStyle w:val="Tabletext0"/>
              <w:adjustRightInd w:val="0"/>
              <w:snapToGrid w:val="0"/>
              <w:rPr>
                <w:rFonts w:eastAsia="SimSun"/>
                <w:b/>
              </w:rPr>
            </w:pPr>
            <w:r w:rsidRPr="00C756B5">
              <w:rPr>
                <w:rFonts w:eastAsia="SimSun"/>
                <w:b/>
              </w:rPr>
              <w:t>Component</w:t>
            </w:r>
          </w:p>
        </w:tc>
        <w:tc>
          <w:tcPr>
            <w:tcW w:w="4316" w:type="pct"/>
            <w:shd w:val="clear" w:color="auto" w:fill="auto"/>
            <w:vAlign w:val="center"/>
          </w:tcPr>
          <w:p w:rsidR="001C69A6" w:rsidRPr="00C756B5" w:rsidRDefault="001C69A6" w:rsidP="00F63640">
            <w:pPr>
              <w:pStyle w:val="Tabletext0"/>
              <w:rPr>
                <w:rFonts w:eastAsia="SimSun"/>
                <w:b/>
              </w:rPr>
            </w:pPr>
            <w:r w:rsidRPr="00C756B5">
              <w:rPr>
                <w:rFonts w:eastAsia="SimSun"/>
                <w:b/>
              </w:rPr>
              <w:t>Description</w:t>
            </w:r>
          </w:p>
        </w:tc>
      </w:tr>
      <w:tr w:rsidR="001C69A6" w:rsidRPr="00C756B5" w:rsidTr="002E1AB3">
        <w:tc>
          <w:tcPr>
            <w:tcW w:w="684" w:type="pct"/>
            <w:shd w:val="clear" w:color="auto" w:fill="auto"/>
            <w:vAlign w:val="center"/>
          </w:tcPr>
          <w:p w:rsidR="001C69A6" w:rsidRPr="00C756B5" w:rsidRDefault="001C69A6" w:rsidP="00F63640">
            <w:pPr>
              <w:pStyle w:val="Tabletext0"/>
              <w:adjustRightInd w:val="0"/>
              <w:snapToGrid w:val="0"/>
              <w:rPr>
                <w:rFonts w:eastAsia="SimSun"/>
              </w:rPr>
            </w:pPr>
            <w:r w:rsidRPr="00C756B5">
              <w:rPr>
                <w:rFonts w:eastAsia="SimSun"/>
              </w:rPr>
              <w:t>Population</w:t>
            </w:r>
          </w:p>
        </w:tc>
        <w:tc>
          <w:tcPr>
            <w:tcW w:w="4316" w:type="pct"/>
            <w:shd w:val="clear" w:color="auto" w:fill="auto"/>
            <w:vAlign w:val="center"/>
          </w:tcPr>
          <w:p w:rsidR="001C69A6" w:rsidRPr="00C756B5" w:rsidRDefault="001C69A6" w:rsidP="00F63640">
            <w:pPr>
              <w:pStyle w:val="Tabletext0"/>
              <w:adjustRightInd w:val="0"/>
              <w:snapToGrid w:val="0"/>
              <w:rPr>
                <w:rFonts w:eastAsia="SimSun"/>
              </w:rPr>
            </w:pPr>
            <w:r w:rsidRPr="00C756B5">
              <w:rPr>
                <w:rFonts w:eastAsia="SimSun"/>
              </w:rPr>
              <w:t>Diabetes mellitus</w:t>
            </w:r>
          </w:p>
        </w:tc>
      </w:tr>
      <w:tr w:rsidR="001C69A6" w:rsidRPr="00C756B5" w:rsidTr="002E1AB3">
        <w:tc>
          <w:tcPr>
            <w:tcW w:w="684" w:type="pct"/>
            <w:shd w:val="clear" w:color="auto" w:fill="auto"/>
            <w:vAlign w:val="center"/>
          </w:tcPr>
          <w:p w:rsidR="001C69A6" w:rsidRPr="00C756B5" w:rsidRDefault="001C69A6" w:rsidP="00F63640">
            <w:pPr>
              <w:pStyle w:val="Tabletext0"/>
              <w:adjustRightInd w:val="0"/>
              <w:snapToGrid w:val="0"/>
              <w:rPr>
                <w:rFonts w:eastAsia="SimSun"/>
              </w:rPr>
            </w:pPr>
            <w:r w:rsidRPr="00C756B5">
              <w:rPr>
                <w:rFonts w:eastAsia="SimSun"/>
              </w:rPr>
              <w:t>Intervention</w:t>
            </w:r>
          </w:p>
        </w:tc>
        <w:tc>
          <w:tcPr>
            <w:tcW w:w="4316" w:type="pct"/>
            <w:shd w:val="clear" w:color="auto" w:fill="auto"/>
            <w:vAlign w:val="center"/>
          </w:tcPr>
          <w:p w:rsidR="001C69A6" w:rsidRPr="00C756B5" w:rsidRDefault="001C69A6" w:rsidP="00F63640">
            <w:pPr>
              <w:pStyle w:val="Tabletext0"/>
              <w:adjustRightInd w:val="0"/>
              <w:snapToGrid w:val="0"/>
              <w:rPr>
                <w:rFonts w:eastAsia="SimSun"/>
              </w:rPr>
            </w:pPr>
            <w:r w:rsidRPr="00C756B5">
              <w:rPr>
                <w:rFonts w:eastAsia="SimSun"/>
              </w:rPr>
              <w:t xml:space="preserve">Co-formulated </w:t>
            </w:r>
            <w:r w:rsidR="0092550A" w:rsidRPr="00C756B5">
              <w:rPr>
                <w:rFonts w:eastAsia="SimSun"/>
              </w:rPr>
              <w:t xml:space="preserve">70% </w:t>
            </w:r>
            <w:r w:rsidRPr="00C756B5">
              <w:rPr>
                <w:rFonts w:eastAsia="SimSun"/>
              </w:rPr>
              <w:t>IDeg (basal/long-acting) +</w:t>
            </w:r>
            <w:r w:rsidR="0092550A" w:rsidRPr="00C756B5">
              <w:rPr>
                <w:rFonts w:eastAsia="SimSun"/>
              </w:rPr>
              <w:t xml:space="preserve"> 30%</w:t>
            </w:r>
            <w:r w:rsidRPr="00C756B5">
              <w:rPr>
                <w:rFonts w:eastAsia="SimSun"/>
              </w:rPr>
              <w:t xml:space="preserve"> IAsp (bolus/</w:t>
            </w:r>
            <w:r w:rsidR="0011139F" w:rsidRPr="00C756B5">
              <w:rPr>
                <w:rFonts w:eastAsia="SimSun"/>
              </w:rPr>
              <w:t>bolus</w:t>
            </w:r>
            <w:r w:rsidRPr="00C756B5">
              <w:rPr>
                <w:rFonts w:eastAsia="SimSun"/>
              </w:rPr>
              <w:t xml:space="preserve">-acting) </w:t>
            </w:r>
          </w:p>
          <w:p w:rsidR="001C69A6" w:rsidRPr="00C756B5" w:rsidRDefault="001C69A6" w:rsidP="00F63640">
            <w:pPr>
              <w:pStyle w:val="Tabletext0"/>
              <w:adjustRightInd w:val="0"/>
              <w:snapToGrid w:val="0"/>
              <w:rPr>
                <w:rFonts w:eastAsia="SimSun"/>
              </w:rPr>
            </w:pPr>
            <w:r w:rsidRPr="00C756B5">
              <w:rPr>
                <w:rFonts w:eastAsia="SimSun"/>
              </w:rPr>
              <w:t>Dosed once-daily or twice-daily</w:t>
            </w:r>
            <w:r w:rsidRPr="00C756B5">
              <w:rPr>
                <w:lang w:eastAsia="zh-CN"/>
              </w:rPr>
              <w:t xml:space="preserve"> with the main meal(s)</w:t>
            </w:r>
          </w:p>
        </w:tc>
      </w:tr>
      <w:tr w:rsidR="001C69A6" w:rsidRPr="00C756B5" w:rsidTr="002E1AB3">
        <w:tc>
          <w:tcPr>
            <w:tcW w:w="684" w:type="pct"/>
            <w:shd w:val="clear" w:color="auto" w:fill="auto"/>
            <w:vAlign w:val="center"/>
          </w:tcPr>
          <w:p w:rsidR="001C69A6" w:rsidRPr="00C756B5" w:rsidRDefault="001C69A6" w:rsidP="00F63640">
            <w:pPr>
              <w:pStyle w:val="Tabletext0"/>
              <w:adjustRightInd w:val="0"/>
              <w:snapToGrid w:val="0"/>
              <w:rPr>
                <w:rFonts w:eastAsia="SimSun"/>
              </w:rPr>
            </w:pPr>
            <w:r w:rsidRPr="00C756B5">
              <w:rPr>
                <w:rFonts w:eastAsia="SimSun"/>
              </w:rPr>
              <w:t>Comparator</w:t>
            </w:r>
          </w:p>
        </w:tc>
        <w:tc>
          <w:tcPr>
            <w:tcW w:w="4316" w:type="pct"/>
            <w:shd w:val="clear" w:color="auto" w:fill="auto"/>
            <w:vAlign w:val="center"/>
          </w:tcPr>
          <w:p w:rsidR="001C69A6" w:rsidRPr="00C756B5" w:rsidRDefault="001C69A6" w:rsidP="00F63640">
            <w:pPr>
              <w:pStyle w:val="Tabletext0"/>
              <w:adjustRightInd w:val="0"/>
              <w:snapToGrid w:val="0"/>
              <w:rPr>
                <w:rFonts w:eastAsia="SimSun"/>
              </w:rPr>
            </w:pPr>
            <w:r w:rsidRPr="00C756B5">
              <w:rPr>
                <w:rFonts w:eastAsia="SimSun"/>
                <w:u w:val="single"/>
              </w:rPr>
              <w:t>T2DM</w:t>
            </w:r>
            <w:r w:rsidRPr="00C756B5">
              <w:rPr>
                <w:rFonts w:eastAsia="SimSun"/>
              </w:rPr>
              <w:t>: 30% IAsp and 70% protamine-crystallised IAsp (BIAsp 30)</w:t>
            </w:r>
          </w:p>
          <w:p w:rsidR="001C69A6" w:rsidRPr="00C756B5" w:rsidRDefault="001C69A6" w:rsidP="00F63640">
            <w:pPr>
              <w:pStyle w:val="Tabletext0"/>
              <w:adjustRightInd w:val="0"/>
              <w:snapToGrid w:val="0"/>
              <w:rPr>
                <w:rFonts w:eastAsia="SimSun" w:cs="Calibri"/>
              </w:rPr>
            </w:pPr>
            <w:r w:rsidRPr="00C756B5">
              <w:rPr>
                <w:rFonts w:eastAsia="SimSun"/>
                <w:u w:val="single"/>
              </w:rPr>
              <w:t>T1DM</w:t>
            </w:r>
            <w:r w:rsidRPr="00C756B5">
              <w:rPr>
                <w:rFonts w:eastAsia="SimSun"/>
              </w:rPr>
              <w:t xml:space="preserve">: </w:t>
            </w:r>
            <w:r w:rsidR="00B375B6" w:rsidRPr="00C756B5">
              <w:rPr>
                <w:rFonts w:eastAsia="SimSun"/>
              </w:rPr>
              <w:t>IDet</w:t>
            </w:r>
          </w:p>
        </w:tc>
      </w:tr>
      <w:tr w:rsidR="001C69A6" w:rsidRPr="00C756B5" w:rsidTr="002E1AB3">
        <w:tc>
          <w:tcPr>
            <w:tcW w:w="684" w:type="pct"/>
            <w:shd w:val="clear" w:color="auto" w:fill="auto"/>
            <w:vAlign w:val="center"/>
          </w:tcPr>
          <w:p w:rsidR="001C69A6" w:rsidRPr="00C756B5" w:rsidRDefault="001C69A6" w:rsidP="00F63640">
            <w:pPr>
              <w:pStyle w:val="Tabletext0"/>
              <w:adjustRightInd w:val="0"/>
              <w:snapToGrid w:val="0"/>
              <w:rPr>
                <w:rFonts w:eastAsia="SimSun"/>
              </w:rPr>
            </w:pPr>
            <w:r w:rsidRPr="00C756B5">
              <w:rPr>
                <w:rFonts w:eastAsia="SimSun"/>
              </w:rPr>
              <w:t>Outcomes</w:t>
            </w:r>
          </w:p>
        </w:tc>
        <w:tc>
          <w:tcPr>
            <w:tcW w:w="4316" w:type="pct"/>
            <w:shd w:val="clear" w:color="auto" w:fill="auto"/>
            <w:vAlign w:val="center"/>
          </w:tcPr>
          <w:p w:rsidR="001C69A6" w:rsidRPr="00C756B5" w:rsidRDefault="00A34406" w:rsidP="00F63640">
            <w:pPr>
              <w:pStyle w:val="Tabletext0"/>
              <w:adjustRightInd w:val="0"/>
              <w:snapToGrid w:val="0"/>
              <w:rPr>
                <w:rFonts w:eastAsia="SimSun"/>
              </w:rPr>
            </w:pPr>
            <w:r w:rsidRPr="00C756B5">
              <w:rPr>
                <w:rFonts w:eastAsia="SimSun"/>
              </w:rPr>
              <w:t>Noninferior</w:t>
            </w:r>
            <w:r w:rsidR="001C69A6" w:rsidRPr="00C756B5">
              <w:rPr>
                <w:rFonts w:eastAsia="SimSun"/>
              </w:rPr>
              <w:t xml:space="preserve"> HbA1c </w:t>
            </w:r>
          </w:p>
          <w:p w:rsidR="001C69A6" w:rsidRPr="00C756B5" w:rsidRDefault="001C69A6" w:rsidP="00F63640">
            <w:pPr>
              <w:pStyle w:val="Tabletext0"/>
              <w:adjustRightInd w:val="0"/>
              <w:snapToGrid w:val="0"/>
              <w:rPr>
                <w:rFonts w:eastAsia="SimSun"/>
              </w:rPr>
            </w:pPr>
            <w:r w:rsidRPr="00C756B5">
              <w:rPr>
                <w:lang w:eastAsia="zh-CN"/>
              </w:rPr>
              <w:t>Lower fasting plasma glucose</w:t>
            </w:r>
          </w:p>
          <w:p w:rsidR="001C69A6" w:rsidRPr="00C756B5" w:rsidRDefault="001C69A6" w:rsidP="00F63640">
            <w:pPr>
              <w:pStyle w:val="Tabletext0"/>
              <w:adjustRightInd w:val="0"/>
              <w:snapToGrid w:val="0"/>
              <w:rPr>
                <w:rFonts w:eastAsia="SimSun"/>
              </w:rPr>
            </w:pPr>
            <w:r w:rsidRPr="00C756B5">
              <w:rPr>
                <w:rFonts w:eastAsia="SimSun"/>
              </w:rPr>
              <w:t>Lower risk of hypoglycaemia</w:t>
            </w:r>
          </w:p>
          <w:p w:rsidR="001C69A6" w:rsidRPr="00C756B5" w:rsidRDefault="001C69A6" w:rsidP="00F63640">
            <w:pPr>
              <w:pStyle w:val="Tabletext0"/>
              <w:adjustRightInd w:val="0"/>
              <w:snapToGrid w:val="0"/>
              <w:rPr>
                <w:rFonts w:eastAsia="SimSun"/>
              </w:rPr>
            </w:pPr>
            <w:r w:rsidRPr="00C756B5">
              <w:rPr>
                <w:rFonts w:eastAsia="SimSun"/>
              </w:rPr>
              <w:t>Lower total insulin dose</w:t>
            </w:r>
          </w:p>
        </w:tc>
      </w:tr>
      <w:tr w:rsidR="001C69A6" w:rsidRPr="00C756B5" w:rsidTr="002E1AB3">
        <w:tc>
          <w:tcPr>
            <w:tcW w:w="684" w:type="pct"/>
            <w:shd w:val="clear" w:color="auto" w:fill="auto"/>
            <w:vAlign w:val="center"/>
          </w:tcPr>
          <w:p w:rsidR="001C69A6" w:rsidRPr="00C756B5" w:rsidRDefault="001C69A6" w:rsidP="00F63640">
            <w:pPr>
              <w:pStyle w:val="Tabletext0"/>
              <w:adjustRightInd w:val="0"/>
              <w:snapToGrid w:val="0"/>
              <w:rPr>
                <w:rFonts w:eastAsia="SimSun"/>
              </w:rPr>
            </w:pPr>
            <w:r w:rsidRPr="00C756B5">
              <w:rPr>
                <w:rFonts w:eastAsia="SimSun"/>
              </w:rPr>
              <w:t>Clinical claim</w:t>
            </w:r>
          </w:p>
        </w:tc>
        <w:tc>
          <w:tcPr>
            <w:tcW w:w="4316" w:type="pct"/>
            <w:shd w:val="clear" w:color="auto" w:fill="auto"/>
            <w:vAlign w:val="center"/>
          </w:tcPr>
          <w:p w:rsidR="001C69A6" w:rsidRPr="00C756B5" w:rsidRDefault="001C69A6" w:rsidP="00F63640">
            <w:pPr>
              <w:pStyle w:val="Tabletext0"/>
              <w:adjustRightInd w:val="0"/>
              <w:snapToGrid w:val="0"/>
              <w:rPr>
                <w:rFonts w:eastAsia="SimSun"/>
              </w:rPr>
            </w:pPr>
            <w:r w:rsidRPr="00C756B5">
              <w:rPr>
                <w:rFonts w:eastAsia="SimSun"/>
                <w:u w:val="single"/>
              </w:rPr>
              <w:t>T2DM</w:t>
            </w:r>
            <w:r w:rsidRPr="00C756B5">
              <w:rPr>
                <w:rFonts w:eastAsia="SimSun"/>
              </w:rPr>
              <w:t xml:space="preserve">: IDegAsp is </w:t>
            </w:r>
            <w:r w:rsidR="00A34406" w:rsidRPr="00C756B5">
              <w:rPr>
                <w:rFonts w:eastAsia="SimSun"/>
              </w:rPr>
              <w:t>noninferior</w:t>
            </w:r>
            <w:r w:rsidRPr="00C756B5">
              <w:rPr>
                <w:rFonts w:eastAsia="SimSun"/>
              </w:rPr>
              <w:t xml:space="preserve"> in terms of effectiveness (change in HbA1c) and superior in terms of safety (confirmed hypoglycaemia) compared with BIAsp 30.</w:t>
            </w:r>
          </w:p>
          <w:p w:rsidR="001C69A6" w:rsidRPr="00C756B5" w:rsidRDefault="001C69A6" w:rsidP="00F63640">
            <w:pPr>
              <w:pStyle w:val="Tabletext0"/>
              <w:adjustRightInd w:val="0"/>
              <w:snapToGrid w:val="0"/>
              <w:rPr>
                <w:rFonts w:eastAsia="SimSun"/>
              </w:rPr>
            </w:pPr>
            <w:r w:rsidRPr="00C756B5">
              <w:rPr>
                <w:rFonts w:eastAsia="SimSun"/>
                <w:u w:val="single"/>
              </w:rPr>
              <w:t>T1DM</w:t>
            </w:r>
            <w:r w:rsidRPr="00C756B5">
              <w:rPr>
                <w:rFonts w:eastAsia="SimSun"/>
              </w:rPr>
              <w:t xml:space="preserve">: IDegAsp is </w:t>
            </w:r>
            <w:r w:rsidR="00A34406" w:rsidRPr="00C756B5">
              <w:rPr>
                <w:rFonts w:eastAsia="SimSun"/>
              </w:rPr>
              <w:t>noninferior</w:t>
            </w:r>
            <w:r w:rsidRPr="00C756B5">
              <w:rPr>
                <w:rFonts w:eastAsia="SimSun"/>
              </w:rPr>
              <w:t xml:space="preserve"> in terms of effectiveness (change in HbA1c) and superior in terms of safety (confirmed nocturnal hypoglycaemia) compared with IDet.</w:t>
            </w:r>
          </w:p>
        </w:tc>
      </w:tr>
    </w:tbl>
    <w:p w:rsidR="00C036AE" w:rsidRPr="00C756B5" w:rsidRDefault="00C036AE" w:rsidP="00C036AE">
      <w:pPr>
        <w:pStyle w:val="TableFooter"/>
      </w:pPr>
      <w:r w:rsidRPr="00C756B5">
        <w:t>Source: Table 1.1.1, p13 of the submission</w:t>
      </w:r>
    </w:p>
    <w:p w:rsidR="00EA2573" w:rsidRDefault="00C036AE" w:rsidP="001C69A6">
      <w:pPr>
        <w:pStyle w:val="TableFooter"/>
      </w:pPr>
      <w:r w:rsidRPr="00C756B5">
        <w:rPr>
          <w:rFonts w:eastAsia="SimSun"/>
        </w:rPr>
        <w:t xml:space="preserve">BIAsp = </w:t>
      </w:r>
      <w:r w:rsidRPr="00C756B5">
        <w:t xml:space="preserve">biphasic insulin aspart; HbA1c = </w:t>
      </w:r>
      <w:r w:rsidR="00F03316" w:rsidRPr="00C756B5">
        <w:t xml:space="preserve">glycated </w:t>
      </w:r>
      <w:r w:rsidR="00F96D56" w:rsidRPr="00C756B5">
        <w:t>haemoglobin</w:t>
      </w:r>
      <w:r w:rsidR="00CF2FED" w:rsidRPr="00C756B5">
        <w:t>;</w:t>
      </w:r>
      <w:r w:rsidRPr="00C756B5">
        <w:rPr>
          <w:rFonts w:eastAsia="SimSun"/>
        </w:rPr>
        <w:t xml:space="preserve"> IAsp =</w:t>
      </w:r>
      <w:r w:rsidRPr="00C756B5">
        <w:t xml:space="preserve"> insulin aspart;</w:t>
      </w:r>
      <w:r w:rsidRPr="00C756B5">
        <w:rPr>
          <w:rFonts w:eastAsia="SimSun"/>
        </w:rPr>
        <w:t xml:space="preserve"> </w:t>
      </w:r>
      <w:r w:rsidR="001C69A6" w:rsidRPr="00C756B5">
        <w:t>IDeg</w:t>
      </w:r>
      <w:r w:rsidRPr="00C756B5">
        <w:t xml:space="preserve"> insulin degludec;</w:t>
      </w:r>
      <w:r w:rsidR="001C69A6" w:rsidRPr="00C756B5">
        <w:rPr>
          <w:rFonts w:eastAsia="SimSun"/>
        </w:rPr>
        <w:t xml:space="preserve"> IDegAsp = </w:t>
      </w:r>
      <w:r w:rsidR="001C69A6" w:rsidRPr="00C756B5">
        <w:t>insulin degludec/insulin aspart</w:t>
      </w:r>
      <w:r w:rsidRPr="00C756B5">
        <w:t>;</w:t>
      </w:r>
      <w:r w:rsidR="001C69A6" w:rsidRPr="00C756B5">
        <w:rPr>
          <w:rFonts w:eastAsia="SimSun"/>
        </w:rPr>
        <w:t xml:space="preserve"> IDet = </w:t>
      </w:r>
      <w:r w:rsidR="001C69A6" w:rsidRPr="00C756B5">
        <w:t>insulin detemir</w:t>
      </w:r>
      <w:r w:rsidRPr="00C756B5">
        <w:t>;</w:t>
      </w:r>
      <w:r w:rsidR="001C69A6" w:rsidRPr="00C756B5">
        <w:rPr>
          <w:rFonts w:eastAsia="SimSun"/>
        </w:rPr>
        <w:t xml:space="preserve"> T1DM = </w:t>
      </w:r>
      <w:r w:rsidR="001C69A6" w:rsidRPr="00C756B5">
        <w:t>type 1 diabetes mellitus</w:t>
      </w:r>
      <w:r w:rsidRPr="00C756B5">
        <w:t>;</w:t>
      </w:r>
      <w:r w:rsidR="001C69A6" w:rsidRPr="00C756B5">
        <w:t xml:space="preserve"> </w:t>
      </w:r>
      <w:r w:rsidR="001C69A6" w:rsidRPr="00C756B5">
        <w:rPr>
          <w:rFonts w:eastAsia="SimSun"/>
        </w:rPr>
        <w:t xml:space="preserve">T2DM = </w:t>
      </w:r>
      <w:r w:rsidR="001C69A6" w:rsidRPr="00C756B5">
        <w:t>type 2 diabetes mellitus</w:t>
      </w:r>
    </w:p>
    <w:p w:rsidR="00EA2573" w:rsidRDefault="00EA2573">
      <w:pPr>
        <w:spacing w:before="0" w:line="259" w:lineRule="auto"/>
        <w:rPr>
          <w:rFonts w:ascii="Arial Narrow" w:eastAsia="Times New Roman" w:hAnsi="Arial Narrow" w:cs="Arial"/>
          <w:snapToGrid w:val="0"/>
          <w:sz w:val="18"/>
          <w:szCs w:val="20"/>
        </w:rPr>
      </w:pPr>
      <w:r>
        <w:br w:type="page"/>
      </w:r>
    </w:p>
    <w:p w:rsidR="00C317F3" w:rsidRPr="00C756B5" w:rsidRDefault="00C317F3" w:rsidP="00AD7D66">
      <w:pPr>
        <w:pStyle w:val="Heading1"/>
      </w:pPr>
      <w:bookmarkStart w:id="3" w:name="_Toc413139272"/>
      <w:bookmarkStart w:id="4" w:name="_Toc493067737"/>
      <w:r w:rsidRPr="00C756B5">
        <w:lastRenderedPageBreak/>
        <w:t>Requested listing</w:t>
      </w:r>
      <w:bookmarkEnd w:id="3"/>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830"/>
        <w:gridCol w:w="830"/>
        <w:gridCol w:w="969"/>
        <w:gridCol w:w="1832"/>
        <w:gridCol w:w="1878"/>
      </w:tblGrid>
      <w:tr w:rsidR="001C69A6" w:rsidRPr="00C756B5" w:rsidTr="00130AF5">
        <w:tc>
          <w:tcPr>
            <w:tcW w:w="1571" w:type="pct"/>
            <w:tcBorders>
              <w:top w:val="nil"/>
              <w:left w:val="nil"/>
              <w:bottom w:val="single" w:sz="4" w:space="0" w:color="auto"/>
              <w:right w:val="nil"/>
            </w:tcBorders>
            <w:shd w:val="clear" w:color="auto" w:fill="auto"/>
          </w:tcPr>
          <w:p w:rsidR="001C69A6" w:rsidRPr="00C756B5" w:rsidRDefault="001C69A6" w:rsidP="00F63640">
            <w:pPr>
              <w:pStyle w:val="Tabletext0"/>
              <w:adjustRightInd w:val="0"/>
              <w:snapToGrid w:val="0"/>
              <w:spacing w:line="276" w:lineRule="auto"/>
              <w:rPr>
                <w:rFonts w:eastAsia="SimSun"/>
                <w:b/>
              </w:rPr>
            </w:pPr>
            <w:r w:rsidRPr="00C756B5">
              <w:rPr>
                <w:rFonts w:eastAsia="SimSun"/>
                <w:b/>
                <w:lang w:eastAsia="zh-CN"/>
              </w:rPr>
              <w:t>Name, restriction, manner of administration, form</w:t>
            </w:r>
          </w:p>
        </w:tc>
        <w:tc>
          <w:tcPr>
            <w:tcW w:w="449" w:type="pct"/>
            <w:tcBorders>
              <w:top w:val="nil"/>
              <w:left w:val="nil"/>
              <w:bottom w:val="single" w:sz="4" w:space="0" w:color="auto"/>
              <w:right w:val="nil"/>
            </w:tcBorders>
            <w:shd w:val="clear" w:color="auto" w:fill="auto"/>
          </w:tcPr>
          <w:p w:rsidR="001C69A6" w:rsidRPr="00C756B5" w:rsidRDefault="00840380" w:rsidP="00F63640">
            <w:pPr>
              <w:pStyle w:val="Tabletext0"/>
              <w:spacing w:line="276" w:lineRule="auto"/>
              <w:rPr>
                <w:rFonts w:eastAsia="SimSun"/>
                <w:b/>
              </w:rPr>
            </w:pPr>
            <w:r w:rsidRPr="00C756B5">
              <w:rPr>
                <w:rFonts w:eastAsia="SimSun"/>
                <w:b/>
                <w:lang w:eastAsia="zh-CN"/>
              </w:rPr>
              <w:t>Max Qty</w:t>
            </w:r>
            <w:r w:rsidR="001C69A6" w:rsidRPr="00C756B5">
              <w:rPr>
                <w:rFonts w:eastAsia="SimSun"/>
                <w:b/>
                <w:lang w:eastAsia="zh-CN"/>
              </w:rPr>
              <w:t xml:space="preserve"> (packs) </w:t>
            </w:r>
          </w:p>
        </w:tc>
        <w:tc>
          <w:tcPr>
            <w:tcW w:w="449" w:type="pct"/>
            <w:tcBorders>
              <w:top w:val="nil"/>
              <w:left w:val="nil"/>
              <w:bottom w:val="single" w:sz="4" w:space="0" w:color="auto"/>
              <w:right w:val="nil"/>
            </w:tcBorders>
            <w:shd w:val="clear" w:color="auto" w:fill="auto"/>
          </w:tcPr>
          <w:p w:rsidR="001C69A6" w:rsidRPr="00C756B5" w:rsidRDefault="00840380" w:rsidP="00F63640">
            <w:pPr>
              <w:pStyle w:val="Tabletext0"/>
              <w:spacing w:line="276" w:lineRule="auto"/>
              <w:rPr>
                <w:rFonts w:eastAsia="SimSun"/>
                <w:b/>
              </w:rPr>
            </w:pPr>
            <w:r w:rsidRPr="00C756B5">
              <w:rPr>
                <w:rFonts w:eastAsia="SimSun"/>
                <w:b/>
                <w:lang w:eastAsia="zh-CN"/>
              </w:rPr>
              <w:t>Max Qty</w:t>
            </w:r>
            <w:r w:rsidR="001C69A6" w:rsidRPr="00C756B5">
              <w:rPr>
                <w:rFonts w:eastAsia="SimSun"/>
                <w:b/>
                <w:lang w:eastAsia="zh-CN"/>
              </w:rPr>
              <w:t xml:space="preserve"> (units) </w:t>
            </w:r>
          </w:p>
        </w:tc>
        <w:tc>
          <w:tcPr>
            <w:tcW w:w="524" w:type="pct"/>
            <w:tcBorders>
              <w:top w:val="nil"/>
              <w:left w:val="nil"/>
              <w:bottom w:val="single" w:sz="4" w:space="0" w:color="auto"/>
              <w:right w:val="nil"/>
            </w:tcBorders>
            <w:shd w:val="clear" w:color="auto" w:fill="auto"/>
          </w:tcPr>
          <w:p w:rsidR="001C69A6" w:rsidRPr="00C756B5" w:rsidRDefault="001C69A6" w:rsidP="00F63640">
            <w:pPr>
              <w:pStyle w:val="Tabletext0"/>
              <w:spacing w:line="276" w:lineRule="auto"/>
              <w:rPr>
                <w:rFonts w:eastAsia="SimSun"/>
                <w:b/>
              </w:rPr>
            </w:pPr>
            <w:r w:rsidRPr="00C756B5">
              <w:rPr>
                <w:rFonts w:eastAsia="SimSun"/>
                <w:b/>
                <w:lang w:eastAsia="zh-CN"/>
              </w:rPr>
              <w:t>No. of repeats</w:t>
            </w:r>
          </w:p>
        </w:tc>
        <w:tc>
          <w:tcPr>
            <w:tcW w:w="991" w:type="pct"/>
            <w:tcBorders>
              <w:top w:val="nil"/>
              <w:left w:val="nil"/>
              <w:bottom w:val="single" w:sz="4" w:space="0" w:color="auto"/>
              <w:right w:val="nil"/>
            </w:tcBorders>
            <w:shd w:val="clear" w:color="auto" w:fill="auto"/>
          </w:tcPr>
          <w:p w:rsidR="001C69A6" w:rsidRPr="00C756B5" w:rsidRDefault="001C69A6" w:rsidP="0092550A">
            <w:pPr>
              <w:pStyle w:val="Tabletext0"/>
              <w:spacing w:line="276" w:lineRule="auto"/>
              <w:rPr>
                <w:rFonts w:eastAsia="SimSun"/>
                <w:b/>
                <w:vertAlign w:val="superscript"/>
                <w:lang w:eastAsia="zh-CN"/>
              </w:rPr>
            </w:pPr>
            <w:r w:rsidRPr="00C756B5">
              <w:rPr>
                <w:rFonts w:eastAsia="SimSun"/>
                <w:b/>
                <w:lang w:eastAsia="zh-CN"/>
              </w:rPr>
              <w:t>Dispensed price for maximum quantity</w:t>
            </w:r>
          </w:p>
          <w:p w:rsidR="0004412F" w:rsidRPr="00C756B5" w:rsidRDefault="0004412F" w:rsidP="0092550A">
            <w:pPr>
              <w:pStyle w:val="Tabletext0"/>
              <w:spacing w:line="276" w:lineRule="auto"/>
              <w:rPr>
                <w:rFonts w:eastAsia="SimSun"/>
                <w:b/>
              </w:rPr>
            </w:pPr>
          </w:p>
        </w:tc>
        <w:tc>
          <w:tcPr>
            <w:tcW w:w="1016" w:type="pct"/>
            <w:tcBorders>
              <w:top w:val="nil"/>
              <w:left w:val="nil"/>
              <w:bottom w:val="single" w:sz="4" w:space="0" w:color="auto"/>
              <w:right w:val="nil"/>
            </w:tcBorders>
            <w:shd w:val="clear" w:color="auto" w:fill="auto"/>
          </w:tcPr>
          <w:p w:rsidR="001C69A6" w:rsidRPr="00C756B5" w:rsidRDefault="001C69A6" w:rsidP="00F63640">
            <w:pPr>
              <w:pStyle w:val="Tabletext0"/>
              <w:spacing w:line="276" w:lineRule="auto"/>
              <w:rPr>
                <w:rFonts w:eastAsia="SimSun"/>
                <w:b/>
              </w:rPr>
            </w:pPr>
            <w:r w:rsidRPr="00C756B5">
              <w:rPr>
                <w:rFonts w:eastAsia="SimSun"/>
                <w:b/>
                <w:lang w:eastAsia="zh-CN"/>
              </w:rPr>
              <w:t>Proprietary name and manufacturer</w:t>
            </w:r>
          </w:p>
        </w:tc>
      </w:tr>
      <w:tr w:rsidR="001C69A6" w:rsidRPr="00C756B5" w:rsidTr="00130AF5">
        <w:tc>
          <w:tcPr>
            <w:tcW w:w="1571" w:type="pct"/>
            <w:tcBorders>
              <w:top w:val="single" w:sz="4" w:space="0" w:color="auto"/>
              <w:left w:val="nil"/>
              <w:bottom w:val="single" w:sz="4" w:space="0" w:color="auto"/>
              <w:right w:val="nil"/>
            </w:tcBorders>
            <w:shd w:val="clear" w:color="auto" w:fill="auto"/>
          </w:tcPr>
          <w:p w:rsidR="001C69A6" w:rsidRPr="00C756B5" w:rsidRDefault="001C69A6" w:rsidP="00F63640">
            <w:pPr>
              <w:pStyle w:val="Tabletext0"/>
              <w:adjustRightInd w:val="0"/>
              <w:snapToGrid w:val="0"/>
              <w:spacing w:line="276" w:lineRule="auto"/>
              <w:rPr>
                <w:rFonts w:eastAsia="SimSun"/>
                <w:lang w:eastAsia="zh-CN"/>
              </w:rPr>
            </w:pPr>
            <w:r w:rsidRPr="00C756B5">
              <w:rPr>
                <w:rFonts w:eastAsia="SimSun"/>
                <w:lang w:eastAsia="zh-CN"/>
              </w:rPr>
              <w:t>INSULIN DEGLUDEC + INSULIN ASPART</w:t>
            </w:r>
          </w:p>
          <w:p w:rsidR="001C69A6" w:rsidRPr="00C756B5" w:rsidRDefault="001C69A6" w:rsidP="00F63640">
            <w:pPr>
              <w:pStyle w:val="Tabletext0"/>
              <w:adjustRightInd w:val="0"/>
              <w:snapToGrid w:val="0"/>
              <w:spacing w:line="276" w:lineRule="auto"/>
              <w:rPr>
                <w:rFonts w:eastAsia="SimSun"/>
              </w:rPr>
            </w:pPr>
            <w:r w:rsidRPr="00C756B5">
              <w:rPr>
                <w:rFonts w:eastAsia="SimSun"/>
                <w:lang w:eastAsia="zh-CN"/>
              </w:rPr>
              <w:t>insulin degludec 70 units/mL + insulin aspart 30 units/mL injection, 5 x 3 mL syringes</w:t>
            </w:r>
          </w:p>
        </w:tc>
        <w:tc>
          <w:tcPr>
            <w:tcW w:w="449" w:type="pct"/>
            <w:tcBorders>
              <w:top w:val="single" w:sz="4" w:space="0" w:color="auto"/>
              <w:left w:val="nil"/>
              <w:bottom w:val="single" w:sz="4" w:space="0" w:color="auto"/>
              <w:right w:val="nil"/>
            </w:tcBorders>
            <w:shd w:val="clear" w:color="auto" w:fill="auto"/>
          </w:tcPr>
          <w:p w:rsidR="001C69A6" w:rsidRPr="00C756B5" w:rsidRDefault="001C69A6" w:rsidP="00F63640">
            <w:pPr>
              <w:pStyle w:val="Tabletext0"/>
              <w:adjustRightInd w:val="0"/>
              <w:snapToGrid w:val="0"/>
              <w:spacing w:line="276" w:lineRule="auto"/>
              <w:rPr>
                <w:rFonts w:eastAsia="SimSun"/>
              </w:rPr>
            </w:pPr>
            <w:r w:rsidRPr="00C756B5">
              <w:rPr>
                <w:rFonts w:eastAsia="SimSun"/>
                <w:lang w:eastAsia="zh-CN"/>
              </w:rPr>
              <w:t xml:space="preserve">5 </w:t>
            </w:r>
          </w:p>
        </w:tc>
        <w:tc>
          <w:tcPr>
            <w:tcW w:w="449" w:type="pct"/>
            <w:tcBorders>
              <w:top w:val="single" w:sz="4" w:space="0" w:color="auto"/>
              <w:left w:val="nil"/>
              <w:bottom w:val="single" w:sz="4" w:space="0" w:color="auto"/>
              <w:right w:val="nil"/>
            </w:tcBorders>
            <w:shd w:val="clear" w:color="auto" w:fill="auto"/>
          </w:tcPr>
          <w:p w:rsidR="001C69A6" w:rsidRPr="00C756B5" w:rsidRDefault="001C69A6" w:rsidP="00F63640">
            <w:pPr>
              <w:pStyle w:val="Tabletext0"/>
              <w:adjustRightInd w:val="0"/>
              <w:snapToGrid w:val="0"/>
              <w:spacing w:line="276" w:lineRule="auto"/>
              <w:rPr>
                <w:rFonts w:eastAsia="SimSun"/>
              </w:rPr>
            </w:pPr>
            <w:r w:rsidRPr="00C756B5">
              <w:rPr>
                <w:rFonts w:eastAsia="SimSun"/>
                <w:lang w:eastAsia="zh-CN"/>
              </w:rPr>
              <w:t xml:space="preserve">5 </w:t>
            </w:r>
          </w:p>
        </w:tc>
        <w:tc>
          <w:tcPr>
            <w:tcW w:w="524" w:type="pct"/>
            <w:tcBorders>
              <w:top w:val="single" w:sz="4" w:space="0" w:color="auto"/>
              <w:left w:val="nil"/>
              <w:bottom w:val="single" w:sz="4" w:space="0" w:color="auto"/>
              <w:right w:val="nil"/>
            </w:tcBorders>
            <w:shd w:val="clear" w:color="auto" w:fill="auto"/>
          </w:tcPr>
          <w:p w:rsidR="001C69A6" w:rsidRPr="00C756B5" w:rsidRDefault="001C69A6" w:rsidP="00F63640">
            <w:pPr>
              <w:pStyle w:val="Tabletext0"/>
              <w:adjustRightInd w:val="0"/>
              <w:snapToGrid w:val="0"/>
              <w:spacing w:line="276" w:lineRule="auto"/>
              <w:rPr>
                <w:rFonts w:eastAsia="SimSun"/>
              </w:rPr>
            </w:pPr>
            <w:r w:rsidRPr="00C756B5">
              <w:rPr>
                <w:rFonts w:eastAsia="SimSun"/>
                <w:lang w:eastAsia="zh-CN"/>
              </w:rPr>
              <w:t xml:space="preserve">1 </w:t>
            </w:r>
          </w:p>
        </w:tc>
        <w:tc>
          <w:tcPr>
            <w:tcW w:w="991" w:type="pct"/>
            <w:tcBorders>
              <w:top w:val="single" w:sz="4" w:space="0" w:color="auto"/>
              <w:left w:val="nil"/>
              <w:bottom w:val="single" w:sz="4" w:space="0" w:color="auto"/>
              <w:right w:val="nil"/>
            </w:tcBorders>
            <w:shd w:val="clear" w:color="auto" w:fill="auto"/>
          </w:tcPr>
          <w:p w:rsidR="001C69A6" w:rsidRPr="00C756B5" w:rsidRDefault="001C69A6" w:rsidP="00F63640">
            <w:pPr>
              <w:keepNext/>
              <w:keepLines/>
              <w:spacing w:before="40" w:after="40"/>
              <w:rPr>
                <w:rFonts w:ascii="Arial Narrow" w:eastAsia="Times New Roman" w:hAnsi="Arial Narrow" w:cs="Arial Narrow"/>
                <w:b/>
                <w:sz w:val="20"/>
                <w:szCs w:val="20"/>
              </w:rPr>
            </w:pPr>
            <w:r w:rsidRPr="00C756B5">
              <w:rPr>
                <w:rFonts w:ascii="Arial Narrow" w:eastAsia="Times New Roman" w:hAnsi="Arial Narrow" w:cs="Arial Narrow"/>
                <w:b/>
                <w:sz w:val="20"/>
                <w:szCs w:val="20"/>
              </w:rPr>
              <w:t>Published</w:t>
            </w:r>
          </w:p>
          <w:p w:rsidR="001C69A6" w:rsidRPr="00C756B5" w:rsidRDefault="001C69A6" w:rsidP="00F63640">
            <w:pPr>
              <w:keepNext/>
              <w:keepLines/>
              <w:spacing w:before="40" w:after="40"/>
              <w:rPr>
                <w:rFonts w:ascii="Arial Narrow" w:eastAsia="Times New Roman" w:hAnsi="Arial Narrow" w:cs="Arial Narrow"/>
                <w:sz w:val="20"/>
                <w:szCs w:val="20"/>
              </w:rPr>
            </w:pPr>
            <w:r w:rsidRPr="00C756B5">
              <w:rPr>
                <w:rFonts w:ascii="Arial Narrow" w:eastAsia="Times New Roman" w:hAnsi="Arial Narrow" w:cs="Arial Narrow"/>
                <w:sz w:val="20"/>
                <w:szCs w:val="20"/>
              </w:rPr>
              <w:t>$</w:t>
            </w:r>
            <w:r w:rsidR="00C80DBB">
              <w:rPr>
                <w:rFonts w:ascii="Arial Narrow" w:eastAsia="Times New Roman" w:hAnsi="Arial Narrow" w:cs="Arial Narrow"/>
                <w:noProof/>
                <w:color w:val="000000"/>
                <w:sz w:val="20"/>
                <w:szCs w:val="20"/>
                <w:highlight w:val="black"/>
              </w:rPr>
              <w:t>'''''''''''''''''</w:t>
            </w:r>
          </w:p>
          <w:p w:rsidR="001C69A6" w:rsidRPr="00C756B5" w:rsidRDefault="001C69A6" w:rsidP="00F63640">
            <w:pPr>
              <w:keepNext/>
              <w:keepLines/>
              <w:spacing w:before="40" w:after="40"/>
              <w:rPr>
                <w:rFonts w:ascii="Arial Narrow" w:eastAsia="Times New Roman" w:hAnsi="Arial Narrow" w:cs="Arial Narrow"/>
                <w:b/>
                <w:sz w:val="20"/>
                <w:szCs w:val="20"/>
              </w:rPr>
            </w:pPr>
            <w:r w:rsidRPr="00C756B5">
              <w:rPr>
                <w:rFonts w:ascii="Arial Narrow" w:eastAsia="Times New Roman" w:hAnsi="Arial Narrow" w:cs="Arial Narrow"/>
                <w:b/>
                <w:sz w:val="20"/>
                <w:szCs w:val="20"/>
              </w:rPr>
              <w:t>Effective</w:t>
            </w:r>
          </w:p>
          <w:p w:rsidR="001C69A6" w:rsidRPr="00C756B5" w:rsidRDefault="001C69A6" w:rsidP="00F63640">
            <w:pPr>
              <w:pStyle w:val="Tabletext0"/>
              <w:adjustRightInd w:val="0"/>
              <w:snapToGrid w:val="0"/>
              <w:spacing w:line="276" w:lineRule="auto"/>
              <w:rPr>
                <w:rFonts w:eastAsia="SimSun"/>
                <w:lang w:eastAsia="zh-CN"/>
              </w:rPr>
            </w:pPr>
            <w:r w:rsidRPr="00C756B5">
              <w:rPr>
                <w:rFonts w:eastAsia="SimSun"/>
                <w:lang w:eastAsia="zh-CN"/>
              </w:rPr>
              <w:t>SPA $</w:t>
            </w:r>
            <w:r w:rsidR="00C80DBB">
              <w:rPr>
                <w:rFonts w:eastAsia="SimSun"/>
                <w:noProof/>
                <w:color w:val="000000"/>
                <w:highlight w:val="black"/>
                <w:lang w:eastAsia="zh-CN"/>
              </w:rPr>
              <w:t>'''''''''''''''''</w:t>
            </w:r>
          </w:p>
        </w:tc>
        <w:tc>
          <w:tcPr>
            <w:tcW w:w="1016" w:type="pct"/>
            <w:tcBorders>
              <w:top w:val="single" w:sz="4" w:space="0" w:color="auto"/>
              <w:left w:val="nil"/>
              <w:bottom w:val="single" w:sz="4" w:space="0" w:color="auto"/>
              <w:right w:val="nil"/>
            </w:tcBorders>
            <w:shd w:val="clear" w:color="auto" w:fill="auto"/>
          </w:tcPr>
          <w:p w:rsidR="001C69A6" w:rsidRPr="00C756B5" w:rsidRDefault="001C69A6" w:rsidP="00F63640">
            <w:pPr>
              <w:pStyle w:val="Tabletext0"/>
              <w:adjustRightInd w:val="0"/>
              <w:snapToGrid w:val="0"/>
              <w:spacing w:line="276" w:lineRule="auto"/>
              <w:rPr>
                <w:rFonts w:eastAsia="SimSun"/>
              </w:rPr>
            </w:pPr>
            <w:r w:rsidRPr="00C756B5">
              <w:rPr>
                <w:rFonts w:eastAsia="SimSun"/>
                <w:lang w:eastAsia="zh-CN"/>
              </w:rPr>
              <w:t>Ryzodeg</w:t>
            </w:r>
            <w:r w:rsidRPr="00C756B5">
              <w:rPr>
                <w:rFonts w:eastAsia="SimSun" w:cs="Calibri"/>
                <w:lang w:eastAsia="zh-CN"/>
              </w:rPr>
              <w:t>®</w:t>
            </w:r>
            <w:r w:rsidRPr="00C756B5">
              <w:rPr>
                <w:rFonts w:eastAsia="SimSun"/>
                <w:lang w:eastAsia="zh-CN"/>
              </w:rPr>
              <w:t xml:space="preserve"> FlexTouch</w:t>
            </w:r>
            <w:r w:rsidRPr="00C756B5">
              <w:rPr>
                <w:rFonts w:eastAsia="SimSun" w:cs="Calibri"/>
                <w:lang w:eastAsia="zh-CN"/>
              </w:rPr>
              <w:t>®</w:t>
            </w:r>
            <w:r w:rsidRPr="00C756B5">
              <w:rPr>
                <w:rFonts w:eastAsia="SimSun"/>
                <w:lang w:eastAsia="zh-CN"/>
              </w:rPr>
              <w:t xml:space="preserve"> &amp; Ryzodeg</w:t>
            </w:r>
            <w:r w:rsidRPr="00C756B5">
              <w:rPr>
                <w:rFonts w:eastAsia="SimSun" w:cs="Calibri"/>
                <w:lang w:eastAsia="zh-CN"/>
              </w:rPr>
              <w:t>®</w:t>
            </w:r>
            <w:r w:rsidRPr="00C756B5">
              <w:rPr>
                <w:rFonts w:eastAsia="SimSun"/>
                <w:lang w:eastAsia="zh-CN"/>
              </w:rPr>
              <w:t xml:space="preserve"> Penfill</w:t>
            </w:r>
            <w:r w:rsidRPr="00C756B5">
              <w:rPr>
                <w:rFonts w:eastAsia="SimSun" w:cs="Calibri"/>
                <w:lang w:eastAsia="zh-CN"/>
              </w:rPr>
              <w:t>®</w:t>
            </w:r>
            <w:r w:rsidRPr="00C756B5">
              <w:rPr>
                <w:rFonts w:eastAsia="SimSun"/>
                <w:vertAlign w:val="superscript"/>
                <w:lang w:eastAsia="zh-CN"/>
              </w:rPr>
              <w:t>b</w:t>
            </w:r>
            <w:r w:rsidRPr="00C756B5">
              <w:rPr>
                <w:rFonts w:eastAsia="SimSun"/>
                <w:lang w:eastAsia="zh-CN"/>
              </w:rPr>
              <w:t>, Novo Nordisk Pharmaceuticals Pty Limited</w:t>
            </w:r>
          </w:p>
        </w:tc>
      </w:tr>
      <w:tr w:rsidR="0092550A" w:rsidRPr="00C756B5" w:rsidTr="00840380">
        <w:tc>
          <w:tcPr>
            <w:tcW w:w="1571" w:type="pct"/>
            <w:shd w:val="clear" w:color="auto" w:fill="auto"/>
            <w:vAlign w:val="center"/>
          </w:tcPr>
          <w:p w:rsidR="0092550A" w:rsidRPr="00C756B5" w:rsidRDefault="0092550A" w:rsidP="00E1359D">
            <w:pPr>
              <w:pStyle w:val="Tabletext0"/>
              <w:adjustRightInd w:val="0"/>
              <w:snapToGrid w:val="0"/>
              <w:rPr>
                <w:rFonts w:eastAsia="SimSun"/>
                <w:lang w:eastAsia="zh-CN"/>
              </w:rPr>
            </w:pPr>
            <w:r w:rsidRPr="00C756B5">
              <w:rPr>
                <w:rFonts w:cs="Arial"/>
                <w:b/>
              </w:rPr>
              <w:t>Condition</w:t>
            </w:r>
          </w:p>
        </w:tc>
        <w:tc>
          <w:tcPr>
            <w:tcW w:w="3429" w:type="pct"/>
            <w:gridSpan w:val="5"/>
            <w:shd w:val="clear" w:color="auto" w:fill="auto"/>
            <w:vAlign w:val="center"/>
          </w:tcPr>
          <w:p w:rsidR="0092550A" w:rsidRPr="00C756B5" w:rsidRDefault="0092550A" w:rsidP="00E1359D">
            <w:pPr>
              <w:pStyle w:val="Tabletext0"/>
              <w:adjustRightInd w:val="0"/>
              <w:snapToGrid w:val="0"/>
              <w:rPr>
                <w:rFonts w:eastAsia="SimSun"/>
                <w:lang w:eastAsia="zh-CN"/>
              </w:rPr>
            </w:pPr>
            <w:r w:rsidRPr="00C756B5">
              <w:t>Type 1 diabetes mellitus and type 2 diabetes mellitus</w:t>
            </w:r>
          </w:p>
        </w:tc>
      </w:tr>
      <w:tr w:rsidR="0092550A" w:rsidRPr="00C756B5" w:rsidTr="00840380">
        <w:tc>
          <w:tcPr>
            <w:tcW w:w="1571" w:type="pct"/>
            <w:shd w:val="clear" w:color="auto" w:fill="auto"/>
            <w:vAlign w:val="center"/>
          </w:tcPr>
          <w:p w:rsidR="0092550A" w:rsidRPr="00C756B5" w:rsidRDefault="0092550A" w:rsidP="00E1359D">
            <w:pPr>
              <w:pStyle w:val="Tabletext0"/>
              <w:adjustRightInd w:val="0"/>
              <w:snapToGrid w:val="0"/>
              <w:rPr>
                <w:rFonts w:eastAsia="SimSun"/>
                <w:lang w:eastAsia="zh-CN"/>
              </w:rPr>
            </w:pPr>
            <w:r w:rsidRPr="00C756B5">
              <w:rPr>
                <w:rFonts w:cs="Arial"/>
                <w:b/>
              </w:rPr>
              <w:t>PBS Indication</w:t>
            </w:r>
          </w:p>
        </w:tc>
        <w:tc>
          <w:tcPr>
            <w:tcW w:w="3429" w:type="pct"/>
            <w:gridSpan w:val="5"/>
            <w:shd w:val="clear" w:color="auto" w:fill="auto"/>
            <w:vAlign w:val="center"/>
          </w:tcPr>
          <w:p w:rsidR="0092550A" w:rsidRPr="00C756B5" w:rsidRDefault="0092550A" w:rsidP="00E1359D">
            <w:pPr>
              <w:pStyle w:val="Tabletext0"/>
              <w:adjustRightInd w:val="0"/>
              <w:snapToGrid w:val="0"/>
              <w:rPr>
                <w:rFonts w:eastAsia="SimSun"/>
                <w:lang w:eastAsia="zh-CN"/>
              </w:rPr>
            </w:pPr>
            <w:r w:rsidRPr="00C756B5">
              <w:t>To improve glycaemic control in adults with diabetes mellitus requiring basal and prandial insulin (where insulin treatment is necessary)</w:t>
            </w:r>
          </w:p>
        </w:tc>
      </w:tr>
      <w:tr w:rsidR="0092550A" w:rsidRPr="00C756B5" w:rsidTr="00840380">
        <w:tc>
          <w:tcPr>
            <w:tcW w:w="1571" w:type="pct"/>
            <w:shd w:val="clear" w:color="auto" w:fill="auto"/>
            <w:vAlign w:val="center"/>
          </w:tcPr>
          <w:p w:rsidR="0092550A" w:rsidRPr="00C756B5" w:rsidRDefault="0092550A" w:rsidP="00E1359D">
            <w:pPr>
              <w:spacing w:before="0" w:after="0"/>
              <w:jc w:val="both"/>
              <w:rPr>
                <w:rFonts w:ascii="Arial Narrow" w:hAnsi="Arial Narrow" w:cs="Arial"/>
                <w:b/>
                <w:sz w:val="20"/>
                <w:szCs w:val="20"/>
              </w:rPr>
            </w:pPr>
            <w:r w:rsidRPr="00C756B5">
              <w:rPr>
                <w:rFonts w:ascii="Arial Narrow" w:hAnsi="Arial Narrow" w:cs="Arial"/>
                <w:b/>
                <w:sz w:val="20"/>
                <w:szCs w:val="20"/>
              </w:rPr>
              <w:t>Population criteria</w:t>
            </w:r>
          </w:p>
        </w:tc>
        <w:tc>
          <w:tcPr>
            <w:tcW w:w="3429" w:type="pct"/>
            <w:gridSpan w:val="5"/>
            <w:shd w:val="clear" w:color="auto" w:fill="auto"/>
            <w:vAlign w:val="center"/>
          </w:tcPr>
          <w:p w:rsidR="0092550A" w:rsidRPr="00C756B5" w:rsidRDefault="0092550A" w:rsidP="00E1359D">
            <w:pPr>
              <w:spacing w:before="0" w:after="0"/>
              <w:rPr>
                <w:rFonts w:ascii="Arial Narrow" w:hAnsi="Arial Narrow" w:cs="Arial"/>
                <w:sz w:val="20"/>
                <w:szCs w:val="20"/>
              </w:rPr>
            </w:pPr>
            <w:r w:rsidRPr="00C756B5">
              <w:rPr>
                <w:rFonts w:ascii="Arial Narrow" w:hAnsi="Arial Narrow" w:cs="Arial"/>
                <w:sz w:val="20"/>
                <w:szCs w:val="20"/>
              </w:rPr>
              <w:t>Adults with diabetes mellitus (age ≥ 18 years)</w:t>
            </w:r>
          </w:p>
        </w:tc>
      </w:tr>
      <w:tr w:rsidR="0092550A" w:rsidRPr="00C756B5" w:rsidTr="00840380">
        <w:trPr>
          <w:trHeight w:val="393"/>
        </w:trPr>
        <w:tc>
          <w:tcPr>
            <w:tcW w:w="1571" w:type="pct"/>
            <w:shd w:val="clear" w:color="auto" w:fill="auto"/>
            <w:vAlign w:val="center"/>
          </w:tcPr>
          <w:p w:rsidR="0092550A" w:rsidRPr="00C756B5" w:rsidRDefault="0092550A" w:rsidP="00E1359D">
            <w:pPr>
              <w:spacing w:before="0" w:after="0"/>
              <w:jc w:val="both"/>
              <w:rPr>
                <w:rFonts w:ascii="Arial Narrow" w:hAnsi="Arial Narrow" w:cs="Arial"/>
                <w:sz w:val="20"/>
                <w:szCs w:val="20"/>
              </w:rPr>
            </w:pPr>
            <w:r w:rsidRPr="00C756B5">
              <w:rPr>
                <w:rFonts w:ascii="Arial Narrow" w:hAnsi="Arial Narrow" w:cs="Arial"/>
                <w:b/>
                <w:sz w:val="20"/>
                <w:szCs w:val="20"/>
              </w:rPr>
              <w:t>Restriction:</w:t>
            </w:r>
          </w:p>
        </w:tc>
        <w:tc>
          <w:tcPr>
            <w:tcW w:w="3429" w:type="pct"/>
            <w:gridSpan w:val="5"/>
            <w:shd w:val="clear" w:color="auto" w:fill="auto"/>
          </w:tcPr>
          <w:p w:rsidR="0092550A" w:rsidRPr="00C756B5" w:rsidRDefault="0092550A" w:rsidP="00E1359D">
            <w:pPr>
              <w:spacing w:before="0" w:after="0"/>
              <w:rPr>
                <w:rFonts w:ascii="Arial Narrow" w:hAnsi="Arial Narrow" w:cs="Arial"/>
                <w:sz w:val="20"/>
                <w:szCs w:val="20"/>
              </w:rPr>
            </w:pPr>
            <w:r w:rsidRPr="00C756B5">
              <w:rPr>
                <w:rFonts w:ascii="Arial Narrow" w:hAnsi="Arial Narrow" w:cs="Arial"/>
                <w:sz w:val="20"/>
                <w:szCs w:val="20"/>
              </w:rPr>
              <w:t>Unrestricted</w:t>
            </w:r>
          </w:p>
        </w:tc>
      </w:tr>
    </w:tbl>
    <w:p w:rsidR="0092550A" w:rsidRPr="00C756B5" w:rsidRDefault="0092550A" w:rsidP="0092550A">
      <w:pPr>
        <w:pStyle w:val="TableorfigureAbbreviationsandSource"/>
        <w:spacing w:after="0"/>
        <w:rPr>
          <w:rFonts w:ascii="Arial Narrow" w:hAnsi="Arial Narrow" w:cs="Arial"/>
          <w:sz w:val="18"/>
          <w:szCs w:val="18"/>
        </w:rPr>
      </w:pPr>
      <w:r w:rsidRPr="00C756B5">
        <w:rPr>
          <w:rFonts w:ascii="Arial Narrow" w:hAnsi="Arial Narrow" w:cs="Arial"/>
          <w:sz w:val="18"/>
          <w:szCs w:val="18"/>
        </w:rPr>
        <w:t>SPA = special price arrangement</w:t>
      </w:r>
    </w:p>
    <w:p w:rsidR="00F76C27" w:rsidRPr="0045546D" w:rsidRDefault="0092550A" w:rsidP="00721C44">
      <w:pPr>
        <w:pStyle w:val="ListParagraph"/>
        <w:numPr>
          <w:ilvl w:val="1"/>
          <w:numId w:val="1"/>
        </w:numPr>
        <w:ind w:left="720" w:hanging="720"/>
        <w:jc w:val="both"/>
      </w:pPr>
      <w:r w:rsidRPr="00C756B5">
        <w:rPr>
          <w:lang w:eastAsia="zh-CN"/>
        </w:rPr>
        <w:t xml:space="preserve">The submission proposed a </w:t>
      </w:r>
      <w:r w:rsidR="00F76C27" w:rsidRPr="00C756B5">
        <w:rPr>
          <w:lang w:eastAsia="zh-CN"/>
        </w:rPr>
        <w:t xml:space="preserve">special price arrangement (SPA) with an effective </w:t>
      </w:r>
      <w:r w:rsidR="00197E1D" w:rsidRPr="00C756B5">
        <w:rPr>
          <w:lang w:eastAsia="zh-CN"/>
        </w:rPr>
        <w:t xml:space="preserve">dispensed </w:t>
      </w:r>
      <w:r w:rsidR="00F76C27" w:rsidRPr="00C756B5">
        <w:rPr>
          <w:lang w:eastAsia="zh-CN"/>
        </w:rPr>
        <w:t xml:space="preserve">price of </w:t>
      </w:r>
      <w:r w:rsidR="00F76C27" w:rsidRPr="00C756B5">
        <w:rPr>
          <w:rFonts w:eastAsia="SimSun"/>
          <w:lang w:eastAsia="zh-CN"/>
        </w:rPr>
        <w:t>$</w:t>
      </w:r>
      <w:r w:rsidR="00C80DBB">
        <w:rPr>
          <w:rFonts w:eastAsia="SimSun"/>
          <w:noProof/>
          <w:color w:val="000000"/>
          <w:highlight w:val="black"/>
          <w:lang w:eastAsia="zh-CN"/>
        </w:rPr>
        <w:t>''''''''''''</w:t>
      </w:r>
      <w:r w:rsidR="005E0068" w:rsidRPr="00C756B5">
        <w:rPr>
          <w:rFonts w:eastAsia="SimSun"/>
          <w:lang w:eastAsia="zh-CN"/>
        </w:rPr>
        <w:t xml:space="preserve">. The </w:t>
      </w:r>
      <w:r w:rsidR="00F4074A">
        <w:rPr>
          <w:rFonts w:eastAsia="SimSun"/>
          <w:lang w:eastAsia="zh-CN"/>
        </w:rPr>
        <w:t xml:space="preserve">requested </w:t>
      </w:r>
      <w:r w:rsidR="005E0068" w:rsidRPr="00C756B5">
        <w:rPr>
          <w:rFonts w:eastAsia="SimSun"/>
          <w:lang w:eastAsia="zh-CN"/>
        </w:rPr>
        <w:t>published</w:t>
      </w:r>
      <w:r w:rsidR="00197E1D" w:rsidRPr="00C756B5">
        <w:rPr>
          <w:rFonts w:eastAsia="SimSun"/>
          <w:lang w:eastAsia="zh-CN"/>
        </w:rPr>
        <w:t xml:space="preserve"> dispensed</w:t>
      </w:r>
      <w:r w:rsidR="005E0068" w:rsidRPr="00C756B5">
        <w:rPr>
          <w:rFonts w:eastAsia="SimSun"/>
          <w:lang w:eastAsia="zh-CN"/>
        </w:rPr>
        <w:t xml:space="preserve"> price is $</w:t>
      </w:r>
      <w:r w:rsidR="00C80DBB">
        <w:rPr>
          <w:rFonts w:eastAsia="SimSun"/>
          <w:noProof/>
          <w:color w:val="000000"/>
          <w:highlight w:val="black"/>
          <w:lang w:eastAsia="zh-CN"/>
        </w:rPr>
        <w:t>''''''''''''</w:t>
      </w:r>
      <w:r w:rsidR="005E0068" w:rsidRPr="00C756B5">
        <w:rPr>
          <w:rFonts w:eastAsia="SimSun"/>
          <w:lang w:eastAsia="zh-CN"/>
        </w:rPr>
        <w:t>.</w:t>
      </w:r>
      <w:r w:rsidR="00301880">
        <w:rPr>
          <w:rFonts w:eastAsia="SimSun"/>
          <w:lang w:eastAsia="zh-CN"/>
        </w:rPr>
        <w:t xml:space="preserve"> </w:t>
      </w:r>
    </w:p>
    <w:p w:rsidR="00C317F3" w:rsidRPr="00C756B5" w:rsidRDefault="00C317F3" w:rsidP="00AD7D66">
      <w:pPr>
        <w:pStyle w:val="Heading1"/>
        <w:ind w:left="720" w:hanging="720"/>
      </w:pPr>
      <w:bookmarkStart w:id="5" w:name="_Toc413139273"/>
      <w:bookmarkStart w:id="6" w:name="_Toc493067738"/>
      <w:r w:rsidRPr="00C756B5">
        <w:t>Background</w:t>
      </w:r>
      <w:bookmarkEnd w:id="5"/>
      <w:bookmarkEnd w:id="6"/>
    </w:p>
    <w:p w:rsidR="001C69A6" w:rsidRPr="00C756B5" w:rsidRDefault="0017638E" w:rsidP="00AD7D66">
      <w:pPr>
        <w:pStyle w:val="Heading2"/>
        <w:rPr>
          <w:i w:val="0"/>
        </w:rPr>
      </w:pPr>
      <w:bookmarkStart w:id="7" w:name="_Toc493067739"/>
      <w:r w:rsidRPr="00C756B5">
        <w:rPr>
          <w:i w:val="0"/>
        </w:rPr>
        <w:t>Registration status</w:t>
      </w:r>
      <w:bookmarkEnd w:id="7"/>
    </w:p>
    <w:p w:rsidR="0016135C" w:rsidRPr="00D15DEE" w:rsidRDefault="003D2C63" w:rsidP="00721C44">
      <w:pPr>
        <w:pStyle w:val="ListParagraph"/>
        <w:numPr>
          <w:ilvl w:val="1"/>
          <w:numId w:val="1"/>
        </w:numPr>
        <w:ind w:left="720" w:hanging="720"/>
        <w:jc w:val="both"/>
      </w:pPr>
      <w:r w:rsidRPr="006164C4">
        <w:t xml:space="preserve">TGA status at time of </w:t>
      </w:r>
      <w:r w:rsidR="006149CB" w:rsidRPr="006164C4">
        <w:t>PBAC consideration</w:t>
      </w:r>
      <w:r w:rsidRPr="0052347D">
        <w:t>:</w:t>
      </w:r>
      <w:r w:rsidRPr="00D15DEE">
        <w:t xml:space="preserve"> </w:t>
      </w:r>
      <w:r w:rsidR="00593280" w:rsidRPr="00D15DEE">
        <w:t xml:space="preserve">The submission was made under the TGA/PBAC Parallel Process. </w:t>
      </w:r>
      <w:r w:rsidR="001D793A">
        <w:t>T</w:t>
      </w:r>
      <w:r w:rsidR="00F166E8" w:rsidRPr="00D15DEE">
        <w:t>he</w:t>
      </w:r>
      <w:r w:rsidR="00882D94" w:rsidRPr="00D15DEE">
        <w:t xml:space="preserve"> second round clinical evaluation report and</w:t>
      </w:r>
      <w:r w:rsidR="00F166E8" w:rsidRPr="00D15DEE">
        <w:t xml:space="preserve"> TGA Delegate</w:t>
      </w:r>
      <w:r w:rsidR="006E008A" w:rsidRPr="00D15DEE">
        <w:t>’</w:t>
      </w:r>
      <w:r w:rsidR="00F166E8" w:rsidRPr="00D15DEE">
        <w:t>s Overview w</w:t>
      </w:r>
      <w:r w:rsidR="001D793A">
        <w:t>ere</w:t>
      </w:r>
      <w:r w:rsidR="00F166E8" w:rsidRPr="00D15DEE">
        <w:t xml:space="preserve"> available</w:t>
      </w:r>
      <w:r w:rsidR="00631EDC">
        <w:t xml:space="preserve"> to the PBAC</w:t>
      </w:r>
      <w:r w:rsidR="00593280" w:rsidRPr="00D15DEE">
        <w:t xml:space="preserve">. </w:t>
      </w:r>
      <w:r w:rsidR="00B93F2F" w:rsidRPr="00D15DEE">
        <w:t xml:space="preserve">TGA approval is expected in mid-November 2017. </w:t>
      </w:r>
      <w:r w:rsidR="0016135C" w:rsidRPr="00D15DEE">
        <w:t xml:space="preserve">The </w:t>
      </w:r>
      <w:r w:rsidR="001D793A">
        <w:t>PBAC</w:t>
      </w:r>
      <w:r w:rsidR="001D793A" w:rsidRPr="00D15DEE">
        <w:t xml:space="preserve"> </w:t>
      </w:r>
      <w:r w:rsidR="0016135C" w:rsidRPr="00D15DEE">
        <w:t>noted that IDeg</w:t>
      </w:r>
      <w:r w:rsidR="00F84E5A" w:rsidRPr="00D15DEE">
        <w:t xml:space="preserve"> as a single agent</w:t>
      </w:r>
      <w:r w:rsidR="0016135C" w:rsidRPr="00D15DEE">
        <w:t xml:space="preserve"> is currently undergoing TGA evaluation</w:t>
      </w:r>
      <w:r w:rsidR="004E1827" w:rsidRPr="00D15DEE">
        <w:t xml:space="preserve"> (submission, p18)</w:t>
      </w:r>
      <w:r w:rsidR="0016135C" w:rsidRPr="00D15DEE">
        <w:t>.</w:t>
      </w:r>
    </w:p>
    <w:p w:rsidR="003D2C63" w:rsidRPr="00D15DEE" w:rsidRDefault="00593280" w:rsidP="00721C44">
      <w:pPr>
        <w:pStyle w:val="ListParagraph"/>
        <w:numPr>
          <w:ilvl w:val="1"/>
          <w:numId w:val="1"/>
        </w:numPr>
        <w:ind w:left="720" w:hanging="720"/>
        <w:jc w:val="both"/>
      </w:pPr>
      <w:r w:rsidRPr="00D15DEE">
        <w:t xml:space="preserve">IDegAsp has not been considered previously by the PBAC. </w:t>
      </w:r>
    </w:p>
    <w:p w:rsidR="000F7AF8" w:rsidRPr="00C756B5" w:rsidRDefault="000F7AF8" w:rsidP="000F7AF8">
      <w:pPr>
        <w:pStyle w:val="Heading2"/>
        <w:rPr>
          <w:i w:val="0"/>
        </w:rPr>
      </w:pPr>
      <w:bookmarkStart w:id="8" w:name="_Toc493067740"/>
      <w:r w:rsidRPr="00C756B5">
        <w:rPr>
          <w:i w:val="0"/>
        </w:rPr>
        <w:t>Previous PBAC considerations of insulin products</w:t>
      </w:r>
      <w:bookmarkEnd w:id="8"/>
    </w:p>
    <w:p w:rsidR="0086621A" w:rsidRPr="00D15DEE" w:rsidRDefault="0086621A" w:rsidP="00721C44">
      <w:pPr>
        <w:pStyle w:val="ListParagraph"/>
        <w:numPr>
          <w:ilvl w:val="1"/>
          <w:numId w:val="1"/>
        </w:numPr>
        <w:ind w:left="720" w:hanging="720"/>
        <w:jc w:val="both"/>
      </w:pPr>
      <w:r w:rsidRPr="00D15DEE">
        <w:t xml:space="preserve">There </w:t>
      </w:r>
      <w:r w:rsidR="000F7AF8" w:rsidRPr="00D15DEE">
        <w:t xml:space="preserve">is </w:t>
      </w:r>
      <w:r w:rsidRPr="00D15DEE">
        <w:t>a range of insulin products cu</w:t>
      </w:r>
      <w:r w:rsidR="00362DAE" w:rsidRPr="00D15DEE">
        <w:t xml:space="preserve">rrently subsidised on the PBS. </w:t>
      </w:r>
      <w:r w:rsidRPr="00D15DEE">
        <w:t xml:space="preserve">Many have been </w:t>
      </w:r>
      <w:r w:rsidR="00362DAE" w:rsidRPr="00D15DEE">
        <w:t>listed for a considerable time.</w:t>
      </w:r>
      <w:r w:rsidRPr="00D15DEE">
        <w:t xml:space="preserve"> </w:t>
      </w:r>
      <w:r w:rsidR="004D0ABD" w:rsidRPr="00D15DEE">
        <w:t>Insulin NPH (human) was PBS listed in 1986, insu</w:t>
      </w:r>
      <w:r w:rsidR="00362DAE" w:rsidRPr="00D15DEE">
        <w:t xml:space="preserve">lin lispro was listed in 1996. </w:t>
      </w:r>
      <w:r w:rsidR="004D0ABD" w:rsidRPr="00D15DEE">
        <w:t>The therapeutic relativity sheets and Public Summary Documents</w:t>
      </w:r>
      <w:r w:rsidR="0089534C" w:rsidRPr="00D15DEE">
        <w:t xml:space="preserve"> (PSD</w:t>
      </w:r>
      <w:r w:rsidR="00E14A9E" w:rsidRPr="00D15DEE">
        <w:t>s</w:t>
      </w:r>
      <w:r w:rsidR="0089534C" w:rsidRPr="00D15DEE">
        <w:t>)</w:t>
      </w:r>
      <w:r w:rsidR="004D0ABD" w:rsidRPr="00D15DEE">
        <w:t xml:space="preserve"> provide the following information</w:t>
      </w:r>
      <w:r w:rsidRPr="00D15DEE">
        <w:t xml:space="preserve"> </w:t>
      </w:r>
      <w:r w:rsidR="0084734E" w:rsidRPr="00D15DEE">
        <w:t>in relation to previous PBAC recommendations for insulin products</w:t>
      </w:r>
      <w:r w:rsidR="00091375" w:rsidRPr="00D15DEE">
        <w:t>:</w:t>
      </w:r>
    </w:p>
    <w:p w:rsidR="0084734E" w:rsidRPr="00D15DEE" w:rsidRDefault="008D4434" w:rsidP="007B0B5F">
      <w:pPr>
        <w:pStyle w:val="ListParagraph"/>
        <w:numPr>
          <w:ilvl w:val="0"/>
          <w:numId w:val="11"/>
        </w:numPr>
        <w:ind w:left="993" w:hanging="283"/>
        <w:jc w:val="both"/>
      </w:pPr>
      <w:r w:rsidRPr="00D15DEE">
        <w:t>I</w:t>
      </w:r>
      <w:r w:rsidR="0084734E" w:rsidRPr="00D15DEE">
        <w:t xml:space="preserve">nsulin lispro was accepted for listing on the basis of an advantage over short acting insulin (this is reflected in a price premium of </w:t>
      </w:r>
      <w:r w:rsidR="009414EA" w:rsidRPr="00D15DEE">
        <w:t>20%</w:t>
      </w:r>
      <w:r w:rsidR="000F7AF8" w:rsidRPr="00D15DEE">
        <w:t xml:space="preserve"> over NPH</w:t>
      </w:r>
      <w:r w:rsidR="0084734E" w:rsidRPr="00D15DEE">
        <w:t>);</w:t>
      </w:r>
    </w:p>
    <w:p w:rsidR="0084734E" w:rsidRPr="00D15DEE" w:rsidRDefault="0084734E" w:rsidP="007B0B5F">
      <w:pPr>
        <w:pStyle w:val="ListParagraph"/>
        <w:numPr>
          <w:ilvl w:val="0"/>
          <w:numId w:val="11"/>
        </w:numPr>
        <w:ind w:left="993" w:hanging="283"/>
      </w:pPr>
      <w:r w:rsidRPr="00D15DEE">
        <w:t>The insulin lispro-insulin lispro protamine combination insulin product was listed on the basis that it deserves a premium similar to that for plain insulin lispro compared to regular human insulin (this is reflected in a</w:t>
      </w:r>
      <w:r w:rsidR="00B652B6" w:rsidRPr="00D15DEE">
        <w:t xml:space="preserve"> price</w:t>
      </w:r>
      <w:r w:rsidRPr="00D15DEE">
        <w:t xml:space="preserve"> premium of </w:t>
      </w:r>
      <w:r w:rsidR="009414EA" w:rsidRPr="00D15DEE">
        <w:t>20%</w:t>
      </w:r>
      <w:r w:rsidR="00B652B6" w:rsidRPr="00D15DEE">
        <w:t xml:space="preserve"> over NPH</w:t>
      </w:r>
      <w:r w:rsidRPr="00D15DEE">
        <w:t>)</w:t>
      </w:r>
      <w:r w:rsidR="005E4D2B" w:rsidRPr="00D15DEE">
        <w:t>;</w:t>
      </w:r>
    </w:p>
    <w:p w:rsidR="0084734E" w:rsidRPr="00D15DEE" w:rsidRDefault="0084734E" w:rsidP="007B0B5F">
      <w:pPr>
        <w:pStyle w:val="ListParagraph"/>
        <w:numPr>
          <w:ilvl w:val="0"/>
          <w:numId w:val="11"/>
        </w:numPr>
        <w:ind w:left="993" w:hanging="283"/>
        <w:jc w:val="both"/>
      </w:pPr>
      <w:r w:rsidRPr="00D15DEE">
        <w:t>Insulin aspart and Insulin glulisine were recommended on a cost-minimisation basis to insulin lispro (unit to unit)</w:t>
      </w:r>
      <w:r w:rsidR="005E4D2B" w:rsidRPr="00D15DEE">
        <w:t>;</w:t>
      </w:r>
    </w:p>
    <w:p w:rsidR="0084734E" w:rsidRPr="00D15DEE" w:rsidRDefault="0084734E" w:rsidP="007B0B5F">
      <w:pPr>
        <w:pStyle w:val="ListParagraph"/>
        <w:numPr>
          <w:ilvl w:val="0"/>
          <w:numId w:val="11"/>
        </w:numPr>
        <w:ind w:left="993" w:hanging="283"/>
        <w:jc w:val="both"/>
      </w:pPr>
      <w:r w:rsidRPr="00D15DEE">
        <w:lastRenderedPageBreak/>
        <w:t xml:space="preserve">Insulin glargine was recommended for listing on a cost-effectiveness basis versus insulin NPH (this is reflected in a </w:t>
      </w:r>
      <w:r w:rsidR="000F7AF8" w:rsidRPr="00D15DEE">
        <w:t xml:space="preserve">price </w:t>
      </w:r>
      <w:r w:rsidRPr="00D15DEE">
        <w:t xml:space="preserve">premium of </w:t>
      </w:r>
      <w:r w:rsidR="00C80DBB">
        <w:rPr>
          <w:noProof/>
          <w:color w:val="000000"/>
          <w:highlight w:val="black"/>
        </w:rPr>
        <w:t>'''''</w:t>
      </w:r>
      <w:r w:rsidR="000F7AF8" w:rsidRPr="00D15DEE">
        <w:t>% over NPH)</w:t>
      </w:r>
    </w:p>
    <w:p w:rsidR="00B652B6" w:rsidRPr="00D15DEE" w:rsidRDefault="0084734E" w:rsidP="007B0B5F">
      <w:pPr>
        <w:pStyle w:val="ListParagraph"/>
        <w:numPr>
          <w:ilvl w:val="0"/>
          <w:numId w:val="11"/>
        </w:numPr>
        <w:ind w:left="993" w:hanging="283"/>
        <w:jc w:val="both"/>
      </w:pPr>
      <w:r w:rsidRPr="00D15DEE">
        <w:t xml:space="preserve">Insulin </w:t>
      </w:r>
      <w:r w:rsidR="00921D82" w:rsidRPr="00D15DEE">
        <w:t>detemir</w:t>
      </w:r>
      <w:r w:rsidRPr="00D15DEE">
        <w:t xml:space="preserve"> </w:t>
      </w:r>
      <w:r w:rsidR="00B652B6" w:rsidRPr="00D15DEE">
        <w:t xml:space="preserve">was recommended for listing on a </w:t>
      </w:r>
      <w:r w:rsidRPr="00D15DEE">
        <w:t>cost</w:t>
      </w:r>
      <w:r w:rsidR="00A2506B" w:rsidRPr="00D15DEE">
        <w:t xml:space="preserve"> </w:t>
      </w:r>
      <w:r w:rsidRPr="00D15DEE">
        <w:t>min</w:t>
      </w:r>
      <w:r w:rsidR="00B652B6" w:rsidRPr="00D15DEE">
        <w:t>imisation basis with</w:t>
      </w:r>
      <w:r w:rsidRPr="00D15DEE">
        <w:t xml:space="preserve"> insulin glargine for T</w:t>
      </w:r>
      <w:r w:rsidR="00FC4B45" w:rsidRPr="00D15DEE">
        <w:t>1DM</w:t>
      </w:r>
      <w:r w:rsidR="00B652B6" w:rsidRPr="00D15DEE">
        <w:t xml:space="preserve"> (unit to unit)</w:t>
      </w:r>
      <w:r w:rsidR="005E4D2B" w:rsidRPr="00D15DEE">
        <w:t>;</w:t>
      </w:r>
      <w:r w:rsidRPr="00D15DEE">
        <w:t xml:space="preserve"> </w:t>
      </w:r>
    </w:p>
    <w:p w:rsidR="0084734E" w:rsidRPr="00D15DEE" w:rsidRDefault="00D26906" w:rsidP="007B0B5F">
      <w:pPr>
        <w:pStyle w:val="ListParagraph"/>
        <w:numPr>
          <w:ilvl w:val="0"/>
          <w:numId w:val="11"/>
        </w:numPr>
        <w:ind w:left="993" w:hanging="283"/>
        <w:jc w:val="both"/>
      </w:pPr>
      <w:r w:rsidRPr="00D15DEE">
        <w:t>Insulin dete</w:t>
      </w:r>
      <w:r w:rsidR="00B652B6" w:rsidRPr="00D15DEE">
        <w:t xml:space="preserve">mir was recommended for listing for use in </w:t>
      </w:r>
      <w:r w:rsidR="00E14A9E" w:rsidRPr="00D15DEE">
        <w:t xml:space="preserve">T2DM </w:t>
      </w:r>
      <w:r w:rsidR="00B652B6" w:rsidRPr="00D15DEE">
        <w:t>on a cost-minimisation basis with insulin glargine.</w:t>
      </w:r>
      <w:r w:rsidR="00B652B6" w:rsidRPr="00D15DEE">
        <w:rPr>
          <w:rFonts w:ascii="Open Sans" w:hAnsi="Open Sans"/>
          <w:color w:val="222222"/>
          <w:sz w:val="20"/>
          <w:szCs w:val="20"/>
          <w:shd w:val="clear" w:color="auto" w:fill="FFFFFF"/>
        </w:rPr>
        <w:t xml:space="preserve"> </w:t>
      </w:r>
      <w:r w:rsidR="00B652B6" w:rsidRPr="00D15DEE">
        <w:t>However, the PBAC had doubts regarding the equi-effective dose of detemir versus glargine. The submission claimed that one unit of detemir was equivalent to one unit of glargine, based on the direct randomised controlled data. When the calculations were adjusted to allow for the disparate dosing of detemir and glargine in the clinical trials, the analysis suggested a daily per unit ratio o</w:t>
      </w:r>
      <w:r w:rsidR="00E03EAA" w:rsidRPr="00D15DEE">
        <w:t xml:space="preserve">f 1.10 of detemir to glargine. </w:t>
      </w:r>
      <w:r w:rsidR="00B652B6" w:rsidRPr="00D15DEE">
        <w:t>The sponsor elected not to proceed with this listing</w:t>
      </w:r>
      <w:r w:rsidR="005E4D2B" w:rsidRPr="00D15DEE">
        <w:t>; and</w:t>
      </w:r>
    </w:p>
    <w:p w:rsidR="0010042D" w:rsidRPr="00F4074A" w:rsidRDefault="00091375" w:rsidP="00D40333">
      <w:pPr>
        <w:pStyle w:val="ListParagraph"/>
        <w:numPr>
          <w:ilvl w:val="0"/>
          <w:numId w:val="11"/>
        </w:numPr>
        <w:spacing w:before="0" w:line="259" w:lineRule="auto"/>
        <w:ind w:left="993" w:hanging="283"/>
        <w:jc w:val="both"/>
        <w:rPr>
          <w:rFonts w:ascii="Arial Narrow" w:hAnsi="Arial Narrow"/>
          <w:b/>
          <w:sz w:val="20"/>
        </w:rPr>
      </w:pPr>
      <w:r w:rsidRPr="00D15DEE">
        <w:t xml:space="preserve">Insulin glargine and insulin detemir have special pricing arrangements. </w:t>
      </w:r>
      <w:r w:rsidR="0010042D" w:rsidRPr="00C756B5">
        <w:br w:type="page"/>
      </w:r>
    </w:p>
    <w:p w:rsidR="00921D82" w:rsidRPr="00C756B5" w:rsidRDefault="00921D82" w:rsidP="00921D82">
      <w:pPr>
        <w:pStyle w:val="TableHeading0"/>
        <w:rPr>
          <w:color w:val="4472C4" w:themeColor="accent5"/>
        </w:rPr>
      </w:pPr>
      <w:r w:rsidRPr="00C756B5">
        <w:t xml:space="preserve">Table </w:t>
      </w:r>
      <w:r w:rsidR="00CF3E7D">
        <w:t>2</w:t>
      </w:r>
      <w:r w:rsidRPr="00C756B5">
        <w:rPr>
          <w:noProof/>
        </w:rPr>
        <w:t xml:space="preserve">: Ex-manufacturer prices (AEMP) of currently listed insulin </w:t>
      </w:r>
      <w:r w:rsidR="002322F0" w:rsidRPr="00C756B5">
        <w:rPr>
          <w:noProof/>
        </w:rPr>
        <w:t>p</w:t>
      </w:r>
      <w:r w:rsidRPr="00C756B5">
        <w:rPr>
          <w:noProof/>
        </w:rPr>
        <w:t>roducts and proposed new product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Ex-manufacturer prices (AEMP) of currently listed insulin products and proposed new product"/>
      </w:tblPr>
      <w:tblGrid>
        <w:gridCol w:w="1951"/>
        <w:gridCol w:w="2410"/>
        <w:gridCol w:w="1811"/>
        <w:gridCol w:w="882"/>
        <w:gridCol w:w="1021"/>
        <w:gridCol w:w="941"/>
      </w:tblGrid>
      <w:tr w:rsidR="00921D82" w:rsidRPr="00C756B5" w:rsidTr="00483AF9">
        <w:trPr>
          <w:cnfStyle w:val="100000000000" w:firstRow="1" w:lastRow="0" w:firstColumn="0" w:lastColumn="0" w:oddVBand="0" w:evenVBand="0" w:oddHBand="0" w:evenHBand="0" w:firstRowFirstColumn="0" w:firstRowLastColumn="0" w:lastRowFirstColumn="0" w:lastRowLastColumn="0"/>
          <w:cantSplit/>
          <w:trHeight w:val="900"/>
          <w:tblHeader/>
        </w:trPr>
        <w:tc>
          <w:tcPr>
            <w:tcW w:w="1951" w:type="dxa"/>
            <w:shd w:val="clear" w:color="auto" w:fill="FFFFFF" w:themeFill="background1"/>
          </w:tcPr>
          <w:p w:rsidR="00921D82" w:rsidRPr="00C756B5" w:rsidRDefault="00921D82" w:rsidP="00921D82">
            <w:pPr>
              <w:pStyle w:val="Tabletext0"/>
              <w:adjustRightInd w:val="0"/>
              <w:snapToGrid w:val="0"/>
              <w:rPr>
                <w:rFonts w:cs="Arial"/>
              </w:rPr>
            </w:pPr>
            <w:r w:rsidRPr="00C756B5">
              <w:rPr>
                <w:rFonts w:cs="Arial"/>
              </w:rPr>
              <w:t>Legal Instrument Drug</w:t>
            </w:r>
          </w:p>
        </w:tc>
        <w:tc>
          <w:tcPr>
            <w:tcW w:w="2410" w:type="dxa"/>
            <w:shd w:val="clear" w:color="auto" w:fill="FFFFFF" w:themeFill="background1"/>
          </w:tcPr>
          <w:p w:rsidR="00921D82" w:rsidRPr="00C756B5" w:rsidRDefault="00921D82" w:rsidP="00921D82">
            <w:pPr>
              <w:pStyle w:val="Tabletext0"/>
              <w:adjustRightInd w:val="0"/>
              <w:snapToGrid w:val="0"/>
              <w:rPr>
                <w:rFonts w:cs="Arial"/>
              </w:rPr>
            </w:pPr>
            <w:r w:rsidRPr="00C756B5">
              <w:rPr>
                <w:rFonts w:cs="Arial"/>
              </w:rPr>
              <w:t>Legal Instrument Form</w:t>
            </w:r>
          </w:p>
        </w:tc>
        <w:tc>
          <w:tcPr>
            <w:tcW w:w="1811" w:type="dxa"/>
            <w:shd w:val="clear" w:color="auto" w:fill="FFFFFF" w:themeFill="background1"/>
          </w:tcPr>
          <w:p w:rsidR="00921D82" w:rsidRPr="00C756B5" w:rsidRDefault="00921D82" w:rsidP="00921D82">
            <w:pPr>
              <w:pStyle w:val="Tabletext0"/>
              <w:adjustRightInd w:val="0"/>
              <w:snapToGrid w:val="0"/>
              <w:rPr>
                <w:rFonts w:cs="Arial"/>
              </w:rPr>
            </w:pPr>
            <w:r w:rsidRPr="00C756B5">
              <w:rPr>
                <w:rFonts w:cs="Arial"/>
              </w:rPr>
              <w:t>Brand Name</w:t>
            </w:r>
          </w:p>
        </w:tc>
        <w:tc>
          <w:tcPr>
            <w:tcW w:w="882" w:type="dxa"/>
            <w:shd w:val="clear" w:color="auto" w:fill="FFFFFF" w:themeFill="background1"/>
          </w:tcPr>
          <w:p w:rsidR="00921D82" w:rsidRPr="00C756B5" w:rsidRDefault="00921D82" w:rsidP="00921D82">
            <w:pPr>
              <w:pStyle w:val="Tabletext0"/>
              <w:adjustRightInd w:val="0"/>
              <w:snapToGrid w:val="0"/>
              <w:rPr>
                <w:rFonts w:cs="Arial"/>
              </w:rPr>
            </w:pPr>
            <w:r w:rsidRPr="00C756B5">
              <w:rPr>
                <w:rFonts w:cs="Arial"/>
              </w:rPr>
              <w:t>Pack Quantity</w:t>
            </w:r>
          </w:p>
        </w:tc>
        <w:tc>
          <w:tcPr>
            <w:tcW w:w="1021" w:type="dxa"/>
            <w:shd w:val="clear" w:color="auto" w:fill="FFFFFF" w:themeFill="background1"/>
          </w:tcPr>
          <w:p w:rsidR="00921D82" w:rsidRPr="00C756B5" w:rsidRDefault="00921D82" w:rsidP="00921D82">
            <w:pPr>
              <w:pStyle w:val="Tabletext0"/>
              <w:adjustRightInd w:val="0"/>
              <w:snapToGrid w:val="0"/>
              <w:rPr>
                <w:rFonts w:cs="Arial"/>
              </w:rPr>
            </w:pPr>
            <w:r w:rsidRPr="00C756B5">
              <w:rPr>
                <w:rFonts w:cs="Arial"/>
              </w:rPr>
              <w:t>AEMP</w:t>
            </w:r>
          </w:p>
        </w:tc>
        <w:tc>
          <w:tcPr>
            <w:tcW w:w="941" w:type="dxa"/>
            <w:shd w:val="clear" w:color="auto" w:fill="FFFFFF" w:themeFill="background1"/>
          </w:tcPr>
          <w:p w:rsidR="00921D82" w:rsidRPr="00C756B5" w:rsidRDefault="00921D82" w:rsidP="00921D82">
            <w:pPr>
              <w:spacing w:before="0"/>
              <w:rPr>
                <w:rFonts w:ascii="Arial Narrow" w:hAnsi="Arial Narrow"/>
                <w:sz w:val="20"/>
                <w:szCs w:val="20"/>
              </w:rPr>
            </w:pPr>
            <w:r w:rsidRPr="00C756B5">
              <w:rPr>
                <w:rFonts w:ascii="Arial Narrow" w:hAnsi="Arial Narrow"/>
                <w:sz w:val="20"/>
                <w:szCs w:val="20"/>
              </w:rPr>
              <w:t>Price per unit of insulin</w:t>
            </w:r>
          </w:p>
        </w:tc>
      </w:tr>
      <w:tr w:rsidR="00921D82" w:rsidRPr="00C756B5" w:rsidTr="00483AF9">
        <w:trPr>
          <w:cantSplit/>
          <w:trHeight w:val="900"/>
        </w:trPr>
        <w:tc>
          <w:tcPr>
            <w:tcW w:w="1951" w:type="dxa"/>
          </w:tcPr>
          <w:p w:rsidR="00921D82" w:rsidRPr="00F874FB" w:rsidRDefault="00921D82" w:rsidP="00921D82">
            <w:pPr>
              <w:pStyle w:val="Tabletext0"/>
              <w:adjustRightInd w:val="0"/>
              <w:snapToGrid w:val="0"/>
              <w:rPr>
                <w:rFonts w:cs="Arial"/>
              </w:rPr>
            </w:pPr>
            <w:r w:rsidRPr="00F874FB">
              <w:rPr>
                <w:rFonts w:cs="Arial"/>
              </w:rPr>
              <w:t>Insulin degludec + insulin aspart</w:t>
            </w:r>
          </w:p>
        </w:tc>
        <w:tc>
          <w:tcPr>
            <w:tcW w:w="2410" w:type="dxa"/>
          </w:tcPr>
          <w:p w:rsidR="00921D82" w:rsidRPr="00F874FB" w:rsidRDefault="00921D82" w:rsidP="00921D82">
            <w:pPr>
              <w:pStyle w:val="Tabletext0"/>
              <w:adjustRightInd w:val="0"/>
              <w:snapToGrid w:val="0"/>
              <w:rPr>
                <w:rFonts w:cs="Arial"/>
              </w:rPr>
            </w:pPr>
            <w:r w:rsidRPr="00F874FB">
              <w:rPr>
                <w:rFonts w:cs="Arial"/>
              </w:rPr>
              <w:t>insulin degludec 70 units/mL + insulin aspart 30 units/mL injection, 5 x 3 mL syringes</w:t>
            </w:r>
          </w:p>
        </w:tc>
        <w:tc>
          <w:tcPr>
            <w:tcW w:w="1811" w:type="dxa"/>
          </w:tcPr>
          <w:p w:rsidR="00921D82" w:rsidRPr="00F874FB" w:rsidRDefault="00921D82" w:rsidP="00921D82">
            <w:pPr>
              <w:pStyle w:val="Tabletext0"/>
              <w:adjustRightInd w:val="0"/>
              <w:snapToGrid w:val="0"/>
              <w:rPr>
                <w:rFonts w:cs="Arial"/>
              </w:rPr>
            </w:pPr>
          </w:p>
        </w:tc>
        <w:tc>
          <w:tcPr>
            <w:tcW w:w="882" w:type="dxa"/>
          </w:tcPr>
          <w:p w:rsidR="00921D82" w:rsidRPr="00F874FB" w:rsidRDefault="00921D82" w:rsidP="00921D82">
            <w:pPr>
              <w:pStyle w:val="Tabletext0"/>
              <w:adjustRightInd w:val="0"/>
              <w:snapToGrid w:val="0"/>
              <w:rPr>
                <w:rFonts w:cs="Arial"/>
              </w:rPr>
            </w:pPr>
            <w:r w:rsidRPr="00F874FB">
              <w:rPr>
                <w:rFonts w:cs="Arial"/>
              </w:rPr>
              <w:t>1</w:t>
            </w:r>
          </w:p>
        </w:tc>
        <w:tc>
          <w:tcPr>
            <w:tcW w:w="1021" w:type="dxa"/>
          </w:tcPr>
          <w:p w:rsidR="0056104F" w:rsidRDefault="0056104F" w:rsidP="00921D82">
            <w:pPr>
              <w:pStyle w:val="Tabletext0"/>
              <w:adjustRightInd w:val="0"/>
              <w:snapToGrid w:val="0"/>
              <w:rPr>
                <w:rFonts w:cs="Arial"/>
              </w:rPr>
            </w:pPr>
            <w:r>
              <w:rPr>
                <w:rFonts w:cs="Arial"/>
              </w:rPr>
              <w:t>Proposed</w:t>
            </w:r>
          </w:p>
          <w:p w:rsidR="00921D82" w:rsidRPr="00F874FB" w:rsidRDefault="00921D82" w:rsidP="00921D82">
            <w:pPr>
              <w:pStyle w:val="Tabletext0"/>
              <w:adjustRightInd w:val="0"/>
              <w:snapToGrid w:val="0"/>
              <w:rPr>
                <w:rFonts w:cs="Arial"/>
              </w:rPr>
            </w:pPr>
            <w:r w:rsidRPr="00F874FB">
              <w:rPr>
                <w:rFonts w:cs="Arial"/>
              </w:rPr>
              <w:t>$</w:t>
            </w:r>
            <w:r w:rsidR="00C80DBB">
              <w:rPr>
                <w:rFonts w:cs="Arial"/>
                <w:noProof/>
                <w:color w:val="000000"/>
                <w:highlight w:val="black"/>
              </w:rPr>
              <w:t>'''''''''''''</w:t>
            </w:r>
          </w:p>
        </w:tc>
        <w:tc>
          <w:tcPr>
            <w:tcW w:w="941" w:type="dxa"/>
          </w:tcPr>
          <w:p w:rsidR="0056104F" w:rsidRDefault="0056104F" w:rsidP="00921D82">
            <w:pPr>
              <w:spacing w:before="0"/>
              <w:rPr>
                <w:rFonts w:ascii="Arial Narrow" w:eastAsia="Times New Roman" w:hAnsi="Arial Narrow" w:cs="Arial"/>
                <w:sz w:val="20"/>
                <w:szCs w:val="20"/>
              </w:rPr>
            </w:pPr>
          </w:p>
          <w:p w:rsidR="00921D82" w:rsidRPr="00C80DBB" w:rsidRDefault="00C80DBB" w:rsidP="00921D82">
            <w:pPr>
              <w:spacing w:before="0"/>
              <w:rPr>
                <w:rFonts w:ascii="Arial Narrow" w:eastAsia="Times New Roman" w:hAnsi="Arial Narrow" w:cs="Arial"/>
                <w:sz w:val="20"/>
                <w:szCs w:val="20"/>
                <w:highlight w:val="black"/>
              </w:rPr>
            </w:pPr>
            <w:r>
              <w:rPr>
                <w:rFonts w:ascii="Arial Narrow" w:eastAsia="Times New Roman" w:hAnsi="Arial Narrow" w:cs="Arial"/>
                <w:noProof/>
                <w:color w:val="000000"/>
                <w:sz w:val="20"/>
                <w:szCs w:val="20"/>
                <w:highlight w:val="black"/>
              </w:rPr>
              <w:t>''''''''''''''''''''</w:t>
            </w:r>
          </w:p>
        </w:tc>
      </w:tr>
      <w:tr w:rsidR="00AC49D6" w:rsidRPr="00C756B5" w:rsidTr="00483AF9">
        <w:trPr>
          <w:cantSplit/>
          <w:trHeight w:val="900"/>
        </w:trPr>
        <w:tc>
          <w:tcPr>
            <w:tcW w:w="1951" w:type="dxa"/>
          </w:tcPr>
          <w:p w:rsidR="00AC49D6" w:rsidRPr="00F874FB" w:rsidRDefault="00AC49D6" w:rsidP="00921D82">
            <w:pPr>
              <w:pStyle w:val="Tabletext0"/>
              <w:adjustRightInd w:val="0"/>
              <w:snapToGrid w:val="0"/>
              <w:rPr>
                <w:rFonts w:cs="Arial"/>
              </w:rPr>
            </w:pPr>
            <w:r w:rsidRPr="00F874FB">
              <w:rPr>
                <w:rFonts w:cs="Arial"/>
              </w:rPr>
              <w:t>Insulin detemir</w:t>
            </w:r>
          </w:p>
        </w:tc>
        <w:tc>
          <w:tcPr>
            <w:tcW w:w="2410" w:type="dxa"/>
          </w:tcPr>
          <w:p w:rsidR="00AC49D6" w:rsidRPr="00F874FB" w:rsidRDefault="00AC49D6" w:rsidP="00921D82">
            <w:pPr>
              <w:pStyle w:val="Tabletext0"/>
              <w:adjustRightInd w:val="0"/>
              <w:snapToGrid w:val="0"/>
              <w:rPr>
                <w:rFonts w:cs="Arial"/>
              </w:rPr>
            </w:pPr>
            <w:r w:rsidRPr="00F874FB">
              <w:rPr>
                <w:rFonts w:cs="Arial"/>
              </w:rPr>
              <w:t>Injections (human analogue), cartridges, 100 units per mL, 3 mL, 5</w:t>
            </w:r>
          </w:p>
        </w:tc>
        <w:tc>
          <w:tcPr>
            <w:tcW w:w="1811" w:type="dxa"/>
          </w:tcPr>
          <w:p w:rsidR="00AC49D6" w:rsidRPr="00F874FB" w:rsidRDefault="00AC49D6" w:rsidP="00921D82">
            <w:pPr>
              <w:pStyle w:val="Tabletext0"/>
              <w:adjustRightInd w:val="0"/>
              <w:snapToGrid w:val="0"/>
              <w:rPr>
                <w:rFonts w:cs="Arial"/>
              </w:rPr>
            </w:pPr>
            <w:r w:rsidRPr="00F874FB">
              <w:rPr>
                <w:rFonts w:cs="Arial"/>
              </w:rPr>
              <w:t>Levemir FlexPen</w:t>
            </w:r>
          </w:p>
          <w:p w:rsidR="00AC49D6" w:rsidRPr="00F874FB" w:rsidRDefault="00AC49D6" w:rsidP="00921D82">
            <w:pPr>
              <w:pStyle w:val="Tabletext0"/>
              <w:adjustRightInd w:val="0"/>
              <w:snapToGrid w:val="0"/>
              <w:rPr>
                <w:rFonts w:cs="Arial"/>
              </w:rPr>
            </w:pPr>
            <w:r w:rsidRPr="00F874FB">
              <w:rPr>
                <w:rFonts w:cs="Arial"/>
              </w:rPr>
              <w:t>Levemir</w:t>
            </w:r>
          </w:p>
          <w:p w:rsidR="00AC49D6" w:rsidRPr="00F874FB" w:rsidRDefault="00AC49D6" w:rsidP="00921D82">
            <w:pPr>
              <w:pStyle w:val="Tabletext0"/>
              <w:adjustRightInd w:val="0"/>
              <w:snapToGrid w:val="0"/>
              <w:rPr>
                <w:rFonts w:cs="Arial"/>
              </w:rPr>
            </w:pPr>
            <w:r w:rsidRPr="00F874FB">
              <w:rPr>
                <w:rFonts w:cs="Arial"/>
              </w:rPr>
              <w:t>Penfill</w:t>
            </w:r>
          </w:p>
        </w:tc>
        <w:tc>
          <w:tcPr>
            <w:tcW w:w="882" w:type="dxa"/>
          </w:tcPr>
          <w:p w:rsidR="00AC49D6" w:rsidRPr="00F874FB" w:rsidRDefault="00AC49D6" w:rsidP="00921D82">
            <w:pPr>
              <w:pStyle w:val="Tabletext0"/>
              <w:adjustRightInd w:val="0"/>
              <w:snapToGrid w:val="0"/>
              <w:rPr>
                <w:rFonts w:cs="Arial"/>
              </w:rPr>
            </w:pPr>
            <w:r w:rsidRPr="00F874FB">
              <w:rPr>
                <w:rFonts w:cs="Arial"/>
              </w:rPr>
              <w:t>1</w:t>
            </w:r>
          </w:p>
        </w:tc>
        <w:tc>
          <w:tcPr>
            <w:tcW w:w="1021" w:type="dxa"/>
          </w:tcPr>
          <w:p w:rsidR="00AC49D6" w:rsidRPr="00483AF9" w:rsidRDefault="00444D7B" w:rsidP="00444D7B">
            <w:pPr>
              <w:pStyle w:val="Tabletext0"/>
              <w:adjustRightInd w:val="0"/>
              <w:snapToGrid w:val="0"/>
              <w:rPr>
                <w:rFonts w:cs="Arial"/>
              </w:rPr>
            </w:pPr>
            <w:r w:rsidRPr="00483AF9">
              <w:rPr>
                <w:rFonts w:cs="Arial"/>
              </w:rPr>
              <w:t>$</w:t>
            </w:r>
            <w:r w:rsidR="00C80DBB">
              <w:rPr>
                <w:rFonts w:cs="Arial"/>
                <w:noProof/>
                <w:color w:val="000000"/>
                <w:highlight w:val="black"/>
              </w:rPr>
              <w:t>'''''''''''''</w:t>
            </w:r>
            <w:r w:rsidR="00D20D40" w:rsidRPr="00483AF9">
              <w:rPr>
                <w:rFonts w:cs="Arial"/>
              </w:rPr>
              <w:t>*</w:t>
            </w:r>
          </w:p>
        </w:tc>
        <w:tc>
          <w:tcPr>
            <w:tcW w:w="941" w:type="dxa"/>
          </w:tcPr>
          <w:p w:rsidR="00AC49D6" w:rsidRPr="00C80DBB" w:rsidRDefault="00C80DBB" w:rsidP="00A33DE1">
            <w:pPr>
              <w:spacing w:before="0"/>
              <w:rPr>
                <w:rFonts w:ascii="Arial Narrow" w:hAnsi="Arial Narrow"/>
                <w:sz w:val="20"/>
                <w:szCs w:val="20"/>
                <w:highlight w:val="black"/>
              </w:rPr>
            </w:pPr>
            <w:r>
              <w:rPr>
                <w:rFonts w:ascii="Arial Narrow" w:hAnsi="Arial Narrow"/>
                <w:noProof/>
                <w:color w:val="000000"/>
                <w:sz w:val="20"/>
                <w:szCs w:val="20"/>
                <w:highlight w:val="black"/>
              </w:rPr>
              <w:t>''''''''''''''''''''</w:t>
            </w:r>
          </w:p>
        </w:tc>
      </w:tr>
      <w:tr w:rsidR="00E27C19" w:rsidRPr="00C756B5" w:rsidTr="00483AF9">
        <w:trPr>
          <w:cantSplit/>
          <w:trHeight w:val="900"/>
        </w:trPr>
        <w:tc>
          <w:tcPr>
            <w:tcW w:w="1951" w:type="dxa"/>
          </w:tcPr>
          <w:p w:rsidR="00E27C19" w:rsidRPr="00F874FB" w:rsidRDefault="00E27C19" w:rsidP="00921D82">
            <w:pPr>
              <w:pStyle w:val="Tabletext0"/>
              <w:adjustRightInd w:val="0"/>
              <w:snapToGrid w:val="0"/>
              <w:rPr>
                <w:rFonts w:cs="Arial"/>
              </w:rPr>
            </w:pPr>
            <w:r w:rsidRPr="00F874FB">
              <w:rPr>
                <w:rFonts w:cs="Arial"/>
              </w:rPr>
              <w:t>Insulin glargine</w:t>
            </w:r>
          </w:p>
        </w:tc>
        <w:tc>
          <w:tcPr>
            <w:tcW w:w="2410" w:type="dxa"/>
          </w:tcPr>
          <w:p w:rsidR="00E27C19" w:rsidRPr="00F874FB" w:rsidRDefault="00E27C19" w:rsidP="00921D82">
            <w:pPr>
              <w:pStyle w:val="Tabletext0"/>
              <w:adjustRightInd w:val="0"/>
              <w:snapToGrid w:val="0"/>
              <w:rPr>
                <w:rFonts w:cs="Arial"/>
              </w:rPr>
            </w:pPr>
            <w:r w:rsidRPr="00F874FB">
              <w:rPr>
                <w:rFonts w:cs="Arial"/>
              </w:rPr>
              <w:t>Injections (human analogue), cartridges, 100 units per mL, 3 mL, 5</w:t>
            </w:r>
          </w:p>
        </w:tc>
        <w:tc>
          <w:tcPr>
            <w:tcW w:w="1811" w:type="dxa"/>
          </w:tcPr>
          <w:p w:rsidR="00E27C19" w:rsidRPr="00F874FB" w:rsidRDefault="00E27C19" w:rsidP="00921D82">
            <w:pPr>
              <w:pStyle w:val="Tabletext0"/>
              <w:adjustRightInd w:val="0"/>
              <w:snapToGrid w:val="0"/>
              <w:rPr>
                <w:rFonts w:cs="Arial"/>
              </w:rPr>
            </w:pPr>
            <w:r w:rsidRPr="00F874FB">
              <w:rPr>
                <w:rFonts w:cs="Arial"/>
              </w:rPr>
              <w:t>Lantus</w:t>
            </w:r>
          </w:p>
        </w:tc>
        <w:tc>
          <w:tcPr>
            <w:tcW w:w="882" w:type="dxa"/>
          </w:tcPr>
          <w:p w:rsidR="00E27C19" w:rsidRPr="00F874FB" w:rsidRDefault="00E27C19" w:rsidP="00921D82">
            <w:pPr>
              <w:pStyle w:val="Tabletext0"/>
              <w:adjustRightInd w:val="0"/>
              <w:snapToGrid w:val="0"/>
              <w:rPr>
                <w:rFonts w:cs="Arial"/>
              </w:rPr>
            </w:pPr>
            <w:r w:rsidRPr="00F874FB">
              <w:rPr>
                <w:rFonts w:cs="Arial"/>
              </w:rPr>
              <w:t>1</w:t>
            </w:r>
          </w:p>
        </w:tc>
        <w:tc>
          <w:tcPr>
            <w:tcW w:w="1021" w:type="dxa"/>
          </w:tcPr>
          <w:p w:rsidR="00E27C19" w:rsidRPr="00483AF9" w:rsidRDefault="00E27C19" w:rsidP="00444D7B">
            <w:pPr>
              <w:pStyle w:val="Tabletext0"/>
              <w:adjustRightInd w:val="0"/>
              <w:snapToGrid w:val="0"/>
              <w:rPr>
                <w:rFonts w:cs="Arial"/>
              </w:rPr>
            </w:pPr>
            <w:r w:rsidRPr="00483AF9">
              <w:rPr>
                <w:rFonts w:cs="Arial"/>
              </w:rPr>
              <w:t>$</w:t>
            </w:r>
            <w:r w:rsidR="00C80DBB">
              <w:rPr>
                <w:rFonts w:cs="Arial"/>
                <w:noProof/>
                <w:color w:val="000000"/>
                <w:highlight w:val="black"/>
              </w:rPr>
              <w:t>''''''''''''''</w:t>
            </w:r>
            <w:r w:rsidRPr="00483AF9">
              <w:rPr>
                <w:rFonts w:cs="Arial"/>
              </w:rPr>
              <w:t>*</w:t>
            </w:r>
          </w:p>
        </w:tc>
        <w:tc>
          <w:tcPr>
            <w:tcW w:w="941" w:type="dxa"/>
          </w:tcPr>
          <w:p w:rsidR="00E27C19" w:rsidRPr="00C80DBB" w:rsidRDefault="00C80DBB" w:rsidP="00A33DE1">
            <w:pPr>
              <w:spacing w:before="0"/>
              <w:rPr>
                <w:rFonts w:ascii="Arial Narrow" w:hAnsi="Arial Narrow"/>
                <w:sz w:val="20"/>
                <w:szCs w:val="20"/>
                <w:highlight w:val="black"/>
              </w:rPr>
            </w:pPr>
            <w:r>
              <w:rPr>
                <w:rFonts w:ascii="Arial Narrow" w:hAnsi="Arial Narrow"/>
                <w:noProof/>
                <w:color w:val="000000"/>
                <w:sz w:val="20"/>
                <w:szCs w:val="20"/>
                <w:highlight w:val="black"/>
              </w:rPr>
              <w:t>''''''''''''''''''</w:t>
            </w:r>
          </w:p>
        </w:tc>
      </w:tr>
      <w:tr w:rsidR="00A33DE1" w:rsidRPr="00C756B5" w:rsidTr="00483AF9">
        <w:trPr>
          <w:cantSplit/>
        </w:trPr>
        <w:tc>
          <w:tcPr>
            <w:tcW w:w="1951" w:type="dxa"/>
            <w:hideMark/>
          </w:tcPr>
          <w:p w:rsidR="00A33DE1" w:rsidRPr="00F874FB" w:rsidRDefault="00A33DE1" w:rsidP="00921D82">
            <w:pPr>
              <w:pStyle w:val="Tabletext0"/>
              <w:adjustRightInd w:val="0"/>
              <w:snapToGrid w:val="0"/>
              <w:rPr>
                <w:rFonts w:cs="Arial"/>
              </w:rPr>
            </w:pPr>
            <w:r w:rsidRPr="00F874FB">
              <w:rPr>
                <w:rFonts w:cs="Arial"/>
              </w:rPr>
              <w:t>Insulin aspart</w:t>
            </w:r>
          </w:p>
        </w:tc>
        <w:tc>
          <w:tcPr>
            <w:tcW w:w="2410" w:type="dxa"/>
            <w:hideMark/>
          </w:tcPr>
          <w:p w:rsidR="00A33DE1" w:rsidRPr="00F874FB" w:rsidRDefault="00A33DE1" w:rsidP="00921D82">
            <w:pPr>
              <w:pStyle w:val="Tabletext0"/>
              <w:adjustRightInd w:val="0"/>
              <w:snapToGrid w:val="0"/>
              <w:rPr>
                <w:rFonts w:cs="Arial"/>
              </w:rPr>
            </w:pPr>
            <w:r w:rsidRPr="00F874FB">
              <w:rPr>
                <w:rFonts w:cs="Arial"/>
              </w:rPr>
              <w:t>Injections (human analogue), cartridges, 100 units per mL, 3 mL, 5</w:t>
            </w:r>
          </w:p>
        </w:tc>
        <w:tc>
          <w:tcPr>
            <w:tcW w:w="1811" w:type="dxa"/>
            <w:hideMark/>
          </w:tcPr>
          <w:p w:rsidR="00A33DE1" w:rsidRPr="00F874FB" w:rsidRDefault="00A33DE1" w:rsidP="00921D82">
            <w:pPr>
              <w:pStyle w:val="Tabletext0"/>
              <w:adjustRightInd w:val="0"/>
              <w:snapToGrid w:val="0"/>
              <w:rPr>
                <w:rFonts w:cs="Arial"/>
              </w:rPr>
            </w:pPr>
            <w:r w:rsidRPr="00F874FB">
              <w:rPr>
                <w:rFonts w:cs="Arial"/>
              </w:rPr>
              <w:t>NovoRapid FlexPen</w:t>
            </w:r>
          </w:p>
          <w:p w:rsidR="00A33DE1" w:rsidRPr="00F874FB" w:rsidRDefault="00A33DE1" w:rsidP="00921D82">
            <w:pPr>
              <w:pStyle w:val="Tabletext0"/>
              <w:adjustRightInd w:val="0"/>
              <w:snapToGrid w:val="0"/>
              <w:rPr>
                <w:rFonts w:cs="Arial"/>
              </w:rPr>
            </w:pPr>
            <w:r w:rsidRPr="00F874FB">
              <w:rPr>
                <w:rFonts w:cs="Arial"/>
              </w:rPr>
              <w:t>NovoRapid Penfill 3 mL</w:t>
            </w:r>
          </w:p>
        </w:tc>
        <w:tc>
          <w:tcPr>
            <w:tcW w:w="882" w:type="dxa"/>
            <w:hideMark/>
          </w:tcPr>
          <w:p w:rsidR="00A33DE1" w:rsidRPr="00F874FB" w:rsidRDefault="00A33DE1" w:rsidP="00921D82">
            <w:pPr>
              <w:pStyle w:val="Tabletext0"/>
              <w:adjustRightInd w:val="0"/>
              <w:snapToGrid w:val="0"/>
              <w:rPr>
                <w:rFonts w:cs="Arial"/>
              </w:rPr>
            </w:pPr>
            <w:r w:rsidRPr="00F874FB">
              <w:rPr>
                <w:rFonts w:cs="Arial"/>
              </w:rPr>
              <w:t>1</w:t>
            </w:r>
          </w:p>
        </w:tc>
        <w:tc>
          <w:tcPr>
            <w:tcW w:w="1021" w:type="dxa"/>
            <w:hideMark/>
          </w:tcPr>
          <w:p w:rsidR="00A33DE1" w:rsidRPr="00F874FB" w:rsidRDefault="00444D7B" w:rsidP="00921D82">
            <w:pPr>
              <w:pStyle w:val="Tabletext0"/>
              <w:adjustRightInd w:val="0"/>
              <w:snapToGrid w:val="0"/>
              <w:rPr>
                <w:rFonts w:cs="Arial"/>
              </w:rPr>
            </w:pPr>
            <w:r w:rsidRPr="00F874FB">
              <w:rPr>
                <w:rFonts w:cs="Arial"/>
              </w:rPr>
              <w:t>$</w:t>
            </w:r>
            <w:r w:rsidR="00A33DE1" w:rsidRPr="00F874FB">
              <w:rPr>
                <w:rFonts w:cs="Arial"/>
              </w:rPr>
              <w:t>42.38</w:t>
            </w:r>
          </w:p>
        </w:tc>
        <w:tc>
          <w:tcPr>
            <w:tcW w:w="941" w:type="dxa"/>
            <w:hideMark/>
          </w:tcPr>
          <w:p w:rsidR="00A33DE1" w:rsidRPr="00F874FB" w:rsidRDefault="00A33DE1" w:rsidP="00A33DE1">
            <w:pPr>
              <w:spacing w:before="0"/>
              <w:rPr>
                <w:rFonts w:ascii="Arial Narrow" w:hAnsi="Arial Narrow"/>
                <w:sz w:val="20"/>
                <w:szCs w:val="20"/>
              </w:rPr>
            </w:pPr>
            <w:r w:rsidRPr="00F874FB">
              <w:rPr>
                <w:rFonts w:ascii="Arial Narrow" w:hAnsi="Arial Narrow"/>
                <w:sz w:val="20"/>
                <w:szCs w:val="20"/>
              </w:rPr>
              <w:t>0.02825</w:t>
            </w:r>
          </w:p>
        </w:tc>
      </w:tr>
      <w:tr w:rsidR="006F4646" w:rsidRPr="00C756B5" w:rsidTr="00483AF9">
        <w:trPr>
          <w:cantSplit/>
        </w:trPr>
        <w:tc>
          <w:tcPr>
            <w:tcW w:w="1951" w:type="dxa"/>
            <w:hideMark/>
          </w:tcPr>
          <w:p w:rsidR="006F4646" w:rsidRPr="00F874FB" w:rsidRDefault="006F4646" w:rsidP="00921D82">
            <w:pPr>
              <w:pStyle w:val="Tabletext0"/>
              <w:adjustRightInd w:val="0"/>
              <w:snapToGrid w:val="0"/>
              <w:rPr>
                <w:rFonts w:cs="Arial"/>
              </w:rPr>
            </w:pPr>
            <w:r w:rsidRPr="00F874FB">
              <w:rPr>
                <w:rFonts w:cs="Arial"/>
              </w:rPr>
              <w:t>Insulin aspart with insulin aspart protamine suspension</w:t>
            </w:r>
          </w:p>
        </w:tc>
        <w:tc>
          <w:tcPr>
            <w:tcW w:w="2410" w:type="dxa"/>
            <w:hideMark/>
          </w:tcPr>
          <w:p w:rsidR="006F4646" w:rsidRPr="00F874FB" w:rsidRDefault="006F4646" w:rsidP="00921D82">
            <w:pPr>
              <w:pStyle w:val="Tabletext0"/>
              <w:adjustRightInd w:val="0"/>
              <w:snapToGrid w:val="0"/>
              <w:rPr>
                <w:rFonts w:cs="Arial"/>
              </w:rPr>
            </w:pPr>
            <w:r w:rsidRPr="00F874FB">
              <w:rPr>
                <w:rFonts w:cs="Arial"/>
              </w:rPr>
              <w:t>Injections (human analogue), cartridges, 30 units-70 units per mL, 3 mL, 5</w:t>
            </w:r>
          </w:p>
        </w:tc>
        <w:tc>
          <w:tcPr>
            <w:tcW w:w="1811" w:type="dxa"/>
            <w:hideMark/>
          </w:tcPr>
          <w:p w:rsidR="006F4646" w:rsidRPr="00F874FB" w:rsidRDefault="006F4646" w:rsidP="00921D82">
            <w:pPr>
              <w:pStyle w:val="Tabletext0"/>
              <w:adjustRightInd w:val="0"/>
              <w:snapToGrid w:val="0"/>
              <w:rPr>
                <w:rFonts w:cs="Arial"/>
              </w:rPr>
            </w:pPr>
            <w:r w:rsidRPr="00F874FB">
              <w:rPr>
                <w:rFonts w:cs="Arial"/>
              </w:rPr>
              <w:t>NovoMix 30 FlexPen</w:t>
            </w:r>
          </w:p>
          <w:p w:rsidR="006F4646" w:rsidRPr="00F874FB" w:rsidRDefault="006F4646" w:rsidP="00921D82">
            <w:pPr>
              <w:pStyle w:val="Tabletext0"/>
              <w:adjustRightInd w:val="0"/>
              <w:snapToGrid w:val="0"/>
              <w:rPr>
                <w:rFonts w:cs="Arial"/>
              </w:rPr>
            </w:pPr>
            <w:r w:rsidRPr="00F874FB">
              <w:rPr>
                <w:rFonts w:cs="Arial"/>
              </w:rPr>
              <w:t>NovoMix 30 Penfill 3 mL</w:t>
            </w:r>
          </w:p>
        </w:tc>
        <w:tc>
          <w:tcPr>
            <w:tcW w:w="882" w:type="dxa"/>
            <w:hideMark/>
          </w:tcPr>
          <w:p w:rsidR="006F4646" w:rsidRPr="00F874FB" w:rsidRDefault="006F4646" w:rsidP="00921D82">
            <w:pPr>
              <w:pStyle w:val="Tabletext0"/>
              <w:adjustRightInd w:val="0"/>
              <w:snapToGrid w:val="0"/>
              <w:rPr>
                <w:rFonts w:cs="Arial"/>
              </w:rPr>
            </w:pPr>
            <w:r w:rsidRPr="00F874FB">
              <w:rPr>
                <w:rFonts w:cs="Arial"/>
              </w:rPr>
              <w:t>1</w:t>
            </w:r>
          </w:p>
        </w:tc>
        <w:tc>
          <w:tcPr>
            <w:tcW w:w="1021" w:type="dxa"/>
            <w:hideMark/>
          </w:tcPr>
          <w:p w:rsidR="006F4646" w:rsidRPr="00F874FB" w:rsidRDefault="00444D7B" w:rsidP="00921D82">
            <w:pPr>
              <w:pStyle w:val="Tabletext0"/>
              <w:adjustRightInd w:val="0"/>
              <w:snapToGrid w:val="0"/>
              <w:rPr>
                <w:rFonts w:cs="Arial"/>
              </w:rPr>
            </w:pPr>
            <w:r w:rsidRPr="00F874FB">
              <w:rPr>
                <w:rFonts w:cs="Arial"/>
              </w:rPr>
              <w:t>$</w:t>
            </w:r>
            <w:r w:rsidR="006F4646" w:rsidRPr="00F874FB">
              <w:rPr>
                <w:rFonts w:cs="Arial"/>
              </w:rPr>
              <w:t>42.38</w:t>
            </w:r>
          </w:p>
        </w:tc>
        <w:tc>
          <w:tcPr>
            <w:tcW w:w="941" w:type="dxa"/>
            <w:hideMark/>
          </w:tcPr>
          <w:p w:rsidR="006F4646" w:rsidRPr="00F874FB" w:rsidRDefault="006F4646" w:rsidP="00A33DE1">
            <w:pPr>
              <w:spacing w:before="0"/>
              <w:rPr>
                <w:rFonts w:ascii="Arial Narrow" w:hAnsi="Arial Narrow"/>
                <w:sz w:val="20"/>
                <w:szCs w:val="20"/>
              </w:rPr>
            </w:pPr>
            <w:r w:rsidRPr="00F874FB">
              <w:rPr>
                <w:rFonts w:ascii="Arial Narrow" w:hAnsi="Arial Narrow"/>
                <w:sz w:val="20"/>
                <w:szCs w:val="20"/>
              </w:rPr>
              <w:t>0.02825</w:t>
            </w:r>
          </w:p>
        </w:tc>
      </w:tr>
      <w:tr w:rsidR="006F4646" w:rsidRPr="00C756B5" w:rsidTr="00483AF9">
        <w:trPr>
          <w:cantSplit/>
        </w:trPr>
        <w:tc>
          <w:tcPr>
            <w:tcW w:w="1951" w:type="dxa"/>
            <w:hideMark/>
          </w:tcPr>
          <w:p w:rsidR="006F4646" w:rsidRPr="00C756B5" w:rsidRDefault="006F4646" w:rsidP="00921D82">
            <w:pPr>
              <w:pStyle w:val="Tabletext0"/>
              <w:adjustRightInd w:val="0"/>
              <w:snapToGrid w:val="0"/>
              <w:rPr>
                <w:rFonts w:cs="Arial"/>
              </w:rPr>
            </w:pPr>
            <w:r w:rsidRPr="00C756B5">
              <w:rPr>
                <w:rFonts w:cs="Arial"/>
              </w:rPr>
              <w:t>Insulin glulisine</w:t>
            </w:r>
          </w:p>
        </w:tc>
        <w:tc>
          <w:tcPr>
            <w:tcW w:w="2410" w:type="dxa"/>
            <w:hideMark/>
          </w:tcPr>
          <w:p w:rsidR="006F4646" w:rsidRPr="00C756B5" w:rsidRDefault="006F4646" w:rsidP="00921D82">
            <w:pPr>
              <w:pStyle w:val="Tabletext0"/>
              <w:adjustRightInd w:val="0"/>
              <w:snapToGrid w:val="0"/>
              <w:rPr>
                <w:rFonts w:cs="Arial"/>
              </w:rPr>
            </w:pPr>
            <w:r w:rsidRPr="00C756B5">
              <w:rPr>
                <w:rFonts w:cs="Arial"/>
              </w:rPr>
              <w:t>Injections (human analogue), cartridges, 100 units per mL, 3 mL, 5</w:t>
            </w:r>
          </w:p>
        </w:tc>
        <w:tc>
          <w:tcPr>
            <w:tcW w:w="1811" w:type="dxa"/>
            <w:hideMark/>
          </w:tcPr>
          <w:p w:rsidR="006F4646" w:rsidRPr="00C756B5" w:rsidRDefault="006F4646" w:rsidP="00921D82">
            <w:pPr>
              <w:pStyle w:val="Tabletext0"/>
              <w:adjustRightInd w:val="0"/>
              <w:snapToGrid w:val="0"/>
              <w:rPr>
                <w:rFonts w:cs="Arial"/>
              </w:rPr>
            </w:pPr>
            <w:r w:rsidRPr="00C756B5">
              <w:rPr>
                <w:rFonts w:cs="Arial"/>
              </w:rPr>
              <w:t>Apidra</w:t>
            </w:r>
          </w:p>
          <w:p w:rsidR="006F4646" w:rsidRPr="00C756B5" w:rsidRDefault="006F4646" w:rsidP="00921D82">
            <w:pPr>
              <w:pStyle w:val="Tabletext0"/>
              <w:adjustRightInd w:val="0"/>
              <w:snapToGrid w:val="0"/>
              <w:rPr>
                <w:rFonts w:cs="Arial"/>
              </w:rPr>
            </w:pPr>
            <w:r w:rsidRPr="00C756B5">
              <w:rPr>
                <w:rFonts w:cs="Arial"/>
              </w:rPr>
              <w:t>Apidra SoloStar</w:t>
            </w:r>
          </w:p>
        </w:tc>
        <w:tc>
          <w:tcPr>
            <w:tcW w:w="882" w:type="dxa"/>
            <w:hideMark/>
          </w:tcPr>
          <w:p w:rsidR="006F4646" w:rsidRPr="00C756B5" w:rsidRDefault="006F4646" w:rsidP="00921D82">
            <w:pPr>
              <w:pStyle w:val="Tabletext0"/>
              <w:adjustRightInd w:val="0"/>
              <w:snapToGrid w:val="0"/>
              <w:rPr>
                <w:rFonts w:cs="Arial"/>
              </w:rPr>
            </w:pPr>
            <w:r w:rsidRPr="00C756B5">
              <w:rPr>
                <w:rFonts w:cs="Arial"/>
              </w:rPr>
              <w:t>1</w:t>
            </w:r>
          </w:p>
        </w:tc>
        <w:tc>
          <w:tcPr>
            <w:tcW w:w="1021" w:type="dxa"/>
            <w:hideMark/>
          </w:tcPr>
          <w:p w:rsidR="006F4646" w:rsidRPr="00C756B5" w:rsidRDefault="00444D7B" w:rsidP="00921D82">
            <w:pPr>
              <w:pStyle w:val="Tabletext0"/>
              <w:adjustRightInd w:val="0"/>
              <w:snapToGrid w:val="0"/>
              <w:rPr>
                <w:rFonts w:cs="Arial"/>
              </w:rPr>
            </w:pPr>
            <w:r w:rsidRPr="00C756B5">
              <w:rPr>
                <w:rFonts w:cs="Arial"/>
              </w:rPr>
              <w:t>$</w:t>
            </w:r>
            <w:r w:rsidR="006F4646" w:rsidRPr="00C756B5">
              <w:rPr>
                <w:rFonts w:cs="Arial"/>
              </w:rPr>
              <w:t>42.38</w:t>
            </w:r>
          </w:p>
        </w:tc>
        <w:tc>
          <w:tcPr>
            <w:tcW w:w="941" w:type="dxa"/>
            <w:hideMark/>
          </w:tcPr>
          <w:p w:rsidR="006F4646" w:rsidRPr="00C756B5" w:rsidRDefault="006F4646" w:rsidP="00A33DE1">
            <w:pPr>
              <w:spacing w:before="0"/>
              <w:rPr>
                <w:rFonts w:ascii="Arial Narrow" w:hAnsi="Arial Narrow"/>
                <w:sz w:val="20"/>
                <w:szCs w:val="20"/>
              </w:rPr>
            </w:pPr>
            <w:r w:rsidRPr="00C756B5">
              <w:rPr>
                <w:rFonts w:ascii="Arial Narrow" w:hAnsi="Arial Narrow"/>
                <w:sz w:val="20"/>
                <w:szCs w:val="20"/>
              </w:rPr>
              <w:t>0.02825</w:t>
            </w:r>
          </w:p>
        </w:tc>
      </w:tr>
      <w:tr w:rsidR="006F4646" w:rsidRPr="00C756B5" w:rsidTr="00483AF9">
        <w:trPr>
          <w:cantSplit/>
        </w:trPr>
        <w:tc>
          <w:tcPr>
            <w:tcW w:w="1951" w:type="dxa"/>
            <w:hideMark/>
          </w:tcPr>
          <w:p w:rsidR="006F4646" w:rsidRPr="00C756B5" w:rsidRDefault="006F4646" w:rsidP="00921D82">
            <w:pPr>
              <w:pStyle w:val="Tabletext0"/>
              <w:adjustRightInd w:val="0"/>
              <w:snapToGrid w:val="0"/>
              <w:rPr>
                <w:rFonts w:cs="Arial"/>
              </w:rPr>
            </w:pPr>
            <w:r w:rsidRPr="00C756B5">
              <w:rPr>
                <w:rFonts w:cs="Arial"/>
              </w:rPr>
              <w:t>Insulin lispro</w:t>
            </w:r>
          </w:p>
        </w:tc>
        <w:tc>
          <w:tcPr>
            <w:tcW w:w="2410" w:type="dxa"/>
            <w:hideMark/>
          </w:tcPr>
          <w:p w:rsidR="006F4646" w:rsidRPr="00C756B5" w:rsidRDefault="006F4646" w:rsidP="00921D82">
            <w:pPr>
              <w:pStyle w:val="Tabletext0"/>
              <w:adjustRightInd w:val="0"/>
              <w:snapToGrid w:val="0"/>
              <w:rPr>
                <w:rFonts w:cs="Arial"/>
              </w:rPr>
            </w:pPr>
            <w:r w:rsidRPr="00C756B5">
              <w:rPr>
                <w:rFonts w:cs="Arial"/>
              </w:rPr>
              <w:t>Injections (human analogue), cartridges, 100 units per mL, 3 mL, 5</w:t>
            </w:r>
          </w:p>
        </w:tc>
        <w:tc>
          <w:tcPr>
            <w:tcW w:w="1811" w:type="dxa"/>
            <w:hideMark/>
          </w:tcPr>
          <w:p w:rsidR="006F4646" w:rsidRPr="00C756B5" w:rsidRDefault="006F4646" w:rsidP="00921D82">
            <w:pPr>
              <w:pStyle w:val="Tabletext0"/>
              <w:adjustRightInd w:val="0"/>
              <w:snapToGrid w:val="0"/>
              <w:rPr>
                <w:rFonts w:cs="Arial"/>
              </w:rPr>
            </w:pPr>
            <w:r w:rsidRPr="00C756B5">
              <w:rPr>
                <w:rFonts w:cs="Arial"/>
              </w:rPr>
              <w:t>Humalog</w:t>
            </w:r>
          </w:p>
          <w:p w:rsidR="006F4646" w:rsidRPr="00C756B5" w:rsidRDefault="006F4646" w:rsidP="00921D82">
            <w:pPr>
              <w:pStyle w:val="Tabletext0"/>
              <w:adjustRightInd w:val="0"/>
              <w:snapToGrid w:val="0"/>
              <w:rPr>
                <w:rFonts w:cs="Arial"/>
              </w:rPr>
            </w:pPr>
            <w:r w:rsidRPr="00C756B5">
              <w:rPr>
                <w:rFonts w:cs="Arial"/>
              </w:rPr>
              <w:t>Humalog KwikPen</w:t>
            </w:r>
          </w:p>
        </w:tc>
        <w:tc>
          <w:tcPr>
            <w:tcW w:w="882" w:type="dxa"/>
            <w:hideMark/>
          </w:tcPr>
          <w:p w:rsidR="006F4646" w:rsidRPr="00C756B5" w:rsidRDefault="006F4646" w:rsidP="00921D82">
            <w:pPr>
              <w:pStyle w:val="Tabletext0"/>
              <w:adjustRightInd w:val="0"/>
              <w:snapToGrid w:val="0"/>
              <w:rPr>
                <w:rFonts w:cs="Arial"/>
              </w:rPr>
            </w:pPr>
            <w:r w:rsidRPr="00C756B5">
              <w:rPr>
                <w:rFonts w:cs="Arial"/>
              </w:rPr>
              <w:t>1</w:t>
            </w:r>
          </w:p>
        </w:tc>
        <w:tc>
          <w:tcPr>
            <w:tcW w:w="1021" w:type="dxa"/>
            <w:hideMark/>
          </w:tcPr>
          <w:p w:rsidR="006F4646" w:rsidRPr="00C756B5" w:rsidRDefault="00444D7B" w:rsidP="00921D82">
            <w:pPr>
              <w:pStyle w:val="Tabletext0"/>
              <w:adjustRightInd w:val="0"/>
              <w:snapToGrid w:val="0"/>
              <w:rPr>
                <w:rFonts w:cs="Arial"/>
              </w:rPr>
            </w:pPr>
            <w:r w:rsidRPr="00C756B5">
              <w:rPr>
                <w:rFonts w:cs="Arial"/>
              </w:rPr>
              <w:t>$</w:t>
            </w:r>
            <w:r w:rsidR="006F4646" w:rsidRPr="00C756B5">
              <w:rPr>
                <w:rFonts w:cs="Arial"/>
              </w:rPr>
              <w:t>42.38</w:t>
            </w:r>
          </w:p>
        </w:tc>
        <w:tc>
          <w:tcPr>
            <w:tcW w:w="941" w:type="dxa"/>
            <w:hideMark/>
          </w:tcPr>
          <w:p w:rsidR="006F4646" w:rsidRPr="00C756B5" w:rsidRDefault="006F4646" w:rsidP="00A33DE1">
            <w:pPr>
              <w:spacing w:before="0"/>
              <w:rPr>
                <w:rFonts w:ascii="Arial Narrow" w:hAnsi="Arial Narrow"/>
                <w:sz w:val="20"/>
                <w:szCs w:val="20"/>
              </w:rPr>
            </w:pPr>
            <w:r w:rsidRPr="00C756B5">
              <w:rPr>
                <w:rFonts w:ascii="Arial Narrow" w:hAnsi="Arial Narrow"/>
                <w:sz w:val="20"/>
                <w:szCs w:val="20"/>
              </w:rPr>
              <w:t>0.02825</w:t>
            </w:r>
          </w:p>
        </w:tc>
      </w:tr>
      <w:tr w:rsidR="006F4646" w:rsidRPr="00C756B5" w:rsidTr="00483AF9">
        <w:trPr>
          <w:cantSplit/>
        </w:trPr>
        <w:tc>
          <w:tcPr>
            <w:tcW w:w="1951" w:type="dxa"/>
            <w:hideMark/>
          </w:tcPr>
          <w:p w:rsidR="006F4646" w:rsidRPr="00C756B5" w:rsidRDefault="006F4646" w:rsidP="00921D82">
            <w:pPr>
              <w:pStyle w:val="Tabletext0"/>
              <w:adjustRightInd w:val="0"/>
              <w:snapToGrid w:val="0"/>
              <w:rPr>
                <w:rFonts w:cs="Arial"/>
              </w:rPr>
            </w:pPr>
            <w:r w:rsidRPr="00C756B5">
              <w:rPr>
                <w:rFonts w:cs="Arial"/>
              </w:rPr>
              <w:t>Insulin lispro with insulin lispro protamine suspension</w:t>
            </w:r>
          </w:p>
        </w:tc>
        <w:tc>
          <w:tcPr>
            <w:tcW w:w="2410" w:type="dxa"/>
            <w:hideMark/>
          </w:tcPr>
          <w:p w:rsidR="006F4646" w:rsidRPr="00C756B5" w:rsidRDefault="006F4646" w:rsidP="00921D82">
            <w:pPr>
              <w:pStyle w:val="Tabletext0"/>
              <w:adjustRightInd w:val="0"/>
              <w:snapToGrid w:val="0"/>
              <w:rPr>
                <w:rFonts w:cs="Arial"/>
              </w:rPr>
            </w:pPr>
            <w:r w:rsidRPr="00C756B5">
              <w:rPr>
                <w:rFonts w:cs="Arial"/>
              </w:rPr>
              <w:t>Injections (human analogue), cartridges, 25 units-75 units per mL, 3 mL, 5</w:t>
            </w:r>
          </w:p>
        </w:tc>
        <w:tc>
          <w:tcPr>
            <w:tcW w:w="1811" w:type="dxa"/>
            <w:hideMark/>
          </w:tcPr>
          <w:p w:rsidR="006F4646" w:rsidRPr="00C756B5" w:rsidRDefault="006F4646" w:rsidP="00921D82">
            <w:pPr>
              <w:pStyle w:val="Tabletext0"/>
              <w:adjustRightInd w:val="0"/>
              <w:snapToGrid w:val="0"/>
              <w:rPr>
                <w:rFonts w:cs="Arial"/>
                <w:lang w:val="de-DE"/>
              </w:rPr>
            </w:pPr>
            <w:r w:rsidRPr="00C756B5">
              <w:rPr>
                <w:rFonts w:cs="Arial"/>
                <w:lang w:val="de-DE"/>
              </w:rPr>
              <w:t>Humalog Mix25</w:t>
            </w:r>
          </w:p>
          <w:p w:rsidR="006F4646" w:rsidRPr="00C756B5" w:rsidRDefault="006F4646" w:rsidP="00921D82">
            <w:pPr>
              <w:pStyle w:val="Tabletext0"/>
              <w:adjustRightInd w:val="0"/>
              <w:snapToGrid w:val="0"/>
              <w:rPr>
                <w:rFonts w:cs="Arial"/>
                <w:lang w:val="de-DE"/>
              </w:rPr>
            </w:pPr>
            <w:r w:rsidRPr="00C756B5">
              <w:rPr>
                <w:rFonts w:cs="Arial"/>
                <w:lang w:val="de-DE"/>
              </w:rPr>
              <w:t>Humalog Mix25 KwikPen</w:t>
            </w:r>
          </w:p>
        </w:tc>
        <w:tc>
          <w:tcPr>
            <w:tcW w:w="882" w:type="dxa"/>
            <w:hideMark/>
          </w:tcPr>
          <w:p w:rsidR="006F4646" w:rsidRPr="00C756B5" w:rsidRDefault="006F4646" w:rsidP="00921D82">
            <w:pPr>
              <w:pStyle w:val="Tabletext0"/>
              <w:adjustRightInd w:val="0"/>
              <w:snapToGrid w:val="0"/>
              <w:rPr>
                <w:rFonts w:cs="Arial"/>
              </w:rPr>
            </w:pPr>
            <w:r w:rsidRPr="00C756B5">
              <w:rPr>
                <w:rFonts w:cs="Arial"/>
              </w:rPr>
              <w:t>1</w:t>
            </w:r>
          </w:p>
        </w:tc>
        <w:tc>
          <w:tcPr>
            <w:tcW w:w="1021" w:type="dxa"/>
            <w:hideMark/>
          </w:tcPr>
          <w:p w:rsidR="006F4646" w:rsidRPr="00C756B5" w:rsidRDefault="00444D7B" w:rsidP="00921D82">
            <w:pPr>
              <w:pStyle w:val="Tabletext0"/>
              <w:adjustRightInd w:val="0"/>
              <w:snapToGrid w:val="0"/>
              <w:rPr>
                <w:rFonts w:cs="Arial"/>
              </w:rPr>
            </w:pPr>
            <w:r w:rsidRPr="00C756B5">
              <w:rPr>
                <w:rFonts w:cs="Arial"/>
              </w:rPr>
              <w:t>$</w:t>
            </w:r>
            <w:r w:rsidR="006F4646" w:rsidRPr="00C756B5">
              <w:rPr>
                <w:rFonts w:cs="Arial"/>
              </w:rPr>
              <w:t>42.38</w:t>
            </w:r>
          </w:p>
        </w:tc>
        <w:tc>
          <w:tcPr>
            <w:tcW w:w="941" w:type="dxa"/>
            <w:hideMark/>
          </w:tcPr>
          <w:p w:rsidR="006F4646" w:rsidRPr="00C756B5" w:rsidRDefault="006F4646" w:rsidP="00A33DE1">
            <w:pPr>
              <w:spacing w:before="0"/>
              <w:rPr>
                <w:rFonts w:ascii="Arial Narrow" w:hAnsi="Arial Narrow"/>
                <w:sz w:val="20"/>
                <w:szCs w:val="20"/>
              </w:rPr>
            </w:pPr>
            <w:r w:rsidRPr="00C756B5">
              <w:rPr>
                <w:rFonts w:ascii="Arial Narrow" w:hAnsi="Arial Narrow"/>
                <w:sz w:val="20"/>
                <w:szCs w:val="20"/>
              </w:rPr>
              <w:t>0.02825</w:t>
            </w:r>
          </w:p>
        </w:tc>
      </w:tr>
      <w:tr w:rsidR="006F4646" w:rsidRPr="00C756B5" w:rsidTr="00483AF9">
        <w:trPr>
          <w:cantSplit/>
        </w:trPr>
        <w:tc>
          <w:tcPr>
            <w:tcW w:w="1951" w:type="dxa"/>
            <w:hideMark/>
          </w:tcPr>
          <w:p w:rsidR="006F4646" w:rsidRPr="00C756B5" w:rsidRDefault="006F4646" w:rsidP="00921D82">
            <w:pPr>
              <w:pStyle w:val="Tabletext0"/>
              <w:adjustRightInd w:val="0"/>
              <w:snapToGrid w:val="0"/>
              <w:rPr>
                <w:rFonts w:cs="Arial"/>
              </w:rPr>
            </w:pPr>
            <w:r w:rsidRPr="00C756B5">
              <w:rPr>
                <w:rFonts w:cs="Arial"/>
              </w:rPr>
              <w:t>Insulin lispro with insulin lispro protamine suspension</w:t>
            </w:r>
          </w:p>
        </w:tc>
        <w:tc>
          <w:tcPr>
            <w:tcW w:w="2410" w:type="dxa"/>
            <w:hideMark/>
          </w:tcPr>
          <w:p w:rsidR="006F4646" w:rsidRPr="00C756B5" w:rsidRDefault="006F4646" w:rsidP="00921D82">
            <w:pPr>
              <w:pStyle w:val="Tabletext0"/>
              <w:adjustRightInd w:val="0"/>
              <w:snapToGrid w:val="0"/>
              <w:rPr>
                <w:rFonts w:cs="Arial"/>
              </w:rPr>
            </w:pPr>
            <w:r w:rsidRPr="00C756B5">
              <w:rPr>
                <w:rFonts w:cs="Arial"/>
              </w:rPr>
              <w:t>Injections (human analogue), cartridges, 50 units-50 units per mL, 3 mL, 5</w:t>
            </w:r>
          </w:p>
        </w:tc>
        <w:tc>
          <w:tcPr>
            <w:tcW w:w="1811" w:type="dxa"/>
            <w:hideMark/>
          </w:tcPr>
          <w:p w:rsidR="006F4646" w:rsidRPr="00C756B5" w:rsidRDefault="006F4646" w:rsidP="00921D82">
            <w:pPr>
              <w:pStyle w:val="Tabletext0"/>
              <w:adjustRightInd w:val="0"/>
              <w:snapToGrid w:val="0"/>
              <w:rPr>
                <w:rFonts w:cs="Arial"/>
                <w:lang w:val="de-DE"/>
              </w:rPr>
            </w:pPr>
            <w:r w:rsidRPr="00C756B5">
              <w:rPr>
                <w:rFonts w:cs="Arial"/>
                <w:lang w:val="de-DE"/>
              </w:rPr>
              <w:t>Humalog Mix50</w:t>
            </w:r>
          </w:p>
          <w:p w:rsidR="006F4646" w:rsidRPr="00C756B5" w:rsidRDefault="006F4646" w:rsidP="00921D82">
            <w:pPr>
              <w:pStyle w:val="Tabletext0"/>
              <w:adjustRightInd w:val="0"/>
              <w:snapToGrid w:val="0"/>
              <w:rPr>
                <w:rFonts w:cs="Arial"/>
                <w:lang w:val="de-DE"/>
              </w:rPr>
            </w:pPr>
            <w:r w:rsidRPr="00C756B5">
              <w:rPr>
                <w:rFonts w:cs="Arial"/>
                <w:lang w:val="de-DE"/>
              </w:rPr>
              <w:t>Humalog Mix50 KwikPen</w:t>
            </w:r>
          </w:p>
        </w:tc>
        <w:tc>
          <w:tcPr>
            <w:tcW w:w="882" w:type="dxa"/>
            <w:hideMark/>
          </w:tcPr>
          <w:p w:rsidR="006F4646" w:rsidRPr="00C756B5" w:rsidRDefault="006F4646" w:rsidP="00921D82">
            <w:pPr>
              <w:pStyle w:val="Tabletext0"/>
              <w:adjustRightInd w:val="0"/>
              <w:snapToGrid w:val="0"/>
              <w:rPr>
                <w:rFonts w:cs="Arial"/>
              </w:rPr>
            </w:pPr>
            <w:r w:rsidRPr="00C756B5">
              <w:rPr>
                <w:rFonts w:cs="Arial"/>
              </w:rPr>
              <w:t>1</w:t>
            </w:r>
          </w:p>
        </w:tc>
        <w:tc>
          <w:tcPr>
            <w:tcW w:w="1021" w:type="dxa"/>
            <w:hideMark/>
          </w:tcPr>
          <w:p w:rsidR="006F4646" w:rsidRPr="00C756B5" w:rsidRDefault="00444D7B" w:rsidP="00921D82">
            <w:pPr>
              <w:pStyle w:val="Tabletext0"/>
              <w:adjustRightInd w:val="0"/>
              <w:snapToGrid w:val="0"/>
              <w:rPr>
                <w:rFonts w:cs="Arial"/>
              </w:rPr>
            </w:pPr>
            <w:r w:rsidRPr="00C756B5">
              <w:rPr>
                <w:rFonts w:cs="Arial"/>
              </w:rPr>
              <w:t>$</w:t>
            </w:r>
            <w:r w:rsidR="006F4646" w:rsidRPr="00C756B5">
              <w:rPr>
                <w:rFonts w:cs="Arial"/>
              </w:rPr>
              <w:t>42.38</w:t>
            </w:r>
          </w:p>
        </w:tc>
        <w:tc>
          <w:tcPr>
            <w:tcW w:w="941" w:type="dxa"/>
            <w:hideMark/>
          </w:tcPr>
          <w:p w:rsidR="006F4646" w:rsidRPr="00C756B5" w:rsidRDefault="006F4646" w:rsidP="00A33DE1">
            <w:pPr>
              <w:spacing w:before="0"/>
              <w:rPr>
                <w:rFonts w:ascii="Arial Narrow" w:hAnsi="Arial Narrow"/>
                <w:sz w:val="20"/>
                <w:szCs w:val="20"/>
              </w:rPr>
            </w:pPr>
            <w:r w:rsidRPr="00C756B5">
              <w:rPr>
                <w:rFonts w:ascii="Arial Narrow" w:hAnsi="Arial Narrow"/>
                <w:sz w:val="20"/>
                <w:szCs w:val="20"/>
              </w:rPr>
              <w:t>0.02825</w:t>
            </w:r>
          </w:p>
        </w:tc>
      </w:tr>
      <w:tr w:rsidR="00E27C19" w:rsidRPr="00C756B5" w:rsidTr="00483AF9">
        <w:trPr>
          <w:cantSplit/>
        </w:trPr>
        <w:tc>
          <w:tcPr>
            <w:tcW w:w="1951" w:type="dxa"/>
          </w:tcPr>
          <w:p w:rsidR="00E27C19" w:rsidRPr="00C756B5" w:rsidRDefault="00E27C19" w:rsidP="00921D82">
            <w:pPr>
              <w:pStyle w:val="Tabletext0"/>
              <w:adjustRightInd w:val="0"/>
              <w:snapToGrid w:val="0"/>
              <w:rPr>
                <w:rFonts w:cs="Arial"/>
              </w:rPr>
            </w:pPr>
            <w:r w:rsidRPr="00C756B5">
              <w:rPr>
                <w:rFonts w:cs="Arial"/>
              </w:rPr>
              <w:t>Insulin isophane</w:t>
            </w:r>
          </w:p>
        </w:tc>
        <w:tc>
          <w:tcPr>
            <w:tcW w:w="2410" w:type="dxa"/>
          </w:tcPr>
          <w:p w:rsidR="00E27C19" w:rsidRPr="00C756B5" w:rsidRDefault="00E27C19" w:rsidP="00921D82">
            <w:pPr>
              <w:pStyle w:val="Tabletext0"/>
              <w:adjustRightInd w:val="0"/>
              <w:snapToGrid w:val="0"/>
              <w:rPr>
                <w:rFonts w:cs="Arial"/>
              </w:rPr>
            </w:pPr>
            <w:r w:rsidRPr="00C756B5">
              <w:rPr>
                <w:rFonts w:cs="Arial"/>
              </w:rPr>
              <w:t>Injections (human), cartridges, 100 units per mL, 3 mL, 5</w:t>
            </w:r>
          </w:p>
        </w:tc>
        <w:tc>
          <w:tcPr>
            <w:tcW w:w="1811" w:type="dxa"/>
          </w:tcPr>
          <w:p w:rsidR="00E27C19" w:rsidRPr="00C756B5" w:rsidRDefault="00E27C19" w:rsidP="006028B1">
            <w:pPr>
              <w:pStyle w:val="Tabletext0"/>
              <w:adjustRightInd w:val="0"/>
              <w:snapToGrid w:val="0"/>
              <w:rPr>
                <w:rFonts w:cs="Arial"/>
              </w:rPr>
            </w:pPr>
            <w:r w:rsidRPr="00C756B5">
              <w:rPr>
                <w:rFonts w:cs="Arial"/>
              </w:rPr>
              <w:t>Humulin NPH</w:t>
            </w:r>
          </w:p>
          <w:p w:rsidR="00E27C19" w:rsidRPr="00C756B5" w:rsidRDefault="00E27C19" w:rsidP="006028B1">
            <w:pPr>
              <w:pStyle w:val="Tabletext0"/>
              <w:adjustRightInd w:val="0"/>
              <w:snapToGrid w:val="0"/>
              <w:rPr>
                <w:rFonts w:cs="Arial"/>
              </w:rPr>
            </w:pPr>
            <w:r w:rsidRPr="00C756B5">
              <w:rPr>
                <w:rFonts w:cs="Arial"/>
              </w:rPr>
              <w:t>Protaphane InnoLet</w:t>
            </w:r>
          </w:p>
          <w:p w:rsidR="00E27C19" w:rsidRPr="00C756B5" w:rsidRDefault="00E27C19" w:rsidP="00921D82">
            <w:pPr>
              <w:pStyle w:val="Tabletext0"/>
              <w:adjustRightInd w:val="0"/>
              <w:snapToGrid w:val="0"/>
              <w:rPr>
                <w:rFonts w:cs="Arial"/>
                <w:lang w:val="de-DE"/>
              </w:rPr>
            </w:pPr>
            <w:r w:rsidRPr="00C756B5">
              <w:rPr>
                <w:rFonts w:cs="Arial"/>
              </w:rPr>
              <w:t>Protaphane Penfill 3 mL</w:t>
            </w:r>
          </w:p>
        </w:tc>
        <w:tc>
          <w:tcPr>
            <w:tcW w:w="882" w:type="dxa"/>
          </w:tcPr>
          <w:p w:rsidR="00E27C19" w:rsidRPr="00C756B5" w:rsidRDefault="00E27C19" w:rsidP="00921D82">
            <w:pPr>
              <w:pStyle w:val="Tabletext0"/>
              <w:adjustRightInd w:val="0"/>
              <w:snapToGrid w:val="0"/>
              <w:rPr>
                <w:rFonts w:cs="Arial"/>
              </w:rPr>
            </w:pPr>
            <w:r w:rsidRPr="00C756B5">
              <w:rPr>
                <w:rFonts w:cs="Arial"/>
              </w:rPr>
              <w:t>1</w:t>
            </w:r>
          </w:p>
        </w:tc>
        <w:tc>
          <w:tcPr>
            <w:tcW w:w="1021" w:type="dxa"/>
          </w:tcPr>
          <w:p w:rsidR="00E27C19" w:rsidRPr="00C756B5" w:rsidRDefault="00E27C19" w:rsidP="00921D82">
            <w:pPr>
              <w:pStyle w:val="Tabletext0"/>
              <w:adjustRightInd w:val="0"/>
              <w:snapToGrid w:val="0"/>
              <w:rPr>
                <w:rFonts w:cs="Arial"/>
              </w:rPr>
            </w:pPr>
            <w:r w:rsidRPr="00C756B5">
              <w:rPr>
                <w:rFonts w:cs="Arial"/>
              </w:rPr>
              <w:t>$35.32</w:t>
            </w:r>
          </w:p>
        </w:tc>
        <w:tc>
          <w:tcPr>
            <w:tcW w:w="941" w:type="dxa"/>
          </w:tcPr>
          <w:p w:rsidR="00E27C19" w:rsidRPr="00C756B5" w:rsidRDefault="00E27C19" w:rsidP="00A33DE1">
            <w:pPr>
              <w:spacing w:before="0"/>
              <w:rPr>
                <w:rFonts w:ascii="Arial Narrow" w:hAnsi="Arial Narrow"/>
                <w:sz w:val="20"/>
                <w:szCs w:val="20"/>
              </w:rPr>
            </w:pPr>
            <w:r w:rsidRPr="00C756B5">
              <w:rPr>
                <w:rFonts w:ascii="Arial Narrow" w:hAnsi="Arial Narrow"/>
                <w:sz w:val="20"/>
                <w:szCs w:val="20"/>
              </w:rPr>
              <w:t>0.02355</w:t>
            </w:r>
          </w:p>
        </w:tc>
      </w:tr>
      <w:tr w:rsidR="00427D47" w:rsidRPr="00C756B5" w:rsidTr="00483AF9">
        <w:trPr>
          <w:cantSplit/>
          <w:trHeight w:val="688"/>
        </w:trPr>
        <w:tc>
          <w:tcPr>
            <w:tcW w:w="1951" w:type="dxa"/>
            <w:hideMark/>
          </w:tcPr>
          <w:p w:rsidR="00427D47" w:rsidRPr="00C756B5" w:rsidRDefault="00427D47" w:rsidP="00921D82">
            <w:pPr>
              <w:pStyle w:val="Tabletext0"/>
              <w:adjustRightInd w:val="0"/>
              <w:snapToGrid w:val="0"/>
              <w:rPr>
                <w:rFonts w:cs="Arial"/>
              </w:rPr>
            </w:pPr>
            <w:r w:rsidRPr="00C756B5">
              <w:rPr>
                <w:rFonts w:cs="Arial"/>
              </w:rPr>
              <w:t>Insulin neutral</w:t>
            </w:r>
          </w:p>
        </w:tc>
        <w:tc>
          <w:tcPr>
            <w:tcW w:w="2410" w:type="dxa"/>
            <w:hideMark/>
          </w:tcPr>
          <w:p w:rsidR="00427D47" w:rsidRPr="00C756B5" w:rsidRDefault="00427D47" w:rsidP="00921D82">
            <w:pPr>
              <w:pStyle w:val="Tabletext0"/>
              <w:adjustRightInd w:val="0"/>
              <w:snapToGrid w:val="0"/>
              <w:rPr>
                <w:rFonts w:cs="Arial"/>
              </w:rPr>
            </w:pPr>
            <w:r w:rsidRPr="00C756B5">
              <w:rPr>
                <w:rFonts w:cs="Arial"/>
              </w:rPr>
              <w:t>Injections (human), cartridges, 100 units per mL, 3 mL, 5</w:t>
            </w:r>
          </w:p>
        </w:tc>
        <w:tc>
          <w:tcPr>
            <w:tcW w:w="1811" w:type="dxa"/>
            <w:hideMark/>
          </w:tcPr>
          <w:p w:rsidR="00427D47" w:rsidRPr="00C756B5" w:rsidRDefault="00427D47" w:rsidP="00921D82">
            <w:pPr>
              <w:pStyle w:val="Tabletext0"/>
              <w:adjustRightInd w:val="0"/>
              <w:snapToGrid w:val="0"/>
              <w:rPr>
                <w:rFonts w:cs="Arial"/>
              </w:rPr>
            </w:pPr>
            <w:r w:rsidRPr="00C756B5">
              <w:rPr>
                <w:rFonts w:cs="Arial"/>
              </w:rPr>
              <w:t>Actrapid Penfill 3 mL</w:t>
            </w:r>
          </w:p>
          <w:p w:rsidR="00427D47" w:rsidRPr="00C756B5" w:rsidRDefault="00427D47" w:rsidP="00921D82">
            <w:pPr>
              <w:pStyle w:val="Tabletext0"/>
              <w:adjustRightInd w:val="0"/>
              <w:snapToGrid w:val="0"/>
              <w:rPr>
                <w:rFonts w:cs="Arial"/>
              </w:rPr>
            </w:pPr>
            <w:r w:rsidRPr="00C756B5">
              <w:rPr>
                <w:rFonts w:cs="Arial"/>
              </w:rPr>
              <w:t>Humulin R</w:t>
            </w:r>
          </w:p>
        </w:tc>
        <w:tc>
          <w:tcPr>
            <w:tcW w:w="882" w:type="dxa"/>
            <w:hideMark/>
          </w:tcPr>
          <w:p w:rsidR="00427D47" w:rsidRPr="00C756B5" w:rsidRDefault="00427D47" w:rsidP="00921D82">
            <w:pPr>
              <w:pStyle w:val="Tabletext0"/>
              <w:adjustRightInd w:val="0"/>
              <w:snapToGrid w:val="0"/>
              <w:rPr>
                <w:rFonts w:cs="Arial"/>
              </w:rPr>
            </w:pPr>
            <w:r w:rsidRPr="00C756B5">
              <w:rPr>
                <w:rFonts w:cs="Arial"/>
              </w:rPr>
              <w:t>1</w:t>
            </w:r>
          </w:p>
        </w:tc>
        <w:tc>
          <w:tcPr>
            <w:tcW w:w="1021" w:type="dxa"/>
            <w:hideMark/>
          </w:tcPr>
          <w:p w:rsidR="00427D47" w:rsidRPr="00C756B5" w:rsidRDefault="00444D7B" w:rsidP="00921D82">
            <w:pPr>
              <w:pStyle w:val="Tabletext0"/>
              <w:adjustRightInd w:val="0"/>
              <w:snapToGrid w:val="0"/>
              <w:rPr>
                <w:rFonts w:cs="Arial"/>
              </w:rPr>
            </w:pPr>
            <w:r w:rsidRPr="00C756B5">
              <w:rPr>
                <w:rFonts w:cs="Arial"/>
              </w:rPr>
              <w:t>$</w:t>
            </w:r>
            <w:r w:rsidR="00427D47" w:rsidRPr="00C756B5">
              <w:rPr>
                <w:rFonts w:cs="Arial"/>
              </w:rPr>
              <w:t>35.32</w:t>
            </w:r>
          </w:p>
        </w:tc>
        <w:tc>
          <w:tcPr>
            <w:tcW w:w="941" w:type="dxa"/>
            <w:hideMark/>
          </w:tcPr>
          <w:p w:rsidR="00427D47" w:rsidRPr="00C756B5" w:rsidRDefault="00427D47" w:rsidP="00A33DE1">
            <w:pPr>
              <w:spacing w:before="0"/>
              <w:rPr>
                <w:rFonts w:ascii="Arial Narrow" w:hAnsi="Arial Narrow"/>
                <w:sz w:val="20"/>
                <w:szCs w:val="20"/>
              </w:rPr>
            </w:pPr>
            <w:r w:rsidRPr="00C756B5">
              <w:rPr>
                <w:rFonts w:ascii="Arial Narrow" w:hAnsi="Arial Narrow"/>
                <w:sz w:val="20"/>
                <w:szCs w:val="20"/>
              </w:rPr>
              <w:t>0.02355</w:t>
            </w:r>
          </w:p>
        </w:tc>
      </w:tr>
      <w:tr w:rsidR="00427D47" w:rsidRPr="00C756B5" w:rsidTr="00483AF9">
        <w:trPr>
          <w:cantSplit/>
          <w:trHeight w:val="688"/>
        </w:trPr>
        <w:tc>
          <w:tcPr>
            <w:tcW w:w="1951" w:type="dxa"/>
            <w:hideMark/>
          </w:tcPr>
          <w:p w:rsidR="00427D47" w:rsidRPr="00C756B5" w:rsidRDefault="00427D47" w:rsidP="00921D82">
            <w:pPr>
              <w:pStyle w:val="Tabletext0"/>
              <w:adjustRightInd w:val="0"/>
              <w:snapToGrid w:val="0"/>
              <w:rPr>
                <w:rFonts w:cs="Arial"/>
              </w:rPr>
            </w:pPr>
            <w:r w:rsidRPr="00C756B5">
              <w:rPr>
                <w:rFonts w:cs="Arial"/>
              </w:rPr>
              <w:t>Insulin neutral with insulin isophane</w:t>
            </w:r>
          </w:p>
        </w:tc>
        <w:tc>
          <w:tcPr>
            <w:tcW w:w="2410" w:type="dxa"/>
            <w:hideMark/>
          </w:tcPr>
          <w:p w:rsidR="00427D47" w:rsidRPr="00C756B5" w:rsidRDefault="00427D47" w:rsidP="00921D82">
            <w:pPr>
              <w:pStyle w:val="Tabletext0"/>
              <w:adjustRightInd w:val="0"/>
              <w:snapToGrid w:val="0"/>
              <w:rPr>
                <w:rFonts w:cs="Arial"/>
              </w:rPr>
            </w:pPr>
            <w:r w:rsidRPr="00C756B5">
              <w:rPr>
                <w:rFonts w:cs="Arial"/>
              </w:rPr>
              <w:t>Injections (human), cartridges, 30 units-70 units per mL, 3 mL, 5</w:t>
            </w:r>
          </w:p>
        </w:tc>
        <w:tc>
          <w:tcPr>
            <w:tcW w:w="1811" w:type="dxa"/>
            <w:hideMark/>
          </w:tcPr>
          <w:p w:rsidR="00427D47" w:rsidRPr="00C756B5" w:rsidRDefault="00427D47" w:rsidP="00921D82">
            <w:pPr>
              <w:pStyle w:val="Tabletext0"/>
              <w:adjustRightInd w:val="0"/>
              <w:snapToGrid w:val="0"/>
              <w:rPr>
                <w:rFonts w:cs="Arial"/>
              </w:rPr>
            </w:pPr>
            <w:r w:rsidRPr="00C756B5">
              <w:rPr>
                <w:rFonts w:cs="Arial"/>
              </w:rPr>
              <w:t>Humulin 30/70</w:t>
            </w:r>
          </w:p>
          <w:p w:rsidR="00427D47" w:rsidRPr="00C756B5" w:rsidRDefault="00427D47" w:rsidP="00921D82">
            <w:pPr>
              <w:pStyle w:val="Tabletext0"/>
              <w:adjustRightInd w:val="0"/>
              <w:snapToGrid w:val="0"/>
              <w:rPr>
                <w:rFonts w:cs="Arial"/>
              </w:rPr>
            </w:pPr>
            <w:r w:rsidRPr="00C756B5">
              <w:rPr>
                <w:rFonts w:cs="Arial"/>
              </w:rPr>
              <w:t>Mixtard 30/70 InnoLet</w:t>
            </w:r>
          </w:p>
        </w:tc>
        <w:tc>
          <w:tcPr>
            <w:tcW w:w="882" w:type="dxa"/>
            <w:hideMark/>
          </w:tcPr>
          <w:p w:rsidR="00427D47" w:rsidRPr="00C756B5" w:rsidRDefault="00427D47" w:rsidP="00921D82">
            <w:pPr>
              <w:pStyle w:val="Tabletext0"/>
              <w:adjustRightInd w:val="0"/>
              <w:snapToGrid w:val="0"/>
              <w:rPr>
                <w:rFonts w:cs="Arial"/>
              </w:rPr>
            </w:pPr>
            <w:r w:rsidRPr="00C756B5">
              <w:rPr>
                <w:rFonts w:cs="Arial"/>
              </w:rPr>
              <w:t>1</w:t>
            </w:r>
          </w:p>
        </w:tc>
        <w:tc>
          <w:tcPr>
            <w:tcW w:w="1021" w:type="dxa"/>
            <w:hideMark/>
          </w:tcPr>
          <w:p w:rsidR="00427D47" w:rsidRPr="00C756B5" w:rsidRDefault="00444D7B" w:rsidP="00921D82">
            <w:pPr>
              <w:pStyle w:val="Tabletext0"/>
              <w:adjustRightInd w:val="0"/>
              <w:snapToGrid w:val="0"/>
              <w:rPr>
                <w:rFonts w:cs="Arial"/>
              </w:rPr>
            </w:pPr>
            <w:r w:rsidRPr="00C756B5">
              <w:rPr>
                <w:rFonts w:cs="Arial"/>
              </w:rPr>
              <w:t>$</w:t>
            </w:r>
            <w:r w:rsidR="00427D47" w:rsidRPr="00C756B5">
              <w:rPr>
                <w:rFonts w:cs="Arial"/>
              </w:rPr>
              <w:t>35.32</w:t>
            </w:r>
          </w:p>
        </w:tc>
        <w:tc>
          <w:tcPr>
            <w:tcW w:w="941" w:type="dxa"/>
            <w:hideMark/>
          </w:tcPr>
          <w:p w:rsidR="00427D47" w:rsidRPr="00C756B5" w:rsidRDefault="00427D47" w:rsidP="00A33DE1">
            <w:pPr>
              <w:spacing w:before="0"/>
              <w:rPr>
                <w:rFonts w:ascii="Arial Narrow" w:hAnsi="Arial Narrow"/>
                <w:sz w:val="20"/>
                <w:szCs w:val="20"/>
              </w:rPr>
            </w:pPr>
            <w:r w:rsidRPr="00C756B5">
              <w:rPr>
                <w:rFonts w:ascii="Arial Narrow" w:hAnsi="Arial Narrow"/>
                <w:sz w:val="20"/>
                <w:szCs w:val="20"/>
              </w:rPr>
              <w:t>0.02355</w:t>
            </w:r>
          </w:p>
        </w:tc>
      </w:tr>
      <w:tr w:rsidR="00427D47" w:rsidRPr="00C756B5" w:rsidTr="00483AF9">
        <w:trPr>
          <w:cantSplit/>
          <w:trHeight w:val="918"/>
        </w:trPr>
        <w:tc>
          <w:tcPr>
            <w:tcW w:w="1951" w:type="dxa"/>
            <w:hideMark/>
          </w:tcPr>
          <w:p w:rsidR="00427D47" w:rsidRPr="00C756B5" w:rsidRDefault="00427D47" w:rsidP="00A33DE1">
            <w:pPr>
              <w:spacing w:before="0"/>
              <w:rPr>
                <w:rFonts w:ascii="Arial Narrow" w:hAnsi="Arial Narrow"/>
                <w:sz w:val="20"/>
                <w:szCs w:val="20"/>
              </w:rPr>
            </w:pPr>
            <w:r w:rsidRPr="00C756B5">
              <w:rPr>
                <w:rFonts w:ascii="Arial Narrow" w:hAnsi="Arial Narrow"/>
                <w:sz w:val="20"/>
                <w:szCs w:val="20"/>
              </w:rPr>
              <w:t>Insulin neutral with insulin isophane</w:t>
            </w:r>
          </w:p>
        </w:tc>
        <w:tc>
          <w:tcPr>
            <w:tcW w:w="2410" w:type="dxa"/>
            <w:hideMark/>
          </w:tcPr>
          <w:p w:rsidR="00427D47" w:rsidRPr="00C756B5" w:rsidRDefault="00427D47" w:rsidP="00A33DE1">
            <w:pPr>
              <w:spacing w:before="0"/>
              <w:rPr>
                <w:rFonts w:ascii="Arial Narrow" w:hAnsi="Arial Narrow"/>
                <w:sz w:val="20"/>
                <w:szCs w:val="20"/>
              </w:rPr>
            </w:pPr>
            <w:r w:rsidRPr="00C756B5">
              <w:rPr>
                <w:rFonts w:ascii="Arial Narrow" w:hAnsi="Arial Narrow"/>
                <w:sz w:val="20"/>
                <w:szCs w:val="20"/>
              </w:rPr>
              <w:t>Injections (human), cartridges, 30 units-70 units per mL, 3 mL, 5</w:t>
            </w:r>
          </w:p>
        </w:tc>
        <w:tc>
          <w:tcPr>
            <w:tcW w:w="1811" w:type="dxa"/>
            <w:hideMark/>
          </w:tcPr>
          <w:p w:rsidR="00427D47" w:rsidRPr="00C756B5" w:rsidRDefault="00427D47" w:rsidP="00A33DE1">
            <w:pPr>
              <w:spacing w:before="0"/>
              <w:rPr>
                <w:rFonts w:ascii="Arial Narrow" w:hAnsi="Arial Narrow"/>
                <w:sz w:val="20"/>
                <w:szCs w:val="20"/>
              </w:rPr>
            </w:pPr>
            <w:r w:rsidRPr="00C756B5">
              <w:rPr>
                <w:rFonts w:ascii="Arial Narrow" w:hAnsi="Arial Narrow"/>
                <w:sz w:val="20"/>
                <w:szCs w:val="20"/>
              </w:rPr>
              <w:t>Mixtard 30/70 Penfill 3 mL</w:t>
            </w:r>
          </w:p>
          <w:p w:rsidR="00427D47" w:rsidRPr="00C756B5" w:rsidRDefault="00427D47" w:rsidP="00A33DE1">
            <w:pPr>
              <w:spacing w:before="0"/>
              <w:rPr>
                <w:rFonts w:ascii="Arial Narrow" w:hAnsi="Arial Narrow"/>
                <w:sz w:val="20"/>
                <w:szCs w:val="20"/>
              </w:rPr>
            </w:pPr>
            <w:r w:rsidRPr="00C756B5">
              <w:rPr>
                <w:rFonts w:ascii="Arial Narrow" w:hAnsi="Arial Narrow"/>
                <w:sz w:val="20"/>
                <w:szCs w:val="20"/>
              </w:rPr>
              <w:t>Mixtard 50/50 Penfill 3 mL</w:t>
            </w:r>
          </w:p>
        </w:tc>
        <w:tc>
          <w:tcPr>
            <w:tcW w:w="882" w:type="dxa"/>
            <w:hideMark/>
          </w:tcPr>
          <w:p w:rsidR="00427D47" w:rsidRPr="00C756B5" w:rsidRDefault="00427D47" w:rsidP="00A33DE1">
            <w:pPr>
              <w:spacing w:before="0"/>
              <w:rPr>
                <w:rFonts w:ascii="Arial Narrow" w:hAnsi="Arial Narrow"/>
                <w:sz w:val="20"/>
                <w:szCs w:val="20"/>
              </w:rPr>
            </w:pPr>
            <w:r w:rsidRPr="00C756B5">
              <w:rPr>
                <w:rFonts w:ascii="Arial Narrow" w:hAnsi="Arial Narrow"/>
                <w:sz w:val="20"/>
                <w:szCs w:val="20"/>
              </w:rPr>
              <w:t>1</w:t>
            </w:r>
          </w:p>
        </w:tc>
        <w:tc>
          <w:tcPr>
            <w:tcW w:w="1021" w:type="dxa"/>
            <w:hideMark/>
          </w:tcPr>
          <w:p w:rsidR="00427D47" w:rsidRPr="00C756B5" w:rsidRDefault="00444D7B" w:rsidP="00A33DE1">
            <w:pPr>
              <w:spacing w:before="0"/>
              <w:rPr>
                <w:rFonts w:ascii="Arial Narrow" w:hAnsi="Arial Narrow"/>
                <w:sz w:val="20"/>
                <w:szCs w:val="20"/>
              </w:rPr>
            </w:pPr>
            <w:r w:rsidRPr="00C756B5">
              <w:rPr>
                <w:rFonts w:ascii="Arial Narrow" w:hAnsi="Arial Narrow"/>
                <w:sz w:val="20"/>
                <w:szCs w:val="20"/>
              </w:rPr>
              <w:t>$</w:t>
            </w:r>
            <w:r w:rsidR="00427D47" w:rsidRPr="00C756B5">
              <w:rPr>
                <w:rFonts w:ascii="Arial Narrow" w:hAnsi="Arial Narrow"/>
                <w:sz w:val="20"/>
                <w:szCs w:val="20"/>
              </w:rPr>
              <w:t>35.32</w:t>
            </w:r>
          </w:p>
        </w:tc>
        <w:tc>
          <w:tcPr>
            <w:tcW w:w="941" w:type="dxa"/>
            <w:hideMark/>
          </w:tcPr>
          <w:p w:rsidR="00427D47" w:rsidRPr="00C756B5" w:rsidRDefault="00427D47" w:rsidP="00A33DE1">
            <w:pPr>
              <w:spacing w:before="0"/>
              <w:rPr>
                <w:rFonts w:ascii="Arial Narrow" w:hAnsi="Arial Narrow"/>
                <w:sz w:val="20"/>
                <w:szCs w:val="20"/>
              </w:rPr>
            </w:pPr>
            <w:r w:rsidRPr="00C756B5">
              <w:rPr>
                <w:rFonts w:ascii="Arial Narrow" w:hAnsi="Arial Narrow"/>
                <w:sz w:val="20"/>
                <w:szCs w:val="20"/>
              </w:rPr>
              <w:t>0.02355</w:t>
            </w:r>
          </w:p>
        </w:tc>
      </w:tr>
    </w:tbl>
    <w:p w:rsidR="00AE477B" w:rsidRPr="00C756B5" w:rsidRDefault="00921D82" w:rsidP="00921D82">
      <w:pPr>
        <w:pStyle w:val="TableFooter"/>
      </w:pPr>
      <w:r w:rsidRPr="00C756B5">
        <w:t>Source: compiled during evaluation</w:t>
      </w:r>
    </w:p>
    <w:p w:rsidR="005B53B4" w:rsidRPr="00C756B5" w:rsidRDefault="00921D82" w:rsidP="00921D82">
      <w:pPr>
        <w:pStyle w:val="TableFooter"/>
        <w:rPr>
          <w:rStyle w:val="st"/>
          <w:rFonts w:eastAsiaTheme="majorEastAsia"/>
        </w:rPr>
      </w:pPr>
      <w:r w:rsidRPr="00C756B5">
        <w:rPr>
          <w:rStyle w:val="st"/>
          <w:rFonts w:eastAsiaTheme="majorEastAsia"/>
        </w:rPr>
        <w:t>NPH = neutral protamine Hagedorn</w:t>
      </w:r>
    </w:p>
    <w:p w:rsidR="00921D82" w:rsidRDefault="00D20D40" w:rsidP="00921D82">
      <w:pPr>
        <w:pStyle w:val="TableFooter"/>
        <w:rPr>
          <w:rStyle w:val="st"/>
          <w:rFonts w:eastAsiaTheme="majorEastAsia"/>
        </w:rPr>
      </w:pPr>
      <w:r w:rsidRPr="00C756B5">
        <w:rPr>
          <w:rStyle w:val="st"/>
          <w:rFonts w:eastAsiaTheme="majorEastAsia"/>
        </w:rPr>
        <w:t>*</w:t>
      </w:r>
      <w:r w:rsidR="005B53B4" w:rsidRPr="00C756B5">
        <w:rPr>
          <w:rStyle w:val="st"/>
          <w:rFonts w:eastAsiaTheme="majorEastAsia"/>
        </w:rPr>
        <w:t>E</w:t>
      </w:r>
      <w:r w:rsidRPr="00C756B5">
        <w:rPr>
          <w:rStyle w:val="st"/>
          <w:rFonts w:eastAsiaTheme="majorEastAsia"/>
        </w:rPr>
        <w:t xml:space="preserve">ffective price </w:t>
      </w:r>
    </w:p>
    <w:p w:rsidR="00F76C27" w:rsidRPr="00C756B5" w:rsidRDefault="00571C09" w:rsidP="00AD7D66">
      <w:pPr>
        <w:pStyle w:val="Heading1"/>
        <w:ind w:left="720" w:hanging="720"/>
      </w:pPr>
      <w:bookmarkStart w:id="9" w:name="_Toc493067741"/>
      <w:r w:rsidRPr="00C756B5">
        <w:t>Population and disease</w:t>
      </w:r>
      <w:bookmarkEnd w:id="9"/>
    </w:p>
    <w:p w:rsidR="00571C09" w:rsidRPr="00D15DEE" w:rsidRDefault="00F03316" w:rsidP="00AD7D66">
      <w:pPr>
        <w:pStyle w:val="ListParagraph"/>
        <w:numPr>
          <w:ilvl w:val="1"/>
          <w:numId w:val="1"/>
        </w:numPr>
        <w:ind w:left="720" w:hanging="720"/>
        <w:jc w:val="both"/>
      </w:pPr>
      <w:r w:rsidRPr="00D15DEE">
        <w:t>IDegAsp</w:t>
      </w:r>
      <w:r w:rsidR="00571C09" w:rsidRPr="00D15DEE">
        <w:t xml:space="preserve"> </w:t>
      </w:r>
      <w:r w:rsidR="008F252B" w:rsidRPr="00D15DEE">
        <w:t>is a premixed insulin that</w:t>
      </w:r>
      <w:r w:rsidR="00962105">
        <w:t xml:space="preserve"> the submission proposed</w:t>
      </w:r>
      <w:r w:rsidR="008F252B" w:rsidRPr="00D15DEE">
        <w:t xml:space="preserve"> </w:t>
      </w:r>
      <w:r w:rsidR="00571C09" w:rsidRPr="00D15DEE">
        <w:t>will be used for the treatment of adults with T1DM and T2DM in order to achieve good glycaemic control without increasing the risk of adverse events (AE)</w:t>
      </w:r>
      <w:r w:rsidR="005E0068" w:rsidRPr="00D15DEE">
        <w:t xml:space="preserve"> </w:t>
      </w:r>
      <w:r w:rsidR="00571C09" w:rsidRPr="00D15DEE">
        <w:t>such as hypoglycaemic events.</w:t>
      </w:r>
      <w:r w:rsidR="008F252B" w:rsidRPr="00D15DEE">
        <w:t xml:space="preserve"> Premixed insulins are especially used in T2DM patients for glycaemic control as they cover the basal needs through the day and the bolus needs for meal times. The existing premixed insulins are typically a 70/30 mixture of an intermediate-acting and a fast-acting insulin. However, due to physiological incompatibilities it was not possible, until recently, to combine long- and short-acting insulins. If listed </w:t>
      </w:r>
      <w:r w:rsidR="0004412F" w:rsidRPr="00D15DEE">
        <w:t>IDegAsp</w:t>
      </w:r>
      <w:r w:rsidR="008F252B" w:rsidRPr="00D15DEE">
        <w:t xml:space="preserve"> would be the first long acting/short acting premixed insulin</w:t>
      </w:r>
      <w:r w:rsidRPr="00D15DEE">
        <w:t xml:space="preserve"> available on the PBS</w:t>
      </w:r>
      <w:r w:rsidR="008F252B" w:rsidRPr="00D15DEE">
        <w:t>.</w:t>
      </w:r>
    </w:p>
    <w:p w:rsidR="008F252B" w:rsidRPr="00D15DEE" w:rsidRDefault="00571C09" w:rsidP="00AD7D66">
      <w:pPr>
        <w:pStyle w:val="ListParagraph"/>
        <w:numPr>
          <w:ilvl w:val="1"/>
          <w:numId w:val="1"/>
        </w:numPr>
        <w:ind w:left="720" w:hanging="720"/>
        <w:jc w:val="both"/>
      </w:pPr>
      <w:r w:rsidRPr="00D15DEE">
        <w:t>The clinical management algorithms for T2DM patients are based on a position statement of the Australian Diabetes Society</w:t>
      </w:r>
      <w:r w:rsidR="005E0068" w:rsidRPr="00D15DEE">
        <w:t xml:space="preserve"> (Gunton et al 2016)</w:t>
      </w:r>
      <w:r w:rsidRPr="00D15DEE">
        <w:t xml:space="preserve">. This treatment algorithm for </w:t>
      </w:r>
      <w:r w:rsidR="008F252B" w:rsidRPr="00D15DEE">
        <w:t>T2DM</w:t>
      </w:r>
      <w:r w:rsidRPr="00D15DEE">
        <w:t xml:space="preserve"> consists of first line, second line and third line treatment. The proposed drug would be similar</w:t>
      </w:r>
      <w:r w:rsidR="00B50C28" w:rsidRPr="00D15DEE">
        <w:t>ly</w:t>
      </w:r>
      <w:r w:rsidRPr="00D15DEE">
        <w:t xml:space="preserve"> positioned as other premixed insulins which include mixtures of basal and bolus insulins. Insulin treatment is used typically as a </w:t>
      </w:r>
      <w:r w:rsidR="0004412F" w:rsidRPr="00D15DEE">
        <w:t>second or third line treatment.</w:t>
      </w:r>
      <w:r w:rsidR="002911CC" w:rsidRPr="00D15DEE">
        <w:t xml:space="preserve"> </w:t>
      </w:r>
    </w:p>
    <w:p w:rsidR="00962105" w:rsidRDefault="00571C09" w:rsidP="00537E0B">
      <w:pPr>
        <w:pStyle w:val="ListParagraph"/>
        <w:numPr>
          <w:ilvl w:val="1"/>
          <w:numId w:val="1"/>
        </w:numPr>
        <w:ind w:left="720" w:hanging="720"/>
        <w:jc w:val="both"/>
      </w:pPr>
      <w:r w:rsidRPr="00D15DEE">
        <w:t xml:space="preserve">The submission did not present clinical management for T1DM. Insulin is a necessary therapy for patients with T1DM. Typically, a combination of a long-acting and a short-acting insulin is used for these patients. Premixed insulins are also used as part of </w:t>
      </w:r>
      <w:r w:rsidR="000842BC" w:rsidRPr="00D15DEE">
        <w:t xml:space="preserve">the </w:t>
      </w:r>
      <w:r w:rsidRPr="00D15DEE">
        <w:t xml:space="preserve">treatment regimen for T1DM patients; however, they play only a </w:t>
      </w:r>
      <w:r w:rsidR="00F4074A">
        <w:t xml:space="preserve">very </w:t>
      </w:r>
      <w:r w:rsidRPr="00D15DEE">
        <w:t>minor role in managing T1DM patients. The dosage of insulin for these patients is adjusted to the frequency of meal(s) and carbohydrate intake.</w:t>
      </w:r>
    </w:p>
    <w:p w:rsidR="00A40C5D" w:rsidRDefault="00962105" w:rsidP="00537E0B">
      <w:pPr>
        <w:pStyle w:val="ListParagraph"/>
        <w:numPr>
          <w:ilvl w:val="1"/>
          <w:numId w:val="1"/>
        </w:numPr>
        <w:ind w:left="720" w:hanging="720"/>
        <w:jc w:val="both"/>
      </w:pPr>
      <w:r>
        <w:t>The PBAC accepted the clinical place of IDegAsp in T2DM as proposed by the submission but considered that the clinical place of IDegAsp in T1DM was unclear as pre-mixed insulins are</w:t>
      </w:r>
      <w:r w:rsidR="00301880">
        <w:t xml:space="preserve"> generally</w:t>
      </w:r>
      <w:r>
        <w:t xml:space="preserve"> not preferred in this population.</w:t>
      </w:r>
    </w:p>
    <w:p w:rsidR="0045546D" w:rsidRPr="00D15DEE" w:rsidRDefault="0045546D" w:rsidP="0007232B">
      <w:pPr>
        <w:jc w:val="both"/>
      </w:pPr>
      <w:r w:rsidRPr="0007232B">
        <w:rPr>
          <w:i/>
        </w:rPr>
        <w:t>For more detail on PBAC’s view, see section 7 PBAC outcome.</w:t>
      </w:r>
    </w:p>
    <w:p w:rsidR="00837509" w:rsidRPr="00837509" w:rsidRDefault="00C317F3" w:rsidP="00837509">
      <w:pPr>
        <w:pStyle w:val="Heading1"/>
        <w:ind w:left="720" w:hanging="720"/>
      </w:pPr>
      <w:bookmarkStart w:id="10" w:name="_Toc413139275"/>
      <w:bookmarkStart w:id="11" w:name="_Toc493067742"/>
      <w:r w:rsidRPr="00C756B5">
        <w:t>Comparator</w:t>
      </w:r>
      <w:bookmarkEnd w:id="10"/>
      <w:bookmarkEnd w:id="11"/>
    </w:p>
    <w:p w:rsidR="00837509" w:rsidRPr="00EF5B95" w:rsidRDefault="004E1827" w:rsidP="00EF5B95">
      <w:pPr>
        <w:pStyle w:val="Heading2"/>
        <w:rPr>
          <w:i w:val="0"/>
        </w:rPr>
      </w:pPr>
      <w:r w:rsidRPr="00EF5B95">
        <w:rPr>
          <w:i w:val="0"/>
        </w:rPr>
        <w:t>T2DM</w:t>
      </w:r>
    </w:p>
    <w:p w:rsidR="001158E4" w:rsidRDefault="00320B22" w:rsidP="00100947">
      <w:pPr>
        <w:pStyle w:val="ListParagraph"/>
        <w:numPr>
          <w:ilvl w:val="1"/>
          <w:numId w:val="1"/>
        </w:numPr>
        <w:ind w:left="709" w:hanging="709"/>
        <w:jc w:val="both"/>
      </w:pPr>
      <w:r w:rsidRPr="00D15DEE">
        <w:t xml:space="preserve">The submission nominated </w:t>
      </w:r>
      <w:r w:rsidR="0027299F" w:rsidRPr="00D15DEE">
        <w:t>BIAsp 30</w:t>
      </w:r>
      <w:r w:rsidR="0027299F">
        <w:t xml:space="preserve">, </w:t>
      </w:r>
      <w:r w:rsidRPr="00D15DEE">
        <w:t>a premixed insulin</w:t>
      </w:r>
      <w:r w:rsidR="0027299F">
        <w:t>,</w:t>
      </w:r>
      <w:r w:rsidRPr="00D15DEE">
        <w:t xml:space="preserve"> as </w:t>
      </w:r>
      <w:r w:rsidR="00103501" w:rsidRPr="00D15DEE">
        <w:t xml:space="preserve">the </w:t>
      </w:r>
      <w:r w:rsidRPr="00D15DEE">
        <w:t xml:space="preserve">main comparator in T2DM patients. The main arguments provided in support of this nomination are the pharmacologic similarities of both drugs and that both formulations are premixed insulins. BIAsp 30 holds a market share of 70% of the PBS premixed insulin market. </w:t>
      </w:r>
    </w:p>
    <w:p w:rsidR="00F4074A" w:rsidRDefault="00260668" w:rsidP="00100947">
      <w:pPr>
        <w:pStyle w:val="ListParagraph"/>
        <w:numPr>
          <w:ilvl w:val="1"/>
          <w:numId w:val="1"/>
        </w:numPr>
        <w:ind w:left="709" w:hanging="709"/>
        <w:jc w:val="both"/>
      </w:pPr>
      <w:r>
        <w:t xml:space="preserve">The PBAC considered that </w:t>
      </w:r>
      <w:r w:rsidR="001158E4">
        <w:t xml:space="preserve">BIAsp30 </w:t>
      </w:r>
      <w:r w:rsidR="009E0CE0">
        <w:t>wa</w:t>
      </w:r>
      <w:r>
        <w:t>s an</w:t>
      </w:r>
      <w:r w:rsidR="004D6CEE">
        <w:t xml:space="preserve"> </w:t>
      </w:r>
      <w:r w:rsidR="00AC6309">
        <w:t>appropriate</w:t>
      </w:r>
      <w:r w:rsidR="004D6CEE">
        <w:t xml:space="preserve"> comparator</w:t>
      </w:r>
      <w:r w:rsidR="00F4074A">
        <w:t xml:space="preserve"> for T2DM</w:t>
      </w:r>
      <w:r>
        <w:t>.</w:t>
      </w:r>
    </w:p>
    <w:p w:rsidR="00F4074A" w:rsidRPr="0075314B" w:rsidRDefault="00F4074A" w:rsidP="00114418">
      <w:pPr>
        <w:pStyle w:val="ListParagraph"/>
        <w:numPr>
          <w:ilvl w:val="1"/>
          <w:numId w:val="1"/>
        </w:numPr>
        <w:ind w:left="709" w:hanging="709"/>
        <w:jc w:val="both"/>
      </w:pPr>
      <w:r w:rsidRPr="0075314B">
        <w:t xml:space="preserve">The PBAC could only recommend listing of IDegAsp if it is satisfied that IDegAsp provides, for some patients, a significant improvement in efficacy or reduction of toxicity over the alternative therapy or therapies  The PBAC noted it had previously </w:t>
      </w:r>
      <w:r w:rsidR="00F13145" w:rsidRPr="0075314B">
        <w:t>accepted there was a clinical advantage to using</w:t>
      </w:r>
      <w:r w:rsidRPr="0075314B">
        <w:t xml:space="preserve"> insulin aspart over short acting insulins (through insulin lispro)</w:t>
      </w:r>
      <w:r w:rsidR="00F13145" w:rsidRPr="0075314B">
        <w:t>. The PBAC was satisfied that IDegAsp</w:t>
      </w:r>
      <w:r w:rsidR="00301880" w:rsidRPr="0075314B">
        <w:t xml:space="preserve"> </w:t>
      </w:r>
      <w:r w:rsidR="00F13145" w:rsidRPr="0075314B">
        <w:t>would provide a similar clinical advantage over short acting insulins.</w:t>
      </w:r>
    </w:p>
    <w:p w:rsidR="00837509" w:rsidRPr="00D15DEE" w:rsidRDefault="00F13145" w:rsidP="00962105">
      <w:pPr>
        <w:pStyle w:val="ListParagraph"/>
        <w:numPr>
          <w:ilvl w:val="1"/>
          <w:numId w:val="1"/>
        </w:numPr>
        <w:ind w:left="709" w:hanging="709"/>
        <w:jc w:val="both"/>
      </w:pPr>
      <w:r>
        <w:t xml:space="preserve">The PBAC did not consider insulin glargine (IGlar) to be an alternative therapy to </w:t>
      </w:r>
      <w:r w:rsidRPr="00F13145">
        <w:t>IDegAsp</w:t>
      </w:r>
      <w:r>
        <w:t xml:space="preserve"> for T2DM. The P</w:t>
      </w:r>
      <w:r w:rsidR="00962105">
        <w:t>B</w:t>
      </w:r>
      <w:r>
        <w:t>A</w:t>
      </w:r>
      <w:r w:rsidR="00962105">
        <w:t>C</w:t>
      </w:r>
      <w:r>
        <w:t xml:space="preserve"> agreed with the</w:t>
      </w:r>
      <w:r w:rsidRPr="00F13145">
        <w:t xml:space="preserve"> </w:t>
      </w:r>
      <w:r w:rsidR="005018F4">
        <w:t>pre-PBAC response (p1)</w:t>
      </w:r>
      <w:r w:rsidRPr="00F13145">
        <w:t xml:space="preserve"> that basal bolus use incorporating IGlar is not expected to change with the introduction of IDegAsp</w:t>
      </w:r>
      <w:r>
        <w:t xml:space="preserve"> and</w:t>
      </w:r>
      <w:r w:rsidRPr="00F13145">
        <w:t xml:space="preserve"> that IGlar is targeted to a different patient population from IDegAsp</w:t>
      </w:r>
      <w:r>
        <w:t>.  However</w:t>
      </w:r>
      <w:r w:rsidR="00962105">
        <w:t>,</w:t>
      </w:r>
      <w:r>
        <w:t xml:space="preserve"> the PBAC noted that the price requested for </w:t>
      </w:r>
      <w:r w:rsidRPr="00F13145">
        <w:t>IDegAsp</w:t>
      </w:r>
      <w:r>
        <w:t xml:space="preserve"> was higher than that for </w:t>
      </w:r>
      <w:r w:rsidR="002F270A">
        <w:t>IGlar</w:t>
      </w:r>
      <w:r w:rsidR="00C451CF">
        <w:t xml:space="preserve"> and that a clinical comparison against IGlar in T2DM may be informative in this context.</w:t>
      </w:r>
    </w:p>
    <w:p w:rsidR="00837509" w:rsidRPr="00D15DEE" w:rsidRDefault="00CF3DF1" w:rsidP="00EF5B95">
      <w:pPr>
        <w:pStyle w:val="Heading2"/>
        <w:rPr>
          <w:i w:val="0"/>
        </w:rPr>
      </w:pPr>
      <w:r w:rsidRPr="00D15DEE">
        <w:rPr>
          <w:i w:val="0"/>
        </w:rPr>
        <w:t>T1DM</w:t>
      </w:r>
    </w:p>
    <w:p w:rsidR="00C451CF" w:rsidRDefault="001C69A6" w:rsidP="00100947">
      <w:pPr>
        <w:pStyle w:val="ListParagraph"/>
        <w:numPr>
          <w:ilvl w:val="1"/>
          <w:numId w:val="1"/>
        </w:numPr>
        <w:ind w:left="720" w:hanging="720"/>
        <w:jc w:val="both"/>
      </w:pPr>
      <w:r w:rsidRPr="00D15DEE">
        <w:t>The submission nomi</w:t>
      </w:r>
      <w:r w:rsidR="0004412F" w:rsidRPr="00D15DEE">
        <w:t>nate</w:t>
      </w:r>
      <w:r w:rsidR="00965321">
        <w:t>d</w:t>
      </w:r>
      <w:r w:rsidR="0004412F" w:rsidRPr="00D15DEE">
        <w:t xml:space="preserve"> </w:t>
      </w:r>
      <w:r w:rsidR="00474E1A" w:rsidRPr="005906B1">
        <w:t xml:space="preserve">insulin detemir </w:t>
      </w:r>
      <w:r w:rsidR="00474E1A">
        <w:t>(</w:t>
      </w:r>
      <w:r w:rsidR="0004412F" w:rsidRPr="00D15DEE">
        <w:t>IDet</w:t>
      </w:r>
      <w:r w:rsidR="00474E1A">
        <w:t>)</w:t>
      </w:r>
      <w:r w:rsidRPr="00D15DEE">
        <w:t xml:space="preserve"> as the main comparator in T1DM patients.</w:t>
      </w:r>
      <w:r w:rsidR="00497FE6" w:rsidRPr="00D15DEE">
        <w:t xml:space="preserve"> </w:t>
      </w:r>
    </w:p>
    <w:p w:rsidR="00C451CF" w:rsidRDefault="00C451CF" w:rsidP="002321A4">
      <w:pPr>
        <w:pStyle w:val="ListParagraph"/>
        <w:numPr>
          <w:ilvl w:val="1"/>
          <w:numId w:val="1"/>
        </w:numPr>
        <w:ind w:left="709" w:hanging="709"/>
        <w:jc w:val="both"/>
      </w:pPr>
      <w:r>
        <w:t>The PBAC noted that p</w:t>
      </w:r>
      <w:r w:rsidRPr="00C451CF">
        <w:t>re</w:t>
      </w:r>
      <w:r w:rsidR="002321A4">
        <w:t>-</w:t>
      </w:r>
      <w:r w:rsidRPr="00C451CF">
        <w:t xml:space="preserve">mixed insulins are not typically used in T1DM and   considered </w:t>
      </w:r>
      <w:r w:rsidR="00301880">
        <w:t xml:space="preserve">that it </w:t>
      </w:r>
      <w:r w:rsidRPr="00C451CF">
        <w:t>was not clear what role IDegAsp would have</w:t>
      </w:r>
      <w:r w:rsidR="00962105">
        <w:t xml:space="preserve"> in T1DM</w:t>
      </w:r>
      <w:r w:rsidRPr="00C451CF">
        <w:t xml:space="preserve"> if listed.</w:t>
      </w:r>
      <w:r w:rsidR="00BA2EAF">
        <w:t xml:space="preserve"> T</w:t>
      </w:r>
      <w:r w:rsidR="00BA2EAF" w:rsidRPr="00BA2EAF">
        <w:t xml:space="preserve">he PBAC considered that although there </w:t>
      </w:r>
      <w:r w:rsidR="00BA2EAF">
        <w:t>may</w:t>
      </w:r>
      <w:r w:rsidR="00BA2EAF" w:rsidRPr="00BA2EAF">
        <w:t xml:space="preserve"> be a small uptake in T1DM patients currently using a pre-mixed insulin </w:t>
      </w:r>
      <w:r w:rsidR="00651945">
        <w:t xml:space="preserve">who </w:t>
      </w:r>
      <w:r w:rsidR="00BA2EAF" w:rsidRPr="00BA2EAF">
        <w:t>may switch to IDegAsp</w:t>
      </w:r>
      <w:r w:rsidR="00BA2EAF">
        <w:t>,</w:t>
      </w:r>
      <w:r w:rsidR="00BA2EAF" w:rsidRPr="00BA2EAF">
        <w:t xml:space="preserve"> it would be unlikely that </w:t>
      </w:r>
      <w:r w:rsidR="00BA2EAF">
        <w:t>prescriber</w:t>
      </w:r>
      <w:r w:rsidR="00651945">
        <w:t xml:space="preserve">s would substitute IDegAsp for </w:t>
      </w:r>
      <w:r w:rsidR="00BA2EAF" w:rsidRPr="00BA2EAF">
        <w:t>basal plus bolus treatments</w:t>
      </w:r>
      <w:r w:rsidR="00651945">
        <w:t>.</w:t>
      </w:r>
    </w:p>
    <w:p w:rsidR="008577B2" w:rsidRPr="00D15DEE" w:rsidRDefault="005D5E75" w:rsidP="00962105">
      <w:pPr>
        <w:pStyle w:val="ListParagraph"/>
        <w:numPr>
          <w:ilvl w:val="1"/>
          <w:numId w:val="1"/>
        </w:numPr>
        <w:ind w:left="720" w:hanging="720"/>
        <w:jc w:val="both"/>
      </w:pPr>
      <w:r>
        <w:t>The PBAC considered that t</w:t>
      </w:r>
      <w:r w:rsidR="001C69A6" w:rsidRPr="00D15DEE">
        <w:t xml:space="preserve">he comparator proposed for the T2DM population (BIAsp 30) </w:t>
      </w:r>
      <w:r w:rsidR="003068D6" w:rsidRPr="00D15DEE">
        <w:t>or other premixed insulins</w:t>
      </w:r>
      <w:r w:rsidR="00F26D3B" w:rsidRPr="00D15DEE">
        <w:t xml:space="preserve"> </w:t>
      </w:r>
      <w:r w:rsidR="00916FF4">
        <w:t xml:space="preserve">may </w:t>
      </w:r>
      <w:r w:rsidR="00006514">
        <w:t xml:space="preserve">be </w:t>
      </w:r>
      <w:r w:rsidR="00301880">
        <w:t>more</w:t>
      </w:r>
      <w:r w:rsidR="001C69A6" w:rsidRPr="00D15DEE">
        <w:t xml:space="preserve"> </w:t>
      </w:r>
      <w:r w:rsidR="00F26D3B" w:rsidRPr="00D15DEE">
        <w:t>appropriate</w:t>
      </w:r>
      <w:r w:rsidR="00CE158A" w:rsidRPr="00D15DEE">
        <w:t xml:space="preserve"> comparator</w:t>
      </w:r>
      <w:r w:rsidR="00F26D3B" w:rsidRPr="00D15DEE">
        <w:t>s</w:t>
      </w:r>
      <w:r w:rsidR="00BA2EAF">
        <w:t xml:space="preserve"> for T1DM</w:t>
      </w:r>
      <w:r w:rsidR="001C69A6" w:rsidRPr="00D15DEE">
        <w:t xml:space="preserve"> as they possess pharmacologic similarities and both formulations are premixed insulins. </w:t>
      </w:r>
    </w:p>
    <w:p w:rsidR="0045546D" w:rsidRPr="00D15DEE" w:rsidRDefault="0045546D" w:rsidP="00962105">
      <w:pPr>
        <w:jc w:val="both"/>
      </w:pPr>
      <w:r w:rsidRPr="006A2A9A">
        <w:rPr>
          <w:i/>
        </w:rPr>
        <w:t>For more detail on PBAC’s view, see section 7 PBAC outcome.</w:t>
      </w:r>
    </w:p>
    <w:p w:rsidR="00C317F3" w:rsidRPr="00C756B5" w:rsidRDefault="00C317F3" w:rsidP="00AD7D66">
      <w:pPr>
        <w:pStyle w:val="Heading1"/>
        <w:ind w:left="720" w:hanging="720"/>
      </w:pPr>
      <w:bookmarkStart w:id="12" w:name="_Toc413139276"/>
      <w:bookmarkStart w:id="13" w:name="_Toc493067743"/>
      <w:r w:rsidRPr="00C756B5">
        <w:t>Consideration of the evidence</w:t>
      </w:r>
      <w:bookmarkEnd w:id="12"/>
      <w:bookmarkEnd w:id="13"/>
    </w:p>
    <w:p w:rsidR="000A0A9F" w:rsidRPr="00A57369" w:rsidRDefault="000A0A9F" w:rsidP="00491662">
      <w:pPr>
        <w:pStyle w:val="Heading2"/>
        <w:rPr>
          <w:i w:val="0"/>
        </w:rPr>
      </w:pPr>
      <w:bookmarkStart w:id="14" w:name="_Toc413139277"/>
      <w:bookmarkStart w:id="15" w:name="_Toc493067744"/>
      <w:r w:rsidRPr="00A57369">
        <w:rPr>
          <w:i w:val="0"/>
        </w:rPr>
        <w:t>Sponsor hearing</w:t>
      </w:r>
    </w:p>
    <w:p w:rsidR="009E1A8F" w:rsidRDefault="00E44875" w:rsidP="000A0A9F">
      <w:pPr>
        <w:pStyle w:val="ListParagraph"/>
        <w:numPr>
          <w:ilvl w:val="1"/>
          <w:numId w:val="1"/>
        </w:numPr>
        <w:ind w:left="720" w:hanging="720"/>
        <w:jc w:val="both"/>
        <w:rPr>
          <w:rFonts w:cs="Arial"/>
          <w:bCs/>
          <w:snapToGrid w:val="0"/>
        </w:rPr>
      </w:pPr>
      <w:r>
        <w:rPr>
          <w:rFonts w:cs="Arial"/>
          <w:bCs/>
          <w:snapToGrid w:val="0"/>
        </w:rPr>
        <w:t xml:space="preserve">The </w:t>
      </w:r>
      <w:r w:rsidRPr="00A57369">
        <w:rPr>
          <w:rFonts w:cs="Arial"/>
          <w:bCs/>
          <w:snapToGrid w:val="0"/>
        </w:rPr>
        <w:t xml:space="preserve">sponsor requested a hearing for this item. The clinician </w:t>
      </w:r>
      <w:r w:rsidR="009E1A8F">
        <w:rPr>
          <w:rFonts w:cs="Arial"/>
          <w:bCs/>
          <w:snapToGrid w:val="0"/>
        </w:rPr>
        <w:t xml:space="preserve">detailed his </w:t>
      </w:r>
      <w:r w:rsidR="003D11DF">
        <w:rPr>
          <w:rFonts w:cs="Arial"/>
          <w:bCs/>
          <w:snapToGrid w:val="0"/>
        </w:rPr>
        <w:t xml:space="preserve">personal experience treating diabetic patients and </w:t>
      </w:r>
      <w:r w:rsidRPr="00A57369">
        <w:rPr>
          <w:rFonts w:cs="Arial"/>
          <w:bCs/>
          <w:snapToGrid w:val="0"/>
        </w:rPr>
        <w:t>discussed the importance of hypoglycaemic control</w:t>
      </w:r>
      <w:r w:rsidR="003D11DF">
        <w:rPr>
          <w:rFonts w:cs="Arial"/>
          <w:bCs/>
          <w:snapToGrid w:val="0"/>
        </w:rPr>
        <w:t>.</w:t>
      </w:r>
      <w:r w:rsidR="009E1A8F">
        <w:rPr>
          <w:rFonts w:cs="Arial"/>
          <w:bCs/>
          <w:snapToGrid w:val="0"/>
        </w:rPr>
        <w:t xml:space="preserve"> </w:t>
      </w:r>
      <w:r w:rsidR="005E71D5" w:rsidRPr="00A57369">
        <w:rPr>
          <w:rFonts w:cs="Arial"/>
          <w:bCs/>
          <w:snapToGrid w:val="0"/>
        </w:rPr>
        <w:t xml:space="preserve">The clinician </w:t>
      </w:r>
      <w:r w:rsidR="005E71D5">
        <w:rPr>
          <w:rFonts w:cs="Arial"/>
          <w:bCs/>
          <w:snapToGrid w:val="0"/>
        </w:rPr>
        <w:t xml:space="preserve">stated </w:t>
      </w:r>
      <w:r w:rsidRPr="00A57369">
        <w:rPr>
          <w:rFonts w:cs="Arial"/>
          <w:bCs/>
          <w:snapToGrid w:val="0"/>
        </w:rPr>
        <w:t>that IDegAsp ha</w:t>
      </w:r>
      <w:r w:rsidR="009E1A8F">
        <w:rPr>
          <w:rFonts w:cs="Arial"/>
          <w:bCs/>
          <w:snapToGrid w:val="0"/>
        </w:rPr>
        <w:t>d</w:t>
      </w:r>
      <w:r w:rsidRPr="00A57369">
        <w:rPr>
          <w:rFonts w:cs="Arial"/>
          <w:bCs/>
          <w:snapToGrid w:val="0"/>
        </w:rPr>
        <w:t xml:space="preserve"> demonstrated significant reductions in the risk of confirmed hypoglycaemia in clinical trials. The clinician described that</w:t>
      </w:r>
      <w:r w:rsidR="005E71D5">
        <w:rPr>
          <w:rFonts w:cs="Arial"/>
          <w:bCs/>
          <w:snapToGrid w:val="0"/>
        </w:rPr>
        <w:t xml:space="preserve"> the</w:t>
      </w:r>
      <w:r w:rsidRPr="00A57369">
        <w:rPr>
          <w:rFonts w:cs="Arial"/>
          <w:bCs/>
          <w:snapToGrid w:val="0"/>
        </w:rPr>
        <w:t xml:space="preserve"> fear of future episodes of hypoglycaemia conflicts with treatment success</w:t>
      </w:r>
      <w:r w:rsidR="005E71D5">
        <w:rPr>
          <w:rFonts w:cs="Arial"/>
          <w:bCs/>
          <w:snapToGrid w:val="0"/>
        </w:rPr>
        <w:t>,</w:t>
      </w:r>
      <w:r w:rsidRPr="00A57369">
        <w:rPr>
          <w:rFonts w:cs="Arial"/>
          <w:bCs/>
          <w:snapToGrid w:val="0"/>
        </w:rPr>
        <w:t xml:space="preserve"> for both patients and clinicians</w:t>
      </w:r>
      <w:r w:rsidR="009E1A8F">
        <w:rPr>
          <w:rFonts w:cs="Arial"/>
          <w:bCs/>
          <w:snapToGrid w:val="0"/>
        </w:rPr>
        <w:t>.</w:t>
      </w:r>
      <w:r w:rsidRPr="00A57369">
        <w:rPr>
          <w:rFonts w:cs="Arial"/>
          <w:bCs/>
          <w:snapToGrid w:val="0"/>
        </w:rPr>
        <w:t xml:space="preserve"> </w:t>
      </w:r>
      <w:r w:rsidR="009E1A8F">
        <w:rPr>
          <w:rFonts w:cs="Arial"/>
          <w:bCs/>
          <w:snapToGrid w:val="0"/>
        </w:rPr>
        <w:t>P</w:t>
      </w:r>
      <w:r w:rsidRPr="00A57369">
        <w:rPr>
          <w:rFonts w:cs="Arial"/>
          <w:bCs/>
          <w:snapToGrid w:val="0"/>
        </w:rPr>
        <w:t xml:space="preserve">atients may </w:t>
      </w:r>
      <w:r w:rsidR="005E71D5">
        <w:rPr>
          <w:rFonts w:cs="Arial"/>
          <w:bCs/>
          <w:snapToGrid w:val="0"/>
        </w:rPr>
        <w:t>self-</w:t>
      </w:r>
      <w:r w:rsidRPr="00A57369">
        <w:rPr>
          <w:rFonts w:cs="Arial"/>
          <w:bCs/>
          <w:snapToGrid w:val="0"/>
        </w:rPr>
        <w:t xml:space="preserve">modify their insulin doses following a hypoglycaemic event, which in turn </w:t>
      </w:r>
      <w:r w:rsidR="00412BD6">
        <w:rPr>
          <w:rFonts w:cs="Arial"/>
          <w:bCs/>
          <w:snapToGrid w:val="0"/>
        </w:rPr>
        <w:t xml:space="preserve">may </w:t>
      </w:r>
      <w:r w:rsidR="009E1A8F">
        <w:rPr>
          <w:rFonts w:cs="Arial"/>
          <w:bCs/>
          <w:snapToGrid w:val="0"/>
        </w:rPr>
        <w:t xml:space="preserve">impact the </w:t>
      </w:r>
      <w:r w:rsidRPr="00A57369">
        <w:rPr>
          <w:rFonts w:cs="Arial"/>
          <w:bCs/>
          <w:snapToGrid w:val="0"/>
        </w:rPr>
        <w:t xml:space="preserve">proper treatment of </w:t>
      </w:r>
      <w:r w:rsidR="005E71D5">
        <w:rPr>
          <w:rFonts w:cs="Arial"/>
          <w:bCs/>
          <w:snapToGrid w:val="0"/>
        </w:rPr>
        <w:t>their condition</w:t>
      </w:r>
      <w:r w:rsidRPr="00A57369">
        <w:rPr>
          <w:rFonts w:cs="Arial"/>
          <w:bCs/>
          <w:snapToGrid w:val="0"/>
        </w:rPr>
        <w:t xml:space="preserve">. The clinician </w:t>
      </w:r>
      <w:r w:rsidR="009E1A8F">
        <w:rPr>
          <w:rFonts w:cs="Arial"/>
          <w:bCs/>
          <w:snapToGrid w:val="0"/>
        </w:rPr>
        <w:t>considered</w:t>
      </w:r>
      <w:r w:rsidR="009E1A8F" w:rsidRPr="00A57369">
        <w:rPr>
          <w:rFonts w:cs="Arial"/>
          <w:bCs/>
          <w:snapToGrid w:val="0"/>
        </w:rPr>
        <w:t xml:space="preserve"> </w:t>
      </w:r>
      <w:r w:rsidRPr="00A57369">
        <w:rPr>
          <w:rFonts w:cs="Arial"/>
          <w:bCs/>
          <w:snapToGrid w:val="0"/>
        </w:rPr>
        <w:t>that IDegAsp, the first combination of basal and ultra</w:t>
      </w:r>
      <w:r w:rsidR="00BC0687">
        <w:rPr>
          <w:rFonts w:cs="Arial"/>
          <w:bCs/>
          <w:snapToGrid w:val="0"/>
        </w:rPr>
        <w:t xml:space="preserve">, </w:t>
      </w:r>
      <w:r w:rsidRPr="00A57369">
        <w:rPr>
          <w:rFonts w:cs="Arial"/>
          <w:bCs/>
          <w:snapToGrid w:val="0"/>
        </w:rPr>
        <w:t>long</w:t>
      </w:r>
      <w:r>
        <w:rPr>
          <w:rFonts w:cs="Arial"/>
          <w:bCs/>
          <w:snapToGrid w:val="0"/>
        </w:rPr>
        <w:t>-acting</w:t>
      </w:r>
      <w:r w:rsidRPr="00A57369">
        <w:rPr>
          <w:rFonts w:cs="Arial"/>
          <w:bCs/>
          <w:snapToGrid w:val="0"/>
        </w:rPr>
        <w:t xml:space="preserve"> insulin</w:t>
      </w:r>
      <w:r w:rsidR="009E1A8F">
        <w:rPr>
          <w:rFonts w:cs="Arial"/>
          <w:bCs/>
          <w:snapToGrid w:val="0"/>
        </w:rPr>
        <w:t>,</w:t>
      </w:r>
      <w:r w:rsidRPr="00A57369">
        <w:rPr>
          <w:rFonts w:cs="Arial"/>
          <w:bCs/>
          <w:snapToGrid w:val="0"/>
        </w:rPr>
        <w:t xml:space="preserve"> may increase the chances </w:t>
      </w:r>
      <w:r w:rsidR="009E1A8F">
        <w:rPr>
          <w:rFonts w:cs="Arial"/>
          <w:bCs/>
          <w:snapToGrid w:val="0"/>
        </w:rPr>
        <w:t>that patients will</w:t>
      </w:r>
      <w:r w:rsidRPr="00A57369">
        <w:rPr>
          <w:rFonts w:cs="Arial"/>
          <w:bCs/>
          <w:snapToGrid w:val="0"/>
        </w:rPr>
        <w:t xml:space="preserve"> meet targets</w:t>
      </w:r>
      <w:r w:rsidR="009738E8">
        <w:rPr>
          <w:rFonts w:cs="Arial"/>
          <w:bCs/>
          <w:snapToGrid w:val="0"/>
        </w:rPr>
        <w:t xml:space="preserve"> </w:t>
      </w:r>
      <w:r w:rsidR="009E1A8F">
        <w:rPr>
          <w:rFonts w:cs="Arial"/>
          <w:bCs/>
          <w:snapToGrid w:val="0"/>
        </w:rPr>
        <w:t>for</w:t>
      </w:r>
      <w:r w:rsidR="009738E8">
        <w:rPr>
          <w:rFonts w:cs="Arial"/>
          <w:bCs/>
          <w:snapToGrid w:val="0"/>
        </w:rPr>
        <w:t xml:space="preserve"> HbA1c</w:t>
      </w:r>
      <w:r w:rsidRPr="00A57369">
        <w:rPr>
          <w:rFonts w:cs="Arial"/>
          <w:bCs/>
          <w:snapToGrid w:val="0"/>
        </w:rPr>
        <w:t xml:space="preserve"> and would likely be the pre</w:t>
      </w:r>
      <w:r w:rsidR="0051442B">
        <w:rPr>
          <w:rFonts w:cs="Arial"/>
          <w:bCs/>
          <w:snapToGrid w:val="0"/>
        </w:rPr>
        <w:t>-</w:t>
      </w:r>
      <w:r w:rsidRPr="00A57369">
        <w:rPr>
          <w:rFonts w:cs="Arial"/>
          <w:bCs/>
          <w:snapToGrid w:val="0"/>
        </w:rPr>
        <w:t>mix</w:t>
      </w:r>
      <w:r w:rsidR="00EB769E">
        <w:rPr>
          <w:rFonts w:cs="Arial"/>
          <w:bCs/>
          <w:snapToGrid w:val="0"/>
        </w:rPr>
        <w:t>ed insulin</w:t>
      </w:r>
      <w:r w:rsidRPr="00A57369">
        <w:rPr>
          <w:rFonts w:cs="Arial"/>
          <w:bCs/>
          <w:snapToGrid w:val="0"/>
        </w:rPr>
        <w:t xml:space="preserve"> of choice for T2DM patients. </w:t>
      </w:r>
    </w:p>
    <w:p w:rsidR="000A0A9F" w:rsidRPr="00A57369" w:rsidRDefault="00E44875" w:rsidP="000A0A9F">
      <w:pPr>
        <w:pStyle w:val="ListParagraph"/>
        <w:numPr>
          <w:ilvl w:val="1"/>
          <w:numId w:val="1"/>
        </w:numPr>
        <w:ind w:left="720" w:hanging="720"/>
        <w:jc w:val="both"/>
        <w:rPr>
          <w:rFonts w:cs="Arial"/>
          <w:bCs/>
          <w:snapToGrid w:val="0"/>
        </w:rPr>
      </w:pPr>
      <w:r w:rsidRPr="00A57369">
        <w:rPr>
          <w:rFonts w:cs="Arial"/>
          <w:bCs/>
          <w:snapToGrid w:val="0"/>
        </w:rPr>
        <w:t>The PBAC considered that the hearing did not add substantively to the evidence presented in the submission.</w:t>
      </w:r>
    </w:p>
    <w:p w:rsidR="000A0A9F" w:rsidRPr="00491662" w:rsidRDefault="000A0A9F" w:rsidP="00491662">
      <w:pPr>
        <w:pStyle w:val="Heading2"/>
        <w:rPr>
          <w:i w:val="0"/>
        </w:rPr>
      </w:pPr>
      <w:r w:rsidRPr="00491662">
        <w:rPr>
          <w:i w:val="0"/>
        </w:rPr>
        <w:t>Consumer comments</w:t>
      </w:r>
    </w:p>
    <w:p w:rsidR="000A0A9F" w:rsidRPr="00312505" w:rsidRDefault="00E44875" w:rsidP="000A0A9F">
      <w:pPr>
        <w:pStyle w:val="ListParagraph"/>
        <w:numPr>
          <w:ilvl w:val="1"/>
          <w:numId w:val="1"/>
        </w:numPr>
        <w:ind w:left="720" w:hanging="720"/>
        <w:jc w:val="both"/>
        <w:rPr>
          <w:rFonts w:cs="Arial"/>
          <w:bCs/>
          <w:snapToGrid w:val="0"/>
        </w:rPr>
      </w:pPr>
      <w:r>
        <w:rPr>
          <w:rFonts w:cs="Arial"/>
          <w:bCs/>
          <w:snapToGrid w:val="0"/>
        </w:rPr>
        <w:t xml:space="preserve">The </w:t>
      </w:r>
      <w:r w:rsidRPr="00312505">
        <w:rPr>
          <w:rFonts w:cs="Arial"/>
          <w:bCs/>
          <w:snapToGrid w:val="0"/>
        </w:rPr>
        <w:t xml:space="preserve">PBAC noted and welcomed the input from </w:t>
      </w:r>
      <w:r w:rsidR="009E1A8F">
        <w:rPr>
          <w:rFonts w:cs="Arial"/>
          <w:bCs/>
          <w:snapToGrid w:val="0"/>
        </w:rPr>
        <w:t>one</w:t>
      </w:r>
      <w:r w:rsidRPr="00312505">
        <w:rPr>
          <w:rFonts w:cs="Arial"/>
          <w:bCs/>
          <w:snapToGrid w:val="0"/>
        </w:rPr>
        <w:t xml:space="preserve"> organisation, the Australian Diabetes Society, via the Consumer Comments facility on the PBS website. The Australian Diabetes Society supported the use of IDegAsp in clinical practice. The PBAC noted the advice that</w:t>
      </w:r>
      <w:r w:rsidR="005E71D5">
        <w:rPr>
          <w:rFonts w:cs="Arial"/>
          <w:bCs/>
          <w:snapToGrid w:val="0"/>
        </w:rPr>
        <w:t xml:space="preserve"> recent studies have shown that</w:t>
      </w:r>
      <w:r w:rsidRPr="00312505">
        <w:rPr>
          <w:rFonts w:cs="Arial"/>
          <w:bCs/>
          <w:snapToGrid w:val="0"/>
        </w:rPr>
        <w:t xml:space="preserve"> the use of IDegAsp has been shown to reduce the risk of hypoglycaemia in both T1DM and T2DM, particularly nocturnal hypoglycaemic events and that IDegAsp and IGlar achieved similar HbA1c reduction. The Australian Diabetes Society also noted that IDegAsp would be the first available combination of rapid and ultralong-acting insulin. The PBAC noted that this advice was supportive of the submission.</w:t>
      </w:r>
    </w:p>
    <w:p w:rsidR="002001C6" w:rsidRPr="00C756B5" w:rsidRDefault="00C317F3" w:rsidP="00AD7D66">
      <w:pPr>
        <w:pStyle w:val="Heading2"/>
        <w:rPr>
          <w:i w:val="0"/>
        </w:rPr>
      </w:pPr>
      <w:r w:rsidRPr="00C756B5">
        <w:rPr>
          <w:i w:val="0"/>
        </w:rPr>
        <w:t>Clinical trials</w:t>
      </w:r>
      <w:bookmarkEnd w:id="14"/>
      <w:bookmarkEnd w:id="15"/>
    </w:p>
    <w:p w:rsidR="00C317F3" w:rsidRPr="00D15DEE" w:rsidRDefault="001C69A6" w:rsidP="00AD7D66">
      <w:pPr>
        <w:pStyle w:val="ListParagraph"/>
        <w:numPr>
          <w:ilvl w:val="1"/>
          <w:numId w:val="1"/>
        </w:numPr>
        <w:ind w:left="720" w:hanging="720"/>
        <w:jc w:val="both"/>
      </w:pPr>
      <w:r w:rsidRPr="00D15DEE">
        <w:t>The submission was</w:t>
      </w:r>
      <w:r w:rsidR="00C317F3" w:rsidRPr="00D15DEE">
        <w:t xml:space="preserve"> based on </w:t>
      </w:r>
      <w:r w:rsidRPr="00D15DEE">
        <w:t>three</w:t>
      </w:r>
      <w:r w:rsidR="00C317F3" w:rsidRPr="00D15DEE">
        <w:t xml:space="preserve"> head-to-head trial</w:t>
      </w:r>
      <w:r w:rsidRPr="00D15DEE">
        <w:t xml:space="preserve">s comparing </w:t>
      </w:r>
      <w:r w:rsidR="0004412F" w:rsidRPr="00D15DEE">
        <w:t>IDegAsp</w:t>
      </w:r>
      <w:r w:rsidR="00B375B6" w:rsidRPr="00D15DEE">
        <w:t xml:space="preserve"> </w:t>
      </w:r>
      <w:r w:rsidRPr="00D15DEE">
        <w:t xml:space="preserve">to </w:t>
      </w:r>
      <w:r w:rsidR="00B375B6" w:rsidRPr="00D15DEE">
        <w:t>BIAsp 30</w:t>
      </w:r>
      <w:r w:rsidRPr="00D15DEE">
        <w:t xml:space="preserve"> (study </w:t>
      </w:r>
      <w:r w:rsidRPr="00D15DEE">
        <w:rPr>
          <w:rFonts w:eastAsia="SimSun"/>
          <w:lang w:eastAsia="en-AU"/>
        </w:rPr>
        <w:t>3940</w:t>
      </w:r>
      <w:r w:rsidRPr="00D15DEE">
        <w:t xml:space="preserve">, N=394; study 3592, N=447; </w:t>
      </w:r>
      <w:r w:rsidR="00571C09" w:rsidRPr="00D15DEE">
        <w:t xml:space="preserve">study </w:t>
      </w:r>
      <w:r w:rsidRPr="00D15DEE">
        <w:t>3597</w:t>
      </w:r>
      <w:r w:rsidR="00571C09" w:rsidRPr="00D15DEE">
        <w:t>,</w:t>
      </w:r>
      <w:r w:rsidRPr="00D15DEE">
        <w:t xml:space="preserve"> N=424</w:t>
      </w:r>
      <w:r w:rsidR="00571C09" w:rsidRPr="00D15DEE">
        <w:t>) for T2DM patients</w:t>
      </w:r>
      <w:r w:rsidRPr="00D15DEE">
        <w:t xml:space="preserve"> and one head-to-head trial </w:t>
      </w:r>
      <w:r w:rsidR="005E0068" w:rsidRPr="00D15DEE">
        <w:t xml:space="preserve">(main trial with extension trial) </w:t>
      </w:r>
      <w:r w:rsidRPr="00D15DEE">
        <w:t xml:space="preserve">comparing </w:t>
      </w:r>
      <w:r w:rsidR="0004412F" w:rsidRPr="00D15DEE">
        <w:t>IDegAsp</w:t>
      </w:r>
      <w:r w:rsidR="005E0068" w:rsidRPr="00D15DEE">
        <w:t xml:space="preserve"> to </w:t>
      </w:r>
      <w:r w:rsidR="00B375B6" w:rsidRPr="00D15DEE">
        <w:t>IDet</w:t>
      </w:r>
      <w:r w:rsidR="00C43799" w:rsidRPr="00D15DEE">
        <w:t xml:space="preserve"> </w:t>
      </w:r>
      <w:r w:rsidR="005E0068" w:rsidRPr="00D15DEE">
        <w:t xml:space="preserve">(study </w:t>
      </w:r>
      <w:r w:rsidRPr="00D15DEE">
        <w:rPr>
          <w:rFonts w:eastAsia="SimSun"/>
          <w:lang w:eastAsia="en-AU"/>
        </w:rPr>
        <w:t>3594/3645, N=548)</w:t>
      </w:r>
      <w:r w:rsidR="00571C09" w:rsidRPr="00D15DEE">
        <w:rPr>
          <w:rFonts w:eastAsia="SimSun"/>
          <w:lang w:eastAsia="en-AU"/>
        </w:rPr>
        <w:t xml:space="preserve"> for T1DM patients</w:t>
      </w:r>
      <w:r w:rsidRPr="00D15DEE">
        <w:rPr>
          <w:rFonts w:eastAsia="SimSun"/>
          <w:lang w:eastAsia="en-AU"/>
        </w:rPr>
        <w:t xml:space="preserve">. </w:t>
      </w:r>
      <w:r w:rsidRPr="00D15DEE">
        <w:t>No subgroup analyses or meta-analyses were required.</w:t>
      </w:r>
      <w:r w:rsidR="00545716" w:rsidRPr="00D15DEE">
        <w:t xml:space="preserve"> The T2DM trials were not pooled in the clinical evidence as they were from three different population groups; 3940 (T2DM, insulin-naïve), 3592 (T2DM, insulin-experienced), and 3597 (T2DM, insulin-experienced, Japanese study). A supplementary pooled analysis of 3592, and 3597 was provided.</w:t>
      </w:r>
      <w:r w:rsidR="00371C50" w:rsidRPr="00D15DEE">
        <w:t xml:space="preserve"> </w:t>
      </w:r>
    </w:p>
    <w:p w:rsidR="001C69A6" w:rsidRPr="00D15DEE" w:rsidRDefault="00C317F3" w:rsidP="00AD7D66">
      <w:pPr>
        <w:pStyle w:val="ListParagraph"/>
        <w:numPr>
          <w:ilvl w:val="1"/>
          <w:numId w:val="1"/>
        </w:numPr>
        <w:ind w:left="720" w:hanging="720"/>
        <w:jc w:val="both"/>
      </w:pPr>
      <w:r w:rsidRPr="00D15DEE">
        <w:t>Details of the trials presented in the submission</w:t>
      </w:r>
      <w:r w:rsidR="000B194B" w:rsidRPr="00D15DEE">
        <w:t xml:space="preserve"> for T2DM</w:t>
      </w:r>
      <w:r w:rsidRPr="00D15DEE">
        <w:t xml:space="preserve"> ar</w:t>
      </w:r>
      <w:r w:rsidR="005863A4" w:rsidRPr="00D15DEE">
        <w:t xml:space="preserve">e provided in table </w:t>
      </w:r>
      <w:r w:rsidR="00CF3E7D" w:rsidRPr="00D15DEE">
        <w:t>3</w:t>
      </w:r>
      <w:r w:rsidR="001C69A6" w:rsidRPr="00D15DEE">
        <w:t>.</w:t>
      </w:r>
    </w:p>
    <w:p w:rsidR="001C69A6" w:rsidRPr="00D15DEE" w:rsidRDefault="001C69A6" w:rsidP="001C69A6">
      <w:pPr>
        <w:pStyle w:val="TableHeading0"/>
      </w:pPr>
      <w:r w:rsidRPr="00D15DEE">
        <w:t xml:space="preserve">Table </w:t>
      </w:r>
      <w:r w:rsidR="00CF3E7D" w:rsidRPr="00D15DEE">
        <w:t>3</w:t>
      </w:r>
      <w:r w:rsidRPr="00D15DEE">
        <w:t>: Trials and associated reports presented in the submission</w:t>
      </w:r>
      <w:r w:rsidR="000B194B" w:rsidRPr="00D15DEE">
        <w:t xml:space="preserve"> for T2DM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33"/>
        <w:gridCol w:w="5258"/>
        <w:gridCol w:w="2091"/>
      </w:tblGrid>
      <w:tr w:rsidR="001C69A6" w:rsidRPr="00D15DEE" w:rsidTr="005C6AB7">
        <w:tc>
          <w:tcPr>
            <w:tcW w:w="954" w:type="pct"/>
          </w:tcPr>
          <w:p w:rsidR="005E0068" w:rsidRPr="00D15DEE" w:rsidRDefault="001C69A6" w:rsidP="00F63640">
            <w:pPr>
              <w:pStyle w:val="TableText"/>
              <w:rPr>
                <w:b/>
              </w:rPr>
            </w:pPr>
            <w:r w:rsidRPr="00D15DEE">
              <w:rPr>
                <w:b/>
              </w:rPr>
              <w:t>Trial ID</w:t>
            </w:r>
          </w:p>
        </w:tc>
        <w:tc>
          <w:tcPr>
            <w:tcW w:w="2895" w:type="pct"/>
          </w:tcPr>
          <w:p w:rsidR="001C69A6" w:rsidRPr="00D15DEE" w:rsidRDefault="001C69A6" w:rsidP="00F63640">
            <w:pPr>
              <w:pStyle w:val="TableText"/>
              <w:rPr>
                <w:b/>
              </w:rPr>
            </w:pPr>
            <w:r w:rsidRPr="00D15DEE">
              <w:rPr>
                <w:b/>
              </w:rPr>
              <w:t>Protocol title/ Publication title</w:t>
            </w:r>
          </w:p>
        </w:tc>
        <w:tc>
          <w:tcPr>
            <w:tcW w:w="1151" w:type="pct"/>
          </w:tcPr>
          <w:p w:rsidR="001C69A6" w:rsidRPr="00D15DEE" w:rsidRDefault="001C69A6" w:rsidP="00F63640">
            <w:pPr>
              <w:pStyle w:val="TableText"/>
              <w:rPr>
                <w:b/>
              </w:rPr>
            </w:pPr>
            <w:r w:rsidRPr="00D15DEE">
              <w:rPr>
                <w:b/>
              </w:rPr>
              <w:t>Publication citation</w:t>
            </w:r>
          </w:p>
        </w:tc>
      </w:tr>
      <w:tr w:rsidR="001C69A6" w:rsidRPr="00D15DEE" w:rsidTr="005C6AB7">
        <w:tc>
          <w:tcPr>
            <w:tcW w:w="5000" w:type="pct"/>
            <w:gridSpan w:val="3"/>
          </w:tcPr>
          <w:p w:rsidR="001C69A6" w:rsidRPr="00D15DEE" w:rsidRDefault="001C69A6" w:rsidP="00F63640">
            <w:pPr>
              <w:pStyle w:val="TableText"/>
              <w:rPr>
                <w:b/>
              </w:rPr>
            </w:pPr>
            <w:r w:rsidRPr="00D15DEE">
              <w:rPr>
                <w:b/>
              </w:rPr>
              <w:t>Direct randomised trial(s)</w:t>
            </w:r>
          </w:p>
        </w:tc>
      </w:tr>
      <w:tr w:rsidR="001C69A6" w:rsidRPr="00D15DEE" w:rsidTr="005C6AB7">
        <w:tc>
          <w:tcPr>
            <w:tcW w:w="954" w:type="pct"/>
          </w:tcPr>
          <w:p w:rsidR="001C69A6" w:rsidRPr="00D15DEE" w:rsidRDefault="001C69A6" w:rsidP="00F63640">
            <w:pPr>
              <w:pStyle w:val="TableText"/>
            </w:pPr>
            <w:r w:rsidRPr="00D15DEE">
              <w:t>3940 (T2DM, insulin-naïve)</w:t>
            </w:r>
          </w:p>
        </w:tc>
        <w:tc>
          <w:tcPr>
            <w:tcW w:w="2895" w:type="pct"/>
          </w:tcPr>
          <w:p w:rsidR="001C69A6" w:rsidRPr="00D15DEE" w:rsidRDefault="001C69A6" w:rsidP="00F63640">
            <w:pPr>
              <w:pStyle w:val="Tabletext0"/>
            </w:pPr>
            <w:r w:rsidRPr="00D15DEE">
              <w:t>A 26-week, randomised, open-label, multinational treat-to-target trial comparing efficacy and safety of IDegAsp</w:t>
            </w:r>
            <w:r w:rsidR="00B375B6" w:rsidRPr="00D15DEE">
              <w:t xml:space="preserve"> </w:t>
            </w:r>
            <w:r w:rsidRPr="00D15DEE">
              <w:t>BID and BIAsp 30 BID both with metformin in insulin naïve subjects with type 2 diabetes mellitus inadequately controlled on metformin monotherapy or metformin in combination with one OAD.</w:t>
            </w:r>
          </w:p>
          <w:p w:rsidR="001C69A6" w:rsidRPr="00D15DEE" w:rsidRDefault="001C69A6" w:rsidP="00F63640">
            <w:pPr>
              <w:pStyle w:val="Tabletext0"/>
            </w:pPr>
          </w:p>
          <w:p w:rsidR="001C69A6" w:rsidRPr="00D15DEE" w:rsidRDefault="00AD7D66" w:rsidP="00F63640">
            <w:pPr>
              <w:pStyle w:val="Tabletext0"/>
            </w:pPr>
            <w:r w:rsidRPr="00D15DEE">
              <w:t xml:space="preserve">Franek, E., et al. (2016). </w:t>
            </w:r>
            <w:r w:rsidR="001C69A6" w:rsidRPr="00D15DEE">
              <w:t>Twice-daily insulin degludec/insulin aspart provides superior fasting plasma glucose control and a reduced rate of hypoglycaemia compared with biphasic insulin aspart 30 in insulin-naïv</w:t>
            </w:r>
            <w:r w:rsidRPr="00D15DEE">
              <w:t>e adults with Type 2 diabetes.</w:t>
            </w:r>
          </w:p>
        </w:tc>
        <w:tc>
          <w:tcPr>
            <w:tcW w:w="1151" w:type="pct"/>
          </w:tcPr>
          <w:p w:rsidR="001C69A6" w:rsidRPr="00D15DEE" w:rsidRDefault="001C69A6" w:rsidP="00F63640">
            <w:pPr>
              <w:pStyle w:val="Tabletext0"/>
            </w:pPr>
            <w:r w:rsidRPr="00D15DEE">
              <w:t>June 2013</w:t>
            </w:r>
          </w:p>
          <w:p w:rsidR="001C69A6" w:rsidRPr="00D15DEE" w:rsidRDefault="001C69A6" w:rsidP="00F63640">
            <w:pPr>
              <w:pStyle w:val="Tabletext0"/>
            </w:pPr>
          </w:p>
          <w:p w:rsidR="001C69A6" w:rsidRPr="00D15DEE" w:rsidRDefault="001C69A6" w:rsidP="00F63640">
            <w:pPr>
              <w:pStyle w:val="Tabletext0"/>
            </w:pPr>
          </w:p>
          <w:p w:rsidR="001C69A6" w:rsidRPr="00D15DEE" w:rsidRDefault="001C69A6" w:rsidP="00F63640">
            <w:pPr>
              <w:pStyle w:val="Tabletext0"/>
            </w:pPr>
          </w:p>
          <w:p w:rsidR="001C69A6" w:rsidRPr="00D15DEE" w:rsidRDefault="001C69A6" w:rsidP="00F63640">
            <w:pPr>
              <w:pStyle w:val="Tabletext0"/>
            </w:pPr>
          </w:p>
          <w:p w:rsidR="001C69A6" w:rsidRPr="00D15DEE" w:rsidRDefault="001C69A6" w:rsidP="00F63640">
            <w:pPr>
              <w:pStyle w:val="Tabletext0"/>
            </w:pPr>
          </w:p>
          <w:p w:rsidR="001C69A6" w:rsidRPr="00D15DEE" w:rsidRDefault="001C69A6" w:rsidP="00F63640">
            <w:pPr>
              <w:pStyle w:val="Tabletext0"/>
            </w:pPr>
            <w:r w:rsidRPr="00D15DEE">
              <w:t>Diabetic Medicine 33(4): 497-505.</w:t>
            </w:r>
          </w:p>
          <w:p w:rsidR="001C69A6" w:rsidRPr="00D15DEE" w:rsidRDefault="001C69A6" w:rsidP="00F63640">
            <w:pPr>
              <w:pStyle w:val="TableText"/>
            </w:pPr>
          </w:p>
        </w:tc>
      </w:tr>
      <w:tr w:rsidR="001C69A6" w:rsidRPr="00D15DEE" w:rsidTr="005C6AB7">
        <w:tc>
          <w:tcPr>
            <w:tcW w:w="954" w:type="pct"/>
          </w:tcPr>
          <w:p w:rsidR="001C69A6" w:rsidRPr="00D15DEE" w:rsidRDefault="001C69A6" w:rsidP="00F63640">
            <w:pPr>
              <w:pStyle w:val="TableText"/>
            </w:pPr>
            <w:r w:rsidRPr="00D15DEE">
              <w:t>3592 (T2DM, insulin-experienced)</w:t>
            </w:r>
          </w:p>
        </w:tc>
        <w:tc>
          <w:tcPr>
            <w:tcW w:w="2895" w:type="pct"/>
          </w:tcPr>
          <w:p w:rsidR="001C69A6" w:rsidRPr="00D15DEE" w:rsidRDefault="001C69A6">
            <w:pPr>
              <w:pStyle w:val="Tabletext0"/>
            </w:pPr>
            <w:r w:rsidRPr="00D15DEE">
              <w:t xml:space="preserve">A 26-week, randomised, open-labelled, two-arm, parallel-group, treat-to-target trial comparing efficacy and safety of NN5401 twice daily (BID) with biphasic insulin aspart (BIAsp) 30 BID, with or without metformin, with or without DPP-4 inhibitor, with or without pioglitazone in subjects with type 2 diabetes in inadequate glycaemic control on once or twice daily premixed or self-mixed insulin regimen with or without OADs. </w:t>
            </w:r>
          </w:p>
          <w:p w:rsidR="001C69A6" w:rsidRPr="00D15DEE" w:rsidRDefault="001C69A6">
            <w:pPr>
              <w:pStyle w:val="Tabletext0"/>
            </w:pPr>
          </w:p>
          <w:p w:rsidR="001C69A6" w:rsidRPr="00D15DEE" w:rsidRDefault="00AD7D66" w:rsidP="0004412F">
            <w:pPr>
              <w:pStyle w:val="Tabletext0"/>
            </w:pPr>
            <w:r w:rsidRPr="00D15DEE">
              <w:rPr>
                <w:lang w:val="de-DE"/>
              </w:rPr>
              <w:t xml:space="preserve">Fulcher, G. R., et al. </w:t>
            </w:r>
            <w:r w:rsidRPr="00D15DEE">
              <w:t xml:space="preserve">(2014). </w:t>
            </w:r>
            <w:r w:rsidR="001C69A6" w:rsidRPr="00D15DEE">
              <w:t>Comparison of insulin degludec/insulin aspart and biphasic insulin aspart 30 in uncontrolled, insulin-treated type 2 diabetes: A phase 3a, randomized, treat-to-target trial.</w:t>
            </w:r>
          </w:p>
        </w:tc>
        <w:tc>
          <w:tcPr>
            <w:tcW w:w="1151" w:type="pct"/>
          </w:tcPr>
          <w:p w:rsidR="001C69A6" w:rsidRPr="00D15DEE" w:rsidRDefault="001C69A6" w:rsidP="0004412F">
            <w:pPr>
              <w:pStyle w:val="TableText"/>
              <w:spacing w:before="0" w:after="0"/>
            </w:pPr>
            <w:r w:rsidRPr="00D15DEE">
              <w:t>May 2011</w:t>
            </w:r>
          </w:p>
          <w:p w:rsidR="001C69A6" w:rsidRPr="00D15DEE" w:rsidRDefault="001C69A6" w:rsidP="0004412F">
            <w:pPr>
              <w:pStyle w:val="TableText"/>
              <w:spacing w:before="0" w:after="0"/>
            </w:pPr>
          </w:p>
          <w:p w:rsidR="001C69A6" w:rsidRPr="00D15DEE" w:rsidRDefault="001C69A6" w:rsidP="0004412F">
            <w:pPr>
              <w:pStyle w:val="TableText"/>
              <w:spacing w:before="0" w:after="0"/>
            </w:pPr>
          </w:p>
          <w:p w:rsidR="001C69A6" w:rsidRPr="00D15DEE" w:rsidRDefault="001C69A6" w:rsidP="0004412F">
            <w:pPr>
              <w:pStyle w:val="TableText"/>
              <w:spacing w:before="0" w:after="0"/>
            </w:pPr>
          </w:p>
          <w:p w:rsidR="001C69A6" w:rsidRPr="00D15DEE" w:rsidRDefault="001C69A6" w:rsidP="0004412F">
            <w:pPr>
              <w:pStyle w:val="TableText"/>
              <w:spacing w:before="0" w:after="0"/>
            </w:pPr>
          </w:p>
          <w:p w:rsidR="001C69A6" w:rsidRPr="00D15DEE" w:rsidRDefault="001C69A6" w:rsidP="0004412F">
            <w:pPr>
              <w:pStyle w:val="TableText"/>
              <w:spacing w:before="0" w:after="0"/>
            </w:pPr>
          </w:p>
          <w:p w:rsidR="000B194B" w:rsidRPr="00D15DEE" w:rsidRDefault="000B194B" w:rsidP="0004412F">
            <w:pPr>
              <w:pStyle w:val="TableText"/>
              <w:spacing w:before="0" w:after="0"/>
            </w:pPr>
          </w:p>
          <w:p w:rsidR="000B194B" w:rsidRPr="00D15DEE" w:rsidRDefault="000B194B" w:rsidP="0004412F">
            <w:pPr>
              <w:pStyle w:val="TableText"/>
              <w:spacing w:before="0" w:after="0"/>
            </w:pPr>
          </w:p>
          <w:p w:rsidR="001C69A6" w:rsidRPr="00D15DEE" w:rsidRDefault="001C69A6" w:rsidP="0004412F">
            <w:pPr>
              <w:pStyle w:val="TableText"/>
              <w:spacing w:before="0" w:after="0"/>
            </w:pPr>
            <w:r w:rsidRPr="00D15DEE">
              <w:t>Diabetes Care 37(8): 2084-2090</w:t>
            </w:r>
            <w:r w:rsidR="00AD7D66" w:rsidRPr="00D15DEE">
              <w:t>.</w:t>
            </w:r>
          </w:p>
        </w:tc>
      </w:tr>
      <w:tr w:rsidR="001C69A6" w:rsidRPr="00D15DEE" w:rsidTr="005C6AB7">
        <w:tc>
          <w:tcPr>
            <w:tcW w:w="954" w:type="pct"/>
          </w:tcPr>
          <w:p w:rsidR="001C69A6" w:rsidRPr="00D15DEE" w:rsidRDefault="001C69A6" w:rsidP="00F63640">
            <w:pPr>
              <w:pStyle w:val="TableText"/>
            </w:pPr>
            <w:r w:rsidRPr="00D15DEE">
              <w:t>3597 (T2DM, insulin-experienced)</w:t>
            </w:r>
          </w:p>
        </w:tc>
        <w:tc>
          <w:tcPr>
            <w:tcW w:w="2895" w:type="pct"/>
          </w:tcPr>
          <w:p w:rsidR="001C69A6" w:rsidRPr="00D15DEE" w:rsidRDefault="001C69A6" w:rsidP="00F63640">
            <w:pPr>
              <w:pStyle w:val="Tabletext0"/>
            </w:pPr>
            <w:r w:rsidRPr="00D15DEE">
              <w:t>A 26-week trial, randomised, open-label, two-arm, parallel-group, treat-to-target study comparing efficacy and safety of the NN5401 twice daily with biphasic insulin aspart 30 twice daily, with or without metformin in subjects with type 2 diabetes in inadequate glycaemic control on once or twice daily insulin regimen with or without metformin.</w:t>
            </w:r>
          </w:p>
          <w:p w:rsidR="001C69A6" w:rsidRPr="00D15DEE" w:rsidRDefault="001C69A6" w:rsidP="00F63640">
            <w:pPr>
              <w:pStyle w:val="TableText"/>
            </w:pPr>
          </w:p>
          <w:p w:rsidR="001C69A6" w:rsidRPr="00D15DEE" w:rsidRDefault="001C69A6" w:rsidP="00F63640">
            <w:pPr>
              <w:pStyle w:val="Tabletext0"/>
            </w:pPr>
            <w:r w:rsidRPr="00D15DEE">
              <w:t>Chris</w:t>
            </w:r>
            <w:r w:rsidR="00AD7D66" w:rsidRPr="00D15DEE">
              <w:t xml:space="preserve">tiansen, J. S., et al. (2013). </w:t>
            </w:r>
            <w:r w:rsidRPr="00D15DEE">
              <w:t>Superior FPG control and less nocturnal hypoglycaemia with IDegAsp vs BIAsp 30 in Asian subjects poorly controlled on basal or pre/self-mixed insulin: Randomised phase 3 trial</w:t>
            </w:r>
          </w:p>
        </w:tc>
        <w:tc>
          <w:tcPr>
            <w:tcW w:w="1151" w:type="pct"/>
          </w:tcPr>
          <w:p w:rsidR="001C69A6" w:rsidRPr="00D15DEE" w:rsidRDefault="001C69A6" w:rsidP="00F63640">
            <w:pPr>
              <w:pStyle w:val="TableText"/>
              <w:rPr>
                <w:rFonts w:eastAsia="Times New Roman" w:cs="Times New Roman"/>
                <w:szCs w:val="20"/>
              </w:rPr>
            </w:pPr>
            <w:r w:rsidRPr="00D15DEE">
              <w:rPr>
                <w:rFonts w:eastAsia="Times New Roman" w:cs="Times New Roman"/>
                <w:szCs w:val="20"/>
              </w:rPr>
              <w:t>June 2011</w:t>
            </w:r>
          </w:p>
          <w:p w:rsidR="001C69A6" w:rsidRPr="00D15DEE" w:rsidRDefault="001C69A6" w:rsidP="00F63640">
            <w:pPr>
              <w:pStyle w:val="TableText"/>
              <w:rPr>
                <w:rFonts w:eastAsia="Times New Roman" w:cs="Times New Roman"/>
                <w:szCs w:val="20"/>
              </w:rPr>
            </w:pPr>
          </w:p>
          <w:p w:rsidR="001C69A6" w:rsidRPr="00D15DEE" w:rsidRDefault="001C69A6" w:rsidP="00F63640">
            <w:pPr>
              <w:pStyle w:val="TableText"/>
              <w:rPr>
                <w:rFonts w:eastAsia="Times New Roman" w:cs="Times New Roman"/>
                <w:szCs w:val="20"/>
              </w:rPr>
            </w:pPr>
          </w:p>
          <w:p w:rsidR="001C69A6" w:rsidRPr="00D15DEE" w:rsidRDefault="001C69A6" w:rsidP="00F63640">
            <w:pPr>
              <w:pStyle w:val="TableText"/>
              <w:rPr>
                <w:rFonts w:eastAsia="Times New Roman" w:cs="Times New Roman"/>
                <w:szCs w:val="20"/>
              </w:rPr>
            </w:pPr>
          </w:p>
          <w:p w:rsidR="001C69A6" w:rsidRPr="00D15DEE" w:rsidRDefault="001C69A6" w:rsidP="00F63640">
            <w:pPr>
              <w:pStyle w:val="TableText"/>
              <w:rPr>
                <w:rFonts w:eastAsia="Times New Roman" w:cs="Times New Roman"/>
                <w:szCs w:val="20"/>
              </w:rPr>
            </w:pPr>
          </w:p>
          <w:p w:rsidR="001C69A6" w:rsidRPr="00D15DEE" w:rsidRDefault="001C69A6" w:rsidP="00F63640">
            <w:pPr>
              <w:pStyle w:val="TableText"/>
              <w:rPr>
                <w:rFonts w:eastAsia="Times New Roman" w:cs="Times New Roman"/>
                <w:szCs w:val="20"/>
              </w:rPr>
            </w:pPr>
          </w:p>
          <w:p w:rsidR="001C69A6" w:rsidRPr="00D15DEE" w:rsidRDefault="001C69A6" w:rsidP="00F63640">
            <w:pPr>
              <w:pStyle w:val="TableText"/>
            </w:pPr>
            <w:r w:rsidRPr="00D15DEE">
              <w:rPr>
                <w:rFonts w:eastAsia="Times New Roman" w:cs="Times New Roman"/>
                <w:szCs w:val="20"/>
              </w:rPr>
              <w:t>Diabetologia</w:t>
            </w:r>
            <w:r w:rsidRPr="00D15DEE">
              <w:t xml:space="preserve"> 56: S420.</w:t>
            </w:r>
          </w:p>
        </w:tc>
      </w:tr>
    </w:tbl>
    <w:p w:rsidR="00CF2FED" w:rsidRPr="00D15DEE" w:rsidRDefault="00CF2FED" w:rsidP="00CF2FED">
      <w:pPr>
        <w:pStyle w:val="TableFooter"/>
        <w:rPr>
          <w:szCs w:val="18"/>
        </w:rPr>
      </w:pPr>
      <w:r w:rsidRPr="00D15DEE">
        <w:rPr>
          <w:szCs w:val="18"/>
        </w:rPr>
        <w:t xml:space="preserve">Source: Table 2.2.2, p27 of the </w:t>
      </w:r>
      <w:r w:rsidR="004B34EB" w:rsidRPr="00D15DEE">
        <w:rPr>
          <w:szCs w:val="18"/>
        </w:rPr>
        <w:t>submission</w:t>
      </w:r>
    </w:p>
    <w:p w:rsidR="001C69A6" w:rsidRPr="00D15DEE" w:rsidRDefault="0004412F" w:rsidP="001C69A6">
      <w:pPr>
        <w:pStyle w:val="TableFooter"/>
      </w:pPr>
      <w:r w:rsidRPr="00D15DEE">
        <w:t xml:space="preserve">BIAsp 30 = </w:t>
      </w:r>
      <w:r w:rsidRPr="00D15DEE">
        <w:rPr>
          <w:szCs w:val="18"/>
        </w:rPr>
        <w:t xml:space="preserve">biphasic insulin aspart; BID = twice-daily; </w:t>
      </w:r>
      <w:r w:rsidRPr="00D15DEE">
        <w:t>DPP-4i = dipeptidyl peptidase 4 inhibitor;</w:t>
      </w:r>
      <w:r w:rsidR="00C43799" w:rsidRPr="00D15DEE">
        <w:t xml:space="preserve"> </w:t>
      </w:r>
      <w:r w:rsidR="00C43799" w:rsidRPr="00D15DEE">
        <w:rPr>
          <w:szCs w:val="18"/>
        </w:rPr>
        <w:t>FPG = fasting plasma glucose</w:t>
      </w:r>
      <w:r w:rsidR="00C43799" w:rsidRPr="00D15DEE">
        <w:t xml:space="preserve"> </w:t>
      </w:r>
      <w:r w:rsidRPr="00D15DEE">
        <w:t>IDegAsp = insulin degludec/insulin aspart; IDet = insulin detemir; OAD = oral antidiabetic drug;</w:t>
      </w:r>
      <w:r w:rsidR="001C69A6" w:rsidRPr="00D15DEE">
        <w:rPr>
          <w:szCs w:val="18"/>
        </w:rPr>
        <w:t xml:space="preserve"> T2DM = type 2 diabetes mellitus</w:t>
      </w:r>
    </w:p>
    <w:p w:rsidR="003F5F54" w:rsidRDefault="000B194B" w:rsidP="0081705E">
      <w:pPr>
        <w:pStyle w:val="ListParagraph"/>
        <w:numPr>
          <w:ilvl w:val="1"/>
          <w:numId w:val="1"/>
        </w:numPr>
        <w:ind w:left="720" w:hanging="720"/>
        <w:jc w:val="both"/>
      </w:pPr>
      <w:r w:rsidRPr="00D15DEE">
        <w:t>Details of the trials presented in the submission for T1DM ar</w:t>
      </w:r>
      <w:r w:rsidR="00C43799" w:rsidRPr="00D15DEE">
        <w:t xml:space="preserve">e provided in the table </w:t>
      </w:r>
      <w:r w:rsidR="00CF3E7D" w:rsidRPr="00D15DEE">
        <w:t>4</w:t>
      </w:r>
      <w:r w:rsidRPr="00D15DEE">
        <w:t>.</w:t>
      </w:r>
    </w:p>
    <w:p w:rsidR="003F5F54" w:rsidRDefault="003F5F54">
      <w:pPr>
        <w:spacing w:before="0" w:line="259" w:lineRule="auto"/>
      </w:pPr>
      <w:r>
        <w:br w:type="page"/>
      </w:r>
    </w:p>
    <w:p w:rsidR="00C43799" w:rsidRPr="00D15DEE" w:rsidRDefault="00C43799" w:rsidP="003F5F54">
      <w:pPr>
        <w:pStyle w:val="ListParagraph"/>
        <w:jc w:val="both"/>
      </w:pPr>
    </w:p>
    <w:p w:rsidR="000B194B" w:rsidRPr="00D15DEE" w:rsidRDefault="000B194B" w:rsidP="00D04909">
      <w:pPr>
        <w:pStyle w:val="TableHeading0"/>
      </w:pPr>
      <w:r w:rsidRPr="00D15DEE">
        <w:t>T</w:t>
      </w:r>
      <w:r w:rsidR="00443B03" w:rsidRPr="00D15DEE">
        <w:t xml:space="preserve">able </w:t>
      </w:r>
      <w:r w:rsidR="00CF3E7D" w:rsidRPr="00D15DEE">
        <w:t>4</w:t>
      </w:r>
      <w:r w:rsidRPr="00D15DEE">
        <w:t>: Trials and associated reports presented in the submission for T1DM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33"/>
        <w:gridCol w:w="4688"/>
        <w:gridCol w:w="2661"/>
      </w:tblGrid>
      <w:tr w:rsidR="00955532" w:rsidRPr="00D15DEE" w:rsidTr="00E1359D">
        <w:tc>
          <w:tcPr>
            <w:tcW w:w="954" w:type="pct"/>
          </w:tcPr>
          <w:p w:rsidR="00955532" w:rsidRPr="00D15DEE" w:rsidRDefault="00955532" w:rsidP="00955532">
            <w:pPr>
              <w:pStyle w:val="TableText"/>
            </w:pPr>
            <w:r w:rsidRPr="00D15DEE">
              <w:rPr>
                <w:b/>
              </w:rPr>
              <w:t>Trial ID</w:t>
            </w:r>
          </w:p>
        </w:tc>
        <w:tc>
          <w:tcPr>
            <w:tcW w:w="2581" w:type="pct"/>
          </w:tcPr>
          <w:p w:rsidR="00955532" w:rsidRPr="00D15DEE" w:rsidRDefault="00955532" w:rsidP="00955532">
            <w:pPr>
              <w:pStyle w:val="Tabletext0"/>
            </w:pPr>
            <w:r w:rsidRPr="00D15DEE">
              <w:rPr>
                <w:b/>
              </w:rPr>
              <w:t>Protocol title/ Publication title</w:t>
            </w:r>
          </w:p>
        </w:tc>
        <w:tc>
          <w:tcPr>
            <w:tcW w:w="1465" w:type="pct"/>
          </w:tcPr>
          <w:p w:rsidR="00955532" w:rsidRPr="00D15DEE" w:rsidRDefault="00955532" w:rsidP="00955532">
            <w:pPr>
              <w:pStyle w:val="TableText"/>
              <w:rPr>
                <w:rFonts w:eastAsia="Times New Roman" w:cs="Times New Roman"/>
                <w:szCs w:val="20"/>
              </w:rPr>
            </w:pPr>
            <w:r w:rsidRPr="00D15DEE">
              <w:rPr>
                <w:b/>
              </w:rPr>
              <w:t>Publication citation</w:t>
            </w:r>
          </w:p>
        </w:tc>
      </w:tr>
      <w:tr w:rsidR="00955532" w:rsidRPr="00D15DEE" w:rsidTr="00E1359D">
        <w:tc>
          <w:tcPr>
            <w:tcW w:w="954" w:type="pct"/>
          </w:tcPr>
          <w:p w:rsidR="00955532" w:rsidRPr="00D15DEE" w:rsidRDefault="00955532" w:rsidP="00955532">
            <w:pPr>
              <w:pStyle w:val="Tabletext0"/>
            </w:pPr>
            <w:r w:rsidRPr="00D15DEE">
              <w:rPr>
                <w:b/>
              </w:rPr>
              <w:t>Direct randomised trial(s)</w:t>
            </w:r>
          </w:p>
        </w:tc>
        <w:tc>
          <w:tcPr>
            <w:tcW w:w="2581" w:type="pct"/>
          </w:tcPr>
          <w:p w:rsidR="00955532" w:rsidRPr="00D15DEE" w:rsidRDefault="00955532" w:rsidP="00955532">
            <w:pPr>
              <w:pStyle w:val="TableText"/>
            </w:pPr>
          </w:p>
        </w:tc>
        <w:tc>
          <w:tcPr>
            <w:tcW w:w="1465" w:type="pct"/>
          </w:tcPr>
          <w:p w:rsidR="00955532" w:rsidRPr="00D15DEE" w:rsidRDefault="00955532" w:rsidP="00955532">
            <w:pPr>
              <w:pStyle w:val="TableText"/>
            </w:pPr>
          </w:p>
        </w:tc>
      </w:tr>
      <w:tr w:rsidR="00955532" w:rsidRPr="00D15DEE" w:rsidTr="00E1359D">
        <w:tc>
          <w:tcPr>
            <w:tcW w:w="954" w:type="pct"/>
          </w:tcPr>
          <w:p w:rsidR="00955532" w:rsidRPr="00D15DEE" w:rsidRDefault="00955532" w:rsidP="00955532">
            <w:pPr>
              <w:pStyle w:val="Tabletext0"/>
            </w:pPr>
            <w:r w:rsidRPr="00D15DEE">
              <w:t>3594 (main trial, T1DM)</w:t>
            </w:r>
          </w:p>
          <w:p w:rsidR="00955532" w:rsidRPr="00D15DEE" w:rsidRDefault="00955532" w:rsidP="00955532">
            <w:pPr>
              <w:pStyle w:val="Tabletext0"/>
            </w:pPr>
            <w:r w:rsidRPr="00D15DEE">
              <w:t>3645 (extension trial, T1DM)</w:t>
            </w:r>
          </w:p>
        </w:tc>
        <w:tc>
          <w:tcPr>
            <w:tcW w:w="2581" w:type="pct"/>
          </w:tcPr>
          <w:p w:rsidR="00AD7D66" w:rsidRPr="00D15DEE" w:rsidRDefault="00AD7D66" w:rsidP="00AD7D66">
            <w:pPr>
              <w:pStyle w:val="TableText"/>
            </w:pPr>
            <w:r w:rsidRPr="00D15DEE">
              <w:rPr>
                <w:rFonts w:eastAsia="Times New Roman" w:cs="Times New Roman"/>
                <w:szCs w:val="20"/>
              </w:rPr>
              <w:t>An extension</w:t>
            </w:r>
            <w:r w:rsidRPr="00D15DEE">
              <w:t xml:space="preserve"> trial comparing safety and efficacy of NN5401 plus meal-time insulin aspart for the remaining meals with IDet plus meal-time insulin aspart in type 1 diabetes.</w:t>
            </w:r>
          </w:p>
          <w:p w:rsidR="00AD7D66" w:rsidRPr="00D15DEE" w:rsidRDefault="00AD7D66" w:rsidP="00955532">
            <w:pPr>
              <w:pStyle w:val="TableText"/>
            </w:pPr>
          </w:p>
          <w:p w:rsidR="00955532" w:rsidRPr="00D15DEE" w:rsidRDefault="00955532" w:rsidP="00955532">
            <w:pPr>
              <w:pStyle w:val="TableText"/>
              <w:rPr>
                <w:rFonts w:eastAsia="Times New Roman" w:cs="Times New Roman"/>
                <w:szCs w:val="20"/>
              </w:rPr>
            </w:pPr>
            <w:r w:rsidRPr="00D15DEE">
              <w:t>A 26 week, multinational, multi</w:t>
            </w:r>
            <w:r w:rsidR="00A0037D" w:rsidRPr="00D15DEE">
              <w:t>-</w:t>
            </w:r>
            <w:r w:rsidRPr="00D15DEE">
              <w:t xml:space="preserve">centre, open labelled, two arm, parallel, randomised, treat to target trial comparing efficacy and safety of NN5401 once daily plus meal time insulin aspart for the remaining meals vs. basal bolus treatment with IDet plus meal time </w:t>
            </w:r>
            <w:r w:rsidRPr="00D15DEE">
              <w:rPr>
                <w:rFonts w:eastAsia="Times New Roman" w:cs="Times New Roman"/>
                <w:szCs w:val="20"/>
              </w:rPr>
              <w:t>insulin aspart in subjects with type 1 diabetes.</w:t>
            </w:r>
          </w:p>
          <w:p w:rsidR="00955532" w:rsidRPr="00D15DEE" w:rsidRDefault="00955532" w:rsidP="00955532">
            <w:pPr>
              <w:pStyle w:val="TableText"/>
            </w:pPr>
          </w:p>
          <w:p w:rsidR="00AD7D66" w:rsidRPr="00D15DEE" w:rsidRDefault="00AD7D66" w:rsidP="00955532">
            <w:pPr>
              <w:pStyle w:val="TableText"/>
            </w:pPr>
            <w:r w:rsidRPr="00D15DEE">
              <w:rPr>
                <w:lang w:val="de-DE"/>
              </w:rPr>
              <w:t xml:space="preserve">Hirsch, I. B., et al. </w:t>
            </w:r>
            <w:r w:rsidRPr="00D15DEE">
              <w:t>(2017). Safety and efficacy of insulin degludec/insulin aspart with bolus mealtime insulin aspart compared with standard basal–bolus treatment in people with Type 1 diabetes: 1–year results from a randomized clinical trial (BOOST® T1).</w:t>
            </w:r>
          </w:p>
          <w:p w:rsidR="00AD7D66" w:rsidRPr="00D15DEE" w:rsidRDefault="00AD7D66" w:rsidP="00955532">
            <w:pPr>
              <w:pStyle w:val="TableText"/>
            </w:pPr>
          </w:p>
          <w:p w:rsidR="00955532" w:rsidRPr="00D15DEE" w:rsidRDefault="00AD7D66" w:rsidP="00AD7D66">
            <w:pPr>
              <w:pStyle w:val="Tabletext0"/>
            </w:pPr>
            <w:r w:rsidRPr="00D15DEE">
              <w:rPr>
                <w:lang w:val="de-DE"/>
              </w:rPr>
              <w:t xml:space="preserve">Hirsch, I. B., et al. </w:t>
            </w:r>
            <w:r w:rsidRPr="00D15DEE">
              <w:t xml:space="preserve">(2012). </w:t>
            </w:r>
            <w:r w:rsidR="00955532" w:rsidRPr="00D15DEE">
              <w:t>Insulin degludec/insulin aspart administered once daily at any meal, with insulin aspart at other meals versus a standard basal-bolus regimen in patients with type 1 diabetes: A 26-week, phase 3, randomized, ope</w:t>
            </w:r>
            <w:r w:rsidRPr="00D15DEE">
              <w:t>n-label, treat-to-target trial.</w:t>
            </w:r>
          </w:p>
        </w:tc>
        <w:tc>
          <w:tcPr>
            <w:tcW w:w="1465" w:type="pct"/>
          </w:tcPr>
          <w:p w:rsidR="00955532" w:rsidRPr="00D15DEE" w:rsidRDefault="00955532" w:rsidP="00955532">
            <w:pPr>
              <w:pStyle w:val="TableText"/>
            </w:pPr>
            <w:r w:rsidRPr="00D15DEE">
              <w:t>November 2010</w:t>
            </w:r>
          </w:p>
          <w:p w:rsidR="00955532" w:rsidRPr="00D15DEE" w:rsidRDefault="00955532" w:rsidP="00955532">
            <w:pPr>
              <w:pStyle w:val="TableText"/>
            </w:pPr>
          </w:p>
          <w:p w:rsidR="00955532" w:rsidRPr="00D15DEE" w:rsidRDefault="00955532" w:rsidP="00955532">
            <w:pPr>
              <w:pStyle w:val="TableText"/>
            </w:pPr>
          </w:p>
          <w:p w:rsidR="00955532" w:rsidRPr="00D15DEE" w:rsidRDefault="00955532" w:rsidP="00955532">
            <w:pPr>
              <w:pStyle w:val="TableText"/>
            </w:pPr>
          </w:p>
          <w:p w:rsidR="00955532" w:rsidRPr="00D15DEE" w:rsidRDefault="00955532" w:rsidP="00955532">
            <w:pPr>
              <w:pStyle w:val="TableText"/>
            </w:pPr>
          </w:p>
          <w:p w:rsidR="00955532" w:rsidRPr="00D15DEE" w:rsidRDefault="00955532" w:rsidP="00955532">
            <w:pPr>
              <w:pStyle w:val="TableText"/>
            </w:pPr>
            <w:r w:rsidRPr="00D15DEE">
              <w:t>June 2011</w:t>
            </w:r>
          </w:p>
          <w:p w:rsidR="00955532" w:rsidRPr="00D15DEE" w:rsidRDefault="00955532" w:rsidP="00955532">
            <w:pPr>
              <w:pStyle w:val="TableText"/>
            </w:pPr>
          </w:p>
          <w:p w:rsidR="00955532" w:rsidRPr="00D15DEE" w:rsidRDefault="00955532" w:rsidP="00955532">
            <w:pPr>
              <w:pStyle w:val="TableText"/>
            </w:pPr>
          </w:p>
          <w:p w:rsidR="00955532" w:rsidRPr="00D15DEE" w:rsidRDefault="00955532" w:rsidP="00955532">
            <w:pPr>
              <w:pStyle w:val="TableText"/>
            </w:pPr>
          </w:p>
          <w:p w:rsidR="00955532" w:rsidRPr="00D15DEE" w:rsidRDefault="00955532" w:rsidP="00955532">
            <w:pPr>
              <w:pStyle w:val="TableText"/>
            </w:pPr>
            <w:r w:rsidRPr="00D15DEE">
              <w:t>Diabetes Care 35(11): 2174-2181.</w:t>
            </w:r>
          </w:p>
          <w:p w:rsidR="00955532" w:rsidRPr="00D15DEE" w:rsidRDefault="00955532" w:rsidP="00955532">
            <w:pPr>
              <w:pStyle w:val="TableText"/>
            </w:pPr>
          </w:p>
          <w:p w:rsidR="00955532" w:rsidRPr="00D15DEE" w:rsidRDefault="00955532" w:rsidP="00955532">
            <w:pPr>
              <w:pStyle w:val="TableText"/>
            </w:pPr>
          </w:p>
          <w:p w:rsidR="00955532" w:rsidRPr="00D15DEE" w:rsidRDefault="00955532" w:rsidP="00955532">
            <w:pPr>
              <w:pStyle w:val="TableText"/>
            </w:pPr>
          </w:p>
          <w:p w:rsidR="00955532" w:rsidRPr="00D15DEE" w:rsidRDefault="00955532" w:rsidP="00955532">
            <w:pPr>
              <w:pStyle w:val="TableText"/>
            </w:pPr>
          </w:p>
          <w:p w:rsidR="00955532" w:rsidRPr="00D15DEE" w:rsidRDefault="00955532" w:rsidP="00955532">
            <w:pPr>
              <w:pStyle w:val="TableText"/>
            </w:pPr>
            <w:r w:rsidRPr="00D15DEE">
              <w:t>Diabetic Medicine 34(2): 167-173.</w:t>
            </w:r>
          </w:p>
          <w:p w:rsidR="00955532" w:rsidRPr="00D15DEE" w:rsidRDefault="00955532" w:rsidP="00955532">
            <w:pPr>
              <w:pStyle w:val="TableText"/>
            </w:pPr>
          </w:p>
        </w:tc>
      </w:tr>
    </w:tbl>
    <w:p w:rsidR="00CF2FED" w:rsidRPr="00D15DEE" w:rsidRDefault="00CF2FED" w:rsidP="00CF2FED">
      <w:pPr>
        <w:pStyle w:val="TableFooter"/>
        <w:rPr>
          <w:szCs w:val="18"/>
        </w:rPr>
      </w:pPr>
      <w:r w:rsidRPr="00D15DEE">
        <w:rPr>
          <w:szCs w:val="18"/>
        </w:rPr>
        <w:t>Source: Tab</w:t>
      </w:r>
      <w:r w:rsidR="0090518F" w:rsidRPr="00D15DEE">
        <w:rPr>
          <w:szCs w:val="18"/>
        </w:rPr>
        <w:t>le 2.2.2, p27 of the submission;</w:t>
      </w:r>
      <w:r w:rsidRPr="00D15DEE">
        <w:rPr>
          <w:szCs w:val="18"/>
        </w:rPr>
        <w:t xml:space="preserve"> compiled during evaluation</w:t>
      </w:r>
    </w:p>
    <w:p w:rsidR="0004412F" w:rsidRPr="00D15DEE" w:rsidRDefault="0004412F" w:rsidP="004B34EB">
      <w:pPr>
        <w:pStyle w:val="TableFooter"/>
        <w:spacing w:after="0"/>
        <w:rPr>
          <w:lang w:val="de-DE"/>
        </w:rPr>
      </w:pPr>
      <w:r w:rsidRPr="00D15DEE">
        <w:rPr>
          <w:lang w:val="de-DE"/>
        </w:rPr>
        <w:t xml:space="preserve">IDet = insulin detemir; </w:t>
      </w:r>
      <w:r w:rsidRPr="00D15DEE">
        <w:rPr>
          <w:szCs w:val="18"/>
          <w:lang w:val="de-DE"/>
        </w:rPr>
        <w:t>T1DM = type 1 diabetes mellitus</w:t>
      </w:r>
    </w:p>
    <w:p w:rsidR="00193483" w:rsidRPr="00D15DEE" w:rsidRDefault="00C317F3" w:rsidP="00410F58">
      <w:pPr>
        <w:pStyle w:val="ListParagraph"/>
        <w:numPr>
          <w:ilvl w:val="1"/>
          <w:numId w:val="1"/>
        </w:numPr>
        <w:ind w:left="720" w:hanging="720"/>
        <w:jc w:val="both"/>
      </w:pPr>
      <w:r w:rsidRPr="00D15DEE">
        <w:t xml:space="preserve">The key features of the direct randomised trials are </w:t>
      </w:r>
      <w:r w:rsidR="005863A4" w:rsidRPr="00D15DEE">
        <w:t xml:space="preserve">summarised in the table </w:t>
      </w:r>
      <w:r w:rsidR="00CF3E7D" w:rsidRPr="00D15DEE">
        <w:t>5</w:t>
      </w:r>
      <w:r w:rsidR="00571C09" w:rsidRPr="00D15DEE">
        <w:t>.</w:t>
      </w:r>
      <w:r w:rsidR="00193483" w:rsidRPr="00D15DEE">
        <w:t xml:space="preserve"> </w:t>
      </w:r>
    </w:p>
    <w:p w:rsidR="00C317F3" w:rsidRPr="00D15DEE" w:rsidRDefault="00C317F3" w:rsidP="00043D41">
      <w:pPr>
        <w:pStyle w:val="TableHeading0"/>
      </w:pPr>
      <w:r w:rsidRPr="00D15DEE">
        <w:t>T</w:t>
      </w:r>
      <w:r w:rsidR="001C69A6" w:rsidRPr="00D15DEE">
        <w:t>able</w:t>
      </w:r>
      <w:r w:rsidR="00443B03" w:rsidRPr="00D15DEE">
        <w:t xml:space="preserve"> </w:t>
      </w:r>
      <w:r w:rsidR="00CF3E7D" w:rsidRPr="00D15DEE">
        <w:t>5</w:t>
      </w:r>
      <w:r w:rsidRPr="00D15DEE">
        <w:t>: Key features of the included evidence</w:t>
      </w:r>
      <w:r w:rsidR="005E0068" w:rsidRPr="00D15DEE">
        <w:t>, IDegAsp vs. BIASp30 (T2DM) and IDegAsp vs. IDet (T1DM)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87"/>
        <w:gridCol w:w="598"/>
        <w:gridCol w:w="1617"/>
        <w:gridCol w:w="1190"/>
        <w:gridCol w:w="1960"/>
        <w:gridCol w:w="1489"/>
        <w:gridCol w:w="1341"/>
      </w:tblGrid>
      <w:tr w:rsidR="00955532" w:rsidRPr="00D15DEE" w:rsidTr="00717743">
        <w:tc>
          <w:tcPr>
            <w:tcW w:w="489" w:type="pct"/>
            <w:shd w:val="clear" w:color="auto" w:fill="auto"/>
            <w:vAlign w:val="center"/>
          </w:tcPr>
          <w:p w:rsidR="00C317F3" w:rsidRPr="00D15DEE" w:rsidRDefault="00C317F3" w:rsidP="00772501">
            <w:pPr>
              <w:pStyle w:val="TableText"/>
              <w:rPr>
                <w:b/>
              </w:rPr>
            </w:pPr>
            <w:r w:rsidRPr="00D15DEE">
              <w:rPr>
                <w:b/>
              </w:rPr>
              <w:t>Trial</w:t>
            </w:r>
          </w:p>
        </w:tc>
        <w:tc>
          <w:tcPr>
            <w:tcW w:w="329" w:type="pct"/>
            <w:shd w:val="clear" w:color="auto" w:fill="auto"/>
            <w:vAlign w:val="center"/>
          </w:tcPr>
          <w:p w:rsidR="00C317F3" w:rsidRPr="00D15DEE" w:rsidRDefault="00C317F3" w:rsidP="00772501">
            <w:pPr>
              <w:pStyle w:val="TableText"/>
              <w:rPr>
                <w:b/>
              </w:rPr>
            </w:pPr>
            <w:r w:rsidRPr="00D15DEE">
              <w:rPr>
                <w:b/>
              </w:rPr>
              <w:t>N</w:t>
            </w:r>
          </w:p>
        </w:tc>
        <w:tc>
          <w:tcPr>
            <w:tcW w:w="890" w:type="pct"/>
            <w:shd w:val="clear" w:color="auto" w:fill="auto"/>
            <w:vAlign w:val="center"/>
          </w:tcPr>
          <w:p w:rsidR="00C317F3" w:rsidRPr="00D15DEE" w:rsidRDefault="00C317F3" w:rsidP="00772501">
            <w:pPr>
              <w:pStyle w:val="TableText"/>
              <w:rPr>
                <w:b/>
              </w:rPr>
            </w:pPr>
            <w:r w:rsidRPr="00D15DEE">
              <w:rPr>
                <w:b/>
              </w:rPr>
              <w:t>Design/ duration</w:t>
            </w:r>
            <w:r w:rsidR="005F2A6B" w:rsidRPr="00D15DEE">
              <w:rPr>
                <w:b/>
              </w:rPr>
              <w:t xml:space="preserve"> of follow-up</w:t>
            </w:r>
          </w:p>
        </w:tc>
        <w:tc>
          <w:tcPr>
            <w:tcW w:w="655" w:type="pct"/>
            <w:shd w:val="clear" w:color="auto" w:fill="auto"/>
            <w:vAlign w:val="center"/>
          </w:tcPr>
          <w:p w:rsidR="00C317F3" w:rsidRPr="00D15DEE" w:rsidRDefault="00C317F3" w:rsidP="00772501">
            <w:pPr>
              <w:pStyle w:val="TableText"/>
              <w:rPr>
                <w:b/>
              </w:rPr>
            </w:pPr>
            <w:r w:rsidRPr="00D15DEE">
              <w:rPr>
                <w:b/>
              </w:rPr>
              <w:t>Risk of bias</w:t>
            </w:r>
          </w:p>
        </w:tc>
        <w:tc>
          <w:tcPr>
            <w:tcW w:w="1079" w:type="pct"/>
            <w:shd w:val="clear" w:color="auto" w:fill="auto"/>
            <w:vAlign w:val="center"/>
          </w:tcPr>
          <w:p w:rsidR="00C317F3" w:rsidRPr="00D15DEE" w:rsidRDefault="00C317F3" w:rsidP="00772501">
            <w:pPr>
              <w:pStyle w:val="TableText"/>
              <w:rPr>
                <w:b/>
              </w:rPr>
            </w:pPr>
            <w:r w:rsidRPr="00D15DEE">
              <w:rPr>
                <w:b/>
              </w:rPr>
              <w:t>Patient population</w:t>
            </w:r>
          </w:p>
        </w:tc>
        <w:tc>
          <w:tcPr>
            <w:tcW w:w="820" w:type="pct"/>
            <w:shd w:val="clear" w:color="auto" w:fill="auto"/>
            <w:vAlign w:val="center"/>
          </w:tcPr>
          <w:p w:rsidR="00C317F3" w:rsidRPr="00D15DEE" w:rsidRDefault="00C317F3">
            <w:pPr>
              <w:pStyle w:val="TableText"/>
              <w:rPr>
                <w:b/>
              </w:rPr>
            </w:pPr>
            <w:r w:rsidRPr="00D15DEE">
              <w:rPr>
                <w:b/>
              </w:rPr>
              <w:t>Outcome</w:t>
            </w:r>
            <w:r w:rsidR="00955532" w:rsidRPr="00D15DEE">
              <w:rPr>
                <w:b/>
              </w:rPr>
              <w:t>s</w:t>
            </w:r>
          </w:p>
        </w:tc>
        <w:tc>
          <w:tcPr>
            <w:tcW w:w="738" w:type="pct"/>
            <w:shd w:val="clear" w:color="auto" w:fill="auto"/>
            <w:vAlign w:val="center"/>
          </w:tcPr>
          <w:p w:rsidR="00C317F3" w:rsidRPr="00D15DEE" w:rsidRDefault="00C317F3">
            <w:pPr>
              <w:pStyle w:val="TableText"/>
              <w:rPr>
                <w:b/>
              </w:rPr>
            </w:pPr>
            <w:r w:rsidRPr="00D15DEE">
              <w:rPr>
                <w:b/>
              </w:rPr>
              <w:t xml:space="preserve">Use in </w:t>
            </w:r>
            <w:r w:rsidR="000B194B" w:rsidRPr="00D15DEE">
              <w:rPr>
                <w:b/>
              </w:rPr>
              <w:t>CMA</w:t>
            </w:r>
          </w:p>
        </w:tc>
      </w:tr>
      <w:tr w:rsidR="00955532" w:rsidRPr="00D15DEE" w:rsidTr="00717743">
        <w:tc>
          <w:tcPr>
            <w:tcW w:w="489" w:type="pct"/>
            <w:shd w:val="clear" w:color="auto" w:fill="auto"/>
            <w:vAlign w:val="center"/>
          </w:tcPr>
          <w:p w:rsidR="00955532" w:rsidRPr="00D15DEE" w:rsidRDefault="00955532" w:rsidP="001C69A6">
            <w:pPr>
              <w:pStyle w:val="TableText"/>
            </w:pPr>
            <w:r w:rsidRPr="00D15DEE">
              <w:t>3940</w:t>
            </w:r>
          </w:p>
        </w:tc>
        <w:tc>
          <w:tcPr>
            <w:tcW w:w="329" w:type="pct"/>
            <w:shd w:val="clear" w:color="auto" w:fill="auto"/>
            <w:vAlign w:val="center"/>
          </w:tcPr>
          <w:p w:rsidR="00955532" w:rsidRPr="00D15DEE" w:rsidRDefault="00955532" w:rsidP="00772501">
            <w:pPr>
              <w:pStyle w:val="TableText"/>
              <w:rPr>
                <w:rFonts w:ascii="Times" w:eastAsia="Times New Roman" w:hAnsi="Times" w:cs="Times New Roman"/>
              </w:rPr>
            </w:pPr>
            <w:r w:rsidRPr="00D15DEE">
              <w:t>394</w:t>
            </w:r>
          </w:p>
        </w:tc>
        <w:tc>
          <w:tcPr>
            <w:tcW w:w="890" w:type="pct"/>
            <w:shd w:val="clear" w:color="auto" w:fill="auto"/>
            <w:vAlign w:val="center"/>
          </w:tcPr>
          <w:p w:rsidR="00955532" w:rsidRPr="00D15DEE" w:rsidRDefault="00955532" w:rsidP="00772501">
            <w:pPr>
              <w:pStyle w:val="TableText"/>
              <w:rPr>
                <w:rFonts w:ascii="Times" w:eastAsia="Times New Roman" w:hAnsi="Times" w:cs="Times New Roman"/>
              </w:rPr>
            </w:pPr>
            <w:r w:rsidRPr="00D15DEE">
              <w:t>R, OL</w:t>
            </w:r>
          </w:p>
          <w:p w:rsidR="00955532" w:rsidRPr="00D15DEE" w:rsidRDefault="00955532" w:rsidP="00772501">
            <w:pPr>
              <w:pStyle w:val="TableText"/>
              <w:rPr>
                <w:rFonts w:ascii="Times" w:eastAsia="Times New Roman" w:hAnsi="Times" w:cs="Times New Roman"/>
              </w:rPr>
            </w:pPr>
            <w:r w:rsidRPr="00D15DEE">
              <w:t>26 weeks</w:t>
            </w:r>
          </w:p>
        </w:tc>
        <w:tc>
          <w:tcPr>
            <w:tcW w:w="655" w:type="pct"/>
            <w:shd w:val="clear" w:color="auto" w:fill="auto"/>
            <w:vAlign w:val="center"/>
          </w:tcPr>
          <w:p w:rsidR="00955532" w:rsidRPr="00D15DEE" w:rsidRDefault="00955532">
            <w:pPr>
              <w:pStyle w:val="TableText"/>
              <w:rPr>
                <w:rFonts w:ascii="Times" w:eastAsia="Times New Roman" w:hAnsi="Times" w:cs="Times New Roman"/>
              </w:rPr>
            </w:pPr>
            <w:r w:rsidRPr="00D15DEE">
              <w:rPr>
                <w:rFonts w:eastAsia="SimSun"/>
                <w:lang w:eastAsia="en-AU"/>
              </w:rPr>
              <w:t>low/unclear</w:t>
            </w:r>
          </w:p>
        </w:tc>
        <w:tc>
          <w:tcPr>
            <w:tcW w:w="1079" w:type="pct"/>
            <w:shd w:val="clear" w:color="auto" w:fill="auto"/>
            <w:vAlign w:val="center"/>
          </w:tcPr>
          <w:p w:rsidR="00955532" w:rsidRPr="00D15DEE" w:rsidRDefault="00955532" w:rsidP="00772501">
            <w:pPr>
              <w:pStyle w:val="TableText"/>
              <w:rPr>
                <w:rFonts w:ascii="Times" w:eastAsia="Times New Roman" w:hAnsi="Times" w:cs="Times New Roman"/>
              </w:rPr>
            </w:pPr>
            <w:r w:rsidRPr="00D15DEE">
              <w:t>T2DM, insulin-naïve</w:t>
            </w:r>
          </w:p>
        </w:tc>
        <w:tc>
          <w:tcPr>
            <w:tcW w:w="820" w:type="pct"/>
            <w:vMerge w:val="restart"/>
            <w:shd w:val="clear" w:color="auto" w:fill="auto"/>
          </w:tcPr>
          <w:p w:rsidR="00955532" w:rsidRPr="00D15DEE" w:rsidRDefault="00955532" w:rsidP="004B34EB">
            <w:pPr>
              <w:pStyle w:val="TableText"/>
            </w:pPr>
            <w:r w:rsidRPr="00D15DEE">
              <w:t>HbA1c</w:t>
            </w:r>
          </w:p>
          <w:p w:rsidR="00955532" w:rsidRPr="00D15DEE" w:rsidRDefault="005863A4" w:rsidP="004B34EB">
            <w:pPr>
              <w:pStyle w:val="TableText"/>
            </w:pPr>
            <w:r w:rsidRPr="00D15DEE">
              <w:t>hypoglycaemic</w:t>
            </w:r>
            <w:r w:rsidR="00955532" w:rsidRPr="00D15DEE">
              <w:t xml:space="preserve"> events </w:t>
            </w:r>
          </w:p>
          <w:p w:rsidR="00955532" w:rsidRPr="00D15DEE" w:rsidRDefault="00955532" w:rsidP="004B34EB">
            <w:pPr>
              <w:pStyle w:val="TableText"/>
            </w:pPr>
            <w:r w:rsidRPr="00D15DEE">
              <w:t xml:space="preserve">FPG </w:t>
            </w:r>
          </w:p>
          <w:p w:rsidR="00955532" w:rsidRPr="00D15DEE" w:rsidRDefault="00955532" w:rsidP="004B34EB">
            <w:pPr>
              <w:pStyle w:val="TableText"/>
            </w:pPr>
            <w:r w:rsidRPr="00D15DEE">
              <w:t>insulin dose</w:t>
            </w:r>
          </w:p>
        </w:tc>
        <w:tc>
          <w:tcPr>
            <w:tcW w:w="738" w:type="pct"/>
            <w:vMerge w:val="restart"/>
            <w:shd w:val="clear" w:color="auto" w:fill="auto"/>
          </w:tcPr>
          <w:p w:rsidR="00955532" w:rsidRPr="00D15DEE" w:rsidRDefault="00955532" w:rsidP="004B34EB">
            <w:pPr>
              <w:pStyle w:val="TableText"/>
            </w:pPr>
            <w:r w:rsidRPr="00D15DEE">
              <w:t>hypoglycaemic events</w:t>
            </w:r>
          </w:p>
          <w:p w:rsidR="00955532" w:rsidRPr="00D15DEE" w:rsidRDefault="00955532" w:rsidP="004B34EB">
            <w:pPr>
              <w:pStyle w:val="TableText"/>
              <w:rPr>
                <w:rFonts w:ascii="Times" w:eastAsia="Times New Roman" w:hAnsi="Times" w:cs="Times New Roman"/>
              </w:rPr>
            </w:pPr>
            <w:r w:rsidRPr="00D15DEE">
              <w:t>insulin dose</w:t>
            </w:r>
          </w:p>
        </w:tc>
      </w:tr>
      <w:tr w:rsidR="00955532" w:rsidRPr="00D15DEE" w:rsidTr="00717743">
        <w:tc>
          <w:tcPr>
            <w:tcW w:w="489" w:type="pct"/>
            <w:shd w:val="clear" w:color="auto" w:fill="auto"/>
            <w:vAlign w:val="center"/>
          </w:tcPr>
          <w:p w:rsidR="00955532" w:rsidRPr="00D15DEE" w:rsidRDefault="00AD7D66" w:rsidP="001C69A6">
            <w:pPr>
              <w:pStyle w:val="TableText"/>
              <w:rPr>
                <w:rFonts w:ascii="Times" w:eastAsia="Times New Roman" w:hAnsi="Times" w:cs="Times New Roman"/>
              </w:rPr>
            </w:pPr>
            <w:r w:rsidRPr="00D15DEE">
              <w:t>3592</w:t>
            </w:r>
          </w:p>
        </w:tc>
        <w:tc>
          <w:tcPr>
            <w:tcW w:w="329" w:type="pct"/>
            <w:shd w:val="clear" w:color="auto" w:fill="auto"/>
            <w:vAlign w:val="center"/>
          </w:tcPr>
          <w:p w:rsidR="00955532" w:rsidRPr="00D15DEE" w:rsidRDefault="00955532" w:rsidP="00772501">
            <w:pPr>
              <w:pStyle w:val="TableText"/>
              <w:rPr>
                <w:rFonts w:ascii="Times" w:eastAsia="Times New Roman" w:hAnsi="Times" w:cs="Times New Roman"/>
              </w:rPr>
            </w:pPr>
            <w:r w:rsidRPr="00D15DEE">
              <w:t>447</w:t>
            </w:r>
          </w:p>
        </w:tc>
        <w:tc>
          <w:tcPr>
            <w:tcW w:w="890" w:type="pct"/>
            <w:shd w:val="clear" w:color="auto" w:fill="auto"/>
            <w:vAlign w:val="center"/>
          </w:tcPr>
          <w:p w:rsidR="00955532" w:rsidRPr="00D15DEE" w:rsidRDefault="00955532" w:rsidP="00772501">
            <w:pPr>
              <w:pStyle w:val="TableText"/>
              <w:rPr>
                <w:rFonts w:ascii="Times" w:eastAsia="Times New Roman" w:hAnsi="Times" w:cs="Times New Roman"/>
              </w:rPr>
            </w:pPr>
            <w:r w:rsidRPr="00D15DEE">
              <w:t>R, OL</w:t>
            </w:r>
          </w:p>
          <w:p w:rsidR="00955532" w:rsidRPr="00D15DEE" w:rsidRDefault="00955532" w:rsidP="00772501">
            <w:pPr>
              <w:pStyle w:val="TableText"/>
              <w:rPr>
                <w:rFonts w:ascii="Times" w:eastAsia="Times New Roman" w:hAnsi="Times" w:cs="Times New Roman"/>
              </w:rPr>
            </w:pPr>
            <w:r w:rsidRPr="00D15DEE">
              <w:t>26 weeks</w:t>
            </w:r>
          </w:p>
        </w:tc>
        <w:tc>
          <w:tcPr>
            <w:tcW w:w="655" w:type="pct"/>
            <w:shd w:val="clear" w:color="auto" w:fill="auto"/>
            <w:vAlign w:val="center"/>
          </w:tcPr>
          <w:p w:rsidR="00955532" w:rsidRPr="00D15DEE" w:rsidRDefault="00955532" w:rsidP="00772501">
            <w:pPr>
              <w:pStyle w:val="TableText"/>
              <w:rPr>
                <w:rFonts w:ascii="Times" w:eastAsia="Times New Roman" w:hAnsi="Times" w:cs="Times New Roman"/>
              </w:rPr>
            </w:pPr>
            <w:r w:rsidRPr="00D15DEE">
              <w:rPr>
                <w:rFonts w:eastAsia="SimSun"/>
                <w:lang w:eastAsia="en-AU"/>
              </w:rPr>
              <w:t>low/unclear</w:t>
            </w:r>
          </w:p>
        </w:tc>
        <w:tc>
          <w:tcPr>
            <w:tcW w:w="1079" w:type="pct"/>
            <w:shd w:val="clear" w:color="auto" w:fill="auto"/>
            <w:vAlign w:val="center"/>
          </w:tcPr>
          <w:p w:rsidR="00955532" w:rsidRPr="00D15DEE" w:rsidRDefault="00955532" w:rsidP="00772501">
            <w:pPr>
              <w:pStyle w:val="TableText"/>
              <w:rPr>
                <w:rFonts w:ascii="Times" w:eastAsia="Times New Roman" w:hAnsi="Times" w:cs="Times New Roman"/>
              </w:rPr>
            </w:pPr>
            <w:r w:rsidRPr="00D15DEE">
              <w:t>T2DM, insulin-experienced</w:t>
            </w:r>
          </w:p>
        </w:tc>
        <w:tc>
          <w:tcPr>
            <w:tcW w:w="820" w:type="pct"/>
            <w:vMerge/>
            <w:shd w:val="clear" w:color="auto" w:fill="auto"/>
            <w:vAlign w:val="center"/>
          </w:tcPr>
          <w:p w:rsidR="00955532" w:rsidRPr="00D15DEE" w:rsidRDefault="00955532" w:rsidP="00772501">
            <w:pPr>
              <w:pStyle w:val="TableText"/>
              <w:rPr>
                <w:rFonts w:ascii="Times" w:eastAsia="Times New Roman" w:hAnsi="Times" w:cs="Times New Roman"/>
              </w:rPr>
            </w:pPr>
          </w:p>
        </w:tc>
        <w:tc>
          <w:tcPr>
            <w:tcW w:w="738" w:type="pct"/>
            <w:vMerge/>
            <w:shd w:val="clear" w:color="auto" w:fill="auto"/>
            <w:vAlign w:val="center"/>
          </w:tcPr>
          <w:p w:rsidR="00955532" w:rsidRPr="00D15DEE" w:rsidRDefault="00955532" w:rsidP="00772501">
            <w:pPr>
              <w:pStyle w:val="TableText"/>
              <w:rPr>
                <w:rFonts w:ascii="Times" w:eastAsia="Times New Roman" w:hAnsi="Times" w:cs="Times New Roman"/>
              </w:rPr>
            </w:pPr>
          </w:p>
        </w:tc>
      </w:tr>
      <w:tr w:rsidR="00955532" w:rsidRPr="00D15DEE" w:rsidTr="00717743">
        <w:tc>
          <w:tcPr>
            <w:tcW w:w="489" w:type="pct"/>
            <w:shd w:val="clear" w:color="auto" w:fill="auto"/>
            <w:vAlign w:val="center"/>
          </w:tcPr>
          <w:p w:rsidR="00955532" w:rsidRPr="00D15DEE" w:rsidRDefault="00955532" w:rsidP="001C69A6">
            <w:pPr>
              <w:pStyle w:val="TableText"/>
              <w:rPr>
                <w:rFonts w:ascii="Times" w:eastAsia="Times New Roman" w:hAnsi="Times" w:cs="Times New Roman"/>
              </w:rPr>
            </w:pPr>
            <w:r w:rsidRPr="00D15DEE">
              <w:t>3597</w:t>
            </w:r>
          </w:p>
        </w:tc>
        <w:tc>
          <w:tcPr>
            <w:tcW w:w="329" w:type="pct"/>
            <w:shd w:val="clear" w:color="auto" w:fill="auto"/>
            <w:vAlign w:val="center"/>
          </w:tcPr>
          <w:p w:rsidR="00955532" w:rsidRPr="00D15DEE" w:rsidRDefault="00955532" w:rsidP="00772501">
            <w:pPr>
              <w:pStyle w:val="TableText"/>
              <w:rPr>
                <w:rFonts w:ascii="Times" w:eastAsia="Times New Roman" w:hAnsi="Times" w:cs="Times New Roman"/>
              </w:rPr>
            </w:pPr>
            <w:r w:rsidRPr="00D15DEE">
              <w:t>424</w:t>
            </w:r>
          </w:p>
        </w:tc>
        <w:tc>
          <w:tcPr>
            <w:tcW w:w="890" w:type="pct"/>
            <w:shd w:val="clear" w:color="auto" w:fill="auto"/>
            <w:vAlign w:val="center"/>
          </w:tcPr>
          <w:p w:rsidR="00955532" w:rsidRPr="00D15DEE" w:rsidRDefault="00955532" w:rsidP="00772501">
            <w:pPr>
              <w:pStyle w:val="TableText"/>
              <w:rPr>
                <w:rFonts w:ascii="Times" w:eastAsia="Times New Roman" w:hAnsi="Times" w:cs="Times New Roman"/>
              </w:rPr>
            </w:pPr>
            <w:r w:rsidRPr="00D15DEE">
              <w:t>R, OL</w:t>
            </w:r>
          </w:p>
          <w:p w:rsidR="00955532" w:rsidRPr="00D15DEE" w:rsidRDefault="00955532" w:rsidP="00772501">
            <w:pPr>
              <w:pStyle w:val="TableText"/>
              <w:rPr>
                <w:rFonts w:ascii="Times" w:eastAsia="Times New Roman" w:hAnsi="Times" w:cs="Times New Roman"/>
              </w:rPr>
            </w:pPr>
            <w:r w:rsidRPr="00D15DEE">
              <w:t>26 weeks</w:t>
            </w:r>
          </w:p>
        </w:tc>
        <w:tc>
          <w:tcPr>
            <w:tcW w:w="655" w:type="pct"/>
            <w:shd w:val="clear" w:color="auto" w:fill="auto"/>
            <w:vAlign w:val="center"/>
          </w:tcPr>
          <w:p w:rsidR="00955532" w:rsidRPr="00D15DEE" w:rsidRDefault="00955532" w:rsidP="00772501">
            <w:pPr>
              <w:pStyle w:val="TableText"/>
              <w:rPr>
                <w:rFonts w:ascii="Times" w:eastAsia="Times New Roman" w:hAnsi="Times" w:cs="Times New Roman"/>
              </w:rPr>
            </w:pPr>
            <w:r w:rsidRPr="00D15DEE">
              <w:rPr>
                <w:rFonts w:eastAsia="SimSun"/>
                <w:lang w:eastAsia="en-AU"/>
              </w:rPr>
              <w:t>low/unclear</w:t>
            </w:r>
          </w:p>
        </w:tc>
        <w:tc>
          <w:tcPr>
            <w:tcW w:w="1079" w:type="pct"/>
            <w:shd w:val="clear" w:color="auto" w:fill="auto"/>
            <w:vAlign w:val="center"/>
          </w:tcPr>
          <w:p w:rsidR="00955532" w:rsidRPr="00D15DEE" w:rsidRDefault="00955532" w:rsidP="00772501">
            <w:pPr>
              <w:pStyle w:val="TableText"/>
              <w:rPr>
                <w:rFonts w:ascii="Times" w:eastAsia="Times New Roman" w:hAnsi="Times" w:cs="Times New Roman"/>
              </w:rPr>
            </w:pPr>
            <w:r w:rsidRPr="00D15DEE">
              <w:t>T2DM, insulin-experienced</w:t>
            </w:r>
          </w:p>
        </w:tc>
        <w:tc>
          <w:tcPr>
            <w:tcW w:w="820" w:type="pct"/>
            <w:vMerge/>
            <w:shd w:val="clear" w:color="auto" w:fill="auto"/>
            <w:vAlign w:val="center"/>
          </w:tcPr>
          <w:p w:rsidR="00955532" w:rsidRPr="00D15DEE" w:rsidRDefault="00955532" w:rsidP="00772501">
            <w:pPr>
              <w:pStyle w:val="TableText"/>
              <w:rPr>
                <w:rFonts w:ascii="Times" w:eastAsia="Times New Roman" w:hAnsi="Times" w:cs="Times New Roman"/>
              </w:rPr>
            </w:pPr>
          </w:p>
        </w:tc>
        <w:tc>
          <w:tcPr>
            <w:tcW w:w="738" w:type="pct"/>
            <w:vMerge/>
            <w:shd w:val="clear" w:color="auto" w:fill="auto"/>
            <w:vAlign w:val="center"/>
          </w:tcPr>
          <w:p w:rsidR="00955532" w:rsidRPr="00D15DEE" w:rsidRDefault="00955532" w:rsidP="00772501">
            <w:pPr>
              <w:pStyle w:val="TableText"/>
              <w:rPr>
                <w:rFonts w:ascii="Times" w:eastAsia="Times New Roman" w:hAnsi="Times" w:cs="Times New Roman"/>
              </w:rPr>
            </w:pPr>
          </w:p>
        </w:tc>
      </w:tr>
      <w:tr w:rsidR="00955532" w:rsidRPr="00D15DEE" w:rsidTr="00717743">
        <w:tc>
          <w:tcPr>
            <w:tcW w:w="489" w:type="pct"/>
            <w:tcBorders>
              <w:bottom w:val="single" w:sz="4" w:space="0" w:color="auto"/>
            </w:tcBorders>
            <w:shd w:val="clear" w:color="auto" w:fill="auto"/>
            <w:vAlign w:val="center"/>
          </w:tcPr>
          <w:p w:rsidR="00955532" w:rsidRPr="00D15DEE" w:rsidRDefault="00955532" w:rsidP="001C69A6">
            <w:pPr>
              <w:pStyle w:val="TableText"/>
            </w:pPr>
            <w:r w:rsidRPr="00D15DEE">
              <w:t xml:space="preserve">3594 </w:t>
            </w:r>
          </w:p>
        </w:tc>
        <w:tc>
          <w:tcPr>
            <w:tcW w:w="329" w:type="pct"/>
            <w:tcBorders>
              <w:bottom w:val="single" w:sz="4" w:space="0" w:color="auto"/>
            </w:tcBorders>
            <w:shd w:val="clear" w:color="auto" w:fill="auto"/>
            <w:vAlign w:val="center"/>
          </w:tcPr>
          <w:p w:rsidR="00955532" w:rsidRPr="00D15DEE" w:rsidRDefault="00955532" w:rsidP="00772501">
            <w:pPr>
              <w:pStyle w:val="TableText"/>
            </w:pPr>
            <w:r w:rsidRPr="00D15DEE">
              <w:t>548</w:t>
            </w:r>
          </w:p>
        </w:tc>
        <w:tc>
          <w:tcPr>
            <w:tcW w:w="890" w:type="pct"/>
            <w:tcBorders>
              <w:bottom w:val="single" w:sz="4" w:space="0" w:color="auto"/>
            </w:tcBorders>
            <w:shd w:val="clear" w:color="auto" w:fill="auto"/>
            <w:vAlign w:val="center"/>
          </w:tcPr>
          <w:p w:rsidR="00955532" w:rsidRPr="00D15DEE" w:rsidRDefault="00955532" w:rsidP="001C69A6">
            <w:pPr>
              <w:pStyle w:val="TableText"/>
              <w:rPr>
                <w:rFonts w:ascii="Times" w:eastAsia="Times New Roman" w:hAnsi="Times" w:cs="Times New Roman"/>
              </w:rPr>
            </w:pPr>
            <w:r w:rsidRPr="00D15DEE">
              <w:t>R, OL</w:t>
            </w:r>
          </w:p>
          <w:p w:rsidR="00955532" w:rsidRPr="00D15DEE" w:rsidRDefault="00955532" w:rsidP="001C69A6">
            <w:pPr>
              <w:pStyle w:val="TableText"/>
            </w:pPr>
            <w:r w:rsidRPr="00D15DEE">
              <w:t>26 weeks</w:t>
            </w:r>
          </w:p>
        </w:tc>
        <w:tc>
          <w:tcPr>
            <w:tcW w:w="655" w:type="pct"/>
            <w:tcBorders>
              <w:bottom w:val="single" w:sz="4" w:space="0" w:color="auto"/>
            </w:tcBorders>
            <w:shd w:val="clear" w:color="auto" w:fill="auto"/>
            <w:vAlign w:val="center"/>
          </w:tcPr>
          <w:p w:rsidR="00955532" w:rsidRPr="00D15DEE" w:rsidRDefault="00955532" w:rsidP="00772501">
            <w:pPr>
              <w:pStyle w:val="TableText"/>
            </w:pPr>
            <w:r w:rsidRPr="00D15DEE">
              <w:rPr>
                <w:rFonts w:eastAsia="SimSun"/>
                <w:lang w:eastAsia="en-AU"/>
              </w:rPr>
              <w:t>low/unclear</w:t>
            </w:r>
          </w:p>
        </w:tc>
        <w:tc>
          <w:tcPr>
            <w:tcW w:w="1079" w:type="pct"/>
            <w:tcBorders>
              <w:bottom w:val="single" w:sz="4" w:space="0" w:color="auto"/>
            </w:tcBorders>
            <w:shd w:val="clear" w:color="auto" w:fill="auto"/>
            <w:vAlign w:val="center"/>
          </w:tcPr>
          <w:p w:rsidR="00955532" w:rsidRPr="00D15DEE" w:rsidRDefault="00955532" w:rsidP="001C69A6">
            <w:pPr>
              <w:pStyle w:val="TableText"/>
            </w:pPr>
            <w:r w:rsidRPr="00D15DEE">
              <w:t>T1DM, main trial</w:t>
            </w:r>
          </w:p>
        </w:tc>
        <w:tc>
          <w:tcPr>
            <w:tcW w:w="820" w:type="pct"/>
            <w:vMerge/>
            <w:tcBorders>
              <w:bottom w:val="single" w:sz="4" w:space="0" w:color="auto"/>
            </w:tcBorders>
            <w:shd w:val="clear" w:color="auto" w:fill="auto"/>
            <w:vAlign w:val="center"/>
          </w:tcPr>
          <w:p w:rsidR="00955532" w:rsidRPr="00D15DEE" w:rsidRDefault="00955532" w:rsidP="00772501">
            <w:pPr>
              <w:pStyle w:val="TableText"/>
            </w:pPr>
          </w:p>
        </w:tc>
        <w:tc>
          <w:tcPr>
            <w:tcW w:w="738" w:type="pct"/>
            <w:vMerge/>
            <w:tcBorders>
              <w:bottom w:val="single" w:sz="4" w:space="0" w:color="auto"/>
            </w:tcBorders>
            <w:shd w:val="clear" w:color="auto" w:fill="auto"/>
            <w:vAlign w:val="center"/>
          </w:tcPr>
          <w:p w:rsidR="00955532" w:rsidRPr="00D15DEE" w:rsidRDefault="00955532" w:rsidP="00772501">
            <w:pPr>
              <w:pStyle w:val="TableText"/>
            </w:pPr>
          </w:p>
        </w:tc>
      </w:tr>
      <w:tr w:rsidR="00955532" w:rsidRPr="00D15DEE" w:rsidTr="00717743">
        <w:tc>
          <w:tcPr>
            <w:tcW w:w="489" w:type="pct"/>
            <w:tcBorders>
              <w:bottom w:val="single" w:sz="4" w:space="0" w:color="auto"/>
            </w:tcBorders>
            <w:shd w:val="clear" w:color="auto" w:fill="auto"/>
            <w:vAlign w:val="center"/>
          </w:tcPr>
          <w:p w:rsidR="00955532" w:rsidRPr="00D15DEE" w:rsidRDefault="00955532" w:rsidP="001C69A6">
            <w:pPr>
              <w:pStyle w:val="TableText"/>
              <w:rPr>
                <w:rFonts w:ascii="Times" w:eastAsia="Times New Roman" w:hAnsi="Times" w:cs="Times New Roman"/>
              </w:rPr>
            </w:pPr>
            <w:r w:rsidRPr="00D15DEE">
              <w:t xml:space="preserve">3645 </w:t>
            </w:r>
          </w:p>
        </w:tc>
        <w:tc>
          <w:tcPr>
            <w:tcW w:w="329" w:type="pct"/>
            <w:tcBorders>
              <w:bottom w:val="single" w:sz="4" w:space="0" w:color="auto"/>
            </w:tcBorders>
            <w:shd w:val="clear" w:color="auto" w:fill="auto"/>
            <w:vAlign w:val="center"/>
          </w:tcPr>
          <w:p w:rsidR="00955532" w:rsidRPr="00D15DEE" w:rsidRDefault="00955532" w:rsidP="00772501">
            <w:pPr>
              <w:pStyle w:val="TableText"/>
            </w:pPr>
            <w:r w:rsidRPr="00D15DEE">
              <w:t>548</w:t>
            </w:r>
          </w:p>
        </w:tc>
        <w:tc>
          <w:tcPr>
            <w:tcW w:w="890" w:type="pct"/>
            <w:tcBorders>
              <w:bottom w:val="single" w:sz="4" w:space="0" w:color="auto"/>
            </w:tcBorders>
            <w:shd w:val="clear" w:color="auto" w:fill="auto"/>
            <w:vAlign w:val="center"/>
          </w:tcPr>
          <w:p w:rsidR="00955532" w:rsidRPr="00D15DEE" w:rsidRDefault="00955532" w:rsidP="001C69A6">
            <w:pPr>
              <w:pStyle w:val="TableText"/>
              <w:rPr>
                <w:rFonts w:ascii="Times" w:eastAsia="Times New Roman" w:hAnsi="Times" w:cs="Times New Roman"/>
              </w:rPr>
            </w:pPr>
            <w:r w:rsidRPr="00D15DEE">
              <w:t>R, OL</w:t>
            </w:r>
          </w:p>
          <w:p w:rsidR="00955532" w:rsidRPr="00D15DEE" w:rsidRDefault="00955532" w:rsidP="001C69A6">
            <w:pPr>
              <w:pStyle w:val="TableText"/>
            </w:pPr>
            <w:r w:rsidRPr="00D15DEE">
              <w:t>26 weeks</w:t>
            </w:r>
          </w:p>
        </w:tc>
        <w:tc>
          <w:tcPr>
            <w:tcW w:w="655" w:type="pct"/>
            <w:tcBorders>
              <w:bottom w:val="single" w:sz="4" w:space="0" w:color="auto"/>
            </w:tcBorders>
            <w:shd w:val="clear" w:color="auto" w:fill="auto"/>
            <w:vAlign w:val="center"/>
          </w:tcPr>
          <w:p w:rsidR="00955532" w:rsidRPr="00D15DEE" w:rsidRDefault="00955532" w:rsidP="00772501">
            <w:pPr>
              <w:pStyle w:val="TableText"/>
            </w:pPr>
            <w:r w:rsidRPr="00D15DEE">
              <w:rPr>
                <w:rFonts w:eastAsia="SimSun"/>
                <w:lang w:eastAsia="en-AU"/>
              </w:rPr>
              <w:t>low/unclear</w:t>
            </w:r>
          </w:p>
        </w:tc>
        <w:tc>
          <w:tcPr>
            <w:tcW w:w="1079" w:type="pct"/>
            <w:tcBorders>
              <w:bottom w:val="single" w:sz="4" w:space="0" w:color="auto"/>
            </w:tcBorders>
            <w:shd w:val="clear" w:color="auto" w:fill="auto"/>
            <w:vAlign w:val="center"/>
          </w:tcPr>
          <w:p w:rsidR="00955532" w:rsidRPr="00D15DEE" w:rsidRDefault="00955532" w:rsidP="001C69A6">
            <w:pPr>
              <w:pStyle w:val="TableText"/>
            </w:pPr>
            <w:r w:rsidRPr="00D15DEE">
              <w:t>T1DM, extension trial</w:t>
            </w:r>
          </w:p>
        </w:tc>
        <w:tc>
          <w:tcPr>
            <w:tcW w:w="820" w:type="pct"/>
            <w:vMerge/>
            <w:tcBorders>
              <w:bottom w:val="single" w:sz="4" w:space="0" w:color="auto"/>
            </w:tcBorders>
            <w:shd w:val="clear" w:color="auto" w:fill="auto"/>
            <w:vAlign w:val="center"/>
          </w:tcPr>
          <w:p w:rsidR="00955532" w:rsidRPr="00D15DEE" w:rsidRDefault="00955532" w:rsidP="00772501">
            <w:pPr>
              <w:pStyle w:val="TableText"/>
            </w:pPr>
          </w:p>
        </w:tc>
        <w:tc>
          <w:tcPr>
            <w:tcW w:w="738" w:type="pct"/>
            <w:vMerge/>
            <w:tcBorders>
              <w:bottom w:val="single" w:sz="4" w:space="0" w:color="auto"/>
            </w:tcBorders>
            <w:shd w:val="clear" w:color="auto" w:fill="auto"/>
            <w:vAlign w:val="center"/>
          </w:tcPr>
          <w:p w:rsidR="00955532" w:rsidRPr="00D15DEE" w:rsidRDefault="00955532" w:rsidP="00772501">
            <w:pPr>
              <w:pStyle w:val="TableText"/>
            </w:pPr>
          </w:p>
        </w:tc>
      </w:tr>
    </w:tbl>
    <w:p w:rsidR="00CF2FED" w:rsidRPr="00D15DEE" w:rsidRDefault="00CF2FED" w:rsidP="00CF2FED">
      <w:pPr>
        <w:pStyle w:val="TableFooter"/>
      </w:pPr>
      <w:r w:rsidRPr="00D15DEE">
        <w:t xml:space="preserve">Source: </w:t>
      </w:r>
      <w:r w:rsidR="00AD7D66" w:rsidRPr="00D15DEE">
        <w:t xml:space="preserve">Table 2.3.1, p29 of the submission </w:t>
      </w:r>
      <w:r w:rsidRPr="00D15DEE">
        <w:t>compiled during the evaluation</w:t>
      </w:r>
    </w:p>
    <w:p w:rsidR="0004412F" w:rsidRPr="00D15DEE" w:rsidRDefault="005E0068" w:rsidP="00955532">
      <w:pPr>
        <w:pStyle w:val="TableFooter"/>
        <w:rPr>
          <w:szCs w:val="18"/>
        </w:rPr>
      </w:pPr>
      <w:r w:rsidRPr="00D15DEE">
        <w:rPr>
          <w:szCs w:val="18"/>
        </w:rPr>
        <w:t xml:space="preserve">BIAsp 30 = biphasic insulin aspart; IDegAsp = insulin </w:t>
      </w:r>
      <w:r w:rsidR="0004412F" w:rsidRPr="00D15DEE">
        <w:rPr>
          <w:szCs w:val="18"/>
        </w:rPr>
        <w:t>degludec/insulin aspart; IDet</w:t>
      </w:r>
      <w:r w:rsidRPr="00D15DEE">
        <w:rPr>
          <w:szCs w:val="18"/>
        </w:rPr>
        <w:t xml:space="preserve"> = insulin detemir</w:t>
      </w:r>
      <w:r w:rsidR="000B194B" w:rsidRPr="00D15DEE">
        <w:rPr>
          <w:szCs w:val="18"/>
        </w:rPr>
        <w:t>;</w:t>
      </w:r>
    </w:p>
    <w:p w:rsidR="00C317F3" w:rsidRPr="00D15DEE" w:rsidRDefault="000B194B" w:rsidP="00955532">
      <w:pPr>
        <w:pStyle w:val="TableFooter"/>
        <w:rPr>
          <w:szCs w:val="18"/>
        </w:rPr>
      </w:pPr>
      <w:r w:rsidRPr="00D15DEE">
        <w:t xml:space="preserve"> </w:t>
      </w:r>
      <w:r w:rsidRPr="00D15DEE">
        <w:rPr>
          <w:szCs w:val="18"/>
        </w:rPr>
        <w:t>FPG = fasting plasma glucose;</w:t>
      </w:r>
      <w:r w:rsidRPr="00D15DEE">
        <w:t xml:space="preserve"> </w:t>
      </w:r>
      <w:r w:rsidR="005863A4" w:rsidRPr="00D15DEE">
        <w:t xml:space="preserve">HbA1c = </w:t>
      </w:r>
      <w:r w:rsidR="00F03316" w:rsidRPr="00D15DEE">
        <w:t xml:space="preserve">glycated </w:t>
      </w:r>
      <w:r w:rsidR="00F96D56" w:rsidRPr="00D15DEE">
        <w:t>haemoglobin</w:t>
      </w:r>
      <w:r w:rsidR="005863A4" w:rsidRPr="00D15DEE">
        <w:t xml:space="preserve">; </w:t>
      </w:r>
      <w:r w:rsidR="00C317F3" w:rsidRPr="00D15DEE">
        <w:t>OL</w:t>
      </w:r>
      <w:r w:rsidR="00AD7D66" w:rsidRPr="00D15DEE">
        <w:t xml:space="preserve"> </w:t>
      </w:r>
      <w:r w:rsidR="00C317F3" w:rsidRPr="00D15DEE">
        <w:t>=</w:t>
      </w:r>
      <w:r w:rsidR="00AD7D66" w:rsidRPr="00D15DEE">
        <w:t xml:space="preserve"> </w:t>
      </w:r>
      <w:r w:rsidR="00C317F3" w:rsidRPr="00D15DEE">
        <w:t>o</w:t>
      </w:r>
      <w:r w:rsidR="001C69A6" w:rsidRPr="00D15DEE">
        <w:t>pen label</w:t>
      </w:r>
      <w:r w:rsidR="00C317F3" w:rsidRPr="00D15DEE">
        <w:t>; R</w:t>
      </w:r>
      <w:r w:rsidR="00AD7D66" w:rsidRPr="00D15DEE">
        <w:t xml:space="preserve"> </w:t>
      </w:r>
      <w:r w:rsidR="00C317F3" w:rsidRPr="00D15DEE">
        <w:t>=</w:t>
      </w:r>
      <w:r w:rsidR="00AD7D66" w:rsidRPr="00D15DEE">
        <w:t xml:space="preserve"> </w:t>
      </w:r>
      <w:r w:rsidR="00C317F3" w:rsidRPr="00D15DEE">
        <w:t>randomised</w:t>
      </w:r>
      <w:r w:rsidR="005E0068" w:rsidRPr="00D15DEE">
        <w:t xml:space="preserve">; </w:t>
      </w:r>
      <w:r w:rsidR="005E0068" w:rsidRPr="00D15DEE">
        <w:rPr>
          <w:szCs w:val="18"/>
        </w:rPr>
        <w:t>T1DM = type 1 diabetes mellitus; T2DM = type 2 diabetes mellitus</w:t>
      </w:r>
      <w:r w:rsidR="00AD7D66" w:rsidRPr="00D15DEE">
        <w:rPr>
          <w:szCs w:val="18"/>
        </w:rPr>
        <w:t>;</w:t>
      </w:r>
      <w:r w:rsidR="00C43799" w:rsidRPr="00D15DEE">
        <w:rPr>
          <w:szCs w:val="18"/>
        </w:rPr>
        <w:t xml:space="preserve"> CMA = cost-</w:t>
      </w:r>
      <w:r w:rsidR="00955532" w:rsidRPr="00D15DEE">
        <w:rPr>
          <w:szCs w:val="18"/>
        </w:rPr>
        <w:t>minimisation analysis</w:t>
      </w:r>
    </w:p>
    <w:p w:rsidR="00F05A52" w:rsidRPr="004E069F" w:rsidRDefault="00EB174D" w:rsidP="004E069F">
      <w:pPr>
        <w:pStyle w:val="ListParagraph"/>
        <w:numPr>
          <w:ilvl w:val="1"/>
          <w:numId w:val="1"/>
        </w:numPr>
        <w:shd w:val="clear" w:color="auto" w:fill="FFFFFF" w:themeFill="background1"/>
        <w:ind w:left="709" w:hanging="709"/>
        <w:jc w:val="both"/>
        <w:rPr>
          <w:lang w:val="en-AU" w:eastAsia="zh-CN"/>
        </w:rPr>
      </w:pPr>
      <w:bookmarkStart w:id="16" w:name="_Toc413139278"/>
      <w:bookmarkStart w:id="17" w:name="_Toc493067745"/>
      <w:r w:rsidRPr="004E069F">
        <w:t xml:space="preserve">The ESC and PBAC noted the risk of bias in these </w:t>
      </w:r>
      <w:r w:rsidR="00962105">
        <w:t xml:space="preserve">open label </w:t>
      </w:r>
      <w:r w:rsidRPr="004E069F">
        <w:t xml:space="preserve">trials and considered that </w:t>
      </w:r>
      <w:r w:rsidR="00962105">
        <w:t xml:space="preserve">this risk was </w:t>
      </w:r>
      <w:r w:rsidRPr="004E069F">
        <w:t xml:space="preserve">in part mitigated by the </w:t>
      </w:r>
      <w:r w:rsidR="00962105">
        <w:t xml:space="preserve">use of </w:t>
      </w:r>
      <w:r w:rsidRPr="004E069F">
        <w:t xml:space="preserve">objective outcome measures such as HbA1c. </w:t>
      </w:r>
      <w:r w:rsidRPr="00962105">
        <w:t xml:space="preserve">However, the PBAC agreed </w:t>
      </w:r>
      <w:r w:rsidR="00052B8E">
        <w:t xml:space="preserve">with the </w:t>
      </w:r>
      <w:r w:rsidR="00962105">
        <w:t xml:space="preserve">ESC </w:t>
      </w:r>
      <w:r w:rsidRPr="00962105">
        <w:t>that it was difficult to assess the likely impact of IDegAsp on overall rates of hypoglycaemia in clinical practice</w:t>
      </w:r>
      <w:r w:rsidR="00962105">
        <w:t xml:space="preserve"> on the basis of these trials</w:t>
      </w:r>
      <w:r w:rsidRPr="00962105">
        <w:t>, particularly asymptomatic hypoglycaemia, as there would be less testing in the clinical environment than in a study environment</w:t>
      </w:r>
      <w:r>
        <w:t>.</w:t>
      </w:r>
    </w:p>
    <w:p w:rsidR="00EB174D" w:rsidRPr="00962105" w:rsidRDefault="00F05A52" w:rsidP="004E069F">
      <w:pPr>
        <w:pStyle w:val="ListParagraph"/>
        <w:numPr>
          <w:ilvl w:val="1"/>
          <w:numId w:val="1"/>
        </w:numPr>
        <w:shd w:val="clear" w:color="auto" w:fill="FFFFFF" w:themeFill="background1"/>
        <w:ind w:left="709" w:hanging="709"/>
        <w:jc w:val="both"/>
      </w:pPr>
      <w:r>
        <w:t xml:space="preserve">The PBAC further considered that the comparison against IDet in T1DM was </w:t>
      </w:r>
      <w:r w:rsidR="00D1131E">
        <w:t xml:space="preserve">of limited value </w:t>
      </w:r>
      <w:r>
        <w:t>for decision making, as this drug is unlikely to be replaced in clinical practice</w:t>
      </w:r>
      <w:r w:rsidR="00962105">
        <w:t xml:space="preserve"> in this population</w:t>
      </w:r>
      <w:r>
        <w:t>.</w:t>
      </w:r>
    </w:p>
    <w:p w:rsidR="00C317F3" w:rsidRPr="00D15DEE" w:rsidRDefault="00C317F3" w:rsidP="00772501">
      <w:pPr>
        <w:pStyle w:val="Heading2"/>
        <w:rPr>
          <w:i w:val="0"/>
        </w:rPr>
      </w:pPr>
      <w:r w:rsidRPr="00D15DEE">
        <w:rPr>
          <w:i w:val="0"/>
        </w:rPr>
        <w:t>Comparative effectiveness</w:t>
      </w:r>
      <w:bookmarkEnd w:id="16"/>
      <w:bookmarkEnd w:id="17"/>
      <w:r w:rsidRPr="00D15DEE">
        <w:rPr>
          <w:i w:val="0"/>
        </w:rPr>
        <w:t xml:space="preserve"> </w:t>
      </w:r>
    </w:p>
    <w:p w:rsidR="00443B03" w:rsidRPr="00D15DEE" w:rsidRDefault="00443B03" w:rsidP="00AD7D66">
      <w:pPr>
        <w:pStyle w:val="ListParagraph"/>
        <w:numPr>
          <w:ilvl w:val="1"/>
          <w:numId w:val="1"/>
        </w:numPr>
        <w:spacing w:before="0" w:after="120"/>
        <w:ind w:left="720" w:hanging="720"/>
        <w:jc w:val="both"/>
      </w:pPr>
      <w:r w:rsidRPr="00D15DEE">
        <w:t xml:space="preserve">The results </w:t>
      </w:r>
      <w:r w:rsidR="009E1A8F">
        <w:t>for</w:t>
      </w:r>
      <w:r w:rsidR="009E1A8F" w:rsidRPr="00D15DEE">
        <w:t xml:space="preserve"> </w:t>
      </w:r>
      <w:r w:rsidRPr="00D15DEE">
        <w:t xml:space="preserve">the primary outcome (change in HbA1c) of </w:t>
      </w:r>
      <w:r w:rsidR="00A2506B" w:rsidRPr="00D15DEE">
        <w:t xml:space="preserve">the </w:t>
      </w:r>
      <w:r w:rsidRPr="00D15DEE">
        <w:t xml:space="preserve">direct randomised trials are </w:t>
      </w:r>
      <w:r w:rsidR="005863A4" w:rsidRPr="00D15DEE">
        <w:t xml:space="preserve">summarised in the table </w:t>
      </w:r>
      <w:r w:rsidR="002D0F91" w:rsidRPr="00D15DEE">
        <w:t>6</w:t>
      </w:r>
      <w:r w:rsidRPr="00D15DEE">
        <w:t>.</w:t>
      </w:r>
    </w:p>
    <w:p w:rsidR="001C69A6" w:rsidRPr="00D15DEE" w:rsidRDefault="001C69A6" w:rsidP="001C69A6">
      <w:pPr>
        <w:pStyle w:val="TableHeading0"/>
      </w:pPr>
      <w:r w:rsidRPr="00D15DEE">
        <w:t xml:space="preserve">Table </w:t>
      </w:r>
      <w:r w:rsidR="002D0F91" w:rsidRPr="00D15DEE">
        <w:t>6</w:t>
      </w:r>
      <w:r w:rsidRPr="00D15DEE">
        <w:t xml:space="preserve">: Results </w:t>
      </w:r>
      <w:r w:rsidR="0004412F" w:rsidRPr="00D15DEE">
        <w:t>of change in HbA1c (%)</w:t>
      </w:r>
      <w:r w:rsidRPr="00D15DEE">
        <w:t xml:space="preserve"> from baseline across the 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6"/>
        <w:gridCol w:w="2318"/>
        <w:gridCol w:w="2318"/>
        <w:gridCol w:w="2320"/>
      </w:tblGrid>
      <w:tr w:rsidR="00443B03" w:rsidRPr="00D15DEE" w:rsidTr="00CF2FED">
        <w:trPr>
          <w:tblHeader/>
        </w:trPr>
        <w:tc>
          <w:tcPr>
            <w:tcW w:w="1237" w:type="pct"/>
          </w:tcPr>
          <w:p w:rsidR="00443B03" w:rsidRPr="00D15DEE" w:rsidRDefault="00443B03" w:rsidP="00F63640">
            <w:pPr>
              <w:pStyle w:val="TableText"/>
              <w:rPr>
                <w:szCs w:val="20"/>
                <w:lang w:val="en-US"/>
              </w:rPr>
            </w:pPr>
          </w:p>
        </w:tc>
        <w:tc>
          <w:tcPr>
            <w:tcW w:w="1254" w:type="pct"/>
          </w:tcPr>
          <w:p w:rsidR="00443B03" w:rsidRPr="00D15DEE" w:rsidRDefault="00443B03" w:rsidP="00443B03">
            <w:pPr>
              <w:pStyle w:val="TableText"/>
              <w:rPr>
                <w:szCs w:val="20"/>
                <w:lang w:val="en-US"/>
              </w:rPr>
            </w:pPr>
            <w:r w:rsidRPr="00D15DEE">
              <w:rPr>
                <w:b/>
                <w:iCs/>
                <w:szCs w:val="20"/>
                <w:lang w:val="en-US"/>
              </w:rPr>
              <w:t>IDegAsp mean change from baseline (SE)</w:t>
            </w:r>
          </w:p>
        </w:tc>
        <w:tc>
          <w:tcPr>
            <w:tcW w:w="1254" w:type="pct"/>
          </w:tcPr>
          <w:p w:rsidR="00443B03" w:rsidRPr="00D15DEE" w:rsidRDefault="00443B03" w:rsidP="00443B03">
            <w:pPr>
              <w:pStyle w:val="TableText"/>
              <w:rPr>
                <w:szCs w:val="20"/>
                <w:lang w:val="en-US"/>
              </w:rPr>
            </w:pPr>
            <w:r w:rsidRPr="00D15DEE">
              <w:rPr>
                <w:b/>
                <w:iCs/>
                <w:szCs w:val="20"/>
                <w:lang w:val="en-US"/>
              </w:rPr>
              <w:t>Comparator mean change from baseline (SE)</w:t>
            </w:r>
          </w:p>
        </w:tc>
        <w:tc>
          <w:tcPr>
            <w:tcW w:w="1255" w:type="pct"/>
          </w:tcPr>
          <w:p w:rsidR="00443B03" w:rsidRPr="00D15DEE" w:rsidRDefault="00443B03" w:rsidP="00F63640">
            <w:pPr>
              <w:pStyle w:val="TableText"/>
              <w:rPr>
                <w:szCs w:val="20"/>
                <w:lang w:val="en-US"/>
              </w:rPr>
            </w:pPr>
            <w:r w:rsidRPr="00D15DEE">
              <w:rPr>
                <w:b/>
                <w:iCs/>
                <w:szCs w:val="20"/>
                <w:lang w:val="en-US"/>
              </w:rPr>
              <w:t>Mean difference (95% CI)</w:t>
            </w:r>
          </w:p>
        </w:tc>
      </w:tr>
      <w:tr w:rsidR="00443B03" w:rsidRPr="00D15DEE" w:rsidTr="00443B03">
        <w:tc>
          <w:tcPr>
            <w:tcW w:w="5000" w:type="pct"/>
            <w:gridSpan w:val="4"/>
          </w:tcPr>
          <w:p w:rsidR="00443B03" w:rsidRPr="00D15DEE" w:rsidRDefault="00443B03" w:rsidP="00443B03">
            <w:pPr>
              <w:pStyle w:val="TableText"/>
              <w:rPr>
                <w:b/>
                <w:szCs w:val="20"/>
              </w:rPr>
            </w:pPr>
            <w:r w:rsidRPr="00D15DEE">
              <w:rPr>
                <w:b/>
                <w:szCs w:val="20"/>
              </w:rPr>
              <w:t>Trial ID 3940 – T2DM (insulin-naïve</w:t>
            </w:r>
            <w:r w:rsidR="004B34EB" w:rsidRPr="00D15DEE">
              <w:rPr>
                <w:b/>
                <w:szCs w:val="20"/>
              </w:rPr>
              <w:t>), 26 weeks</w:t>
            </w:r>
          </w:p>
        </w:tc>
      </w:tr>
      <w:tr w:rsidR="00443B03" w:rsidRPr="00D15DEE" w:rsidTr="00CF2FED">
        <w:tc>
          <w:tcPr>
            <w:tcW w:w="1237" w:type="pct"/>
          </w:tcPr>
          <w:p w:rsidR="00443B03" w:rsidRPr="00D15DEE" w:rsidRDefault="00443B03" w:rsidP="00955532">
            <w:pPr>
              <w:pStyle w:val="TableText"/>
              <w:rPr>
                <w:rFonts w:eastAsia="Times New Roman" w:cs="Times New Roman"/>
                <w:szCs w:val="20"/>
              </w:rPr>
            </w:pPr>
            <w:r w:rsidRPr="00D15DEE">
              <w:rPr>
                <w:szCs w:val="20"/>
              </w:rPr>
              <w:t>IDegAsp BID N</w:t>
            </w:r>
            <w:r w:rsidR="00AD7D66" w:rsidRPr="00D15DEE">
              <w:rPr>
                <w:szCs w:val="20"/>
              </w:rPr>
              <w:t xml:space="preserve"> </w:t>
            </w:r>
            <w:r w:rsidRPr="00D15DEE">
              <w:rPr>
                <w:szCs w:val="20"/>
              </w:rPr>
              <w:t>= 197; BIAsp 30 N = 197</w:t>
            </w:r>
          </w:p>
        </w:tc>
        <w:tc>
          <w:tcPr>
            <w:tcW w:w="1254" w:type="pct"/>
          </w:tcPr>
          <w:p w:rsidR="00443B03" w:rsidRPr="00D15DEE" w:rsidRDefault="00443B03" w:rsidP="00955532">
            <w:pPr>
              <w:pStyle w:val="TableText"/>
              <w:rPr>
                <w:rFonts w:eastAsia="Times New Roman" w:cs="Times New Roman"/>
                <w:szCs w:val="20"/>
              </w:rPr>
            </w:pPr>
            <w:r w:rsidRPr="00D15DEE">
              <w:rPr>
                <w:szCs w:val="20"/>
              </w:rPr>
              <w:t>-1.71 (0.10)</w:t>
            </w:r>
          </w:p>
        </w:tc>
        <w:tc>
          <w:tcPr>
            <w:tcW w:w="1254" w:type="pct"/>
          </w:tcPr>
          <w:p w:rsidR="00443B03" w:rsidRPr="00D15DEE" w:rsidRDefault="00443B03" w:rsidP="00955532">
            <w:pPr>
              <w:pStyle w:val="TableText"/>
              <w:rPr>
                <w:rFonts w:eastAsia="Times New Roman" w:cs="Times New Roman"/>
                <w:szCs w:val="20"/>
              </w:rPr>
            </w:pPr>
            <w:r w:rsidRPr="00D15DEE">
              <w:rPr>
                <w:szCs w:val="20"/>
              </w:rPr>
              <w:t>-1.73 (0.09)</w:t>
            </w:r>
          </w:p>
        </w:tc>
        <w:tc>
          <w:tcPr>
            <w:tcW w:w="1255" w:type="pct"/>
          </w:tcPr>
          <w:p w:rsidR="00443B03" w:rsidRPr="00D15DEE" w:rsidRDefault="00443B03" w:rsidP="00955532">
            <w:pPr>
              <w:pStyle w:val="TableText"/>
              <w:rPr>
                <w:rFonts w:eastAsia="Times New Roman" w:cs="Times New Roman"/>
                <w:szCs w:val="20"/>
              </w:rPr>
            </w:pPr>
            <w:r w:rsidRPr="00D15DEE">
              <w:rPr>
                <w:szCs w:val="20"/>
              </w:rPr>
              <w:t>0.02 (-0.12, 0.17)</w:t>
            </w:r>
          </w:p>
        </w:tc>
      </w:tr>
      <w:tr w:rsidR="00443B03" w:rsidRPr="00D15DEE" w:rsidTr="00443B03">
        <w:tc>
          <w:tcPr>
            <w:tcW w:w="5000" w:type="pct"/>
            <w:gridSpan w:val="4"/>
          </w:tcPr>
          <w:p w:rsidR="00443B03" w:rsidRPr="00D15DEE" w:rsidRDefault="00443B03" w:rsidP="00443B03">
            <w:pPr>
              <w:pStyle w:val="Tabletext0"/>
              <w:rPr>
                <w:b/>
              </w:rPr>
            </w:pPr>
            <w:r w:rsidRPr="00D15DEE">
              <w:rPr>
                <w:b/>
              </w:rPr>
              <w:t>Trial ID 3592 – T2DM (insulin-experienced</w:t>
            </w:r>
            <w:r w:rsidR="004B34EB" w:rsidRPr="00D15DEE">
              <w:rPr>
                <w:b/>
              </w:rPr>
              <w:t>), 26 weeks</w:t>
            </w:r>
          </w:p>
        </w:tc>
      </w:tr>
      <w:tr w:rsidR="00443B03" w:rsidRPr="00D15DEE" w:rsidTr="00CF2FED">
        <w:tc>
          <w:tcPr>
            <w:tcW w:w="1237" w:type="pct"/>
          </w:tcPr>
          <w:p w:rsidR="00443B03" w:rsidRPr="00D15DEE" w:rsidRDefault="00443B03" w:rsidP="00955532">
            <w:pPr>
              <w:pStyle w:val="TableText"/>
              <w:rPr>
                <w:rFonts w:eastAsia="Times New Roman" w:cs="Times New Roman"/>
                <w:szCs w:val="20"/>
              </w:rPr>
            </w:pPr>
            <w:r w:rsidRPr="00D15DEE">
              <w:t>IDegAs</w:t>
            </w:r>
            <w:r w:rsidR="00AD7D66" w:rsidRPr="00D15DEE">
              <w:t>p BID N = 224; BIAsp 30 N = 222</w:t>
            </w:r>
          </w:p>
        </w:tc>
        <w:tc>
          <w:tcPr>
            <w:tcW w:w="1254" w:type="pct"/>
          </w:tcPr>
          <w:p w:rsidR="00443B03" w:rsidRPr="00D15DEE" w:rsidRDefault="00443B03" w:rsidP="00955532">
            <w:pPr>
              <w:pStyle w:val="TableText"/>
              <w:rPr>
                <w:rFonts w:eastAsia="Times New Roman" w:cs="Times New Roman"/>
                <w:szCs w:val="20"/>
              </w:rPr>
            </w:pPr>
            <w:r w:rsidRPr="00D15DEE">
              <w:rPr>
                <w:szCs w:val="20"/>
              </w:rPr>
              <w:t>-1.31 (0.09)</w:t>
            </w:r>
          </w:p>
        </w:tc>
        <w:tc>
          <w:tcPr>
            <w:tcW w:w="1254" w:type="pct"/>
          </w:tcPr>
          <w:p w:rsidR="00443B03" w:rsidRPr="00D15DEE" w:rsidRDefault="00443B03" w:rsidP="00955532">
            <w:pPr>
              <w:pStyle w:val="TableText"/>
              <w:rPr>
                <w:rFonts w:eastAsia="Times New Roman" w:cs="Times New Roman"/>
                <w:szCs w:val="20"/>
              </w:rPr>
            </w:pPr>
            <w:r w:rsidRPr="00D15DEE">
              <w:rPr>
                <w:szCs w:val="20"/>
              </w:rPr>
              <w:t>-1.29 (0.10)</w:t>
            </w:r>
          </w:p>
        </w:tc>
        <w:tc>
          <w:tcPr>
            <w:tcW w:w="1255" w:type="pct"/>
          </w:tcPr>
          <w:p w:rsidR="00443B03" w:rsidRPr="00D15DEE" w:rsidRDefault="00443B03" w:rsidP="00955532">
            <w:pPr>
              <w:pStyle w:val="TableText"/>
              <w:rPr>
                <w:rFonts w:eastAsia="Times New Roman" w:cs="Times New Roman"/>
                <w:szCs w:val="20"/>
              </w:rPr>
            </w:pPr>
            <w:r w:rsidRPr="00D15DEE">
              <w:rPr>
                <w:szCs w:val="20"/>
              </w:rPr>
              <w:t>-0.03 (-0.18, 0.13)</w:t>
            </w:r>
          </w:p>
        </w:tc>
      </w:tr>
      <w:tr w:rsidR="00443B03" w:rsidRPr="00D15DEE" w:rsidTr="00443B03">
        <w:tc>
          <w:tcPr>
            <w:tcW w:w="5000" w:type="pct"/>
            <w:gridSpan w:val="4"/>
          </w:tcPr>
          <w:p w:rsidR="00443B03" w:rsidRPr="00D15DEE" w:rsidRDefault="00443B03" w:rsidP="00443B03">
            <w:pPr>
              <w:pStyle w:val="TableText"/>
              <w:rPr>
                <w:b/>
                <w:szCs w:val="20"/>
              </w:rPr>
            </w:pPr>
            <w:r w:rsidRPr="00D15DEE">
              <w:rPr>
                <w:b/>
                <w:szCs w:val="20"/>
              </w:rPr>
              <w:t>Trial ID 3597 – T2DM (insulin-experienced</w:t>
            </w:r>
            <w:r w:rsidR="004B34EB" w:rsidRPr="00D15DEE">
              <w:rPr>
                <w:b/>
                <w:szCs w:val="20"/>
              </w:rPr>
              <w:t>), 26 weeks</w:t>
            </w:r>
          </w:p>
        </w:tc>
      </w:tr>
      <w:tr w:rsidR="00443B03" w:rsidRPr="00D15DEE" w:rsidTr="00CF2FED">
        <w:tc>
          <w:tcPr>
            <w:tcW w:w="1237" w:type="pct"/>
          </w:tcPr>
          <w:p w:rsidR="00443B03" w:rsidRPr="00D15DEE" w:rsidRDefault="00443B03" w:rsidP="00955532">
            <w:pPr>
              <w:pStyle w:val="TableText"/>
              <w:rPr>
                <w:rFonts w:eastAsia="Times New Roman" w:cs="Times New Roman"/>
                <w:szCs w:val="20"/>
              </w:rPr>
            </w:pPr>
            <w:r w:rsidRPr="00D15DEE">
              <w:rPr>
                <w:szCs w:val="20"/>
              </w:rPr>
              <w:t>IDegAsp BID N = 280; BIAsp 30 N = 142</w:t>
            </w:r>
          </w:p>
        </w:tc>
        <w:tc>
          <w:tcPr>
            <w:tcW w:w="1254" w:type="pct"/>
          </w:tcPr>
          <w:p w:rsidR="00443B03" w:rsidRPr="00D15DEE" w:rsidRDefault="00443B03" w:rsidP="00955532">
            <w:pPr>
              <w:pStyle w:val="TableText"/>
              <w:rPr>
                <w:rFonts w:eastAsia="Times New Roman" w:cs="Times New Roman"/>
                <w:szCs w:val="20"/>
              </w:rPr>
            </w:pPr>
            <w:r w:rsidRPr="00D15DEE">
              <w:rPr>
                <w:szCs w:val="20"/>
              </w:rPr>
              <w:t>-1.39 (0.05)</w:t>
            </w:r>
          </w:p>
        </w:tc>
        <w:tc>
          <w:tcPr>
            <w:tcW w:w="1254" w:type="pct"/>
          </w:tcPr>
          <w:p w:rsidR="00443B03" w:rsidRPr="00D15DEE" w:rsidRDefault="00443B03" w:rsidP="00955532">
            <w:pPr>
              <w:pStyle w:val="TableText"/>
              <w:rPr>
                <w:rFonts w:eastAsia="Times New Roman" w:cs="Times New Roman"/>
                <w:szCs w:val="20"/>
              </w:rPr>
            </w:pPr>
            <w:r w:rsidRPr="00D15DEE">
              <w:rPr>
                <w:szCs w:val="20"/>
              </w:rPr>
              <w:t>-1.44 (0.07)</w:t>
            </w:r>
          </w:p>
        </w:tc>
        <w:tc>
          <w:tcPr>
            <w:tcW w:w="1255" w:type="pct"/>
          </w:tcPr>
          <w:p w:rsidR="00443B03" w:rsidRPr="00D15DEE" w:rsidRDefault="00443B03" w:rsidP="00955532">
            <w:pPr>
              <w:pStyle w:val="TableText"/>
              <w:rPr>
                <w:rFonts w:eastAsia="Times New Roman" w:cs="Times New Roman"/>
                <w:szCs w:val="20"/>
              </w:rPr>
            </w:pPr>
            <w:r w:rsidRPr="00D15DEE">
              <w:rPr>
                <w:szCs w:val="20"/>
              </w:rPr>
              <w:t>0.05 (-0.10, 0.20)</w:t>
            </w:r>
          </w:p>
        </w:tc>
      </w:tr>
      <w:tr w:rsidR="00443B03" w:rsidRPr="00D15DEE" w:rsidTr="00443B03">
        <w:tc>
          <w:tcPr>
            <w:tcW w:w="5000" w:type="pct"/>
            <w:gridSpan w:val="4"/>
          </w:tcPr>
          <w:p w:rsidR="00443B03" w:rsidRPr="00D15DEE" w:rsidRDefault="00AD7D66" w:rsidP="00443B03">
            <w:pPr>
              <w:pStyle w:val="Tabletext0"/>
              <w:rPr>
                <w:b/>
              </w:rPr>
            </w:pPr>
            <w:r w:rsidRPr="00D15DEE">
              <w:rPr>
                <w:b/>
              </w:rPr>
              <w:t>Trial ID 3594 – T1DM (main study), 26 weeks</w:t>
            </w:r>
          </w:p>
        </w:tc>
      </w:tr>
      <w:tr w:rsidR="00443B03" w:rsidRPr="00D15DEE" w:rsidTr="00CF2FED">
        <w:tc>
          <w:tcPr>
            <w:tcW w:w="1237" w:type="pct"/>
          </w:tcPr>
          <w:p w:rsidR="00443B03" w:rsidRPr="00D15DEE" w:rsidRDefault="005863A4" w:rsidP="00955532">
            <w:pPr>
              <w:pStyle w:val="TableText"/>
            </w:pPr>
            <w:r w:rsidRPr="00D15DEE">
              <w:t xml:space="preserve">IDegAsp </w:t>
            </w:r>
            <w:r w:rsidR="00443B03" w:rsidRPr="00D15DEE">
              <w:t xml:space="preserve">N = 366; </w:t>
            </w:r>
          </w:p>
          <w:p w:rsidR="00443B03" w:rsidRPr="00D15DEE" w:rsidRDefault="00443B03" w:rsidP="00955532">
            <w:pPr>
              <w:pStyle w:val="TableText"/>
              <w:rPr>
                <w:rFonts w:eastAsia="Times New Roman" w:cs="Times New Roman"/>
                <w:szCs w:val="20"/>
              </w:rPr>
            </w:pPr>
            <w:r w:rsidRPr="00D15DEE">
              <w:t>IDet N = 182</w:t>
            </w:r>
          </w:p>
        </w:tc>
        <w:tc>
          <w:tcPr>
            <w:tcW w:w="1254" w:type="pct"/>
          </w:tcPr>
          <w:p w:rsidR="00443B03" w:rsidRPr="00D15DEE" w:rsidRDefault="00443B03" w:rsidP="00955532">
            <w:pPr>
              <w:pStyle w:val="TableText"/>
              <w:rPr>
                <w:rFonts w:eastAsia="Times New Roman" w:cs="Times New Roman"/>
                <w:szCs w:val="20"/>
              </w:rPr>
            </w:pPr>
            <w:r w:rsidRPr="00D15DEE">
              <w:rPr>
                <w:szCs w:val="20"/>
              </w:rPr>
              <w:t>-0.75 (0.06)</w:t>
            </w:r>
          </w:p>
        </w:tc>
        <w:tc>
          <w:tcPr>
            <w:tcW w:w="1254" w:type="pct"/>
          </w:tcPr>
          <w:p w:rsidR="00443B03" w:rsidRPr="00D15DEE" w:rsidRDefault="00443B03" w:rsidP="00955532">
            <w:pPr>
              <w:pStyle w:val="TableText"/>
              <w:rPr>
                <w:rFonts w:eastAsia="Times New Roman" w:cs="Times New Roman"/>
                <w:szCs w:val="20"/>
              </w:rPr>
            </w:pPr>
            <w:r w:rsidRPr="00D15DEE">
              <w:rPr>
                <w:szCs w:val="20"/>
              </w:rPr>
              <w:t>-0.70 (0.08)</w:t>
            </w:r>
          </w:p>
        </w:tc>
        <w:tc>
          <w:tcPr>
            <w:tcW w:w="1255" w:type="pct"/>
          </w:tcPr>
          <w:p w:rsidR="00443B03" w:rsidRPr="00D15DEE" w:rsidRDefault="00443B03" w:rsidP="00955532">
            <w:pPr>
              <w:pStyle w:val="TableText"/>
              <w:rPr>
                <w:rFonts w:eastAsia="Times New Roman" w:cs="Times New Roman"/>
                <w:szCs w:val="20"/>
              </w:rPr>
            </w:pPr>
            <w:r w:rsidRPr="00D15DEE">
              <w:rPr>
                <w:szCs w:val="20"/>
              </w:rPr>
              <w:t>-0.05 (-0.18, 0.08)</w:t>
            </w:r>
          </w:p>
        </w:tc>
      </w:tr>
      <w:tr w:rsidR="00443B03" w:rsidRPr="00D15DEE" w:rsidTr="00443B03">
        <w:tc>
          <w:tcPr>
            <w:tcW w:w="5000" w:type="pct"/>
            <w:gridSpan w:val="4"/>
          </w:tcPr>
          <w:p w:rsidR="00443B03" w:rsidRPr="00D15DEE" w:rsidRDefault="00443B03" w:rsidP="00955532">
            <w:pPr>
              <w:pStyle w:val="Tabletext0"/>
              <w:rPr>
                <w:b/>
              </w:rPr>
            </w:pPr>
            <w:r w:rsidRPr="00D15DEE">
              <w:rPr>
                <w:b/>
              </w:rPr>
              <w:t>Trial ID 3645 – T1DM (extension study), 52 weeks</w:t>
            </w:r>
          </w:p>
        </w:tc>
      </w:tr>
      <w:tr w:rsidR="00443B03" w:rsidRPr="00D15DEE" w:rsidTr="00CF2FED">
        <w:tc>
          <w:tcPr>
            <w:tcW w:w="1237" w:type="pct"/>
          </w:tcPr>
          <w:p w:rsidR="00443B03" w:rsidRPr="00D15DEE" w:rsidRDefault="00443B03" w:rsidP="00443B03">
            <w:pPr>
              <w:pStyle w:val="TableText"/>
            </w:pPr>
            <w:r w:rsidRPr="00D15DEE">
              <w:t xml:space="preserve">IDegAsp N = 366; </w:t>
            </w:r>
          </w:p>
          <w:p w:rsidR="00443B03" w:rsidRPr="00D15DEE" w:rsidRDefault="00AD7D66" w:rsidP="00443B03">
            <w:pPr>
              <w:pStyle w:val="TableText"/>
              <w:rPr>
                <w:rFonts w:eastAsia="Times New Roman" w:cs="Times New Roman"/>
                <w:szCs w:val="20"/>
              </w:rPr>
            </w:pPr>
            <w:r w:rsidRPr="00D15DEE">
              <w:t>IDet N = 182</w:t>
            </w:r>
          </w:p>
        </w:tc>
        <w:tc>
          <w:tcPr>
            <w:tcW w:w="1254" w:type="pct"/>
          </w:tcPr>
          <w:p w:rsidR="00443B03" w:rsidRPr="00D15DEE" w:rsidRDefault="00443B03" w:rsidP="00955532">
            <w:pPr>
              <w:pStyle w:val="TableText"/>
              <w:rPr>
                <w:rFonts w:eastAsia="Times New Roman" w:cs="Times New Roman"/>
                <w:szCs w:val="20"/>
              </w:rPr>
            </w:pPr>
            <w:r w:rsidRPr="00D15DEE">
              <w:rPr>
                <w:szCs w:val="20"/>
              </w:rPr>
              <w:t>-0.67 (0.07)</w:t>
            </w:r>
          </w:p>
        </w:tc>
        <w:tc>
          <w:tcPr>
            <w:tcW w:w="1254" w:type="pct"/>
          </w:tcPr>
          <w:p w:rsidR="00443B03" w:rsidRPr="00D15DEE" w:rsidRDefault="00443B03" w:rsidP="00955532">
            <w:pPr>
              <w:pStyle w:val="TableText"/>
              <w:rPr>
                <w:rFonts w:eastAsia="Times New Roman" w:cs="Times New Roman"/>
                <w:szCs w:val="20"/>
              </w:rPr>
            </w:pPr>
            <w:r w:rsidRPr="00D15DEE">
              <w:rPr>
                <w:szCs w:val="20"/>
              </w:rPr>
              <w:t>-0.57 (0.08)</w:t>
            </w:r>
          </w:p>
        </w:tc>
        <w:tc>
          <w:tcPr>
            <w:tcW w:w="1255" w:type="pct"/>
          </w:tcPr>
          <w:p w:rsidR="00443B03" w:rsidRPr="00D15DEE" w:rsidRDefault="00443B03" w:rsidP="00955532">
            <w:pPr>
              <w:pStyle w:val="TableText"/>
              <w:rPr>
                <w:rFonts w:eastAsia="Times New Roman" w:cs="Times New Roman"/>
                <w:szCs w:val="20"/>
              </w:rPr>
            </w:pPr>
            <w:r w:rsidRPr="00D15DEE">
              <w:rPr>
                <w:szCs w:val="20"/>
              </w:rPr>
              <w:t>-0.10 (-0.24, 0.03)</w:t>
            </w:r>
          </w:p>
        </w:tc>
      </w:tr>
    </w:tbl>
    <w:p w:rsidR="00CF2FED" w:rsidRPr="00D15DEE" w:rsidRDefault="00CF2FED" w:rsidP="00CF2FED">
      <w:pPr>
        <w:pStyle w:val="TableorfigureAbbreviationsandSource"/>
        <w:rPr>
          <w:rFonts w:ascii="Arial Narrow" w:hAnsi="Arial Narrow"/>
          <w:sz w:val="18"/>
          <w:szCs w:val="18"/>
        </w:rPr>
      </w:pPr>
      <w:r w:rsidRPr="00D15DEE">
        <w:rPr>
          <w:rFonts w:ascii="Arial Narrow" w:hAnsi="Arial Narrow"/>
          <w:sz w:val="18"/>
          <w:szCs w:val="18"/>
        </w:rPr>
        <w:t xml:space="preserve">Source: </w:t>
      </w:r>
      <w:r w:rsidRPr="00D15DEE">
        <w:rPr>
          <w:rFonts w:ascii="Arial Narrow" w:hAnsi="Arial Narrow"/>
          <w:sz w:val="18"/>
          <w:szCs w:val="18"/>
        </w:rPr>
        <w:tab/>
      </w:r>
      <w:r w:rsidR="00AD7D66" w:rsidRPr="00D15DEE">
        <w:rPr>
          <w:rFonts w:ascii="Arial Narrow" w:hAnsi="Arial Narrow"/>
          <w:sz w:val="18"/>
          <w:szCs w:val="18"/>
        </w:rPr>
        <w:t>Table 2.5.1 p</w:t>
      </w:r>
      <w:r w:rsidRPr="00D15DEE">
        <w:rPr>
          <w:rFonts w:ascii="Arial Narrow" w:hAnsi="Arial Narrow"/>
          <w:sz w:val="18"/>
          <w:szCs w:val="18"/>
        </w:rPr>
        <w:t>46 of the submission</w:t>
      </w:r>
    </w:p>
    <w:p w:rsidR="005E0068" w:rsidRPr="00D15DEE" w:rsidRDefault="005E0068" w:rsidP="005E0068">
      <w:pPr>
        <w:pStyle w:val="TableorfigureAbbreviationsandSource"/>
        <w:rPr>
          <w:rFonts w:ascii="Arial Narrow" w:hAnsi="Arial Narrow"/>
          <w:sz w:val="18"/>
          <w:szCs w:val="18"/>
        </w:rPr>
      </w:pPr>
      <w:r w:rsidRPr="00D15DEE">
        <w:rPr>
          <w:rFonts w:ascii="Arial Narrow" w:hAnsi="Arial Narrow"/>
          <w:sz w:val="18"/>
          <w:szCs w:val="18"/>
        </w:rPr>
        <w:t xml:space="preserve">BIAsp 30 = biphasic insulin aspart; BID = twice-daily; CI = confidence interval; IDegAsp = insulin degludec/insulin aspart; N = number of subjects </w:t>
      </w:r>
      <w:r w:rsidR="00C43799" w:rsidRPr="00D15DEE">
        <w:rPr>
          <w:rFonts w:ascii="Arial Narrow" w:hAnsi="Arial Narrow"/>
          <w:sz w:val="18"/>
          <w:szCs w:val="18"/>
        </w:rPr>
        <w:t>contributing to the analysis;</w:t>
      </w:r>
      <w:r w:rsidRPr="00D15DEE">
        <w:rPr>
          <w:rFonts w:ascii="Arial Narrow" w:hAnsi="Arial Narrow"/>
          <w:sz w:val="18"/>
          <w:szCs w:val="18"/>
        </w:rPr>
        <w:t xml:space="preserve"> SE = standard error of the mean; T1DM = type 1 diabetes mellitus; T2DM = type 2 diabetes mellitus</w:t>
      </w:r>
    </w:p>
    <w:p w:rsidR="006D3B24" w:rsidRPr="006D3B24" w:rsidRDefault="006D3B24" w:rsidP="006D3B24">
      <w:pPr>
        <w:pStyle w:val="ListParagraph"/>
        <w:numPr>
          <w:ilvl w:val="1"/>
          <w:numId w:val="1"/>
        </w:numPr>
        <w:spacing w:before="0" w:after="120"/>
        <w:ind w:left="720" w:hanging="720"/>
        <w:jc w:val="both"/>
      </w:pPr>
      <w:bookmarkStart w:id="18" w:name="_Toc413139279"/>
      <w:bookmarkStart w:id="19" w:name="_Toc493067746"/>
      <w:r w:rsidRPr="00D15DEE">
        <w:t>The results of the four trials, excluding the extension trial (study 3645), were in agreement with the predetermined non</w:t>
      </w:r>
      <w:r w:rsidR="00FF76D4">
        <w:t>-</w:t>
      </w:r>
      <w:r w:rsidRPr="00D15DEE">
        <w:t>inferiority margin proposed. The proposed drug was non</w:t>
      </w:r>
      <w:r w:rsidR="00FF76D4">
        <w:t>-</w:t>
      </w:r>
      <w:r w:rsidRPr="00D15DEE">
        <w:t>inferior for all the analysed trials with a non</w:t>
      </w:r>
      <w:r w:rsidR="00FF76D4">
        <w:t>-</w:t>
      </w:r>
      <w:r w:rsidRPr="00D15DEE">
        <w:t>inferiority margin of 0.4%. None of the trials showed superiority for change in HbA1c.</w:t>
      </w:r>
    </w:p>
    <w:p w:rsidR="000152E5" w:rsidRPr="00D15DEE" w:rsidRDefault="00C317F3" w:rsidP="000152E5">
      <w:pPr>
        <w:pStyle w:val="Heading2"/>
        <w:rPr>
          <w:i w:val="0"/>
        </w:rPr>
      </w:pPr>
      <w:r w:rsidRPr="00D15DEE">
        <w:rPr>
          <w:i w:val="0"/>
        </w:rPr>
        <w:t>Comparative harms</w:t>
      </w:r>
      <w:bookmarkEnd w:id="18"/>
      <w:bookmarkEnd w:id="19"/>
    </w:p>
    <w:p w:rsidR="0021791B" w:rsidRPr="00D15DEE" w:rsidRDefault="002C4EC5" w:rsidP="009B5D7B">
      <w:pPr>
        <w:pStyle w:val="ListParagraph"/>
        <w:numPr>
          <w:ilvl w:val="1"/>
          <w:numId w:val="1"/>
        </w:numPr>
        <w:ind w:left="720" w:hanging="720"/>
        <w:jc w:val="both"/>
      </w:pPr>
      <w:r w:rsidRPr="00D15DEE">
        <w:t xml:space="preserve">The adverse event profiles of the proposed drug and the </w:t>
      </w:r>
      <w:r w:rsidR="00962105">
        <w:t xml:space="preserve">submission nominated </w:t>
      </w:r>
      <w:r w:rsidRPr="00D15DEE">
        <w:t xml:space="preserve">comparators were similar with no statistical differences in all adverse events, adverse events resulting in withdrawal, serious adverse events, and mortality. </w:t>
      </w:r>
    </w:p>
    <w:p w:rsidR="00720ADF" w:rsidRPr="00720ADF" w:rsidRDefault="00720ADF" w:rsidP="009B5D7B">
      <w:pPr>
        <w:pStyle w:val="ListParagraph"/>
        <w:numPr>
          <w:ilvl w:val="1"/>
          <w:numId w:val="1"/>
        </w:numPr>
        <w:ind w:left="709" w:hanging="709"/>
        <w:jc w:val="both"/>
      </w:pPr>
      <w:bookmarkStart w:id="20" w:name="_Toc493067747"/>
      <w:bookmarkStart w:id="21" w:name="_Toc413139281"/>
      <w:r w:rsidRPr="00720ADF">
        <w:t>Trials</w:t>
      </w:r>
      <w:r w:rsidR="00EB174D">
        <w:t xml:space="preserve"> </w:t>
      </w:r>
      <w:r w:rsidRPr="00720ADF">
        <w:t>3940, 3592, 3597, and 3594/3645 collected hypoglycaemic episodes recorded by subjects in their trial diaries throughout the trial. Information to be collected included plasma glucose (PG) before treating the episode and whether the subject was able to treat him/herself. Hypoglycaemic episodes were reported at all visits. If the subject reported one or more hypoglycaemic episodes (symptomatic or asymptomatic) since the last visit or phone contact, the investigator or trial coordinator completed a hypoglycaemia questionnaire/interview. Confirmed episodes include</w:t>
      </w:r>
      <w:r w:rsidR="00EB174D">
        <w:t>d</w:t>
      </w:r>
      <w:r w:rsidRPr="00720ADF">
        <w:t xml:space="preserve"> severe episodes (subject not able to treat him/herself) plus minor episodes (symptoms consistent with hypoglycaemia with confirmation by PG &lt;3.1 mmol/L (56 mg/dL) or full blood glucose &lt;2.8 mmol/L (50 mg/dL) and handled by the subject him/herself; or any asymptomatic PG value &lt;3.1 mmol/L (56 mg/dL) or full blood glucose value &lt;2.8 mmol/L (50 mg/dL). </w:t>
      </w:r>
      <w:r w:rsidR="00EB174D">
        <w:t xml:space="preserve"> The n</w:t>
      </w:r>
      <w:r w:rsidRPr="00720ADF">
        <w:t>octurnal period was</w:t>
      </w:r>
      <w:r w:rsidR="00EB174D">
        <w:t xml:space="preserve"> defined as</w:t>
      </w:r>
      <w:r w:rsidRPr="00720ADF">
        <w:t xml:space="preserve"> 00:01 to 05:59 inclusive (Source: Table 2.4.2, p33 of Commentary, Table 2.4.9, p44 of the submission). </w:t>
      </w:r>
    </w:p>
    <w:p w:rsidR="00962105" w:rsidRPr="00962105" w:rsidRDefault="00962105" w:rsidP="009B5D7B">
      <w:pPr>
        <w:pStyle w:val="ListParagraph"/>
        <w:numPr>
          <w:ilvl w:val="1"/>
          <w:numId w:val="1"/>
        </w:numPr>
        <w:ind w:left="709" w:hanging="709"/>
        <w:jc w:val="both"/>
      </w:pPr>
      <w:r w:rsidRPr="00962105">
        <w:t xml:space="preserve">There were less confirmed hypoglycaemic events (treatment ratio) in the proposed drug IDegAsp </w:t>
      </w:r>
      <w:r>
        <w:t xml:space="preserve">compared to </w:t>
      </w:r>
      <w:r w:rsidRPr="00962105">
        <w:t xml:space="preserve">BIAsp 30 in studies 3940 and 3592 and less nocturnal hypoglycaemic events in IDegAsp </w:t>
      </w:r>
      <w:r>
        <w:t xml:space="preserve">compared to </w:t>
      </w:r>
      <w:r w:rsidRPr="00962105">
        <w:t xml:space="preserve">IDet in study 3645 (Table 7); however, there was no difference in confirmed hypoglycaemic events for IDegAsp compared to BIAsp 30 in study 3597. </w:t>
      </w:r>
    </w:p>
    <w:p w:rsidR="002C6E29" w:rsidRPr="00D15DEE" w:rsidRDefault="00A724EE" w:rsidP="009B5D7B">
      <w:pPr>
        <w:pStyle w:val="ListParagraph"/>
        <w:numPr>
          <w:ilvl w:val="1"/>
          <w:numId w:val="1"/>
        </w:numPr>
        <w:ind w:left="720" w:hanging="720"/>
        <w:jc w:val="both"/>
      </w:pPr>
      <w:r w:rsidRPr="00D15DEE">
        <w:t xml:space="preserve">There was no difference between IDegAsp and the </w:t>
      </w:r>
      <w:r w:rsidR="00962105">
        <w:t xml:space="preserve">submission nominated </w:t>
      </w:r>
      <w:r w:rsidRPr="00D15DEE">
        <w:t>comparator drugs in the relative risk of an individual person experiencing one or more confirmed or severe hypoglycaemia events in the four trials. Similarly, there was no difference in the total numbers of severe hypoglycaemic events between the proposed drug IDegAsp and the comparator drugs in the four trials.</w:t>
      </w:r>
    </w:p>
    <w:p w:rsidR="00EB174D" w:rsidRPr="00962105" w:rsidRDefault="002C6E29" w:rsidP="009B5D7B">
      <w:pPr>
        <w:pStyle w:val="ListParagraph"/>
        <w:numPr>
          <w:ilvl w:val="1"/>
          <w:numId w:val="1"/>
        </w:numPr>
        <w:ind w:left="720" w:hanging="720"/>
        <w:jc w:val="both"/>
        <w:rPr>
          <w:szCs w:val="24"/>
        </w:rPr>
      </w:pPr>
      <w:r w:rsidRPr="00D15DEE">
        <w:t xml:space="preserve">The </w:t>
      </w:r>
      <w:r w:rsidR="001F5EAC">
        <w:t>Pre-Sub Committee Response (</w:t>
      </w:r>
      <w:r w:rsidRPr="00D15DEE">
        <w:t>PSC</w:t>
      </w:r>
      <w:r w:rsidR="00A353AF" w:rsidRPr="00D15DEE">
        <w:t>R</w:t>
      </w:r>
      <w:r w:rsidR="001F5EAC">
        <w:t>)</w:t>
      </w:r>
      <w:r w:rsidR="0036266C" w:rsidRPr="00D15DEE">
        <w:t xml:space="preserve"> argue</w:t>
      </w:r>
      <w:r w:rsidR="00A96214">
        <w:t>d</w:t>
      </w:r>
      <w:r w:rsidR="0036266C" w:rsidRPr="00D15DEE">
        <w:t xml:space="preserve"> (p2) that the </w:t>
      </w:r>
      <w:r w:rsidRPr="00D15DEE">
        <w:t>hypoglycaemia rate or ‘treat</w:t>
      </w:r>
      <w:r w:rsidR="0036266C" w:rsidRPr="00D15DEE">
        <w:t>ment</w:t>
      </w:r>
      <w:r w:rsidRPr="00D15DEE">
        <w:t xml:space="preserve"> ratio’ (incidence rate ratio) </w:t>
      </w:r>
      <w:r w:rsidR="005B6B8B">
        <w:t>“</w:t>
      </w:r>
      <w:r w:rsidRPr="00D15DEE">
        <w:t>based on the even</w:t>
      </w:r>
      <w:r w:rsidR="0036266C" w:rsidRPr="00D15DEE">
        <w:t>t rate per 100 patient-</w:t>
      </w:r>
      <w:r w:rsidRPr="00D15DEE">
        <w:t>years of exposure (PYE) is an appropriate calculation … which accounts for all confirmed hypoglycaemic event</w:t>
      </w:r>
      <w:r w:rsidR="0036266C" w:rsidRPr="00D15DEE">
        <w:t>s</w:t>
      </w:r>
      <w:r w:rsidRPr="00D15DEE">
        <w:t>, rather than one even</w:t>
      </w:r>
      <w:r w:rsidR="0036266C" w:rsidRPr="00D15DEE">
        <w:t>t</w:t>
      </w:r>
      <w:r w:rsidRPr="00D15DEE">
        <w:t xml:space="preserve"> per patient</w:t>
      </w:r>
      <w:r w:rsidR="005B6B8B">
        <w:t>”</w:t>
      </w:r>
      <w:r w:rsidR="00AB4C4E" w:rsidRPr="00D15DEE">
        <w:t>.</w:t>
      </w:r>
      <w:r w:rsidR="00753EF2">
        <w:t xml:space="preserve"> </w:t>
      </w:r>
    </w:p>
    <w:p w:rsidR="003F5F54" w:rsidRDefault="00753EF2" w:rsidP="009B5D7B">
      <w:pPr>
        <w:pStyle w:val="ListParagraph"/>
        <w:numPr>
          <w:ilvl w:val="1"/>
          <w:numId w:val="1"/>
        </w:numPr>
        <w:ind w:left="720" w:hanging="720"/>
        <w:jc w:val="both"/>
        <w:rPr>
          <w:szCs w:val="24"/>
        </w:rPr>
      </w:pPr>
      <w:r w:rsidRPr="00962105">
        <w:rPr>
          <w:szCs w:val="24"/>
        </w:rPr>
        <w:t xml:space="preserve">The </w:t>
      </w:r>
      <w:r w:rsidR="003806F9" w:rsidRPr="00962105">
        <w:rPr>
          <w:szCs w:val="24"/>
        </w:rPr>
        <w:t xml:space="preserve">PBAC </w:t>
      </w:r>
      <w:r w:rsidRPr="00962105">
        <w:rPr>
          <w:szCs w:val="24"/>
        </w:rPr>
        <w:t>noted that there were differences in the total documented hypoglycaemic events per 100 PYE in some but not all trials</w:t>
      </w:r>
      <w:r w:rsidR="00EB174D" w:rsidRPr="0004794A">
        <w:rPr>
          <w:szCs w:val="24"/>
        </w:rPr>
        <w:t>, and considered that the clinical significance of these differences is uncertain particularly as some of the events were asymptomatic and there were no significant differences in severe hypoglycaemic events per 100 PYE.</w:t>
      </w:r>
      <w:r w:rsidRPr="00962105">
        <w:rPr>
          <w:szCs w:val="24"/>
        </w:rPr>
        <w:t xml:space="preserve"> </w:t>
      </w:r>
    </w:p>
    <w:p w:rsidR="003F5F54" w:rsidRDefault="003F5F54">
      <w:pPr>
        <w:spacing w:before="0" w:line="259" w:lineRule="auto"/>
        <w:rPr>
          <w:szCs w:val="24"/>
        </w:rPr>
      </w:pPr>
      <w:r>
        <w:rPr>
          <w:szCs w:val="24"/>
        </w:rPr>
        <w:br w:type="page"/>
      </w:r>
    </w:p>
    <w:p w:rsidR="002C6E29" w:rsidRPr="00962105" w:rsidRDefault="002C6E29" w:rsidP="003F5F54">
      <w:pPr>
        <w:pStyle w:val="ListParagraph"/>
        <w:jc w:val="both"/>
        <w:rPr>
          <w:szCs w:val="24"/>
        </w:rPr>
      </w:pPr>
    </w:p>
    <w:p w:rsidR="002C6E29" w:rsidRPr="00D15DEE" w:rsidRDefault="002C6E29" w:rsidP="002C6E29">
      <w:pPr>
        <w:keepNext/>
        <w:spacing w:before="0" w:after="60"/>
        <w:rPr>
          <w:rFonts w:ascii="Arial Narrow" w:eastAsia="Calibri" w:hAnsi="Arial Narrow" w:cs="Arial"/>
          <w:b/>
          <w:sz w:val="20"/>
        </w:rPr>
      </w:pPr>
      <w:r w:rsidRPr="00D15DEE">
        <w:rPr>
          <w:rFonts w:ascii="Arial Narrow" w:eastAsia="Calibri" w:hAnsi="Arial Narrow" w:cs="Arial"/>
          <w:b/>
          <w:sz w:val="20"/>
        </w:rPr>
        <w:t xml:space="preserve">Table </w:t>
      </w:r>
      <w:r w:rsidR="002D0F91" w:rsidRPr="00D15DEE">
        <w:rPr>
          <w:rFonts w:ascii="Arial Narrow" w:eastAsia="Calibri" w:hAnsi="Arial Narrow" w:cs="Arial"/>
          <w:b/>
          <w:sz w:val="20"/>
        </w:rPr>
        <w:t>7</w:t>
      </w:r>
      <w:r w:rsidRPr="00D15DEE">
        <w:rPr>
          <w:rFonts w:ascii="Arial Narrow" w:eastAsia="Calibri" w:hAnsi="Arial Narrow" w:cs="Arial"/>
          <w:b/>
          <w:sz w:val="20"/>
        </w:rPr>
        <w:t>: Results of analysis of confirmed and severe hypoglycaemias across the studies</w:t>
      </w:r>
    </w:p>
    <w:tbl>
      <w:tblPr>
        <w:tblW w:w="5000" w:type="pct"/>
        <w:tblBorders>
          <w:top w:val="nil"/>
          <w:left w:val="nil"/>
          <w:bottom w:val="nil"/>
          <w:right w:val="nil"/>
        </w:tblBorders>
        <w:tblLook w:val="0000" w:firstRow="0" w:lastRow="0" w:firstColumn="0" w:lastColumn="0" w:noHBand="0" w:noVBand="0"/>
      </w:tblPr>
      <w:tblGrid>
        <w:gridCol w:w="2939"/>
        <w:gridCol w:w="2035"/>
        <w:gridCol w:w="1985"/>
        <w:gridCol w:w="2283"/>
      </w:tblGrid>
      <w:tr w:rsidR="002C6E29" w:rsidRPr="00D15DEE" w:rsidTr="00A06F3E">
        <w:trPr>
          <w:trHeight w:val="65"/>
        </w:trPr>
        <w:tc>
          <w:tcPr>
            <w:tcW w:w="1590" w:type="pct"/>
            <w:vMerge w:val="restart"/>
            <w:tcBorders>
              <w:top w:val="single" w:sz="6" w:space="0" w:color="000000"/>
              <w:left w:val="single" w:sz="6" w:space="0" w:color="000000"/>
              <w:right w:val="single" w:sz="6" w:space="0" w:color="000000"/>
            </w:tcBorders>
            <w:vAlign w:val="center"/>
          </w:tcPr>
          <w:p w:rsidR="002C6E29" w:rsidRPr="00D15DEE" w:rsidRDefault="002C6E29" w:rsidP="002C6E29">
            <w:pPr>
              <w:spacing w:before="0" w:after="0"/>
              <w:rPr>
                <w:rFonts w:ascii="Arial Narrow" w:eastAsia="Times New Roman" w:hAnsi="Arial Narrow" w:cs="Times New Roman"/>
                <w:b/>
                <w:sz w:val="20"/>
                <w:szCs w:val="20"/>
              </w:rPr>
            </w:pPr>
            <w:r w:rsidRPr="00D15DEE">
              <w:rPr>
                <w:rFonts w:ascii="Arial Narrow" w:eastAsia="Times New Roman" w:hAnsi="Arial Narrow" w:cs="Times New Roman"/>
                <w:b/>
                <w:sz w:val="20"/>
                <w:szCs w:val="20"/>
              </w:rPr>
              <w:t>Trial ID</w:t>
            </w:r>
          </w:p>
        </w:tc>
        <w:tc>
          <w:tcPr>
            <w:tcW w:w="1101" w:type="pct"/>
            <w:tcBorders>
              <w:top w:val="single" w:sz="6" w:space="0" w:color="000000"/>
              <w:left w:val="single" w:sz="6" w:space="0" w:color="000000"/>
              <w:right w:val="single" w:sz="6" w:space="0" w:color="000000"/>
            </w:tcBorders>
          </w:tcPr>
          <w:p w:rsidR="002C6E29" w:rsidRPr="00D15DEE" w:rsidRDefault="002C6E29" w:rsidP="002C6E29">
            <w:pPr>
              <w:spacing w:before="0" w:after="0"/>
              <w:jc w:val="center"/>
              <w:rPr>
                <w:rFonts w:ascii="Arial Narrow" w:eastAsia="Times New Roman" w:hAnsi="Arial Narrow" w:cs="Times New Roman"/>
                <w:b/>
                <w:sz w:val="20"/>
                <w:szCs w:val="20"/>
              </w:rPr>
            </w:pPr>
            <w:r w:rsidRPr="00D15DEE">
              <w:rPr>
                <w:rFonts w:ascii="Arial Narrow" w:eastAsia="Times New Roman" w:hAnsi="Arial Narrow" w:cs="Times New Roman"/>
                <w:b/>
                <w:sz w:val="20"/>
                <w:szCs w:val="20"/>
              </w:rPr>
              <w:t>Proposed medicine</w:t>
            </w:r>
          </w:p>
        </w:tc>
        <w:tc>
          <w:tcPr>
            <w:tcW w:w="1074" w:type="pct"/>
            <w:tcBorders>
              <w:top w:val="single" w:sz="6" w:space="0" w:color="000000"/>
              <w:left w:val="single" w:sz="6" w:space="0" w:color="000000"/>
              <w:right w:val="single" w:sz="6" w:space="0" w:color="000000"/>
            </w:tcBorders>
          </w:tcPr>
          <w:p w:rsidR="002C6E29" w:rsidRPr="00D15DEE" w:rsidRDefault="002C6E29" w:rsidP="002C6E29">
            <w:pPr>
              <w:spacing w:before="0" w:after="0"/>
              <w:jc w:val="center"/>
              <w:rPr>
                <w:rFonts w:ascii="Arial Narrow" w:eastAsia="Times New Roman" w:hAnsi="Arial Narrow" w:cs="Times New Roman"/>
                <w:b/>
                <w:sz w:val="20"/>
                <w:szCs w:val="20"/>
              </w:rPr>
            </w:pPr>
            <w:r w:rsidRPr="00D15DEE">
              <w:rPr>
                <w:rFonts w:ascii="Arial Narrow" w:eastAsia="Times New Roman" w:hAnsi="Arial Narrow" w:cs="Times New Roman"/>
                <w:b/>
                <w:sz w:val="20"/>
                <w:szCs w:val="20"/>
              </w:rPr>
              <w:t>Main comparator</w:t>
            </w:r>
          </w:p>
        </w:tc>
        <w:tc>
          <w:tcPr>
            <w:tcW w:w="1235" w:type="pct"/>
            <w:tcBorders>
              <w:top w:val="single" w:sz="6" w:space="0" w:color="000000"/>
              <w:left w:val="single" w:sz="6" w:space="0" w:color="000000"/>
              <w:right w:val="single" w:sz="6" w:space="0" w:color="000000"/>
            </w:tcBorders>
          </w:tcPr>
          <w:p w:rsidR="002C6E29" w:rsidRPr="00D15DEE" w:rsidRDefault="002C6E29" w:rsidP="002C6E29">
            <w:pPr>
              <w:spacing w:before="0" w:after="0"/>
              <w:jc w:val="center"/>
              <w:rPr>
                <w:rFonts w:ascii="Arial Narrow" w:eastAsia="Times New Roman" w:hAnsi="Arial Narrow" w:cs="Times New Roman"/>
                <w:b/>
                <w:sz w:val="20"/>
                <w:szCs w:val="20"/>
              </w:rPr>
            </w:pPr>
            <w:r w:rsidRPr="00D15DEE">
              <w:rPr>
                <w:rFonts w:ascii="Arial Narrow" w:eastAsia="Times New Roman" w:hAnsi="Arial Narrow" w:cs="Times New Roman"/>
                <w:b/>
                <w:sz w:val="20"/>
                <w:szCs w:val="20"/>
              </w:rPr>
              <w:t>Treatment ratio (95% CI)</w:t>
            </w:r>
          </w:p>
        </w:tc>
      </w:tr>
      <w:tr w:rsidR="002C6E29" w:rsidRPr="00D15DEE" w:rsidTr="00A06F3E">
        <w:trPr>
          <w:trHeight w:val="65"/>
        </w:trPr>
        <w:tc>
          <w:tcPr>
            <w:tcW w:w="1590" w:type="pct"/>
            <w:vMerge/>
            <w:tcBorders>
              <w:left w:val="single" w:sz="6" w:space="0" w:color="000000"/>
              <w:right w:val="single" w:sz="6" w:space="0" w:color="000000"/>
            </w:tcBorders>
            <w:vAlign w:val="center"/>
          </w:tcPr>
          <w:p w:rsidR="002C6E29" w:rsidRPr="00D15DEE" w:rsidRDefault="002C6E29" w:rsidP="002C6E29">
            <w:pPr>
              <w:spacing w:before="0" w:after="0"/>
              <w:rPr>
                <w:rFonts w:ascii="Arial Narrow" w:eastAsia="Times New Roman" w:hAnsi="Arial Narrow" w:cs="Times New Roman"/>
                <w:b/>
                <w:sz w:val="20"/>
                <w:szCs w:val="20"/>
              </w:rPr>
            </w:pPr>
          </w:p>
        </w:tc>
        <w:tc>
          <w:tcPr>
            <w:tcW w:w="1101" w:type="pct"/>
            <w:tcBorders>
              <w:top w:val="single" w:sz="6" w:space="0" w:color="000000"/>
              <w:left w:val="single" w:sz="6" w:space="0" w:color="000000"/>
              <w:right w:val="single" w:sz="6" w:space="0" w:color="000000"/>
            </w:tcBorders>
          </w:tcPr>
          <w:p w:rsidR="002C6E29" w:rsidRPr="00D15DEE" w:rsidRDefault="002C6E29" w:rsidP="002C6E29">
            <w:pPr>
              <w:spacing w:before="0" w:after="0"/>
              <w:jc w:val="center"/>
              <w:rPr>
                <w:rFonts w:ascii="Arial Narrow" w:eastAsia="Times New Roman" w:hAnsi="Arial Narrow" w:cs="Times New Roman"/>
                <w:b/>
                <w:sz w:val="20"/>
                <w:szCs w:val="20"/>
              </w:rPr>
            </w:pPr>
            <w:r w:rsidRPr="00D15DEE">
              <w:rPr>
                <w:rFonts w:ascii="Arial Narrow" w:eastAsia="Times New Roman" w:hAnsi="Arial Narrow" w:cs="Times New Roman"/>
                <w:b/>
                <w:sz w:val="20"/>
                <w:szCs w:val="20"/>
              </w:rPr>
              <w:t xml:space="preserve"> No. of Events (per 100 PYE)</w:t>
            </w:r>
          </w:p>
        </w:tc>
        <w:tc>
          <w:tcPr>
            <w:tcW w:w="1074" w:type="pct"/>
            <w:tcBorders>
              <w:top w:val="single" w:sz="6" w:space="0" w:color="000000"/>
              <w:left w:val="single" w:sz="6" w:space="0" w:color="000000"/>
              <w:right w:val="single" w:sz="6" w:space="0" w:color="000000"/>
            </w:tcBorders>
          </w:tcPr>
          <w:p w:rsidR="002C6E29" w:rsidRPr="00D15DEE" w:rsidRDefault="002C6E29" w:rsidP="002C6E29">
            <w:pPr>
              <w:spacing w:before="0" w:after="0"/>
              <w:jc w:val="center"/>
              <w:rPr>
                <w:rFonts w:ascii="Arial Narrow" w:eastAsia="Times New Roman" w:hAnsi="Arial Narrow" w:cs="Times New Roman"/>
                <w:b/>
                <w:sz w:val="20"/>
                <w:szCs w:val="20"/>
              </w:rPr>
            </w:pPr>
            <w:r w:rsidRPr="00D15DEE">
              <w:rPr>
                <w:rFonts w:ascii="Arial Narrow" w:eastAsia="Times New Roman" w:hAnsi="Arial Narrow" w:cs="Times New Roman"/>
                <w:b/>
                <w:sz w:val="20"/>
                <w:szCs w:val="20"/>
              </w:rPr>
              <w:t>No. of Events (per 100 PYE)</w:t>
            </w:r>
          </w:p>
        </w:tc>
        <w:tc>
          <w:tcPr>
            <w:tcW w:w="1235" w:type="pct"/>
            <w:tcBorders>
              <w:left w:val="single" w:sz="6" w:space="0" w:color="000000"/>
              <w:right w:val="single" w:sz="6" w:space="0" w:color="000000"/>
            </w:tcBorders>
          </w:tcPr>
          <w:p w:rsidR="002C6E29" w:rsidRPr="00D15DEE" w:rsidRDefault="002C6E29" w:rsidP="002C6E29">
            <w:pPr>
              <w:spacing w:before="0" w:after="0"/>
              <w:jc w:val="center"/>
              <w:rPr>
                <w:rFonts w:ascii="Arial Narrow" w:eastAsia="Times New Roman" w:hAnsi="Arial Narrow" w:cs="Times New Roman"/>
                <w:b/>
                <w:sz w:val="20"/>
                <w:szCs w:val="20"/>
              </w:rPr>
            </w:pPr>
          </w:p>
        </w:tc>
      </w:tr>
      <w:tr w:rsidR="002C6E29" w:rsidRPr="00D15DEE" w:rsidTr="00A06F3E">
        <w:trPr>
          <w:trHeight w:val="320"/>
        </w:trPr>
        <w:tc>
          <w:tcPr>
            <w:tcW w:w="5000" w:type="pct"/>
            <w:gridSpan w:val="4"/>
            <w:tcBorders>
              <w:top w:val="single" w:sz="6" w:space="0" w:color="000000"/>
              <w:left w:val="single" w:sz="6" w:space="0" w:color="000000"/>
              <w:bottom w:val="single" w:sz="6" w:space="0" w:color="000000"/>
              <w:right w:val="single" w:sz="6" w:space="0" w:color="000000"/>
            </w:tcBorders>
            <w:vAlign w:val="center"/>
          </w:tcPr>
          <w:p w:rsidR="002C6E29" w:rsidRPr="00D15DEE" w:rsidRDefault="002C6E29" w:rsidP="002C6E29">
            <w:pPr>
              <w:spacing w:before="0" w:after="0"/>
              <w:rPr>
                <w:rFonts w:ascii="Arial Narrow" w:eastAsia="Times New Roman" w:hAnsi="Arial Narrow" w:cs="Times New Roman"/>
                <w:sz w:val="20"/>
                <w:szCs w:val="20"/>
              </w:rPr>
            </w:pPr>
            <w:r w:rsidRPr="00D15DEE">
              <w:rPr>
                <w:rFonts w:ascii="Arial Narrow" w:eastAsia="Times New Roman" w:hAnsi="Arial Narrow" w:cs="Times New Roman"/>
                <w:sz w:val="20"/>
                <w:szCs w:val="20"/>
              </w:rPr>
              <w:t>3940 – T2DM, insulin-naïve, 26 weeks</w:t>
            </w:r>
          </w:p>
        </w:tc>
      </w:tr>
      <w:tr w:rsidR="002C6E29" w:rsidRPr="00D15DEE" w:rsidTr="00A06F3E">
        <w:trPr>
          <w:trHeight w:val="320"/>
        </w:trPr>
        <w:tc>
          <w:tcPr>
            <w:tcW w:w="1590" w:type="pct"/>
            <w:tcBorders>
              <w:top w:val="single" w:sz="6" w:space="0" w:color="000000"/>
              <w:left w:val="single" w:sz="6" w:space="0" w:color="000000"/>
              <w:bottom w:val="single" w:sz="6" w:space="0" w:color="000000"/>
              <w:right w:val="single" w:sz="6" w:space="0" w:color="000000"/>
            </w:tcBorders>
            <w:vAlign w:val="center"/>
          </w:tcPr>
          <w:p w:rsidR="002C6E29" w:rsidRPr="00D15DEE" w:rsidRDefault="002C6E29" w:rsidP="002C6E29">
            <w:pPr>
              <w:spacing w:before="0" w:after="0"/>
              <w:rPr>
                <w:rFonts w:ascii="Arial Narrow" w:eastAsia="Times New Roman" w:hAnsi="Arial Narrow" w:cs="Times New Roman"/>
                <w:sz w:val="20"/>
                <w:szCs w:val="20"/>
              </w:rPr>
            </w:pPr>
            <w:r w:rsidRPr="00D15DEE">
              <w:rPr>
                <w:rFonts w:ascii="Arial Narrow" w:eastAsia="Times New Roman" w:hAnsi="Arial Narrow" w:cs="Times New Roman"/>
                <w:sz w:val="20"/>
                <w:szCs w:val="20"/>
              </w:rPr>
              <w:t>Confirmed hypo</w:t>
            </w:r>
          </w:p>
        </w:tc>
        <w:tc>
          <w:tcPr>
            <w:tcW w:w="1101" w:type="pct"/>
            <w:tcBorders>
              <w:top w:val="single" w:sz="6" w:space="0" w:color="000000"/>
              <w:left w:val="single" w:sz="6" w:space="0" w:color="000000"/>
              <w:bottom w:val="single" w:sz="6" w:space="0" w:color="000000"/>
              <w:right w:val="single" w:sz="6" w:space="0" w:color="000000"/>
            </w:tcBorders>
          </w:tcPr>
          <w:p w:rsidR="002C6E29" w:rsidRPr="00D15DEE" w:rsidRDefault="002C6E29" w:rsidP="002C6E29">
            <w:pPr>
              <w:spacing w:before="0" w:after="0"/>
              <w:jc w:val="center"/>
              <w:rPr>
                <w:rFonts w:ascii="Arial Narrow" w:eastAsia="Times New Roman" w:hAnsi="Arial Narrow" w:cs="Times New Roman"/>
                <w:sz w:val="20"/>
                <w:szCs w:val="20"/>
              </w:rPr>
            </w:pPr>
            <w:r w:rsidRPr="00D15DEE">
              <w:rPr>
                <w:rFonts w:ascii="Arial Narrow" w:eastAsia="Times New Roman" w:hAnsi="Arial Narrow" w:cs="Times New Roman"/>
                <w:sz w:val="20"/>
                <w:szCs w:val="20"/>
              </w:rPr>
              <w:t>553 (580)</w:t>
            </w:r>
          </w:p>
        </w:tc>
        <w:tc>
          <w:tcPr>
            <w:tcW w:w="1074" w:type="pct"/>
            <w:tcBorders>
              <w:top w:val="single" w:sz="6" w:space="0" w:color="000000"/>
              <w:left w:val="single" w:sz="6" w:space="0" w:color="000000"/>
              <w:bottom w:val="single" w:sz="6" w:space="0" w:color="000000"/>
              <w:right w:val="single" w:sz="6" w:space="0" w:color="000000"/>
            </w:tcBorders>
          </w:tcPr>
          <w:p w:rsidR="002C6E29" w:rsidRPr="00D15DEE" w:rsidRDefault="002C6E29" w:rsidP="002C6E29">
            <w:pPr>
              <w:spacing w:before="0" w:after="0"/>
              <w:jc w:val="center"/>
              <w:rPr>
                <w:rFonts w:ascii="Arial Narrow" w:eastAsia="Times New Roman" w:hAnsi="Arial Narrow" w:cs="Times New Roman"/>
                <w:sz w:val="20"/>
                <w:szCs w:val="20"/>
              </w:rPr>
            </w:pPr>
            <w:r w:rsidRPr="00D15DEE">
              <w:rPr>
                <w:rFonts w:ascii="Arial Narrow" w:eastAsia="Times New Roman" w:hAnsi="Arial Narrow" w:cs="Times New Roman"/>
                <w:sz w:val="20"/>
                <w:szCs w:val="20"/>
              </w:rPr>
              <w:t>1221 (1301)</w:t>
            </w:r>
          </w:p>
        </w:tc>
        <w:tc>
          <w:tcPr>
            <w:tcW w:w="1235" w:type="pct"/>
            <w:tcBorders>
              <w:top w:val="single" w:sz="6" w:space="0" w:color="000000"/>
              <w:left w:val="single" w:sz="6" w:space="0" w:color="000000"/>
              <w:bottom w:val="single" w:sz="6" w:space="0" w:color="000000"/>
              <w:right w:val="single" w:sz="6" w:space="0" w:color="000000"/>
            </w:tcBorders>
          </w:tcPr>
          <w:p w:rsidR="002C6E29" w:rsidRPr="00D15DEE" w:rsidRDefault="002C6E29" w:rsidP="002C6E29">
            <w:pPr>
              <w:spacing w:before="0" w:after="0"/>
              <w:jc w:val="center"/>
              <w:rPr>
                <w:rFonts w:ascii="Arial Narrow" w:eastAsia="Times New Roman" w:hAnsi="Arial Narrow" w:cs="Times New Roman"/>
                <w:b/>
                <w:sz w:val="20"/>
                <w:szCs w:val="20"/>
              </w:rPr>
            </w:pPr>
            <w:r w:rsidRPr="00D15DEE">
              <w:rPr>
                <w:rFonts w:ascii="Arial Narrow" w:eastAsia="Times New Roman" w:hAnsi="Arial Narrow" w:cs="Times New Roman"/>
                <w:b/>
                <w:sz w:val="20"/>
                <w:szCs w:val="20"/>
              </w:rPr>
              <w:t>0.46 (0.35, 0.61)</w:t>
            </w:r>
          </w:p>
        </w:tc>
      </w:tr>
      <w:tr w:rsidR="002C6E29" w:rsidRPr="00D15DEE" w:rsidTr="00A06F3E">
        <w:trPr>
          <w:trHeight w:val="320"/>
        </w:trPr>
        <w:tc>
          <w:tcPr>
            <w:tcW w:w="1590" w:type="pct"/>
            <w:tcBorders>
              <w:top w:val="single" w:sz="6" w:space="0" w:color="000000"/>
              <w:left w:val="single" w:sz="6" w:space="0" w:color="000000"/>
              <w:bottom w:val="single" w:sz="6" w:space="0" w:color="000000"/>
              <w:right w:val="single" w:sz="6" w:space="0" w:color="000000"/>
            </w:tcBorders>
            <w:vAlign w:val="center"/>
          </w:tcPr>
          <w:p w:rsidR="002C6E29" w:rsidRPr="00D15DEE" w:rsidRDefault="002C6E29" w:rsidP="002C6E29">
            <w:pPr>
              <w:spacing w:before="0" w:after="0"/>
              <w:rPr>
                <w:rFonts w:ascii="Arial Narrow" w:eastAsia="Times New Roman" w:hAnsi="Arial Narrow" w:cs="Times New Roman"/>
                <w:sz w:val="20"/>
                <w:szCs w:val="20"/>
              </w:rPr>
            </w:pPr>
            <w:r w:rsidRPr="00D15DEE">
              <w:rPr>
                <w:rFonts w:ascii="Arial Narrow" w:eastAsia="Times New Roman" w:hAnsi="Arial Narrow" w:cs="Times New Roman"/>
                <w:sz w:val="20"/>
                <w:szCs w:val="20"/>
              </w:rPr>
              <w:t>Severe hypo</w:t>
            </w:r>
          </w:p>
        </w:tc>
        <w:tc>
          <w:tcPr>
            <w:tcW w:w="1101" w:type="pct"/>
            <w:tcBorders>
              <w:top w:val="single" w:sz="6" w:space="0" w:color="000000"/>
              <w:left w:val="single" w:sz="6" w:space="0" w:color="000000"/>
              <w:bottom w:val="single" w:sz="6" w:space="0" w:color="000000"/>
              <w:right w:val="single" w:sz="6" w:space="0" w:color="000000"/>
            </w:tcBorders>
          </w:tcPr>
          <w:p w:rsidR="002C6E29" w:rsidRPr="00D15DEE" w:rsidRDefault="002C6E29" w:rsidP="002C6E29">
            <w:pPr>
              <w:spacing w:before="0" w:after="0"/>
              <w:jc w:val="center"/>
              <w:rPr>
                <w:rFonts w:ascii="Arial Narrow" w:eastAsia="Times New Roman" w:hAnsi="Arial Narrow" w:cs="Times New Roman"/>
                <w:sz w:val="20"/>
                <w:szCs w:val="20"/>
              </w:rPr>
            </w:pPr>
            <w:r w:rsidRPr="00D15DEE">
              <w:rPr>
                <w:rFonts w:ascii="Arial Narrow" w:eastAsia="Times New Roman" w:hAnsi="Arial Narrow" w:cs="Times New Roman"/>
                <w:sz w:val="20"/>
                <w:szCs w:val="20"/>
              </w:rPr>
              <w:t>5 (5)</w:t>
            </w:r>
          </w:p>
        </w:tc>
        <w:tc>
          <w:tcPr>
            <w:tcW w:w="1074" w:type="pct"/>
            <w:tcBorders>
              <w:top w:val="single" w:sz="6" w:space="0" w:color="000000"/>
              <w:left w:val="single" w:sz="6" w:space="0" w:color="000000"/>
              <w:bottom w:val="single" w:sz="6" w:space="0" w:color="000000"/>
              <w:right w:val="single" w:sz="6" w:space="0" w:color="000000"/>
            </w:tcBorders>
          </w:tcPr>
          <w:p w:rsidR="002C6E29" w:rsidRPr="00D15DEE" w:rsidRDefault="002C6E29" w:rsidP="002C6E29">
            <w:pPr>
              <w:spacing w:before="0" w:after="0"/>
              <w:jc w:val="center"/>
              <w:rPr>
                <w:rFonts w:ascii="Arial Narrow" w:eastAsia="Times New Roman" w:hAnsi="Arial Narrow" w:cs="Times New Roman"/>
                <w:sz w:val="20"/>
                <w:szCs w:val="20"/>
              </w:rPr>
            </w:pPr>
            <w:r w:rsidRPr="00D15DEE">
              <w:rPr>
                <w:rFonts w:ascii="Arial Narrow" w:eastAsia="Times New Roman" w:hAnsi="Arial Narrow" w:cs="Times New Roman"/>
                <w:sz w:val="20"/>
                <w:szCs w:val="20"/>
              </w:rPr>
              <w:t>3 (3)</w:t>
            </w:r>
          </w:p>
        </w:tc>
        <w:tc>
          <w:tcPr>
            <w:tcW w:w="1235" w:type="pct"/>
            <w:tcBorders>
              <w:top w:val="single" w:sz="6" w:space="0" w:color="000000"/>
              <w:left w:val="single" w:sz="6" w:space="0" w:color="000000"/>
              <w:bottom w:val="single" w:sz="6" w:space="0" w:color="000000"/>
              <w:right w:val="single" w:sz="6" w:space="0" w:color="000000"/>
            </w:tcBorders>
          </w:tcPr>
          <w:p w:rsidR="002C6E29" w:rsidRPr="00D15DEE" w:rsidRDefault="002C6E29" w:rsidP="002C6E29">
            <w:pPr>
              <w:spacing w:before="0" w:after="0"/>
              <w:jc w:val="center"/>
              <w:rPr>
                <w:rFonts w:ascii="Arial Narrow" w:eastAsia="Times New Roman" w:hAnsi="Arial Narrow" w:cs="Times New Roman"/>
                <w:sz w:val="20"/>
                <w:szCs w:val="20"/>
              </w:rPr>
            </w:pPr>
            <w:r w:rsidRPr="00D15DEE">
              <w:rPr>
                <w:rFonts w:ascii="Arial Narrow" w:eastAsia="Times New Roman" w:hAnsi="Arial Narrow" w:cs="Times New Roman"/>
                <w:sz w:val="20"/>
                <w:szCs w:val="20"/>
              </w:rPr>
              <w:t>NR</w:t>
            </w:r>
          </w:p>
        </w:tc>
      </w:tr>
      <w:tr w:rsidR="002C6E29" w:rsidRPr="00D15DEE" w:rsidTr="00A06F3E">
        <w:trPr>
          <w:trHeight w:val="320"/>
        </w:trPr>
        <w:tc>
          <w:tcPr>
            <w:tcW w:w="5000" w:type="pct"/>
            <w:gridSpan w:val="4"/>
            <w:tcBorders>
              <w:top w:val="single" w:sz="6" w:space="0" w:color="000000"/>
              <w:left w:val="single" w:sz="6" w:space="0" w:color="000000"/>
              <w:bottom w:val="single" w:sz="6" w:space="0" w:color="000000"/>
              <w:right w:val="single" w:sz="6" w:space="0" w:color="000000"/>
            </w:tcBorders>
            <w:vAlign w:val="center"/>
          </w:tcPr>
          <w:p w:rsidR="002C6E29" w:rsidRPr="00D15DEE" w:rsidRDefault="002C6E29" w:rsidP="002C6E29">
            <w:pPr>
              <w:spacing w:before="0" w:after="0"/>
              <w:rPr>
                <w:rFonts w:ascii="Arial Narrow" w:eastAsia="Times New Roman" w:hAnsi="Arial Narrow" w:cs="Times New Roman"/>
                <w:sz w:val="20"/>
                <w:szCs w:val="20"/>
              </w:rPr>
            </w:pPr>
            <w:r w:rsidRPr="00D15DEE">
              <w:rPr>
                <w:rFonts w:ascii="Arial Narrow" w:eastAsia="Times New Roman" w:hAnsi="Arial Narrow" w:cs="Times New Roman"/>
                <w:sz w:val="20"/>
                <w:szCs w:val="20"/>
              </w:rPr>
              <w:t>3592 – T2DM, insulin-experienced, 26 weeks</w:t>
            </w:r>
          </w:p>
        </w:tc>
      </w:tr>
      <w:tr w:rsidR="002C6E29" w:rsidRPr="00D15DEE" w:rsidTr="00A06F3E">
        <w:trPr>
          <w:trHeight w:val="320"/>
        </w:trPr>
        <w:tc>
          <w:tcPr>
            <w:tcW w:w="1590" w:type="pct"/>
            <w:tcBorders>
              <w:top w:val="single" w:sz="6" w:space="0" w:color="000000"/>
              <w:left w:val="single" w:sz="6" w:space="0" w:color="000000"/>
              <w:bottom w:val="single" w:sz="6" w:space="0" w:color="000000"/>
              <w:right w:val="single" w:sz="6" w:space="0" w:color="000000"/>
            </w:tcBorders>
            <w:vAlign w:val="center"/>
          </w:tcPr>
          <w:p w:rsidR="002C6E29" w:rsidRPr="00D15DEE" w:rsidRDefault="002C6E29" w:rsidP="002C6E29">
            <w:pPr>
              <w:spacing w:before="0" w:after="0"/>
              <w:rPr>
                <w:rFonts w:ascii="Arial Narrow" w:eastAsia="Times New Roman" w:hAnsi="Arial Narrow" w:cs="Times New Roman"/>
                <w:sz w:val="20"/>
                <w:szCs w:val="20"/>
              </w:rPr>
            </w:pPr>
            <w:r w:rsidRPr="00D15DEE">
              <w:rPr>
                <w:rFonts w:ascii="Arial Narrow" w:eastAsia="Times New Roman" w:hAnsi="Arial Narrow" w:cs="Times New Roman"/>
                <w:sz w:val="20"/>
                <w:szCs w:val="20"/>
              </w:rPr>
              <w:t>Confirmed hypo</w:t>
            </w:r>
          </w:p>
        </w:tc>
        <w:tc>
          <w:tcPr>
            <w:tcW w:w="1101" w:type="pct"/>
            <w:tcBorders>
              <w:top w:val="single" w:sz="6" w:space="0" w:color="000000"/>
              <w:left w:val="single" w:sz="6" w:space="0" w:color="000000"/>
              <w:bottom w:val="single" w:sz="6" w:space="0" w:color="000000"/>
              <w:right w:val="single" w:sz="6" w:space="0" w:color="000000"/>
            </w:tcBorders>
          </w:tcPr>
          <w:p w:rsidR="002C6E29" w:rsidRPr="00D15DEE" w:rsidRDefault="002C6E29" w:rsidP="002C6E29">
            <w:pPr>
              <w:spacing w:before="0" w:after="0"/>
              <w:jc w:val="center"/>
              <w:rPr>
                <w:rFonts w:ascii="Arial Narrow" w:eastAsia="Times New Roman" w:hAnsi="Arial Narrow" w:cs="Times New Roman"/>
                <w:sz w:val="20"/>
                <w:szCs w:val="20"/>
              </w:rPr>
            </w:pPr>
            <w:r w:rsidRPr="00D15DEE">
              <w:rPr>
                <w:rFonts w:ascii="Arial Narrow" w:eastAsia="Times New Roman" w:hAnsi="Arial Narrow" w:cs="Times New Roman"/>
                <w:sz w:val="20"/>
                <w:szCs w:val="20"/>
              </w:rPr>
              <w:t>993 (972)</w:t>
            </w:r>
          </w:p>
        </w:tc>
        <w:tc>
          <w:tcPr>
            <w:tcW w:w="1074" w:type="pct"/>
            <w:tcBorders>
              <w:top w:val="single" w:sz="6" w:space="0" w:color="000000"/>
              <w:left w:val="single" w:sz="6" w:space="0" w:color="000000"/>
              <w:bottom w:val="single" w:sz="6" w:space="0" w:color="000000"/>
              <w:right w:val="single" w:sz="6" w:space="0" w:color="000000"/>
            </w:tcBorders>
          </w:tcPr>
          <w:p w:rsidR="002C6E29" w:rsidRPr="00D15DEE" w:rsidRDefault="002C6E29" w:rsidP="002C6E29">
            <w:pPr>
              <w:spacing w:before="0" w:after="0"/>
              <w:jc w:val="center"/>
              <w:rPr>
                <w:rFonts w:ascii="Arial Narrow" w:eastAsia="Times New Roman" w:hAnsi="Arial Narrow" w:cs="Times New Roman"/>
                <w:sz w:val="20"/>
                <w:szCs w:val="20"/>
              </w:rPr>
            </w:pPr>
            <w:r w:rsidRPr="00D15DEE">
              <w:rPr>
                <w:rFonts w:ascii="Arial Narrow" w:eastAsia="Times New Roman" w:hAnsi="Arial Narrow" w:cs="Times New Roman"/>
                <w:sz w:val="20"/>
                <w:szCs w:val="20"/>
              </w:rPr>
              <w:t>1379 (1396)</w:t>
            </w:r>
          </w:p>
        </w:tc>
        <w:tc>
          <w:tcPr>
            <w:tcW w:w="1235" w:type="pct"/>
            <w:tcBorders>
              <w:top w:val="single" w:sz="6" w:space="0" w:color="000000"/>
              <w:left w:val="single" w:sz="6" w:space="0" w:color="000000"/>
              <w:bottom w:val="single" w:sz="6" w:space="0" w:color="000000"/>
              <w:right w:val="single" w:sz="6" w:space="0" w:color="000000"/>
            </w:tcBorders>
          </w:tcPr>
          <w:p w:rsidR="002C6E29" w:rsidRPr="00D15DEE" w:rsidRDefault="002C6E29" w:rsidP="002C6E29">
            <w:pPr>
              <w:spacing w:before="0" w:after="0"/>
              <w:jc w:val="center"/>
              <w:rPr>
                <w:rFonts w:ascii="Arial Narrow" w:eastAsia="Times New Roman" w:hAnsi="Arial Narrow" w:cs="Times New Roman"/>
                <w:b/>
                <w:sz w:val="20"/>
                <w:szCs w:val="20"/>
              </w:rPr>
            </w:pPr>
            <w:r w:rsidRPr="00D15DEE">
              <w:rPr>
                <w:rFonts w:ascii="Arial Narrow" w:eastAsia="Times New Roman" w:hAnsi="Arial Narrow" w:cs="Times New Roman"/>
                <w:b/>
                <w:sz w:val="20"/>
                <w:szCs w:val="20"/>
              </w:rPr>
              <w:t>0.68 (0.52, 0.89)</w:t>
            </w:r>
          </w:p>
        </w:tc>
      </w:tr>
      <w:tr w:rsidR="002C6E29" w:rsidRPr="00D15DEE" w:rsidTr="00A06F3E">
        <w:trPr>
          <w:trHeight w:val="320"/>
        </w:trPr>
        <w:tc>
          <w:tcPr>
            <w:tcW w:w="1590" w:type="pct"/>
            <w:tcBorders>
              <w:top w:val="single" w:sz="6" w:space="0" w:color="000000"/>
              <w:left w:val="single" w:sz="6" w:space="0" w:color="000000"/>
              <w:bottom w:val="single" w:sz="6" w:space="0" w:color="000000"/>
              <w:right w:val="single" w:sz="6" w:space="0" w:color="000000"/>
            </w:tcBorders>
            <w:vAlign w:val="center"/>
          </w:tcPr>
          <w:p w:rsidR="002C6E29" w:rsidRPr="00D15DEE" w:rsidRDefault="002C6E29" w:rsidP="002C6E29">
            <w:pPr>
              <w:spacing w:before="0" w:after="0"/>
              <w:rPr>
                <w:rFonts w:ascii="Arial Narrow" w:eastAsia="Times New Roman" w:hAnsi="Arial Narrow" w:cs="Times New Roman"/>
                <w:sz w:val="20"/>
                <w:szCs w:val="20"/>
              </w:rPr>
            </w:pPr>
            <w:r w:rsidRPr="00D15DEE">
              <w:rPr>
                <w:rFonts w:ascii="Arial Narrow" w:eastAsia="Times New Roman" w:hAnsi="Arial Narrow" w:cs="Times New Roman"/>
                <w:sz w:val="20"/>
                <w:szCs w:val="20"/>
              </w:rPr>
              <w:t>Severe hypo</w:t>
            </w:r>
          </w:p>
        </w:tc>
        <w:tc>
          <w:tcPr>
            <w:tcW w:w="1101" w:type="pct"/>
            <w:tcBorders>
              <w:top w:val="single" w:sz="6" w:space="0" w:color="000000"/>
              <w:left w:val="single" w:sz="6" w:space="0" w:color="000000"/>
              <w:bottom w:val="single" w:sz="6" w:space="0" w:color="000000"/>
              <w:right w:val="single" w:sz="6" w:space="0" w:color="000000"/>
            </w:tcBorders>
          </w:tcPr>
          <w:p w:rsidR="002C6E29" w:rsidRPr="00D15DEE" w:rsidRDefault="002C6E29" w:rsidP="002C6E29">
            <w:pPr>
              <w:spacing w:before="0" w:after="0"/>
              <w:jc w:val="center"/>
              <w:rPr>
                <w:rFonts w:ascii="Arial Narrow" w:eastAsia="Times New Roman" w:hAnsi="Arial Narrow" w:cs="Times New Roman"/>
                <w:sz w:val="20"/>
                <w:szCs w:val="20"/>
              </w:rPr>
            </w:pPr>
            <w:r w:rsidRPr="00D15DEE">
              <w:rPr>
                <w:rFonts w:ascii="Arial Narrow" w:eastAsia="Times New Roman" w:hAnsi="Arial Narrow" w:cs="Times New Roman"/>
                <w:sz w:val="20"/>
                <w:szCs w:val="20"/>
              </w:rPr>
              <w:t>9(9)</w:t>
            </w:r>
          </w:p>
        </w:tc>
        <w:tc>
          <w:tcPr>
            <w:tcW w:w="1074" w:type="pct"/>
            <w:tcBorders>
              <w:top w:val="single" w:sz="6" w:space="0" w:color="000000"/>
              <w:left w:val="single" w:sz="6" w:space="0" w:color="000000"/>
              <w:bottom w:val="single" w:sz="6" w:space="0" w:color="000000"/>
              <w:right w:val="single" w:sz="6" w:space="0" w:color="000000"/>
            </w:tcBorders>
          </w:tcPr>
          <w:p w:rsidR="002C6E29" w:rsidRPr="00D15DEE" w:rsidRDefault="002C6E29" w:rsidP="002C6E29">
            <w:pPr>
              <w:spacing w:before="0" w:after="0"/>
              <w:jc w:val="center"/>
              <w:rPr>
                <w:rFonts w:ascii="Arial Narrow" w:eastAsia="Times New Roman" w:hAnsi="Arial Narrow" w:cs="Times New Roman"/>
                <w:sz w:val="20"/>
                <w:szCs w:val="20"/>
              </w:rPr>
            </w:pPr>
            <w:r w:rsidRPr="00D15DEE">
              <w:rPr>
                <w:rFonts w:ascii="Arial Narrow" w:eastAsia="Times New Roman" w:hAnsi="Arial Narrow" w:cs="Times New Roman"/>
                <w:sz w:val="20"/>
                <w:szCs w:val="20"/>
              </w:rPr>
              <w:t>25(25)</w:t>
            </w:r>
          </w:p>
        </w:tc>
        <w:tc>
          <w:tcPr>
            <w:tcW w:w="1235" w:type="pct"/>
            <w:tcBorders>
              <w:top w:val="single" w:sz="6" w:space="0" w:color="000000"/>
              <w:left w:val="single" w:sz="6" w:space="0" w:color="000000"/>
              <w:bottom w:val="single" w:sz="6" w:space="0" w:color="000000"/>
              <w:right w:val="single" w:sz="6" w:space="0" w:color="000000"/>
            </w:tcBorders>
          </w:tcPr>
          <w:p w:rsidR="002C6E29" w:rsidRPr="00D15DEE" w:rsidRDefault="002C6E29" w:rsidP="002C6E29">
            <w:pPr>
              <w:spacing w:before="0" w:after="0"/>
              <w:jc w:val="center"/>
              <w:rPr>
                <w:rFonts w:ascii="Arial Narrow" w:eastAsia="Times New Roman" w:hAnsi="Arial Narrow" w:cs="Times New Roman"/>
                <w:sz w:val="20"/>
                <w:szCs w:val="20"/>
              </w:rPr>
            </w:pPr>
            <w:r w:rsidRPr="00D15DEE">
              <w:rPr>
                <w:rFonts w:ascii="Arial Narrow" w:eastAsia="Times New Roman" w:hAnsi="Arial Narrow" w:cs="Times New Roman"/>
                <w:sz w:val="20"/>
                <w:szCs w:val="20"/>
              </w:rPr>
              <w:t>NR</w:t>
            </w:r>
          </w:p>
        </w:tc>
      </w:tr>
      <w:tr w:rsidR="002C6E29" w:rsidRPr="00D15DEE" w:rsidTr="00A06F3E">
        <w:trPr>
          <w:trHeight w:val="320"/>
        </w:trPr>
        <w:tc>
          <w:tcPr>
            <w:tcW w:w="5000" w:type="pct"/>
            <w:gridSpan w:val="4"/>
            <w:tcBorders>
              <w:top w:val="single" w:sz="6" w:space="0" w:color="000000"/>
              <w:left w:val="single" w:sz="6" w:space="0" w:color="000000"/>
              <w:bottom w:val="single" w:sz="6" w:space="0" w:color="000000"/>
              <w:right w:val="single" w:sz="6" w:space="0" w:color="000000"/>
            </w:tcBorders>
            <w:vAlign w:val="center"/>
          </w:tcPr>
          <w:p w:rsidR="002C6E29" w:rsidRPr="00D15DEE" w:rsidRDefault="002C6E29" w:rsidP="002C6E29">
            <w:pPr>
              <w:spacing w:before="0" w:after="0"/>
              <w:rPr>
                <w:rFonts w:ascii="Arial Narrow" w:eastAsia="Times New Roman" w:hAnsi="Arial Narrow" w:cs="Times New Roman"/>
                <w:sz w:val="20"/>
                <w:szCs w:val="20"/>
              </w:rPr>
            </w:pPr>
            <w:r w:rsidRPr="00D15DEE">
              <w:rPr>
                <w:rFonts w:ascii="Arial Narrow" w:eastAsia="Times New Roman" w:hAnsi="Arial Narrow" w:cs="Times New Roman"/>
                <w:sz w:val="20"/>
                <w:szCs w:val="20"/>
              </w:rPr>
              <w:t>3597 – T2DM, insulin-experienced (Asian study), 26 weeks</w:t>
            </w:r>
          </w:p>
        </w:tc>
      </w:tr>
      <w:tr w:rsidR="002C6E29" w:rsidRPr="00D15DEE" w:rsidTr="00A06F3E">
        <w:trPr>
          <w:trHeight w:val="320"/>
        </w:trPr>
        <w:tc>
          <w:tcPr>
            <w:tcW w:w="1590" w:type="pct"/>
            <w:tcBorders>
              <w:top w:val="single" w:sz="6" w:space="0" w:color="000000"/>
              <w:left w:val="single" w:sz="6" w:space="0" w:color="000000"/>
              <w:bottom w:val="single" w:sz="6" w:space="0" w:color="000000"/>
              <w:right w:val="single" w:sz="6" w:space="0" w:color="000000"/>
            </w:tcBorders>
            <w:vAlign w:val="center"/>
          </w:tcPr>
          <w:p w:rsidR="002C6E29" w:rsidRPr="00D15DEE" w:rsidRDefault="002C6E29" w:rsidP="002C6E29">
            <w:pPr>
              <w:spacing w:before="0" w:after="0"/>
              <w:rPr>
                <w:rFonts w:ascii="Arial Narrow" w:eastAsia="Times New Roman" w:hAnsi="Arial Narrow" w:cs="Times New Roman"/>
                <w:sz w:val="20"/>
                <w:szCs w:val="20"/>
              </w:rPr>
            </w:pPr>
            <w:r w:rsidRPr="00D15DEE">
              <w:rPr>
                <w:rFonts w:ascii="Arial Narrow" w:eastAsia="Times New Roman" w:hAnsi="Arial Narrow" w:cs="Times New Roman"/>
                <w:sz w:val="20"/>
                <w:szCs w:val="20"/>
              </w:rPr>
              <w:t>Confirmed hypo</w:t>
            </w:r>
          </w:p>
        </w:tc>
        <w:tc>
          <w:tcPr>
            <w:tcW w:w="1101" w:type="pct"/>
            <w:tcBorders>
              <w:top w:val="single" w:sz="6" w:space="0" w:color="000000"/>
              <w:left w:val="single" w:sz="6" w:space="0" w:color="000000"/>
              <w:bottom w:val="single" w:sz="6" w:space="0" w:color="000000"/>
              <w:right w:val="single" w:sz="6" w:space="0" w:color="000000"/>
            </w:tcBorders>
          </w:tcPr>
          <w:p w:rsidR="002C6E29" w:rsidRPr="00D15DEE" w:rsidRDefault="002C6E29" w:rsidP="002C6E29">
            <w:pPr>
              <w:spacing w:before="0" w:after="0"/>
              <w:jc w:val="center"/>
              <w:rPr>
                <w:rFonts w:ascii="Arial Narrow" w:eastAsia="Times New Roman" w:hAnsi="Arial Narrow" w:cs="Times New Roman"/>
                <w:sz w:val="20"/>
                <w:szCs w:val="20"/>
              </w:rPr>
            </w:pPr>
            <w:r w:rsidRPr="00D15DEE">
              <w:rPr>
                <w:rFonts w:ascii="Arial Narrow" w:eastAsia="Times New Roman" w:hAnsi="Arial Narrow" w:cs="Times New Roman"/>
                <w:sz w:val="20"/>
                <w:szCs w:val="20"/>
              </w:rPr>
              <w:t>1227 (956)</w:t>
            </w:r>
          </w:p>
        </w:tc>
        <w:tc>
          <w:tcPr>
            <w:tcW w:w="1074" w:type="pct"/>
            <w:tcBorders>
              <w:top w:val="single" w:sz="6" w:space="0" w:color="000000"/>
              <w:left w:val="single" w:sz="6" w:space="0" w:color="000000"/>
              <w:bottom w:val="single" w:sz="6" w:space="0" w:color="000000"/>
              <w:right w:val="single" w:sz="6" w:space="0" w:color="000000"/>
            </w:tcBorders>
          </w:tcPr>
          <w:p w:rsidR="002C6E29" w:rsidRPr="00D15DEE" w:rsidRDefault="002C6E29" w:rsidP="002C6E29">
            <w:pPr>
              <w:spacing w:before="0" w:after="0"/>
              <w:jc w:val="center"/>
              <w:rPr>
                <w:rFonts w:ascii="Arial Narrow" w:eastAsia="Times New Roman" w:hAnsi="Arial Narrow" w:cs="Times New Roman"/>
                <w:sz w:val="20"/>
                <w:szCs w:val="20"/>
              </w:rPr>
            </w:pPr>
            <w:r w:rsidRPr="00D15DEE">
              <w:rPr>
                <w:rFonts w:ascii="Arial Narrow" w:eastAsia="Times New Roman" w:hAnsi="Arial Narrow" w:cs="Times New Roman"/>
                <w:sz w:val="20"/>
                <w:szCs w:val="20"/>
              </w:rPr>
              <w:t>621 (952)</w:t>
            </w:r>
          </w:p>
        </w:tc>
        <w:tc>
          <w:tcPr>
            <w:tcW w:w="1235" w:type="pct"/>
            <w:tcBorders>
              <w:top w:val="single" w:sz="6" w:space="0" w:color="000000"/>
              <w:left w:val="single" w:sz="6" w:space="0" w:color="000000"/>
              <w:bottom w:val="single" w:sz="6" w:space="0" w:color="000000"/>
              <w:right w:val="single" w:sz="6" w:space="0" w:color="000000"/>
            </w:tcBorders>
          </w:tcPr>
          <w:p w:rsidR="002C6E29" w:rsidRPr="00D15DEE" w:rsidRDefault="002C6E29" w:rsidP="002C6E29">
            <w:pPr>
              <w:spacing w:before="0" w:after="0"/>
              <w:jc w:val="center"/>
              <w:rPr>
                <w:rFonts w:ascii="Arial Narrow" w:eastAsia="Times New Roman" w:hAnsi="Arial Narrow" w:cs="Times New Roman"/>
                <w:sz w:val="20"/>
                <w:szCs w:val="20"/>
              </w:rPr>
            </w:pPr>
            <w:r w:rsidRPr="00D15DEE">
              <w:rPr>
                <w:rFonts w:ascii="Arial Narrow" w:eastAsia="Times New Roman" w:hAnsi="Arial Narrow" w:cs="Times New Roman"/>
                <w:sz w:val="20"/>
                <w:szCs w:val="20"/>
              </w:rPr>
              <w:t>1.00 (0.76, 1.32)</w:t>
            </w:r>
          </w:p>
        </w:tc>
      </w:tr>
      <w:tr w:rsidR="002C6E29" w:rsidRPr="00D15DEE" w:rsidTr="00A06F3E">
        <w:trPr>
          <w:trHeight w:val="320"/>
        </w:trPr>
        <w:tc>
          <w:tcPr>
            <w:tcW w:w="1590" w:type="pct"/>
            <w:tcBorders>
              <w:top w:val="single" w:sz="6" w:space="0" w:color="000000"/>
              <w:left w:val="single" w:sz="6" w:space="0" w:color="000000"/>
              <w:bottom w:val="single" w:sz="6" w:space="0" w:color="000000"/>
              <w:right w:val="single" w:sz="6" w:space="0" w:color="000000"/>
            </w:tcBorders>
            <w:vAlign w:val="center"/>
          </w:tcPr>
          <w:p w:rsidR="002C6E29" w:rsidRPr="00D15DEE" w:rsidRDefault="002C6E29" w:rsidP="002C6E29">
            <w:pPr>
              <w:spacing w:before="0" w:after="0"/>
              <w:rPr>
                <w:rFonts w:ascii="Arial Narrow" w:eastAsia="Times New Roman" w:hAnsi="Arial Narrow" w:cs="Times New Roman"/>
                <w:sz w:val="20"/>
                <w:szCs w:val="20"/>
              </w:rPr>
            </w:pPr>
            <w:r w:rsidRPr="00D15DEE">
              <w:rPr>
                <w:rFonts w:ascii="Arial Narrow" w:eastAsia="Times New Roman" w:hAnsi="Arial Narrow" w:cs="Times New Roman"/>
                <w:sz w:val="20"/>
                <w:szCs w:val="20"/>
              </w:rPr>
              <w:t>Severe hypo</w:t>
            </w:r>
          </w:p>
        </w:tc>
        <w:tc>
          <w:tcPr>
            <w:tcW w:w="1101" w:type="pct"/>
            <w:tcBorders>
              <w:top w:val="single" w:sz="6" w:space="0" w:color="000000"/>
              <w:left w:val="single" w:sz="6" w:space="0" w:color="000000"/>
              <w:bottom w:val="single" w:sz="6" w:space="0" w:color="000000"/>
              <w:right w:val="single" w:sz="6" w:space="0" w:color="000000"/>
            </w:tcBorders>
          </w:tcPr>
          <w:p w:rsidR="002C6E29" w:rsidRPr="00D15DEE" w:rsidRDefault="002C6E29" w:rsidP="002C6E29">
            <w:pPr>
              <w:spacing w:before="0" w:after="0"/>
              <w:jc w:val="center"/>
              <w:rPr>
                <w:rFonts w:ascii="Arial Narrow" w:eastAsia="Times New Roman" w:hAnsi="Arial Narrow" w:cs="Times New Roman"/>
                <w:sz w:val="20"/>
                <w:szCs w:val="20"/>
              </w:rPr>
            </w:pPr>
            <w:r w:rsidRPr="00D15DEE">
              <w:rPr>
                <w:rFonts w:ascii="Arial Narrow" w:eastAsia="Times New Roman" w:hAnsi="Arial Narrow" w:cs="Times New Roman"/>
                <w:sz w:val="20"/>
                <w:szCs w:val="20"/>
              </w:rPr>
              <w:t>6(5)</w:t>
            </w:r>
          </w:p>
        </w:tc>
        <w:tc>
          <w:tcPr>
            <w:tcW w:w="1074" w:type="pct"/>
            <w:tcBorders>
              <w:top w:val="single" w:sz="6" w:space="0" w:color="000000"/>
              <w:left w:val="single" w:sz="6" w:space="0" w:color="000000"/>
              <w:bottom w:val="single" w:sz="6" w:space="0" w:color="000000"/>
              <w:right w:val="single" w:sz="6" w:space="0" w:color="000000"/>
            </w:tcBorders>
          </w:tcPr>
          <w:p w:rsidR="002C6E29" w:rsidRPr="00D15DEE" w:rsidRDefault="002C6E29" w:rsidP="002C6E29">
            <w:pPr>
              <w:spacing w:before="0" w:after="0"/>
              <w:jc w:val="center"/>
              <w:rPr>
                <w:rFonts w:ascii="Arial Narrow" w:eastAsia="Times New Roman" w:hAnsi="Arial Narrow" w:cs="Times New Roman"/>
                <w:sz w:val="20"/>
                <w:szCs w:val="20"/>
              </w:rPr>
            </w:pPr>
            <w:r w:rsidRPr="00D15DEE">
              <w:rPr>
                <w:rFonts w:ascii="Arial Narrow" w:eastAsia="Times New Roman" w:hAnsi="Arial Narrow" w:cs="Times New Roman"/>
                <w:sz w:val="20"/>
                <w:szCs w:val="20"/>
              </w:rPr>
              <w:t>2(3)</w:t>
            </w:r>
          </w:p>
        </w:tc>
        <w:tc>
          <w:tcPr>
            <w:tcW w:w="1235" w:type="pct"/>
            <w:tcBorders>
              <w:top w:val="single" w:sz="6" w:space="0" w:color="000000"/>
              <w:left w:val="single" w:sz="6" w:space="0" w:color="000000"/>
              <w:bottom w:val="single" w:sz="6" w:space="0" w:color="000000"/>
              <w:right w:val="single" w:sz="6" w:space="0" w:color="000000"/>
            </w:tcBorders>
          </w:tcPr>
          <w:p w:rsidR="002C6E29" w:rsidRPr="00D15DEE" w:rsidRDefault="002C6E29" w:rsidP="002C6E29">
            <w:pPr>
              <w:spacing w:before="0" w:after="0"/>
              <w:jc w:val="center"/>
              <w:rPr>
                <w:rFonts w:ascii="Arial Narrow" w:eastAsia="Times New Roman" w:hAnsi="Arial Narrow" w:cs="Times New Roman"/>
                <w:sz w:val="20"/>
                <w:szCs w:val="20"/>
              </w:rPr>
            </w:pPr>
            <w:r w:rsidRPr="00D15DEE">
              <w:rPr>
                <w:rFonts w:ascii="Arial Narrow" w:eastAsia="Times New Roman" w:hAnsi="Arial Narrow" w:cs="Times New Roman"/>
                <w:sz w:val="20"/>
                <w:szCs w:val="20"/>
              </w:rPr>
              <w:t>NR</w:t>
            </w:r>
          </w:p>
        </w:tc>
      </w:tr>
      <w:tr w:rsidR="002C6E29" w:rsidRPr="00D15DEE" w:rsidTr="00A06F3E">
        <w:trPr>
          <w:trHeight w:val="320"/>
        </w:trPr>
        <w:tc>
          <w:tcPr>
            <w:tcW w:w="5000" w:type="pct"/>
            <w:gridSpan w:val="4"/>
            <w:tcBorders>
              <w:top w:val="single" w:sz="6" w:space="0" w:color="000000"/>
              <w:left w:val="single" w:sz="6" w:space="0" w:color="000000"/>
              <w:bottom w:val="single" w:sz="6" w:space="0" w:color="000000"/>
              <w:right w:val="single" w:sz="6" w:space="0" w:color="000000"/>
            </w:tcBorders>
            <w:vAlign w:val="center"/>
          </w:tcPr>
          <w:p w:rsidR="002C6E29" w:rsidRPr="00D15DEE" w:rsidRDefault="002C6E29" w:rsidP="002C6E29">
            <w:pPr>
              <w:spacing w:before="0" w:after="0"/>
              <w:rPr>
                <w:rFonts w:ascii="Arial Narrow" w:eastAsia="Times New Roman" w:hAnsi="Arial Narrow" w:cs="Times New Roman"/>
                <w:sz w:val="20"/>
                <w:szCs w:val="20"/>
              </w:rPr>
            </w:pPr>
            <w:r w:rsidRPr="00D15DEE">
              <w:rPr>
                <w:rFonts w:ascii="Arial Narrow" w:eastAsia="Times New Roman" w:hAnsi="Arial Narrow" w:cs="Times New Roman"/>
                <w:sz w:val="20"/>
                <w:szCs w:val="20"/>
              </w:rPr>
              <w:t>3594 – T1DM (main study), 26 weeks</w:t>
            </w:r>
          </w:p>
        </w:tc>
      </w:tr>
      <w:tr w:rsidR="002C6E29" w:rsidRPr="00D15DEE" w:rsidTr="00A06F3E">
        <w:trPr>
          <w:trHeight w:val="320"/>
        </w:trPr>
        <w:tc>
          <w:tcPr>
            <w:tcW w:w="1590" w:type="pct"/>
            <w:tcBorders>
              <w:top w:val="single" w:sz="6" w:space="0" w:color="000000"/>
              <w:left w:val="single" w:sz="6" w:space="0" w:color="000000"/>
              <w:bottom w:val="single" w:sz="6" w:space="0" w:color="000000"/>
              <w:right w:val="single" w:sz="6" w:space="0" w:color="000000"/>
            </w:tcBorders>
            <w:vAlign w:val="center"/>
          </w:tcPr>
          <w:p w:rsidR="002C6E29" w:rsidRPr="00D15DEE" w:rsidRDefault="002C6E29" w:rsidP="002C6E29">
            <w:pPr>
              <w:spacing w:before="0" w:after="0"/>
              <w:rPr>
                <w:rFonts w:ascii="Arial Narrow" w:eastAsia="Times New Roman" w:hAnsi="Arial Narrow" w:cs="Times New Roman"/>
                <w:sz w:val="20"/>
                <w:szCs w:val="20"/>
              </w:rPr>
            </w:pPr>
            <w:r w:rsidRPr="00D15DEE">
              <w:rPr>
                <w:rFonts w:ascii="Arial Narrow" w:eastAsia="Times New Roman" w:hAnsi="Arial Narrow" w:cs="Times New Roman"/>
                <w:sz w:val="20"/>
                <w:szCs w:val="20"/>
              </w:rPr>
              <w:t>Confirmed hypo</w:t>
            </w:r>
          </w:p>
        </w:tc>
        <w:tc>
          <w:tcPr>
            <w:tcW w:w="1101" w:type="pct"/>
            <w:tcBorders>
              <w:top w:val="single" w:sz="6" w:space="0" w:color="000000"/>
              <w:left w:val="single" w:sz="6" w:space="0" w:color="000000"/>
              <w:bottom w:val="single" w:sz="6" w:space="0" w:color="000000"/>
              <w:right w:val="single" w:sz="6" w:space="0" w:color="000000"/>
            </w:tcBorders>
          </w:tcPr>
          <w:p w:rsidR="002C6E29" w:rsidRPr="00D15DEE" w:rsidRDefault="002C6E29" w:rsidP="002C6E29">
            <w:pPr>
              <w:spacing w:before="0" w:after="0"/>
              <w:jc w:val="center"/>
              <w:rPr>
                <w:rFonts w:ascii="Arial Narrow" w:eastAsia="Times New Roman" w:hAnsi="Arial Narrow" w:cs="Times New Roman"/>
                <w:sz w:val="20"/>
                <w:szCs w:val="20"/>
              </w:rPr>
            </w:pPr>
            <w:r w:rsidRPr="00D15DEE">
              <w:rPr>
                <w:rFonts w:ascii="Arial Narrow" w:eastAsia="Times New Roman" w:hAnsi="Arial Narrow" w:cs="Times New Roman"/>
                <w:sz w:val="20"/>
                <w:szCs w:val="20"/>
              </w:rPr>
              <w:t>6634 (3917)</w:t>
            </w:r>
          </w:p>
        </w:tc>
        <w:tc>
          <w:tcPr>
            <w:tcW w:w="1074" w:type="pct"/>
            <w:tcBorders>
              <w:top w:val="single" w:sz="6" w:space="0" w:color="000000"/>
              <w:left w:val="single" w:sz="6" w:space="0" w:color="000000"/>
              <w:bottom w:val="single" w:sz="6" w:space="0" w:color="000000"/>
              <w:right w:val="single" w:sz="6" w:space="0" w:color="000000"/>
            </w:tcBorders>
          </w:tcPr>
          <w:p w:rsidR="002C6E29" w:rsidRPr="00D15DEE" w:rsidRDefault="002C6E29" w:rsidP="002C6E29">
            <w:pPr>
              <w:spacing w:before="0" w:after="0"/>
              <w:jc w:val="center"/>
              <w:rPr>
                <w:rFonts w:ascii="Arial Narrow" w:eastAsia="Times New Roman" w:hAnsi="Arial Narrow" w:cs="Times New Roman"/>
                <w:sz w:val="20"/>
                <w:szCs w:val="20"/>
              </w:rPr>
            </w:pPr>
            <w:r w:rsidRPr="00D15DEE">
              <w:rPr>
                <w:rFonts w:ascii="Arial Narrow" w:eastAsia="Times New Roman" w:hAnsi="Arial Narrow" w:cs="Times New Roman"/>
                <w:sz w:val="20"/>
                <w:szCs w:val="20"/>
              </w:rPr>
              <w:t>3720 (4434)</w:t>
            </w:r>
          </w:p>
        </w:tc>
        <w:tc>
          <w:tcPr>
            <w:tcW w:w="1235" w:type="pct"/>
            <w:tcBorders>
              <w:top w:val="single" w:sz="6" w:space="0" w:color="000000"/>
              <w:left w:val="single" w:sz="6" w:space="0" w:color="000000"/>
              <w:bottom w:val="single" w:sz="6" w:space="0" w:color="000000"/>
              <w:right w:val="single" w:sz="6" w:space="0" w:color="000000"/>
            </w:tcBorders>
          </w:tcPr>
          <w:p w:rsidR="002C6E29" w:rsidRPr="00D15DEE" w:rsidRDefault="002C6E29" w:rsidP="002C6E29">
            <w:pPr>
              <w:spacing w:before="0" w:after="0"/>
              <w:jc w:val="center"/>
              <w:rPr>
                <w:rFonts w:ascii="Arial Narrow" w:eastAsia="Times New Roman" w:hAnsi="Arial Narrow" w:cs="Times New Roman"/>
                <w:sz w:val="20"/>
                <w:szCs w:val="20"/>
              </w:rPr>
            </w:pPr>
            <w:r w:rsidRPr="00D15DEE">
              <w:rPr>
                <w:rFonts w:ascii="Arial Narrow" w:eastAsia="Times New Roman" w:hAnsi="Arial Narrow" w:cs="Times New Roman"/>
                <w:sz w:val="20"/>
                <w:szCs w:val="20"/>
              </w:rPr>
              <w:t>NR</w:t>
            </w:r>
          </w:p>
        </w:tc>
      </w:tr>
      <w:tr w:rsidR="002C6E29" w:rsidRPr="00D15DEE" w:rsidTr="00A06F3E">
        <w:trPr>
          <w:trHeight w:val="320"/>
        </w:trPr>
        <w:tc>
          <w:tcPr>
            <w:tcW w:w="1590" w:type="pct"/>
            <w:tcBorders>
              <w:top w:val="single" w:sz="6" w:space="0" w:color="000000"/>
              <w:left w:val="single" w:sz="6" w:space="0" w:color="000000"/>
              <w:bottom w:val="single" w:sz="6" w:space="0" w:color="000000"/>
              <w:right w:val="single" w:sz="6" w:space="0" w:color="000000"/>
            </w:tcBorders>
            <w:vAlign w:val="center"/>
          </w:tcPr>
          <w:p w:rsidR="002C6E29" w:rsidRPr="00D15DEE" w:rsidRDefault="002C6E29" w:rsidP="002C6E29">
            <w:pPr>
              <w:spacing w:before="0" w:after="0"/>
              <w:rPr>
                <w:rFonts w:ascii="Arial Narrow" w:eastAsia="Times New Roman" w:hAnsi="Arial Narrow" w:cs="Times New Roman"/>
                <w:sz w:val="20"/>
                <w:szCs w:val="20"/>
              </w:rPr>
            </w:pPr>
            <w:r w:rsidRPr="00D15DEE">
              <w:rPr>
                <w:rFonts w:ascii="Arial Narrow" w:eastAsia="Times New Roman" w:hAnsi="Arial Narrow" w:cs="Times New Roman"/>
                <w:sz w:val="20"/>
                <w:szCs w:val="20"/>
              </w:rPr>
              <w:t>Severe hypo</w:t>
            </w:r>
          </w:p>
        </w:tc>
        <w:tc>
          <w:tcPr>
            <w:tcW w:w="1101" w:type="pct"/>
            <w:tcBorders>
              <w:top w:val="single" w:sz="6" w:space="0" w:color="000000"/>
              <w:left w:val="single" w:sz="6" w:space="0" w:color="000000"/>
              <w:bottom w:val="single" w:sz="6" w:space="0" w:color="000000"/>
              <w:right w:val="single" w:sz="6" w:space="0" w:color="000000"/>
            </w:tcBorders>
          </w:tcPr>
          <w:p w:rsidR="002C6E29" w:rsidRPr="00D15DEE" w:rsidRDefault="002C6E29" w:rsidP="002C6E29">
            <w:pPr>
              <w:spacing w:before="0" w:after="0"/>
              <w:jc w:val="center"/>
              <w:rPr>
                <w:rFonts w:ascii="Arial Narrow" w:eastAsia="Times New Roman" w:hAnsi="Arial Narrow" w:cs="Times New Roman"/>
                <w:sz w:val="20"/>
                <w:szCs w:val="20"/>
              </w:rPr>
            </w:pPr>
            <w:r w:rsidRPr="00D15DEE">
              <w:rPr>
                <w:rFonts w:ascii="Arial Narrow" w:eastAsia="Times New Roman" w:hAnsi="Arial Narrow" w:cs="Times New Roman"/>
                <w:sz w:val="20"/>
                <w:szCs w:val="20"/>
              </w:rPr>
              <w:t>56(33)</w:t>
            </w:r>
          </w:p>
        </w:tc>
        <w:tc>
          <w:tcPr>
            <w:tcW w:w="1074" w:type="pct"/>
            <w:tcBorders>
              <w:top w:val="single" w:sz="6" w:space="0" w:color="000000"/>
              <w:left w:val="single" w:sz="6" w:space="0" w:color="000000"/>
              <w:bottom w:val="single" w:sz="6" w:space="0" w:color="000000"/>
              <w:right w:val="single" w:sz="6" w:space="0" w:color="000000"/>
            </w:tcBorders>
          </w:tcPr>
          <w:p w:rsidR="002C6E29" w:rsidRPr="00D15DEE" w:rsidRDefault="002C6E29" w:rsidP="002C6E29">
            <w:pPr>
              <w:spacing w:before="0" w:after="0"/>
              <w:jc w:val="center"/>
              <w:rPr>
                <w:rFonts w:ascii="Arial Narrow" w:eastAsia="Times New Roman" w:hAnsi="Arial Narrow" w:cs="Times New Roman"/>
                <w:sz w:val="20"/>
                <w:szCs w:val="20"/>
              </w:rPr>
            </w:pPr>
            <w:r w:rsidRPr="00D15DEE">
              <w:rPr>
                <w:rFonts w:ascii="Arial Narrow" w:eastAsia="Times New Roman" w:hAnsi="Arial Narrow" w:cs="Times New Roman"/>
                <w:sz w:val="20"/>
                <w:szCs w:val="20"/>
              </w:rPr>
              <w:t>35(42)</w:t>
            </w:r>
          </w:p>
        </w:tc>
        <w:tc>
          <w:tcPr>
            <w:tcW w:w="1235" w:type="pct"/>
            <w:tcBorders>
              <w:top w:val="single" w:sz="6" w:space="0" w:color="000000"/>
              <w:left w:val="single" w:sz="6" w:space="0" w:color="000000"/>
              <w:bottom w:val="single" w:sz="6" w:space="0" w:color="000000"/>
              <w:right w:val="single" w:sz="6" w:space="0" w:color="000000"/>
            </w:tcBorders>
          </w:tcPr>
          <w:p w:rsidR="002C6E29" w:rsidRPr="00D15DEE" w:rsidRDefault="002C6E29" w:rsidP="002C6E29">
            <w:pPr>
              <w:spacing w:before="0" w:after="0"/>
              <w:jc w:val="center"/>
              <w:rPr>
                <w:rFonts w:ascii="Arial Narrow" w:eastAsia="Times New Roman" w:hAnsi="Arial Narrow" w:cs="Times New Roman"/>
                <w:sz w:val="20"/>
                <w:szCs w:val="20"/>
              </w:rPr>
            </w:pPr>
            <w:r w:rsidRPr="00D15DEE">
              <w:rPr>
                <w:rFonts w:ascii="Arial Narrow" w:eastAsia="Times New Roman" w:hAnsi="Arial Narrow" w:cs="Times New Roman"/>
                <w:sz w:val="20"/>
                <w:szCs w:val="20"/>
              </w:rPr>
              <w:t>NR</w:t>
            </w:r>
          </w:p>
        </w:tc>
      </w:tr>
      <w:tr w:rsidR="002C6E29" w:rsidRPr="00D15DEE" w:rsidTr="00A06F3E">
        <w:trPr>
          <w:trHeight w:val="320"/>
        </w:trPr>
        <w:tc>
          <w:tcPr>
            <w:tcW w:w="5000" w:type="pct"/>
            <w:gridSpan w:val="4"/>
            <w:tcBorders>
              <w:top w:val="single" w:sz="6" w:space="0" w:color="000000"/>
              <w:left w:val="single" w:sz="6" w:space="0" w:color="000000"/>
              <w:bottom w:val="single" w:sz="6" w:space="0" w:color="000000"/>
              <w:right w:val="single" w:sz="6" w:space="0" w:color="000000"/>
            </w:tcBorders>
            <w:vAlign w:val="center"/>
          </w:tcPr>
          <w:p w:rsidR="002C6E29" w:rsidRPr="00D15DEE" w:rsidRDefault="002C6E29" w:rsidP="002C6E29">
            <w:pPr>
              <w:spacing w:before="0" w:after="0"/>
              <w:rPr>
                <w:rFonts w:ascii="Arial Narrow" w:eastAsia="Times New Roman" w:hAnsi="Arial Narrow" w:cs="Times New Roman"/>
                <w:sz w:val="20"/>
                <w:szCs w:val="20"/>
              </w:rPr>
            </w:pPr>
            <w:r w:rsidRPr="00D15DEE">
              <w:rPr>
                <w:rFonts w:ascii="Arial Narrow" w:eastAsia="Times New Roman" w:hAnsi="Arial Narrow" w:cs="Times New Roman"/>
                <w:sz w:val="20"/>
                <w:szCs w:val="20"/>
              </w:rPr>
              <w:t>3645 – T1DM (extension study), 52 weeks</w:t>
            </w:r>
          </w:p>
        </w:tc>
      </w:tr>
      <w:tr w:rsidR="002C6E29" w:rsidRPr="00D15DEE" w:rsidTr="00A06F3E">
        <w:trPr>
          <w:trHeight w:val="320"/>
        </w:trPr>
        <w:tc>
          <w:tcPr>
            <w:tcW w:w="1590" w:type="pct"/>
            <w:tcBorders>
              <w:top w:val="single" w:sz="6" w:space="0" w:color="000000"/>
              <w:left w:val="single" w:sz="6" w:space="0" w:color="000000"/>
              <w:bottom w:val="single" w:sz="6" w:space="0" w:color="000000"/>
              <w:right w:val="single" w:sz="6" w:space="0" w:color="000000"/>
            </w:tcBorders>
            <w:vAlign w:val="center"/>
          </w:tcPr>
          <w:p w:rsidR="002C6E29" w:rsidRPr="00D15DEE" w:rsidRDefault="002C6E29" w:rsidP="002C6E29">
            <w:pPr>
              <w:spacing w:before="0" w:after="0"/>
              <w:rPr>
                <w:rFonts w:ascii="Arial Narrow" w:eastAsia="Times New Roman" w:hAnsi="Arial Narrow" w:cs="Times New Roman"/>
                <w:sz w:val="20"/>
                <w:szCs w:val="20"/>
              </w:rPr>
            </w:pPr>
            <w:r w:rsidRPr="00D15DEE">
              <w:rPr>
                <w:rFonts w:ascii="Arial Narrow" w:eastAsia="Times New Roman" w:hAnsi="Arial Narrow" w:cs="Times New Roman"/>
                <w:sz w:val="20"/>
                <w:szCs w:val="20"/>
              </w:rPr>
              <w:t>Confirmed hypo</w:t>
            </w:r>
          </w:p>
        </w:tc>
        <w:tc>
          <w:tcPr>
            <w:tcW w:w="1101" w:type="pct"/>
            <w:tcBorders>
              <w:top w:val="single" w:sz="6" w:space="0" w:color="000000"/>
              <w:left w:val="single" w:sz="6" w:space="0" w:color="000000"/>
              <w:bottom w:val="single" w:sz="6" w:space="0" w:color="000000"/>
              <w:right w:val="single" w:sz="6" w:space="0" w:color="000000"/>
            </w:tcBorders>
          </w:tcPr>
          <w:p w:rsidR="002C6E29" w:rsidRPr="00D15DEE" w:rsidRDefault="002C6E29" w:rsidP="002C6E29">
            <w:pPr>
              <w:spacing w:before="0" w:after="0"/>
              <w:jc w:val="center"/>
              <w:rPr>
                <w:rFonts w:ascii="Arial Narrow" w:eastAsia="Times New Roman" w:hAnsi="Arial Narrow" w:cs="Times New Roman"/>
                <w:sz w:val="20"/>
                <w:szCs w:val="20"/>
              </w:rPr>
            </w:pPr>
            <w:r w:rsidRPr="00D15DEE">
              <w:rPr>
                <w:rFonts w:ascii="Arial Narrow" w:eastAsia="Times New Roman" w:hAnsi="Arial Narrow" w:cs="Times New Roman"/>
                <w:sz w:val="20"/>
                <w:szCs w:val="20"/>
              </w:rPr>
              <w:t>9450 (3183)</w:t>
            </w:r>
          </w:p>
        </w:tc>
        <w:tc>
          <w:tcPr>
            <w:tcW w:w="1074" w:type="pct"/>
            <w:tcBorders>
              <w:top w:val="single" w:sz="6" w:space="0" w:color="000000"/>
              <w:left w:val="single" w:sz="6" w:space="0" w:color="000000"/>
              <w:bottom w:val="single" w:sz="6" w:space="0" w:color="000000"/>
              <w:right w:val="single" w:sz="6" w:space="0" w:color="000000"/>
            </w:tcBorders>
          </w:tcPr>
          <w:p w:rsidR="002C6E29" w:rsidRPr="00D15DEE" w:rsidRDefault="002C6E29" w:rsidP="002C6E29">
            <w:pPr>
              <w:spacing w:before="0" w:after="0"/>
              <w:jc w:val="center"/>
              <w:rPr>
                <w:rFonts w:ascii="Arial Narrow" w:eastAsia="Times New Roman" w:hAnsi="Arial Narrow" w:cs="Times New Roman"/>
                <w:sz w:val="20"/>
                <w:szCs w:val="20"/>
              </w:rPr>
            </w:pPr>
            <w:r w:rsidRPr="00D15DEE">
              <w:rPr>
                <w:rFonts w:ascii="Arial Narrow" w:eastAsia="Times New Roman" w:hAnsi="Arial Narrow" w:cs="Times New Roman"/>
                <w:sz w:val="20"/>
                <w:szCs w:val="20"/>
              </w:rPr>
              <w:t>5342 (3673)</w:t>
            </w:r>
          </w:p>
        </w:tc>
        <w:tc>
          <w:tcPr>
            <w:tcW w:w="1235" w:type="pct"/>
            <w:tcBorders>
              <w:top w:val="single" w:sz="6" w:space="0" w:color="000000"/>
              <w:left w:val="single" w:sz="6" w:space="0" w:color="000000"/>
              <w:bottom w:val="single" w:sz="6" w:space="0" w:color="000000"/>
              <w:right w:val="single" w:sz="6" w:space="0" w:color="000000"/>
            </w:tcBorders>
          </w:tcPr>
          <w:p w:rsidR="002C6E29" w:rsidRPr="00D15DEE" w:rsidRDefault="002C6E29" w:rsidP="002C6E29">
            <w:pPr>
              <w:spacing w:before="0" w:after="0"/>
              <w:jc w:val="center"/>
              <w:rPr>
                <w:rFonts w:ascii="Arial Narrow" w:eastAsia="Times New Roman" w:hAnsi="Arial Narrow" w:cs="Times New Roman"/>
                <w:sz w:val="20"/>
                <w:szCs w:val="20"/>
              </w:rPr>
            </w:pPr>
            <w:r w:rsidRPr="00D15DEE">
              <w:rPr>
                <w:rFonts w:ascii="Arial Narrow" w:eastAsia="Times New Roman" w:hAnsi="Arial Narrow" w:cs="Times New Roman"/>
                <w:sz w:val="20"/>
                <w:szCs w:val="20"/>
              </w:rPr>
              <w:t>NR</w:t>
            </w:r>
          </w:p>
        </w:tc>
      </w:tr>
      <w:tr w:rsidR="002C6E29" w:rsidRPr="00D15DEE" w:rsidTr="00A06F3E">
        <w:trPr>
          <w:trHeight w:val="320"/>
        </w:trPr>
        <w:tc>
          <w:tcPr>
            <w:tcW w:w="1590" w:type="pct"/>
            <w:tcBorders>
              <w:top w:val="single" w:sz="6" w:space="0" w:color="000000"/>
              <w:left w:val="single" w:sz="6" w:space="0" w:color="000000"/>
              <w:bottom w:val="single" w:sz="6" w:space="0" w:color="000000"/>
              <w:right w:val="single" w:sz="6" w:space="0" w:color="000000"/>
            </w:tcBorders>
            <w:vAlign w:val="center"/>
          </w:tcPr>
          <w:p w:rsidR="002C6E29" w:rsidRPr="00D15DEE" w:rsidRDefault="002C6E29" w:rsidP="002C6E29">
            <w:pPr>
              <w:spacing w:before="0" w:after="0"/>
              <w:rPr>
                <w:rFonts w:ascii="Arial Narrow" w:eastAsia="Times New Roman" w:hAnsi="Arial Narrow" w:cs="Times New Roman"/>
                <w:sz w:val="20"/>
                <w:szCs w:val="20"/>
              </w:rPr>
            </w:pPr>
            <w:r w:rsidRPr="00D15DEE">
              <w:rPr>
                <w:rFonts w:ascii="Arial Narrow" w:eastAsia="Times New Roman" w:hAnsi="Arial Narrow" w:cs="Times New Roman"/>
                <w:sz w:val="20"/>
                <w:szCs w:val="20"/>
              </w:rPr>
              <w:t>Severe hypo</w:t>
            </w:r>
          </w:p>
        </w:tc>
        <w:tc>
          <w:tcPr>
            <w:tcW w:w="1101" w:type="pct"/>
            <w:tcBorders>
              <w:top w:val="single" w:sz="6" w:space="0" w:color="000000"/>
              <w:left w:val="single" w:sz="6" w:space="0" w:color="000000"/>
              <w:bottom w:val="single" w:sz="6" w:space="0" w:color="000000"/>
              <w:right w:val="single" w:sz="6" w:space="0" w:color="000000"/>
            </w:tcBorders>
          </w:tcPr>
          <w:p w:rsidR="002C6E29" w:rsidRPr="00D15DEE" w:rsidRDefault="002C6E29" w:rsidP="002C6E29">
            <w:pPr>
              <w:spacing w:before="0" w:after="0"/>
              <w:jc w:val="center"/>
              <w:rPr>
                <w:rFonts w:ascii="Arial Narrow" w:eastAsia="Times New Roman" w:hAnsi="Arial Narrow" w:cs="Times New Roman"/>
                <w:sz w:val="20"/>
                <w:szCs w:val="20"/>
              </w:rPr>
            </w:pPr>
            <w:r w:rsidRPr="00D15DEE">
              <w:rPr>
                <w:rFonts w:ascii="Arial Narrow" w:eastAsia="Times New Roman" w:hAnsi="Arial Narrow" w:cs="Times New Roman"/>
                <w:sz w:val="20"/>
                <w:szCs w:val="20"/>
              </w:rPr>
              <w:t>79(22)</w:t>
            </w:r>
          </w:p>
        </w:tc>
        <w:tc>
          <w:tcPr>
            <w:tcW w:w="1074" w:type="pct"/>
            <w:tcBorders>
              <w:top w:val="single" w:sz="6" w:space="0" w:color="000000"/>
              <w:left w:val="single" w:sz="6" w:space="0" w:color="000000"/>
              <w:bottom w:val="single" w:sz="6" w:space="0" w:color="000000"/>
              <w:right w:val="single" w:sz="6" w:space="0" w:color="000000"/>
            </w:tcBorders>
          </w:tcPr>
          <w:p w:rsidR="002C6E29" w:rsidRPr="00D15DEE" w:rsidRDefault="002C6E29" w:rsidP="002C6E29">
            <w:pPr>
              <w:spacing w:before="0" w:after="0"/>
              <w:jc w:val="center"/>
              <w:rPr>
                <w:rFonts w:ascii="Arial Narrow" w:eastAsia="Times New Roman" w:hAnsi="Arial Narrow" w:cs="Times New Roman"/>
                <w:sz w:val="20"/>
                <w:szCs w:val="20"/>
              </w:rPr>
            </w:pPr>
            <w:r w:rsidRPr="00D15DEE">
              <w:rPr>
                <w:rFonts w:ascii="Arial Narrow" w:eastAsia="Times New Roman" w:hAnsi="Arial Narrow" w:cs="Times New Roman"/>
                <w:sz w:val="20"/>
                <w:szCs w:val="20"/>
              </w:rPr>
              <w:t>65(45)</w:t>
            </w:r>
          </w:p>
        </w:tc>
        <w:tc>
          <w:tcPr>
            <w:tcW w:w="1235" w:type="pct"/>
            <w:tcBorders>
              <w:top w:val="single" w:sz="6" w:space="0" w:color="000000"/>
              <w:left w:val="single" w:sz="6" w:space="0" w:color="000000"/>
              <w:bottom w:val="single" w:sz="6" w:space="0" w:color="000000"/>
              <w:right w:val="single" w:sz="6" w:space="0" w:color="000000"/>
            </w:tcBorders>
          </w:tcPr>
          <w:p w:rsidR="002C6E29" w:rsidRPr="00D15DEE" w:rsidRDefault="002C6E29" w:rsidP="002C6E29">
            <w:pPr>
              <w:spacing w:before="0" w:after="0"/>
              <w:jc w:val="center"/>
              <w:rPr>
                <w:rFonts w:ascii="Arial Narrow" w:eastAsia="Times New Roman" w:hAnsi="Arial Narrow" w:cs="Times New Roman"/>
                <w:sz w:val="20"/>
                <w:szCs w:val="20"/>
              </w:rPr>
            </w:pPr>
            <w:r w:rsidRPr="00D15DEE">
              <w:rPr>
                <w:rFonts w:ascii="Arial Narrow" w:eastAsia="Times New Roman" w:hAnsi="Arial Narrow" w:cs="Times New Roman"/>
                <w:sz w:val="20"/>
                <w:szCs w:val="20"/>
              </w:rPr>
              <w:t>NR</w:t>
            </w:r>
          </w:p>
        </w:tc>
      </w:tr>
    </w:tbl>
    <w:p w:rsidR="002C6E29" w:rsidRPr="00D15DEE" w:rsidRDefault="002C6E29" w:rsidP="002C6E29">
      <w:pPr>
        <w:autoSpaceDE w:val="0"/>
        <w:autoSpaceDN w:val="0"/>
        <w:adjustRightInd w:val="0"/>
        <w:spacing w:before="0" w:after="0"/>
        <w:rPr>
          <w:rFonts w:ascii="Arial Narrow" w:eastAsia="Calibri" w:hAnsi="Arial Narrow" w:cs="Calibri"/>
          <w:b/>
          <w:color w:val="000000"/>
          <w:sz w:val="18"/>
          <w:szCs w:val="18"/>
        </w:rPr>
      </w:pPr>
      <w:r w:rsidRPr="00D15DEE">
        <w:rPr>
          <w:rFonts w:ascii="Arial Narrow" w:eastAsia="Calibri" w:hAnsi="Arial Narrow" w:cs="Calibri"/>
          <w:color w:val="000000"/>
          <w:sz w:val="18"/>
          <w:szCs w:val="18"/>
        </w:rPr>
        <w:t xml:space="preserve">Source: Table 2.5.6 of the Commentary, Tables 2.5.10, p52 of the submission; CSR Study 3594, Tables 12-18 to 12-19, p140 and p143; CSR Study 3645, Table 12-20 to 12-21; CSR Study; 3940, Tables 12-14 to 12-15; CSR Study 3592, Tables 12-14 to 12-15; CSR Study 3597, Tables 12-13 to 12-14, </w:t>
      </w:r>
      <w:r w:rsidR="007F13BE" w:rsidRPr="00D15DEE">
        <w:rPr>
          <w:rFonts w:ascii="Arial Narrow" w:eastAsia="Calibri" w:hAnsi="Arial Narrow" w:cs="Calibri"/>
          <w:color w:val="000000"/>
          <w:sz w:val="18"/>
          <w:szCs w:val="18"/>
        </w:rPr>
        <w:t xml:space="preserve">Values for severe hypos were </w:t>
      </w:r>
      <w:r w:rsidRPr="00D15DEE">
        <w:rPr>
          <w:rFonts w:ascii="Arial Narrow" w:eastAsia="Calibri" w:hAnsi="Arial Narrow" w:cs="Calibri"/>
          <w:color w:val="000000"/>
          <w:sz w:val="18"/>
          <w:szCs w:val="18"/>
        </w:rPr>
        <w:t>compiled during evaluation.</w:t>
      </w:r>
    </w:p>
    <w:p w:rsidR="002C6E29" w:rsidRPr="00D15DEE" w:rsidRDefault="002C6E29" w:rsidP="002C6E29">
      <w:pPr>
        <w:autoSpaceDE w:val="0"/>
        <w:autoSpaceDN w:val="0"/>
        <w:adjustRightInd w:val="0"/>
        <w:spacing w:before="0" w:after="0"/>
        <w:rPr>
          <w:rFonts w:ascii="Arial Narrow" w:eastAsia="Calibri" w:hAnsi="Arial Narrow" w:cs="Calibri"/>
          <w:color w:val="000000"/>
          <w:sz w:val="18"/>
          <w:szCs w:val="18"/>
        </w:rPr>
      </w:pPr>
      <w:r w:rsidRPr="00D15DEE">
        <w:rPr>
          <w:rFonts w:ascii="Arial Narrow" w:eastAsia="Calibri" w:hAnsi="Arial Narrow" w:cs="Calibri"/>
          <w:color w:val="000000"/>
          <w:sz w:val="18"/>
          <w:szCs w:val="18"/>
        </w:rPr>
        <w:t>CI = confidence interval; N = total participants in group; NR = not reported; T1DM = type 1 diabetes mellitus; T2DM = type 2 diabetes mellitus; PYE = patient years of exposure</w:t>
      </w:r>
    </w:p>
    <w:p w:rsidR="002C6E29" w:rsidRPr="00D15DEE" w:rsidRDefault="002C6E29" w:rsidP="002325A4">
      <w:pPr>
        <w:autoSpaceDE w:val="0"/>
        <w:autoSpaceDN w:val="0"/>
        <w:adjustRightInd w:val="0"/>
        <w:spacing w:before="0" w:after="0"/>
        <w:rPr>
          <w:rFonts w:ascii="Arial Narrow" w:eastAsia="Calibri" w:hAnsi="Arial Narrow" w:cs="Calibri"/>
          <w:color w:val="000000"/>
          <w:sz w:val="18"/>
          <w:szCs w:val="18"/>
        </w:rPr>
      </w:pPr>
      <w:r w:rsidRPr="00D15DEE">
        <w:rPr>
          <w:rFonts w:ascii="Arial Narrow" w:eastAsia="Calibri" w:hAnsi="Arial Narrow" w:cs="Calibri"/>
          <w:b/>
          <w:color w:val="000000"/>
          <w:sz w:val="18"/>
          <w:szCs w:val="18"/>
        </w:rPr>
        <w:t xml:space="preserve">Bold </w:t>
      </w:r>
      <w:r w:rsidRPr="00D15DEE">
        <w:rPr>
          <w:rFonts w:ascii="Arial Narrow" w:eastAsia="Calibri" w:hAnsi="Arial Narrow" w:cs="Calibri"/>
          <w:color w:val="000000"/>
          <w:sz w:val="18"/>
          <w:szCs w:val="18"/>
        </w:rPr>
        <w:t>= statistically significant</w:t>
      </w:r>
    </w:p>
    <w:p w:rsidR="00635C51" w:rsidRPr="00635C51" w:rsidRDefault="00635C51" w:rsidP="00635C51">
      <w:pPr>
        <w:pStyle w:val="ListParagraph"/>
        <w:numPr>
          <w:ilvl w:val="1"/>
          <w:numId w:val="1"/>
        </w:numPr>
        <w:ind w:left="720" w:hanging="720"/>
        <w:jc w:val="both"/>
      </w:pPr>
      <w:r w:rsidRPr="00635C51">
        <w:t xml:space="preserve">Additionally, the PBAC noted that blood glucose levels in the studies were measured using self-measuring devices rather than continuous blood glucose monitoring and therefore do not provide complete or accurate data </w:t>
      </w:r>
      <w:r w:rsidR="005B6B8B">
        <w:t xml:space="preserve">of </w:t>
      </w:r>
      <w:r w:rsidRPr="00635C51">
        <w:t xml:space="preserve">blood glucose levels over the whole dosing interval. </w:t>
      </w:r>
    </w:p>
    <w:p w:rsidR="00624315" w:rsidRPr="00C756B5" w:rsidRDefault="00624315" w:rsidP="00772501">
      <w:pPr>
        <w:pStyle w:val="Heading2"/>
        <w:rPr>
          <w:i w:val="0"/>
        </w:rPr>
      </w:pPr>
      <w:r w:rsidRPr="00C756B5">
        <w:rPr>
          <w:i w:val="0"/>
        </w:rPr>
        <w:t>Benefits and harms</w:t>
      </w:r>
      <w:bookmarkEnd w:id="20"/>
    </w:p>
    <w:p w:rsidR="00FB5D5A" w:rsidRDefault="00FB5D5A" w:rsidP="00ED41A7">
      <w:pPr>
        <w:pStyle w:val="ListParagraph"/>
        <w:numPr>
          <w:ilvl w:val="1"/>
          <w:numId w:val="1"/>
        </w:numPr>
        <w:ind w:left="720" w:hanging="720"/>
        <w:jc w:val="both"/>
        <w:rPr>
          <w:color w:val="000000" w:themeColor="text1"/>
        </w:rPr>
      </w:pPr>
      <w:r>
        <w:rPr>
          <w:color w:val="000000" w:themeColor="text1"/>
        </w:rPr>
        <w:t>As the PBAC did not accept the submission’s claim of superior safety, a benefit and harms table has not been presented.</w:t>
      </w:r>
    </w:p>
    <w:p w:rsidR="00C317F3" w:rsidRPr="00D15DEE" w:rsidRDefault="008058E8" w:rsidP="00772501">
      <w:pPr>
        <w:pStyle w:val="Heading2"/>
        <w:rPr>
          <w:i w:val="0"/>
        </w:rPr>
      </w:pPr>
      <w:bookmarkStart w:id="22" w:name="_Toc493067748"/>
      <w:bookmarkEnd w:id="21"/>
      <w:r w:rsidRPr="00D15DEE">
        <w:rPr>
          <w:i w:val="0"/>
        </w:rPr>
        <w:t>Interpretation of clinical evidence</w:t>
      </w:r>
      <w:bookmarkEnd w:id="22"/>
    </w:p>
    <w:p w:rsidR="002C4EC5" w:rsidRPr="00D15DEE" w:rsidRDefault="001C69A6" w:rsidP="00ED41A7">
      <w:pPr>
        <w:pStyle w:val="ListParagraph"/>
        <w:numPr>
          <w:ilvl w:val="1"/>
          <w:numId w:val="1"/>
        </w:numPr>
        <w:ind w:left="720" w:hanging="720"/>
        <w:jc w:val="both"/>
      </w:pPr>
      <w:r w:rsidRPr="00D15DEE">
        <w:t>The submission concluded that in T2DM</w:t>
      </w:r>
      <w:r w:rsidR="005E0068" w:rsidRPr="00D15DEE">
        <w:t xml:space="preserve"> and T1DM</w:t>
      </w:r>
      <w:r w:rsidRPr="00D15DEE">
        <w:t xml:space="preserve"> patients IDegAsp ha</w:t>
      </w:r>
      <w:r w:rsidR="00B42B22" w:rsidRPr="00D15DEE">
        <w:t>d</w:t>
      </w:r>
      <w:r w:rsidRPr="00D15DEE">
        <w:t xml:space="preserve"> non</w:t>
      </w:r>
      <w:r w:rsidR="00A41C18" w:rsidRPr="00D15DEE">
        <w:t>-</w:t>
      </w:r>
      <w:r w:rsidRPr="00D15DEE">
        <w:t xml:space="preserve">inferior effectiveness (measured by the change in HBA1c). </w:t>
      </w:r>
      <w:r w:rsidR="00AF3BF9" w:rsidRPr="00D15DEE">
        <w:t xml:space="preserve">The </w:t>
      </w:r>
      <w:r w:rsidR="00720ADF">
        <w:t>PBAC considered this claim to be reasonably supported</w:t>
      </w:r>
      <w:r w:rsidR="00D1131E">
        <w:t xml:space="preserve"> for T</w:t>
      </w:r>
      <w:r w:rsidR="00AD5600">
        <w:t>2</w:t>
      </w:r>
      <w:r w:rsidR="00D1131E">
        <w:t xml:space="preserve">DM. </w:t>
      </w:r>
      <w:r w:rsidR="00E809C2">
        <w:t>As noted above, t</w:t>
      </w:r>
      <w:r w:rsidR="00D1131E">
        <w:t xml:space="preserve">he PBAC considered </w:t>
      </w:r>
      <w:r w:rsidR="00720ADF">
        <w:t>the comparison against I</w:t>
      </w:r>
      <w:r w:rsidR="00D1131E">
        <w:t>D</w:t>
      </w:r>
      <w:r w:rsidR="00720ADF">
        <w:t>et in T1DM to be of limited usefulness for decision making</w:t>
      </w:r>
      <w:r w:rsidR="00E809C2">
        <w:t xml:space="preserve">. </w:t>
      </w:r>
    </w:p>
    <w:p w:rsidR="00E54FAC" w:rsidRPr="00D15DEE" w:rsidRDefault="00B42B22" w:rsidP="00ED41A7">
      <w:pPr>
        <w:pStyle w:val="ListParagraph"/>
        <w:numPr>
          <w:ilvl w:val="1"/>
          <w:numId w:val="1"/>
        </w:numPr>
        <w:ind w:left="720" w:hanging="720"/>
        <w:jc w:val="both"/>
      </w:pPr>
      <w:r w:rsidRPr="00D15DEE">
        <w:t>The submission concluded that in T2DM and T1DM patients IDegAsp had superior safety in terms of rate of confirmed hypoglycaemi</w:t>
      </w:r>
      <w:r w:rsidR="006A237F" w:rsidRPr="00D15DEE">
        <w:t>c events</w:t>
      </w:r>
      <w:r w:rsidRPr="00D15DEE">
        <w:t>.</w:t>
      </w:r>
      <w:r w:rsidR="00E54FAC" w:rsidRPr="00D15DEE">
        <w:t xml:space="preserve"> </w:t>
      </w:r>
      <w:r w:rsidR="00A353AF" w:rsidRPr="00D15DEE">
        <w:t>T</w:t>
      </w:r>
      <w:r w:rsidR="00E54FAC" w:rsidRPr="00D15DEE">
        <w:t>h</w:t>
      </w:r>
      <w:r w:rsidR="00720ADF">
        <w:t xml:space="preserve">e </w:t>
      </w:r>
      <w:r w:rsidR="00D1131E">
        <w:t>evaluation and ESC</w:t>
      </w:r>
      <w:r w:rsidR="00720ADF">
        <w:t xml:space="preserve"> considered this claim was</w:t>
      </w:r>
      <w:r w:rsidR="00E54FAC" w:rsidRPr="00D15DEE">
        <w:t xml:space="preserve"> not </w:t>
      </w:r>
      <w:r w:rsidR="00720ADF">
        <w:t>well</w:t>
      </w:r>
      <w:r w:rsidR="00E54FAC" w:rsidRPr="00D15DEE">
        <w:t xml:space="preserve"> supported by the evidence as IDegAsp </w:t>
      </w:r>
      <w:r w:rsidR="00A353AF" w:rsidRPr="00D15DEE">
        <w:t>w</w:t>
      </w:r>
      <w:r w:rsidR="00A41C18" w:rsidRPr="00D15DEE">
        <w:t xml:space="preserve">as </w:t>
      </w:r>
      <w:r w:rsidR="00E54FAC" w:rsidRPr="00D15DEE">
        <w:t>non</w:t>
      </w:r>
      <w:r w:rsidR="00A41C18" w:rsidRPr="00D15DEE">
        <w:t>-</w:t>
      </w:r>
      <w:r w:rsidR="00E54FAC" w:rsidRPr="00D15DEE">
        <w:t>inferior</w:t>
      </w:r>
      <w:r w:rsidR="00B438D9" w:rsidRPr="00D15DEE">
        <w:t>:</w:t>
      </w:r>
      <w:r w:rsidR="00E54FAC" w:rsidRPr="00D15DEE">
        <w:t xml:space="preserve"> </w:t>
      </w:r>
    </w:p>
    <w:p w:rsidR="00E54FAC" w:rsidRPr="00D15DEE" w:rsidRDefault="00E54FAC" w:rsidP="00962105">
      <w:pPr>
        <w:pStyle w:val="ListParagraph"/>
        <w:numPr>
          <w:ilvl w:val="2"/>
          <w:numId w:val="1"/>
        </w:numPr>
        <w:spacing w:before="0" w:after="0"/>
        <w:ind w:left="993" w:hanging="284"/>
        <w:jc w:val="both"/>
      </w:pPr>
      <w:r w:rsidRPr="00D15DEE">
        <w:t xml:space="preserve">in study 3597 (T2DM, insulin-experienced (Asian study)) in the rate of confirmed hypoglycaemic events; </w:t>
      </w:r>
    </w:p>
    <w:p w:rsidR="00E54FAC" w:rsidRPr="00D15DEE" w:rsidRDefault="001C69A6" w:rsidP="00962105">
      <w:pPr>
        <w:pStyle w:val="ListParagraph"/>
        <w:numPr>
          <w:ilvl w:val="2"/>
          <w:numId w:val="1"/>
        </w:numPr>
        <w:spacing w:before="0" w:after="0"/>
        <w:ind w:left="993" w:hanging="284"/>
        <w:jc w:val="both"/>
      </w:pPr>
      <w:r w:rsidRPr="00D15DEE">
        <w:t>in terms of risk of a patient experiencing one or more confirmed hypoglycaemic events or confirmed severe hypoglycaemic events</w:t>
      </w:r>
      <w:r w:rsidR="00E54FAC" w:rsidRPr="00D15DEE">
        <w:t>;</w:t>
      </w:r>
      <w:r w:rsidRPr="00D15DEE">
        <w:t xml:space="preserve"> and </w:t>
      </w:r>
    </w:p>
    <w:p w:rsidR="00977909" w:rsidRDefault="001C69A6" w:rsidP="0004794A">
      <w:pPr>
        <w:pStyle w:val="ListParagraph"/>
        <w:numPr>
          <w:ilvl w:val="2"/>
          <w:numId w:val="1"/>
        </w:numPr>
        <w:spacing w:before="0" w:after="0"/>
        <w:ind w:left="993" w:hanging="284"/>
        <w:jc w:val="both"/>
      </w:pPr>
      <w:r w:rsidRPr="00D15DEE">
        <w:t xml:space="preserve"> in terms </w:t>
      </w:r>
      <w:r w:rsidRPr="00D15DEE">
        <w:rPr>
          <w:lang w:val="en-AU"/>
        </w:rPr>
        <w:t>of</w:t>
      </w:r>
      <w:r w:rsidRPr="00D15DEE">
        <w:t xml:space="preserve"> rate</w:t>
      </w:r>
      <w:r w:rsidR="00D1131E">
        <w:t>s</w:t>
      </w:r>
      <w:r w:rsidRPr="00D15DEE">
        <w:t xml:space="preserve"> of confirmed severe hypoglycaemic events.</w:t>
      </w:r>
    </w:p>
    <w:p w:rsidR="00D1131E" w:rsidRPr="00D15DEE" w:rsidRDefault="00D1131E" w:rsidP="0004794A">
      <w:pPr>
        <w:pStyle w:val="ListParagraph"/>
        <w:spacing w:before="0" w:after="0"/>
        <w:ind w:left="993"/>
        <w:jc w:val="both"/>
      </w:pPr>
    </w:p>
    <w:p w:rsidR="00F05A52" w:rsidRDefault="00F21B73" w:rsidP="00BD05DB">
      <w:pPr>
        <w:pStyle w:val="ListParagraph"/>
        <w:numPr>
          <w:ilvl w:val="1"/>
          <w:numId w:val="1"/>
        </w:numPr>
        <w:spacing w:before="0" w:after="120"/>
        <w:ind w:left="709" w:hanging="709"/>
        <w:jc w:val="both"/>
      </w:pPr>
      <w:r w:rsidRPr="00D15DEE">
        <w:t xml:space="preserve">The PSCR (p2) </w:t>
      </w:r>
      <w:r w:rsidR="00013515" w:rsidRPr="00D15DEE">
        <w:t>claimed</w:t>
      </w:r>
      <w:r w:rsidRPr="00D15DEE">
        <w:t xml:space="preserve"> that IDegAsp provided a clinical</w:t>
      </w:r>
      <w:r w:rsidR="00013515" w:rsidRPr="00D15DEE">
        <w:t>ly</w:t>
      </w:r>
      <w:r w:rsidRPr="00D15DEE">
        <w:t xml:space="preserve"> meaningful reduction in the treatment ratio of confirmed and nocturnal hypoglycaemia to support the superior safety of IDegAsp over the comparators. In particular, based on the American Diabetes Association (ADA)</w:t>
      </w:r>
      <w:r w:rsidR="00100C80" w:rsidRPr="00D15DEE">
        <w:rPr>
          <w:rFonts w:ascii="Arial" w:hAnsi="Arial" w:cs="Arial"/>
          <w:color w:val="000000"/>
          <w:sz w:val="22"/>
          <w:lang w:val="en-AU"/>
        </w:rPr>
        <w:t xml:space="preserve"> </w:t>
      </w:r>
      <w:r w:rsidR="00100C80" w:rsidRPr="00D15DEE">
        <w:rPr>
          <w:lang w:val="en-AU"/>
        </w:rPr>
        <w:t>work group on hypoglycaemia,</w:t>
      </w:r>
      <w:r w:rsidRPr="00D15DEE">
        <w:t xml:space="preserve"> a reduction in rate of confirmed and nocturnal hypoglycaemia of ≥30% by a new drug is considered clinically meaningful. </w:t>
      </w:r>
      <w:r w:rsidR="00100C80" w:rsidRPr="00D15DEE">
        <w:t>Further, the PSCR claimed that</w:t>
      </w:r>
      <w:r w:rsidRPr="00D15DEE">
        <w:t xml:space="preserve"> for hypoglycaemic episodes, including less severe hypoglycaemic episodes (confirmed and nocturnal hypoglycaemia) often precede severe hypoglycaemia and are considered the greatest risk factor for the development of severe hypoglycaemia in the future which were not demonstrated in trials specifically for IDegAsp. The PSCR also </w:t>
      </w:r>
      <w:r w:rsidR="00100C80" w:rsidRPr="00D15DEE">
        <w:t>claimed</w:t>
      </w:r>
      <w:r w:rsidRPr="00D15DEE">
        <w:t xml:space="preserve"> that non-severe hypoglycaemia will have an impact on cardiovascular deaths and overall survival</w:t>
      </w:r>
      <w:r w:rsidR="0036776A" w:rsidRPr="00D15DEE">
        <w:t>.</w:t>
      </w:r>
      <w:r w:rsidR="00100C80" w:rsidRPr="00D15DEE">
        <w:t xml:space="preserve"> </w:t>
      </w:r>
      <w:r w:rsidR="004204A0">
        <w:t xml:space="preserve">The pre-PBAC response (p2) </w:t>
      </w:r>
      <w:r w:rsidR="00E918C2">
        <w:t xml:space="preserve">argued </w:t>
      </w:r>
      <w:r w:rsidR="00EA3DBC" w:rsidRPr="004204A0">
        <w:t xml:space="preserve">that these trials were not designed to measure outcomes of hypoglycaemia </w:t>
      </w:r>
      <w:r w:rsidR="00EA3DBC">
        <w:t xml:space="preserve">but </w:t>
      </w:r>
      <w:r w:rsidR="00F8272F">
        <w:t xml:space="preserve">that </w:t>
      </w:r>
      <w:r w:rsidR="00EA3DBC" w:rsidRPr="004204A0">
        <w:t>the link between hypoglycaemia and these long-term conditions has been well established</w:t>
      </w:r>
      <w:r w:rsidR="00EA3DBC">
        <w:t>.</w:t>
      </w:r>
      <w:r w:rsidR="00F43B48">
        <w:t xml:space="preserve"> </w:t>
      </w:r>
    </w:p>
    <w:p w:rsidR="00F21B73" w:rsidRDefault="00F43B48" w:rsidP="00BD05DB">
      <w:pPr>
        <w:pStyle w:val="ListParagraph"/>
        <w:numPr>
          <w:ilvl w:val="1"/>
          <w:numId w:val="1"/>
        </w:numPr>
        <w:spacing w:before="0" w:after="120"/>
        <w:ind w:left="709" w:hanging="709"/>
        <w:jc w:val="both"/>
      </w:pPr>
      <w:r>
        <w:t>The PBAC considered that</w:t>
      </w:r>
      <w:r w:rsidRPr="009319C9">
        <w:t xml:space="preserve"> </w:t>
      </w:r>
      <w:r>
        <w:t>w</w:t>
      </w:r>
      <w:r w:rsidRPr="009319C9">
        <w:t>hile IDegAsp was statistically superior in terms of number of biochemically confirmed hypoglycaemic episodes</w:t>
      </w:r>
      <w:r w:rsidR="00F05A52">
        <w:t xml:space="preserve"> in some trials</w:t>
      </w:r>
      <w:r w:rsidRPr="009319C9">
        <w:t>, this difference may not be clinically meaningful, particularly as there was no difference in the relative risk of an individual patient having at least one confirmed hypoglycaemic event and there was no difference in the risk of a patient having a severe hypoglycaemic event (either relative risk or incidence rate ratios).</w:t>
      </w:r>
      <w:r>
        <w:t xml:space="preserve"> </w:t>
      </w:r>
      <w:r w:rsidR="009E252B">
        <w:t>Thus the PBAC did not accept the submission’s claim of superior safety.</w:t>
      </w:r>
    </w:p>
    <w:p w:rsidR="00471E20" w:rsidRPr="00D15DEE" w:rsidRDefault="00C317F3" w:rsidP="005E0068">
      <w:pPr>
        <w:pStyle w:val="Heading2"/>
        <w:rPr>
          <w:i w:val="0"/>
        </w:rPr>
      </w:pPr>
      <w:bookmarkStart w:id="23" w:name="_Toc413139282"/>
      <w:bookmarkStart w:id="24" w:name="_Toc493067749"/>
      <w:r w:rsidRPr="00D15DEE">
        <w:rPr>
          <w:i w:val="0"/>
        </w:rPr>
        <w:t>Economic analysis</w:t>
      </w:r>
      <w:bookmarkEnd w:id="23"/>
      <w:bookmarkEnd w:id="24"/>
    </w:p>
    <w:p w:rsidR="00D35F56" w:rsidRPr="00D15DEE" w:rsidRDefault="002C4EC5" w:rsidP="00ED41A7">
      <w:pPr>
        <w:pStyle w:val="ListParagraph"/>
        <w:numPr>
          <w:ilvl w:val="1"/>
          <w:numId w:val="1"/>
        </w:numPr>
        <w:ind w:left="720" w:hanging="720"/>
        <w:jc w:val="both"/>
        <w:rPr>
          <w:rFonts w:ascii="Calibri" w:eastAsia="Calibri" w:hAnsi="Calibri" w:cs="Times New Roman"/>
          <w:lang w:val="en-AU"/>
        </w:rPr>
      </w:pPr>
      <w:r w:rsidRPr="00D15DEE">
        <w:rPr>
          <w:rFonts w:ascii="Calibri" w:eastAsia="Calibri" w:hAnsi="Calibri" w:cs="Times New Roman"/>
          <w:lang w:val="en-AU"/>
        </w:rPr>
        <w:t xml:space="preserve">The submission presented a cost-minimisation analysis of </w:t>
      </w:r>
      <w:r w:rsidR="0004412F" w:rsidRPr="00D15DEE">
        <w:rPr>
          <w:rFonts w:ascii="Calibri" w:eastAsia="Calibri" w:hAnsi="Calibri" w:cs="Times New Roman"/>
          <w:lang w:val="en-AU"/>
        </w:rPr>
        <w:t>IDegAsp</w:t>
      </w:r>
      <w:r w:rsidRPr="00D15DEE">
        <w:rPr>
          <w:rFonts w:ascii="Calibri" w:eastAsia="Calibri" w:hAnsi="Calibri" w:cs="Times New Roman"/>
          <w:lang w:val="en-AU"/>
        </w:rPr>
        <w:t xml:space="preserve"> versus </w:t>
      </w:r>
      <w:r w:rsidR="00E12B94" w:rsidRPr="00D15DEE">
        <w:rPr>
          <w:rFonts w:ascii="Calibri" w:eastAsia="Calibri" w:hAnsi="Calibri" w:cs="Times New Roman"/>
          <w:lang w:val="en-AU"/>
        </w:rPr>
        <w:t>BIAsp 30 (T2DM) and IDet (T1DM), with cost offsets for severe hypoglycaemic events</w:t>
      </w:r>
      <w:r w:rsidRPr="00D15DEE">
        <w:rPr>
          <w:rFonts w:ascii="Calibri" w:eastAsia="Calibri" w:hAnsi="Calibri" w:cs="Times New Roman"/>
          <w:lang w:val="en-AU"/>
        </w:rPr>
        <w:t xml:space="preserve">. </w:t>
      </w:r>
      <w:r w:rsidR="00D1131E">
        <w:rPr>
          <w:rFonts w:ascii="Calibri" w:eastAsia="Calibri" w:hAnsi="Calibri" w:cs="Times New Roman"/>
          <w:lang w:val="en-AU"/>
        </w:rPr>
        <w:t xml:space="preserve">The PBAC noted the submission’s approach was </w:t>
      </w:r>
      <w:r w:rsidRPr="00D15DEE">
        <w:rPr>
          <w:rFonts w:ascii="Calibri" w:eastAsia="Calibri" w:hAnsi="Calibri" w:cs="Times New Roman"/>
          <w:lang w:val="en-AU"/>
        </w:rPr>
        <w:t>in line with the clinical evide</w:t>
      </w:r>
      <w:r w:rsidR="005863A4" w:rsidRPr="00D15DEE">
        <w:rPr>
          <w:rFonts w:ascii="Calibri" w:eastAsia="Calibri" w:hAnsi="Calibri" w:cs="Times New Roman"/>
          <w:lang w:val="en-AU"/>
        </w:rPr>
        <w:t xml:space="preserve">nce of </w:t>
      </w:r>
      <w:r w:rsidR="00A34406" w:rsidRPr="00D15DEE">
        <w:rPr>
          <w:rFonts w:ascii="Calibri" w:eastAsia="Calibri" w:hAnsi="Calibri" w:cs="Times New Roman"/>
          <w:lang w:val="en-AU"/>
        </w:rPr>
        <w:t>non</w:t>
      </w:r>
      <w:r w:rsidR="00712CDD">
        <w:rPr>
          <w:rFonts w:ascii="Calibri" w:eastAsia="Calibri" w:hAnsi="Calibri" w:cs="Times New Roman"/>
          <w:lang w:val="en-AU"/>
        </w:rPr>
        <w:t>-</w:t>
      </w:r>
      <w:r w:rsidR="00A34406" w:rsidRPr="00D15DEE">
        <w:rPr>
          <w:rFonts w:ascii="Calibri" w:eastAsia="Calibri" w:hAnsi="Calibri" w:cs="Times New Roman"/>
          <w:lang w:val="en-AU"/>
        </w:rPr>
        <w:t>inferior</w:t>
      </w:r>
      <w:r w:rsidR="005863A4" w:rsidRPr="00D15DEE">
        <w:rPr>
          <w:rFonts w:ascii="Calibri" w:eastAsia="Calibri" w:hAnsi="Calibri" w:cs="Times New Roman"/>
          <w:lang w:val="en-AU"/>
        </w:rPr>
        <w:t xml:space="preserve"> efficacy</w:t>
      </w:r>
      <w:r w:rsidR="009E252B">
        <w:rPr>
          <w:rFonts w:ascii="Calibri" w:eastAsia="Calibri" w:hAnsi="Calibri" w:cs="Times New Roman"/>
          <w:lang w:val="en-AU"/>
        </w:rPr>
        <w:t xml:space="preserve"> </w:t>
      </w:r>
      <w:r w:rsidR="00D1131E">
        <w:rPr>
          <w:rFonts w:ascii="Calibri" w:eastAsia="Calibri" w:hAnsi="Calibri" w:cs="Times New Roman"/>
          <w:lang w:val="en-AU"/>
        </w:rPr>
        <w:t>in T2DM</w:t>
      </w:r>
      <w:r w:rsidR="005863A4" w:rsidRPr="00D15DEE">
        <w:rPr>
          <w:rFonts w:ascii="Calibri" w:eastAsia="Calibri" w:hAnsi="Calibri" w:cs="Times New Roman"/>
          <w:lang w:val="en-AU"/>
        </w:rPr>
        <w:t>,</w:t>
      </w:r>
      <w:r w:rsidR="00E12B94" w:rsidRPr="00D15DEE">
        <w:rPr>
          <w:rFonts w:ascii="Calibri" w:eastAsia="Calibri" w:hAnsi="Calibri" w:cs="Times New Roman"/>
          <w:lang w:val="en-AU"/>
        </w:rPr>
        <w:t xml:space="preserve"> but not in line with the clinical evidence for</w:t>
      </w:r>
      <w:r w:rsidRPr="00D15DEE">
        <w:rPr>
          <w:rFonts w:ascii="Calibri" w:eastAsia="Calibri" w:hAnsi="Calibri" w:cs="Times New Roman"/>
          <w:lang w:val="en-AU"/>
        </w:rPr>
        <w:t xml:space="preserve"> safety. </w:t>
      </w:r>
    </w:p>
    <w:p w:rsidR="005A5160" w:rsidRPr="00D15DEE" w:rsidRDefault="00E12B94" w:rsidP="00ED41A7">
      <w:pPr>
        <w:pStyle w:val="ListParagraph"/>
        <w:numPr>
          <w:ilvl w:val="1"/>
          <w:numId w:val="1"/>
        </w:numPr>
        <w:ind w:left="720" w:hanging="720"/>
        <w:jc w:val="both"/>
        <w:rPr>
          <w:color w:val="000000" w:themeColor="text1"/>
        </w:rPr>
      </w:pPr>
      <w:r w:rsidRPr="00D15DEE">
        <w:rPr>
          <w:color w:val="000000" w:themeColor="text1"/>
        </w:rPr>
        <w:t>The submission did not take a convention</w:t>
      </w:r>
      <w:r w:rsidR="000F5ED1" w:rsidRPr="00D15DEE">
        <w:rPr>
          <w:color w:val="000000" w:themeColor="text1"/>
        </w:rPr>
        <w:t>al</w:t>
      </w:r>
      <w:r w:rsidRPr="00D15DEE">
        <w:rPr>
          <w:color w:val="000000" w:themeColor="text1"/>
        </w:rPr>
        <w:t xml:space="preserve"> approach of calculating the cost minimised price of the drug based on equi-effective doses and cost offsets; rather, the submission set the price </w:t>
      </w:r>
      <w:r w:rsidR="003D4C17" w:rsidRPr="00D15DEE">
        <w:rPr>
          <w:color w:val="000000" w:themeColor="text1"/>
        </w:rPr>
        <w:t xml:space="preserve">of IDegAsp </w:t>
      </w:r>
      <w:r w:rsidRPr="00D15DEE">
        <w:rPr>
          <w:color w:val="000000" w:themeColor="text1"/>
        </w:rPr>
        <w:t>at a</w:t>
      </w:r>
      <w:r w:rsidR="00221886">
        <w:rPr>
          <w:color w:val="000000" w:themeColor="text1"/>
        </w:rPr>
        <w:t>n effective</w:t>
      </w:r>
      <w:r w:rsidRPr="00D15DEE">
        <w:rPr>
          <w:color w:val="000000" w:themeColor="text1"/>
        </w:rPr>
        <w:t xml:space="preserve"> DMPQ of $</w:t>
      </w:r>
      <w:r w:rsidR="00C80DBB">
        <w:rPr>
          <w:noProof/>
          <w:color w:val="000000"/>
          <w:highlight w:val="black"/>
        </w:rPr>
        <w:t>'''''''''''''</w:t>
      </w:r>
      <w:r w:rsidRPr="00D15DEE">
        <w:rPr>
          <w:color w:val="000000" w:themeColor="text1"/>
        </w:rPr>
        <w:t xml:space="preserve"> and calcula</w:t>
      </w:r>
      <w:r w:rsidR="00E809C2">
        <w:rPr>
          <w:color w:val="000000" w:themeColor="text1"/>
        </w:rPr>
        <w:t>ted that at this price the listing of IDegAsp would be overall cost-saving due to differences in the rates of hypoglycaemic events.</w:t>
      </w:r>
      <w:r w:rsidR="00BC35A5">
        <w:rPr>
          <w:color w:val="000000" w:themeColor="text1"/>
        </w:rPr>
        <w:t xml:space="preserve"> </w:t>
      </w:r>
    </w:p>
    <w:p w:rsidR="00E12B94" w:rsidRPr="00D15DEE" w:rsidRDefault="00E12B94" w:rsidP="00ED41A7">
      <w:pPr>
        <w:pStyle w:val="ListParagraph"/>
        <w:numPr>
          <w:ilvl w:val="1"/>
          <w:numId w:val="1"/>
        </w:numPr>
        <w:ind w:left="720" w:hanging="720"/>
        <w:jc w:val="both"/>
        <w:rPr>
          <w:color w:val="000000" w:themeColor="text1"/>
        </w:rPr>
      </w:pPr>
      <w:r w:rsidRPr="00D15DEE">
        <w:rPr>
          <w:rFonts w:ascii="Calibri" w:eastAsia="Calibri" w:hAnsi="Calibri" w:cs="Times New Roman"/>
        </w:rPr>
        <w:t xml:space="preserve">Table </w:t>
      </w:r>
      <w:r w:rsidR="009C133A">
        <w:rPr>
          <w:rFonts w:ascii="Calibri" w:eastAsia="Calibri" w:hAnsi="Calibri" w:cs="Times New Roman"/>
        </w:rPr>
        <w:t>8</w:t>
      </w:r>
      <w:r w:rsidR="0011139F" w:rsidRPr="00D15DEE">
        <w:rPr>
          <w:rFonts w:ascii="Calibri" w:eastAsia="Calibri" w:hAnsi="Calibri" w:cs="Times New Roman"/>
        </w:rPr>
        <w:t xml:space="preserve"> </w:t>
      </w:r>
      <w:r w:rsidRPr="00D15DEE">
        <w:rPr>
          <w:rFonts w:ascii="Calibri" w:eastAsia="Calibri" w:hAnsi="Calibri" w:cs="Times New Roman"/>
        </w:rPr>
        <w:t xml:space="preserve">presents the components of the </w:t>
      </w:r>
      <w:r w:rsidR="00E809C2">
        <w:rPr>
          <w:rFonts w:ascii="Calibri" w:eastAsia="Calibri" w:hAnsi="Calibri" w:cs="Times New Roman"/>
        </w:rPr>
        <w:t xml:space="preserve">submission’s </w:t>
      </w:r>
      <w:r w:rsidRPr="00D15DEE">
        <w:rPr>
          <w:rFonts w:ascii="Calibri" w:eastAsia="Calibri" w:hAnsi="Calibri" w:cs="Times New Roman"/>
        </w:rPr>
        <w:t>cost-minimisation approach.</w:t>
      </w:r>
    </w:p>
    <w:p w:rsidR="003F5F54" w:rsidRDefault="003F5F54">
      <w:pPr>
        <w:spacing w:before="0" w:line="259" w:lineRule="auto"/>
        <w:rPr>
          <w:rFonts w:ascii="Arial Narrow" w:eastAsia="Calibri" w:hAnsi="Arial Narrow" w:cs="Times New Roman"/>
          <w:b/>
          <w:bCs/>
          <w:sz w:val="20"/>
          <w:szCs w:val="20"/>
        </w:rPr>
      </w:pPr>
      <w:bookmarkStart w:id="25" w:name="_Ref483577293"/>
      <w:bookmarkStart w:id="26" w:name="_Toc486583639"/>
      <w:bookmarkStart w:id="27" w:name="_Toc485214840"/>
      <w:r>
        <w:rPr>
          <w:rFonts w:ascii="Arial Narrow" w:eastAsia="Calibri" w:hAnsi="Arial Narrow" w:cs="Times New Roman"/>
          <w:b/>
          <w:bCs/>
          <w:sz w:val="20"/>
          <w:szCs w:val="20"/>
        </w:rPr>
        <w:br w:type="page"/>
      </w:r>
    </w:p>
    <w:p w:rsidR="00471E20" w:rsidRPr="00C756B5" w:rsidRDefault="00471E20" w:rsidP="00043D41">
      <w:pPr>
        <w:keepNext/>
        <w:spacing w:before="0" w:after="60"/>
        <w:rPr>
          <w:rFonts w:ascii="Arial Narrow" w:eastAsia="Calibri" w:hAnsi="Arial Narrow" w:cs="Times New Roman"/>
          <w:b/>
          <w:bCs/>
          <w:sz w:val="20"/>
          <w:szCs w:val="20"/>
        </w:rPr>
      </w:pPr>
      <w:r w:rsidRPr="00C756B5">
        <w:rPr>
          <w:rFonts w:ascii="Arial Narrow" w:eastAsia="Calibri" w:hAnsi="Arial Narrow" w:cs="Times New Roman"/>
          <w:b/>
          <w:bCs/>
          <w:sz w:val="20"/>
          <w:szCs w:val="20"/>
        </w:rPr>
        <w:t xml:space="preserve">Table </w:t>
      </w:r>
      <w:bookmarkEnd w:id="25"/>
      <w:r w:rsidR="009C133A">
        <w:rPr>
          <w:rFonts w:ascii="Arial Narrow" w:eastAsia="Calibri" w:hAnsi="Arial Narrow" w:cs="Times New Roman"/>
          <w:b/>
          <w:bCs/>
          <w:sz w:val="20"/>
          <w:szCs w:val="20"/>
        </w:rPr>
        <w:t>8</w:t>
      </w:r>
      <w:r w:rsidRPr="00C756B5">
        <w:rPr>
          <w:rFonts w:ascii="Arial Narrow" w:eastAsia="Calibri" w:hAnsi="Arial Narrow" w:cs="Times New Roman"/>
          <w:b/>
          <w:bCs/>
          <w:sz w:val="20"/>
          <w:szCs w:val="20"/>
        </w:rPr>
        <w:t>: Key assumptions and components of the cost-minimisation approach</w:t>
      </w:r>
      <w:bookmarkEnd w:id="26"/>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0"/>
        <w:gridCol w:w="7212"/>
      </w:tblGrid>
      <w:tr w:rsidR="00471E20" w:rsidRPr="00C756B5" w:rsidTr="00DC1274">
        <w:trPr>
          <w:trHeight w:val="93"/>
        </w:trPr>
        <w:tc>
          <w:tcPr>
            <w:tcW w:w="1098" w:type="pct"/>
            <w:tcBorders>
              <w:top w:val="single" w:sz="4" w:space="0" w:color="auto"/>
              <w:left w:val="single" w:sz="4" w:space="0" w:color="auto"/>
              <w:bottom w:val="single" w:sz="4" w:space="0" w:color="auto"/>
              <w:right w:val="single" w:sz="4" w:space="0" w:color="auto"/>
            </w:tcBorders>
            <w:hideMark/>
          </w:tcPr>
          <w:p w:rsidR="00471E20" w:rsidRPr="00C756B5" w:rsidRDefault="00471E20" w:rsidP="00F63640">
            <w:pPr>
              <w:spacing w:before="40" w:after="40" w:line="256" w:lineRule="auto"/>
              <w:jc w:val="both"/>
              <w:rPr>
                <w:rFonts w:ascii="Arial Narrow" w:eastAsia="Times New Roman" w:hAnsi="Arial Narrow" w:cs="Times New Roman"/>
                <w:b/>
                <w:color w:val="000000"/>
                <w:sz w:val="20"/>
                <w:szCs w:val="20"/>
                <w:lang w:val="en-US"/>
              </w:rPr>
            </w:pPr>
            <w:r w:rsidRPr="00C756B5">
              <w:rPr>
                <w:rFonts w:ascii="Arial Narrow" w:eastAsia="Times New Roman" w:hAnsi="Arial Narrow" w:cs="Times New Roman"/>
                <w:b/>
                <w:color w:val="000000"/>
                <w:sz w:val="20"/>
                <w:szCs w:val="20"/>
                <w:lang w:val="en-US"/>
              </w:rPr>
              <w:t xml:space="preserve">Component </w:t>
            </w:r>
          </w:p>
        </w:tc>
        <w:tc>
          <w:tcPr>
            <w:tcW w:w="3902" w:type="pct"/>
            <w:tcBorders>
              <w:top w:val="single" w:sz="4" w:space="0" w:color="auto"/>
              <w:left w:val="single" w:sz="4" w:space="0" w:color="auto"/>
              <w:bottom w:val="single" w:sz="4" w:space="0" w:color="auto"/>
              <w:right w:val="single" w:sz="4" w:space="0" w:color="auto"/>
            </w:tcBorders>
            <w:hideMark/>
          </w:tcPr>
          <w:p w:rsidR="00471E20" w:rsidRPr="00C756B5" w:rsidRDefault="00471E20" w:rsidP="00F63640">
            <w:pPr>
              <w:spacing w:before="40" w:after="40" w:line="256" w:lineRule="auto"/>
              <w:jc w:val="both"/>
              <w:rPr>
                <w:rFonts w:ascii="Arial Narrow" w:eastAsia="Times New Roman" w:hAnsi="Arial Narrow" w:cs="Times New Roman"/>
                <w:b/>
                <w:color w:val="000000"/>
                <w:sz w:val="20"/>
                <w:szCs w:val="20"/>
                <w:lang w:val="en-US"/>
              </w:rPr>
            </w:pPr>
            <w:r w:rsidRPr="00C756B5">
              <w:rPr>
                <w:rFonts w:ascii="Arial Narrow" w:eastAsia="Times New Roman" w:hAnsi="Arial Narrow" w:cs="Times New Roman"/>
                <w:b/>
                <w:color w:val="000000"/>
                <w:sz w:val="20"/>
                <w:szCs w:val="20"/>
                <w:lang w:val="en-US"/>
              </w:rPr>
              <w:t xml:space="preserve">Claim or assumption </w:t>
            </w:r>
          </w:p>
        </w:tc>
      </w:tr>
      <w:tr w:rsidR="00433180" w:rsidRPr="00C756B5" w:rsidTr="00DC1274">
        <w:trPr>
          <w:trHeight w:val="1834"/>
        </w:trPr>
        <w:tc>
          <w:tcPr>
            <w:tcW w:w="1098" w:type="pct"/>
            <w:tcBorders>
              <w:top w:val="single" w:sz="4" w:space="0" w:color="auto"/>
              <w:left w:val="single" w:sz="4" w:space="0" w:color="auto"/>
              <w:bottom w:val="single" w:sz="4" w:space="0" w:color="auto"/>
              <w:right w:val="single" w:sz="4" w:space="0" w:color="auto"/>
            </w:tcBorders>
          </w:tcPr>
          <w:p w:rsidR="00433180" w:rsidRPr="00C756B5" w:rsidRDefault="00433180" w:rsidP="00F63640">
            <w:pPr>
              <w:spacing w:before="40" w:after="40" w:line="256" w:lineRule="auto"/>
              <w:jc w:val="both"/>
              <w:rPr>
                <w:rFonts w:ascii="Arial Narrow" w:eastAsia="Times New Roman" w:hAnsi="Arial Narrow" w:cs="Times New Roman"/>
                <w:color w:val="000000"/>
                <w:sz w:val="20"/>
                <w:szCs w:val="20"/>
                <w:lang w:val="en-US"/>
              </w:rPr>
            </w:pPr>
            <w:r w:rsidRPr="00C756B5">
              <w:rPr>
                <w:rFonts w:ascii="Arial Narrow" w:eastAsia="Times New Roman" w:hAnsi="Arial Narrow" w:cs="Times New Roman"/>
                <w:color w:val="000000"/>
                <w:sz w:val="20"/>
                <w:szCs w:val="20"/>
                <w:lang w:val="en-US"/>
              </w:rPr>
              <w:t>Cost of comparators</w:t>
            </w:r>
          </w:p>
        </w:tc>
        <w:tc>
          <w:tcPr>
            <w:tcW w:w="3902" w:type="pct"/>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Y="58"/>
              <w:tblOverlap w:val="never"/>
              <w:tblW w:w="3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2"/>
              <w:gridCol w:w="1481"/>
              <w:gridCol w:w="1380"/>
            </w:tblGrid>
            <w:tr w:rsidR="00433180" w:rsidRPr="00C756B5" w:rsidTr="00DC1274">
              <w:trPr>
                <w:trHeight w:val="300"/>
              </w:trPr>
              <w:tc>
                <w:tcPr>
                  <w:tcW w:w="2419" w:type="pct"/>
                  <w:shd w:val="clear" w:color="000000" w:fill="FFFFFF"/>
                  <w:noWrap/>
                  <w:vAlign w:val="bottom"/>
                  <w:hideMark/>
                </w:tcPr>
                <w:p w:rsidR="00433180" w:rsidRPr="00C756B5" w:rsidRDefault="00433180" w:rsidP="00433180">
                  <w:pPr>
                    <w:spacing w:before="0" w:after="0"/>
                    <w:rPr>
                      <w:rFonts w:ascii="Arial Narrow" w:eastAsia="Times New Roman" w:hAnsi="Arial Narrow" w:cs="Calibri"/>
                      <w:color w:val="000000"/>
                      <w:sz w:val="20"/>
                      <w:lang w:val="en-AU" w:eastAsia="en-AU"/>
                    </w:rPr>
                  </w:pPr>
                  <w:r w:rsidRPr="00C756B5">
                    <w:rPr>
                      <w:rFonts w:ascii="Arial Narrow" w:eastAsia="Times New Roman" w:hAnsi="Arial Narrow" w:cs="Calibri"/>
                      <w:color w:val="000000"/>
                      <w:sz w:val="20"/>
                      <w:lang w:val="en-AU" w:eastAsia="en-AU"/>
                    </w:rPr>
                    <w:t> </w:t>
                  </w:r>
                </w:p>
              </w:tc>
              <w:tc>
                <w:tcPr>
                  <w:tcW w:w="1336" w:type="pct"/>
                  <w:shd w:val="clear" w:color="000000" w:fill="FFFFFF"/>
                  <w:noWrap/>
                  <w:vAlign w:val="bottom"/>
                  <w:hideMark/>
                </w:tcPr>
                <w:p w:rsidR="00433180" w:rsidRPr="00C756B5" w:rsidRDefault="00433180" w:rsidP="0076527F">
                  <w:pPr>
                    <w:spacing w:before="0" w:after="0"/>
                    <w:rPr>
                      <w:rFonts w:ascii="Arial Narrow" w:eastAsia="Times New Roman" w:hAnsi="Arial Narrow" w:cs="Calibri"/>
                      <w:color w:val="000000"/>
                      <w:sz w:val="20"/>
                      <w:u w:val="single"/>
                      <w:lang w:val="en-AU" w:eastAsia="en-AU"/>
                    </w:rPr>
                  </w:pPr>
                  <w:r w:rsidRPr="00C756B5">
                    <w:rPr>
                      <w:rFonts w:ascii="Arial Narrow" w:eastAsia="Times New Roman" w:hAnsi="Arial Narrow" w:cs="Calibri"/>
                      <w:color w:val="000000"/>
                      <w:sz w:val="20"/>
                      <w:u w:val="single"/>
                      <w:lang w:val="en-AU" w:eastAsia="en-AU"/>
                    </w:rPr>
                    <w:t>DPMQ</w:t>
                  </w:r>
                </w:p>
              </w:tc>
              <w:tc>
                <w:tcPr>
                  <w:tcW w:w="1245" w:type="pct"/>
                  <w:shd w:val="clear" w:color="000000" w:fill="FFFFFF"/>
                  <w:noWrap/>
                  <w:vAlign w:val="bottom"/>
                  <w:hideMark/>
                </w:tcPr>
                <w:p w:rsidR="00433180" w:rsidRPr="00C756B5" w:rsidRDefault="00433180" w:rsidP="0076527F">
                  <w:pPr>
                    <w:spacing w:before="0" w:after="0"/>
                    <w:rPr>
                      <w:rFonts w:ascii="Arial Narrow" w:eastAsia="Times New Roman" w:hAnsi="Arial Narrow" w:cs="Calibri"/>
                      <w:color w:val="000000"/>
                      <w:sz w:val="20"/>
                      <w:u w:val="single"/>
                      <w:lang w:val="en-AU" w:eastAsia="en-AU"/>
                    </w:rPr>
                  </w:pPr>
                  <w:r w:rsidRPr="00C756B5">
                    <w:rPr>
                      <w:rFonts w:ascii="Arial Narrow" w:eastAsia="Times New Roman" w:hAnsi="Arial Narrow" w:cs="Calibri"/>
                      <w:color w:val="000000"/>
                      <w:sz w:val="20"/>
                      <w:u w:val="single"/>
                      <w:lang w:val="en-AU" w:eastAsia="en-AU"/>
                    </w:rPr>
                    <w:t>Price per unit</w:t>
                  </w:r>
                </w:p>
              </w:tc>
            </w:tr>
            <w:tr w:rsidR="00433180" w:rsidRPr="00C756B5" w:rsidTr="00DC1274">
              <w:trPr>
                <w:trHeight w:val="300"/>
              </w:trPr>
              <w:tc>
                <w:tcPr>
                  <w:tcW w:w="2419" w:type="pct"/>
                  <w:shd w:val="clear" w:color="000000" w:fill="FFFFFF"/>
                  <w:noWrap/>
                  <w:vAlign w:val="bottom"/>
                  <w:hideMark/>
                </w:tcPr>
                <w:p w:rsidR="00433180" w:rsidRPr="00C756B5" w:rsidRDefault="00433180" w:rsidP="00433180">
                  <w:pPr>
                    <w:spacing w:before="0" w:after="0"/>
                    <w:rPr>
                      <w:rFonts w:ascii="Arial Narrow" w:eastAsia="Times New Roman" w:hAnsi="Arial Narrow" w:cs="Calibri"/>
                      <w:color w:val="000000"/>
                      <w:sz w:val="20"/>
                      <w:lang w:val="en-AU" w:eastAsia="en-AU"/>
                    </w:rPr>
                  </w:pPr>
                  <w:r w:rsidRPr="00C756B5">
                    <w:rPr>
                      <w:rFonts w:ascii="Arial Narrow" w:eastAsia="Times New Roman" w:hAnsi="Arial Narrow" w:cs="Calibri"/>
                      <w:color w:val="000000"/>
                      <w:sz w:val="20"/>
                      <w:lang w:val="en-AU" w:eastAsia="en-AU"/>
                    </w:rPr>
                    <w:t>BIAsp 30, 5 x 3</w:t>
                  </w:r>
                  <w:r w:rsidR="0076527F" w:rsidRPr="00C756B5">
                    <w:rPr>
                      <w:rFonts w:ascii="Arial Narrow" w:eastAsia="Times New Roman" w:hAnsi="Arial Narrow" w:cs="Calibri"/>
                      <w:color w:val="000000"/>
                      <w:sz w:val="20"/>
                      <w:lang w:val="en-AU" w:eastAsia="en-AU"/>
                    </w:rPr>
                    <w:t xml:space="preserve"> </w:t>
                  </w:r>
                  <w:r w:rsidRPr="00C756B5">
                    <w:rPr>
                      <w:rFonts w:ascii="Arial Narrow" w:eastAsia="Times New Roman" w:hAnsi="Arial Narrow" w:cs="Calibri"/>
                      <w:color w:val="000000"/>
                      <w:sz w:val="20"/>
                      <w:lang w:val="en-AU" w:eastAsia="en-AU"/>
                    </w:rPr>
                    <w:t>mL syringes</w:t>
                  </w:r>
                </w:p>
              </w:tc>
              <w:tc>
                <w:tcPr>
                  <w:tcW w:w="1336" w:type="pct"/>
                  <w:shd w:val="clear" w:color="000000" w:fill="FFFFFF"/>
                  <w:noWrap/>
                  <w:vAlign w:val="bottom"/>
                  <w:hideMark/>
                </w:tcPr>
                <w:p w:rsidR="00433180" w:rsidRPr="00CE2229" w:rsidRDefault="00433180" w:rsidP="0076527F">
                  <w:pPr>
                    <w:spacing w:before="0" w:after="0"/>
                    <w:rPr>
                      <w:rFonts w:ascii="Arial Narrow" w:eastAsia="Times New Roman" w:hAnsi="Arial Narrow" w:cs="Calibri"/>
                      <w:color w:val="000000"/>
                      <w:sz w:val="20"/>
                      <w:lang w:val="en-AU" w:eastAsia="en-AU"/>
                    </w:rPr>
                  </w:pPr>
                  <w:r w:rsidRPr="00CE2229">
                    <w:rPr>
                      <w:rFonts w:ascii="Arial Narrow" w:eastAsia="Times New Roman" w:hAnsi="Arial Narrow" w:cs="Calibri"/>
                      <w:color w:val="000000"/>
                      <w:sz w:val="20"/>
                      <w:lang w:val="en-AU" w:eastAsia="en-AU"/>
                    </w:rPr>
                    <w:t>$240.07</w:t>
                  </w:r>
                </w:p>
              </w:tc>
              <w:tc>
                <w:tcPr>
                  <w:tcW w:w="1245" w:type="pct"/>
                  <w:shd w:val="clear" w:color="000000" w:fill="FFFFFF"/>
                  <w:noWrap/>
                  <w:vAlign w:val="bottom"/>
                  <w:hideMark/>
                </w:tcPr>
                <w:p w:rsidR="00433180" w:rsidRPr="00CE2229" w:rsidRDefault="00433180" w:rsidP="0076527F">
                  <w:pPr>
                    <w:spacing w:before="0" w:after="0"/>
                    <w:rPr>
                      <w:rFonts w:ascii="Arial Narrow" w:eastAsia="Times New Roman" w:hAnsi="Arial Narrow" w:cs="Calibri"/>
                      <w:color w:val="000000"/>
                      <w:sz w:val="20"/>
                      <w:lang w:val="en-AU" w:eastAsia="en-AU"/>
                    </w:rPr>
                  </w:pPr>
                  <w:r w:rsidRPr="00CE2229">
                    <w:rPr>
                      <w:rFonts w:ascii="Arial Narrow" w:eastAsia="Times New Roman" w:hAnsi="Arial Narrow" w:cs="Calibri"/>
                      <w:color w:val="000000"/>
                      <w:sz w:val="20"/>
                      <w:lang w:val="en-AU" w:eastAsia="en-AU"/>
                    </w:rPr>
                    <w:t>$0.03</w:t>
                  </w:r>
                </w:p>
              </w:tc>
            </w:tr>
            <w:tr w:rsidR="00433180" w:rsidRPr="00C756B5" w:rsidTr="00DC1274">
              <w:trPr>
                <w:trHeight w:val="300"/>
              </w:trPr>
              <w:tc>
                <w:tcPr>
                  <w:tcW w:w="2419" w:type="pct"/>
                  <w:shd w:val="clear" w:color="000000" w:fill="FFFFFF"/>
                  <w:noWrap/>
                  <w:vAlign w:val="bottom"/>
                  <w:hideMark/>
                </w:tcPr>
                <w:p w:rsidR="00433180" w:rsidRPr="00C756B5" w:rsidRDefault="00433180" w:rsidP="00433180">
                  <w:pPr>
                    <w:spacing w:before="0" w:after="0"/>
                    <w:rPr>
                      <w:rFonts w:ascii="Arial Narrow" w:eastAsia="Times New Roman" w:hAnsi="Arial Narrow" w:cs="Calibri"/>
                      <w:color w:val="000000"/>
                      <w:sz w:val="20"/>
                      <w:lang w:val="en-AU" w:eastAsia="en-AU"/>
                    </w:rPr>
                  </w:pPr>
                  <w:r w:rsidRPr="00C756B5">
                    <w:rPr>
                      <w:rFonts w:ascii="Arial Narrow" w:eastAsia="Times New Roman" w:hAnsi="Arial Narrow" w:cs="Calibri"/>
                      <w:color w:val="000000"/>
                      <w:sz w:val="20"/>
                      <w:lang w:val="en-AU" w:eastAsia="en-AU"/>
                    </w:rPr>
                    <w:t>I</w:t>
                  </w:r>
                  <w:r w:rsidR="005863A4" w:rsidRPr="00C756B5">
                    <w:rPr>
                      <w:rFonts w:ascii="Arial Narrow" w:eastAsia="Times New Roman" w:hAnsi="Arial Narrow" w:cs="Calibri"/>
                      <w:color w:val="000000"/>
                      <w:sz w:val="20"/>
                      <w:lang w:val="en-AU" w:eastAsia="en-AU"/>
                    </w:rPr>
                    <w:t>Det</w:t>
                  </w:r>
                  <w:r w:rsidRPr="00C756B5">
                    <w:rPr>
                      <w:rFonts w:ascii="Arial Narrow" w:eastAsia="Times New Roman" w:hAnsi="Arial Narrow" w:cs="Calibri"/>
                      <w:color w:val="000000"/>
                      <w:sz w:val="20"/>
                      <w:lang w:val="en-AU" w:eastAsia="en-AU"/>
                    </w:rPr>
                    <w:t>, 5 x 3</w:t>
                  </w:r>
                  <w:r w:rsidR="0076527F" w:rsidRPr="00C756B5">
                    <w:rPr>
                      <w:rFonts w:ascii="Arial Narrow" w:eastAsia="Times New Roman" w:hAnsi="Arial Narrow" w:cs="Calibri"/>
                      <w:color w:val="000000"/>
                      <w:sz w:val="20"/>
                      <w:lang w:val="en-AU" w:eastAsia="en-AU"/>
                    </w:rPr>
                    <w:t xml:space="preserve"> </w:t>
                  </w:r>
                  <w:r w:rsidRPr="00C756B5">
                    <w:rPr>
                      <w:rFonts w:ascii="Arial Narrow" w:eastAsia="Times New Roman" w:hAnsi="Arial Narrow" w:cs="Calibri"/>
                      <w:color w:val="000000"/>
                      <w:sz w:val="20"/>
                      <w:lang w:val="en-AU" w:eastAsia="en-AU"/>
                    </w:rPr>
                    <w:t>mL syringes</w:t>
                  </w:r>
                </w:p>
              </w:tc>
              <w:tc>
                <w:tcPr>
                  <w:tcW w:w="1336" w:type="pct"/>
                  <w:shd w:val="clear" w:color="000000" w:fill="FFFFFF"/>
                  <w:noWrap/>
                  <w:vAlign w:val="bottom"/>
                  <w:hideMark/>
                </w:tcPr>
                <w:p w:rsidR="00433180" w:rsidRPr="00C80DBB" w:rsidRDefault="00C80DBB" w:rsidP="0076527F">
                  <w:pPr>
                    <w:spacing w:before="0" w:after="0"/>
                    <w:rPr>
                      <w:rFonts w:ascii="Arial Narrow" w:eastAsia="Times New Roman" w:hAnsi="Arial Narrow" w:cs="Calibri"/>
                      <w:color w:val="000000"/>
                      <w:sz w:val="20"/>
                      <w:highlight w:val="black"/>
                      <w:lang w:val="en-AU" w:eastAsia="en-AU"/>
                    </w:rPr>
                  </w:pPr>
                  <w:r>
                    <w:rPr>
                      <w:rFonts w:ascii="Arial Narrow" w:eastAsia="Times New Roman" w:hAnsi="Arial Narrow" w:cs="Calibri"/>
                      <w:noProof/>
                      <w:color w:val="000000"/>
                      <w:sz w:val="20"/>
                      <w:highlight w:val="black"/>
                      <w:lang w:val="en-AU" w:eastAsia="en-AU"/>
                    </w:rPr>
                    <w:t>''''''''''''''''''''''</w:t>
                  </w:r>
                </w:p>
              </w:tc>
              <w:tc>
                <w:tcPr>
                  <w:tcW w:w="1245" w:type="pct"/>
                  <w:shd w:val="clear" w:color="000000" w:fill="FFFFFF"/>
                  <w:noWrap/>
                  <w:vAlign w:val="bottom"/>
                  <w:hideMark/>
                </w:tcPr>
                <w:p w:rsidR="00433180" w:rsidRPr="00C80DBB" w:rsidRDefault="00C80DBB" w:rsidP="0076527F">
                  <w:pPr>
                    <w:spacing w:before="0" w:after="0"/>
                    <w:rPr>
                      <w:rFonts w:ascii="Arial Narrow" w:eastAsia="Times New Roman" w:hAnsi="Arial Narrow" w:cs="Calibri"/>
                      <w:color w:val="000000"/>
                      <w:sz w:val="20"/>
                      <w:highlight w:val="black"/>
                      <w:lang w:val="en-AU" w:eastAsia="en-AU"/>
                    </w:rPr>
                  </w:pPr>
                  <w:r>
                    <w:rPr>
                      <w:rFonts w:ascii="Arial Narrow" w:eastAsia="Times New Roman" w:hAnsi="Arial Narrow" w:cs="Calibri"/>
                      <w:noProof/>
                      <w:color w:val="000000"/>
                      <w:sz w:val="20"/>
                      <w:highlight w:val="black"/>
                      <w:lang w:val="en-AU" w:eastAsia="en-AU"/>
                    </w:rPr>
                    <w:t>''''''''''''''</w:t>
                  </w:r>
                </w:p>
              </w:tc>
            </w:tr>
            <w:tr w:rsidR="00433180" w:rsidRPr="00C756B5" w:rsidTr="00DC1274">
              <w:trPr>
                <w:trHeight w:val="300"/>
              </w:trPr>
              <w:tc>
                <w:tcPr>
                  <w:tcW w:w="2419" w:type="pct"/>
                  <w:shd w:val="clear" w:color="000000" w:fill="FFFFFF"/>
                  <w:noWrap/>
                  <w:vAlign w:val="bottom"/>
                  <w:hideMark/>
                </w:tcPr>
                <w:p w:rsidR="00433180" w:rsidRPr="00C756B5" w:rsidRDefault="00433180" w:rsidP="00433180">
                  <w:pPr>
                    <w:spacing w:before="0" w:after="0"/>
                    <w:rPr>
                      <w:rFonts w:ascii="Arial Narrow" w:eastAsia="Times New Roman" w:hAnsi="Arial Narrow" w:cs="Calibri"/>
                      <w:color w:val="000000"/>
                      <w:sz w:val="20"/>
                      <w:lang w:val="en-AU" w:eastAsia="en-AU"/>
                    </w:rPr>
                  </w:pPr>
                  <w:r w:rsidRPr="00C756B5">
                    <w:rPr>
                      <w:rFonts w:ascii="Arial Narrow" w:eastAsia="Times New Roman" w:hAnsi="Arial Narrow" w:cs="Calibri"/>
                      <w:color w:val="000000"/>
                      <w:sz w:val="20"/>
                      <w:lang w:val="en-AU" w:eastAsia="en-AU"/>
                    </w:rPr>
                    <w:t>I</w:t>
                  </w:r>
                  <w:r w:rsidR="005863A4" w:rsidRPr="00C756B5">
                    <w:rPr>
                      <w:rFonts w:ascii="Arial Narrow" w:eastAsia="Times New Roman" w:hAnsi="Arial Narrow" w:cs="Calibri"/>
                      <w:color w:val="000000"/>
                      <w:sz w:val="20"/>
                      <w:lang w:val="en-AU" w:eastAsia="en-AU"/>
                    </w:rPr>
                    <w:t>Asp</w:t>
                  </w:r>
                  <w:r w:rsidRPr="00C756B5">
                    <w:rPr>
                      <w:rFonts w:ascii="Arial Narrow" w:eastAsia="Times New Roman" w:hAnsi="Arial Narrow" w:cs="Calibri"/>
                      <w:color w:val="000000"/>
                      <w:sz w:val="20"/>
                      <w:lang w:val="en-AU" w:eastAsia="en-AU"/>
                    </w:rPr>
                    <w:t>, 5 x 3</w:t>
                  </w:r>
                  <w:r w:rsidR="0076527F" w:rsidRPr="00C756B5">
                    <w:rPr>
                      <w:rFonts w:ascii="Arial Narrow" w:eastAsia="Times New Roman" w:hAnsi="Arial Narrow" w:cs="Calibri"/>
                      <w:color w:val="000000"/>
                      <w:sz w:val="20"/>
                      <w:lang w:val="en-AU" w:eastAsia="en-AU"/>
                    </w:rPr>
                    <w:t xml:space="preserve"> </w:t>
                  </w:r>
                  <w:r w:rsidRPr="00C756B5">
                    <w:rPr>
                      <w:rFonts w:ascii="Arial Narrow" w:eastAsia="Times New Roman" w:hAnsi="Arial Narrow" w:cs="Calibri"/>
                      <w:color w:val="000000"/>
                      <w:sz w:val="20"/>
                      <w:lang w:val="en-AU" w:eastAsia="en-AU"/>
                    </w:rPr>
                    <w:t>mL syringes</w:t>
                  </w:r>
                </w:p>
              </w:tc>
              <w:tc>
                <w:tcPr>
                  <w:tcW w:w="1336" w:type="pct"/>
                  <w:shd w:val="clear" w:color="000000" w:fill="FFFFFF"/>
                  <w:noWrap/>
                  <w:vAlign w:val="bottom"/>
                  <w:hideMark/>
                </w:tcPr>
                <w:p w:rsidR="00433180" w:rsidRPr="00CE2229" w:rsidRDefault="00433180" w:rsidP="0076527F">
                  <w:pPr>
                    <w:spacing w:before="0" w:after="0"/>
                    <w:rPr>
                      <w:rFonts w:ascii="Arial Narrow" w:eastAsia="Times New Roman" w:hAnsi="Arial Narrow" w:cs="Calibri"/>
                      <w:color w:val="000000"/>
                      <w:sz w:val="20"/>
                      <w:lang w:val="en-AU" w:eastAsia="en-AU"/>
                    </w:rPr>
                  </w:pPr>
                  <w:r w:rsidRPr="00CE2229">
                    <w:rPr>
                      <w:rFonts w:ascii="Arial Narrow" w:eastAsia="Times New Roman" w:hAnsi="Arial Narrow" w:cs="Calibri"/>
                      <w:color w:val="000000"/>
                      <w:sz w:val="20"/>
                      <w:lang w:val="en-AU" w:eastAsia="en-AU"/>
                    </w:rPr>
                    <w:t>$240.07</w:t>
                  </w:r>
                </w:p>
              </w:tc>
              <w:tc>
                <w:tcPr>
                  <w:tcW w:w="1245" w:type="pct"/>
                  <w:shd w:val="clear" w:color="000000" w:fill="FFFFFF"/>
                  <w:noWrap/>
                  <w:vAlign w:val="bottom"/>
                  <w:hideMark/>
                </w:tcPr>
                <w:p w:rsidR="00433180" w:rsidRPr="00CE2229" w:rsidRDefault="00433180" w:rsidP="0076527F">
                  <w:pPr>
                    <w:spacing w:before="0" w:after="0"/>
                    <w:rPr>
                      <w:rFonts w:ascii="Arial Narrow" w:eastAsia="Times New Roman" w:hAnsi="Arial Narrow" w:cs="Calibri"/>
                      <w:color w:val="000000"/>
                      <w:sz w:val="20"/>
                      <w:lang w:val="en-AU" w:eastAsia="en-AU"/>
                    </w:rPr>
                  </w:pPr>
                  <w:r w:rsidRPr="00CE2229">
                    <w:rPr>
                      <w:rFonts w:ascii="Arial Narrow" w:eastAsia="Times New Roman" w:hAnsi="Arial Narrow" w:cs="Calibri"/>
                      <w:color w:val="000000"/>
                      <w:sz w:val="20"/>
                      <w:lang w:val="en-AU" w:eastAsia="en-AU"/>
                    </w:rPr>
                    <w:t>$0.03</w:t>
                  </w:r>
                </w:p>
              </w:tc>
            </w:tr>
            <w:tr w:rsidR="00433180" w:rsidRPr="00C756B5" w:rsidTr="00DC1274">
              <w:trPr>
                <w:trHeight w:val="300"/>
              </w:trPr>
              <w:tc>
                <w:tcPr>
                  <w:tcW w:w="2419" w:type="pct"/>
                  <w:shd w:val="clear" w:color="000000" w:fill="FFFFFF"/>
                  <w:noWrap/>
                  <w:vAlign w:val="bottom"/>
                  <w:hideMark/>
                </w:tcPr>
                <w:p w:rsidR="00433180" w:rsidRPr="002F1840" w:rsidRDefault="005863A4" w:rsidP="00433180">
                  <w:pPr>
                    <w:spacing w:before="0" w:after="0"/>
                    <w:rPr>
                      <w:rFonts w:ascii="Arial Narrow" w:eastAsia="Times New Roman" w:hAnsi="Arial Narrow" w:cs="Calibri"/>
                      <w:color w:val="000000"/>
                      <w:sz w:val="20"/>
                      <w:szCs w:val="20"/>
                      <w:lang w:val="en-AU" w:eastAsia="en-AU"/>
                    </w:rPr>
                  </w:pPr>
                  <w:r w:rsidRPr="00272A27">
                    <w:rPr>
                      <w:rFonts w:ascii="Arial Narrow" w:eastAsia="Calibri" w:hAnsi="Arial Narrow" w:cs="Times New Roman"/>
                      <w:sz w:val="20"/>
                      <w:szCs w:val="20"/>
                      <w:lang w:eastAsia="zh-CN"/>
                    </w:rPr>
                    <w:t>IDegAsp</w:t>
                  </w:r>
                  <w:r w:rsidR="00433180" w:rsidRPr="00272A27">
                    <w:rPr>
                      <w:rFonts w:ascii="Arial Narrow" w:eastAsia="Times New Roman" w:hAnsi="Arial Narrow" w:cs="Calibri"/>
                      <w:color w:val="000000"/>
                      <w:sz w:val="20"/>
                      <w:szCs w:val="20"/>
                      <w:lang w:val="en-AU" w:eastAsia="en-AU"/>
                    </w:rPr>
                    <w:t>, 5 x 3</w:t>
                  </w:r>
                  <w:r w:rsidR="0076527F" w:rsidRPr="00272A27">
                    <w:rPr>
                      <w:rFonts w:ascii="Arial Narrow" w:eastAsia="Times New Roman" w:hAnsi="Arial Narrow" w:cs="Calibri"/>
                      <w:color w:val="000000"/>
                      <w:sz w:val="20"/>
                      <w:szCs w:val="20"/>
                      <w:lang w:val="en-AU" w:eastAsia="en-AU"/>
                    </w:rPr>
                    <w:t xml:space="preserve"> </w:t>
                  </w:r>
                  <w:r w:rsidR="00433180" w:rsidRPr="002F1840">
                    <w:rPr>
                      <w:rFonts w:ascii="Arial Narrow" w:eastAsia="Times New Roman" w:hAnsi="Arial Narrow" w:cs="Calibri"/>
                      <w:color w:val="000000"/>
                      <w:sz w:val="20"/>
                      <w:szCs w:val="20"/>
                      <w:lang w:val="en-AU" w:eastAsia="en-AU"/>
                    </w:rPr>
                    <w:t>mL syringes</w:t>
                  </w:r>
                </w:p>
              </w:tc>
              <w:tc>
                <w:tcPr>
                  <w:tcW w:w="1336" w:type="pct"/>
                  <w:shd w:val="clear" w:color="000000" w:fill="FFFFFF"/>
                  <w:noWrap/>
                  <w:vAlign w:val="bottom"/>
                  <w:hideMark/>
                </w:tcPr>
                <w:p w:rsidR="00433180" w:rsidRPr="00C80DBB" w:rsidRDefault="00C80DBB" w:rsidP="0076527F">
                  <w:pPr>
                    <w:spacing w:before="0" w:after="0"/>
                    <w:rPr>
                      <w:rFonts w:ascii="Arial Narrow" w:eastAsia="Times New Roman" w:hAnsi="Arial Narrow" w:cs="Calibri"/>
                      <w:color w:val="000000"/>
                      <w:sz w:val="20"/>
                      <w:highlight w:val="black"/>
                      <w:lang w:val="en-AU" w:eastAsia="en-AU"/>
                    </w:rPr>
                  </w:pPr>
                  <w:r>
                    <w:rPr>
                      <w:rFonts w:ascii="Arial Narrow" w:eastAsia="Times New Roman" w:hAnsi="Arial Narrow" w:cs="Calibri"/>
                      <w:noProof/>
                      <w:color w:val="000000"/>
                      <w:sz w:val="20"/>
                      <w:highlight w:val="black"/>
                      <w:lang w:val="en-AU" w:eastAsia="en-AU"/>
                    </w:rPr>
                    <w:t>'''''''''''''''''''''</w:t>
                  </w:r>
                </w:p>
              </w:tc>
              <w:tc>
                <w:tcPr>
                  <w:tcW w:w="1245" w:type="pct"/>
                  <w:shd w:val="clear" w:color="000000" w:fill="FFFFFF"/>
                  <w:noWrap/>
                  <w:vAlign w:val="bottom"/>
                  <w:hideMark/>
                </w:tcPr>
                <w:p w:rsidR="00433180" w:rsidRPr="00C80DBB" w:rsidRDefault="00C80DBB" w:rsidP="0076527F">
                  <w:pPr>
                    <w:spacing w:before="0" w:after="0"/>
                    <w:rPr>
                      <w:rFonts w:ascii="Arial Narrow" w:eastAsia="Times New Roman" w:hAnsi="Arial Narrow" w:cs="Calibri"/>
                      <w:color w:val="000000"/>
                      <w:sz w:val="20"/>
                      <w:highlight w:val="black"/>
                      <w:lang w:val="en-AU" w:eastAsia="en-AU"/>
                    </w:rPr>
                  </w:pPr>
                  <w:r>
                    <w:rPr>
                      <w:rFonts w:ascii="Arial Narrow" w:eastAsia="Times New Roman" w:hAnsi="Arial Narrow" w:cs="Calibri"/>
                      <w:noProof/>
                      <w:color w:val="000000"/>
                      <w:sz w:val="20"/>
                      <w:highlight w:val="black"/>
                      <w:lang w:val="en-AU" w:eastAsia="en-AU"/>
                    </w:rPr>
                    <w:t>''''''''''''''</w:t>
                  </w:r>
                </w:p>
              </w:tc>
            </w:tr>
          </w:tbl>
          <w:p w:rsidR="00433180" w:rsidRPr="00C756B5" w:rsidRDefault="00433180" w:rsidP="00F63640">
            <w:pPr>
              <w:spacing w:before="40" w:after="40" w:line="256" w:lineRule="auto"/>
              <w:jc w:val="both"/>
              <w:rPr>
                <w:rFonts w:ascii="Arial Narrow" w:eastAsia="Times New Roman" w:hAnsi="Arial Narrow" w:cs="Times New Roman"/>
                <w:b/>
                <w:color w:val="000000"/>
                <w:sz w:val="20"/>
                <w:szCs w:val="20"/>
                <w:lang w:val="en-US"/>
              </w:rPr>
            </w:pPr>
          </w:p>
        </w:tc>
      </w:tr>
      <w:tr w:rsidR="00471E20" w:rsidRPr="00C756B5" w:rsidTr="00DC1274">
        <w:trPr>
          <w:trHeight w:val="93"/>
        </w:trPr>
        <w:tc>
          <w:tcPr>
            <w:tcW w:w="1098" w:type="pct"/>
            <w:tcBorders>
              <w:top w:val="single" w:sz="4" w:space="0" w:color="auto"/>
              <w:left w:val="single" w:sz="4" w:space="0" w:color="auto"/>
              <w:bottom w:val="single" w:sz="4" w:space="0" w:color="auto"/>
              <w:right w:val="single" w:sz="4" w:space="0" w:color="auto"/>
            </w:tcBorders>
            <w:hideMark/>
          </w:tcPr>
          <w:p w:rsidR="00471E20" w:rsidRPr="00C756B5" w:rsidRDefault="00471E20" w:rsidP="00F63640">
            <w:pPr>
              <w:spacing w:before="40" w:after="40" w:line="256" w:lineRule="auto"/>
              <w:jc w:val="both"/>
              <w:rPr>
                <w:rFonts w:ascii="Arial Narrow" w:eastAsia="Times New Roman" w:hAnsi="Arial Narrow" w:cs="Times New Roman"/>
                <w:color w:val="000000"/>
                <w:sz w:val="20"/>
                <w:szCs w:val="20"/>
                <w:lang w:val="en-US"/>
              </w:rPr>
            </w:pPr>
            <w:r w:rsidRPr="00C756B5">
              <w:rPr>
                <w:rFonts w:ascii="Arial Narrow" w:eastAsia="Times New Roman" w:hAnsi="Arial Narrow" w:cs="Times New Roman"/>
                <w:color w:val="000000"/>
                <w:sz w:val="20"/>
                <w:szCs w:val="20"/>
                <w:lang w:val="en-US"/>
              </w:rPr>
              <w:t>Equi-effective doses</w:t>
            </w:r>
          </w:p>
          <w:p w:rsidR="00471E20" w:rsidRPr="00C756B5" w:rsidRDefault="00471E20" w:rsidP="00F63640">
            <w:pPr>
              <w:spacing w:before="40" w:after="40" w:line="256" w:lineRule="auto"/>
              <w:jc w:val="both"/>
              <w:rPr>
                <w:rFonts w:ascii="Arial Narrow" w:eastAsia="Times New Roman" w:hAnsi="Arial Narrow" w:cs="Times New Roman"/>
                <w:color w:val="000000"/>
                <w:sz w:val="20"/>
                <w:szCs w:val="20"/>
                <w:lang w:val="en-US"/>
              </w:rPr>
            </w:pPr>
          </w:p>
        </w:tc>
        <w:tc>
          <w:tcPr>
            <w:tcW w:w="3902" w:type="pct"/>
            <w:tcBorders>
              <w:top w:val="single" w:sz="4" w:space="0" w:color="auto"/>
              <w:left w:val="single" w:sz="4" w:space="0" w:color="auto"/>
              <w:bottom w:val="single" w:sz="4" w:space="0" w:color="auto"/>
              <w:right w:val="single" w:sz="4" w:space="0" w:color="auto"/>
            </w:tcBorders>
            <w:hideMark/>
          </w:tcPr>
          <w:p w:rsidR="005A5160" w:rsidRPr="00C756B5" w:rsidRDefault="005A5160" w:rsidP="0076527F">
            <w:pPr>
              <w:spacing w:before="40" w:after="40" w:line="256" w:lineRule="auto"/>
              <w:rPr>
                <w:rFonts w:ascii="Arial Narrow" w:eastAsia="Times New Roman" w:hAnsi="Arial Narrow" w:cs="Times New Roman"/>
                <w:color w:val="000000"/>
                <w:sz w:val="20"/>
                <w:szCs w:val="20"/>
                <w:lang w:val="en-US"/>
              </w:rPr>
            </w:pPr>
            <w:r w:rsidRPr="00C756B5">
              <w:rPr>
                <w:rFonts w:ascii="Arial Narrow" w:eastAsia="Times New Roman" w:hAnsi="Arial Narrow" w:cs="Times New Roman"/>
                <w:color w:val="000000"/>
                <w:sz w:val="20"/>
                <w:szCs w:val="20"/>
                <w:lang w:val="en-US"/>
              </w:rPr>
              <w:t xml:space="preserve">The submission used trial based data to estimate the equi-effective doses of </w:t>
            </w:r>
            <w:r w:rsidR="0004412F" w:rsidRPr="00C756B5">
              <w:rPr>
                <w:rFonts w:ascii="Arial Narrow" w:eastAsia="Times New Roman" w:hAnsi="Arial Narrow" w:cs="Times New Roman"/>
                <w:color w:val="000000"/>
                <w:sz w:val="20"/>
                <w:szCs w:val="20"/>
                <w:lang w:val="en-US"/>
              </w:rPr>
              <w:t>IDegAsp</w:t>
            </w:r>
            <w:r w:rsidRPr="00C756B5">
              <w:rPr>
                <w:rFonts w:ascii="Arial Narrow" w:eastAsia="Times New Roman" w:hAnsi="Arial Narrow" w:cs="Times New Roman"/>
                <w:color w:val="000000"/>
                <w:sz w:val="20"/>
                <w:szCs w:val="20"/>
                <w:lang w:val="en-US"/>
              </w:rPr>
              <w:t xml:space="preserve"> compared to BIAsp 30 and IDet in different population groups. The equi-effective doses used in the submission were:</w:t>
            </w:r>
          </w:p>
          <w:p w:rsidR="006A7D3C" w:rsidRPr="00C756B5" w:rsidRDefault="006A7D3C" w:rsidP="0076527F">
            <w:pPr>
              <w:spacing w:before="40" w:after="40" w:line="256" w:lineRule="auto"/>
              <w:rPr>
                <w:rFonts w:ascii="Arial Narrow" w:eastAsia="Times New Roman" w:hAnsi="Arial Narrow" w:cs="Times New Roman"/>
                <w:color w:val="000000"/>
                <w:sz w:val="20"/>
                <w:szCs w:val="20"/>
                <w:lang w:val="en-US"/>
              </w:rPr>
            </w:pPr>
            <w:r w:rsidRPr="00C756B5">
              <w:rPr>
                <w:rFonts w:ascii="Arial Narrow" w:eastAsia="Times New Roman" w:hAnsi="Arial Narrow" w:cs="Times New Roman"/>
                <w:color w:val="000000"/>
                <w:sz w:val="20"/>
                <w:szCs w:val="20"/>
                <w:lang w:val="en-US"/>
              </w:rPr>
              <w:t>1 unit IDegAsp : 1 unit BIAsp 30 in T2DM (Insulin-naïve)</w:t>
            </w:r>
          </w:p>
          <w:p w:rsidR="00471E20" w:rsidRPr="00C756B5" w:rsidRDefault="00471E20" w:rsidP="0076527F">
            <w:pPr>
              <w:spacing w:before="40" w:after="40" w:line="256" w:lineRule="auto"/>
              <w:rPr>
                <w:rFonts w:ascii="Arial Narrow" w:eastAsia="Times New Roman" w:hAnsi="Arial Narrow" w:cs="Times New Roman"/>
                <w:color w:val="000000"/>
                <w:sz w:val="20"/>
                <w:szCs w:val="20"/>
                <w:lang w:val="en-US"/>
              </w:rPr>
            </w:pPr>
            <w:r w:rsidRPr="00C756B5">
              <w:rPr>
                <w:rFonts w:ascii="Arial Narrow" w:eastAsia="Times New Roman" w:hAnsi="Arial Narrow" w:cs="Times New Roman"/>
                <w:color w:val="000000"/>
                <w:sz w:val="20"/>
                <w:szCs w:val="20"/>
                <w:lang w:val="en-US"/>
              </w:rPr>
              <w:t>0.</w:t>
            </w:r>
            <w:r w:rsidR="006A7D3C" w:rsidRPr="00C756B5">
              <w:rPr>
                <w:rFonts w:ascii="Arial Narrow" w:eastAsia="Times New Roman" w:hAnsi="Arial Narrow" w:cs="Times New Roman"/>
                <w:color w:val="000000"/>
                <w:sz w:val="20"/>
                <w:szCs w:val="20"/>
                <w:lang w:val="en-US"/>
              </w:rPr>
              <w:t>82</w:t>
            </w:r>
            <w:r w:rsidRPr="00C756B5">
              <w:rPr>
                <w:rFonts w:ascii="Arial Narrow" w:eastAsia="Times New Roman" w:hAnsi="Arial Narrow" w:cs="Times New Roman"/>
                <w:color w:val="000000"/>
                <w:sz w:val="20"/>
                <w:szCs w:val="20"/>
                <w:lang w:val="en-US"/>
              </w:rPr>
              <w:t xml:space="preserve"> units IDegAsp : 1 unit BIAsp 30 in T2DM (</w:t>
            </w:r>
            <w:r w:rsidR="006A7D3C" w:rsidRPr="00C756B5">
              <w:rPr>
                <w:rFonts w:ascii="Arial Narrow" w:eastAsia="Times New Roman" w:hAnsi="Arial Narrow" w:cs="Times New Roman"/>
                <w:color w:val="000000"/>
                <w:sz w:val="20"/>
                <w:szCs w:val="20"/>
                <w:lang w:val="en-US"/>
              </w:rPr>
              <w:t>Insulin-experienced</w:t>
            </w:r>
            <w:r w:rsidRPr="00C756B5">
              <w:rPr>
                <w:rFonts w:ascii="Arial Narrow" w:eastAsia="Times New Roman" w:hAnsi="Arial Narrow" w:cs="Times New Roman"/>
                <w:color w:val="000000"/>
                <w:sz w:val="20"/>
                <w:szCs w:val="20"/>
                <w:lang w:val="en-US"/>
              </w:rPr>
              <w:t>)</w:t>
            </w:r>
          </w:p>
          <w:p w:rsidR="00471E20" w:rsidRPr="00C756B5" w:rsidRDefault="00471E20" w:rsidP="0076527F">
            <w:pPr>
              <w:spacing w:before="40" w:after="40" w:line="256" w:lineRule="auto"/>
              <w:rPr>
                <w:rFonts w:ascii="Arial Narrow" w:eastAsia="Times New Roman" w:hAnsi="Arial Narrow" w:cs="Times New Roman"/>
                <w:color w:val="000000"/>
                <w:sz w:val="20"/>
                <w:szCs w:val="20"/>
                <w:lang w:val="en-US"/>
              </w:rPr>
            </w:pPr>
            <w:r w:rsidRPr="00C756B5">
              <w:rPr>
                <w:rFonts w:ascii="Arial Narrow" w:eastAsia="Times New Roman" w:hAnsi="Arial Narrow" w:cs="Times New Roman"/>
                <w:color w:val="000000"/>
                <w:sz w:val="20"/>
                <w:szCs w:val="20"/>
                <w:lang w:val="en-US"/>
              </w:rPr>
              <w:t xml:space="preserve">0.81 units IDegAsp : 1 unit IDet in T1DM </w:t>
            </w:r>
            <w:r w:rsidR="006A7D3C" w:rsidRPr="00C756B5">
              <w:rPr>
                <w:rFonts w:ascii="Arial Narrow" w:eastAsia="Times New Roman" w:hAnsi="Arial Narrow" w:cs="Times New Roman"/>
                <w:color w:val="000000"/>
                <w:sz w:val="20"/>
                <w:szCs w:val="20"/>
                <w:lang w:val="en-US"/>
              </w:rPr>
              <w:t>(Basal only)</w:t>
            </w:r>
          </w:p>
        </w:tc>
      </w:tr>
      <w:tr w:rsidR="005A5160" w:rsidRPr="00C756B5" w:rsidTr="00DC1274">
        <w:trPr>
          <w:trHeight w:val="93"/>
        </w:trPr>
        <w:tc>
          <w:tcPr>
            <w:tcW w:w="1098" w:type="pct"/>
            <w:tcBorders>
              <w:top w:val="single" w:sz="4" w:space="0" w:color="auto"/>
              <w:left w:val="single" w:sz="4" w:space="0" w:color="auto"/>
              <w:bottom w:val="single" w:sz="4" w:space="0" w:color="auto"/>
              <w:right w:val="single" w:sz="4" w:space="0" w:color="auto"/>
            </w:tcBorders>
          </w:tcPr>
          <w:p w:rsidR="005A5160" w:rsidRPr="00C756B5" w:rsidRDefault="005A5160" w:rsidP="00F63640">
            <w:pPr>
              <w:spacing w:before="40" w:after="40" w:line="256" w:lineRule="auto"/>
              <w:jc w:val="both"/>
              <w:rPr>
                <w:rFonts w:ascii="Arial Narrow" w:eastAsia="Times New Roman" w:hAnsi="Arial Narrow" w:cs="Times New Roman"/>
                <w:color w:val="000000"/>
                <w:sz w:val="20"/>
                <w:szCs w:val="20"/>
                <w:lang w:val="en-US"/>
              </w:rPr>
            </w:pPr>
            <w:r w:rsidRPr="00C756B5">
              <w:rPr>
                <w:rFonts w:ascii="Arial Narrow" w:eastAsia="Times New Roman" w:hAnsi="Arial Narrow" w:cs="Times New Roman"/>
                <w:color w:val="000000"/>
                <w:sz w:val="20"/>
                <w:szCs w:val="20"/>
                <w:lang w:val="en-US"/>
              </w:rPr>
              <w:t>Cost offsets</w:t>
            </w:r>
          </w:p>
        </w:tc>
        <w:tc>
          <w:tcPr>
            <w:tcW w:w="3902" w:type="pct"/>
            <w:tcBorders>
              <w:top w:val="single" w:sz="4" w:space="0" w:color="auto"/>
              <w:left w:val="single" w:sz="4" w:space="0" w:color="auto"/>
              <w:bottom w:val="single" w:sz="4" w:space="0" w:color="auto"/>
              <w:right w:val="single" w:sz="4" w:space="0" w:color="auto"/>
            </w:tcBorders>
          </w:tcPr>
          <w:p w:rsidR="00BF203D" w:rsidRPr="00C756B5" w:rsidRDefault="00BF203D" w:rsidP="009E75FC">
            <w:pPr>
              <w:jc w:val="both"/>
              <w:rPr>
                <w:rFonts w:ascii="Arial Narrow" w:eastAsia="Times New Roman" w:hAnsi="Arial Narrow" w:cs="Times New Roman"/>
                <w:color w:val="000000"/>
                <w:sz w:val="20"/>
                <w:szCs w:val="20"/>
                <w:lang w:val="en-US"/>
              </w:rPr>
            </w:pPr>
            <w:r w:rsidRPr="00C756B5">
              <w:rPr>
                <w:rFonts w:ascii="Arial Narrow" w:eastAsia="Times New Roman" w:hAnsi="Arial Narrow" w:cs="Times New Roman"/>
                <w:color w:val="000000"/>
                <w:sz w:val="20"/>
                <w:szCs w:val="20"/>
                <w:lang w:val="en-US"/>
              </w:rPr>
              <w:t xml:space="preserve">The submission used </w:t>
            </w:r>
            <w:r w:rsidR="005E6A43" w:rsidRPr="00C756B5">
              <w:rPr>
                <w:rFonts w:ascii="Arial Narrow" w:eastAsia="Times New Roman" w:hAnsi="Arial Narrow" w:cs="Times New Roman"/>
                <w:color w:val="000000"/>
                <w:sz w:val="20"/>
                <w:szCs w:val="20"/>
                <w:lang w:val="en-US"/>
              </w:rPr>
              <w:t xml:space="preserve">the </w:t>
            </w:r>
            <w:r w:rsidRPr="00C756B5">
              <w:rPr>
                <w:rFonts w:ascii="Arial Narrow" w:eastAsia="Times New Roman" w:hAnsi="Arial Narrow" w:cs="Times New Roman"/>
                <w:color w:val="000000"/>
                <w:sz w:val="20"/>
                <w:szCs w:val="20"/>
                <w:lang w:val="en-US"/>
              </w:rPr>
              <w:t xml:space="preserve">difference in bolus insulin </w:t>
            </w:r>
            <w:r w:rsidR="0047339C" w:rsidRPr="00C756B5">
              <w:rPr>
                <w:rFonts w:ascii="Arial Narrow" w:eastAsia="Times New Roman" w:hAnsi="Arial Narrow" w:cs="Times New Roman"/>
                <w:color w:val="000000"/>
                <w:sz w:val="20"/>
                <w:szCs w:val="20"/>
                <w:lang w:val="en-US"/>
              </w:rPr>
              <w:t xml:space="preserve">dose </w:t>
            </w:r>
            <w:r w:rsidRPr="00C756B5">
              <w:rPr>
                <w:rFonts w:ascii="Arial Narrow" w:eastAsia="Times New Roman" w:hAnsi="Arial Narrow" w:cs="Times New Roman"/>
                <w:color w:val="000000"/>
                <w:sz w:val="20"/>
                <w:szCs w:val="20"/>
                <w:lang w:val="en-US"/>
              </w:rPr>
              <w:t>utili</w:t>
            </w:r>
            <w:r w:rsidR="00B17694" w:rsidRPr="00C756B5">
              <w:rPr>
                <w:rFonts w:ascii="Arial Narrow" w:eastAsia="Times New Roman" w:hAnsi="Arial Narrow" w:cs="Times New Roman"/>
                <w:color w:val="000000"/>
                <w:sz w:val="20"/>
                <w:szCs w:val="20"/>
                <w:lang w:val="en-US"/>
              </w:rPr>
              <w:t>s</w:t>
            </w:r>
            <w:r w:rsidRPr="00C756B5">
              <w:rPr>
                <w:rFonts w:ascii="Arial Narrow" w:eastAsia="Times New Roman" w:hAnsi="Arial Narrow" w:cs="Times New Roman"/>
                <w:color w:val="000000"/>
                <w:sz w:val="20"/>
                <w:szCs w:val="20"/>
                <w:lang w:val="en-US"/>
              </w:rPr>
              <w:t xml:space="preserve">ation in T1DM. </w:t>
            </w:r>
          </w:p>
          <w:p w:rsidR="00796516" w:rsidRPr="00C756B5" w:rsidRDefault="005A5160" w:rsidP="009E75FC">
            <w:pPr>
              <w:jc w:val="both"/>
              <w:rPr>
                <w:rFonts w:ascii="Arial Narrow" w:eastAsia="Times New Roman" w:hAnsi="Arial Narrow" w:cs="Times New Roman"/>
                <w:color w:val="000000"/>
                <w:sz w:val="20"/>
                <w:szCs w:val="20"/>
                <w:lang w:val="en-US"/>
              </w:rPr>
            </w:pPr>
            <w:r w:rsidRPr="00C756B5">
              <w:rPr>
                <w:rFonts w:ascii="Arial Narrow" w:eastAsia="Times New Roman" w:hAnsi="Arial Narrow" w:cs="Times New Roman"/>
                <w:color w:val="000000"/>
                <w:sz w:val="20"/>
                <w:szCs w:val="20"/>
                <w:lang w:val="en-US"/>
              </w:rPr>
              <w:t xml:space="preserve">The submission used </w:t>
            </w:r>
            <w:r w:rsidR="00957106" w:rsidRPr="00C756B5">
              <w:rPr>
                <w:rFonts w:ascii="Arial Narrow" w:eastAsia="Times New Roman" w:hAnsi="Arial Narrow" w:cs="Times New Roman"/>
                <w:color w:val="000000"/>
                <w:sz w:val="20"/>
                <w:szCs w:val="20"/>
                <w:lang w:val="en-US"/>
              </w:rPr>
              <w:t xml:space="preserve">a </w:t>
            </w:r>
            <w:r w:rsidRPr="00C756B5">
              <w:rPr>
                <w:rFonts w:ascii="Arial Narrow" w:eastAsia="Times New Roman" w:hAnsi="Arial Narrow" w:cs="Times New Roman"/>
                <w:color w:val="000000"/>
                <w:sz w:val="20"/>
                <w:szCs w:val="20"/>
                <w:lang w:val="en-US"/>
              </w:rPr>
              <w:t>difference in severe hypoglycemi</w:t>
            </w:r>
            <w:r w:rsidR="005E6A43" w:rsidRPr="00C756B5">
              <w:rPr>
                <w:rFonts w:ascii="Arial Narrow" w:eastAsia="Times New Roman" w:hAnsi="Arial Narrow" w:cs="Times New Roman"/>
                <w:color w:val="000000"/>
                <w:sz w:val="20"/>
                <w:szCs w:val="20"/>
                <w:lang w:val="en-US"/>
              </w:rPr>
              <w:t>c event</w:t>
            </w:r>
            <w:r w:rsidRPr="00C756B5">
              <w:rPr>
                <w:rFonts w:ascii="Arial Narrow" w:eastAsia="Times New Roman" w:hAnsi="Arial Narrow" w:cs="Times New Roman"/>
                <w:color w:val="000000"/>
                <w:sz w:val="20"/>
                <w:szCs w:val="20"/>
                <w:lang w:val="en-US"/>
              </w:rPr>
              <w:t xml:space="preserve"> rat</w:t>
            </w:r>
            <w:r w:rsidR="00C4248B" w:rsidRPr="00C756B5">
              <w:rPr>
                <w:rFonts w:ascii="Arial Narrow" w:eastAsia="Times New Roman" w:hAnsi="Arial Narrow" w:cs="Times New Roman"/>
                <w:color w:val="000000"/>
                <w:sz w:val="20"/>
                <w:szCs w:val="20"/>
                <w:lang w:val="en-US"/>
              </w:rPr>
              <w:t>es to cost offset service utilis</w:t>
            </w:r>
            <w:r w:rsidRPr="00C756B5">
              <w:rPr>
                <w:rFonts w:ascii="Arial Narrow" w:eastAsia="Times New Roman" w:hAnsi="Arial Narrow" w:cs="Times New Roman"/>
                <w:color w:val="000000"/>
                <w:sz w:val="20"/>
                <w:szCs w:val="20"/>
                <w:lang w:val="en-US"/>
              </w:rPr>
              <w:t>ation.</w:t>
            </w:r>
            <w:r w:rsidR="00957106" w:rsidRPr="00C756B5">
              <w:rPr>
                <w:rFonts w:ascii="Arial Narrow" w:eastAsia="Times New Roman" w:hAnsi="Arial Narrow" w:cs="Times New Roman"/>
                <w:color w:val="000000"/>
                <w:sz w:val="20"/>
                <w:szCs w:val="20"/>
                <w:lang w:val="en-US"/>
              </w:rPr>
              <w:t xml:space="preserve"> </w:t>
            </w:r>
            <w:r w:rsidR="00796516" w:rsidRPr="00C756B5">
              <w:rPr>
                <w:rFonts w:ascii="Arial Narrow" w:eastAsia="Times New Roman" w:hAnsi="Arial Narrow" w:cs="Times New Roman"/>
                <w:color w:val="000000"/>
                <w:sz w:val="20"/>
                <w:szCs w:val="20"/>
                <w:lang w:val="en-US"/>
              </w:rPr>
              <w:t>Rather than using the number of severe hypos in each arm of the trials, t</w:t>
            </w:r>
            <w:r w:rsidR="00957106" w:rsidRPr="00C756B5">
              <w:rPr>
                <w:rFonts w:ascii="Arial Narrow" w:eastAsia="Times New Roman" w:hAnsi="Arial Narrow" w:cs="Times New Roman"/>
                <w:color w:val="000000"/>
                <w:sz w:val="20"/>
                <w:szCs w:val="20"/>
                <w:lang w:val="en-US"/>
              </w:rPr>
              <w:t xml:space="preserve">he submission </w:t>
            </w:r>
            <w:r w:rsidR="00796516" w:rsidRPr="00C756B5">
              <w:rPr>
                <w:rFonts w:ascii="Arial Narrow" w:eastAsia="Times New Roman" w:hAnsi="Arial Narrow" w:cs="Times New Roman"/>
                <w:color w:val="000000"/>
                <w:sz w:val="20"/>
                <w:szCs w:val="20"/>
                <w:lang w:val="en-US"/>
              </w:rPr>
              <w:t xml:space="preserve">estimated the number of severe hypos. This was based on the </w:t>
            </w:r>
            <w:r w:rsidR="00957106" w:rsidRPr="00C756B5">
              <w:rPr>
                <w:rFonts w:ascii="Arial Narrow" w:eastAsia="Times New Roman" w:hAnsi="Arial Narrow" w:cs="Times New Roman"/>
                <w:color w:val="000000"/>
                <w:sz w:val="20"/>
                <w:szCs w:val="20"/>
                <w:lang w:val="en-US"/>
              </w:rPr>
              <w:t>mean</w:t>
            </w:r>
            <w:r w:rsidR="00796516" w:rsidRPr="00C756B5">
              <w:rPr>
                <w:rFonts w:ascii="Arial Narrow" w:eastAsia="Times New Roman" w:hAnsi="Arial Narrow" w:cs="Times New Roman"/>
                <w:color w:val="000000"/>
                <w:sz w:val="20"/>
                <w:szCs w:val="20"/>
                <w:lang w:val="en-US"/>
              </w:rPr>
              <w:t xml:space="preserve"> number of severe</w:t>
            </w:r>
            <w:r w:rsidR="00957106" w:rsidRPr="00C756B5">
              <w:rPr>
                <w:rFonts w:ascii="Arial Narrow" w:eastAsia="Times New Roman" w:hAnsi="Arial Narrow" w:cs="Times New Roman"/>
                <w:color w:val="000000"/>
                <w:sz w:val="20"/>
                <w:szCs w:val="20"/>
                <w:lang w:val="en-US"/>
              </w:rPr>
              <w:t xml:space="preserve"> </w:t>
            </w:r>
            <w:r w:rsidR="00796516" w:rsidRPr="00C756B5">
              <w:rPr>
                <w:rFonts w:ascii="Arial Narrow" w:eastAsia="Times New Roman" w:hAnsi="Arial Narrow" w:cs="Times New Roman"/>
                <w:color w:val="000000"/>
                <w:sz w:val="20"/>
                <w:szCs w:val="20"/>
                <w:lang w:val="en-US"/>
              </w:rPr>
              <w:t>hypos</w:t>
            </w:r>
            <w:r w:rsidR="00957106" w:rsidRPr="00C756B5">
              <w:rPr>
                <w:rFonts w:ascii="Arial Narrow" w:eastAsia="Times New Roman" w:hAnsi="Arial Narrow" w:cs="Times New Roman"/>
                <w:color w:val="000000"/>
                <w:sz w:val="20"/>
                <w:szCs w:val="20"/>
                <w:lang w:val="en-US"/>
              </w:rPr>
              <w:t xml:space="preserve"> per confirmed hypoglycemic</w:t>
            </w:r>
            <w:r w:rsidR="00221886">
              <w:rPr>
                <w:rFonts w:ascii="Arial Narrow" w:eastAsia="Times New Roman" w:hAnsi="Arial Narrow" w:cs="Times New Roman"/>
                <w:color w:val="000000"/>
                <w:sz w:val="20"/>
                <w:szCs w:val="20"/>
                <w:lang w:val="en-US"/>
              </w:rPr>
              <w:t xml:space="preserve"> event</w:t>
            </w:r>
            <w:r w:rsidR="00957106" w:rsidRPr="00C756B5">
              <w:rPr>
                <w:rFonts w:ascii="Arial Narrow" w:eastAsia="Times New Roman" w:hAnsi="Arial Narrow" w:cs="Times New Roman"/>
                <w:color w:val="000000"/>
                <w:sz w:val="20"/>
                <w:szCs w:val="20"/>
                <w:lang w:val="en-US"/>
              </w:rPr>
              <w:t xml:space="preserve"> </w:t>
            </w:r>
            <w:r w:rsidR="00796516" w:rsidRPr="00C756B5">
              <w:rPr>
                <w:rFonts w:ascii="Arial Narrow" w:eastAsia="Times New Roman" w:hAnsi="Arial Narrow" w:cs="Times New Roman"/>
                <w:color w:val="000000"/>
                <w:sz w:val="20"/>
                <w:szCs w:val="20"/>
                <w:lang w:val="en-US"/>
              </w:rPr>
              <w:t>in the total trial, multiplied by the number of confirmed hypos in each arm. Overall, this overestimated the number of severe hypos in the control arms.</w:t>
            </w:r>
          </w:p>
          <w:p w:rsidR="00433180" w:rsidRDefault="00433180" w:rsidP="009E75FC">
            <w:pPr>
              <w:jc w:val="both"/>
              <w:rPr>
                <w:rFonts w:ascii="Arial Narrow" w:eastAsia="Times New Roman" w:hAnsi="Arial Narrow" w:cs="Times New Roman"/>
                <w:color w:val="000000"/>
                <w:sz w:val="20"/>
                <w:szCs w:val="20"/>
                <w:lang w:val="en-US"/>
              </w:rPr>
            </w:pPr>
            <w:r w:rsidRPr="00C756B5">
              <w:rPr>
                <w:rFonts w:ascii="Arial Narrow" w:eastAsia="Times New Roman" w:hAnsi="Arial Narrow" w:cs="Times New Roman"/>
                <w:color w:val="000000"/>
                <w:sz w:val="20"/>
                <w:szCs w:val="20"/>
                <w:lang w:val="en-US"/>
              </w:rPr>
              <w:t>Average cost per severe hypoglycemi</w:t>
            </w:r>
            <w:r w:rsidR="005E6A43" w:rsidRPr="00C756B5">
              <w:rPr>
                <w:rFonts w:ascii="Arial Narrow" w:eastAsia="Times New Roman" w:hAnsi="Arial Narrow" w:cs="Times New Roman"/>
                <w:color w:val="000000"/>
                <w:sz w:val="20"/>
                <w:szCs w:val="20"/>
                <w:lang w:val="en-US"/>
              </w:rPr>
              <w:t>c</w:t>
            </w:r>
            <w:r w:rsidRPr="00C756B5">
              <w:rPr>
                <w:rFonts w:ascii="Arial Narrow" w:eastAsia="Times New Roman" w:hAnsi="Arial Narrow" w:cs="Times New Roman"/>
                <w:color w:val="000000"/>
                <w:sz w:val="20"/>
                <w:szCs w:val="20"/>
                <w:lang w:val="en-US"/>
              </w:rPr>
              <w:t xml:space="preserve"> event = $</w:t>
            </w:r>
            <w:r w:rsidRPr="00CE2229">
              <w:rPr>
                <w:rFonts w:ascii="Arial Narrow" w:eastAsia="Times New Roman" w:hAnsi="Arial Narrow" w:cs="Times New Roman"/>
                <w:color w:val="000000"/>
                <w:sz w:val="20"/>
                <w:szCs w:val="20"/>
                <w:lang w:val="en-US"/>
              </w:rPr>
              <w:t>2943</w:t>
            </w:r>
            <w:r w:rsidRPr="00C756B5">
              <w:rPr>
                <w:rFonts w:ascii="Arial Narrow" w:eastAsia="Times New Roman" w:hAnsi="Arial Narrow" w:cs="Times New Roman"/>
                <w:color w:val="000000"/>
                <w:sz w:val="20"/>
                <w:szCs w:val="20"/>
                <w:lang w:val="en-US"/>
              </w:rPr>
              <w:t xml:space="preserve"> </w:t>
            </w:r>
            <w:r w:rsidR="003F25D8">
              <w:rPr>
                <w:rFonts w:ascii="Arial Narrow" w:eastAsia="Times New Roman" w:hAnsi="Arial Narrow" w:cs="Times New Roman"/>
                <w:color w:val="000000"/>
                <w:sz w:val="20"/>
                <w:szCs w:val="20"/>
                <w:lang w:val="en-US"/>
              </w:rPr>
              <w:t>(See Table 9</w:t>
            </w:r>
            <w:r w:rsidR="00E809C2">
              <w:rPr>
                <w:rFonts w:ascii="Arial Narrow" w:eastAsia="Times New Roman" w:hAnsi="Arial Narrow" w:cs="Times New Roman"/>
                <w:color w:val="000000"/>
                <w:sz w:val="20"/>
                <w:szCs w:val="20"/>
                <w:lang w:val="en-US"/>
              </w:rPr>
              <w:t>)</w:t>
            </w:r>
          </w:p>
          <w:p w:rsidR="002E1654" w:rsidRPr="00C756B5" w:rsidRDefault="002E1654" w:rsidP="009E75FC">
            <w:pPr>
              <w:jc w:val="both"/>
              <w:rPr>
                <w:rFonts w:ascii="Arial Narrow" w:eastAsia="Times New Roman" w:hAnsi="Arial Narrow" w:cs="Times New Roman"/>
                <w:color w:val="000000"/>
                <w:sz w:val="20"/>
                <w:szCs w:val="20"/>
                <w:lang w:val="en-US"/>
              </w:rPr>
            </w:pPr>
          </w:p>
          <w:tbl>
            <w:tblPr>
              <w:tblpPr w:leftFromText="180" w:rightFromText="180" w:vertAnchor="text" w:horzAnchor="margin" w:tblpY="-3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2"/>
              <w:gridCol w:w="1429"/>
              <w:gridCol w:w="1350"/>
              <w:gridCol w:w="1515"/>
            </w:tblGrid>
            <w:tr w:rsidR="00433180" w:rsidRPr="00C756B5" w:rsidTr="00433180">
              <w:trPr>
                <w:trHeight w:val="300"/>
              </w:trPr>
              <w:tc>
                <w:tcPr>
                  <w:tcW w:w="1927" w:type="pct"/>
                  <w:shd w:val="clear" w:color="000000" w:fill="FFFFFF"/>
                  <w:noWrap/>
                  <w:vAlign w:val="bottom"/>
                  <w:hideMark/>
                </w:tcPr>
                <w:p w:rsidR="00433180" w:rsidRPr="00C756B5" w:rsidRDefault="00433180" w:rsidP="0076527F">
                  <w:pPr>
                    <w:spacing w:before="0" w:after="0"/>
                    <w:rPr>
                      <w:rFonts w:ascii="Arial Narrow" w:eastAsia="Times New Roman" w:hAnsi="Arial Narrow" w:cs="Calibri"/>
                      <w:color w:val="000000"/>
                      <w:sz w:val="20"/>
                      <w:lang w:val="en-AU" w:eastAsia="en-AU"/>
                    </w:rPr>
                  </w:pPr>
                  <w:r w:rsidRPr="00C756B5">
                    <w:rPr>
                      <w:rFonts w:ascii="Arial Narrow" w:eastAsia="Times New Roman" w:hAnsi="Arial Narrow" w:cs="Calibri"/>
                      <w:color w:val="000000"/>
                      <w:sz w:val="20"/>
                      <w:lang w:val="en-AU" w:eastAsia="en-AU"/>
                    </w:rPr>
                    <w:t>Severe hypoglycaemia costs</w:t>
                  </w:r>
                </w:p>
              </w:tc>
              <w:tc>
                <w:tcPr>
                  <w:tcW w:w="1023" w:type="pct"/>
                  <w:shd w:val="clear" w:color="000000" w:fill="FFFFFF"/>
                  <w:noWrap/>
                  <w:vAlign w:val="bottom"/>
                  <w:hideMark/>
                </w:tcPr>
                <w:p w:rsidR="00433180" w:rsidRPr="00C756B5" w:rsidRDefault="00433180" w:rsidP="0076527F">
                  <w:pPr>
                    <w:spacing w:before="0" w:after="0"/>
                    <w:rPr>
                      <w:rFonts w:ascii="Arial Narrow" w:eastAsia="Times New Roman" w:hAnsi="Arial Narrow" w:cs="Calibri"/>
                      <w:color w:val="000000"/>
                      <w:sz w:val="20"/>
                      <w:lang w:val="en-AU" w:eastAsia="en-AU"/>
                    </w:rPr>
                  </w:pPr>
                  <w:r w:rsidRPr="00C756B5">
                    <w:rPr>
                      <w:rFonts w:ascii="Arial Narrow" w:eastAsia="Times New Roman" w:hAnsi="Arial Narrow" w:cs="Calibri"/>
                      <w:color w:val="000000"/>
                      <w:sz w:val="20"/>
                      <w:lang w:val="en-AU" w:eastAsia="en-AU"/>
                    </w:rPr>
                    <w:t>Comparator</w:t>
                  </w:r>
                </w:p>
              </w:tc>
              <w:tc>
                <w:tcPr>
                  <w:tcW w:w="966" w:type="pct"/>
                  <w:shd w:val="clear" w:color="000000" w:fill="FFFFFF"/>
                  <w:noWrap/>
                  <w:vAlign w:val="bottom"/>
                  <w:hideMark/>
                </w:tcPr>
                <w:p w:rsidR="00433180" w:rsidRPr="00C756B5" w:rsidRDefault="00433180" w:rsidP="0076527F">
                  <w:pPr>
                    <w:spacing w:before="0" w:after="0"/>
                    <w:rPr>
                      <w:rFonts w:ascii="Arial Narrow" w:eastAsia="Times New Roman" w:hAnsi="Arial Narrow" w:cs="Calibri"/>
                      <w:color w:val="000000"/>
                      <w:sz w:val="20"/>
                      <w:lang w:val="en-AU" w:eastAsia="en-AU"/>
                    </w:rPr>
                  </w:pPr>
                  <w:r w:rsidRPr="00C756B5">
                    <w:rPr>
                      <w:rFonts w:ascii="Arial Narrow" w:eastAsia="Times New Roman" w:hAnsi="Arial Narrow" w:cs="Calibri"/>
                      <w:color w:val="000000"/>
                      <w:sz w:val="20"/>
                      <w:lang w:val="en-AU" w:eastAsia="en-AU"/>
                    </w:rPr>
                    <w:t>IDegAsp</w:t>
                  </w:r>
                </w:p>
              </w:tc>
              <w:tc>
                <w:tcPr>
                  <w:tcW w:w="1084" w:type="pct"/>
                  <w:shd w:val="clear" w:color="000000" w:fill="FFFFFF"/>
                  <w:noWrap/>
                  <w:vAlign w:val="bottom"/>
                  <w:hideMark/>
                </w:tcPr>
                <w:p w:rsidR="00433180" w:rsidRPr="00C756B5" w:rsidRDefault="00433180" w:rsidP="0076527F">
                  <w:pPr>
                    <w:spacing w:before="0" w:after="0"/>
                    <w:rPr>
                      <w:rFonts w:ascii="Arial Narrow" w:eastAsia="Times New Roman" w:hAnsi="Arial Narrow" w:cs="Calibri"/>
                      <w:color w:val="000000"/>
                      <w:sz w:val="20"/>
                      <w:lang w:val="en-AU" w:eastAsia="en-AU"/>
                    </w:rPr>
                  </w:pPr>
                  <w:r w:rsidRPr="00C756B5">
                    <w:rPr>
                      <w:rFonts w:ascii="Arial Narrow" w:eastAsia="Times New Roman" w:hAnsi="Arial Narrow" w:cs="Calibri"/>
                      <w:color w:val="000000"/>
                      <w:sz w:val="20"/>
                      <w:lang w:val="en-AU" w:eastAsia="en-AU"/>
                    </w:rPr>
                    <w:t>Difference</w:t>
                  </w:r>
                </w:p>
              </w:tc>
            </w:tr>
            <w:tr w:rsidR="00433180" w:rsidRPr="00C756B5" w:rsidTr="00433180">
              <w:trPr>
                <w:trHeight w:val="300"/>
              </w:trPr>
              <w:tc>
                <w:tcPr>
                  <w:tcW w:w="1927" w:type="pct"/>
                  <w:shd w:val="clear" w:color="000000" w:fill="FFFFFF"/>
                  <w:noWrap/>
                  <w:vAlign w:val="bottom"/>
                  <w:hideMark/>
                </w:tcPr>
                <w:p w:rsidR="00433180" w:rsidRPr="00C756B5" w:rsidRDefault="00433180" w:rsidP="0076527F">
                  <w:pPr>
                    <w:spacing w:before="0" w:after="0"/>
                    <w:rPr>
                      <w:rFonts w:ascii="Arial Narrow" w:eastAsia="Times New Roman" w:hAnsi="Arial Narrow" w:cs="Calibri"/>
                      <w:bCs/>
                      <w:color w:val="000000"/>
                      <w:sz w:val="20"/>
                      <w:lang w:val="en-AU" w:eastAsia="en-AU"/>
                    </w:rPr>
                  </w:pPr>
                  <w:r w:rsidRPr="00C756B5">
                    <w:rPr>
                      <w:rFonts w:ascii="Arial Narrow" w:eastAsia="Times New Roman" w:hAnsi="Arial Narrow" w:cs="Calibri"/>
                      <w:bCs/>
                      <w:color w:val="000000"/>
                      <w:sz w:val="20"/>
                      <w:lang w:val="en-AU" w:eastAsia="en-AU"/>
                    </w:rPr>
                    <w:t>Average cost per patient per year</w:t>
                  </w:r>
                </w:p>
              </w:tc>
              <w:tc>
                <w:tcPr>
                  <w:tcW w:w="1023" w:type="pct"/>
                  <w:shd w:val="clear" w:color="000000" w:fill="FFFFFF"/>
                  <w:noWrap/>
                  <w:vAlign w:val="bottom"/>
                  <w:hideMark/>
                </w:tcPr>
                <w:p w:rsidR="00433180" w:rsidRPr="00CE2229" w:rsidRDefault="00433180" w:rsidP="0076527F">
                  <w:pPr>
                    <w:spacing w:before="0" w:after="0"/>
                    <w:rPr>
                      <w:rFonts w:ascii="Arial Narrow" w:eastAsia="Times New Roman" w:hAnsi="Arial Narrow" w:cs="Calibri"/>
                      <w:color w:val="000000"/>
                      <w:sz w:val="20"/>
                      <w:lang w:val="en-AU" w:eastAsia="en-AU"/>
                    </w:rPr>
                  </w:pPr>
                  <w:r w:rsidRPr="00CE2229">
                    <w:rPr>
                      <w:rFonts w:ascii="Arial Narrow" w:eastAsia="Times New Roman" w:hAnsi="Arial Narrow" w:cs="Calibri"/>
                      <w:color w:val="000000"/>
                      <w:sz w:val="20"/>
                      <w:lang w:val="en-AU" w:eastAsia="en-AU"/>
                    </w:rPr>
                    <w:t>$910.29</w:t>
                  </w:r>
                </w:p>
              </w:tc>
              <w:tc>
                <w:tcPr>
                  <w:tcW w:w="966" w:type="pct"/>
                  <w:shd w:val="clear" w:color="000000" w:fill="FFFFFF"/>
                  <w:noWrap/>
                  <w:vAlign w:val="bottom"/>
                  <w:hideMark/>
                </w:tcPr>
                <w:p w:rsidR="00433180" w:rsidRPr="00CE2229" w:rsidRDefault="00433180" w:rsidP="0076527F">
                  <w:pPr>
                    <w:spacing w:before="0" w:after="0"/>
                    <w:rPr>
                      <w:rFonts w:ascii="Arial Narrow" w:eastAsia="Times New Roman" w:hAnsi="Arial Narrow" w:cs="Calibri"/>
                      <w:color w:val="000000"/>
                      <w:sz w:val="20"/>
                      <w:lang w:val="en-AU" w:eastAsia="en-AU"/>
                    </w:rPr>
                  </w:pPr>
                  <w:r w:rsidRPr="00CE2229">
                    <w:rPr>
                      <w:rFonts w:ascii="Arial Narrow" w:eastAsia="Times New Roman" w:hAnsi="Arial Narrow" w:cs="Calibri"/>
                      <w:color w:val="000000"/>
                      <w:sz w:val="20"/>
                      <w:lang w:val="en-AU" w:eastAsia="en-AU"/>
                    </w:rPr>
                    <w:t>$605.20</w:t>
                  </w:r>
                </w:p>
              </w:tc>
              <w:tc>
                <w:tcPr>
                  <w:tcW w:w="1084" w:type="pct"/>
                  <w:shd w:val="clear" w:color="000000" w:fill="FFFFFF"/>
                  <w:noWrap/>
                  <w:vAlign w:val="bottom"/>
                  <w:hideMark/>
                </w:tcPr>
                <w:p w:rsidR="00433180" w:rsidRPr="00CE2229" w:rsidRDefault="00433180" w:rsidP="0076527F">
                  <w:pPr>
                    <w:spacing w:before="0" w:after="0"/>
                    <w:rPr>
                      <w:rFonts w:ascii="Arial Narrow" w:eastAsia="Times New Roman" w:hAnsi="Arial Narrow" w:cs="Calibri"/>
                      <w:color w:val="000000"/>
                      <w:sz w:val="20"/>
                      <w:lang w:val="en-AU" w:eastAsia="en-AU"/>
                    </w:rPr>
                  </w:pPr>
                  <w:r w:rsidRPr="00CE2229">
                    <w:rPr>
                      <w:rFonts w:ascii="Arial Narrow" w:eastAsia="Times New Roman" w:hAnsi="Arial Narrow" w:cs="Calibri"/>
                      <w:color w:val="000000"/>
                      <w:sz w:val="20"/>
                      <w:lang w:val="en-AU" w:eastAsia="en-AU"/>
                    </w:rPr>
                    <w:t>$305.09</w:t>
                  </w:r>
                </w:p>
              </w:tc>
            </w:tr>
          </w:tbl>
          <w:p w:rsidR="005A5160" w:rsidRPr="00C756B5" w:rsidRDefault="005A5160">
            <w:pPr>
              <w:spacing w:before="40" w:after="40" w:line="256" w:lineRule="auto"/>
              <w:jc w:val="both"/>
              <w:rPr>
                <w:rFonts w:ascii="Arial Narrow" w:eastAsia="Times New Roman" w:hAnsi="Arial Narrow" w:cs="Times New Roman"/>
                <w:color w:val="000000"/>
                <w:sz w:val="20"/>
                <w:szCs w:val="20"/>
                <w:lang w:val="en-US"/>
              </w:rPr>
            </w:pPr>
          </w:p>
        </w:tc>
      </w:tr>
    </w:tbl>
    <w:p w:rsidR="00CF2FED" w:rsidRPr="00C756B5" w:rsidRDefault="00CF2FED" w:rsidP="00CF2FED">
      <w:pPr>
        <w:spacing w:before="0" w:after="240"/>
        <w:contextualSpacing/>
        <w:rPr>
          <w:rFonts w:ascii="Arial Narrow" w:eastAsia="Calibri" w:hAnsi="Arial Narrow" w:cs="Times New Roman"/>
          <w:sz w:val="18"/>
          <w:szCs w:val="18"/>
          <w:lang w:eastAsia="zh-CN"/>
        </w:rPr>
      </w:pPr>
      <w:r w:rsidRPr="00C756B5">
        <w:rPr>
          <w:rFonts w:ascii="Arial Narrow" w:eastAsia="Calibri" w:hAnsi="Arial Narrow" w:cs="Times New Roman"/>
          <w:sz w:val="18"/>
          <w:szCs w:val="18"/>
          <w:lang w:eastAsia="zh-CN"/>
        </w:rPr>
        <w:t>Source: Compiled during evaluation, and calculated during evaluation</w:t>
      </w:r>
    </w:p>
    <w:p w:rsidR="005863A4" w:rsidRDefault="005863A4" w:rsidP="005863A4">
      <w:pPr>
        <w:spacing w:before="0" w:after="240"/>
        <w:contextualSpacing/>
        <w:rPr>
          <w:rFonts w:ascii="Arial Narrow" w:eastAsia="Calibri" w:hAnsi="Arial Narrow" w:cs="Times New Roman"/>
          <w:sz w:val="18"/>
          <w:szCs w:val="18"/>
          <w:lang w:eastAsia="zh-CN"/>
        </w:rPr>
      </w:pPr>
      <w:r w:rsidRPr="00C756B5">
        <w:rPr>
          <w:rFonts w:ascii="Arial Narrow" w:eastAsia="Calibri" w:hAnsi="Arial Narrow" w:cs="Times New Roman"/>
          <w:sz w:val="18"/>
          <w:szCs w:val="18"/>
          <w:lang w:eastAsia="zh-CN"/>
        </w:rPr>
        <w:t xml:space="preserve">BIAsp = biphasic insulin aspart; IAsp = insulin aspart; IDeg=insulin degludec, IDegAsp = </w:t>
      </w:r>
      <w:r w:rsidR="0076527F" w:rsidRPr="00C756B5">
        <w:rPr>
          <w:rFonts w:ascii="Arial Narrow" w:eastAsia="Calibri" w:hAnsi="Arial Narrow" w:cs="Times New Roman"/>
          <w:sz w:val="18"/>
          <w:szCs w:val="18"/>
          <w:lang w:eastAsia="zh-CN"/>
        </w:rPr>
        <w:t>insulin degludec/insulin aspart;</w:t>
      </w:r>
      <w:r w:rsidRPr="00C756B5">
        <w:rPr>
          <w:rFonts w:ascii="Arial Narrow" w:eastAsia="Calibri" w:hAnsi="Arial Narrow" w:cs="Times New Roman"/>
          <w:sz w:val="18"/>
          <w:szCs w:val="18"/>
          <w:lang w:eastAsia="zh-CN"/>
        </w:rPr>
        <w:t xml:space="preserve"> IDet = insulin detemir</w:t>
      </w:r>
      <w:r w:rsidR="0076527F" w:rsidRPr="00C756B5">
        <w:rPr>
          <w:rFonts w:ascii="Arial Narrow" w:eastAsia="Calibri" w:hAnsi="Arial Narrow" w:cs="Times New Roman"/>
          <w:sz w:val="18"/>
          <w:szCs w:val="18"/>
          <w:lang w:eastAsia="zh-CN"/>
        </w:rPr>
        <w:t>;</w:t>
      </w:r>
      <w:r w:rsidRPr="00C756B5">
        <w:rPr>
          <w:rFonts w:ascii="Arial Narrow" w:eastAsia="Calibri" w:hAnsi="Arial Narrow" w:cs="Times New Roman"/>
          <w:sz w:val="18"/>
          <w:szCs w:val="18"/>
          <w:lang w:eastAsia="zh-CN"/>
        </w:rPr>
        <w:t xml:space="preserve"> T1DM = type 1 diabetes mellitus, T2DM = type 2 diabetes mellitus</w:t>
      </w:r>
      <w:r w:rsidR="00796516" w:rsidRPr="00C756B5">
        <w:rPr>
          <w:rFonts w:ascii="Arial Narrow" w:eastAsia="Calibri" w:hAnsi="Arial Narrow" w:cs="Times New Roman"/>
          <w:sz w:val="18"/>
          <w:szCs w:val="18"/>
          <w:lang w:eastAsia="zh-CN"/>
        </w:rPr>
        <w:t>, hypos = hypoglycaemic events</w:t>
      </w:r>
    </w:p>
    <w:p w:rsidR="00E809C2" w:rsidRDefault="00E809C2" w:rsidP="005863A4">
      <w:pPr>
        <w:spacing w:before="0" w:after="240"/>
        <w:contextualSpacing/>
        <w:rPr>
          <w:rFonts w:ascii="Arial Narrow" w:eastAsia="Calibri" w:hAnsi="Arial Narrow" w:cs="Times New Roman"/>
          <w:sz w:val="18"/>
          <w:szCs w:val="18"/>
          <w:lang w:eastAsia="zh-CN"/>
        </w:rPr>
      </w:pPr>
    </w:p>
    <w:p w:rsidR="00E809C2" w:rsidRPr="00C80BBC" w:rsidRDefault="00E809C2" w:rsidP="00E809C2">
      <w:pPr>
        <w:keepNext/>
        <w:spacing w:after="40"/>
        <w:rPr>
          <w:b/>
          <w:iCs/>
          <w:sz w:val="20"/>
          <w:szCs w:val="18"/>
        </w:rPr>
      </w:pPr>
      <w:r w:rsidRPr="00C80BBC">
        <w:rPr>
          <w:rFonts w:ascii="Arial Narrow" w:eastAsia="Calibri" w:hAnsi="Arial Narrow" w:cs="Times New Roman"/>
          <w:b/>
          <w:bCs/>
          <w:sz w:val="20"/>
          <w:szCs w:val="20"/>
        </w:rPr>
        <w:t xml:space="preserve">Table </w:t>
      </w:r>
      <w:r w:rsidR="003F25D8">
        <w:rPr>
          <w:rFonts w:ascii="Arial Narrow" w:eastAsia="Calibri" w:hAnsi="Arial Narrow" w:cs="Times New Roman"/>
          <w:b/>
          <w:bCs/>
          <w:sz w:val="20"/>
          <w:szCs w:val="20"/>
        </w:rPr>
        <w:t>9</w:t>
      </w:r>
      <w:r w:rsidRPr="00C80BBC">
        <w:rPr>
          <w:rFonts w:ascii="Arial Narrow" w:eastAsia="Calibri" w:hAnsi="Arial Narrow" w:cs="Times New Roman"/>
          <w:b/>
          <w:bCs/>
          <w:sz w:val="20"/>
          <w:szCs w:val="20"/>
        </w:rPr>
        <w:t xml:space="preserve"> Submission</w:t>
      </w:r>
      <w:r>
        <w:rPr>
          <w:rFonts w:ascii="Arial Narrow" w:eastAsia="Calibri" w:hAnsi="Arial Narrow" w:cs="Times New Roman"/>
          <w:b/>
          <w:bCs/>
          <w:sz w:val="20"/>
          <w:szCs w:val="20"/>
        </w:rPr>
        <w:t>’s</w:t>
      </w:r>
      <w:r w:rsidRPr="00C80BBC">
        <w:rPr>
          <w:rFonts w:ascii="Arial Narrow" w:eastAsia="Calibri" w:hAnsi="Arial Narrow" w:cs="Times New Roman"/>
          <w:b/>
          <w:bCs/>
          <w:sz w:val="20"/>
          <w:szCs w:val="20"/>
        </w:rPr>
        <w:t xml:space="preserve"> derivation of severe hypoglycaemic event cost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1725"/>
        <w:gridCol w:w="1987"/>
        <w:gridCol w:w="3281"/>
      </w:tblGrid>
      <w:tr w:rsidR="00E809C2" w:rsidRPr="00C80BBC" w:rsidTr="00301880">
        <w:trPr>
          <w:trHeight w:val="300"/>
        </w:trPr>
        <w:tc>
          <w:tcPr>
            <w:tcW w:w="1250" w:type="pct"/>
            <w:shd w:val="clear" w:color="000000" w:fill="FFFFFF"/>
            <w:noWrap/>
            <w:vAlign w:val="bottom"/>
            <w:hideMark/>
          </w:tcPr>
          <w:p w:rsidR="00E809C2" w:rsidRPr="00C80BBC" w:rsidRDefault="00E809C2" w:rsidP="00301880">
            <w:pPr>
              <w:spacing w:before="40" w:after="40"/>
              <w:rPr>
                <w:rFonts w:ascii="Arial Narrow" w:eastAsia="Times New Roman" w:hAnsi="Arial Narrow"/>
                <w:b/>
                <w:color w:val="000000"/>
                <w:sz w:val="20"/>
                <w:szCs w:val="20"/>
                <w:lang w:val="en-US"/>
              </w:rPr>
            </w:pPr>
            <w:r w:rsidRPr="00C80BBC">
              <w:rPr>
                <w:rFonts w:ascii="Arial Narrow" w:eastAsia="Times New Roman" w:hAnsi="Arial Narrow"/>
                <w:b/>
                <w:color w:val="000000"/>
                <w:sz w:val="20"/>
                <w:szCs w:val="20"/>
                <w:lang w:val="en-US"/>
              </w:rPr>
              <w:t>Resource</w:t>
            </w:r>
          </w:p>
        </w:tc>
        <w:tc>
          <w:tcPr>
            <w:tcW w:w="1250" w:type="pct"/>
            <w:shd w:val="clear" w:color="000000" w:fill="FFFFFF"/>
            <w:noWrap/>
            <w:vAlign w:val="bottom"/>
            <w:hideMark/>
          </w:tcPr>
          <w:p w:rsidR="00E809C2" w:rsidRPr="00C80BBC" w:rsidRDefault="00E809C2" w:rsidP="00301880">
            <w:pPr>
              <w:spacing w:before="40" w:after="40"/>
              <w:jc w:val="center"/>
              <w:rPr>
                <w:rFonts w:ascii="Arial Narrow" w:eastAsia="Times New Roman" w:hAnsi="Arial Narrow"/>
                <w:b/>
                <w:bCs/>
                <w:color w:val="000000"/>
                <w:sz w:val="20"/>
                <w:szCs w:val="20"/>
                <w:lang w:val="en-US"/>
              </w:rPr>
            </w:pPr>
            <w:r w:rsidRPr="00C80BBC">
              <w:rPr>
                <w:rFonts w:ascii="Arial Narrow" w:eastAsia="Times New Roman" w:hAnsi="Arial Narrow"/>
                <w:b/>
                <w:bCs/>
                <w:color w:val="000000"/>
                <w:sz w:val="20"/>
                <w:szCs w:val="20"/>
                <w:lang w:val="en-US"/>
              </w:rPr>
              <w:t>Patients (%)</w:t>
            </w:r>
          </w:p>
        </w:tc>
        <w:tc>
          <w:tcPr>
            <w:tcW w:w="1250" w:type="pct"/>
            <w:shd w:val="clear" w:color="000000" w:fill="FFFFFF"/>
            <w:noWrap/>
            <w:vAlign w:val="bottom"/>
            <w:hideMark/>
          </w:tcPr>
          <w:p w:rsidR="00E809C2" w:rsidRPr="00C80BBC" w:rsidRDefault="00E809C2" w:rsidP="00301880">
            <w:pPr>
              <w:spacing w:before="40" w:after="40"/>
              <w:jc w:val="center"/>
              <w:rPr>
                <w:rFonts w:ascii="Arial Narrow" w:eastAsia="Times New Roman" w:hAnsi="Arial Narrow"/>
                <w:b/>
                <w:bCs/>
                <w:color w:val="000000"/>
                <w:sz w:val="20"/>
                <w:szCs w:val="20"/>
                <w:lang w:val="en-US"/>
              </w:rPr>
            </w:pPr>
            <w:r w:rsidRPr="00C80BBC">
              <w:rPr>
                <w:rFonts w:ascii="Arial Narrow" w:eastAsia="Times New Roman" w:hAnsi="Arial Narrow"/>
                <w:b/>
                <w:bCs/>
                <w:color w:val="000000"/>
                <w:sz w:val="20"/>
                <w:szCs w:val="20"/>
                <w:lang w:val="en-US"/>
              </w:rPr>
              <w:t>Cost, 2009-10 prices</w:t>
            </w:r>
          </w:p>
        </w:tc>
        <w:tc>
          <w:tcPr>
            <w:tcW w:w="1250" w:type="pct"/>
            <w:shd w:val="clear" w:color="000000" w:fill="FFFFFF"/>
            <w:noWrap/>
            <w:vAlign w:val="bottom"/>
            <w:hideMark/>
          </w:tcPr>
          <w:p w:rsidR="00E809C2" w:rsidRPr="00C80BBC" w:rsidRDefault="00E809C2" w:rsidP="00301880">
            <w:pPr>
              <w:spacing w:before="40" w:after="40"/>
              <w:jc w:val="center"/>
              <w:rPr>
                <w:rFonts w:ascii="Arial Narrow" w:eastAsia="Times New Roman" w:hAnsi="Arial Narrow"/>
                <w:b/>
                <w:bCs/>
                <w:color w:val="000000"/>
                <w:sz w:val="20"/>
                <w:szCs w:val="20"/>
                <w:lang w:val="en-US"/>
              </w:rPr>
            </w:pPr>
            <w:r w:rsidRPr="00C80BBC">
              <w:rPr>
                <w:rFonts w:ascii="Arial Narrow" w:eastAsia="Times New Roman" w:hAnsi="Arial Narrow"/>
                <w:b/>
                <w:bCs/>
                <w:color w:val="000000"/>
                <w:sz w:val="20"/>
                <w:szCs w:val="20"/>
                <w:lang w:val="en-US"/>
              </w:rPr>
              <w:t xml:space="preserve">Average cost per event (2017-18 </w:t>
            </w:r>
            <w:r w:rsidRPr="00C80BBC">
              <w:rPr>
                <w:rFonts w:ascii="Arial Narrow" w:eastAsia="Times New Roman" w:hAnsi="Arial Narrow"/>
                <w:b/>
                <w:bCs/>
                <w:noProof/>
                <w:color w:val="000000"/>
                <w:sz w:val="20"/>
                <w:szCs w:val="20"/>
                <w:lang w:val="en-US"/>
              </w:rPr>
              <w:t>price</w:t>
            </w:r>
            <w:r w:rsidRPr="00C80BBC">
              <w:rPr>
                <w:rFonts w:ascii="Arial Narrow" w:eastAsia="Times New Roman" w:hAnsi="Arial Narrow"/>
                <w:b/>
                <w:bCs/>
                <w:noProof/>
                <w:color w:val="000000"/>
                <w:sz w:val="20"/>
                <w:szCs w:val="20"/>
                <w:vertAlign w:val="superscript"/>
                <w:lang w:val="en-US"/>
              </w:rPr>
              <w:t>d</w:t>
            </w:r>
            <w:r w:rsidRPr="00C80BBC">
              <w:rPr>
                <w:rFonts w:ascii="Arial Narrow" w:eastAsia="Times New Roman" w:hAnsi="Arial Narrow"/>
                <w:b/>
                <w:bCs/>
                <w:color w:val="000000"/>
                <w:sz w:val="20"/>
                <w:szCs w:val="20"/>
                <w:lang w:val="en-US"/>
              </w:rPr>
              <w:t>)</w:t>
            </w:r>
          </w:p>
        </w:tc>
      </w:tr>
      <w:tr w:rsidR="00E809C2" w:rsidRPr="00C80BBC" w:rsidTr="00301880">
        <w:trPr>
          <w:trHeight w:val="300"/>
        </w:trPr>
        <w:tc>
          <w:tcPr>
            <w:tcW w:w="1250" w:type="pct"/>
            <w:shd w:val="clear" w:color="000000" w:fill="FFFFFF"/>
            <w:noWrap/>
            <w:vAlign w:val="bottom"/>
            <w:hideMark/>
          </w:tcPr>
          <w:p w:rsidR="00E809C2" w:rsidRPr="00C80BBC" w:rsidRDefault="00E809C2" w:rsidP="00301880">
            <w:pPr>
              <w:spacing w:before="40" w:after="40"/>
              <w:rPr>
                <w:rFonts w:ascii="Arial Narrow" w:eastAsia="Times New Roman" w:hAnsi="Arial Narrow"/>
                <w:color w:val="000000"/>
                <w:sz w:val="20"/>
                <w:szCs w:val="20"/>
                <w:lang w:val="en-US"/>
              </w:rPr>
            </w:pPr>
            <w:r w:rsidRPr="00C80BBC">
              <w:rPr>
                <w:rFonts w:ascii="Arial Narrow" w:eastAsia="Times New Roman" w:hAnsi="Arial Narrow"/>
                <w:color w:val="000000"/>
                <w:sz w:val="20"/>
                <w:szCs w:val="20"/>
                <w:lang w:val="en-US"/>
              </w:rPr>
              <w:t>Ambulance</w:t>
            </w:r>
          </w:p>
        </w:tc>
        <w:tc>
          <w:tcPr>
            <w:tcW w:w="1250" w:type="pct"/>
            <w:shd w:val="clear" w:color="000000" w:fill="FFFFFF"/>
            <w:noWrap/>
            <w:vAlign w:val="bottom"/>
            <w:hideMark/>
          </w:tcPr>
          <w:p w:rsidR="00E809C2" w:rsidRPr="00C80BBC" w:rsidRDefault="00E809C2" w:rsidP="00301880">
            <w:pPr>
              <w:spacing w:before="40" w:after="40"/>
              <w:jc w:val="center"/>
              <w:rPr>
                <w:rFonts w:ascii="Arial Narrow" w:eastAsia="Times New Roman" w:hAnsi="Arial Narrow"/>
                <w:color w:val="000000"/>
                <w:sz w:val="20"/>
                <w:szCs w:val="20"/>
                <w:lang w:val="en-US"/>
              </w:rPr>
            </w:pPr>
            <w:r w:rsidRPr="00C80BBC">
              <w:rPr>
                <w:rFonts w:ascii="Arial Narrow" w:eastAsia="Times New Roman" w:hAnsi="Arial Narrow"/>
                <w:color w:val="000000"/>
                <w:sz w:val="20"/>
                <w:szCs w:val="20"/>
                <w:lang w:val="en-US"/>
              </w:rPr>
              <w:t>66.6%</w:t>
            </w:r>
          </w:p>
        </w:tc>
        <w:tc>
          <w:tcPr>
            <w:tcW w:w="1250" w:type="pct"/>
            <w:shd w:val="clear" w:color="000000" w:fill="FFFFFF"/>
            <w:noWrap/>
            <w:vAlign w:val="bottom"/>
            <w:hideMark/>
          </w:tcPr>
          <w:p w:rsidR="00E809C2" w:rsidRPr="00CE2229" w:rsidRDefault="00E809C2" w:rsidP="00301880">
            <w:pPr>
              <w:spacing w:before="40" w:after="40"/>
              <w:jc w:val="center"/>
              <w:rPr>
                <w:rFonts w:ascii="Arial Narrow" w:eastAsia="Times New Roman" w:hAnsi="Arial Narrow"/>
                <w:color w:val="000000"/>
                <w:sz w:val="20"/>
                <w:szCs w:val="20"/>
                <w:lang w:val="en-US"/>
              </w:rPr>
            </w:pPr>
            <w:r w:rsidRPr="00CE2229">
              <w:rPr>
                <w:rFonts w:ascii="Arial Narrow" w:eastAsia="Times New Roman" w:hAnsi="Arial Narrow"/>
                <w:color w:val="000000"/>
                <w:sz w:val="20"/>
                <w:szCs w:val="20"/>
                <w:lang w:val="en-US"/>
              </w:rPr>
              <w:t>$738</w:t>
            </w:r>
            <w:r w:rsidRPr="00CE2229">
              <w:rPr>
                <w:rFonts w:ascii="Arial Narrow" w:eastAsia="Times New Roman" w:hAnsi="Arial Narrow"/>
                <w:color w:val="000000"/>
                <w:sz w:val="20"/>
                <w:szCs w:val="20"/>
                <w:vertAlign w:val="superscript"/>
                <w:lang w:val="en-US"/>
              </w:rPr>
              <w:t>a</w:t>
            </w:r>
          </w:p>
        </w:tc>
        <w:tc>
          <w:tcPr>
            <w:tcW w:w="1250" w:type="pct"/>
            <w:shd w:val="clear" w:color="000000" w:fill="FFFFFF"/>
            <w:noWrap/>
            <w:vAlign w:val="bottom"/>
            <w:hideMark/>
          </w:tcPr>
          <w:p w:rsidR="00E809C2" w:rsidRPr="00CE2229" w:rsidRDefault="00E809C2" w:rsidP="00301880">
            <w:pPr>
              <w:spacing w:before="40" w:after="40"/>
              <w:jc w:val="center"/>
              <w:rPr>
                <w:rFonts w:ascii="Arial Narrow" w:eastAsia="Times New Roman" w:hAnsi="Arial Narrow"/>
                <w:color w:val="000000"/>
                <w:sz w:val="20"/>
                <w:szCs w:val="20"/>
                <w:lang w:val="en-US"/>
              </w:rPr>
            </w:pPr>
            <w:r w:rsidRPr="00CE2229">
              <w:rPr>
                <w:rFonts w:ascii="Arial Narrow" w:eastAsia="Times New Roman" w:hAnsi="Arial Narrow"/>
                <w:color w:val="000000"/>
                <w:sz w:val="20"/>
                <w:szCs w:val="20"/>
                <w:lang w:val="en-US"/>
              </w:rPr>
              <w:t>$492</w:t>
            </w:r>
          </w:p>
        </w:tc>
      </w:tr>
      <w:tr w:rsidR="00E809C2" w:rsidRPr="00C80BBC" w:rsidTr="00301880">
        <w:trPr>
          <w:trHeight w:val="300"/>
        </w:trPr>
        <w:tc>
          <w:tcPr>
            <w:tcW w:w="1250" w:type="pct"/>
            <w:shd w:val="clear" w:color="000000" w:fill="FFFFFF"/>
            <w:noWrap/>
            <w:vAlign w:val="bottom"/>
            <w:hideMark/>
          </w:tcPr>
          <w:p w:rsidR="00E809C2" w:rsidRPr="00C80BBC" w:rsidRDefault="00E809C2" w:rsidP="00301880">
            <w:pPr>
              <w:spacing w:before="40" w:after="40"/>
              <w:rPr>
                <w:rFonts w:ascii="Arial Narrow" w:eastAsia="Times New Roman" w:hAnsi="Arial Narrow"/>
                <w:color w:val="000000"/>
                <w:sz w:val="20"/>
                <w:szCs w:val="20"/>
                <w:lang w:val="en-US"/>
              </w:rPr>
            </w:pPr>
            <w:r w:rsidRPr="00C80BBC">
              <w:rPr>
                <w:rFonts w:ascii="Arial Narrow" w:eastAsia="Times New Roman" w:hAnsi="Arial Narrow"/>
                <w:color w:val="000000"/>
                <w:sz w:val="20"/>
                <w:szCs w:val="20"/>
                <w:lang w:val="en-US"/>
              </w:rPr>
              <w:t>Emergency department visit</w:t>
            </w:r>
          </w:p>
        </w:tc>
        <w:tc>
          <w:tcPr>
            <w:tcW w:w="1250" w:type="pct"/>
            <w:shd w:val="clear" w:color="000000" w:fill="FFFFFF"/>
            <w:noWrap/>
            <w:vAlign w:val="bottom"/>
            <w:hideMark/>
          </w:tcPr>
          <w:p w:rsidR="00E809C2" w:rsidRPr="00C80BBC" w:rsidRDefault="00E809C2" w:rsidP="00301880">
            <w:pPr>
              <w:spacing w:before="40" w:after="40"/>
              <w:jc w:val="center"/>
              <w:rPr>
                <w:rFonts w:ascii="Arial Narrow" w:eastAsia="Times New Roman" w:hAnsi="Arial Narrow"/>
                <w:color w:val="000000"/>
                <w:sz w:val="20"/>
                <w:szCs w:val="20"/>
                <w:lang w:val="en-US"/>
              </w:rPr>
            </w:pPr>
            <w:r w:rsidRPr="00C80BBC">
              <w:rPr>
                <w:rFonts w:ascii="Arial Narrow" w:eastAsia="Times New Roman" w:hAnsi="Arial Narrow"/>
                <w:color w:val="000000"/>
                <w:sz w:val="20"/>
                <w:szCs w:val="20"/>
                <w:lang w:val="en-US"/>
              </w:rPr>
              <w:t>65.2%</w:t>
            </w:r>
          </w:p>
        </w:tc>
        <w:tc>
          <w:tcPr>
            <w:tcW w:w="1250" w:type="pct"/>
            <w:shd w:val="clear" w:color="000000" w:fill="FFFFFF"/>
            <w:noWrap/>
            <w:vAlign w:val="bottom"/>
            <w:hideMark/>
          </w:tcPr>
          <w:p w:rsidR="00E809C2" w:rsidRPr="00CE2229" w:rsidRDefault="00E809C2" w:rsidP="00301880">
            <w:pPr>
              <w:spacing w:before="40" w:after="40"/>
              <w:jc w:val="center"/>
              <w:rPr>
                <w:rFonts w:ascii="Arial Narrow" w:eastAsia="Times New Roman" w:hAnsi="Arial Narrow"/>
                <w:color w:val="000000"/>
                <w:sz w:val="20"/>
                <w:szCs w:val="20"/>
                <w:lang w:val="en-US"/>
              </w:rPr>
            </w:pPr>
            <w:r w:rsidRPr="00CE2229">
              <w:rPr>
                <w:rFonts w:ascii="Arial Narrow" w:eastAsia="Times New Roman" w:hAnsi="Arial Narrow"/>
                <w:color w:val="000000"/>
                <w:sz w:val="20"/>
                <w:szCs w:val="20"/>
                <w:lang w:val="en-US"/>
              </w:rPr>
              <w:t>$600</w:t>
            </w:r>
            <w:r w:rsidRPr="00CE2229">
              <w:rPr>
                <w:rFonts w:ascii="Arial Narrow" w:eastAsia="Times New Roman" w:hAnsi="Arial Narrow"/>
                <w:color w:val="000000"/>
                <w:sz w:val="20"/>
                <w:szCs w:val="20"/>
                <w:vertAlign w:val="superscript"/>
                <w:lang w:val="en-US"/>
              </w:rPr>
              <w:t>b</w:t>
            </w:r>
          </w:p>
        </w:tc>
        <w:tc>
          <w:tcPr>
            <w:tcW w:w="1250" w:type="pct"/>
            <w:shd w:val="clear" w:color="000000" w:fill="FFFFFF"/>
            <w:noWrap/>
            <w:vAlign w:val="bottom"/>
            <w:hideMark/>
          </w:tcPr>
          <w:p w:rsidR="00E809C2" w:rsidRPr="00CE2229" w:rsidRDefault="00E809C2" w:rsidP="00301880">
            <w:pPr>
              <w:spacing w:before="40" w:after="40"/>
              <w:jc w:val="center"/>
              <w:rPr>
                <w:rFonts w:ascii="Arial Narrow" w:eastAsia="Times New Roman" w:hAnsi="Arial Narrow"/>
                <w:color w:val="000000"/>
                <w:sz w:val="20"/>
                <w:szCs w:val="20"/>
                <w:lang w:val="en-US"/>
              </w:rPr>
            </w:pPr>
            <w:r w:rsidRPr="00CE2229">
              <w:rPr>
                <w:rFonts w:ascii="Arial Narrow" w:eastAsia="Times New Roman" w:hAnsi="Arial Narrow"/>
                <w:color w:val="000000"/>
                <w:sz w:val="20"/>
                <w:szCs w:val="20"/>
                <w:lang w:val="en-US"/>
              </w:rPr>
              <w:t>$391</w:t>
            </w:r>
          </w:p>
        </w:tc>
      </w:tr>
      <w:tr w:rsidR="00E809C2" w:rsidRPr="00C80BBC" w:rsidTr="00301880">
        <w:trPr>
          <w:trHeight w:val="300"/>
        </w:trPr>
        <w:tc>
          <w:tcPr>
            <w:tcW w:w="1250" w:type="pct"/>
            <w:shd w:val="clear" w:color="000000" w:fill="FFFFFF"/>
            <w:noWrap/>
            <w:vAlign w:val="bottom"/>
            <w:hideMark/>
          </w:tcPr>
          <w:p w:rsidR="00E809C2" w:rsidRPr="00C80BBC" w:rsidRDefault="00E809C2" w:rsidP="00301880">
            <w:pPr>
              <w:spacing w:before="40" w:after="40"/>
              <w:rPr>
                <w:rFonts w:ascii="Arial Narrow" w:eastAsia="Times New Roman" w:hAnsi="Arial Narrow"/>
                <w:color w:val="000000"/>
                <w:sz w:val="20"/>
                <w:szCs w:val="20"/>
                <w:lang w:val="en-US"/>
              </w:rPr>
            </w:pPr>
            <w:r w:rsidRPr="00C80BBC">
              <w:rPr>
                <w:rFonts w:ascii="Arial Narrow" w:eastAsia="Times New Roman" w:hAnsi="Arial Narrow"/>
                <w:color w:val="000000"/>
                <w:sz w:val="20"/>
                <w:szCs w:val="20"/>
                <w:lang w:val="en-US"/>
              </w:rPr>
              <w:t>Hospitalisation</w:t>
            </w:r>
          </w:p>
        </w:tc>
        <w:tc>
          <w:tcPr>
            <w:tcW w:w="1250" w:type="pct"/>
            <w:shd w:val="clear" w:color="000000" w:fill="FFFFFF"/>
            <w:noWrap/>
            <w:vAlign w:val="bottom"/>
            <w:hideMark/>
          </w:tcPr>
          <w:p w:rsidR="00E809C2" w:rsidRPr="00C80BBC" w:rsidRDefault="00E809C2" w:rsidP="00301880">
            <w:pPr>
              <w:spacing w:before="40" w:after="40"/>
              <w:jc w:val="center"/>
              <w:rPr>
                <w:rFonts w:ascii="Arial Narrow" w:eastAsia="Times New Roman" w:hAnsi="Arial Narrow"/>
                <w:color w:val="000000"/>
                <w:sz w:val="20"/>
                <w:szCs w:val="20"/>
                <w:lang w:val="en-US"/>
              </w:rPr>
            </w:pPr>
            <w:r w:rsidRPr="00C80BBC">
              <w:rPr>
                <w:rFonts w:ascii="Arial Narrow" w:eastAsia="Times New Roman" w:hAnsi="Arial Narrow"/>
                <w:color w:val="000000"/>
                <w:sz w:val="20"/>
                <w:szCs w:val="20"/>
                <w:lang w:val="en-US"/>
              </w:rPr>
              <w:t>31.8%</w:t>
            </w:r>
          </w:p>
        </w:tc>
        <w:tc>
          <w:tcPr>
            <w:tcW w:w="1250" w:type="pct"/>
            <w:shd w:val="clear" w:color="000000" w:fill="FFFFFF"/>
            <w:noWrap/>
            <w:vAlign w:val="bottom"/>
            <w:hideMark/>
          </w:tcPr>
          <w:p w:rsidR="00E809C2" w:rsidRPr="00CE2229" w:rsidRDefault="00E809C2" w:rsidP="00301880">
            <w:pPr>
              <w:spacing w:before="40" w:after="40"/>
              <w:jc w:val="center"/>
              <w:rPr>
                <w:rFonts w:ascii="Arial Narrow" w:eastAsia="Times New Roman" w:hAnsi="Arial Narrow"/>
                <w:color w:val="000000"/>
                <w:sz w:val="20"/>
                <w:szCs w:val="20"/>
                <w:lang w:val="en-US"/>
              </w:rPr>
            </w:pPr>
            <w:r w:rsidRPr="00CE2229">
              <w:rPr>
                <w:rFonts w:ascii="Arial Narrow" w:eastAsia="Times New Roman" w:hAnsi="Arial Narrow"/>
                <w:color w:val="000000"/>
                <w:sz w:val="20"/>
                <w:szCs w:val="20"/>
                <w:lang w:val="en-US"/>
              </w:rPr>
              <w:t>$5,318</w:t>
            </w:r>
            <w:r w:rsidRPr="00CE2229">
              <w:rPr>
                <w:rFonts w:ascii="Arial Narrow" w:eastAsia="Times New Roman" w:hAnsi="Arial Narrow"/>
                <w:color w:val="000000"/>
                <w:sz w:val="20"/>
                <w:szCs w:val="20"/>
                <w:vertAlign w:val="superscript"/>
                <w:lang w:val="en-US"/>
              </w:rPr>
              <w:t>c</w:t>
            </w:r>
          </w:p>
        </w:tc>
        <w:tc>
          <w:tcPr>
            <w:tcW w:w="1250" w:type="pct"/>
            <w:shd w:val="clear" w:color="000000" w:fill="FFFFFF"/>
            <w:noWrap/>
            <w:vAlign w:val="bottom"/>
            <w:hideMark/>
          </w:tcPr>
          <w:p w:rsidR="00E809C2" w:rsidRPr="00CE2229" w:rsidRDefault="00E809C2" w:rsidP="00301880">
            <w:pPr>
              <w:spacing w:before="40" w:after="40"/>
              <w:jc w:val="center"/>
              <w:rPr>
                <w:rFonts w:ascii="Arial Narrow" w:eastAsia="Times New Roman" w:hAnsi="Arial Narrow"/>
                <w:color w:val="000000"/>
                <w:sz w:val="20"/>
                <w:szCs w:val="20"/>
                <w:lang w:val="en-US"/>
              </w:rPr>
            </w:pPr>
            <w:r w:rsidRPr="00CE2229">
              <w:rPr>
                <w:rFonts w:ascii="Arial Narrow" w:eastAsia="Times New Roman" w:hAnsi="Arial Narrow"/>
                <w:color w:val="000000"/>
                <w:sz w:val="20"/>
                <w:szCs w:val="20"/>
                <w:lang w:val="en-US"/>
              </w:rPr>
              <w:t>$1,691</w:t>
            </w:r>
          </w:p>
        </w:tc>
      </w:tr>
      <w:tr w:rsidR="00E809C2" w:rsidRPr="00C80BBC" w:rsidTr="00301880">
        <w:trPr>
          <w:trHeight w:val="300"/>
        </w:trPr>
        <w:tc>
          <w:tcPr>
            <w:tcW w:w="3750" w:type="pct"/>
            <w:gridSpan w:val="3"/>
            <w:shd w:val="clear" w:color="000000" w:fill="FFFFFF"/>
            <w:noWrap/>
            <w:vAlign w:val="bottom"/>
            <w:hideMark/>
          </w:tcPr>
          <w:p w:rsidR="00E809C2" w:rsidRPr="00C80BBC" w:rsidRDefault="00E809C2" w:rsidP="00301880">
            <w:pPr>
              <w:spacing w:before="40" w:after="40"/>
              <w:rPr>
                <w:rFonts w:ascii="Arial Narrow" w:eastAsia="Times New Roman" w:hAnsi="Arial Narrow"/>
                <w:color w:val="000000"/>
                <w:sz w:val="20"/>
                <w:szCs w:val="20"/>
                <w:lang w:val="en-US"/>
              </w:rPr>
            </w:pPr>
            <w:r w:rsidRPr="00C80BBC">
              <w:rPr>
                <w:rFonts w:ascii="Arial Narrow" w:eastAsia="Times New Roman" w:hAnsi="Arial Narrow"/>
                <w:color w:val="000000"/>
                <w:sz w:val="20"/>
                <w:szCs w:val="20"/>
                <w:lang w:val="en-US"/>
              </w:rPr>
              <w:t>Total cost</w:t>
            </w:r>
          </w:p>
        </w:tc>
        <w:tc>
          <w:tcPr>
            <w:tcW w:w="1250" w:type="pct"/>
            <w:shd w:val="clear" w:color="000000" w:fill="FFFFFF"/>
            <w:noWrap/>
            <w:vAlign w:val="bottom"/>
            <w:hideMark/>
          </w:tcPr>
          <w:p w:rsidR="00E809C2" w:rsidRPr="00CE2229" w:rsidRDefault="00E809C2" w:rsidP="00301880">
            <w:pPr>
              <w:spacing w:before="40" w:after="40"/>
              <w:jc w:val="center"/>
              <w:rPr>
                <w:rFonts w:ascii="Arial Narrow" w:eastAsia="Times New Roman" w:hAnsi="Arial Narrow"/>
                <w:color w:val="000000"/>
                <w:sz w:val="20"/>
                <w:szCs w:val="20"/>
                <w:lang w:val="en-US"/>
              </w:rPr>
            </w:pPr>
            <w:r w:rsidRPr="00CE2229">
              <w:rPr>
                <w:rFonts w:ascii="Arial Narrow" w:eastAsia="Times New Roman" w:hAnsi="Arial Narrow"/>
                <w:color w:val="000000"/>
                <w:sz w:val="20"/>
                <w:szCs w:val="20"/>
                <w:lang w:val="en-US"/>
              </w:rPr>
              <w:t>$2,574</w:t>
            </w:r>
          </w:p>
          <w:p w:rsidR="00E809C2" w:rsidRPr="00CE2229" w:rsidRDefault="00E809C2" w:rsidP="00301880">
            <w:pPr>
              <w:spacing w:before="40" w:after="40"/>
              <w:jc w:val="center"/>
              <w:rPr>
                <w:rFonts w:ascii="Arial Narrow" w:eastAsia="Times New Roman" w:hAnsi="Arial Narrow"/>
                <w:color w:val="000000"/>
                <w:sz w:val="20"/>
                <w:szCs w:val="20"/>
                <w:lang w:val="en-US"/>
              </w:rPr>
            </w:pPr>
            <w:r w:rsidRPr="00CE2229">
              <w:rPr>
                <w:rFonts w:ascii="Arial Narrow" w:eastAsia="Times New Roman" w:hAnsi="Arial Narrow"/>
                <w:color w:val="000000"/>
                <w:sz w:val="20"/>
                <w:szCs w:val="20"/>
                <w:lang w:val="en-US"/>
              </w:rPr>
              <w:t>($2,943)</w:t>
            </w:r>
          </w:p>
        </w:tc>
      </w:tr>
    </w:tbl>
    <w:p w:rsidR="00E809C2" w:rsidRPr="00C80BBC" w:rsidRDefault="00E809C2" w:rsidP="00E809C2">
      <w:pPr>
        <w:spacing w:before="0" w:after="240"/>
        <w:contextualSpacing/>
        <w:rPr>
          <w:rFonts w:ascii="Arial Narrow" w:eastAsia="Calibri" w:hAnsi="Arial Narrow" w:cs="Times New Roman"/>
          <w:sz w:val="18"/>
          <w:szCs w:val="18"/>
          <w:lang w:eastAsia="zh-CN"/>
        </w:rPr>
      </w:pPr>
      <w:r w:rsidRPr="00C80BBC">
        <w:rPr>
          <w:rFonts w:ascii="Arial Narrow" w:eastAsia="Calibri" w:hAnsi="Arial Narrow" w:cs="Times New Roman"/>
          <w:sz w:val="18"/>
          <w:szCs w:val="18"/>
          <w:lang w:eastAsia="zh-CN"/>
        </w:rPr>
        <w:t>Source: Table 3.3.3, submission, p71. Notes: a Life threatening or urgent ambulance call-out. b Fremantle Hospital (Director of ED, personal communication). c Average cost of hospitalisation with hypoglycaemia as a principal diagnosis. d Inflated using Total Health Price Index (AIHW 2016)</w:t>
      </w:r>
    </w:p>
    <w:p w:rsidR="00E809C2" w:rsidRPr="00E809C2" w:rsidRDefault="00E809C2" w:rsidP="003B78D8">
      <w:pPr>
        <w:pStyle w:val="ListParagraph"/>
        <w:numPr>
          <w:ilvl w:val="1"/>
          <w:numId w:val="1"/>
        </w:numPr>
        <w:ind w:left="709" w:hanging="709"/>
      </w:pPr>
      <w:r>
        <w:t>Using this methodology</w:t>
      </w:r>
      <w:r w:rsidRPr="00E809C2">
        <w:t>, the submission estimated that there would be a cost saving of $</w:t>
      </w:r>
      <w:r w:rsidR="00C80DBB">
        <w:rPr>
          <w:noProof/>
          <w:color w:val="000000"/>
          <w:highlight w:val="black"/>
        </w:rPr>
        <w:t>''''''''</w:t>
      </w:r>
      <w:r w:rsidRPr="00E809C2">
        <w:t xml:space="preserve"> per patient per year with T1DM and cost neutrality for patients with T2DM. </w:t>
      </w:r>
    </w:p>
    <w:p w:rsidR="009E252B" w:rsidRPr="00F6498E" w:rsidRDefault="00221886" w:rsidP="003B78D8">
      <w:pPr>
        <w:pStyle w:val="ListParagraph"/>
        <w:numPr>
          <w:ilvl w:val="1"/>
          <w:numId w:val="1"/>
        </w:numPr>
        <w:ind w:left="709" w:hanging="709"/>
        <w:jc w:val="both"/>
      </w:pPr>
      <w:r w:rsidRPr="00F6498E">
        <w:t>The PSCR (pp4-5) presented a sensitivity analysis which uses the reported rates of severe hypoglycaemic events per trial arm and claimed a cost saving of $</w:t>
      </w:r>
      <w:r w:rsidR="00C80DBB">
        <w:rPr>
          <w:noProof/>
          <w:color w:val="000000"/>
          <w:highlight w:val="black"/>
        </w:rPr>
        <w:t>''''''</w:t>
      </w:r>
      <w:r w:rsidRPr="00F6498E">
        <w:t xml:space="preserve"> per patient per year with T1DM and $</w:t>
      </w:r>
      <w:r w:rsidR="00C80DBB">
        <w:rPr>
          <w:noProof/>
          <w:color w:val="000000"/>
          <w:highlight w:val="black"/>
        </w:rPr>
        <w:t>'''</w:t>
      </w:r>
      <w:r w:rsidRPr="00F6498E">
        <w:t xml:space="preserve"> for patients with T2DM for a combined save of $</w:t>
      </w:r>
      <w:r w:rsidR="00C80DBB">
        <w:rPr>
          <w:noProof/>
          <w:color w:val="000000"/>
          <w:highlight w:val="black"/>
        </w:rPr>
        <w:t>''''''</w:t>
      </w:r>
      <w:r w:rsidRPr="00F6498E">
        <w:t xml:space="preserve"> per patient per year.</w:t>
      </w:r>
    </w:p>
    <w:p w:rsidR="00E809C2" w:rsidRDefault="00FB3B26" w:rsidP="003B78D8">
      <w:pPr>
        <w:pStyle w:val="ListParagraph"/>
        <w:numPr>
          <w:ilvl w:val="1"/>
          <w:numId w:val="1"/>
        </w:numPr>
        <w:ind w:left="709" w:hanging="709"/>
        <w:jc w:val="both"/>
      </w:pPr>
      <w:r>
        <w:t>T</w:t>
      </w:r>
      <w:r w:rsidRPr="00F6498E">
        <w:t xml:space="preserve">he </w:t>
      </w:r>
      <w:r>
        <w:t xml:space="preserve">PBAC did not accept the </w:t>
      </w:r>
      <w:r w:rsidRPr="00F6498E">
        <w:t>approach taken by the submission</w:t>
      </w:r>
      <w:r>
        <w:t xml:space="preserve"> which</w:t>
      </w:r>
      <w:r w:rsidRPr="00F6498E">
        <w:t xml:space="preserve"> assumed a difference in severe hypoglycaemic events</w:t>
      </w:r>
      <w:r>
        <w:t xml:space="preserve">. </w:t>
      </w:r>
      <w:r w:rsidRPr="00F6498E">
        <w:t xml:space="preserve"> </w:t>
      </w:r>
      <w:r w:rsidR="00D56477">
        <w:t>Therefore, t</w:t>
      </w:r>
      <w:r w:rsidR="00E809C2" w:rsidRPr="00F6498E">
        <w:t xml:space="preserve">he PBAC </w:t>
      </w:r>
      <w:r w:rsidR="00964581">
        <w:t xml:space="preserve">considered that it was not </w:t>
      </w:r>
      <w:r w:rsidR="007F1029" w:rsidRPr="00F6498E">
        <w:t xml:space="preserve">appropriate </w:t>
      </w:r>
      <w:r w:rsidR="009E252B" w:rsidRPr="00F6498E">
        <w:t>for the price of IDegAsp to include a premium over BIAsp</w:t>
      </w:r>
      <w:r w:rsidR="00541E65">
        <w:t xml:space="preserve"> </w:t>
      </w:r>
      <w:r w:rsidR="00303F31">
        <w:t>30</w:t>
      </w:r>
      <w:r w:rsidR="009E252B" w:rsidRPr="00F6498E">
        <w:t xml:space="preserve"> </w:t>
      </w:r>
      <w:r w:rsidR="000D469F">
        <w:t xml:space="preserve">in T2DM </w:t>
      </w:r>
      <w:r w:rsidR="009E252B" w:rsidRPr="00F6498E">
        <w:t>to account for a reduction in hypoglycaemic events based on the eviden</w:t>
      </w:r>
      <w:r w:rsidR="00AD7182">
        <w:t xml:space="preserve">ce provided in the submission. </w:t>
      </w:r>
      <w:r w:rsidR="00D56477">
        <w:t>Additionally, t</w:t>
      </w:r>
      <w:r w:rsidR="005E0D32">
        <w:t xml:space="preserve">he PBAC considered </w:t>
      </w:r>
      <w:r w:rsidR="009E252B" w:rsidRPr="00F6498E">
        <w:t xml:space="preserve">that the differences in biochemically confirmed hypoglycaemia were </w:t>
      </w:r>
      <w:r w:rsidR="005E0D32">
        <w:t xml:space="preserve">not </w:t>
      </w:r>
      <w:r w:rsidR="009E252B" w:rsidRPr="00F6498E">
        <w:t xml:space="preserve">clinically meaningful and noted that there </w:t>
      </w:r>
      <w:r w:rsidR="00D5633A">
        <w:t>were</w:t>
      </w:r>
      <w:r w:rsidR="00AD7182">
        <w:t xml:space="preserve"> </w:t>
      </w:r>
      <w:r w:rsidR="009E252B" w:rsidRPr="00F6498E">
        <w:t>no statistically significant differences in the rates of severe hypoglycaemic events</w:t>
      </w:r>
      <w:r w:rsidR="00065E26">
        <w:t xml:space="preserve">. </w:t>
      </w:r>
    </w:p>
    <w:p w:rsidR="00AD5600" w:rsidRPr="00B324B9" w:rsidRDefault="00D35F56" w:rsidP="00D67054">
      <w:pPr>
        <w:pStyle w:val="ListParagraph"/>
        <w:numPr>
          <w:ilvl w:val="1"/>
          <w:numId w:val="1"/>
        </w:numPr>
        <w:ind w:left="709" w:hanging="709"/>
        <w:jc w:val="both"/>
        <w:rPr>
          <w:rFonts w:ascii="Calibri" w:hAnsi="Calibri"/>
        </w:rPr>
      </w:pPr>
      <w:r w:rsidRPr="003B78D8">
        <w:t>The</w:t>
      </w:r>
      <w:r w:rsidR="009E252B" w:rsidRPr="00F6498E">
        <w:t xml:space="preserve"> PBAC noted the</w:t>
      </w:r>
      <w:r w:rsidR="00E51ADC">
        <w:t xml:space="preserve"> submission</w:t>
      </w:r>
      <w:r w:rsidRPr="003B78D8">
        <w:t xml:space="preserve"> </w:t>
      </w:r>
      <w:r w:rsidR="009E252B" w:rsidRPr="00F6498E">
        <w:t xml:space="preserve">proposed the </w:t>
      </w:r>
      <w:r w:rsidRPr="003B78D8">
        <w:t>equi-effective dose</w:t>
      </w:r>
      <w:r w:rsidR="009E252B" w:rsidRPr="00F6498E">
        <w:t xml:space="preserve">s </w:t>
      </w:r>
      <w:r w:rsidR="002F207A">
        <w:t xml:space="preserve">for </w:t>
      </w:r>
      <w:r w:rsidR="00E51ADC">
        <w:t>I</w:t>
      </w:r>
      <w:r w:rsidR="009E252B" w:rsidRPr="00F6498E">
        <w:t xml:space="preserve">DegAsp </w:t>
      </w:r>
      <w:r w:rsidR="009E252B" w:rsidRPr="00B324B9">
        <w:t xml:space="preserve">compared to BIAsp 30 in T2DM to be different </w:t>
      </w:r>
      <w:r w:rsidRPr="00B324B9">
        <w:t xml:space="preserve">for </w:t>
      </w:r>
      <w:r w:rsidR="009E252B" w:rsidRPr="00B324B9">
        <w:t>i</w:t>
      </w:r>
      <w:r w:rsidRPr="00B324B9">
        <w:t xml:space="preserve">nsulin-naïve (1:1) and </w:t>
      </w:r>
      <w:r w:rsidR="002F207A" w:rsidRPr="00B324B9">
        <w:t>i</w:t>
      </w:r>
      <w:r w:rsidRPr="00B324B9">
        <w:t>nsulin-experienced (0.82:1)</w:t>
      </w:r>
      <w:r w:rsidR="00E54FAC" w:rsidRPr="00B324B9">
        <w:t xml:space="preserve"> patients</w:t>
      </w:r>
      <w:r w:rsidR="00F6498E" w:rsidRPr="00B324B9">
        <w:t xml:space="preserve"> (weighted equi-effective dose</w:t>
      </w:r>
      <w:r w:rsidR="00855FEB" w:rsidRPr="00B324B9">
        <w:t xml:space="preserve"> is </w:t>
      </w:r>
      <w:r w:rsidR="00C80DBB">
        <w:rPr>
          <w:noProof/>
          <w:color w:val="000000"/>
          <w:highlight w:val="black"/>
        </w:rPr>
        <w:t>''''''''''''''</w:t>
      </w:r>
      <w:r w:rsidR="00F6498E" w:rsidRPr="00B324B9">
        <w:t xml:space="preserve">, assuming </w:t>
      </w:r>
      <w:r w:rsidR="00C80DBB">
        <w:rPr>
          <w:noProof/>
          <w:color w:val="000000"/>
          <w:highlight w:val="black"/>
        </w:rPr>
        <w:t>''''''''</w:t>
      </w:r>
      <w:r w:rsidR="00F6498E" w:rsidRPr="00985744">
        <w:t xml:space="preserve">% insulin naïve and </w:t>
      </w:r>
      <w:r w:rsidR="00C80DBB">
        <w:rPr>
          <w:noProof/>
          <w:color w:val="000000"/>
          <w:highlight w:val="black"/>
        </w:rPr>
        <w:t>'''''''''</w:t>
      </w:r>
      <w:r w:rsidR="00F6498E" w:rsidRPr="00985744">
        <w:t>% insulin</w:t>
      </w:r>
      <w:r w:rsidR="00F6498E" w:rsidRPr="00B324B9">
        <w:t xml:space="preserve"> experienced patients (submission table </w:t>
      </w:r>
      <w:r w:rsidR="002F207A" w:rsidRPr="00B324B9">
        <w:t>3.1.2</w:t>
      </w:r>
      <w:r w:rsidR="00F6498E" w:rsidRPr="00B324B9">
        <w:t xml:space="preserve"> p 64</w:t>
      </w:r>
      <w:r w:rsidR="00B716BF" w:rsidRPr="00B324B9">
        <w:t>)</w:t>
      </w:r>
      <w:r w:rsidR="00F6498E" w:rsidRPr="00B324B9">
        <w:t>)</w:t>
      </w:r>
      <w:r w:rsidR="000317B0" w:rsidRPr="00B324B9">
        <w:t>.</w:t>
      </w:r>
      <w:r w:rsidR="00F6498E" w:rsidRPr="00B324B9">
        <w:t xml:space="preserve"> </w:t>
      </w:r>
      <w:r w:rsidR="002F207A" w:rsidRPr="00B324B9">
        <w:t xml:space="preserve">The submission postulated that this </w:t>
      </w:r>
      <w:r w:rsidR="00EB02F4" w:rsidRPr="00B324B9">
        <w:t xml:space="preserve">is </w:t>
      </w:r>
      <w:r w:rsidR="002F207A" w:rsidRPr="00B324B9">
        <w:t>“related to the glucose lowering profile of IDegAsp, in which the rapid acting prandial effect is followed by a distinct separate and stable basal effect</w:t>
      </w:r>
      <w:r w:rsidR="00B716BF" w:rsidRPr="00B324B9">
        <w:t>” (p</w:t>
      </w:r>
      <w:r w:rsidR="002F207A" w:rsidRPr="00B324B9">
        <w:t>62).</w:t>
      </w:r>
      <w:r w:rsidR="00B716BF" w:rsidRPr="00B324B9">
        <w:t xml:space="preserve"> </w:t>
      </w:r>
      <w:r w:rsidR="00F6498E" w:rsidRPr="00B324B9">
        <w:rPr>
          <w:rFonts w:ascii="Calibri" w:hAnsi="Calibri"/>
        </w:rPr>
        <w:t>Although t</w:t>
      </w:r>
      <w:r w:rsidR="000317B0" w:rsidRPr="00B324B9">
        <w:rPr>
          <w:rFonts w:ascii="Calibri" w:hAnsi="Calibri"/>
        </w:rPr>
        <w:t>he ESC considered that the</w:t>
      </w:r>
      <w:r w:rsidR="0030256B" w:rsidRPr="00B324B9">
        <w:rPr>
          <w:rFonts w:ascii="Calibri" w:hAnsi="Calibri"/>
        </w:rPr>
        <w:t xml:space="preserve"> approach used in the submission which resulted in</w:t>
      </w:r>
      <w:r w:rsidR="000317B0" w:rsidRPr="00B324B9">
        <w:rPr>
          <w:rFonts w:ascii="Calibri" w:hAnsi="Calibri"/>
        </w:rPr>
        <w:t xml:space="preserve"> different equi-effective doses was </w:t>
      </w:r>
      <w:r w:rsidR="00C951E0" w:rsidRPr="00B324B9">
        <w:rPr>
          <w:rFonts w:ascii="Calibri" w:hAnsi="Calibri"/>
        </w:rPr>
        <w:t>reasonable</w:t>
      </w:r>
      <w:r w:rsidR="00F6498E" w:rsidRPr="00B324B9">
        <w:rPr>
          <w:rFonts w:ascii="Calibri" w:hAnsi="Calibri"/>
        </w:rPr>
        <w:t>, the PBAC considered that th</w:t>
      </w:r>
      <w:r w:rsidR="002F207A" w:rsidRPr="00B324B9">
        <w:rPr>
          <w:rFonts w:ascii="Calibri" w:hAnsi="Calibri"/>
        </w:rPr>
        <w:t>e differences in naïve and experienced patients</w:t>
      </w:r>
      <w:r w:rsidR="00F6498E" w:rsidRPr="00B324B9">
        <w:rPr>
          <w:rFonts w:ascii="Calibri" w:hAnsi="Calibri"/>
        </w:rPr>
        <w:t xml:space="preserve"> created some uncertainty</w:t>
      </w:r>
      <w:r w:rsidR="002F207A" w:rsidRPr="00B324B9">
        <w:rPr>
          <w:rFonts w:ascii="Calibri" w:hAnsi="Calibri"/>
        </w:rPr>
        <w:t xml:space="preserve"> in the equi-effective dose</w:t>
      </w:r>
      <w:r w:rsidR="00F6498E" w:rsidRPr="00B324B9">
        <w:rPr>
          <w:rFonts w:ascii="Calibri" w:hAnsi="Calibri"/>
        </w:rPr>
        <w:t xml:space="preserve"> overall.</w:t>
      </w:r>
    </w:p>
    <w:p w:rsidR="00AD5600" w:rsidRPr="00B324B9" w:rsidRDefault="00AD5600" w:rsidP="00D67054">
      <w:pPr>
        <w:pStyle w:val="ListParagraph"/>
        <w:numPr>
          <w:ilvl w:val="1"/>
          <w:numId w:val="1"/>
        </w:numPr>
        <w:ind w:left="709" w:hanging="709"/>
        <w:jc w:val="both"/>
        <w:rPr>
          <w:rFonts w:ascii="Calibri" w:hAnsi="Calibri"/>
        </w:rPr>
      </w:pPr>
      <w:r w:rsidRPr="00B324B9">
        <w:rPr>
          <w:rFonts w:ascii="Calibri" w:hAnsi="Calibri"/>
        </w:rPr>
        <w:t>As, the PBAC did not consider IDet to be the appropriate comparator for T1DM, the Committee did not form a view on the cost-</w:t>
      </w:r>
      <w:r w:rsidR="004837DF" w:rsidRPr="00B324B9">
        <w:rPr>
          <w:rFonts w:ascii="Calibri" w:hAnsi="Calibri"/>
        </w:rPr>
        <w:t>minimisation</w:t>
      </w:r>
      <w:r w:rsidRPr="00B324B9">
        <w:rPr>
          <w:rFonts w:ascii="Calibri" w:hAnsi="Calibri"/>
        </w:rPr>
        <w:t xml:space="preserve"> analysis or equi-effective doses of IDegAsp in this setting.</w:t>
      </w:r>
    </w:p>
    <w:p w:rsidR="00796516" w:rsidRPr="00B324B9" w:rsidRDefault="000635CC" w:rsidP="00D67054">
      <w:pPr>
        <w:pStyle w:val="ListParagraph"/>
        <w:numPr>
          <w:ilvl w:val="1"/>
          <w:numId w:val="1"/>
        </w:numPr>
        <w:ind w:left="720" w:hanging="720"/>
        <w:jc w:val="both"/>
      </w:pPr>
      <w:r w:rsidRPr="00B324B9">
        <w:rPr>
          <w:rFonts w:ascii="Calibri" w:eastAsia="Calibri" w:hAnsi="Calibri" w:cs="Times New Roman"/>
        </w:rPr>
        <w:t>T</w:t>
      </w:r>
      <w:r w:rsidR="00835830" w:rsidRPr="00B324B9">
        <w:rPr>
          <w:rFonts w:ascii="Calibri" w:eastAsia="Calibri" w:hAnsi="Calibri" w:cs="Times New Roman"/>
        </w:rPr>
        <w:t xml:space="preserve">he PBAC </w:t>
      </w:r>
      <w:r w:rsidR="00F6498E" w:rsidRPr="00B324B9">
        <w:rPr>
          <w:rFonts w:ascii="Calibri" w:eastAsia="Calibri" w:hAnsi="Calibri" w:cs="Times New Roman"/>
        </w:rPr>
        <w:t xml:space="preserve">noted the Department’s advice that </w:t>
      </w:r>
      <w:r w:rsidR="00AD5600" w:rsidRPr="00B324B9">
        <w:rPr>
          <w:rFonts w:ascii="Calibri" w:eastAsia="Calibri" w:hAnsi="Calibri" w:cs="Times New Roman"/>
        </w:rPr>
        <w:t xml:space="preserve">prices should be </w:t>
      </w:r>
      <w:r w:rsidR="003D4C17" w:rsidRPr="00B324B9">
        <w:t>calculat</w:t>
      </w:r>
      <w:r w:rsidR="00AD5600" w:rsidRPr="00B324B9">
        <w:t>ed</w:t>
      </w:r>
      <w:r w:rsidR="00F6498E" w:rsidRPr="00B324B9">
        <w:t xml:space="preserve"> </w:t>
      </w:r>
      <w:r w:rsidR="00AD5600" w:rsidRPr="00B324B9">
        <w:t>u</w:t>
      </w:r>
      <w:r w:rsidR="00F6498E" w:rsidRPr="00B324B9">
        <w:t xml:space="preserve">sing </w:t>
      </w:r>
      <w:r w:rsidR="005F548F" w:rsidRPr="00B324B9">
        <w:t xml:space="preserve">approved </w:t>
      </w:r>
      <w:r w:rsidR="003D4C17" w:rsidRPr="00B324B9">
        <w:t>ex-manufacturer prices</w:t>
      </w:r>
      <w:r w:rsidR="00F6498E" w:rsidRPr="00B324B9">
        <w:t xml:space="preserve"> and not DPMQ prices.</w:t>
      </w:r>
    </w:p>
    <w:p w:rsidR="00C317F3" w:rsidRPr="00B324B9" w:rsidRDefault="00C317F3" w:rsidP="00772501">
      <w:pPr>
        <w:pStyle w:val="Heading2"/>
        <w:rPr>
          <w:i w:val="0"/>
        </w:rPr>
      </w:pPr>
      <w:bookmarkStart w:id="28" w:name="_Toc413139283"/>
      <w:bookmarkStart w:id="29" w:name="_Toc493067750"/>
      <w:r w:rsidRPr="00B324B9">
        <w:rPr>
          <w:i w:val="0"/>
        </w:rPr>
        <w:t>Drug cos</w:t>
      </w:r>
      <w:r w:rsidR="005E0068" w:rsidRPr="00B324B9">
        <w:rPr>
          <w:i w:val="0"/>
        </w:rPr>
        <w:t>t/patient/</w:t>
      </w:r>
      <w:r w:rsidRPr="00B324B9">
        <w:rPr>
          <w:i w:val="0"/>
        </w:rPr>
        <w:t>year</w:t>
      </w:r>
      <w:bookmarkEnd w:id="28"/>
      <w:r w:rsidR="002E0365" w:rsidRPr="00B324B9">
        <w:rPr>
          <w:i w:val="0"/>
        </w:rPr>
        <w:t>:</w:t>
      </w:r>
      <w:r w:rsidR="00D566DD" w:rsidRPr="00B324B9">
        <w:rPr>
          <w:i w:val="0"/>
        </w:rPr>
        <w:t xml:space="preserve"> $</w:t>
      </w:r>
      <w:r w:rsidR="00C80DBB">
        <w:rPr>
          <w:i w:val="0"/>
          <w:noProof/>
          <w:color w:val="000000"/>
          <w:highlight w:val="black"/>
        </w:rPr>
        <w:t>''''''</w:t>
      </w:r>
      <w:r w:rsidR="00CE6140" w:rsidRPr="00B324B9">
        <w:rPr>
          <w:i w:val="0"/>
        </w:rPr>
        <w:t xml:space="preserve"> at DPMQ</w:t>
      </w:r>
      <w:bookmarkEnd w:id="29"/>
    </w:p>
    <w:p w:rsidR="00433180" w:rsidRPr="00985744" w:rsidRDefault="00D566DD" w:rsidP="00EF3B52">
      <w:pPr>
        <w:pStyle w:val="ListParagraph"/>
        <w:numPr>
          <w:ilvl w:val="1"/>
          <w:numId w:val="1"/>
        </w:numPr>
        <w:ind w:left="720" w:hanging="720"/>
        <w:jc w:val="both"/>
        <w:rPr>
          <w:rFonts w:eastAsia="Calibri"/>
        </w:rPr>
      </w:pPr>
      <w:bookmarkStart w:id="30" w:name="_Toc413139284"/>
      <w:r w:rsidRPr="00B324B9">
        <w:rPr>
          <w:rFonts w:eastAsia="Calibri"/>
        </w:rPr>
        <w:t xml:space="preserve">The submission </w:t>
      </w:r>
      <w:r w:rsidRPr="00985744">
        <w:rPr>
          <w:rFonts w:eastAsia="Calibri"/>
        </w:rPr>
        <w:t xml:space="preserve">estimated a weighted </w:t>
      </w:r>
      <w:r w:rsidR="00871A71" w:rsidRPr="00985744">
        <w:rPr>
          <w:rFonts w:eastAsia="Calibri"/>
        </w:rPr>
        <w:t>drug cost/</w:t>
      </w:r>
      <w:r w:rsidRPr="00985744">
        <w:rPr>
          <w:rFonts w:eastAsia="Calibri"/>
        </w:rPr>
        <w:t>patient</w:t>
      </w:r>
      <w:r w:rsidR="00871A71" w:rsidRPr="00985744">
        <w:rPr>
          <w:rFonts w:eastAsia="Calibri"/>
        </w:rPr>
        <w:t>/year</w:t>
      </w:r>
      <w:r w:rsidRPr="00985744">
        <w:rPr>
          <w:rFonts w:eastAsia="Calibri"/>
        </w:rPr>
        <w:t xml:space="preserve"> of $</w:t>
      </w:r>
      <w:r w:rsidR="00C80DBB">
        <w:rPr>
          <w:rFonts w:eastAsia="Calibri"/>
          <w:noProof/>
          <w:color w:val="000000"/>
          <w:highlight w:val="black"/>
        </w:rPr>
        <w:t>''''''''</w:t>
      </w:r>
      <w:r w:rsidRPr="00985744">
        <w:rPr>
          <w:rFonts w:eastAsia="Calibri"/>
        </w:rPr>
        <w:t xml:space="preserve"> for I</w:t>
      </w:r>
      <w:r w:rsidR="00007A5C" w:rsidRPr="00985744">
        <w:rPr>
          <w:rFonts w:eastAsia="Calibri"/>
        </w:rPr>
        <w:t>Deg</w:t>
      </w:r>
      <w:r w:rsidRPr="00985744">
        <w:rPr>
          <w:rFonts w:eastAsia="Calibri"/>
        </w:rPr>
        <w:t xml:space="preserve">Asp. </w:t>
      </w:r>
      <w:r w:rsidR="00433180" w:rsidRPr="00985744">
        <w:rPr>
          <w:rFonts w:eastAsia="Calibri"/>
        </w:rPr>
        <w:t xml:space="preserve">This was based on a </w:t>
      </w:r>
      <w:r w:rsidR="00871A71" w:rsidRPr="00985744">
        <w:rPr>
          <w:rFonts w:eastAsia="Calibri"/>
        </w:rPr>
        <w:t xml:space="preserve">weighted </w:t>
      </w:r>
      <w:r w:rsidR="00433180" w:rsidRPr="00985744">
        <w:rPr>
          <w:rFonts w:eastAsia="Calibri"/>
        </w:rPr>
        <w:t>mean</w:t>
      </w:r>
      <w:r w:rsidR="00433180" w:rsidRPr="00985744">
        <w:t xml:space="preserve"> </w:t>
      </w:r>
      <w:r w:rsidR="00433180" w:rsidRPr="00985744">
        <w:rPr>
          <w:rFonts w:eastAsia="Calibri"/>
        </w:rPr>
        <w:t>drug cost/patient/year of</w:t>
      </w:r>
      <w:r w:rsidRPr="00985744">
        <w:rPr>
          <w:rFonts w:eastAsia="Calibri"/>
        </w:rPr>
        <w:t xml:space="preserve"> </w:t>
      </w:r>
      <w:r w:rsidR="00433180" w:rsidRPr="00985744">
        <w:rPr>
          <w:rFonts w:eastAsia="Calibri"/>
        </w:rPr>
        <w:t>$</w:t>
      </w:r>
      <w:r w:rsidR="00C80DBB">
        <w:rPr>
          <w:rFonts w:eastAsia="Calibri"/>
          <w:noProof/>
          <w:color w:val="000000"/>
          <w:highlight w:val="black"/>
        </w:rPr>
        <w:t>'''''''</w:t>
      </w:r>
      <w:r w:rsidR="00433180" w:rsidRPr="00985744">
        <w:rPr>
          <w:rFonts w:eastAsia="Calibri"/>
        </w:rPr>
        <w:t xml:space="preserve"> </w:t>
      </w:r>
      <w:r w:rsidRPr="00985744">
        <w:rPr>
          <w:rFonts w:eastAsia="Calibri"/>
        </w:rPr>
        <w:t xml:space="preserve">for </w:t>
      </w:r>
      <w:r w:rsidR="00433180" w:rsidRPr="00985744">
        <w:rPr>
          <w:rFonts w:eastAsia="Calibri"/>
        </w:rPr>
        <w:t xml:space="preserve">insulin-experienced </w:t>
      </w:r>
      <w:r w:rsidRPr="00985744">
        <w:rPr>
          <w:rFonts w:eastAsia="Calibri"/>
        </w:rPr>
        <w:t xml:space="preserve">T2DM </w:t>
      </w:r>
      <w:r w:rsidR="00433180" w:rsidRPr="00985744">
        <w:rPr>
          <w:rFonts w:eastAsia="Calibri"/>
        </w:rPr>
        <w:t>patients (</w:t>
      </w:r>
      <w:r w:rsidR="00C80DBB">
        <w:rPr>
          <w:rFonts w:eastAsia="Calibri"/>
          <w:noProof/>
          <w:color w:val="000000"/>
          <w:highlight w:val="black"/>
        </w:rPr>
        <w:t>''''''''</w:t>
      </w:r>
      <w:r w:rsidR="00433180" w:rsidRPr="00985744">
        <w:rPr>
          <w:rFonts w:eastAsia="Calibri"/>
        </w:rPr>
        <w:t>%), $</w:t>
      </w:r>
      <w:r w:rsidR="00C80DBB">
        <w:rPr>
          <w:rFonts w:eastAsia="Calibri"/>
          <w:noProof/>
          <w:color w:val="000000"/>
          <w:highlight w:val="black"/>
        </w:rPr>
        <w:t>''''''''''</w:t>
      </w:r>
      <w:r w:rsidR="00433180" w:rsidRPr="00985744">
        <w:rPr>
          <w:rFonts w:eastAsia="Calibri"/>
        </w:rPr>
        <w:t xml:space="preserve"> for insulin-naïve T2DM patients (</w:t>
      </w:r>
      <w:r w:rsidR="00C80DBB">
        <w:rPr>
          <w:rFonts w:eastAsia="Calibri"/>
          <w:noProof/>
          <w:color w:val="000000"/>
          <w:highlight w:val="black"/>
        </w:rPr>
        <w:t>'''''''''</w:t>
      </w:r>
      <w:r w:rsidR="00433180" w:rsidRPr="00985744">
        <w:rPr>
          <w:rFonts w:eastAsia="Calibri"/>
        </w:rPr>
        <w:t xml:space="preserve">%), </w:t>
      </w:r>
      <w:r w:rsidRPr="00985744">
        <w:rPr>
          <w:rFonts w:eastAsia="Calibri"/>
        </w:rPr>
        <w:t>and $</w:t>
      </w:r>
      <w:r w:rsidR="00C80DBB">
        <w:rPr>
          <w:rFonts w:eastAsia="Calibri"/>
          <w:noProof/>
          <w:color w:val="000000"/>
          <w:highlight w:val="black"/>
        </w:rPr>
        <w:t>''''''''</w:t>
      </w:r>
      <w:r w:rsidR="00433180" w:rsidRPr="00985744">
        <w:rPr>
          <w:rFonts w:eastAsia="Calibri"/>
        </w:rPr>
        <w:t xml:space="preserve"> for T1DM patients</w:t>
      </w:r>
      <w:r w:rsidR="00871A71" w:rsidRPr="00985744">
        <w:rPr>
          <w:rFonts w:eastAsia="Calibri"/>
        </w:rPr>
        <w:t xml:space="preserve"> (</w:t>
      </w:r>
      <w:r w:rsidR="00C80DBB">
        <w:rPr>
          <w:rFonts w:eastAsia="Calibri"/>
          <w:noProof/>
          <w:color w:val="000000"/>
          <w:highlight w:val="black"/>
        </w:rPr>
        <w:t>'''''''</w:t>
      </w:r>
      <w:r w:rsidR="00871A71" w:rsidRPr="00985744">
        <w:rPr>
          <w:rFonts w:eastAsia="Calibri"/>
        </w:rPr>
        <w:t>%)</w:t>
      </w:r>
      <w:r w:rsidR="00433180" w:rsidRPr="00985744">
        <w:rPr>
          <w:rFonts w:eastAsia="Calibri"/>
        </w:rPr>
        <w:t xml:space="preserve">. </w:t>
      </w:r>
      <w:r w:rsidRPr="00985744">
        <w:rPr>
          <w:rFonts w:eastAsia="Calibri"/>
        </w:rPr>
        <w:t>This was based on a DPMQ of $</w:t>
      </w:r>
      <w:r w:rsidR="00C80DBB">
        <w:rPr>
          <w:rFonts w:eastAsia="Calibri"/>
          <w:noProof/>
          <w:color w:val="000000"/>
          <w:highlight w:val="black"/>
        </w:rPr>
        <w:t>'''''''''''''</w:t>
      </w:r>
      <w:r w:rsidRPr="00985744">
        <w:rPr>
          <w:rFonts w:eastAsia="Calibri"/>
        </w:rPr>
        <w:t>.</w:t>
      </w:r>
    </w:p>
    <w:p w:rsidR="00007A5C" w:rsidRPr="00985744" w:rsidRDefault="00007A5C" w:rsidP="00EF3B52">
      <w:pPr>
        <w:pStyle w:val="ListParagraph"/>
        <w:numPr>
          <w:ilvl w:val="1"/>
          <w:numId w:val="1"/>
        </w:numPr>
        <w:ind w:left="720" w:hanging="720"/>
        <w:jc w:val="both"/>
        <w:rPr>
          <w:rFonts w:eastAsia="Calibri"/>
        </w:rPr>
      </w:pPr>
      <w:r w:rsidRPr="00D15DEE">
        <w:rPr>
          <w:rFonts w:eastAsia="Calibri"/>
        </w:rPr>
        <w:t>The submission estimated a weighted drug cost/patient/year of $</w:t>
      </w:r>
      <w:r w:rsidR="00C80DBB">
        <w:rPr>
          <w:rFonts w:eastAsia="Calibri"/>
          <w:noProof/>
          <w:color w:val="000000"/>
          <w:highlight w:val="black"/>
        </w:rPr>
        <w:t>''''''''</w:t>
      </w:r>
      <w:r w:rsidRPr="00D15DEE">
        <w:rPr>
          <w:rFonts w:eastAsia="Calibri"/>
        </w:rPr>
        <w:t xml:space="preserve"> for the comparators. This was </w:t>
      </w:r>
      <w:r w:rsidRPr="00985744">
        <w:rPr>
          <w:rFonts w:eastAsia="Calibri"/>
        </w:rPr>
        <w:t>based on a weighted mean drug cost/patient/year of $1,008 for BIAsp 30 in insulin-experienced T2DM patients (</w:t>
      </w:r>
      <w:r w:rsidR="00C80DBB">
        <w:rPr>
          <w:rFonts w:eastAsia="Calibri"/>
          <w:noProof/>
          <w:color w:val="000000"/>
          <w:highlight w:val="black"/>
        </w:rPr>
        <w:t>''''''''</w:t>
      </w:r>
      <w:r w:rsidRPr="00985744">
        <w:rPr>
          <w:rFonts w:eastAsia="Calibri"/>
        </w:rPr>
        <w:t>%), $865 for BIAsp 30 in insulin-naïve T2DM patients (</w:t>
      </w:r>
      <w:r w:rsidR="00C80DBB">
        <w:rPr>
          <w:rFonts w:eastAsia="Calibri"/>
          <w:noProof/>
          <w:color w:val="000000"/>
          <w:highlight w:val="black"/>
        </w:rPr>
        <w:t>'''''''''</w:t>
      </w:r>
      <w:r w:rsidRPr="00985744">
        <w:rPr>
          <w:rFonts w:eastAsia="Calibri"/>
        </w:rPr>
        <w:t>%), and $</w:t>
      </w:r>
      <w:r w:rsidR="00C80DBB">
        <w:rPr>
          <w:rFonts w:eastAsia="Calibri"/>
          <w:noProof/>
          <w:color w:val="000000"/>
          <w:highlight w:val="black"/>
        </w:rPr>
        <w:t>''''''</w:t>
      </w:r>
      <w:r w:rsidRPr="00985744">
        <w:rPr>
          <w:rFonts w:eastAsia="Calibri"/>
        </w:rPr>
        <w:t xml:space="preserve"> for IDet in T1DM patients (</w:t>
      </w:r>
      <w:r w:rsidR="00C80DBB">
        <w:rPr>
          <w:rFonts w:eastAsia="Calibri"/>
          <w:noProof/>
          <w:color w:val="000000"/>
          <w:highlight w:val="black"/>
        </w:rPr>
        <w:t>''''''</w:t>
      </w:r>
      <w:r w:rsidRPr="00985744">
        <w:rPr>
          <w:rFonts w:eastAsia="Calibri"/>
        </w:rPr>
        <w:t>%)</w:t>
      </w:r>
      <w:r w:rsidR="00E6770D" w:rsidRPr="00985744">
        <w:rPr>
          <w:rFonts w:eastAsia="Calibri"/>
        </w:rPr>
        <w:t xml:space="preserve"> and a higher number of insulin units used per year compared to IDegAsp</w:t>
      </w:r>
      <w:r w:rsidRPr="00985744">
        <w:rPr>
          <w:rFonts w:eastAsia="Calibri"/>
        </w:rPr>
        <w:t xml:space="preserve">. </w:t>
      </w:r>
    </w:p>
    <w:p w:rsidR="00B2768B" w:rsidRPr="00D15DEE" w:rsidRDefault="00B2768B" w:rsidP="00EF3B52">
      <w:pPr>
        <w:pStyle w:val="ListParagraph"/>
        <w:numPr>
          <w:ilvl w:val="1"/>
          <w:numId w:val="1"/>
        </w:numPr>
        <w:ind w:left="720" w:hanging="720"/>
        <w:jc w:val="both"/>
        <w:rPr>
          <w:rFonts w:eastAsia="Calibri"/>
        </w:rPr>
      </w:pPr>
      <w:r>
        <w:rPr>
          <w:color w:val="000000" w:themeColor="text1"/>
        </w:rPr>
        <w:t>The pre-PBAC response (p1) proposed a reduced DPMQ of $</w:t>
      </w:r>
      <w:r w:rsidR="00C80DBB">
        <w:rPr>
          <w:noProof/>
          <w:color w:val="000000"/>
          <w:highlight w:val="black"/>
        </w:rPr>
        <w:t>''''''''''''''</w:t>
      </w:r>
      <w:r>
        <w:rPr>
          <w:color w:val="000000" w:themeColor="text1"/>
        </w:rPr>
        <w:t xml:space="preserve">, which incorporated the cost-minimised price of IDegAsp to 70%IGlar/30%IAsp, accounted in 17% premixed neutral/isophane human insulin use and assumed the effective dispensed price of </w:t>
      </w:r>
      <w:r w:rsidR="00716EE9">
        <w:rPr>
          <w:color w:val="000000" w:themeColor="text1"/>
        </w:rPr>
        <w:t>IGlar to be equivalent to IDet.</w:t>
      </w:r>
      <w:r w:rsidR="00E809C2">
        <w:rPr>
          <w:color w:val="000000" w:themeColor="text1"/>
        </w:rPr>
        <w:t xml:space="preserve"> The PBAC considered this price reduction was </w:t>
      </w:r>
      <w:r w:rsidR="000D469F">
        <w:rPr>
          <w:color w:val="000000" w:themeColor="text1"/>
        </w:rPr>
        <w:t>not sufficient to address its concerns</w:t>
      </w:r>
      <w:r w:rsidR="00AD5600">
        <w:rPr>
          <w:color w:val="000000" w:themeColor="text1"/>
        </w:rPr>
        <w:t xml:space="preserve"> regarding cost-effectiveness</w:t>
      </w:r>
      <w:r w:rsidR="000D469F">
        <w:rPr>
          <w:color w:val="000000" w:themeColor="text1"/>
        </w:rPr>
        <w:t>.</w:t>
      </w:r>
    </w:p>
    <w:p w:rsidR="00C317F3" w:rsidRPr="00D15DEE" w:rsidRDefault="00C317F3" w:rsidP="00772501">
      <w:pPr>
        <w:pStyle w:val="Heading2"/>
        <w:rPr>
          <w:i w:val="0"/>
        </w:rPr>
      </w:pPr>
      <w:bookmarkStart w:id="31" w:name="_Toc493067751"/>
      <w:r w:rsidRPr="00D15DEE">
        <w:rPr>
          <w:i w:val="0"/>
        </w:rPr>
        <w:t>Estimated PBS usage &amp; financial implications</w:t>
      </w:r>
      <w:bookmarkEnd w:id="30"/>
      <w:bookmarkEnd w:id="31"/>
    </w:p>
    <w:p w:rsidR="00C064F2" w:rsidRPr="00D15DEE" w:rsidRDefault="00C064F2" w:rsidP="00EF3B52">
      <w:pPr>
        <w:pStyle w:val="ListParagraph"/>
        <w:numPr>
          <w:ilvl w:val="1"/>
          <w:numId w:val="1"/>
        </w:numPr>
        <w:ind w:left="720" w:hanging="720"/>
        <w:jc w:val="both"/>
        <w:rPr>
          <w:rFonts w:eastAsia="Calibri"/>
        </w:rPr>
      </w:pPr>
      <w:r w:rsidRPr="00D15DEE">
        <w:rPr>
          <w:rFonts w:eastAsia="Calibri"/>
        </w:rPr>
        <w:t>T</w:t>
      </w:r>
      <w:r w:rsidR="00C317F3" w:rsidRPr="00D15DEE">
        <w:t xml:space="preserve">his submission </w:t>
      </w:r>
      <w:r w:rsidR="000152E5" w:rsidRPr="00D15DEE">
        <w:t>w</w:t>
      </w:r>
      <w:r w:rsidR="003D2C63" w:rsidRPr="00D15DEE">
        <w:t>as</w:t>
      </w:r>
      <w:r w:rsidR="00C317F3" w:rsidRPr="00D15DEE">
        <w:t xml:space="preserve"> </w:t>
      </w:r>
      <w:r w:rsidR="003A49F0" w:rsidRPr="00D15DEE">
        <w:t xml:space="preserve">not </w:t>
      </w:r>
      <w:r w:rsidR="00C317F3" w:rsidRPr="00D15DEE">
        <w:t>considered by DUSC</w:t>
      </w:r>
      <w:r w:rsidR="000152E5" w:rsidRPr="00D15DEE">
        <w:t>. A market share approach was chosen using PBS and RPBS utilisation statistics for estimating the total units of premixed and long-acting insulins used in Australia in 2016</w:t>
      </w:r>
      <w:r w:rsidR="005E0068" w:rsidRPr="00D15DEE">
        <w:t xml:space="preserve">. </w:t>
      </w:r>
    </w:p>
    <w:p w:rsidR="002F6B53" w:rsidRPr="00D15DEE" w:rsidRDefault="005E0068" w:rsidP="00EF3B52">
      <w:pPr>
        <w:pStyle w:val="ListParagraph"/>
        <w:numPr>
          <w:ilvl w:val="1"/>
          <w:numId w:val="1"/>
        </w:numPr>
        <w:ind w:left="720" w:hanging="720"/>
        <w:jc w:val="both"/>
        <w:rPr>
          <w:rFonts w:eastAsia="Calibri"/>
        </w:rPr>
      </w:pPr>
      <w:r w:rsidRPr="00D15DEE">
        <w:t>T</w:t>
      </w:r>
      <w:r w:rsidR="000152E5" w:rsidRPr="00D15DEE">
        <w:t xml:space="preserve">he </w:t>
      </w:r>
      <w:r w:rsidR="002F6B53" w:rsidRPr="00D15DEE">
        <w:t>submission identified eight</w:t>
      </w:r>
      <w:r w:rsidR="00C064F2" w:rsidRPr="00D15DEE">
        <w:t xml:space="preserve"> insulin </w:t>
      </w:r>
      <w:r w:rsidR="002F6B53" w:rsidRPr="00D15DEE">
        <w:t xml:space="preserve">formulations </w:t>
      </w:r>
      <w:r w:rsidR="00C064F2" w:rsidRPr="00D15DEE">
        <w:t>that were likely to be replaced.</w:t>
      </w:r>
    </w:p>
    <w:p w:rsidR="00072952" w:rsidRPr="00D15DEE" w:rsidRDefault="00AD7D66" w:rsidP="00EF3B52">
      <w:pPr>
        <w:pStyle w:val="ListParagraph"/>
        <w:numPr>
          <w:ilvl w:val="1"/>
          <w:numId w:val="1"/>
        </w:numPr>
        <w:ind w:left="720" w:hanging="720"/>
        <w:jc w:val="both"/>
        <w:rPr>
          <w:rFonts w:eastAsia="Calibri"/>
        </w:rPr>
      </w:pPr>
      <w:r w:rsidRPr="00D15DEE">
        <w:t xml:space="preserve">Table </w:t>
      </w:r>
      <w:r w:rsidR="0011139F" w:rsidRPr="00D15DEE">
        <w:t>1</w:t>
      </w:r>
      <w:r w:rsidR="00716EE9">
        <w:t>0</w:t>
      </w:r>
      <w:r w:rsidR="0011139F" w:rsidRPr="00D15DEE">
        <w:t xml:space="preserve"> </w:t>
      </w:r>
      <w:r w:rsidR="002F6B53" w:rsidRPr="00D15DEE">
        <w:t>summarises the insulin PBS items, the</w:t>
      </w:r>
      <w:r w:rsidR="00C064F2" w:rsidRPr="00D15DEE">
        <w:t xml:space="preserve"> </w:t>
      </w:r>
      <w:r w:rsidR="000152E5" w:rsidRPr="00D15DEE">
        <w:t>expected annual growth</w:t>
      </w:r>
      <w:r w:rsidR="002F6B53" w:rsidRPr="00D15DEE">
        <w:t xml:space="preserve"> rate and the expected replacement </w:t>
      </w:r>
      <w:r w:rsidR="000152E5" w:rsidRPr="00D15DEE">
        <w:t xml:space="preserve">of </w:t>
      </w:r>
      <w:r w:rsidR="005E0068" w:rsidRPr="00D15DEE">
        <w:t>th</w:t>
      </w:r>
      <w:r w:rsidR="002F6B53" w:rsidRPr="00D15DEE">
        <w:t>ese items if IDegAsp were to be listed on the PB</w:t>
      </w:r>
      <w:r w:rsidR="00CE6140" w:rsidRPr="00D15DEE">
        <w:t>S</w:t>
      </w:r>
      <w:r w:rsidR="002F6B53" w:rsidRPr="00D15DEE">
        <w:t>.</w:t>
      </w:r>
      <w:r w:rsidR="00E80D02" w:rsidRPr="00D15DEE">
        <w:t xml:space="preserve"> </w:t>
      </w:r>
    </w:p>
    <w:p w:rsidR="002F6B53" w:rsidRPr="00D15DEE" w:rsidRDefault="002F6B53" w:rsidP="00792222">
      <w:pPr>
        <w:keepNext/>
        <w:spacing w:before="0" w:after="60"/>
        <w:rPr>
          <w:rFonts w:ascii="Arial Narrow" w:hAnsi="Arial Narrow"/>
          <w:b/>
          <w:iCs/>
          <w:sz w:val="20"/>
          <w:szCs w:val="20"/>
          <w:lang w:val="en-AU" w:eastAsia="zh-CN"/>
        </w:rPr>
      </w:pPr>
      <w:r w:rsidRPr="00D15DEE">
        <w:rPr>
          <w:rFonts w:ascii="Arial Narrow" w:hAnsi="Arial Narrow"/>
          <w:b/>
          <w:iCs/>
          <w:sz w:val="20"/>
          <w:szCs w:val="20"/>
          <w:lang w:val="en-AU"/>
        </w:rPr>
        <w:t>Table</w:t>
      </w:r>
      <w:r w:rsidR="0011139F" w:rsidRPr="00D15DEE">
        <w:rPr>
          <w:rFonts w:ascii="Arial Narrow" w:hAnsi="Arial Narrow"/>
          <w:b/>
          <w:iCs/>
          <w:sz w:val="20"/>
          <w:szCs w:val="20"/>
          <w:lang w:val="en-AU"/>
        </w:rPr>
        <w:t xml:space="preserve"> 1</w:t>
      </w:r>
      <w:r w:rsidR="00716EE9">
        <w:rPr>
          <w:rFonts w:ascii="Arial Narrow" w:hAnsi="Arial Narrow"/>
          <w:b/>
          <w:iCs/>
          <w:sz w:val="20"/>
          <w:szCs w:val="20"/>
          <w:lang w:val="en-AU"/>
        </w:rPr>
        <w:t>0</w:t>
      </w:r>
      <w:r w:rsidRPr="00D15DEE">
        <w:rPr>
          <w:rFonts w:ascii="Arial Narrow" w:hAnsi="Arial Narrow"/>
          <w:b/>
          <w:iCs/>
          <w:sz w:val="20"/>
          <w:szCs w:val="20"/>
          <w:lang w:val="en-AU"/>
        </w:rPr>
        <w:t xml:space="preserve">: Assumed </w:t>
      </w:r>
      <w:r w:rsidR="00A86388" w:rsidRPr="00D15DEE">
        <w:rPr>
          <w:rFonts w:ascii="Arial Narrow" w:hAnsi="Arial Narrow"/>
          <w:b/>
          <w:iCs/>
          <w:sz w:val="20"/>
          <w:szCs w:val="20"/>
          <w:lang w:val="en-AU"/>
        </w:rPr>
        <w:t xml:space="preserve">growth rate and </w:t>
      </w:r>
      <w:r w:rsidRPr="00D15DEE">
        <w:rPr>
          <w:rFonts w:ascii="Arial Narrow" w:hAnsi="Arial Narrow"/>
          <w:b/>
          <w:iCs/>
          <w:sz w:val="20"/>
          <w:szCs w:val="20"/>
          <w:lang w:val="en-AU"/>
        </w:rPr>
        <w:t>proportions of each of the current treatments displaced by the insulin degludec/ insulin aspart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2593"/>
        <w:gridCol w:w="843"/>
        <w:gridCol w:w="843"/>
        <w:gridCol w:w="843"/>
        <w:gridCol w:w="843"/>
        <w:gridCol w:w="843"/>
        <w:gridCol w:w="843"/>
        <w:gridCol w:w="843"/>
      </w:tblGrid>
      <w:tr w:rsidR="002F6B53" w:rsidRPr="00D15DEE" w:rsidTr="00792222">
        <w:trPr>
          <w:trHeight w:val="510"/>
          <w:tblHeader/>
        </w:trPr>
        <w:tc>
          <w:tcPr>
            <w:tcW w:w="405" w:type="pct"/>
            <w:shd w:val="clear" w:color="auto" w:fill="auto"/>
          </w:tcPr>
          <w:p w:rsidR="002F6B53" w:rsidRPr="00D15DEE" w:rsidRDefault="002F6B53" w:rsidP="0076527F">
            <w:pPr>
              <w:adjustRightInd w:val="0"/>
              <w:snapToGrid w:val="0"/>
              <w:spacing w:before="40" w:after="40"/>
              <w:rPr>
                <w:rFonts w:ascii="Arial Narrow" w:eastAsia="Times New Roman" w:hAnsi="Arial Narrow" w:cs="Arial"/>
                <w:b/>
                <w:bCs/>
                <w:color w:val="000000"/>
                <w:sz w:val="20"/>
                <w:szCs w:val="20"/>
                <w:lang w:val="en-AU" w:eastAsia="en-AU"/>
              </w:rPr>
            </w:pPr>
            <w:r w:rsidRPr="00D15DEE">
              <w:rPr>
                <w:rFonts w:ascii="Arial Narrow" w:eastAsia="SimSun" w:hAnsi="Arial Narrow"/>
                <w:b/>
                <w:sz w:val="20"/>
                <w:szCs w:val="20"/>
                <w:lang w:val="en-AU"/>
              </w:rPr>
              <w:t>Item</w:t>
            </w:r>
          </w:p>
        </w:tc>
        <w:tc>
          <w:tcPr>
            <w:tcW w:w="1403" w:type="pct"/>
            <w:shd w:val="clear" w:color="auto" w:fill="auto"/>
            <w:hideMark/>
          </w:tcPr>
          <w:p w:rsidR="002F6B53" w:rsidRPr="00D15DEE" w:rsidRDefault="00A11F3D" w:rsidP="00A11F3D">
            <w:pPr>
              <w:adjustRightInd w:val="0"/>
              <w:snapToGrid w:val="0"/>
              <w:spacing w:before="40" w:after="40"/>
              <w:rPr>
                <w:rFonts w:ascii="Arial Narrow" w:eastAsia="Times New Roman" w:hAnsi="Arial Narrow" w:cs="Arial"/>
                <w:b/>
                <w:bCs/>
                <w:color w:val="000000"/>
                <w:sz w:val="20"/>
                <w:szCs w:val="20"/>
                <w:lang w:val="en-AU" w:eastAsia="en-AU"/>
              </w:rPr>
            </w:pPr>
            <w:r w:rsidRPr="00D15DEE">
              <w:rPr>
                <w:rFonts w:ascii="Arial Narrow" w:eastAsia="Times New Roman" w:hAnsi="Arial Narrow" w:cs="Arial"/>
                <w:b/>
                <w:bCs/>
                <w:color w:val="000000"/>
                <w:sz w:val="20"/>
                <w:szCs w:val="20"/>
                <w:lang w:val="en-AU" w:eastAsia="en-AU"/>
              </w:rPr>
              <w:t>Drug</w:t>
            </w:r>
          </w:p>
        </w:tc>
        <w:tc>
          <w:tcPr>
            <w:tcW w:w="456" w:type="pct"/>
          </w:tcPr>
          <w:p w:rsidR="002F6B53" w:rsidRPr="00D15DEE" w:rsidRDefault="002F6B53" w:rsidP="0076527F">
            <w:pPr>
              <w:spacing w:before="40" w:after="40"/>
              <w:rPr>
                <w:rFonts w:ascii="Arial Narrow" w:eastAsia="SimSun" w:hAnsi="Arial Narrow"/>
                <w:b/>
                <w:sz w:val="20"/>
                <w:szCs w:val="20"/>
                <w:lang w:val="en-AU"/>
              </w:rPr>
            </w:pPr>
            <w:r w:rsidRPr="00D15DEE">
              <w:rPr>
                <w:rFonts w:ascii="Arial Narrow" w:eastAsia="SimSun" w:hAnsi="Arial Narrow"/>
                <w:b/>
                <w:sz w:val="20"/>
                <w:szCs w:val="20"/>
                <w:lang w:val="en-AU"/>
              </w:rPr>
              <w:t>Annual growth rate</w:t>
            </w:r>
          </w:p>
        </w:tc>
        <w:tc>
          <w:tcPr>
            <w:tcW w:w="456" w:type="pct"/>
            <w:shd w:val="clear" w:color="auto" w:fill="auto"/>
            <w:noWrap/>
            <w:hideMark/>
          </w:tcPr>
          <w:p w:rsidR="002F6B53" w:rsidRPr="00D15DEE" w:rsidRDefault="002F6B53" w:rsidP="0076527F">
            <w:pPr>
              <w:spacing w:before="40" w:after="40"/>
              <w:rPr>
                <w:rFonts w:ascii="Arial Narrow" w:eastAsia="SimSun" w:hAnsi="Arial Narrow"/>
                <w:b/>
                <w:sz w:val="20"/>
                <w:szCs w:val="20"/>
                <w:lang w:val="en-AU"/>
              </w:rPr>
            </w:pPr>
            <w:r w:rsidRPr="00D15DEE">
              <w:rPr>
                <w:rFonts w:ascii="Arial Narrow" w:eastAsia="SimSun" w:hAnsi="Arial Narrow"/>
                <w:b/>
                <w:sz w:val="20"/>
                <w:szCs w:val="20"/>
                <w:lang w:val="en-AU"/>
              </w:rPr>
              <w:t>Year 1</w:t>
            </w:r>
          </w:p>
          <w:p w:rsidR="002F6B53" w:rsidRPr="00D15DEE" w:rsidRDefault="002F6B53" w:rsidP="0076527F">
            <w:pPr>
              <w:spacing w:before="40" w:after="40"/>
              <w:rPr>
                <w:rFonts w:ascii="Arial Narrow" w:eastAsia="SimSun" w:hAnsi="Arial Narrow"/>
                <w:b/>
                <w:sz w:val="20"/>
                <w:szCs w:val="20"/>
                <w:lang w:val="en-AU"/>
              </w:rPr>
            </w:pPr>
            <w:r w:rsidRPr="00D15DEE">
              <w:rPr>
                <w:rFonts w:ascii="Arial Narrow" w:eastAsia="SimSun" w:hAnsi="Arial Narrow"/>
                <w:b/>
                <w:sz w:val="20"/>
                <w:szCs w:val="20"/>
                <w:lang w:val="en-AU"/>
              </w:rPr>
              <w:t>(2018)</w:t>
            </w:r>
          </w:p>
        </w:tc>
        <w:tc>
          <w:tcPr>
            <w:tcW w:w="456" w:type="pct"/>
            <w:shd w:val="clear" w:color="auto" w:fill="auto"/>
            <w:noWrap/>
            <w:hideMark/>
          </w:tcPr>
          <w:p w:rsidR="002F6B53" w:rsidRPr="00D15DEE" w:rsidRDefault="002F6B53" w:rsidP="0076527F">
            <w:pPr>
              <w:spacing w:before="40" w:after="40"/>
              <w:rPr>
                <w:rFonts w:ascii="Arial Narrow" w:eastAsia="SimSun" w:hAnsi="Arial Narrow"/>
                <w:b/>
                <w:sz w:val="20"/>
                <w:szCs w:val="20"/>
                <w:lang w:val="en-AU"/>
              </w:rPr>
            </w:pPr>
            <w:r w:rsidRPr="00D15DEE">
              <w:rPr>
                <w:rFonts w:ascii="Arial Narrow" w:eastAsia="SimSun" w:hAnsi="Arial Narrow"/>
                <w:b/>
                <w:sz w:val="20"/>
                <w:szCs w:val="20"/>
                <w:lang w:val="en-AU"/>
              </w:rPr>
              <w:t>Year 2</w:t>
            </w:r>
          </w:p>
          <w:p w:rsidR="002F6B53" w:rsidRPr="00D15DEE" w:rsidRDefault="002F6B53" w:rsidP="0076527F">
            <w:pPr>
              <w:spacing w:before="40" w:after="40"/>
              <w:rPr>
                <w:rFonts w:ascii="Arial Narrow" w:eastAsia="SimSun" w:hAnsi="Arial Narrow"/>
                <w:b/>
                <w:sz w:val="20"/>
                <w:szCs w:val="20"/>
                <w:lang w:val="en-AU"/>
              </w:rPr>
            </w:pPr>
            <w:r w:rsidRPr="00D15DEE">
              <w:rPr>
                <w:rFonts w:ascii="Arial Narrow" w:eastAsia="SimSun" w:hAnsi="Arial Narrow"/>
                <w:b/>
                <w:sz w:val="20"/>
                <w:szCs w:val="20"/>
                <w:lang w:val="en-AU"/>
              </w:rPr>
              <w:t>(2019)</w:t>
            </w:r>
          </w:p>
        </w:tc>
        <w:tc>
          <w:tcPr>
            <w:tcW w:w="456" w:type="pct"/>
            <w:shd w:val="clear" w:color="auto" w:fill="auto"/>
            <w:noWrap/>
            <w:hideMark/>
          </w:tcPr>
          <w:p w:rsidR="002F6B53" w:rsidRPr="00D15DEE" w:rsidRDefault="002F6B53" w:rsidP="0076527F">
            <w:pPr>
              <w:spacing w:before="40" w:after="40"/>
              <w:rPr>
                <w:rFonts w:ascii="Arial Narrow" w:eastAsia="SimSun" w:hAnsi="Arial Narrow"/>
                <w:b/>
                <w:sz w:val="20"/>
                <w:szCs w:val="20"/>
                <w:lang w:val="en-AU"/>
              </w:rPr>
            </w:pPr>
            <w:r w:rsidRPr="00D15DEE">
              <w:rPr>
                <w:rFonts w:ascii="Arial Narrow" w:eastAsia="SimSun" w:hAnsi="Arial Narrow"/>
                <w:b/>
                <w:sz w:val="20"/>
                <w:szCs w:val="20"/>
                <w:lang w:val="en-AU"/>
              </w:rPr>
              <w:t>Year 3</w:t>
            </w:r>
          </w:p>
          <w:p w:rsidR="002F6B53" w:rsidRPr="00D15DEE" w:rsidRDefault="002F6B53" w:rsidP="0076527F">
            <w:pPr>
              <w:spacing w:before="40" w:after="40"/>
              <w:rPr>
                <w:rFonts w:ascii="Arial Narrow" w:eastAsia="SimSun" w:hAnsi="Arial Narrow"/>
                <w:b/>
                <w:sz w:val="20"/>
                <w:szCs w:val="20"/>
                <w:lang w:val="en-AU"/>
              </w:rPr>
            </w:pPr>
            <w:r w:rsidRPr="00D15DEE">
              <w:rPr>
                <w:rFonts w:ascii="Arial Narrow" w:eastAsia="SimSun" w:hAnsi="Arial Narrow"/>
                <w:b/>
                <w:sz w:val="20"/>
                <w:szCs w:val="20"/>
                <w:lang w:val="en-AU"/>
              </w:rPr>
              <w:t>(2020)</w:t>
            </w:r>
          </w:p>
        </w:tc>
        <w:tc>
          <w:tcPr>
            <w:tcW w:w="456" w:type="pct"/>
            <w:shd w:val="clear" w:color="auto" w:fill="auto"/>
            <w:noWrap/>
            <w:hideMark/>
          </w:tcPr>
          <w:p w:rsidR="002F6B53" w:rsidRPr="00D15DEE" w:rsidRDefault="002F6B53" w:rsidP="0076527F">
            <w:pPr>
              <w:spacing w:before="40" w:after="40"/>
              <w:rPr>
                <w:rFonts w:ascii="Arial Narrow" w:eastAsia="SimSun" w:hAnsi="Arial Narrow"/>
                <w:b/>
                <w:sz w:val="20"/>
                <w:szCs w:val="20"/>
                <w:lang w:val="en-AU"/>
              </w:rPr>
            </w:pPr>
            <w:r w:rsidRPr="00D15DEE">
              <w:rPr>
                <w:rFonts w:ascii="Arial Narrow" w:eastAsia="SimSun" w:hAnsi="Arial Narrow"/>
                <w:b/>
                <w:sz w:val="20"/>
                <w:szCs w:val="20"/>
                <w:lang w:val="en-AU"/>
              </w:rPr>
              <w:t>Year 4</w:t>
            </w:r>
          </w:p>
          <w:p w:rsidR="002F6B53" w:rsidRPr="00D15DEE" w:rsidRDefault="002F6B53" w:rsidP="0076527F">
            <w:pPr>
              <w:spacing w:before="40" w:after="40"/>
              <w:rPr>
                <w:rFonts w:ascii="Arial Narrow" w:eastAsia="SimSun" w:hAnsi="Arial Narrow"/>
                <w:b/>
                <w:sz w:val="20"/>
                <w:szCs w:val="20"/>
                <w:lang w:val="en-AU"/>
              </w:rPr>
            </w:pPr>
            <w:r w:rsidRPr="00D15DEE">
              <w:rPr>
                <w:rFonts w:ascii="Arial Narrow" w:eastAsia="SimSun" w:hAnsi="Arial Narrow"/>
                <w:b/>
                <w:sz w:val="20"/>
                <w:szCs w:val="20"/>
                <w:lang w:val="en-AU"/>
              </w:rPr>
              <w:t>(2021)</w:t>
            </w:r>
          </w:p>
        </w:tc>
        <w:tc>
          <w:tcPr>
            <w:tcW w:w="456" w:type="pct"/>
            <w:shd w:val="clear" w:color="auto" w:fill="auto"/>
            <w:noWrap/>
            <w:hideMark/>
          </w:tcPr>
          <w:p w:rsidR="002F6B53" w:rsidRPr="00D15DEE" w:rsidRDefault="002F6B53" w:rsidP="0076527F">
            <w:pPr>
              <w:spacing w:before="40" w:after="40"/>
              <w:rPr>
                <w:rFonts w:ascii="Arial Narrow" w:eastAsia="SimSun" w:hAnsi="Arial Narrow"/>
                <w:b/>
                <w:sz w:val="20"/>
                <w:szCs w:val="20"/>
                <w:lang w:val="en-AU"/>
              </w:rPr>
            </w:pPr>
            <w:r w:rsidRPr="00D15DEE">
              <w:rPr>
                <w:rFonts w:ascii="Arial Narrow" w:eastAsia="SimSun" w:hAnsi="Arial Narrow"/>
                <w:b/>
                <w:sz w:val="20"/>
                <w:szCs w:val="20"/>
                <w:lang w:val="en-AU"/>
              </w:rPr>
              <w:t>Year 5</w:t>
            </w:r>
          </w:p>
          <w:p w:rsidR="002F6B53" w:rsidRPr="00D15DEE" w:rsidRDefault="002F6B53" w:rsidP="0076527F">
            <w:pPr>
              <w:spacing w:before="40" w:after="40"/>
              <w:rPr>
                <w:rFonts w:ascii="Arial Narrow" w:eastAsia="SimSun" w:hAnsi="Arial Narrow"/>
                <w:b/>
                <w:sz w:val="20"/>
                <w:szCs w:val="20"/>
                <w:lang w:val="en-AU"/>
              </w:rPr>
            </w:pPr>
            <w:r w:rsidRPr="00D15DEE">
              <w:rPr>
                <w:rFonts w:ascii="Arial Narrow" w:eastAsia="SimSun" w:hAnsi="Arial Narrow"/>
                <w:b/>
                <w:sz w:val="20"/>
                <w:szCs w:val="20"/>
                <w:lang w:val="en-AU"/>
              </w:rPr>
              <w:t>(2022)</w:t>
            </w:r>
          </w:p>
        </w:tc>
        <w:tc>
          <w:tcPr>
            <w:tcW w:w="456" w:type="pct"/>
            <w:shd w:val="clear" w:color="auto" w:fill="auto"/>
            <w:noWrap/>
            <w:hideMark/>
          </w:tcPr>
          <w:p w:rsidR="002F6B53" w:rsidRPr="00D15DEE" w:rsidRDefault="002F6B53" w:rsidP="0076527F">
            <w:pPr>
              <w:spacing w:before="40" w:after="40"/>
              <w:rPr>
                <w:rFonts w:ascii="Arial Narrow" w:eastAsia="SimSun" w:hAnsi="Arial Narrow"/>
                <w:b/>
                <w:sz w:val="20"/>
                <w:szCs w:val="20"/>
                <w:lang w:val="en-AU"/>
              </w:rPr>
            </w:pPr>
            <w:r w:rsidRPr="00D15DEE">
              <w:rPr>
                <w:rFonts w:ascii="Arial Narrow" w:eastAsia="SimSun" w:hAnsi="Arial Narrow"/>
                <w:b/>
                <w:sz w:val="20"/>
                <w:szCs w:val="20"/>
                <w:lang w:val="en-AU"/>
              </w:rPr>
              <w:t>Year 6</w:t>
            </w:r>
          </w:p>
          <w:p w:rsidR="002F6B53" w:rsidRPr="00D15DEE" w:rsidRDefault="002F6B53" w:rsidP="0076527F">
            <w:pPr>
              <w:spacing w:before="40" w:after="40"/>
              <w:rPr>
                <w:rFonts w:ascii="Arial Narrow" w:eastAsia="SimSun" w:hAnsi="Arial Narrow"/>
                <w:b/>
                <w:sz w:val="20"/>
                <w:szCs w:val="20"/>
                <w:lang w:val="en-AU"/>
              </w:rPr>
            </w:pPr>
            <w:r w:rsidRPr="00D15DEE">
              <w:rPr>
                <w:rFonts w:ascii="Arial Narrow" w:eastAsia="SimSun" w:hAnsi="Arial Narrow"/>
                <w:b/>
                <w:sz w:val="20"/>
                <w:szCs w:val="20"/>
                <w:lang w:val="en-AU"/>
              </w:rPr>
              <w:t>(2023)</w:t>
            </w:r>
          </w:p>
        </w:tc>
      </w:tr>
      <w:tr w:rsidR="002F6B53" w:rsidRPr="00D15DEE" w:rsidTr="00792222">
        <w:trPr>
          <w:trHeight w:val="70"/>
        </w:trPr>
        <w:tc>
          <w:tcPr>
            <w:tcW w:w="405" w:type="pct"/>
            <w:shd w:val="clear" w:color="auto" w:fill="auto"/>
          </w:tcPr>
          <w:p w:rsidR="002F6B53" w:rsidRPr="00D15DEE" w:rsidRDefault="002F6B53" w:rsidP="0076527F">
            <w:pPr>
              <w:adjustRightInd w:val="0"/>
              <w:snapToGrid w:val="0"/>
              <w:spacing w:before="40" w:after="40"/>
              <w:rPr>
                <w:rFonts w:ascii="Arial Narrow" w:eastAsia="SimSun" w:hAnsi="Arial Narrow"/>
                <w:sz w:val="20"/>
                <w:szCs w:val="20"/>
                <w:lang w:val="en-AU"/>
              </w:rPr>
            </w:pPr>
            <w:r w:rsidRPr="00D15DEE">
              <w:rPr>
                <w:rFonts w:ascii="Arial Narrow" w:eastAsia="SimSun" w:hAnsi="Arial Narrow"/>
                <w:sz w:val="20"/>
                <w:szCs w:val="20"/>
                <w:lang w:val="en-AU"/>
              </w:rPr>
              <w:t>8609D</w:t>
            </w:r>
          </w:p>
        </w:tc>
        <w:tc>
          <w:tcPr>
            <w:tcW w:w="1403" w:type="pct"/>
            <w:shd w:val="clear" w:color="auto" w:fill="auto"/>
          </w:tcPr>
          <w:p w:rsidR="002F6B53" w:rsidRPr="00D15DEE" w:rsidRDefault="00A11F3D" w:rsidP="0076527F">
            <w:pPr>
              <w:adjustRightInd w:val="0"/>
              <w:snapToGrid w:val="0"/>
              <w:spacing w:before="40" w:after="40"/>
              <w:rPr>
                <w:rFonts w:ascii="Arial Narrow" w:eastAsia="SimSun" w:hAnsi="Arial Narrow"/>
                <w:sz w:val="20"/>
                <w:szCs w:val="20"/>
                <w:lang w:val="en-AU" w:eastAsia="zh-CN"/>
              </w:rPr>
            </w:pPr>
            <w:r w:rsidRPr="00D15DEE">
              <w:rPr>
                <w:rFonts w:ascii="Arial Narrow" w:eastAsia="SimSun" w:hAnsi="Arial Narrow"/>
                <w:sz w:val="20"/>
                <w:szCs w:val="20"/>
                <w:lang w:val="en-AU" w:eastAsia="zh-CN"/>
              </w:rPr>
              <w:t>Insulin</w:t>
            </w:r>
            <w:r w:rsidR="002F6B53" w:rsidRPr="00D15DEE">
              <w:rPr>
                <w:rFonts w:ascii="Arial Narrow" w:eastAsia="SimSun" w:hAnsi="Arial Narrow"/>
                <w:sz w:val="20"/>
                <w:szCs w:val="20"/>
                <w:lang w:val="en-AU" w:eastAsia="zh-CN"/>
              </w:rPr>
              <w:t xml:space="preserve"> aspart</w:t>
            </w:r>
            <w:r w:rsidR="00F03316" w:rsidRPr="00D15DEE">
              <w:rPr>
                <w:rFonts w:ascii="Arial Narrow" w:eastAsia="SimSun" w:hAnsi="Arial Narrow"/>
                <w:sz w:val="20"/>
                <w:szCs w:val="20"/>
                <w:lang w:val="en-AU" w:eastAsia="zh-CN"/>
              </w:rPr>
              <w:t>/</w:t>
            </w:r>
            <w:r w:rsidR="002F6B53" w:rsidRPr="00D15DEE">
              <w:rPr>
                <w:rFonts w:ascii="Arial Narrow" w:eastAsia="SimSun" w:hAnsi="Arial Narrow"/>
                <w:sz w:val="20"/>
                <w:szCs w:val="20"/>
                <w:lang w:val="en-AU" w:eastAsia="zh-CN"/>
              </w:rPr>
              <w:t>insulin aspart protamine</w:t>
            </w:r>
          </w:p>
        </w:tc>
        <w:tc>
          <w:tcPr>
            <w:tcW w:w="456" w:type="pct"/>
          </w:tcPr>
          <w:p w:rsidR="002F6B53" w:rsidRPr="00D15DEE" w:rsidRDefault="002F6B53" w:rsidP="0076527F">
            <w:pPr>
              <w:spacing w:before="40" w:after="40"/>
              <w:rPr>
                <w:rFonts w:ascii="Arial Narrow" w:hAnsi="Arial Narrow"/>
                <w:sz w:val="20"/>
                <w:szCs w:val="20"/>
                <w:lang w:val="en-AU"/>
              </w:rPr>
            </w:pPr>
            <w:r w:rsidRPr="00D15DEE">
              <w:rPr>
                <w:rFonts w:ascii="Arial Narrow" w:hAnsi="Arial Narrow"/>
                <w:sz w:val="20"/>
                <w:szCs w:val="20"/>
                <w:lang w:val="en-AU"/>
              </w:rPr>
              <w:t>3.7%</w:t>
            </w:r>
          </w:p>
        </w:tc>
        <w:tc>
          <w:tcPr>
            <w:tcW w:w="456" w:type="pct"/>
            <w:shd w:val="clear" w:color="auto" w:fill="auto"/>
            <w:noWrap/>
          </w:tcPr>
          <w:p w:rsidR="002F6B53" w:rsidRPr="00D15DEE" w:rsidRDefault="002F6B53" w:rsidP="0076527F">
            <w:pPr>
              <w:spacing w:before="40" w:after="40"/>
              <w:rPr>
                <w:rFonts w:ascii="Arial Narrow" w:hAnsi="Arial Narrow"/>
                <w:sz w:val="20"/>
                <w:szCs w:val="20"/>
                <w:lang w:val="en-AU"/>
              </w:rPr>
            </w:pPr>
            <w:r w:rsidRPr="00D15DEE">
              <w:rPr>
                <w:rFonts w:ascii="Arial Narrow" w:hAnsi="Arial Narrow"/>
                <w:sz w:val="20"/>
                <w:szCs w:val="20"/>
                <w:lang w:val="en-AU"/>
              </w:rPr>
              <w:t>5.0%</w:t>
            </w:r>
          </w:p>
        </w:tc>
        <w:tc>
          <w:tcPr>
            <w:tcW w:w="456" w:type="pct"/>
            <w:shd w:val="clear" w:color="auto" w:fill="auto"/>
            <w:noWrap/>
          </w:tcPr>
          <w:p w:rsidR="002F6B53" w:rsidRPr="00D15DEE" w:rsidRDefault="002F6B53" w:rsidP="0076527F">
            <w:pPr>
              <w:spacing w:before="40" w:after="40"/>
              <w:rPr>
                <w:rFonts w:ascii="Arial Narrow" w:hAnsi="Arial Narrow"/>
                <w:sz w:val="20"/>
                <w:szCs w:val="20"/>
                <w:lang w:val="en-AU"/>
              </w:rPr>
            </w:pPr>
            <w:r w:rsidRPr="00D15DEE">
              <w:rPr>
                <w:rFonts w:ascii="Arial Narrow" w:hAnsi="Arial Narrow"/>
                <w:sz w:val="20"/>
                <w:szCs w:val="20"/>
                <w:lang w:val="en-AU"/>
              </w:rPr>
              <w:t>15.0%</w:t>
            </w:r>
          </w:p>
        </w:tc>
        <w:tc>
          <w:tcPr>
            <w:tcW w:w="456" w:type="pct"/>
            <w:shd w:val="clear" w:color="auto" w:fill="auto"/>
            <w:noWrap/>
          </w:tcPr>
          <w:p w:rsidR="002F6B53" w:rsidRPr="00D15DEE" w:rsidRDefault="002F6B53" w:rsidP="0076527F">
            <w:pPr>
              <w:spacing w:before="40" w:after="40"/>
              <w:rPr>
                <w:rFonts w:ascii="Arial Narrow" w:hAnsi="Arial Narrow"/>
                <w:sz w:val="20"/>
                <w:szCs w:val="20"/>
                <w:lang w:val="en-AU"/>
              </w:rPr>
            </w:pPr>
            <w:r w:rsidRPr="00D15DEE">
              <w:rPr>
                <w:rFonts w:ascii="Arial Narrow" w:hAnsi="Arial Narrow"/>
                <w:sz w:val="20"/>
                <w:szCs w:val="20"/>
                <w:lang w:val="en-AU"/>
              </w:rPr>
              <w:t>25.0%</w:t>
            </w:r>
          </w:p>
        </w:tc>
        <w:tc>
          <w:tcPr>
            <w:tcW w:w="456" w:type="pct"/>
            <w:shd w:val="clear" w:color="auto" w:fill="auto"/>
            <w:noWrap/>
          </w:tcPr>
          <w:p w:rsidR="002F6B53" w:rsidRPr="00D15DEE" w:rsidRDefault="002F6B53" w:rsidP="0076527F">
            <w:pPr>
              <w:spacing w:before="40" w:after="40"/>
              <w:rPr>
                <w:rFonts w:ascii="Arial Narrow" w:hAnsi="Arial Narrow"/>
                <w:sz w:val="20"/>
                <w:szCs w:val="20"/>
                <w:lang w:val="en-AU"/>
              </w:rPr>
            </w:pPr>
            <w:r w:rsidRPr="00D15DEE">
              <w:rPr>
                <w:rFonts w:ascii="Arial Narrow" w:hAnsi="Arial Narrow"/>
                <w:sz w:val="20"/>
                <w:szCs w:val="20"/>
                <w:lang w:val="en-AU"/>
              </w:rPr>
              <w:t>35.0%</w:t>
            </w:r>
          </w:p>
        </w:tc>
        <w:tc>
          <w:tcPr>
            <w:tcW w:w="456" w:type="pct"/>
            <w:shd w:val="clear" w:color="auto" w:fill="auto"/>
            <w:noWrap/>
          </w:tcPr>
          <w:p w:rsidR="002F6B53" w:rsidRPr="00D15DEE" w:rsidRDefault="002F6B53" w:rsidP="0076527F">
            <w:pPr>
              <w:spacing w:before="40" w:after="40"/>
              <w:rPr>
                <w:rFonts w:ascii="Arial Narrow" w:hAnsi="Arial Narrow"/>
                <w:sz w:val="20"/>
                <w:szCs w:val="20"/>
                <w:lang w:val="en-AU"/>
              </w:rPr>
            </w:pPr>
            <w:r w:rsidRPr="00D15DEE">
              <w:rPr>
                <w:rFonts w:ascii="Arial Narrow" w:hAnsi="Arial Narrow"/>
                <w:sz w:val="20"/>
                <w:szCs w:val="20"/>
                <w:lang w:val="en-AU"/>
              </w:rPr>
              <w:t>45.0%</w:t>
            </w:r>
          </w:p>
        </w:tc>
        <w:tc>
          <w:tcPr>
            <w:tcW w:w="456" w:type="pct"/>
            <w:shd w:val="clear" w:color="auto" w:fill="auto"/>
            <w:noWrap/>
          </w:tcPr>
          <w:p w:rsidR="002F6B53" w:rsidRPr="00D15DEE" w:rsidRDefault="002F6B53" w:rsidP="0076527F">
            <w:pPr>
              <w:spacing w:before="40" w:after="40"/>
              <w:rPr>
                <w:rFonts w:ascii="Arial Narrow" w:hAnsi="Arial Narrow"/>
                <w:sz w:val="20"/>
                <w:szCs w:val="20"/>
                <w:lang w:val="en-AU"/>
              </w:rPr>
            </w:pPr>
            <w:r w:rsidRPr="00D15DEE">
              <w:rPr>
                <w:rFonts w:ascii="Arial Narrow" w:hAnsi="Arial Narrow"/>
                <w:sz w:val="20"/>
                <w:szCs w:val="20"/>
                <w:lang w:val="en-AU"/>
              </w:rPr>
              <w:t>55.0%</w:t>
            </w:r>
          </w:p>
        </w:tc>
      </w:tr>
      <w:tr w:rsidR="002F6B53" w:rsidRPr="00D15DEE" w:rsidTr="00792222">
        <w:trPr>
          <w:trHeight w:val="70"/>
        </w:trPr>
        <w:tc>
          <w:tcPr>
            <w:tcW w:w="405" w:type="pct"/>
            <w:shd w:val="clear" w:color="auto" w:fill="auto"/>
          </w:tcPr>
          <w:p w:rsidR="002F6B53" w:rsidRPr="00D15DEE" w:rsidRDefault="002F6B53" w:rsidP="0076527F">
            <w:pPr>
              <w:adjustRightInd w:val="0"/>
              <w:snapToGrid w:val="0"/>
              <w:spacing w:before="40" w:after="40"/>
              <w:rPr>
                <w:rFonts w:ascii="Arial Narrow" w:eastAsia="SimSun" w:hAnsi="Arial Narrow"/>
                <w:sz w:val="20"/>
                <w:szCs w:val="20"/>
                <w:lang w:val="en-AU"/>
              </w:rPr>
            </w:pPr>
            <w:r w:rsidRPr="00D15DEE">
              <w:rPr>
                <w:rFonts w:ascii="Arial Narrow" w:eastAsia="SimSun" w:hAnsi="Arial Narrow"/>
                <w:sz w:val="20"/>
                <w:szCs w:val="20"/>
                <w:lang w:val="en-AU"/>
              </w:rPr>
              <w:t>8390N</w:t>
            </w:r>
          </w:p>
        </w:tc>
        <w:tc>
          <w:tcPr>
            <w:tcW w:w="1403" w:type="pct"/>
            <w:shd w:val="clear" w:color="auto" w:fill="auto"/>
          </w:tcPr>
          <w:p w:rsidR="002F6B53" w:rsidRPr="00D15DEE" w:rsidRDefault="00A11F3D" w:rsidP="0076527F">
            <w:pPr>
              <w:adjustRightInd w:val="0"/>
              <w:snapToGrid w:val="0"/>
              <w:spacing w:before="40" w:after="40"/>
              <w:rPr>
                <w:rFonts w:ascii="Arial Narrow" w:eastAsia="SimSun" w:hAnsi="Arial Narrow"/>
                <w:sz w:val="20"/>
                <w:szCs w:val="20"/>
                <w:lang w:val="en-AU" w:eastAsia="zh-CN"/>
              </w:rPr>
            </w:pPr>
            <w:r w:rsidRPr="00D15DEE">
              <w:rPr>
                <w:rFonts w:ascii="Arial Narrow" w:eastAsia="SimSun" w:hAnsi="Arial Narrow"/>
                <w:sz w:val="20"/>
                <w:szCs w:val="20"/>
                <w:lang w:val="en-AU" w:eastAsia="zh-CN"/>
              </w:rPr>
              <w:t>Insulin</w:t>
            </w:r>
            <w:r w:rsidR="002F6B53" w:rsidRPr="00D15DEE">
              <w:rPr>
                <w:rFonts w:ascii="Arial Narrow" w:eastAsia="SimSun" w:hAnsi="Arial Narrow"/>
                <w:sz w:val="20"/>
                <w:szCs w:val="20"/>
                <w:lang w:val="en-AU" w:eastAsia="zh-CN"/>
              </w:rPr>
              <w:t xml:space="preserve"> lispro</w:t>
            </w:r>
            <w:r w:rsidR="00F03316" w:rsidRPr="00D15DEE">
              <w:rPr>
                <w:rFonts w:ascii="Arial Narrow" w:eastAsia="SimSun" w:hAnsi="Arial Narrow"/>
                <w:sz w:val="20"/>
                <w:szCs w:val="20"/>
                <w:lang w:val="en-AU" w:eastAsia="zh-CN"/>
              </w:rPr>
              <w:t>/</w:t>
            </w:r>
            <w:r w:rsidR="002F6B53" w:rsidRPr="00D15DEE">
              <w:rPr>
                <w:rFonts w:ascii="Arial Narrow" w:eastAsia="SimSun" w:hAnsi="Arial Narrow"/>
                <w:sz w:val="20"/>
                <w:szCs w:val="20"/>
                <w:lang w:val="en-AU" w:eastAsia="zh-CN"/>
              </w:rPr>
              <w:t>insulin lispro protamine</w:t>
            </w:r>
          </w:p>
        </w:tc>
        <w:tc>
          <w:tcPr>
            <w:tcW w:w="456" w:type="pct"/>
          </w:tcPr>
          <w:p w:rsidR="002F6B53" w:rsidRPr="00D15DEE" w:rsidRDefault="002F6B53" w:rsidP="0076527F">
            <w:pPr>
              <w:spacing w:before="40" w:after="40"/>
              <w:rPr>
                <w:rFonts w:ascii="Arial Narrow" w:hAnsi="Arial Narrow"/>
                <w:sz w:val="20"/>
                <w:szCs w:val="20"/>
                <w:lang w:val="en-AU"/>
              </w:rPr>
            </w:pPr>
            <w:r w:rsidRPr="00D15DEE">
              <w:rPr>
                <w:rFonts w:ascii="Arial Narrow" w:hAnsi="Arial Narrow"/>
                <w:sz w:val="20"/>
                <w:szCs w:val="20"/>
                <w:lang w:val="en-AU"/>
              </w:rPr>
              <w:t>2.6%</w:t>
            </w:r>
          </w:p>
        </w:tc>
        <w:tc>
          <w:tcPr>
            <w:tcW w:w="456" w:type="pct"/>
            <w:shd w:val="clear" w:color="auto" w:fill="auto"/>
            <w:noWrap/>
          </w:tcPr>
          <w:p w:rsidR="002F6B53" w:rsidRPr="00D15DEE" w:rsidRDefault="002F6B53" w:rsidP="0076527F">
            <w:pPr>
              <w:spacing w:before="40" w:after="40"/>
              <w:rPr>
                <w:rFonts w:ascii="Arial Narrow" w:hAnsi="Arial Narrow"/>
                <w:sz w:val="20"/>
                <w:szCs w:val="20"/>
                <w:lang w:val="en-AU"/>
              </w:rPr>
            </w:pPr>
            <w:r w:rsidRPr="00D15DEE">
              <w:rPr>
                <w:rFonts w:ascii="Arial Narrow" w:hAnsi="Arial Narrow"/>
                <w:sz w:val="20"/>
                <w:szCs w:val="20"/>
                <w:lang w:val="en-AU"/>
              </w:rPr>
              <w:t>3.0%</w:t>
            </w:r>
          </w:p>
        </w:tc>
        <w:tc>
          <w:tcPr>
            <w:tcW w:w="456" w:type="pct"/>
            <w:shd w:val="clear" w:color="auto" w:fill="auto"/>
            <w:noWrap/>
          </w:tcPr>
          <w:p w:rsidR="002F6B53" w:rsidRPr="00D15DEE" w:rsidRDefault="002F6B53" w:rsidP="0076527F">
            <w:pPr>
              <w:spacing w:before="40" w:after="40"/>
              <w:rPr>
                <w:rFonts w:ascii="Arial Narrow" w:hAnsi="Arial Narrow"/>
                <w:sz w:val="20"/>
                <w:szCs w:val="20"/>
                <w:lang w:val="en-AU"/>
              </w:rPr>
            </w:pPr>
            <w:r w:rsidRPr="00D15DEE">
              <w:rPr>
                <w:rFonts w:ascii="Arial Narrow" w:hAnsi="Arial Narrow"/>
                <w:sz w:val="20"/>
                <w:szCs w:val="20"/>
                <w:lang w:val="en-AU"/>
              </w:rPr>
              <w:t>10.0%</w:t>
            </w:r>
          </w:p>
        </w:tc>
        <w:tc>
          <w:tcPr>
            <w:tcW w:w="456" w:type="pct"/>
            <w:shd w:val="clear" w:color="auto" w:fill="auto"/>
            <w:noWrap/>
          </w:tcPr>
          <w:p w:rsidR="002F6B53" w:rsidRPr="00D15DEE" w:rsidRDefault="002F6B53" w:rsidP="0076527F">
            <w:pPr>
              <w:spacing w:before="40" w:after="40"/>
              <w:rPr>
                <w:rFonts w:ascii="Arial Narrow" w:hAnsi="Arial Narrow"/>
                <w:sz w:val="20"/>
                <w:szCs w:val="20"/>
                <w:lang w:val="en-AU"/>
              </w:rPr>
            </w:pPr>
            <w:r w:rsidRPr="00D15DEE">
              <w:rPr>
                <w:rFonts w:ascii="Arial Narrow" w:hAnsi="Arial Narrow"/>
                <w:sz w:val="20"/>
                <w:szCs w:val="20"/>
                <w:lang w:val="en-AU"/>
              </w:rPr>
              <w:t>15.0%</w:t>
            </w:r>
          </w:p>
        </w:tc>
        <w:tc>
          <w:tcPr>
            <w:tcW w:w="456" w:type="pct"/>
            <w:shd w:val="clear" w:color="auto" w:fill="auto"/>
            <w:noWrap/>
          </w:tcPr>
          <w:p w:rsidR="002F6B53" w:rsidRPr="00D15DEE" w:rsidRDefault="002F6B53" w:rsidP="0076527F">
            <w:pPr>
              <w:spacing w:before="40" w:after="40"/>
              <w:rPr>
                <w:rFonts w:ascii="Arial Narrow" w:hAnsi="Arial Narrow"/>
                <w:sz w:val="20"/>
                <w:szCs w:val="20"/>
                <w:lang w:val="en-AU"/>
              </w:rPr>
            </w:pPr>
            <w:r w:rsidRPr="00D15DEE">
              <w:rPr>
                <w:rFonts w:ascii="Arial Narrow" w:hAnsi="Arial Narrow"/>
                <w:sz w:val="20"/>
                <w:szCs w:val="20"/>
                <w:lang w:val="en-AU"/>
              </w:rPr>
              <w:t>20.0%</w:t>
            </w:r>
          </w:p>
        </w:tc>
        <w:tc>
          <w:tcPr>
            <w:tcW w:w="456" w:type="pct"/>
            <w:shd w:val="clear" w:color="auto" w:fill="auto"/>
            <w:noWrap/>
          </w:tcPr>
          <w:p w:rsidR="002F6B53" w:rsidRPr="00D15DEE" w:rsidRDefault="002F6B53" w:rsidP="0076527F">
            <w:pPr>
              <w:spacing w:before="40" w:after="40"/>
              <w:rPr>
                <w:rFonts w:ascii="Arial Narrow" w:hAnsi="Arial Narrow"/>
                <w:sz w:val="20"/>
                <w:szCs w:val="20"/>
                <w:lang w:val="en-AU"/>
              </w:rPr>
            </w:pPr>
            <w:r w:rsidRPr="00D15DEE">
              <w:rPr>
                <w:rFonts w:ascii="Arial Narrow" w:hAnsi="Arial Narrow"/>
                <w:sz w:val="20"/>
                <w:szCs w:val="20"/>
                <w:lang w:val="en-AU"/>
              </w:rPr>
              <w:t>25.0%</w:t>
            </w:r>
          </w:p>
        </w:tc>
        <w:tc>
          <w:tcPr>
            <w:tcW w:w="456" w:type="pct"/>
            <w:shd w:val="clear" w:color="auto" w:fill="auto"/>
            <w:noWrap/>
          </w:tcPr>
          <w:p w:rsidR="002F6B53" w:rsidRPr="00D15DEE" w:rsidRDefault="002F6B53" w:rsidP="0076527F">
            <w:pPr>
              <w:spacing w:before="40" w:after="40"/>
              <w:rPr>
                <w:rFonts w:ascii="Arial Narrow" w:hAnsi="Arial Narrow"/>
                <w:sz w:val="20"/>
                <w:szCs w:val="20"/>
                <w:lang w:val="en-AU"/>
              </w:rPr>
            </w:pPr>
            <w:r w:rsidRPr="00D15DEE">
              <w:rPr>
                <w:rFonts w:ascii="Arial Narrow" w:hAnsi="Arial Narrow"/>
                <w:sz w:val="20"/>
                <w:szCs w:val="20"/>
                <w:lang w:val="en-AU"/>
              </w:rPr>
              <w:t>30.0%</w:t>
            </w:r>
          </w:p>
        </w:tc>
      </w:tr>
      <w:tr w:rsidR="002F6B53" w:rsidRPr="00D15DEE" w:rsidTr="00792222">
        <w:trPr>
          <w:trHeight w:val="70"/>
        </w:trPr>
        <w:tc>
          <w:tcPr>
            <w:tcW w:w="405" w:type="pct"/>
            <w:shd w:val="clear" w:color="auto" w:fill="auto"/>
          </w:tcPr>
          <w:p w:rsidR="002F6B53" w:rsidRPr="00D15DEE" w:rsidRDefault="002F6B53" w:rsidP="0076527F">
            <w:pPr>
              <w:adjustRightInd w:val="0"/>
              <w:snapToGrid w:val="0"/>
              <w:spacing w:before="40" w:after="40"/>
              <w:rPr>
                <w:rFonts w:ascii="Arial Narrow" w:eastAsia="SimSun" w:hAnsi="Arial Narrow"/>
                <w:sz w:val="20"/>
                <w:szCs w:val="20"/>
                <w:lang w:val="en-AU"/>
              </w:rPr>
            </w:pPr>
            <w:r w:rsidRPr="00D15DEE">
              <w:rPr>
                <w:rFonts w:ascii="Arial Narrow" w:eastAsia="SimSun" w:hAnsi="Arial Narrow"/>
                <w:sz w:val="20"/>
                <w:szCs w:val="20"/>
                <w:lang w:val="en-AU"/>
              </w:rPr>
              <w:t>8874C</w:t>
            </w:r>
          </w:p>
        </w:tc>
        <w:tc>
          <w:tcPr>
            <w:tcW w:w="1403" w:type="pct"/>
            <w:shd w:val="clear" w:color="auto" w:fill="auto"/>
          </w:tcPr>
          <w:p w:rsidR="002F6B53" w:rsidRPr="00D15DEE" w:rsidRDefault="00A11F3D" w:rsidP="0076527F">
            <w:pPr>
              <w:adjustRightInd w:val="0"/>
              <w:snapToGrid w:val="0"/>
              <w:spacing w:before="40" w:after="40"/>
              <w:rPr>
                <w:rFonts w:ascii="Arial Narrow" w:eastAsia="SimSun" w:hAnsi="Arial Narrow"/>
                <w:sz w:val="20"/>
                <w:szCs w:val="20"/>
                <w:lang w:val="en-AU" w:eastAsia="zh-CN"/>
              </w:rPr>
            </w:pPr>
            <w:r w:rsidRPr="00D15DEE">
              <w:rPr>
                <w:rFonts w:ascii="Arial Narrow" w:eastAsia="SimSun" w:hAnsi="Arial Narrow"/>
                <w:sz w:val="20"/>
                <w:szCs w:val="20"/>
                <w:lang w:val="en-AU" w:eastAsia="zh-CN"/>
              </w:rPr>
              <w:t>Insulin</w:t>
            </w:r>
            <w:r w:rsidR="002F6B53" w:rsidRPr="00D15DEE">
              <w:rPr>
                <w:rFonts w:ascii="Arial Narrow" w:eastAsia="SimSun" w:hAnsi="Arial Narrow"/>
                <w:sz w:val="20"/>
                <w:szCs w:val="20"/>
                <w:lang w:val="en-AU" w:eastAsia="zh-CN"/>
              </w:rPr>
              <w:t xml:space="preserve"> lispro</w:t>
            </w:r>
            <w:r w:rsidR="00F03316" w:rsidRPr="00D15DEE">
              <w:rPr>
                <w:rFonts w:ascii="Arial Narrow" w:eastAsia="SimSun" w:hAnsi="Arial Narrow"/>
                <w:sz w:val="20"/>
                <w:szCs w:val="20"/>
                <w:lang w:val="en-AU" w:eastAsia="zh-CN"/>
              </w:rPr>
              <w:t>/</w:t>
            </w:r>
            <w:r w:rsidR="002F6B53" w:rsidRPr="00D15DEE">
              <w:rPr>
                <w:rFonts w:ascii="Arial Narrow" w:eastAsia="SimSun" w:hAnsi="Arial Narrow"/>
                <w:sz w:val="20"/>
                <w:szCs w:val="20"/>
                <w:lang w:val="en-AU" w:eastAsia="zh-CN"/>
              </w:rPr>
              <w:t>insulin lispro protamine</w:t>
            </w:r>
          </w:p>
        </w:tc>
        <w:tc>
          <w:tcPr>
            <w:tcW w:w="456" w:type="pct"/>
          </w:tcPr>
          <w:p w:rsidR="002F6B53" w:rsidRPr="00D15DEE" w:rsidRDefault="002F6B53" w:rsidP="0076527F">
            <w:pPr>
              <w:spacing w:before="40" w:after="40"/>
              <w:rPr>
                <w:rFonts w:ascii="Arial Narrow" w:hAnsi="Arial Narrow"/>
                <w:sz w:val="20"/>
                <w:szCs w:val="20"/>
                <w:lang w:val="en-AU"/>
              </w:rPr>
            </w:pPr>
            <w:r w:rsidRPr="00D15DEE">
              <w:rPr>
                <w:rFonts w:ascii="Arial Narrow" w:hAnsi="Arial Narrow"/>
                <w:sz w:val="20"/>
                <w:szCs w:val="20"/>
                <w:lang w:val="en-AU"/>
              </w:rPr>
              <w:t>5.9%</w:t>
            </w:r>
          </w:p>
        </w:tc>
        <w:tc>
          <w:tcPr>
            <w:tcW w:w="456" w:type="pct"/>
            <w:shd w:val="clear" w:color="auto" w:fill="auto"/>
            <w:noWrap/>
          </w:tcPr>
          <w:p w:rsidR="002F6B53" w:rsidRPr="00D15DEE" w:rsidRDefault="002F6B53" w:rsidP="0076527F">
            <w:pPr>
              <w:spacing w:before="40" w:after="40"/>
              <w:rPr>
                <w:rFonts w:ascii="Arial Narrow" w:hAnsi="Arial Narrow"/>
                <w:sz w:val="20"/>
                <w:szCs w:val="20"/>
                <w:lang w:val="en-AU"/>
              </w:rPr>
            </w:pPr>
            <w:r w:rsidRPr="00D15DEE">
              <w:rPr>
                <w:rFonts w:ascii="Arial Narrow" w:hAnsi="Arial Narrow"/>
                <w:sz w:val="20"/>
                <w:szCs w:val="20"/>
                <w:lang w:val="en-AU"/>
              </w:rPr>
              <w:t>3.0%</w:t>
            </w:r>
          </w:p>
        </w:tc>
        <w:tc>
          <w:tcPr>
            <w:tcW w:w="456" w:type="pct"/>
            <w:shd w:val="clear" w:color="auto" w:fill="auto"/>
            <w:noWrap/>
          </w:tcPr>
          <w:p w:rsidR="002F6B53" w:rsidRPr="00D15DEE" w:rsidRDefault="002F6B53" w:rsidP="0076527F">
            <w:pPr>
              <w:spacing w:before="40" w:after="40"/>
              <w:rPr>
                <w:rFonts w:ascii="Arial Narrow" w:hAnsi="Arial Narrow"/>
                <w:sz w:val="20"/>
                <w:szCs w:val="20"/>
                <w:lang w:val="en-AU"/>
              </w:rPr>
            </w:pPr>
            <w:r w:rsidRPr="00D15DEE">
              <w:rPr>
                <w:rFonts w:ascii="Arial Narrow" w:hAnsi="Arial Narrow"/>
                <w:sz w:val="20"/>
                <w:szCs w:val="20"/>
                <w:lang w:val="en-AU"/>
              </w:rPr>
              <w:t>10.0%</w:t>
            </w:r>
          </w:p>
        </w:tc>
        <w:tc>
          <w:tcPr>
            <w:tcW w:w="456" w:type="pct"/>
            <w:shd w:val="clear" w:color="auto" w:fill="auto"/>
            <w:noWrap/>
          </w:tcPr>
          <w:p w:rsidR="002F6B53" w:rsidRPr="00D15DEE" w:rsidRDefault="002F6B53" w:rsidP="0076527F">
            <w:pPr>
              <w:spacing w:before="40" w:after="40"/>
              <w:rPr>
                <w:rFonts w:ascii="Arial Narrow" w:hAnsi="Arial Narrow"/>
                <w:sz w:val="20"/>
                <w:szCs w:val="20"/>
                <w:lang w:val="en-AU"/>
              </w:rPr>
            </w:pPr>
            <w:r w:rsidRPr="00D15DEE">
              <w:rPr>
                <w:rFonts w:ascii="Arial Narrow" w:hAnsi="Arial Narrow"/>
                <w:sz w:val="20"/>
                <w:szCs w:val="20"/>
                <w:lang w:val="en-AU"/>
              </w:rPr>
              <w:t>15.0%</w:t>
            </w:r>
          </w:p>
        </w:tc>
        <w:tc>
          <w:tcPr>
            <w:tcW w:w="456" w:type="pct"/>
            <w:shd w:val="clear" w:color="auto" w:fill="auto"/>
            <w:noWrap/>
          </w:tcPr>
          <w:p w:rsidR="002F6B53" w:rsidRPr="00D15DEE" w:rsidRDefault="002F6B53" w:rsidP="0076527F">
            <w:pPr>
              <w:spacing w:before="40" w:after="40"/>
              <w:rPr>
                <w:rFonts w:ascii="Arial Narrow" w:hAnsi="Arial Narrow"/>
                <w:sz w:val="20"/>
                <w:szCs w:val="20"/>
                <w:lang w:val="en-AU"/>
              </w:rPr>
            </w:pPr>
            <w:r w:rsidRPr="00D15DEE">
              <w:rPr>
                <w:rFonts w:ascii="Arial Narrow" w:hAnsi="Arial Narrow"/>
                <w:sz w:val="20"/>
                <w:szCs w:val="20"/>
                <w:lang w:val="en-AU"/>
              </w:rPr>
              <w:t>20.0%</w:t>
            </w:r>
          </w:p>
        </w:tc>
        <w:tc>
          <w:tcPr>
            <w:tcW w:w="456" w:type="pct"/>
            <w:shd w:val="clear" w:color="auto" w:fill="auto"/>
            <w:noWrap/>
          </w:tcPr>
          <w:p w:rsidR="002F6B53" w:rsidRPr="00D15DEE" w:rsidRDefault="002F6B53" w:rsidP="0076527F">
            <w:pPr>
              <w:spacing w:before="40" w:after="40"/>
              <w:rPr>
                <w:rFonts w:ascii="Arial Narrow" w:hAnsi="Arial Narrow"/>
                <w:sz w:val="20"/>
                <w:szCs w:val="20"/>
                <w:lang w:val="en-AU"/>
              </w:rPr>
            </w:pPr>
            <w:r w:rsidRPr="00D15DEE">
              <w:rPr>
                <w:rFonts w:ascii="Arial Narrow" w:hAnsi="Arial Narrow"/>
                <w:sz w:val="20"/>
                <w:szCs w:val="20"/>
                <w:lang w:val="en-AU"/>
              </w:rPr>
              <w:t>25.0%</w:t>
            </w:r>
          </w:p>
        </w:tc>
        <w:tc>
          <w:tcPr>
            <w:tcW w:w="456" w:type="pct"/>
            <w:shd w:val="clear" w:color="auto" w:fill="auto"/>
            <w:noWrap/>
          </w:tcPr>
          <w:p w:rsidR="002F6B53" w:rsidRPr="00D15DEE" w:rsidRDefault="002F6B53" w:rsidP="0076527F">
            <w:pPr>
              <w:spacing w:before="40" w:after="40"/>
              <w:rPr>
                <w:rFonts w:ascii="Arial Narrow" w:hAnsi="Arial Narrow"/>
                <w:sz w:val="20"/>
                <w:szCs w:val="20"/>
                <w:lang w:val="en-AU"/>
              </w:rPr>
            </w:pPr>
            <w:r w:rsidRPr="00D15DEE">
              <w:rPr>
                <w:rFonts w:ascii="Arial Narrow" w:hAnsi="Arial Narrow"/>
                <w:sz w:val="20"/>
                <w:szCs w:val="20"/>
                <w:lang w:val="en-AU"/>
              </w:rPr>
              <w:t>30.0%</w:t>
            </w:r>
          </w:p>
        </w:tc>
      </w:tr>
      <w:tr w:rsidR="002F6B53" w:rsidRPr="00D15DEE" w:rsidTr="00792222">
        <w:trPr>
          <w:trHeight w:val="70"/>
        </w:trPr>
        <w:tc>
          <w:tcPr>
            <w:tcW w:w="405" w:type="pct"/>
            <w:shd w:val="clear" w:color="auto" w:fill="auto"/>
          </w:tcPr>
          <w:p w:rsidR="002F6B53" w:rsidRPr="00D15DEE" w:rsidRDefault="002F6B53" w:rsidP="0076527F">
            <w:pPr>
              <w:adjustRightInd w:val="0"/>
              <w:snapToGrid w:val="0"/>
              <w:spacing w:before="40" w:after="40"/>
              <w:rPr>
                <w:rFonts w:ascii="Arial Narrow" w:eastAsia="SimSun" w:hAnsi="Arial Narrow"/>
                <w:sz w:val="20"/>
                <w:szCs w:val="20"/>
                <w:lang w:val="en-AU"/>
              </w:rPr>
            </w:pPr>
            <w:r w:rsidRPr="00D15DEE">
              <w:rPr>
                <w:rFonts w:ascii="Arial Narrow" w:eastAsia="SimSun" w:hAnsi="Arial Narrow"/>
                <w:sz w:val="20"/>
                <w:szCs w:val="20"/>
                <w:lang w:val="en-AU"/>
              </w:rPr>
              <w:t>1426C</w:t>
            </w:r>
          </w:p>
        </w:tc>
        <w:tc>
          <w:tcPr>
            <w:tcW w:w="1403" w:type="pct"/>
            <w:shd w:val="clear" w:color="auto" w:fill="auto"/>
          </w:tcPr>
          <w:p w:rsidR="002F6B53" w:rsidRPr="00D15DEE" w:rsidRDefault="00A11F3D" w:rsidP="0076527F">
            <w:pPr>
              <w:adjustRightInd w:val="0"/>
              <w:snapToGrid w:val="0"/>
              <w:spacing w:before="40" w:after="40"/>
              <w:rPr>
                <w:rFonts w:ascii="Arial Narrow" w:eastAsia="SimSun" w:hAnsi="Arial Narrow"/>
                <w:sz w:val="20"/>
                <w:szCs w:val="20"/>
                <w:lang w:val="en-AU" w:eastAsia="zh-CN"/>
              </w:rPr>
            </w:pPr>
            <w:r w:rsidRPr="00D15DEE">
              <w:rPr>
                <w:rFonts w:ascii="Arial Narrow" w:eastAsia="SimSun" w:hAnsi="Arial Narrow"/>
                <w:sz w:val="20"/>
                <w:szCs w:val="20"/>
                <w:lang w:val="en-AU" w:eastAsia="zh-CN"/>
              </w:rPr>
              <w:t>Insulin</w:t>
            </w:r>
            <w:r w:rsidR="002F6B53" w:rsidRPr="00D15DEE">
              <w:rPr>
                <w:rFonts w:ascii="Arial Narrow" w:eastAsia="SimSun" w:hAnsi="Arial Narrow"/>
                <w:sz w:val="20"/>
                <w:szCs w:val="20"/>
                <w:lang w:val="en-AU" w:eastAsia="zh-CN"/>
              </w:rPr>
              <w:t xml:space="preserve"> isophane human</w:t>
            </w:r>
            <w:r w:rsidR="00F03316" w:rsidRPr="00D15DEE">
              <w:rPr>
                <w:rFonts w:ascii="Arial Narrow" w:eastAsia="SimSun" w:hAnsi="Arial Narrow"/>
                <w:sz w:val="20"/>
                <w:szCs w:val="20"/>
                <w:lang w:val="en-AU" w:eastAsia="zh-CN"/>
              </w:rPr>
              <w:t>/</w:t>
            </w:r>
            <w:r w:rsidR="002F6B53" w:rsidRPr="00D15DEE">
              <w:rPr>
                <w:rFonts w:ascii="Arial Narrow" w:eastAsia="SimSun" w:hAnsi="Arial Narrow"/>
                <w:sz w:val="20"/>
                <w:szCs w:val="20"/>
                <w:lang w:val="en-AU" w:eastAsia="zh-CN"/>
              </w:rPr>
              <w:t>insulin neutral human</w:t>
            </w:r>
          </w:p>
        </w:tc>
        <w:tc>
          <w:tcPr>
            <w:tcW w:w="456" w:type="pct"/>
          </w:tcPr>
          <w:p w:rsidR="002F6B53" w:rsidRPr="00D15DEE" w:rsidRDefault="002F6B53" w:rsidP="0076527F">
            <w:pPr>
              <w:spacing w:before="40" w:after="40"/>
              <w:rPr>
                <w:rFonts w:ascii="Arial Narrow" w:hAnsi="Arial Narrow"/>
                <w:sz w:val="20"/>
                <w:szCs w:val="20"/>
                <w:lang w:val="en-AU"/>
              </w:rPr>
            </w:pPr>
            <w:r w:rsidRPr="00D15DEE">
              <w:rPr>
                <w:rFonts w:ascii="Arial Narrow" w:hAnsi="Arial Narrow"/>
                <w:sz w:val="20"/>
                <w:szCs w:val="20"/>
                <w:lang w:val="en-AU"/>
              </w:rPr>
              <w:t>-14.5%</w:t>
            </w:r>
          </w:p>
        </w:tc>
        <w:tc>
          <w:tcPr>
            <w:tcW w:w="456" w:type="pct"/>
            <w:shd w:val="clear" w:color="auto" w:fill="auto"/>
            <w:noWrap/>
          </w:tcPr>
          <w:p w:rsidR="002F6B53" w:rsidRPr="00D15DEE" w:rsidRDefault="002F6B53" w:rsidP="0076527F">
            <w:pPr>
              <w:spacing w:before="40" w:after="40"/>
              <w:rPr>
                <w:rFonts w:ascii="Arial Narrow" w:hAnsi="Arial Narrow"/>
                <w:sz w:val="20"/>
                <w:szCs w:val="20"/>
                <w:lang w:val="en-AU"/>
              </w:rPr>
            </w:pPr>
            <w:r w:rsidRPr="00D15DEE">
              <w:rPr>
                <w:rFonts w:ascii="Arial Narrow" w:hAnsi="Arial Narrow"/>
                <w:sz w:val="20"/>
                <w:szCs w:val="20"/>
                <w:lang w:val="en-AU"/>
              </w:rPr>
              <w:t>3.0%</w:t>
            </w:r>
          </w:p>
        </w:tc>
        <w:tc>
          <w:tcPr>
            <w:tcW w:w="456" w:type="pct"/>
            <w:shd w:val="clear" w:color="auto" w:fill="auto"/>
            <w:noWrap/>
          </w:tcPr>
          <w:p w:rsidR="002F6B53" w:rsidRPr="00D15DEE" w:rsidRDefault="002F6B53" w:rsidP="0076527F">
            <w:pPr>
              <w:spacing w:before="40" w:after="40"/>
              <w:rPr>
                <w:rFonts w:ascii="Arial Narrow" w:hAnsi="Arial Narrow"/>
                <w:sz w:val="20"/>
                <w:szCs w:val="20"/>
                <w:lang w:val="en-AU"/>
              </w:rPr>
            </w:pPr>
            <w:r w:rsidRPr="00D15DEE">
              <w:rPr>
                <w:rFonts w:ascii="Arial Narrow" w:hAnsi="Arial Narrow"/>
                <w:sz w:val="20"/>
                <w:szCs w:val="20"/>
                <w:lang w:val="en-AU"/>
              </w:rPr>
              <w:t>10.0%</w:t>
            </w:r>
          </w:p>
        </w:tc>
        <w:tc>
          <w:tcPr>
            <w:tcW w:w="456" w:type="pct"/>
            <w:shd w:val="clear" w:color="auto" w:fill="auto"/>
            <w:noWrap/>
          </w:tcPr>
          <w:p w:rsidR="002F6B53" w:rsidRPr="00D15DEE" w:rsidRDefault="002F6B53" w:rsidP="0076527F">
            <w:pPr>
              <w:spacing w:before="40" w:after="40"/>
              <w:rPr>
                <w:rFonts w:ascii="Arial Narrow" w:hAnsi="Arial Narrow"/>
                <w:sz w:val="20"/>
                <w:szCs w:val="20"/>
                <w:lang w:val="en-AU"/>
              </w:rPr>
            </w:pPr>
            <w:r w:rsidRPr="00D15DEE">
              <w:rPr>
                <w:rFonts w:ascii="Arial Narrow" w:hAnsi="Arial Narrow"/>
                <w:sz w:val="20"/>
                <w:szCs w:val="20"/>
                <w:lang w:val="en-AU"/>
              </w:rPr>
              <w:t>15.0%</w:t>
            </w:r>
          </w:p>
        </w:tc>
        <w:tc>
          <w:tcPr>
            <w:tcW w:w="456" w:type="pct"/>
            <w:shd w:val="clear" w:color="auto" w:fill="auto"/>
            <w:noWrap/>
          </w:tcPr>
          <w:p w:rsidR="002F6B53" w:rsidRPr="00D15DEE" w:rsidRDefault="002F6B53" w:rsidP="0076527F">
            <w:pPr>
              <w:spacing w:before="40" w:after="40"/>
              <w:rPr>
                <w:rFonts w:ascii="Arial Narrow" w:hAnsi="Arial Narrow"/>
                <w:sz w:val="20"/>
                <w:szCs w:val="20"/>
                <w:lang w:val="en-AU"/>
              </w:rPr>
            </w:pPr>
            <w:r w:rsidRPr="00D15DEE">
              <w:rPr>
                <w:rFonts w:ascii="Arial Narrow" w:hAnsi="Arial Narrow"/>
                <w:sz w:val="20"/>
                <w:szCs w:val="20"/>
                <w:lang w:val="en-AU"/>
              </w:rPr>
              <w:t>20.0%</w:t>
            </w:r>
          </w:p>
        </w:tc>
        <w:tc>
          <w:tcPr>
            <w:tcW w:w="456" w:type="pct"/>
            <w:shd w:val="clear" w:color="auto" w:fill="auto"/>
            <w:noWrap/>
          </w:tcPr>
          <w:p w:rsidR="002F6B53" w:rsidRPr="00D15DEE" w:rsidRDefault="002F6B53" w:rsidP="0076527F">
            <w:pPr>
              <w:spacing w:before="40" w:after="40"/>
              <w:rPr>
                <w:rFonts w:ascii="Arial Narrow" w:hAnsi="Arial Narrow"/>
                <w:sz w:val="20"/>
                <w:szCs w:val="20"/>
                <w:lang w:val="en-AU"/>
              </w:rPr>
            </w:pPr>
            <w:r w:rsidRPr="00D15DEE">
              <w:rPr>
                <w:rFonts w:ascii="Arial Narrow" w:hAnsi="Arial Narrow"/>
                <w:sz w:val="20"/>
                <w:szCs w:val="20"/>
                <w:lang w:val="en-AU"/>
              </w:rPr>
              <w:t>25.0%</w:t>
            </w:r>
          </w:p>
        </w:tc>
        <w:tc>
          <w:tcPr>
            <w:tcW w:w="456" w:type="pct"/>
            <w:shd w:val="clear" w:color="auto" w:fill="auto"/>
            <w:noWrap/>
          </w:tcPr>
          <w:p w:rsidR="002F6B53" w:rsidRPr="00D15DEE" w:rsidRDefault="002F6B53" w:rsidP="0076527F">
            <w:pPr>
              <w:spacing w:before="40" w:after="40"/>
              <w:rPr>
                <w:rFonts w:ascii="Arial Narrow" w:hAnsi="Arial Narrow"/>
                <w:sz w:val="20"/>
                <w:szCs w:val="20"/>
                <w:lang w:val="en-AU"/>
              </w:rPr>
            </w:pPr>
            <w:r w:rsidRPr="00D15DEE">
              <w:rPr>
                <w:rFonts w:ascii="Arial Narrow" w:hAnsi="Arial Narrow"/>
                <w:sz w:val="20"/>
                <w:szCs w:val="20"/>
                <w:lang w:val="en-AU"/>
              </w:rPr>
              <w:t>30.0%</w:t>
            </w:r>
          </w:p>
        </w:tc>
      </w:tr>
      <w:tr w:rsidR="002F6B53" w:rsidRPr="00D15DEE" w:rsidTr="00792222">
        <w:trPr>
          <w:trHeight w:val="78"/>
        </w:trPr>
        <w:tc>
          <w:tcPr>
            <w:tcW w:w="405" w:type="pct"/>
            <w:shd w:val="clear" w:color="auto" w:fill="auto"/>
          </w:tcPr>
          <w:p w:rsidR="002F6B53" w:rsidRPr="00D15DEE" w:rsidRDefault="002F6B53" w:rsidP="0076527F">
            <w:pPr>
              <w:adjustRightInd w:val="0"/>
              <w:snapToGrid w:val="0"/>
              <w:spacing w:before="40" w:after="40"/>
              <w:rPr>
                <w:rFonts w:ascii="Arial Narrow" w:eastAsia="SimSun" w:hAnsi="Arial Narrow"/>
                <w:sz w:val="20"/>
                <w:szCs w:val="20"/>
                <w:lang w:val="en-AU"/>
              </w:rPr>
            </w:pPr>
            <w:r w:rsidRPr="00D15DEE">
              <w:rPr>
                <w:rFonts w:ascii="Arial Narrow" w:eastAsia="SimSun" w:hAnsi="Arial Narrow"/>
                <w:sz w:val="20"/>
                <w:szCs w:val="20"/>
                <w:lang w:val="en-AU"/>
              </w:rPr>
              <w:t>1763T</w:t>
            </w:r>
          </w:p>
        </w:tc>
        <w:tc>
          <w:tcPr>
            <w:tcW w:w="1403" w:type="pct"/>
            <w:shd w:val="clear" w:color="auto" w:fill="auto"/>
          </w:tcPr>
          <w:p w:rsidR="002F6B53" w:rsidRPr="00D15DEE" w:rsidRDefault="00A11F3D" w:rsidP="0076527F">
            <w:pPr>
              <w:adjustRightInd w:val="0"/>
              <w:snapToGrid w:val="0"/>
              <w:spacing w:before="40" w:after="40"/>
              <w:rPr>
                <w:rFonts w:ascii="Arial Narrow" w:eastAsia="SimSun" w:hAnsi="Arial Narrow"/>
                <w:sz w:val="20"/>
                <w:szCs w:val="20"/>
                <w:lang w:val="en-AU" w:eastAsia="zh-CN"/>
              </w:rPr>
            </w:pPr>
            <w:r w:rsidRPr="00D15DEE">
              <w:rPr>
                <w:rFonts w:ascii="Arial Narrow" w:eastAsia="SimSun" w:hAnsi="Arial Narrow"/>
                <w:sz w:val="20"/>
                <w:szCs w:val="20"/>
                <w:lang w:val="en-AU" w:eastAsia="zh-CN"/>
              </w:rPr>
              <w:t>Insulin</w:t>
            </w:r>
            <w:r w:rsidR="002F6B53" w:rsidRPr="00D15DEE">
              <w:rPr>
                <w:rFonts w:ascii="Arial Narrow" w:eastAsia="SimSun" w:hAnsi="Arial Narrow"/>
                <w:sz w:val="20"/>
                <w:szCs w:val="20"/>
                <w:lang w:val="en-AU" w:eastAsia="zh-CN"/>
              </w:rPr>
              <w:t xml:space="preserve"> isophane human</w:t>
            </w:r>
            <w:r w:rsidR="00F03316" w:rsidRPr="00D15DEE">
              <w:rPr>
                <w:rFonts w:ascii="Arial Narrow" w:eastAsia="SimSun" w:hAnsi="Arial Narrow"/>
                <w:sz w:val="20"/>
                <w:szCs w:val="20"/>
                <w:lang w:val="en-AU" w:eastAsia="zh-CN"/>
              </w:rPr>
              <w:t>/</w:t>
            </w:r>
            <w:r w:rsidR="002F6B53" w:rsidRPr="00D15DEE">
              <w:rPr>
                <w:rFonts w:ascii="Arial Narrow" w:eastAsia="SimSun" w:hAnsi="Arial Narrow"/>
                <w:sz w:val="20"/>
                <w:szCs w:val="20"/>
                <w:lang w:val="en-AU" w:eastAsia="zh-CN"/>
              </w:rPr>
              <w:t>insulin neutral human</w:t>
            </w:r>
          </w:p>
        </w:tc>
        <w:tc>
          <w:tcPr>
            <w:tcW w:w="456" w:type="pct"/>
          </w:tcPr>
          <w:p w:rsidR="002F6B53" w:rsidRPr="00D15DEE" w:rsidRDefault="002F6B53" w:rsidP="0076527F">
            <w:pPr>
              <w:spacing w:before="40" w:after="40"/>
              <w:rPr>
                <w:rFonts w:ascii="Arial Narrow" w:hAnsi="Arial Narrow"/>
                <w:sz w:val="20"/>
                <w:szCs w:val="20"/>
                <w:lang w:val="en-AU"/>
              </w:rPr>
            </w:pPr>
            <w:r w:rsidRPr="00D15DEE">
              <w:rPr>
                <w:rFonts w:ascii="Arial Narrow" w:hAnsi="Arial Narrow"/>
                <w:sz w:val="20"/>
                <w:szCs w:val="20"/>
                <w:lang w:val="en-AU"/>
              </w:rPr>
              <w:t>-11.5%</w:t>
            </w:r>
          </w:p>
        </w:tc>
        <w:tc>
          <w:tcPr>
            <w:tcW w:w="456" w:type="pct"/>
            <w:shd w:val="clear" w:color="auto" w:fill="auto"/>
            <w:noWrap/>
          </w:tcPr>
          <w:p w:rsidR="002F6B53" w:rsidRPr="00D15DEE" w:rsidRDefault="002F6B53" w:rsidP="0076527F">
            <w:pPr>
              <w:spacing w:before="40" w:after="40"/>
              <w:rPr>
                <w:rFonts w:ascii="Arial Narrow" w:hAnsi="Arial Narrow"/>
                <w:sz w:val="20"/>
                <w:szCs w:val="20"/>
                <w:lang w:val="en-AU"/>
              </w:rPr>
            </w:pPr>
            <w:r w:rsidRPr="00D15DEE">
              <w:rPr>
                <w:rFonts w:ascii="Arial Narrow" w:hAnsi="Arial Narrow"/>
                <w:sz w:val="20"/>
                <w:szCs w:val="20"/>
                <w:lang w:val="en-AU"/>
              </w:rPr>
              <w:t>3.0%</w:t>
            </w:r>
          </w:p>
        </w:tc>
        <w:tc>
          <w:tcPr>
            <w:tcW w:w="456" w:type="pct"/>
            <w:shd w:val="clear" w:color="auto" w:fill="auto"/>
            <w:noWrap/>
          </w:tcPr>
          <w:p w:rsidR="002F6B53" w:rsidRPr="00D15DEE" w:rsidRDefault="002F6B53" w:rsidP="0076527F">
            <w:pPr>
              <w:spacing w:before="40" w:after="40"/>
              <w:rPr>
                <w:rFonts w:ascii="Arial Narrow" w:hAnsi="Arial Narrow"/>
                <w:sz w:val="20"/>
                <w:szCs w:val="20"/>
                <w:lang w:val="en-AU"/>
              </w:rPr>
            </w:pPr>
            <w:r w:rsidRPr="00D15DEE">
              <w:rPr>
                <w:rFonts w:ascii="Arial Narrow" w:hAnsi="Arial Narrow"/>
                <w:sz w:val="20"/>
                <w:szCs w:val="20"/>
                <w:lang w:val="en-AU"/>
              </w:rPr>
              <w:t>10.0%</w:t>
            </w:r>
          </w:p>
        </w:tc>
        <w:tc>
          <w:tcPr>
            <w:tcW w:w="456" w:type="pct"/>
            <w:shd w:val="clear" w:color="auto" w:fill="auto"/>
            <w:noWrap/>
          </w:tcPr>
          <w:p w:rsidR="002F6B53" w:rsidRPr="00D15DEE" w:rsidRDefault="002F6B53" w:rsidP="0076527F">
            <w:pPr>
              <w:spacing w:before="40" w:after="40"/>
              <w:rPr>
                <w:rFonts w:ascii="Arial Narrow" w:hAnsi="Arial Narrow"/>
                <w:sz w:val="20"/>
                <w:szCs w:val="20"/>
                <w:lang w:val="en-AU"/>
              </w:rPr>
            </w:pPr>
            <w:r w:rsidRPr="00D15DEE">
              <w:rPr>
                <w:rFonts w:ascii="Arial Narrow" w:hAnsi="Arial Narrow"/>
                <w:sz w:val="20"/>
                <w:szCs w:val="20"/>
                <w:lang w:val="en-AU"/>
              </w:rPr>
              <w:t>15.0%</w:t>
            </w:r>
          </w:p>
        </w:tc>
        <w:tc>
          <w:tcPr>
            <w:tcW w:w="456" w:type="pct"/>
            <w:shd w:val="clear" w:color="auto" w:fill="auto"/>
            <w:noWrap/>
          </w:tcPr>
          <w:p w:rsidR="002F6B53" w:rsidRPr="00D15DEE" w:rsidRDefault="002F6B53" w:rsidP="0076527F">
            <w:pPr>
              <w:spacing w:before="40" w:after="40"/>
              <w:rPr>
                <w:rFonts w:ascii="Arial Narrow" w:hAnsi="Arial Narrow"/>
                <w:sz w:val="20"/>
                <w:szCs w:val="20"/>
                <w:lang w:val="en-AU"/>
              </w:rPr>
            </w:pPr>
            <w:r w:rsidRPr="00D15DEE">
              <w:rPr>
                <w:rFonts w:ascii="Arial Narrow" w:hAnsi="Arial Narrow"/>
                <w:sz w:val="20"/>
                <w:szCs w:val="20"/>
                <w:lang w:val="en-AU"/>
              </w:rPr>
              <w:t>20.0%</w:t>
            </w:r>
          </w:p>
        </w:tc>
        <w:tc>
          <w:tcPr>
            <w:tcW w:w="456" w:type="pct"/>
            <w:shd w:val="clear" w:color="auto" w:fill="auto"/>
            <w:noWrap/>
          </w:tcPr>
          <w:p w:rsidR="002F6B53" w:rsidRPr="00D15DEE" w:rsidRDefault="002F6B53" w:rsidP="0076527F">
            <w:pPr>
              <w:spacing w:before="40" w:after="40"/>
              <w:rPr>
                <w:rFonts w:ascii="Arial Narrow" w:hAnsi="Arial Narrow"/>
                <w:sz w:val="20"/>
                <w:szCs w:val="20"/>
                <w:lang w:val="en-AU"/>
              </w:rPr>
            </w:pPr>
            <w:r w:rsidRPr="00D15DEE">
              <w:rPr>
                <w:rFonts w:ascii="Arial Narrow" w:hAnsi="Arial Narrow"/>
                <w:sz w:val="20"/>
                <w:szCs w:val="20"/>
                <w:lang w:val="en-AU"/>
              </w:rPr>
              <w:t>25.0%</w:t>
            </w:r>
          </w:p>
        </w:tc>
        <w:tc>
          <w:tcPr>
            <w:tcW w:w="456" w:type="pct"/>
            <w:shd w:val="clear" w:color="auto" w:fill="auto"/>
            <w:noWrap/>
          </w:tcPr>
          <w:p w:rsidR="002F6B53" w:rsidRPr="00D15DEE" w:rsidRDefault="002F6B53" w:rsidP="0076527F">
            <w:pPr>
              <w:spacing w:before="40" w:after="40"/>
              <w:rPr>
                <w:rFonts w:ascii="Arial Narrow" w:hAnsi="Arial Narrow"/>
                <w:sz w:val="20"/>
                <w:szCs w:val="20"/>
                <w:lang w:val="en-AU"/>
              </w:rPr>
            </w:pPr>
            <w:r w:rsidRPr="00D15DEE">
              <w:rPr>
                <w:rFonts w:ascii="Arial Narrow" w:hAnsi="Arial Narrow"/>
                <w:sz w:val="20"/>
                <w:szCs w:val="20"/>
                <w:lang w:val="en-AU"/>
              </w:rPr>
              <w:t>30.0%</w:t>
            </w:r>
          </w:p>
        </w:tc>
      </w:tr>
      <w:tr w:rsidR="002F6B53" w:rsidRPr="00D15DEE" w:rsidTr="00792222">
        <w:trPr>
          <w:trHeight w:val="70"/>
        </w:trPr>
        <w:tc>
          <w:tcPr>
            <w:tcW w:w="405" w:type="pct"/>
            <w:shd w:val="clear" w:color="auto" w:fill="auto"/>
          </w:tcPr>
          <w:p w:rsidR="002F6B53" w:rsidRPr="00D15DEE" w:rsidRDefault="002F6B53" w:rsidP="0076527F">
            <w:pPr>
              <w:adjustRightInd w:val="0"/>
              <w:snapToGrid w:val="0"/>
              <w:spacing w:before="40" w:after="40"/>
              <w:rPr>
                <w:rFonts w:ascii="Arial Narrow" w:eastAsia="SimSun" w:hAnsi="Arial Narrow"/>
                <w:sz w:val="20"/>
                <w:szCs w:val="20"/>
                <w:lang w:val="en-AU"/>
              </w:rPr>
            </w:pPr>
            <w:r w:rsidRPr="00D15DEE">
              <w:rPr>
                <w:rFonts w:ascii="Arial Narrow" w:eastAsia="SimSun" w:hAnsi="Arial Narrow"/>
                <w:sz w:val="20"/>
                <w:szCs w:val="20"/>
                <w:lang w:val="en-AU"/>
              </w:rPr>
              <w:t>2062M</w:t>
            </w:r>
          </w:p>
        </w:tc>
        <w:tc>
          <w:tcPr>
            <w:tcW w:w="1403" w:type="pct"/>
            <w:shd w:val="clear" w:color="auto" w:fill="auto"/>
          </w:tcPr>
          <w:p w:rsidR="002F6B53" w:rsidRPr="00D15DEE" w:rsidRDefault="00A11F3D" w:rsidP="0076527F">
            <w:pPr>
              <w:adjustRightInd w:val="0"/>
              <w:snapToGrid w:val="0"/>
              <w:spacing w:before="40" w:after="40"/>
              <w:rPr>
                <w:rFonts w:ascii="Arial Narrow" w:eastAsia="SimSun" w:hAnsi="Arial Narrow"/>
                <w:sz w:val="20"/>
                <w:szCs w:val="20"/>
                <w:lang w:val="en-AU" w:eastAsia="zh-CN"/>
              </w:rPr>
            </w:pPr>
            <w:r w:rsidRPr="00D15DEE">
              <w:rPr>
                <w:rFonts w:ascii="Arial Narrow" w:eastAsia="SimSun" w:hAnsi="Arial Narrow"/>
                <w:sz w:val="20"/>
                <w:szCs w:val="20"/>
                <w:lang w:val="en-AU" w:eastAsia="zh-CN"/>
              </w:rPr>
              <w:t>Insulin</w:t>
            </w:r>
            <w:r w:rsidR="002F6B53" w:rsidRPr="00D15DEE">
              <w:rPr>
                <w:rFonts w:ascii="Arial Narrow" w:eastAsia="SimSun" w:hAnsi="Arial Narrow"/>
                <w:sz w:val="20"/>
                <w:szCs w:val="20"/>
                <w:lang w:val="en-AU" w:eastAsia="zh-CN"/>
              </w:rPr>
              <w:t xml:space="preserve"> isophane human</w:t>
            </w:r>
            <w:r w:rsidR="00F03316" w:rsidRPr="00D15DEE">
              <w:rPr>
                <w:rFonts w:ascii="Arial Narrow" w:eastAsia="SimSun" w:hAnsi="Arial Narrow"/>
                <w:sz w:val="20"/>
                <w:szCs w:val="20"/>
                <w:lang w:val="en-AU" w:eastAsia="zh-CN"/>
              </w:rPr>
              <w:t>/</w:t>
            </w:r>
            <w:r w:rsidR="002F6B53" w:rsidRPr="00D15DEE">
              <w:rPr>
                <w:rFonts w:ascii="Arial Narrow" w:eastAsia="SimSun" w:hAnsi="Arial Narrow"/>
                <w:sz w:val="20"/>
                <w:szCs w:val="20"/>
                <w:lang w:val="en-AU" w:eastAsia="zh-CN"/>
              </w:rPr>
              <w:t>insulin neutral human</w:t>
            </w:r>
          </w:p>
        </w:tc>
        <w:tc>
          <w:tcPr>
            <w:tcW w:w="456" w:type="pct"/>
          </w:tcPr>
          <w:p w:rsidR="002F6B53" w:rsidRPr="00D15DEE" w:rsidRDefault="002F6B53" w:rsidP="0076527F">
            <w:pPr>
              <w:spacing w:before="40" w:after="40"/>
              <w:rPr>
                <w:rFonts w:ascii="Arial Narrow" w:hAnsi="Arial Narrow"/>
                <w:sz w:val="20"/>
                <w:szCs w:val="20"/>
                <w:lang w:val="en-AU"/>
              </w:rPr>
            </w:pPr>
            <w:r w:rsidRPr="00D15DEE">
              <w:rPr>
                <w:rFonts w:ascii="Arial Narrow" w:hAnsi="Arial Narrow"/>
                <w:sz w:val="20"/>
                <w:szCs w:val="20"/>
                <w:lang w:val="en-AU"/>
              </w:rPr>
              <w:t>-10.7%</w:t>
            </w:r>
          </w:p>
        </w:tc>
        <w:tc>
          <w:tcPr>
            <w:tcW w:w="456" w:type="pct"/>
            <w:shd w:val="clear" w:color="auto" w:fill="auto"/>
            <w:noWrap/>
          </w:tcPr>
          <w:p w:rsidR="002F6B53" w:rsidRPr="00D15DEE" w:rsidRDefault="002F6B53" w:rsidP="0076527F">
            <w:pPr>
              <w:spacing w:before="40" w:after="40"/>
              <w:rPr>
                <w:rFonts w:ascii="Arial Narrow" w:hAnsi="Arial Narrow"/>
                <w:sz w:val="20"/>
                <w:szCs w:val="20"/>
                <w:lang w:val="en-AU"/>
              </w:rPr>
            </w:pPr>
            <w:r w:rsidRPr="00D15DEE">
              <w:rPr>
                <w:rFonts w:ascii="Arial Narrow" w:hAnsi="Arial Narrow"/>
                <w:sz w:val="20"/>
                <w:szCs w:val="20"/>
                <w:lang w:val="en-AU"/>
              </w:rPr>
              <w:t>3.0%</w:t>
            </w:r>
          </w:p>
        </w:tc>
        <w:tc>
          <w:tcPr>
            <w:tcW w:w="456" w:type="pct"/>
            <w:shd w:val="clear" w:color="auto" w:fill="auto"/>
            <w:noWrap/>
          </w:tcPr>
          <w:p w:rsidR="002F6B53" w:rsidRPr="00D15DEE" w:rsidRDefault="002F6B53" w:rsidP="0076527F">
            <w:pPr>
              <w:spacing w:before="40" w:after="40"/>
              <w:rPr>
                <w:rFonts w:ascii="Arial Narrow" w:hAnsi="Arial Narrow"/>
                <w:sz w:val="20"/>
                <w:szCs w:val="20"/>
                <w:lang w:val="en-AU"/>
              </w:rPr>
            </w:pPr>
            <w:r w:rsidRPr="00D15DEE">
              <w:rPr>
                <w:rFonts w:ascii="Arial Narrow" w:hAnsi="Arial Narrow"/>
                <w:sz w:val="20"/>
                <w:szCs w:val="20"/>
                <w:lang w:val="en-AU"/>
              </w:rPr>
              <w:t>10.0%</w:t>
            </w:r>
          </w:p>
        </w:tc>
        <w:tc>
          <w:tcPr>
            <w:tcW w:w="456" w:type="pct"/>
            <w:shd w:val="clear" w:color="auto" w:fill="auto"/>
            <w:noWrap/>
          </w:tcPr>
          <w:p w:rsidR="002F6B53" w:rsidRPr="00D15DEE" w:rsidRDefault="002F6B53" w:rsidP="0076527F">
            <w:pPr>
              <w:spacing w:before="40" w:after="40"/>
              <w:rPr>
                <w:rFonts w:ascii="Arial Narrow" w:hAnsi="Arial Narrow"/>
                <w:sz w:val="20"/>
                <w:szCs w:val="20"/>
                <w:lang w:val="en-AU"/>
              </w:rPr>
            </w:pPr>
            <w:r w:rsidRPr="00D15DEE">
              <w:rPr>
                <w:rFonts w:ascii="Arial Narrow" w:hAnsi="Arial Narrow"/>
                <w:sz w:val="20"/>
                <w:szCs w:val="20"/>
                <w:lang w:val="en-AU"/>
              </w:rPr>
              <w:t>15.0%</w:t>
            </w:r>
          </w:p>
        </w:tc>
        <w:tc>
          <w:tcPr>
            <w:tcW w:w="456" w:type="pct"/>
            <w:shd w:val="clear" w:color="auto" w:fill="auto"/>
            <w:noWrap/>
          </w:tcPr>
          <w:p w:rsidR="002F6B53" w:rsidRPr="00D15DEE" w:rsidRDefault="002F6B53" w:rsidP="0076527F">
            <w:pPr>
              <w:spacing w:before="40" w:after="40"/>
              <w:rPr>
                <w:rFonts w:ascii="Arial Narrow" w:hAnsi="Arial Narrow"/>
                <w:sz w:val="20"/>
                <w:szCs w:val="20"/>
                <w:lang w:val="en-AU"/>
              </w:rPr>
            </w:pPr>
            <w:r w:rsidRPr="00D15DEE">
              <w:rPr>
                <w:rFonts w:ascii="Arial Narrow" w:hAnsi="Arial Narrow"/>
                <w:sz w:val="20"/>
                <w:szCs w:val="20"/>
                <w:lang w:val="en-AU"/>
              </w:rPr>
              <w:t>20.0%</w:t>
            </w:r>
          </w:p>
        </w:tc>
        <w:tc>
          <w:tcPr>
            <w:tcW w:w="456" w:type="pct"/>
            <w:shd w:val="clear" w:color="auto" w:fill="auto"/>
            <w:noWrap/>
          </w:tcPr>
          <w:p w:rsidR="002F6B53" w:rsidRPr="00D15DEE" w:rsidRDefault="002F6B53" w:rsidP="0076527F">
            <w:pPr>
              <w:spacing w:before="40" w:after="40"/>
              <w:rPr>
                <w:rFonts w:ascii="Arial Narrow" w:hAnsi="Arial Narrow"/>
                <w:sz w:val="20"/>
                <w:szCs w:val="20"/>
                <w:lang w:val="en-AU"/>
              </w:rPr>
            </w:pPr>
            <w:r w:rsidRPr="00D15DEE">
              <w:rPr>
                <w:rFonts w:ascii="Arial Narrow" w:hAnsi="Arial Narrow"/>
                <w:sz w:val="20"/>
                <w:szCs w:val="20"/>
                <w:lang w:val="en-AU"/>
              </w:rPr>
              <w:t>25.0%</w:t>
            </w:r>
          </w:p>
        </w:tc>
        <w:tc>
          <w:tcPr>
            <w:tcW w:w="456" w:type="pct"/>
            <w:shd w:val="clear" w:color="auto" w:fill="auto"/>
            <w:noWrap/>
          </w:tcPr>
          <w:p w:rsidR="002F6B53" w:rsidRPr="00D15DEE" w:rsidRDefault="002F6B53" w:rsidP="0076527F">
            <w:pPr>
              <w:spacing w:before="40" w:after="40"/>
              <w:rPr>
                <w:rFonts w:ascii="Arial Narrow" w:hAnsi="Arial Narrow"/>
                <w:sz w:val="20"/>
                <w:szCs w:val="20"/>
                <w:lang w:val="en-AU"/>
              </w:rPr>
            </w:pPr>
            <w:r w:rsidRPr="00D15DEE">
              <w:rPr>
                <w:rFonts w:ascii="Arial Narrow" w:hAnsi="Arial Narrow"/>
                <w:sz w:val="20"/>
                <w:szCs w:val="20"/>
                <w:lang w:val="en-AU"/>
              </w:rPr>
              <w:t>30.0%</w:t>
            </w:r>
          </w:p>
        </w:tc>
      </w:tr>
      <w:tr w:rsidR="002F6B53" w:rsidRPr="00D15DEE" w:rsidTr="00792222">
        <w:trPr>
          <w:trHeight w:val="70"/>
        </w:trPr>
        <w:tc>
          <w:tcPr>
            <w:tcW w:w="405" w:type="pct"/>
            <w:shd w:val="clear" w:color="auto" w:fill="auto"/>
          </w:tcPr>
          <w:p w:rsidR="002F6B53" w:rsidRPr="00D15DEE" w:rsidRDefault="002F6B53" w:rsidP="0076527F">
            <w:pPr>
              <w:adjustRightInd w:val="0"/>
              <w:snapToGrid w:val="0"/>
              <w:spacing w:before="40" w:after="40"/>
              <w:rPr>
                <w:rFonts w:ascii="Arial Narrow" w:eastAsia="SimSun" w:hAnsi="Arial Narrow"/>
                <w:sz w:val="20"/>
                <w:szCs w:val="20"/>
                <w:lang w:val="en-AU"/>
              </w:rPr>
            </w:pPr>
            <w:r w:rsidRPr="00D15DEE">
              <w:rPr>
                <w:rFonts w:ascii="Arial Narrow" w:eastAsia="SimSun" w:hAnsi="Arial Narrow"/>
                <w:sz w:val="20"/>
                <w:szCs w:val="20"/>
                <w:lang w:val="en-AU"/>
              </w:rPr>
              <w:t>9040T</w:t>
            </w:r>
          </w:p>
        </w:tc>
        <w:tc>
          <w:tcPr>
            <w:tcW w:w="1403" w:type="pct"/>
            <w:shd w:val="clear" w:color="auto" w:fill="auto"/>
          </w:tcPr>
          <w:p w:rsidR="002F6B53" w:rsidRPr="00D15DEE" w:rsidRDefault="00A11F3D" w:rsidP="0076527F">
            <w:pPr>
              <w:adjustRightInd w:val="0"/>
              <w:snapToGrid w:val="0"/>
              <w:spacing w:before="40" w:after="40"/>
              <w:rPr>
                <w:rFonts w:ascii="Arial Narrow" w:eastAsia="SimSun" w:hAnsi="Arial Narrow"/>
                <w:sz w:val="20"/>
                <w:szCs w:val="20"/>
                <w:lang w:val="en-AU" w:eastAsia="zh-CN"/>
              </w:rPr>
            </w:pPr>
            <w:r w:rsidRPr="00D15DEE">
              <w:rPr>
                <w:rFonts w:ascii="Arial Narrow" w:eastAsia="SimSun" w:hAnsi="Arial Narrow"/>
                <w:sz w:val="20"/>
                <w:szCs w:val="20"/>
                <w:lang w:val="en-AU" w:eastAsia="zh-CN"/>
              </w:rPr>
              <w:t>Insulin</w:t>
            </w:r>
            <w:r w:rsidR="002F6B53" w:rsidRPr="00D15DEE">
              <w:rPr>
                <w:rFonts w:ascii="Arial Narrow" w:eastAsia="SimSun" w:hAnsi="Arial Narrow"/>
                <w:sz w:val="20"/>
                <w:szCs w:val="20"/>
                <w:lang w:val="en-AU" w:eastAsia="zh-CN"/>
              </w:rPr>
              <w:t xml:space="preserve"> detemir</w:t>
            </w:r>
          </w:p>
        </w:tc>
        <w:tc>
          <w:tcPr>
            <w:tcW w:w="456" w:type="pct"/>
          </w:tcPr>
          <w:p w:rsidR="002F6B53" w:rsidRPr="00D15DEE" w:rsidRDefault="002F6B53" w:rsidP="0076527F">
            <w:pPr>
              <w:spacing w:before="40" w:after="40"/>
              <w:rPr>
                <w:rFonts w:ascii="Arial Narrow" w:hAnsi="Arial Narrow"/>
                <w:sz w:val="20"/>
                <w:szCs w:val="20"/>
                <w:lang w:val="en-AU"/>
              </w:rPr>
            </w:pPr>
            <w:r w:rsidRPr="00D15DEE">
              <w:rPr>
                <w:rFonts w:ascii="Arial Narrow" w:hAnsi="Arial Narrow"/>
                <w:sz w:val="20"/>
                <w:szCs w:val="20"/>
                <w:lang w:val="en-AU"/>
              </w:rPr>
              <w:t>3.6%</w:t>
            </w:r>
          </w:p>
        </w:tc>
        <w:tc>
          <w:tcPr>
            <w:tcW w:w="456" w:type="pct"/>
            <w:shd w:val="clear" w:color="auto" w:fill="auto"/>
            <w:noWrap/>
          </w:tcPr>
          <w:p w:rsidR="002F6B53" w:rsidRPr="00D15DEE" w:rsidRDefault="002F6B53" w:rsidP="0076527F">
            <w:pPr>
              <w:spacing w:before="40" w:after="40"/>
              <w:rPr>
                <w:rFonts w:ascii="Arial Narrow" w:hAnsi="Arial Narrow"/>
                <w:sz w:val="20"/>
                <w:szCs w:val="20"/>
                <w:lang w:val="en-AU"/>
              </w:rPr>
            </w:pPr>
            <w:r w:rsidRPr="00D15DEE">
              <w:rPr>
                <w:rFonts w:ascii="Arial Narrow" w:hAnsi="Arial Narrow"/>
                <w:sz w:val="20"/>
                <w:szCs w:val="20"/>
                <w:lang w:val="en-AU"/>
              </w:rPr>
              <w:t>1.0%</w:t>
            </w:r>
          </w:p>
        </w:tc>
        <w:tc>
          <w:tcPr>
            <w:tcW w:w="456" w:type="pct"/>
            <w:shd w:val="clear" w:color="auto" w:fill="auto"/>
            <w:noWrap/>
          </w:tcPr>
          <w:p w:rsidR="002F6B53" w:rsidRPr="00D15DEE" w:rsidRDefault="002F6B53" w:rsidP="0076527F">
            <w:pPr>
              <w:spacing w:before="40" w:after="40"/>
              <w:rPr>
                <w:rFonts w:ascii="Arial Narrow" w:hAnsi="Arial Narrow"/>
                <w:sz w:val="20"/>
                <w:szCs w:val="20"/>
                <w:lang w:val="en-AU"/>
              </w:rPr>
            </w:pPr>
            <w:r w:rsidRPr="00D15DEE">
              <w:rPr>
                <w:rFonts w:ascii="Arial Narrow" w:hAnsi="Arial Narrow"/>
                <w:sz w:val="20"/>
                <w:szCs w:val="20"/>
                <w:lang w:val="en-AU"/>
              </w:rPr>
              <w:t>2.0%</w:t>
            </w:r>
          </w:p>
        </w:tc>
        <w:tc>
          <w:tcPr>
            <w:tcW w:w="456" w:type="pct"/>
            <w:shd w:val="clear" w:color="auto" w:fill="auto"/>
            <w:noWrap/>
          </w:tcPr>
          <w:p w:rsidR="002F6B53" w:rsidRPr="00D15DEE" w:rsidRDefault="002F6B53" w:rsidP="0076527F">
            <w:pPr>
              <w:spacing w:before="40" w:after="40"/>
              <w:rPr>
                <w:rFonts w:ascii="Arial Narrow" w:hAnsi="Arial Narrow"/>
                <w:sz w:val="20"/>
                <w:szCs w:val="20"/>
                <w:lang w:val="en-AU"/>
              </w:rPr>
            </w:pPr>
            <w:r w:rsidRPr="00D15DEE">
              <w:rPr>
                <w:rFonts w:ascii="Arial Narrow" w:hAnsi="Arial Narrow"/>
                <w:sz w:val="20"/>
                <w:szCs w:val="20"/>
                <w:lang w:val="en-AU"/>
              </w:rPr>
              <w:t>3.0%</w:t>
            </w:r>
          </w:p>
        </w:tc>
        <w:tc>
          <w:tcPr>
            <w:tcW w:w="456" w:type="pct"/>
            <w:shd w:val="clear" w:color="auto" w:fill="auto"/>
            <w:noWrap/>
          </w:tcPr>
          <w:p w:rsidR="002F6B53" w:rsidRPr="00D15DEE" w:rsidRDefault="002F6B53" w:rsidP="0076527F">
            <w:pPr>
              <w:spacing w:before="40" w:after="40"/>
              <w:rPr>
                <w:rFonts w:ascii="Arial Narrow" w:hAnsi="Arial Narrow"/>
                <w:sz w:val="20"/>
                <w:szCs w:val="20"/>
                <w:lang w:val="en-AU"/>
              </w:rPr>
            </w:pPr>
            <w:r w:rsidRPr="00D15DEE">
              <w:rPr>
                <w:rFonts w:ascii="Arial Narrow" w:hAnsi="Arial Narrow"/>
                <w:sz w:val="20"/>
                <w:szCs w:val="20"/>
                <w:lang w:val="en-AU"/>
              </w:rPr>
              <w:t>4.0%</w:t>
            </w:r>
          </w:p>
        </w:tc>
        <w:tc>
          <w:tcPr>
            <w:tcW w:w="456" w:type="pct"/>
            <w:shd w:val="clear" w:color="auto" w:fill="auto"/>
            <w:noWrap/>
          </w:tcPr>
          <w:p w:rsidR="002F6B53" w:rsidRPr="00D15DEE" w:rsidRDefault="002F6B53" w:rsidP="0076527F">
            <w:pPr>
              <w:spacing w:before="40" w:after="40"/>
              <w:rPr>
                <w:rFonts w:ascii="Arial Narrow" w:hAnsi="Arial Narrow"/>
                <w:sz w:val="20"/>
                <w:szCs w:val="20"/>
                <w:lang w:val="en-AU"/>
              </w:rPr>
            </w:pPr>
            <w:r w:rsidRPr="00D15DEE">
              <w:rPr>
                <w:rFonts w:ascii="Arial Narrow" w:hAnsi="Arial Narrow"/>
                <w:sz w:val="20"/>
                <w:szCs w:val="20"/>
                <w:lang w:val="en-AU"/>
              </w:rPr>
              <w:t>5.0%</w:t>
            </w:r>
          </w:p>
        </w:tc>
        <w:tc>
          <w:tcPr>
            <w:tcW w:w="456" w:type="pct"/>
            <w:shd w:val="clear" w:color="auto" w:fill="auto"/>
            <w:noWrap/>
          </w:tcPr>
          <w:p w:rsidR="002F6B53" w:rsidRPr="00D15DEE" w:rsidRDefault="002F6B53" w:rsidP="0076527F">
            <w:pPr>
              <w:spacing w:before="40" w:after="40"/>
              <w:rPr>
                <w:rFonts w:ascii="Arial Narrow" w:hAnsi="Arial Narrow"/>
                <w:sz w:val="20"/>
                <w:szCs w:val="20"/>
                <w:lang w:val="en-AU"/>
              </w:rPr>
            </w:pPr>
            <w:r w:rsidRPr="00D15DEE">
              <w:rPr>
                <w:rFonts w:ascii="Arial Narrow" w:hAnsi="Arial Narrow"/>
                <w:sz w:val="20"/>
                <w:szCs w:val="20"/>
                <w:lang w:val="en-AU"/>
              </w:rPr>
              <w:t>6.0%</w:t>
            </w:r>
          </w:p>
        </w:tc>
      </w:tr>
      <w:tr w:rsidR="002F6B53" w:rsidRPr="00D15DEE" w:rsidTr="00792222">
        <w:trPr>
          <w:trHeight w:val="70"/>
        </w:trPr>
        <w:tc>
          <w:tcPr>
            <w:tcW w:w="405" w:type="pct"/>
            <w:shd w:val="clear" w:color="auto" w:fill="auto"/>
          </w:tcPr>
          <w:p w:rsidR="002F6B53" w:rsidRPr="00D15DEE" w:rsidRDefault="002F6B53" w:rsidP="0076527F">
            <w:pPr>
              <w:adjustRightInd w:val="0"/>
              <w:snapToGrid w:val="0"/>
              <w:spacing w:before="40" w:after="40"/>
              <w:rPr>
                <w:rFonts w:ascii="Arial Narrow" w:eastAsia="SimSun" w:hAnsi="Arial Narrow"/>
                <w:sz w:val="20"/>
                <w:szCs w:val="20"/>
                <w:lang w:val="en-AU"/>
              </w:rPr>
            </w:pPr>
            <w:r w:rsidRPr="00D15DEE">
              <w:rPr>
                <w:rFonts w:ascii="Arial Narrow" w:eastAsia="SimSun" w:hAnsi="Arial Narrow"/>
                <w:sz w:val="20"/>
                <w:szCs w:val="20"/>
                <w:lang w:val="en-AU"/>
              </w:rPr>
              <w:t>9039R</w:t>
            </w:r>
          </w:p>
        </w:tc>
        <w:tc>
          <w:tcPr>
            <w:tcW w:w="1403" w:type="pct"/>
            <w:shd w:val="clear" w:color="auto" w:fill="auto"/>
          </w:tcPr>
          <w:p w:rsidR="002F6B53" w:rsidRPr="00D15DEE" w:rsidRDefault="00A11F3D" w:rsidP="0076527F">
            <w:pPr>
              <w:adjustRightInd w:val="0"/>
              <w:snapToGrid w:val="0"/>
              <w:spacing w:before="40" w:after="40"/>
              <w:rPr>
                <w:rFonts w:ascii="Arial Narrow" w:eastAsia="SimSun" w:hAnsi="Arial Narrow"/>
                <w:sz w:val="20"/>
                <w:szCs w:val="20"/>
                <w:lang w:val="en-AU" w:eastAsia="zh-CN"/>
              </w:rPr>
            </w:pPr>
            <w:r w:rsidRPr="00D15DEE">
              <w:rPr>
                <w:rFonts w:ascii="Arial Narrow" w:eastAsia="SimSun" w:hAnsi="Arial Narrow"/>
                <w:sz w:val="20"/>
                <w:szCs w:val="20"/>
                <w:lang w:val="en-AU" w:eastAsia="zh-CN"/>
              </w:rPr>
              <w:t>Insulin</w:t>
            </w:r>
            <w:r w:rsidR="002F6B53" w:rsidRPr="00D15DEE">
              <w:rPr>
                <w:rFonts w:ascii="Arial Narrow" w:eastAsia="SimSun" w:hAnsi="Arial Narrow"/>
                <w:sz w:val="20"/>
                <w:szCs w:val="20"/>
                <w:lang w:val="en-AU" w:eastAsia="zh-CN"/>
              </w:rPr>
              <w:t xml:space="preserve"> glargine</w:t>
            </w:r>
          </w:p>
        </w:tc>
        <w:tc>
          <w:tcPr>
            <w:tcW w:w="456" w:type="pct"/>
          </w:tcPr>
          <w:p w:rsidR="002F6B53" w:rsidRPr="00D15DEE" w:rsidRDefault="002F6B53" w:rsidP="0076527F">
            <w:pPr>
              <w:spacing w:before="40" w:after="40"/>
              <w:rPr>
                <w:rFonts w:ascii="Arial Narrow" w:hAnsi="Arial Narrow"/>
                <w:sz w:val="20"/>
                <w:szCs w:val="20"/>
                <w:lang w:val="en-AU"/>
              </w:rPr>
            </w:pPr>
            <w:r w:rsidRPr="00D15DEE">
              <w:rPr>
                <w:rFonts w:ascii="Arial Narrow" w:hAnsi="Arial Narrow"/>
                <w:sz w:val="20"/>
                <w:szCs w:val="20"/>
                <w:lang w:val="en-AU"/>
              </w:rPr>
              <w:t>6.3%</w:t>
            </w:r>
          </w:p>
        </w:tc>
        <w:tc>
          <w:tcPr>
            <w:tcW w:w="456" w:type="pct"/>
            <w:shd w:val="clear" w:color="auto" w:fill="auto"/>
            <w:noWrap/>
          </w:tcPr>
          <w:p w:rsidR="002F6B53" w:rsidRPr="00D15DEE" w:rsidRDefault="002F6B53" w:rsidP="0076527F">
            <w:pPr>
              <w:spacing w:before="40" w:after="40"/>
              <w:rPr>
                <w:rFonts w:ascii="Arial Narrow" w:hAnsi="Arial Narrow"/>
                <w:sz w:val="20"/>
                <w:szCs w:val="20"/>
                <w:lang w:val="en-AU"/>
              </w:rPr>
            </w:pPr>
            <w:r w:rsidRPr="00D15DEE">
              <w:rPr>
                <w:rFonts w:ascii="Arial Narrow" w:hAnsi="Arial Narrow"/>
                <w:sz w:val="20"/>
                <w:szCs w:val="20"/>
                <w:lang w:val="en-AU"/>
              </w:rPr>
              <w:t>1.0%</w:t>
            </w:r>
          </w:p>
        </w:tc>
        <w:tc>
          <w:tcPr>
            <w:tcW w:w="456" w:type="pct"/>
            <w:shd w:val="clear" w:color="auto" w:fill="auto"/>
            <w:noWrap/>
          </w:tcPr>
          <w:p w:rsidR="002F6B53" w:rsidRPr="00D15DEE" w:rsidRDefault="002F6B53" w:rsidP="0076527F">
            <w:pPr>
              <w:spacing w:before="40" w:after="40"/>
              <w:rPr>
                <w:rFonts w:ascii="Arial Narrow" w:hAnsi="Arial Narrow"/>
                <w:sz w:val="20"/>
                <w:szCs w:val="20"/>
                <w:lang w:val="en-AU"/>
              </w:rPr>
            </w:pPr>
            <w:r w:rsidRPr="00D15DEE">
              <w:rPr>
                <w:rFonts w:ascii="Arial Narrow" w:hAnsi="Arial Narrow"/>
                <w:sz w:val="20"/>
                <w:szCs w:val="20"/>
                <w:lang w:val="en-AU"/>
              </w:rPr>
              <w:t>2.0%</w:t>
            </w:r>
          </w:p>
        </w:tc>
        <w:tc>
          <w:tcPr>
            <w:tcW w:w="456" w:type="pct"/>
            <w:shd w:val="clear" w:color="auto" w:fill="auto"/>
            <w:noWrap/>
          </w:tcPr>
          <w:p w:rsidR="002F6B53" w:rsidRPr="00D15DEE" w:rsidRDefault="002F6B53" w:rsidP="0076527F">
            <w:pPr>
              <w:spacing w:before="40" w:after="40"/>
              <w:rPr>
                <w:rFonts w:ascii="Arial Narrow" w:hAnsi="Arial Narrow"/>
                <w:sz w:val="20"/>
                <w:szCs w:val="20"/>
                <w:lang w:val="en-AU"/>
              </w:rPr>
            </w:pPr>
            <w:r w:rsidRPr="00D15DEE">
              <w:rPr>
                <w:rFonts w:ascii="Arial Narrow" w:hAnsi="Arial Narrow"/>
                <w:sz w:val="20"/>
                <w:szCs w:val="20"/>
                <w:lang w:val="en-AU"/>
              </w:rPr>
              <w:t>3.5%</w:t>
            </w:r>
          </w:p>
        </w:tc>
        <w:tc>
          <w:tcPr>
            <w:tcW w:w="456" w:type="pct"/>
            <w:shd w:val="clear" w:color="auto" w:fill="auto"/>
            <w:noWrap/>
          </w:tcPr>
          <w:p w:rsidR="002F6B53" w:rsidRPr="00D15DEE" w:rsidRDefault="002F6B53" w:rsidP="0076527F">
            <w:pPr>
              <w:spacing w:before="40" w:after="40"/>
              <w:rPr>
                <w:rFonts w:ascii="Arial Narrow" w:hAnsi="Arial Narrow"/>
                <w:sz w:val="20"/>
                <w:szCs w:val="20"/>
                <w:lang w:val="en-AU"/>
              </w:rPr>
            </w:pPr>
            <w:r w:rsidRPr="00D15DEE">
              <w:rPr>
                <w:rFonts w:ascii="Arial Narrow" w:hAnsi="Arial Narrow"/>
                <w:sz w:val="20"/>
                <w:szCs w:val="20"/>
                <w:lang w:val="en-AU"/>
              </w:rPr>
              <w:t>5.0%</w:t>
            </w:r>
          </w:p>
        </w:tc>
        <w:tc>
          <w:tcPr>
            <w:tcW w:w="456" w:type="pct"/>
            <w:shd w:val="clear" w:color="auto" w:fill="auto"/>
            <w:noWrap/>
          </w:tcPr>
          <w:p w:rsidR="002F6B53" w:rsidRPr="00D15DEE" w:rsidRDefault="002F6B53" w:rsidP="0076527F">
            <w:pPr>
              <w:spacing w:before="40" w:after="40"/>
              <w:rPr>
                <w:rFonts w:ascii="Arial Narrow" w:hAnsi="Arial Narrow"/>
                <w:sz w:val="20"/>
                <w:szCs w:val="20"/>
                <w:lang w:val="en-AU"/>
              </w:rPr>
            </w:pPr>
            <w:r w:rsidRPr="00D15DEE">
              <w:rPr>
                <w:rFonts w:ascii="Arial Narrow" w:hAnsi="Arial Narrow"/>
                <w:sz w:val="20"/>
                <w:szCs w:val="20"/>
                <w:lang w:val="en-AU"/>
              </w:rPr>
              <w:t>7.0%</w:t>
            </w:r>
          </w:p>
        </w:tc>
        <w:tc>
          <w:tcPr>
            <w:tcW w:w="456" w:type="pct"/>
            <w:shd w:val="clear" w:color="auto" w:fill="auto"/>
            <w:noWrap/>
          </w:tcPr>
          <w:p w:rsidR="002F6B53" w:rsidRPr="00D15DEE" w:rsidRDefault="002F6B53" w:rsidP="0076527F">
            <w:pPr>
              <w:spacing w:before="40" w:after="40"/>
              <w:rPr>
                <w:rFonts w:ascii="Arial Narrow" w:hAnsi="Arial Narrow"/>
                <w:sz w:val="20"/>
                <w:szCs w:val="20"/>
                <w:lang w:val="en-AU"/>
              </w:rPr>
            </w:pPr>
            <w:r w:rsidRPr="00D15DEE">
              <w:rPr>
                <w:rFonts w:ascii="Arial Narrow" w:hAnsi="Arial Narrow"/>
                <w:sz w:val="20"/>
                <w:szCs w:val="20"/>
                <w:lang w:val="en-AU"/>
              </w:rPr>
              <w:t>9.0%</w:t>
            </w:r>
          </w:p>
        </w:tc>
      </w:tr>
    </w:tbl>
    <w:p w:rsidR="00AD7D66" w:rsidRPr="00D15DEE" w:rsidRDefault="002F6B53" w:rsidP="00AD7D66">
      <w:pPr>
        <w:spacing w:before="0" w:after="240"/>
        <w:contextualSpacing/>
        <w:rPr>
          <w:rFonts w:ascii="Arial Narrow" w:eastAsia="Calibri" w:hAnsi="Arial Narrow" w:cs="Times New Roman"/>
          <w:sz w:val="18"/>
          <w:szCs w:val="18"/>
          <w:lang w:val="en-AU" w:eastAsia="zh-CN"/>
        </w:rPr>
      </w:pPr>
      <w:r w:rsidRPr="00D15DEE">
        <w:rPr>
          <w:rFonts w:ascii="Arial Narrow" w:eastAsia="Calibri" w:hAnsi="Arial Narrow" w:cs="Times New Roman"/>
          <w:sz w:val="18"/>
          <w:szCs w:val="18"/>
          <w:lang w:val="en-AU" w:eastAsia="zh-CN"/>
        </w:rPr>
        <w:t>Source: Table</w:t>
      </w:r>
      <w:r w:rsidR="00AD7D66" w:rsidRPr="00D15DEE">
        <w:rPr>
          <w:rFonts w:ascii="Arial Narrow" w:eastAsia="Calibri" w:hAnsi="Arial Narrow" w:cs="Times New Roman"/>
          <w:sz w:val="18"/>
          <w:szCs w:val="18"/>
          <w:lang w:val="en-AU" w:eastAsia="zh-CN"/>
        </w:rPr>
        <w:t>s</w:t>
      </w:r>
      <w:r w:rsidRPr="00D15DEE">
        <w:rPr>
          <w:rFonts w:ascii="Arial Narrow" w:eastAsia="Calibri" w:hAnsi="Arial Narrow" w:cs="Times New Roman"/>
          <w:sz w:val="18"/>
          <w:szCs w:val="18"/>
          <w:lang w:val="en-AU" w:eastAsia="zh-CN"/>
        </w:rPr>
        <w:t xml:space="preserve"> 4.3 and 4.5, p77 of the submission</w:t>
      </w:r>
      <w:r w:rsidR="0090518F" w:rsidRPr="00D15DEE">
        <w:rPr>
          <w:rFonts w:ascii="Arial Narrow" w:eastAsia="Calibri" w:hAnsi="Arial Narrow" w:cs="Times New Roman"/>
          <w:sz w:val="18"/>
          <w:szCs w:val="18"/>
          <w:lang w:val="en-AU" w:eastAsia="zh-CN"/>
        </w:rPr>
        <w:t>;</w:t>
      </w:r>
      <w:r w:rsidR="00DC1274" w:rsidRPr="00D15DEE">
        <w:rPr>
          <w:rFonts w:ascii="Arial Narrow" w:eastAsia="Calibri" w:hAnsi="Arial Narrow" w:cs="Times New Roman"/>
          <w:sz w:val="18"/>
          <w:szCs w:val="18"/>
          <w:lang w:val="en-AU" w:eastAsia="zh-CN"/>
        </w:rPr>
        <w:t xml:space="preserve"> compiled during evaluation</w:t>
      </w:r>
    </w:p>
    <w:p w:rsidR="00E6770D" w:rsidRPr="000F3272" w:rsidRDefault="00A86388" w:rsidP="00EF3B52">
      <w:pPr>
        <w:pStyle w:val="ListParagraph"/>
        <w:numPr>
          <w:ilvl w:val="1"/>
          <w:numId w:val="1"/>
        </w:numPr>
        <w:ind w:left="720" w:hanging="720"/>
        <w:jc w:val="both"/>
        <w:rPr>
          <w:rFonts w:eastAsia="Calibri"/>
        </w:rPr>
      </w:pPr>
      <w:r w:rsidRPr="000F3272">
        <w:t>The submission applied script equivalence ratios based on those identified in the clinical evaluation; however, there was an assumption that formulations not compared in the clinical evidence would have similar equi-effectiveness to those identified in the clinical trials. Th</w:t>
      </w:r>
      <w:r w:rsidR="000D469F">
        <w:t>e</w:t>
      </w:r>
      <w:r w:rsidRPr="000F3272">
        <w:t xml:space="preserve"> </w:t>
      </w:r>
      <w:r w:rsidR="000F3272" w:rsidRPr="008761D6">
        <w:t>evaluation consider</w:t>
      </w:r>
      <w:r w:rsidR="000D469F">
        <w:t>ed</w:t>
      </w:r>
      <w:r w:rsidR="000F3272" w:rsidRPr="008761D6">
        <w:t xml:space="preserve"> </w:t>
      </w:r>
      <w:r w:rsidR="00A44490">
        <w:t xml:space="preserve">that </w:t>
      </w:r>
      <w:r w:rsidR="000F3272" w:rsidRPr="008761D6">
        <w:t>this</w:t>
      </w:r>
      <w:r w:rsidR="00A44490">
        <w:t xml:space="preserve"> was</w:t>
      </w:r>
      <w:r w:rsidR="000F3272" w:rsidRPr="008761D6">
        <w:t xml:space="preserve"> </w:t>
      </w:r>
      <w:r w:rsidRPr="000F3272">
        <w:t xml:space="preserve">not appropriate. </w:t>
      </w:r>
      <w:r w:rsidR="002E6261" w:rsidRPr="000F3272">
        <w:t>The PSCR (p4) argued that the script equivalence ratios were appropriate as the IDegAsp v</w:t>
      </w:r>
      <w:r w:rsidR="008761D6">
        <w:t>er</w:t>
      </w:r>
      <w:r w:rsidR="002E6261" w:rsidRPr="000F3272">
        <w:t>s</w:t>
      </w:r>
      <w:r w:rsidR="008761D6">
        <w:t>us</w:t>
      </w:r>
      <w:r w:rsidR="002E6261" w:rsidRPr="000F3272">
        <w:t xml:space="preserve"> BIAsp 30 equivalence ratio was based on the weighted averages for the T2DM clinical trials and IDegAsp v</w:t>
      </w:r>
      <w:r w:rsidR="00A72A4F">
        <w:t>er</w:t>
      </w:r>
      <w:r w:rsidR="002E6261" w:rsidRPr="000F3272">
        <w:t>s</w:t>
      </w:r>
      <w:r w:rsidR="00A72A4F">
        <w:t>us</w:t>
      </w:r>
      <w:r w:rsidR="002E6261" w:rsidRPr="000F3272">
        <w:t xml:space="preserve"> IDet was based on the T1DM trial. Where established relativities were lacking (i.e., for premixed human insulins), a 1:1 equivalence ratio was used. However, the </w:t>
      </w:r>
      <w:r w:rsidR="00D76583" w:rsidRPr="000F3272">
        <w:t xml:space="preserve">ESC noted </w:t>
      </w:r>
      <w:r w:rsidR="00390663" w:rsidRPr="000F3272">
        <w:t xml:space="preserve">the </w:t>
      </w:r>
      <w:r w:rsidR="002E6261" w:rsidRPr="000F3272">
        <w:t xml:space="preserve">submission used the BIAsp 30:IDegAsp relativities from the trials for lispro premixes and the </w:t>
      </w:r>
      <w:r w:rsidR="00F96D56" w:rsidRPr="000F3272">
        <w:t>IDet:IDegAsp</w:t>
      </w:r>
      <w:r w:rsidR="002E6261" w:rsidRPr="000F3272">
        <w:t xml:space="preserve"> relativities for glargine, not the 1:1 relativities as suggested.</w:t>
      </w:r>
    </w:p>
    <w:p w:rsidR="00C317F3" w:rsidRPr="00D15DEE" w:rsidRDefault="005E0068" w:rsidP="00772501">
      <w:pPr>
        <w:pStyle w:val="TableHeading0"/>
        <w:rPr>
          <w:szCs w:val="20"/>
        </w:rPr>
      </w:pPr>
      <w:r w:rsidRPr="00D15DEE">
        <w:rPr>
          <w:szCs w:val="20"/>
        </w:rPr>
        <w:t xml:space="preserve">Table </w:t>
      </w:r>
      <w:r w:rsidR="0076527F" w:rsidRPr="00D15DEE">
        <w:rPr>
          <w:szCs w:val="20"/>
        </w:rPr>
        <w:t>1</w:t>
      </w:r>
      <w:r w:rsidR="00DF59FB">
        <w:rPr>
          <w:szCs w:val="20"/>
        </w:rPr>
        <w:t>1</w:t>
      </w:r>
      <w:r w:rsidR="000152E5" w:rsidRPr="00D15DEE">
        <w:rPr>
          <w:szCs w:val="20"/>
        </w:rPr>
        <w:t xml:space="preserve">: </w:t>
      </w:r>
      <w:r w:rsidR="00C317F3" w:rsidRPr="00D15DEE">
        <w:rPr>
          <w:szCs w:val="20"/>
        </w:rPr>
        <w:t>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78"/>
        <w:gridCol w:w="1130"/>
        <w:gridCol w:w="1180"/>
        <w:gridCol w:w="1180"/>
        <w:gridCol w:w="1180"/>
        <w:gridCol w:w="1180"/>
        <w:gridCol w:w="1176"/>
      </w:tblGrid>
      <w:tr w:rsidR="00E37424" w:rsidRPr="00D15DEE" w:rsidTr="005E0068">
        <w:trPr>
          <w:tblHeader/>
        </w:trPr>
        <w:tc>
          <w:tcPr>
            <w:tcW w:w="1099" w:type="pct"/>
            <w:shd w:val="clear" w:color="auto" w:fill="auto"/>
            <w:vAlign w:val="center"/>
          </w:tcPr>
          <w:p w:rsidR="00E37424" w:rsidRPr="00D15DEE" w:rsidRDefault="00E37424" w:rsidP="0076527F">
            <w:pPr>
              <w:pStyle w:val="TableText"/>
              <w:rPr>
                <w:szCs w:val="20"/>
              </w:rPr>
            </w:pPr>
          </w:p>
        </w:tc>
        <w:tc>
          <w:tcPr>
            <w:tcW w:w="628" w:type="pct"/>
            <w:shd w:val="clear" w:color="auto" w:fill="auto"/>
            <w:vAlign w:val="center"/>
          </w:tcPr>
          <w:p w:rsidR="00E37424" w:rsidRPr="00D15DEE" w:rsidRDefault="00E37424" w:rsidP="0076527F">
            <w:pPr>
              <w:pStyle w:val="TableText"/>
              <w:rPr>
                <w:b/>
                <w:szCs w:val="20"/>
              </w:rPr>
            </w:pPr>
            <w:r w:rsidRPr="00D15DEE">
              <w:rPr>
                <w:b/>
                <w:szCs w:val="20"/>
              </w:rPr>
              <w:t>Year 1</w:t>
            </w:r>
          </w:p>
        </w:tc>
        <w:tc>
          <w:tcPr>
            <w:tcW w:w="655" w:type="pct"/>
            <w:shd w:val="clear" w:color="auto" w:fill="auto"/>
            <w:vAlign w:val="center"/>
          </w:tcPr>
          <w:p w:rsidR="00E37424" w:rsidRPr="00D15DEE" w:rsidRDefault="00E37424" w:rsidP="0076527F">
            <w:pPr>
              <w:pStyle w:val="TableText"/>
              <w:rPr>
                <w:b/>
                <w:szCs w:val="20"/>
              </w:rPr>
            </w:pPr>
            <w:r w:rsidRPr="00D15DEE">
              <w:rPr>
                <w:b/>
                <w:szCs w:val="20"/>
              </w:rPr>
              <w:t>Year 2</w:t>
            </w:r>
          </w:p>
        </w:tc>
        <w:tc>
          <w:tcPr>
            <w:tcW w:w="655" w:type="pct"/>
            <w:shd w:val="clear" w:color="auto" w:fill="auto"/>
            <w:vAlign w:val="center"/>
          </w:tcPr>
          <w:p w:rsidR="00E37424" w:rsidRPr="00D15DEE" w:rsidRDefault="00E37424" w:rsidP="0076527F">
            <w:pPr>
              <w:pStyle w:val="TableText"/>
              <w:rPr>
                <w:b/>
                <w:szCs w:val="20"/>
              </w:rPr>
            </w:pPr>
            <w:r w:rsidRPr="00D15DEE">
              <w:rPr>
                <w:b/>
                <w:szCs w:val="20"/>
              </w:rPr>
              <w:t>Year 3</w:t>
            </w:r>
          </w:p>
        </w:tc>
        <w:tc>
          <w:tcPr>
            <w:tcW w:w="655" w:type="pct"/>
            <w:shd w:val="clear" w:color="auto" w:fill="auto"/>
            <w:vAlign w:val="center"/>
          </w:tcPr>
          <w:p w:rsidR="00E37424" w:rsidRPr="00D15DEE" w:rsidRDefault="00E37424" w:rsidP="0076527F">
            <w:pPr>
              <w:pStyle w:val="TableText"/>
              <w:rPr>
                <w:b/>
                <w:szCs w:val="20"/>
              </w:rPr>
            </w:pPr>
            <w:r w:rsidRPr="00D15DEE">
              <w:rPr>
                <w:b/>
                <w:szCs w:val="20"/>
              </w:rPr>
              <w:t>Year 4</w:t>
            </w:r>
          </w:p>
        </w:tc>
        <w:tc>
          <w:tcPr>
            <w:tcW w:w="655" w:type="pct"/>
            <w:shd w:val="clear" w:color="auto" w:fill="auto"/>
            <w:vAlign w:val="center"/>
          </w:tcPr>
          <w:p w:rsidR="00E37424" w:rsidRPr="00D15DEE" w:rsidRDefault="00E37424" w:rsidP="0076527F">
            <w:pPr>
              <w:pStyle w:val="TableText"/>
              <w:rPr>
                <w:b/>
                <w:szCs w:val="20"/>
              </w:rPr>
            </w:pPr>
            <w:r w:rsidRPr="00D15DEE">
              <w:rPr>
                <w:b/>
                <w:szCs w:val="20"/>
              </w:rPr>
              <w:t>Year 5</w:t>
            </w:r>
          </w:p>
        </w:tc>
        <w:tc>
          <w:tcPr>
            <w:tcW w:w="653" w:type="pct"/>
          </w:tcPr>
          <w:p w:rsidR="00E37424" w:rsidRPr="00D15DEE" w:rsidRDefault="00E37424" w:rsidP="0076527F">
            <w:pPr>
              <w:pStyle w:val="TableText"/>
              <w:rPr>
                <w:b/>
                <w:szCs w:val="20"/>
              </w:rPr>
            </w:pPr>
            <w:r w:rsidRPr="00D15DEE">
              <w:rPr>
                <w:b/>
                <w:szCs w:val="20"/>
              </w:rPr>
              <w:t>Year 6</w:t>
            </w:r>
          </w:p>
        </w:tc>
      </w:tr>
      <w:tr w:rsidR="00E37424" w:rsidRPr="00D15DEE" w:rsidTr="00E37424">
        <w:tc>
          <w:tcPr>
            <w:tcW w:w="5000" w:type="pct"/>
            <w:gridSpan w:val="7"/>
            <w:shd w:val="clear" w:color="auto" w:fill="auto"/>
            <w:vAlign w:val="center"/>
          </w:tcPr>
          <w:p w:rsidR="00E37424" w:rsidRPr="00D15DEE" w:rsidRDefault="00E37424" w:rsidP="0076527F">
            <w:pPr>
              <w:pStyle w:val="TableText"/>
              <w:rPr>
                <w:b/>
                <w:bCs/>
                <w:color w:val="000000"/>
                <w:szCs w:val="20"/>
              </w:rPr>
            </w:pPr>
            <w:r w:rsidRPr="00D15DEE">
              <w:rPr>
                <w:b/>
                <w:bCs/>
                <w:color w:val="000000"/>
                <w:szCs w:val="20"/>
              </w:rPr>
              <w:t>Estimated extent of use</w:t>
            </w:r>
          </w:p>
        </w:tc>
      </w:tr>
      <w:tr w:rsidR="000152E5" w:rsidRPr="00D15DEE" w:rsidTr="00DC1274">
        <w:tc>
          <w:tcPr>
            <w:tcW w:w="1099" w:type="pct"/>
            <w:shd w:val="clear" w:color="auto" w:fill="auto"/>
            <w:vAlign w:val="center"/>
          </w:tcPr>
          <w:p w:rsidR="000152E5" w:rsidRPr="00D15DEE" w:rsidRDefault="000152E5" w:rsidP="0076527F">
            <w:pPr>
              <w:pStyle w:val="TableText"/>
              <w:rPr>
                <w:rFonts w:eastAsia="Times New Roman" w:cs="Times New Roman"/>
                <w:szCs w:val="20"/>
              </w:rPr>
            </w:pPr>
            <w:r w:rsidRPr="00D15DEE">
              <w:rPr>
                <w:szCs w:val="20"/>
              </w:rPr>
              <w:t xml:space="preserve">Number of </w:t>
            </w:r>
            <w:r w:rsidR="002F6B53" w:rsidRPr="00D15DEE">
              <w:rPr>
                <w:szCs w:val="20"/>
              </w:rPr>
              <w:t xml:space="preserve">eligible </w:t>
            </w:r>
            <w:r w:rsidRPr="00D15DEE">
              <w:rPr>
                <w:szCs w:val="20"/>
              </w:rPr>
              <w:t>patients</w:t>
            </w:r>
            <w:r w:rsidR="002F6B53" w:rsidRPr="00D15DEE">
              <w:rPr>
                <w:szCs w:val="20"/>
                <w:vertAlign w:val="superscript"/>
              </w:rPr>
              <w:t>a</w:t>
            </w:r>
          </w:p>
        </w:tc>
        <w:tc>
          <w:tcPr>
            <w:tcW w:w="628" w:type="pct"/>
            <w:shd w:val="clear" w:color="auto" w:fill="auto"/>
            <w:vAlign w:val="center"/>
          </w:tcPr>
          <w:p w:rsidR="000152E5" w:rsidRPr="00C80DBB" w:rsidRDefault="00C80DBB" w:rsidP="0076527F">
            <w:pPr>
              <w:pStyle w:val="TableText"/>
              <w:rPr>
                <w:bCs/>
                <w:color w:val="000000"/>
                <w:szCs w:val="20"/>
                <w:highlight w:val="black"/>
              </w:rPr>
            </w:pPr>
            <w:r>
              <w:rPr>
                <w:noProof/>
                <w:color w:val="000000"/>
                <w:szCs w:val="20"/>
                <w:highlight w:val="black"/>
              </w:rPr>
              <w:t>''''''''''''''''''</w:t>
            </w:r>
          </w:p>
        </w:tc>
        <w:tc>
          <w:tcPr>
            <w:tcW w:w="655" w:type="pct"/>
            <w:shd w:val="clear" w:color="auto" w:fill="auto"/>
            <w:vAlign w:val="center"/>
          </w:tcPr>
          <w:p w:rsidR="000152E5" w:rsidRPr="00C80DBB" w:rsidRDefault="00C80DBB" w:rsidP="0076527F">
            <w:pPr>
              <w:pStyle w:val="TableText"/>
              <w:rPr>
                <w:bCs/>
                <w:color w:val="000000"/>
                <w:szCs w:val="20"/>
                <w:highlight w:val="black"/>
              </w:rPr>
            </w:pPr>
            <w:r>
              <w:rPr>
                <w:noProof/>
                <w:color w:val="000000"/>
                <w:szCs w:val="20"/>
                <w:highlight w:val="black"/>
              </w:rPr>
              <w:t>'''''''''''''''''''''</w:t>
            </w:r>
          </w:p>
        </w:tc>
        <w:tc>
          <w:tcPr>
            <w:tcW w:w="655" w:type="pct"/>
            <w:shd w:val="clear" w:color="auto" w:fill="auto"/>
            <w:vAlign w:val="center"/>
          </w:tcPr>
          <w:p w:rsidR="000152E5" w:rsidRPr="00C80DBB" w:rsidRDefault="00C80DBB" w:rsidP="0076527F">
            <w:pPr>
              <w:pStyle w:val="TableText"/>
              <w:rPr>
                <w:bCs/>
                <w:color w:val="000000"/>
                <w:szCs w:val="20"/>
                <w:highlight w:val="black"/>
              </w:rPr>
            </w:pPr>
            <w:r>
              <w:rPr>
                <w:noProof/>
                <w:color w:val="000000"/>
                <w:szCs w:val="20"/>
                <w:highlight w:val="black"/>
              </w:rPr>
              <w:t>'''''''''''''''''</w:t>
            </w:r>
          </w:p>
        </w:tc>
        <w:tc>
          <w:tcPr>
            <w:tcW w:w="655" w:type="pct"/>
            <w:shd w:val="clear" w:color="auto" w:fill="auto"/>
            <w:vAlign w:val="center"/>
          </w:tcPr>
          <w:p w:rsidR="000152E5" w:rsidRPr="00C80DBB" w:rsidRDefault="00C80DBB" w:rsidP="0076527F">
            <w:pPr>
              <w:pStyle w:val="TableText"/>
              <w:rPr>
                <w:bCs/>
                <w:color w:val="000000"/>
                <w:szCs w:val="20"/>
                <w:highlight w:val="black"/>
              </w:rPr>
            </w:pPr>
            <w:r>
              <w:rPr>
                <w:noProof/>
                <w:color w:val="000000"/>
                <w:szCs w:val="20"/>
                <w:highlight w:val="black"/>
              </w:rPr>
              <w:t>''''''''''''''''''''</w:t>
            </w:r>
          </w:p>
        </w:tc>
        <w:tc>
          <w:tcPr>
            <w:tcW w:w="655" w:type="pct"/>
            <w:shd w:val="clear" w:color="auto" w:fill="auto"/>
            <w:vAlign w:val="center"/>
          </w:tcPr>
          <w:p w:rsidR="000152E5" w:rsidRPr="00C80DBB" w:rsidRDefault="00C80DBB" w:rsidP="0076527F">
            <w:pPr>
              <w:pStyle w:val="TableText"/>
              <w:rPr>
                <w:bCs/>
                <w:color w:val="000000"/>
                <w:szCs w:val="20"/>
                <w:highlight w:val="black"/>
              </w:rPr>
            </w:pPr>
            <w:r>
              <w:rPr>
                <w:noProof/>
                <w:color w:val="000000"/>
                <w:szCs w:val="20"/>
                <w:highlight w:val="black"/>
              </w:rPr>
              <w:t>'''''''''''''''''''</w:t>
            </w:r>
          </w:p>
        </w:tc>
        <w:tc>
          <w:tcPr>
            <w:tcW w:w="653" w:type="pct"/>
            <w:vAlign w:val="center"/>
          </w:tcPr>
          <w:p w:rsidR="000152E5" w:rsidRPr="00C80DBB" w:rsidRDefault="00C80DBB" w:rsidP="0076527F">
            <w:pPr>
              <w:pStyle w:val="TableText"/>
              <w:rPr>
                <w:bCs/>
                <w:color w:val="000000"/>
                <w:szCs w:val="20"/>
                <w:highlight w:val="black"/>
              </w:rPr>
            </w:pPr>
            <w:r>
              <w:rPr>
                <w:noProof/>
                <w:color w:val="000000"/>
                <w:szCs w:val="20"/>
                <w:highlight w:val="black"/>
              </w:rPr>
              <w:t>'''''''''''''''''''</w:t>
            </w:r>
          </w:p>
        </w:tc>
      </w:tr>
      <w:tr w:rsidR="007262D5" w:rsidRPr="00D15DEE" w:rsidTr="00A86388">
        <w:tc>
          <w:tcPr>
            <w:tcW w:w="1099" w:type="pct"/>
            <w:shd w:val="clear" w:color="auto" w:fill="auto"/>
            <w:vAlign w:val="center"/>
          </w:tcPr>
          <w:p w:rsidR="002F6B53" w:rsidRPr="00D15DEE" w:rsidRDefault="002F6B53" w:rsidP="0076527F">
            <w:pPr>
              <w:pStyle w:val="TableText"/>
              <w:rPr>
                <w:szCs w:val="20"/>
              </w:rPr>
            </w:pPr>
            <w:r w:rsidRPr="00D15DEE">
              <w:rPr>
                <w:szCs w:val="20"/>
              </w:rPr>
              <w:t>Number of patients treated</w:t>
            </w:r>
            <w:r w:rsidRPr="00D15DEE">
              <w:rPr>
                <w:szCs w:val="20"/>
                <w:vertAlign w:val="superscript"/>
              </w:rPr>
              <w:t xml:space="preserve"> a</w:t>
            </w:r>
          </w:p>
        </w:tc>
        <w:tc>
          <w:tcPr>
            <w:tcW w:w="628" w:type="pct"/>
            <w:tcBorders>
              <w:top w:val="single" w:sz="4" w:space="0" w:color="auto"/>
              <w:left w:val="nil"/>
              <w:bottom w:val="single" w:sz="4" w:space="0" w:color="auto"/>
              <w:right w:val="single" w:sz="4" w:space="0" w:color="auto"/>
            </w:tcBorders>
            <w:shd w:val="clear" w:color="auto" w:fill="auto"/>
            <w:vAlign w:val="center"/>
          </w:tcPr>
          <w:p w:rsidR="002F6B53" w:rsidRPr="00C80DBB" w:rsidRDefault="00C80DBB" w:rsidP="0076527F">
            <w:pPr>
              <w:pStyle w:val="TableText"/>
              <w:rPr>
                <w:highlight w:val="black"/>
              </w:rPr>
            </w:pPr>
            <w:r>
              <w:rPr>
                <w:noProof/>
                <w:color w:val="000000"/>
                <w:highlight w:val="black"/>
              </w:rPr>
              <w:t xml:space="preserve">''''''''''''' </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rsidR="002F6B53" w:rsidRPr="00C80DBB" w:rsidRDefault="00C80DBB" w:rsidP="0076527F">
            <w:pPr>
              <w:pStyle w:val="TableText"/>
              <w:rPr>
                <w:highlight w:val="black"/>
              </w:rPr>
            </w:pPr>
            <w:r>
              <w:rPr>
                <w:noProof/>
                <w:color w:val="000000"/>
                <w:highlight w:val="black"/>
              </w:rPr>
              <w:t xml:space="preserve">'''''''''''''''''' </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rsidR="002F6B53" w:rsidRPr="00C80DBB" w:rsidRDefault="00C80DBB" w:rsidP="0076527F">
            <w:pPr>
              <w:pStyle w:val="TableText"/>
              <w:rPr>
                <w:highlight w:val="black"/>
              </w:rPr>
            </w:pPr>
            <w:r>
              <w:rPr>
                <w:noProof/>
                <w:color w:val="000000"/>
                <w:highlight w:val="black"/>
              </w:rPr>
              <w:t xml:space="preserve">'''''''''''''''' </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rsidR="002F6B53" w:rsidRPr="00C80DBB" w:rsidRDefault="00C80DBB" w:rsidP="0076527F">
            <w:pPr>
              <w:pStyle w:val="TableText"/>
              <w:rPr>
                <w:highlight w:val="black"/>
              </w:rPr>
            </w:pPr>
            <w:r>
              <w:rPr>
                <w:noProof/>
                <w:color w:val="000000"/>
                <w:highlight w:val="black"/>
              </w:rPr>
              <w:t xml:space="preserve">''''''''''''''''' </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rsidR="002F6B53" w:rsidRPr="00C80DBB" w:rsidRDefault="00C80DBB" w:rsidP="0076527F">
            <w:pPr>
              <w:pStyle w:val="TableText"/>
              <w:rPr>
                <w:highlight w:val="black"/>
              </w:rPr>
            </w:pPr>
            <w:r>
              <w:rPr>
                <w:noProof/>
                <w:color w:val="000000"/>
                <w:highlight w:val="black"/>
              </w:rPr>
              <w:t xml:space="preserve">'''''''''''''''' </w:t>
            </w:r>
          </w:p>
        </w:tc>
        <w:tc>
          <w:tcPr>
            <w:tcW w:w="653" w:type="pct"/>
            <w:tcBorders>
              <w:top w:val="single" w:sz="4" w:space="0" w:color="auto"/>
              <w:left w:val="single" w:sz="4" w:space="0" w:color="auto"/>
              <w:bottom w:val="single" w:sz="4" w:space="0" w:color="auto"/>
              <w:right w:val="single" w:sz="4" w:space="0" w:color="auto"/>
            </w:tcBorders>
            <w:shd w:val="clear" w:color="auto" w:fill="auto"/>
            <w:vAlign w:val="center"/>
          </w:tcPr>
          <w:p w:rsidR="002F6B53" w:rsidRPr="00C80DBB" w:rsidRDefault="00C80DBB" w:rsidP="0076527F">
            <w:pPr>
              <w:pStyle w:val="TableText"/>
              <w:rPr>
                <w:highlight w:val="black"/>
              </w:rPr>
            </w:pPr>
            <w:r>
              <w:rPr>
                <w:noProof/>
                <w:color w:val="000000"/>
                <w:highlight w:val="black"/>
              </w:rPr>
              <w:t xml:space="preserve">''''''''''''''' </w:t>
            </w:r>
          </w:p>
        </w:tc>
      </w:tr>
      <w:tr w:rsidR="002F6B53" w:rsidRPr="00D15DEE" w:rsidTr="00DC1274">
        <w:tc>
          <w:tcPr>
            <w:tcW w:w="1099" w:type="pct"/>
            <w:shd w:val="clear" w:color="auto" w:fill="auto"/>
            <w:vAlign w:val="center"/>
          </w:tcPr>
          <w:p w:rsidR="002F6B53" w:rsidRPr="00D15DEE" w:rsidRDefault="002F6B53" w:rsidP="0076527F">
            <w:pPr>
              <w:pStyle w:val="TableText"/>
              <w:rPr>
                <w:rFonts w:eastAsia="Times New Roman" w:cs="Times New Roman"/>
                <w:szCs w:val="20"/>
              </w:rPr>
            </w:pPr>
            <w:r w:rsidRPr="00D15DEE">
              <w:rPr>
                <w:szCs w:val="20"/>
              </w:rPr>
              <w:t>Number of scripts dispensed</w:t>
            </w:r>
          </w:p>
        </w:tc>
        <w:tc>
          <w:tcPr>
            <w:tcW w:w="628" w:type="pct"/>
            <w:tcBorders>
              <w:top w:val="single" w:sz="4" w:space="0" w:color="auto"/>
            </w:tcBorders>
            <w:shd w:val="clear" w:color="auto" w:fill="auto"/>
            <w:vAlign w:val="center"/>
          </w:tcPr>
          <w:p w:rsidR="002F6B53" w:rsidRPr="00C80DBB" w:rsidRDefault="00C80DBB" w:rsidP="0076527F">
            <w:pPr>
              <w:pStyle w:val="TableText"/>
              <w:rPr>
                <w:bCs/>
                <w:color w:val="000000"/>
                <w:szCs w:val="20"/>
                <w:highlight w:val="black"/>
              </w:rPr>
            </w:pPr>
            <w:r>
              <w:rPr>
                <w:noProof/>
                <w:color w:val="000000"/>
                <w:szCs w:val="20"/>
                <w:highlight w:val="black"/>
              </w:rPr>
              <w:t>'''''''''''''''''</w:t>
            </w:r>
          </w:p>
        </w:tc>
        <w:tc>
          <w:tcPr>
            <w:tcW w:w="655" w:type="pct"/>
            <w:tcBorders>
              <w:top w:val="single" w:sz="4" w:space="0" w:color="auto"/>
            </w:tcBorders>
            <w:shd w:val="clear" w:color="auto" w:fill="auto"/>
            <w:vAlign w:val="center"/>
          </w:tcPr>
          <w:p w:rsidR="002F6B53" w:rsidRPr="00C80DBB" w:rsidRDefault="00C80DBB" w:rsidP="0076527F">
            <w:pPr>
              <w:pStyle w:val="TableText"/>
              <w:rPr>
                <w:bCs/>
                <w:color w:val="000000"/>
                <w:szCs w:val="20"/>
                <w:highlight w:val="black"/>
              </w:rPr>
            </w:pPr>
            <w:r>
              <w:rPr>
                <w:noProof/>
                <w:color w:val="000000"/>
                <w:szCs w:val="20"/>
                <w:highlight w:val="black"/>
              </w:rPr>
              <w:t>'''''''''''''''</w:t>
            </w:r>
          </w:p>
        </w:tc>
        <w:tc>
          <w:tcPr>
            <w:tcW w:w="655" w:type="pct"/>
            <w:tcBorders>
              <w:top w:val="single" w:sz="4" w:space="0" w:color="auto"/>
            </w:tcBorders>
            <w:shd w:val="clear" w:color="auto" w:fill="auto"/>
            <w:vAlign w:val="center"/>
          </w:tcPr>
          <w:p w:rsidR="002F6B53" w:rsidRPr="00C80DBB" w:rsidRDefault="00C80DBB" w:rsidP="0076527F">
            <w:pPr>
              <w:pStyle w:val="TableText"/>
              <w:rPr>
                <w:bCs/>
                <w:color w:val="000000"/>
                <w:szCs w:val="20"/>
                <w:highlight w:val="black"/>
              </w:rPr>
            </w:pPr>
            <w:r>
              <w:rPr>
                <w:noProof/>
                <w:color w:val="000000"/>
                <w:szCs w:val="20"/>
                <w:highlight w:val="black"/>
              </w:rPr>
              <w:t>'''''''''''''''''</w:t>
            </w:r>
          </w:p>
        </w:tc>
        <w:tc>
          <w:tcPr>
            <w:tcW w:w="655" w:type="pct"/>
            <w:tcBorders>
              <w:top w:val="single" w:sz="4" w:space="0" w:color="auto"/>
            </w:tcBorders>
            <w:shd w:val="clear" w:color="auto" w:fill="auto"/>
            <w:vAlign w:val="center"/>
          </w:tcPr>
          <w:p w:rsidR="002F6B53" w:rsidRPr="00C80DBB" w:rsidRDefault="00C80DBB" w:rsidP="0076527F">
            <w:pPr>
              <w:pStyle w:val="TableText"/>
              <w:rPr>
                <w:bCs/>
                <w:color w:val="000000"/>
                <w:szCs w:val="20"/>
                <w:highlight w:val="black"/>
              </w:rPr>
            </w:pPr>
            <w:r>
              <w:rPr>
                <w:noProof/>
                <w:color w:val="000000"/>
                <w:szCs w:val="20"/>
                <w:highlight w:val="black"/>
              </w:rPr>
              <w:t>'''''''''''''''''''''</w:t>
            </w:r>
          </w:p>
        </w:tc>
        <w:tc>
          <w:tcPr>
            <w:tcW w:w="655" w:type="pct"/>
            <w:tcBorders>
              <w:top w:val="single" w:sz="4" w:space="0" w:color="auto"/>
            </w:tcBorders>
            <w:shd w:val="clear" w:color="auto" w:fill="auto"/>
            <w:vAlign w:val="center"/>
          </w:tcPr>
          <w:p w:rsidR="002F6B53" w:rsidRPr="00C80DBB" w:rsidRDefault="00C80DBB" w:rsidP="0076527F">
            <w:pPr>
              <w:pStyle w:val="TableText"/>
              <w:rPr>
                <w:bCs/>
                <w:color w:val="000000"/>
                <w:szCs w:val="20"/>
                <w:highlight w:val="black"/>
              </w:rPr>
            </w:pPr>
            <w:r>
              <w:rPr>
                <w:noProof/>
                <w:color w:val="000000"/>
                <w:szCs w:val="20"/>
                <w:highlight w:val="black"/>
              </w:rPr>
              <w:t>''''''''''''''''''</w:t>
            </w:r>
          </w:p>
        </w:tc>
        <w:tc>
          <w:tcPr>
            <w:tcW w:w="653" w:type="pct"/>
            <w:tcBorders>
              <w:top w:val="single" w:sz="4" w:space="0" w:color="auto"/>
            </w:tcBorders>
            <w:vAlign w:val="center"/>
          </w:tcPr>
          <w:p w:rsidR="002F6B53" w:rsidRPr="00C80DBB" w:rsidRDefault="00C80DBB" w:rsidP="0076527F">
            <w:pPr>
              <w:pStyle w:val="TableText"/>
              <w:rPr>
                <w:bCs/>
                <w:color w:val="000000"/>
                <w:szCs w:val="20"/>
                <w:highlight w:val="black"/>
              </w:rPr>
            </w:pPr>
            <w:r>
              <w:rPr>
                <w:noProof/>
                <w:color w:val="000000"/>
                <w:szCs w:val="20"/>
                <w:highlight w:val="black"/>
              </w:rPr>
              <w:t>''''''''''''''''''</w:t>
            </w:r>
          </w:p>
        </w:tc>
      </w:tr>
      <w:tr w:rsidR="002F6B53" w:rsidRPr="00D15DEE" w:rsidTr="00E37424">
        <w:tc>
          <w:tcPr>
            <w:tcW w:w="5000" w:type="pct"/>
            <w:gridSpan w:val="7"/>
            <w:shd w:val="clear" w:color="auto" w:fill="auto"/>
            <w:vAlign w:val="center"/>
          </w:tcPr>
          <w:p w:rsidR="002F6B53" w:rsidRPr="00D15DEE" w:rsidRDefault="002F6B53" w:rsidP="0076527F">
            <w:pPr>
              <w:pStyle w:val="TableText"/>
              <w:rPr>
                <w:b/>
                <w:bCs/>
                <w:color w:val="000000"/>
                <w:szCs w:val="20"/>
              </w:rPr>
            </w:pPr>
            <w:r w:rsidRPr="00D15DEE">
              <w:rPr>
                <w:b/>
                <w:bCs/>
                <w:color w:val="000000"/>
                <w:szCs w:val="20"/>
              </w:rPr>
              <w:t>Estimated financial implications of IDegAsp</w:t>
            </w:r>
          </w:p>
        </w:tc>
      </w:tr>
      <w:tr w:rsidR="002F6B53" w:rsidRPr="00D15DEE" w:rsidTr="00DC1274">
        <w:tc>
          <w:tcPr>
            <w:tcW w:w="1099" w:type="pct"/>
            <w:shd w:val="clear" w:color="auto" w:fill="auto"/>
            <w:vAlign w:val="center"/>
          </w:tcPr>
          <w:p w:rsidR="002F6B53" w:rsidRPr="00D15DEE" w:rsidRDefault="002F6B53" w:rsidP="0076527F">
            <w:pPr>
              <w:pStyle w:val="TableText"/>
              <w:rPr>
                <w:rFonts w:eastAsia="Times New Roman" w:cs="Times New Roman"/>
                <w:szCs w:val="20"/>
              </w:rPr>
            </w:pPr>
            <w:r w:rsidRPr="00D15DEE">
              <w:rPr>
                <w:szCs w:val="20"/>
              </w:rPr>
              <w:t>Cost to PBS/RPBS</w:t>
            </w:r>
          </w:p>
        </w:tc>
        <w:tc>
          <w:tcPr>
            <w:tcW w:w="628" w:type="pct"/>
            <w:shd w:val="clear" w:color="auto" w:fill="auto"/>
            <w:vAlign w:val="center"/>
          </w:tcPr>
          <w:p w:rsidR="002F6B53" w:rsidRPr="00C80DBB" w:rsidRDefault="00C80DBB" w:rsidP="0076527F">
            <w:pPr>
              <w:pStyle w:val="TableText"/>
              <w:rPr>
                <w:bCs/>
                <w:color w:val="000000"/>
                <w:szCs w:val="20"/>
                <w:highlight w:val="black"/>
              </w:rPr>
            </w:pPr>
            <w:r>
              <w:rPr>
                <w:noProof/>
                <w:color w:val="000000"/>
                <w:szCs w:val="20"/>
                <w:highlight w:val="black"/>
              </w:rPr>
              <w:t>'''''''''''''''''''''''''''''</w:t>
            </w:r>
          </w:p>
        </w:tc>
        <w:tc>
          <w:tcPr>
            <w:tcW w:w="655" w:type="pct"/>
            <w:shd w:val="clear" w:color="auto" w:fill="auto"/>
            <w:vAlign w:val="center"/>
          </w:tcPr>
          <w:p w:rsidR="002F6B53" w:rsidRPr="00C80DBB" w:rsidRDefault="00C80DBB" w:rsidP="0076527F">
            <w:pPr>
              <w:pStyle w:val="TableText"/>
              <w:rPr>
                <w:bCs/>
                <w:color w:val="000000"/>
                <w:szCs w:val="20"/>
                <w:highlight w:val="black"/>
              </w:rPr>
            </w:pPr>
            <w:r>
              <w:rPr>
                <w:noProof/>
                <w:color w:val="000000"/>
                <w:szCs w:val="20"/>
                <w:highlight w:val="black"/>
              </w:rPr>
              <w:t>'''''''''''''''''''''''''''</w:t>
            </w:r>
          </w:p>
        </w:tc>
        <w:tc>
          <w:tcPr>
            <w:tcW w:w="655" w:type="pct"/>
            <w:shd w:val="clear" w:color="auto" w:fill="auto"/>
            <w:vAlign w:val="center"/>
          </w:tcPr>
          <w:p w:rsidR="002F6B53" w:rsidRPr="00C80DBB" w:rsidRDefault="00C80DBB" w:rsidP="0076527F">
            <w:pPr>
              <w:pStyle w:val="TableText"/>
              <w:rPr>
                <w:bCs/>
                <w:color w:val="000000"/>
                <w:szCs w:val="20"/>
                <w:highlight w:val="black"/>
              </w:rPr>
            </w:pPr>
            <w:r>
              <w:rPr>
                <w:noProof/>
                <w:color w:val="000000"/>
                <w:szCs w:val="20"/>
                <w:highlight w:val="black"/>
              </w:rPr>
              <w:t>'''''''''''''''''''''''''''''''</w:t>
            </w:r>
          </w:p>
        </w:tc>
        <w:tc>
          <w:tcPr>
            <w:tcW w:w="655" w:type="pct"/>
            <w:shd w:val="clear" w:color="auto" w:fill="auto"/>
            <w:vAlign w:val="center"/>
          </w:tcPr>
          <w:p w:rsidR="002F6B53" w:rsidRPr="00C80DBB" w:rsidRDefault="00C80DBB" w:rsidP="0076527F">
            <w:pPr>
              <w:pStyle w:val="TableText"/>
              <w:rPr>
                <w:bCs/>
                <w:color w:val="000000"/>
                <w:szCs w:val="20"/>
                <w:highlight w:val="black"/>
              </w:rPr>
            </w:pPr>
            <w:r>
              <w:rPr>
                <w:noProof/>
                <w:color w:val="000000"/>
                <w:szCs w:val="20"/>
                <w:highlight w:val="black"/>
              </w:rPr>
              <w:t>'''''''''''''''''''''''''''''</w:t>
            </w:r>
          </w:p>
        </w:tc>
        <w:tc>
          <w:tcPr>
            <w:tcW w:w="655" w:type="pct"/>
            <w:shd w:val="clear" w:color="auto" w:fill="auto"/>
            <w:vAlign w:val="center"/>
          </w:tcPr>
          <w:p w:rsidR="002F6B53" w:rsidRPr="00C80DBB" w:rsidRDefault="00C80DBB" w:rsidP="0076527F">
            <w:pPr>
              <w:pStyle w:val="TableText"/>
              <w:rPr>
                <w:bCs/>
                <w:color w:val="000000"/>
                <w:szCs w:val="20"/>
                <w:highlight w:val="black"/>
              </w:rPr>
            </w:pPr>
            <w:r>
              <w:rPr>
                <w:noProof/>
                <w:color w:val="000000"/>
                <w:szCs w:val="20"/>
                <w:highlight w:val="black"/>
              </w:rPr>
              <w:t>''''''''''''''''''''''''''''</w:t>
            </w:r>
          </w:p>
        </w:tc>
        <w:tc>
          <w:tcPr>
            <w:tcW w:w="653" w:type="pct"/>
            <w:vAlign w:val="center"/>
          </w:tcPr>
          <w:p w:rsidR="002F6B53" w:rsidRPr="00C80DBB" w:rsidRDefault="00C80DBB" w:rsidP="0076527F">
            <w:pPr>
              <w:pStyle w:val="TableText"/>
              <w:rPr>
                <w:bCs/>
                <w:color w:val="000000"/>
                <w:szCs w:val="20"/>
                <w:highlight w:val="black"/>
              </w:rPr>
            </w:pPr>
            <w:r>
              <w:rPr>
                <w:noProof/>
                <w:color w:val="000000"/>
                <w:szCs w:val="20"/>
                <w:highlight w:val="black"/>
              </w:rPr>
              <w:t>'''''''''''''''''''''''''''''</w:t>
            </w:r>
          </w:p>
        </w:tc>
      </w:tr>
      <w:tr w:rsidR="002F6B53" w:rsidRPr="00D15DEE" w:rsidTr="00DC1274">
        <w:tc>
          <w:tcPr>
            <w:tcW w:w="1099" w:type="pct"/>
            <w:shd w:val="clear" w:color="auto" w:fill="auto"/>
            <w:vAlign w:val="center"/>
          </w:tcPr>
          <w:p w:rsidR="002F6B53" w:rsidRPr="00D15DEE" w:rsidRDefault="002F6B53" w:rsidP="0076527F">
            <w:pPr>
              <w:pStyle w:val="TableText"/>
              <w:rPr>
                <w:szCs w:val="20"/>
              </w:rPr>
            </w:pPr>
            <w:r w:rsidRPr="00D15DEE">
              <w:rPr>
                <w:szCs w:val="20"/>
              </w:rPr>
              <w:t>Co</w:t>
            </w:r>
            <w:r w:rsidR="0076527F" w:rsidRPr="00D15DEE">
              <w:rPr>
                <w:szCs w:val="20"/>
              </w:rPr>
              <w:t>-</w:t>
            </w:r>
            <w:r w:rsidRPr="00D15DEE">
              <w:rPr>
                <w:szCs w:val="20"/>
              </w:rPr>
              <w:t>payments</w:t>
            </w:r>
          </w:p>
        </w:tc>
        <w:tc>
          <w:tcPr>
            <w:tcW w:w="628" w:type="pct"/>
            <w:shd w:val="clear" w:color="auto" w:fill="auto"/>
            <w:vAlign w:val="center"/>
          </w:tcPr>
          <w:p w:rsidR="002F6B53" w:rsidRPr="00C80DBB" w:rsidRDefault="00C80DBB" w:rsidP="0076527F">
            <w:pPr>
              <w:pStyle w:val="TableText"/>
              <w:rPr>
                <w:bCs/>
                <w:color w:val="000000"/>
                <w:szCs w:val="20"/>
                <w:highlight w:val="black"/>
              </w:rPr>
            </w:pPr>
            <w:r>
              <w:rPr>
                <w:noProof/>
                <w:color w:val="000000"/>
                <w:szCs w:val="20"/>
                <w:highlight w:val="black"/>
              </w:rPr>
              <w:t>''''''''''''''''''''''''</w:t>
            </w:r>
          </w:p>
        </w:tc>
        <w:tc>
          <w:tcPr>
            <w:tcW w:w="655" w:type="pct"/>
            <w:shd w:val="clear" w:color="auto" w:fill="auto"/>
            <w:vAlign w:val="center"/>
          </w:tcPr>
          <w:p w:rsidR="002F6B53" w:rsidRPr="00C80DBB" w:rsidRDefault="00C80DBB" w:rsidP="0076527F">
            <w:pPr>
              <w:pStyle w:val="TableText"/>
              <w:rPr>
                <w:bCs/>
                <w:color w:val="000000"/>
                <w:szCs w:val="20"/>
                <w:highlight w:val="black"/>
              </w:rPr>
            </w:pPr>
            <w:r>
              <w:rPr>
                <w:noProof/>
                <w:color w:val="000000"/>
                <w:szCs w:val="20"/>
                <w:highlight w:val="black"/>
              </w:rPr>
              <w:t>'''''''''''''''''''''''</w:t>
            </w:r>
          </w:p>
        </w:tc>
        <w:tc>
          <w:tcPr>
            <w:tcW w:w="655" w:type="pct"/>
            <w:shd w:val="clear" w:color="auto" w:fill="auto"/>
            <w:vAlign w:val="center"/>
          </w:tcPr>
          <w:p w:rsidR="002F6B53" w:rsidRPr="00C80DBB" w:rsidRDefault="00C80DBB" w:rsidP="0076527F">
            <w:pPr>
              <w:pStyle w:val="TableText"/>
              <w:rPr>
                <w:bCs/>
                <w:color w:val="000000"/>
                <w:szCs w:val="20"/>
                <w:highlight w:val="black"/>
              </w:rPr>
            </w:pPr>
            <w:r>
              <w:rPr>
                <w:noProof/>
                <w:color w:val="000000"/>
                <w:szCs w:val="20"/>
                <w:highlight w:val="black"/>
              </w:rPr>
              <w:t>''''''''''''''''''''''''''''</w:t>
            </w:r>
          </w:p>
        </w:tc>
        <w:tc>
          <w:tcPr>
            <w:tcW w:w="655" w:type="pct"/>
            <w:shd w:val="clear" w:color="auto" w:fill="auto"/>
            <w:vAlign w:val="center"/>
          </w:tcPr>
          <w:p w:rsidR="002F6B53" w:rsidRPr="00C80DBB" w:rsidRDefault="00C80DBB" w:rsidP="0076527F">
            <w:pPr>
              <w:pStyle w:val="TableText"/>
              <w:rPr>
                <w:bCs/>
                <w:color w:val="000000"/>
                <w:szCs w:val="20"/>
                <w:highlight w:val="black"/>
              </w:rPr>
            </w:pPr>
            <w:r>
              <w:rPr>
                <w:noProof/>
                <w:color w:val="000000"/>
                <w:szCs w:val="20"/>
                <w:highlight w:val="black"/>
              </w:rPr>
              <w:t>'''''''''''''''''''''''''''</w:t>
            </w:r>
          </w:p>
        </w:tc>
        <w:tc>
          <w:tcPr>
            <w:tcW w:w="655" w:type="pct"/>
            <w:shd w:val="clear" w:color="auto" w:fill="auto"/>
            <w:vAlign w:val="center"/>
          </w:tcPr>
          <w:p w:rsidR="002F6B53" w:rsidRPr="00C80DBB" w:rsidRDefault="00C80DBB" w:rsidP="0076527F">
            <w:pPr>
              <w:pStyle w:val="TableText"/>
              <w:rPr>
                <w:bCs/>
                <w:color w:val="000000"/>
                <w:szCs w:val="20"/>
                <w:highlight w:val="black"/>
              </w:rPr>
            </w:pPr>
            <w:r>
              <w:rPr>
                <w:noProof/>
                <w:color w:val="000000"/>
                <w:szCs w:val="20"/>
                <w:highlight w:val="black"/>
              </w:rPr>
              <w:t>'''''''''''''''''''''''''</w:t>
            </w:r>
          </w:p>
        </w:tc>
        <w:tc>
          <w:tcPr>
            <w:tcW w:w="653" w:type="pct"/>
            <w:vAlign w:val="center"/>
          </w:tcPr>
          <w:p w:rsidR="002F6B53" w:rsidRPr="00C80DBB" w:rsidRDefault="00C80DBB" w:rsidP="0076527F">
            <w:pPr>
              <w:pStyle w:val="TableText"/>
              <w:rPr>
                <w:bCs/>
                <w:color w:val="000000"/>
                <w:szCs w:val="20"/>
                <w:highlight w:val="black"/>
              </w:rPr>
            </w:pPr>
            <w:r>
              <w:rPr>
                <w:noProof/>
                <w:color w:val="000000"/>
                <w:szCs w:val="20"/>
                <w:highlight w:val="black"/>
              </w:rPr>
              <w:t>'''''''''''''''''''''''''''''</w:t>
            </w:r>
          </w:p>
        </w:tc>
      </w:tr>
      <w:tr w:rsidR="002F6B53" w:rsidRPr="00D15DEE" w:rsidTr="00DC1274">
        <w:tc>
          <w:tcPr>
            <w:tcW w:w="1099" w:type="pct"/>
            <w:shd w:val="clear" w:color="auto" w:fill="auto"/>
            <w:vAlign w:val="center"/>
          </w:tcPr>
          <w:p w:rsidR="002F6B53" w:rsidRPr="00D15DEE" w:rsidRDefault="002F6B53" w:rsidP="0076527F">
            <w:pPr>
              <w:pStyle w:val="TableText"/>
              <w:rPr>
                <w:szCs w:val="20"/>
              </w:rPr>
            </w:pPr>
            <w:r w:rsidRPr="00D15DEE">
              <w:rPr>
                <w:szCs w:val="20"/>
              </w:rPr>
              <w:t>Cost to PBS/RPBS less co</w:t>
            </w:r>
            <w:r w:rsidR="0076527F" w:rsidRPr="00D15DEE">
              <w:rPr>
                <w:szCs w:val="20"/>
              </w:rPr>
              <w:t>-</w:t>
            </w:r>
            <w:r w:rsidRPr="00D15DEE">
              <w:rPr>
                <w:szCs w:val="20"/>
              </w:rPr>
              <w:t>payments</w:t>
            </w:r>
          </w:p>
        </w:tc>
        <w:tc>
          <w:tcPr>
            <w:tcW w:w="628" w:type="pct"/>
            <w:shd w:val="clear" w:color="auto" w:fill="auto"/>
            <w:vAlign w:val="center"/>
          </w:tcPr>
          <w:p w:rsidR="002F6B53" w:rsidRPr="00C80DBB" w:rsidRDefault="00C80DBB" w:rsidP="0076527F">
            <w:pPr>
              <w:pStyle w:val="TableText"/>
              <w:rPr>
                <w:bCs/>
                <w:color w:val="000000"/>
                <w:szCs w:val="20"/>
                <w:highlight w:val="black"/>
              </w:rPr>
            </w:pPr>
            <w:r>
              <w:rPr>
                <w:noProof/>
                <w:color w:val="000000"/>
                <w:szCs w:val="20"/>
                <w:highlight w:val="black"/>
              </w:rPr>
              <w:t>'''''''''''''''''''''''''''</w:t>
            </w:r>
          </w:p>
        </w:tc>
        <w:tc>
          <w:tcPr>
            <w:tcW w:w="655" w:type="pct"/>
            <w:shd w:val="clear" w:color="auto" w:fill="auto"/>
            <w:vAlign w:val="center"/>
          </w:tcPr>
          <w:p w:rsidR="002F6B53" w:rsidRPr="00C80DBB" w:rsidRDefault="00C80DBB" w:rsidP="0076527F">
            <w:pPr>
              <w:pStyle w:val="TableText"/>
              <w:rPr>
                <w:bCs/>
                <w:color w:val="000000"/>
                <w:szCs w:val="20"/>
                <w:highlight w:val="black"/>
              </w:rPr>
            </w:pPr>
            <w:r>
              <w:rPr>
                <w:noProof/>
                <w:color w:val="000000"/>
                <w:szCs w:val="20"/>
                <w:highlight w:val="black"/>
              </w:rPr>
              <w:t>''''''''''''''''''''''''''''''''</w:t>
            </w:r>
          </w:p>
        </w:tc>
        <w:tc>
          <w:tcPr>
            <w:tcW w:w="655" w:type="pct"/>
            <w:shd w:val="clear" w:color="auto" w:fill="auto"/>
            <w:vAlign w:val="center"/>
          </w:tcPr>
          <w:p w:rsidR="002F6B53" w:rsidRPr="00C80DBB" w:rsidRDefault="00C80DBB" w:rsidP="0076527F">
            <w:pPr>
              <w:pStyle w:val="TableText"/>
              <w:rPr>
                <w:bCs/>
                <w:color w:val="000000"/>
                <w:szCs w:val="20"/>
                <w:highlight w:val="black"/>
              </w:rPr>
            </w:pPr>
            <w:r>
              <w:rPr>
                <w:noProof/>
                <w:color w:val="000000"/>
                <w:szCs w:val="20"/>
                <w:highlight w:val="black"/>
              </w:rPr>
              <w:t>'''''''''''''''''''''''''''''</w:t>
            </w:r>
          </w:p>
        </w:tc>
        <w:tc>
          <w:tcPr>
            <w:tcW w:w="655" w:type="pct"/>
            <w:shd w:val="clear" w:color="auto" w:fill="auto"/>
            <w:vAlign w:val="center"/>
          </w:tcPr>
          <w:p w:rsidR="002F6B53" w:rsidRPr="00C80DBB" w:rsidRDefault="00C80DBB" w:rsidP="0076527F">
            <w:pPr>
              <w:pStyle w:val="TableText"/>
              <w:rPr>
                <w:bCs/>
                <w:color w:val="000000"/>
                <w:szCs w:val="20"/>
                <w:highlight w:val="black"/>
              </w:rPr>
            </w:pPr>
            <w:r>
              <w:rPr>
                <w:noProof/>
                <w:color w:val="000000"/>
                <w:szCs w:val="20"/>
                <w:highlight w:val="black"/>
              </w:rPr>
              <w:t>'''''''''''''''''''''''''''</w:t>
            </w:r>
          </w:p>
        </w:tc>
        <w:tc>
          <w:tcPr>
            <w:tcW w:w="655" w:type="pct"/>
            <w:shd w:val="clear" w:color="auto" w:fill="auto"/>
            <w:vAlign w:val="center"/>
          </w:tcPr>
          <w:p w:rsidR="002F6B53" w:rsidRPr="00C80DBB" w:rsidRDefault="00C80DBB" w:rsidP="0076527F">
            <w:pPr>
              <w:pStyle w:val="TableText"/>
              <w:rPr>
                <w:bCs/>
                <w:color w:val="000000"/>
                <w:szCs w:val="20"/>
                <w:highlight w:val="black"/>
              </w:rPr>
            </w:pPr>
            <w:r>
              <w:rPr>
                <w:noProof/>
                <w:color w:val="000000"/>
                <w:szCs w:val="20"/>
                <w:highlight w:val="black"/>
              </w:rPr>
              <w:t>''''''''''''''''''''''''''''</w:t>
            </w:r>
          </w:p>
        </w:tc>
        <w:tc>
          <w:tcPr>
            <w:tcW w:w="653" w:type="pct"/>
            <w:vAlign w:val="center"/>
          </w:tcPr>
          <w:p w:rsidR="002F6B53" w:rsidRPr="00C80DBB" w:rsidRDefault="00C80DBB" w:rsidP="0076527F">
            <w:pPr>
              <w:pStyle w:val="TableText"/>
              <w:rPr>
                <w:bCs/>
                <w:color w:val="000000"/>
                <w:szCs w:val="20"/>
                <w:highlight w:val="black"/>
              </w:rPr>
            </w:pPr>
            <w:r>
              <w:rPr>
                <w:noProof/>
                <w:color w:val="000000"/>
                <w:szCs w:val="20"/>
                <w:highlight w:val="black"/>
              </w:rPr>
              <w:t>'''''''''''''''''''''''''''</w:t>
            </w:r>
          </w:p>
        </w:tc>
      </w:tr>
      <w:tr w:rsidR="00A86388" w:rsidRPr="00D15DEE" w:rsidTr="00AF665C">
        <w:tc>
          <w:tcPr>
            <w:tcW w:w="5000" w:type="pct"/>
            <w:gridSpan w:val="7"/>
            <w:shd w:val="clear" w:color="auto" w:fill="auto"/>
            <w:vAlign w:val="center"/>
          </w:tcPr>
          <w:p w:rsidR="00A86388" w:rsidRPr="00D15DEE" w:rsidRDefault="00A86388" w:rsidP="0076527F">
            <w:pPr>
              <w:pStyle w:val="TableText"/>
              <w:rPr>
                <w:b/>
                <w:bCs/>
                <w:color w:val="000000"/>
                <w:szCs w:val="20"/>
              </w:rPr>
            </w:pPr>
            <w:r w:rsidRPr="00D15DEE">
              <w:rPr>
                <w:b/>
                <w:bCs/>
                <w:color w:val="000000"/>
                <w:szCs w:val="20"/>
              </w:rPr>
              <w:t xml:space="preserve">Estimated financial implications for </w:t>
            </w:r>
            <w:r w:rsidR="00E54FAC" w:rsidRPr="00D15DEE">
              <w:rPr>
                <w:b/>
                <w:bCs/>
                <w:color w:val="000000"/>
                <w:szCs w:val="20"/>
              </w:rPr>
              <w:t>comparators</w:t>
            </w:r>
            <w:r w:rsidR="00E7296D" w:rsidRPr="00D15DEE">
              <w:rPr>
                <w:b/>
                <w:bCs/>
                <w:color w:val="000000"/>
                <w:szCs w:val="20"/>
              </w:rPr>
              <w:t>**</w:t>
            </w:r>
          </w:p>
        </w:tc>
      </w:tr>
      <w:tr w:rsidR="007262D5" w:rsidRPr="00D15DEE" w:rsidTr="00DC1274">
        <w:tc>
          <w:tcPr>
            <w:tcW w:w="1099" w:type="pct"/>
            <w:shd w:val="clear" w:color="auto" w:fill="auto"/>
            <w:vAlign w:val="center"/>
          </w:tcPr>
          <w:p w:rsidR="007262D5" w:rsidRPr="00D15DEE" w:rsidRDefault="007262D5" w:rsidP="0076527F">
            <w:pPr>
              <w:pStyle w:val="TableText"/>
              <w:rPr>
                <w:rFonts w:eastAsia="Times New Roman" w:cs="Times New Roman"/>
                <w:szCs w:val="20"/>
              </w:rPr>
            </w:pPr>
            <w:r w:rsidRPr="00D15DEE">
              <w:rPr>
                <w:szCs w:val="20"/>
              </w:rPr>
              <w:t>Cost to PBS/RPBS</w:t>
            </w:r>
          </w:p>
        </w:tc>
        <w:tc>
          <w:tcPr>
            <w:tcW w:w="628" w:type="pct"/>
            <w:tcBorders>
              <w:top w:val="single" w:sz="4" w:space="0" w:color="auto"/>
              <w:left w:val="nil"/>
              <w:bottom w:val="single" w:sz="4" w:space="0" w:color="auto"/>
              <w:right w:val="single" w:sz="4" w:space="0" w:color="auto"/>
            </w:tcBorders>
            <w:shd w:val="clear" w:color="000000" w:fill="FFFFFF"/>
            <w:vAlign w:val="center"/>
          </w:tcPr>
          <w:p w:rsidR="007262D5" w:rsidRPr="00C80DBB" w:rsidRDefault="00C80DBB" w:rsidP="0076527F">
            <w:pPr>
              <w:pStyle w:val="TableText"/>
              <w:rPr>
                <w:bCs/>
                <w:color w:val="000000"/>
                <w:szCs w:val="20"/>
                <w:highlight w:val="black"/>
              </w:rPr>
            </w:pPr>
            <w:r>
              <w:rPr>
                <w:rFonts w:cs="Calibri"/>
                <w:noProof/>
                <w:color w:val="000000"/>
                <w:highlight w:val="black"/>
              </w:rPr>
              <w:t>''''''''''''''''''''''''''''</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rsidR="007262D5" w:rsidRPr="00C80DBB" w:rsidRDefault="00C80DBB" w:rsidP="0076527F">
            <w:pPr>
              <w:pStyle w:val="TableText"/>
              <w:rPr>
                <w:bCs/>
                <w:color w:val="000000"/>
                <w:szCs w:val="20"/>
                <w:highlight w:val="black"/>
              </w:rPr>
            </w:pPr>
            <w:r>
              <w:rPr>
                <w:rFonts w:cs="Calibri"/>
                <w:noProof/>
                <w:color w:val="000000"/>
                <w:highlight w:val="black"/>
              </w:rPr>
              <w:t>'''''''''''''''''''''''''''''</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rsidR="007262D5" w:rsidRPr="00C80DBB" w:rsidRDefault="00C80DBB" w:rsidP="0076527F">
            <w:pPr>
              <w:pStyle w:val="TableText"/>
              <w:rPr>
                <w:bCs/>
                <w:color w:val="000000"/>
                <w:szCs w:val="20"/>
                <w:highlight w:val="black"/>
              </w:rPr>
            </w:pPr>
            <w:r>
              <w:rPr>
                <w:rFonts w:cs="Calibri"/>
                <w:noProof/>
                <w:color w:val="000000"/>
                <w:highlight w:val="black"/>
              </w:rPr>
              <w:t>''''''''''''''''''''''''''''''</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rsidR="007262D5" w:rsidRPr="00C80DBB" w:rsidRDefault="00C80DBB" w:rsidP="0076527F">
            <w:pPr>
              <w:pStyle w:val="TableText"/>
              <w:rPr>
                <w:bCs/>
                <w:color w:val="000000"/>
                <w:szCs w:val="20"/>
                <w:highlight w:val="black"/>
              </w:rPr>
            </w:pPr>
            <w:r>
              <w:rPr>
                <w:rFonts w:cs="Calibri"/>
                <w:noProof/>
                <w:color w:val="000000"/>
                <w:highlight w:val="black"/>
              </w:rPr>
              <w:t>''''''''''''''''''''''''''''</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rsidR="007262D5" w:rsidRPr="00C80DBB" w:rsidRDefault="00C80DBB" w:rsidP="0076527F">
            <w:pPr>
              <w:pStyle w:val="TableText"/>
              <w:rPr>
                <w:bCs/>
                <w:color w:val="000000"/>
                <w:szCs w:val="20"/>
                <w:highlight w:val="black"/>
              </w:rPr>
            </w:pPr>
            <w:r>
              <w:rPr>
                <w:rFonts w:cs="Calibri"/>
                <w:noProof/>
                <w:color w:val="000000"/>
                <w:highlight w:val="black"/>
              </w:rPr>
              <w:t>'''''''''''''''''''''''''''''''''</w:t>
            </w:r>
          </w:p>
        </w:tc>
        <w:tc>
          <w:tcPr>
            <w:tcW w:w="653" w:type="pct"/>
            <w:tcBorders>
              <w:top w:val="single" w:sz="4" w:space="0" w:color="auto"/>
              <w:left w:val="single" w:sz="4" w:space="0" w:color="auto"/>
              <w:bottom w:val="single" w:sz="4" w:space="0" w:color="auto"/>
              <w:right w:val="single" w:sz="4" w:space="0" w:color="auto"/>
            </w:tcBorders>
            <w:shd w:val="clear" w:color="000000" w:fill="FFFFFF"/>
            <w:vAlign w:val="center"/>
          </w:tcPr>
          <w:p w:rsidR="007262D5" w:rsidRPr="00C80DBB" w:rsidRDefault="00C80DBB" w:rsidP="0076527F">
            <w:pPr>
              <w:pStyle w:val="TableText"/>
              <w:rPr>
                <w:bCs/>
                <w:color w:val="000000"/>
                <w:szCs w:val="20"/>
                <w:highlight w:val="black"/>
              </w:rPr>
            </w:pPr>
            <w:r>
              <w:rPr>
                <w:rFonts w:cs="Calibri"/>
                <w:noProof/>
                <w:color w:val="000000"/>
                <w:highlight w:val="black"/>
              </w:rPr>
              <w:t>''''''''''''''''''''''''''''''</w:t>
            </w:r>
          </w:p>
        </w:tc>
      </w:tr>
      <w:tr w:rsidR="007262D5" w:rsidRPr="00D15DEE" w:rsidTr="00DC1274">
        <w:tc>
          <w:tcPr>
            <w:tcW w:w="1099" w:type="pct"/>
            <w:shd w:val="clear" w:color="auto" w:fill="auto"/>
            <w:vAlign w:val="center"/>
          </w:tcPr>
          <w:p w:rsidR="007262D5" w:rsidRPr="00D15DEE" w:rsidRDefault="007262D5" w:rsidP="0076527F">
            <w:pPr>
              <w:pStyle w:val="TableText"/>
              <w:rPr>
                <w:szCs w:val="20"/>
              </w:rPr>
            </w:pPr>
            <w:r w:rsidRPr="00D15DEE">
              <w:rPr>
                <w:szCs w:val="20"/>
              </w:rPr>
              <w:t>Copayments</w:t>
            </w:r>
          </w:p>
        </w:tc>
        <w:tc>
          <w:tcPr>
            <w:tcW w:w="628" w:type="pct"/>
            <w:tcBorders>
              <w:top w:val="single" w:sz="4" w:space="0" w:color="auto"/>
              <w:left w:val="nil"/>
              <w:bottom w:val="single" w:sz="4" w:space="0" w:color="auto"/>
              <w:right w:val="single" w:sz="4" w:space="0" w:color="auto"/>
            </w:tcBorders>
            <w:shd w:val="clear" w:color="000000" w:fill="FFFFFF"/>
            <w:vAlign w:val="center"/>
          </w:tcPr>
          <w:p w:rsidR="007262D5" w:rsidRPr="00C80DBB" w:rsidRDefault="00C80DBB" w:rsidP="0076527F">
            <w:pPr>
              <w:pStyle w:val="TableText"/>
              <w:rPr>
                <w:bCs/>
                <w:color w:val="000000"/>
                <w:szCs w:val="20"/>
                <w:highlight w:val="black"/>
              </w:rPr>
            </w:pPr>
            <w:r>
              <w:rPr>
                <w:rFonts w:cs="Calibri"/>
                <w:noProof/>
                <w:color w:val="000000"/>
                <w:highlight w:val="black"/>
              </w:rPr>
              <w:t>''''''''''''''''''''''''</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rsidR="007262D5" w:rsidRPr="00C80DBB" w:rsidRDefault="00C80DBB" w:rsidP="0076527F">
            <w:pPr>
              <w:pStyle w:val="TableText"/>
              <w:rPr>
                <w:bCs/>
                <w:color w:val="000000"/>
                <w:szCs w:val="20"/>
                <w:highlight w:val="black"/>
              </w:rPr>
            </w:pPr>
            <w:r>
              <w:rPr>
                <w:rFonts w:cs="Calibri"/>
                <w:noProof/>
                <w:color w:val="000000"/>
                <w:highlight w:val="black"/>
              </w:rPr>
              <w:t>''''''''''''''''''''''</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rsidR="007262D5" w:rsidRPr="00C80DBB" w:rsidRDefault="00C80DBB" w:rsidP="0076527F">
            <w:pPr>
              <w:pStyle w:val="TableText"/>
              <w:rPr>
                <w:bCs/>
                <w:color w:val="000000"/>
                <w:szCs w:val="20"/>
                <w:highlight w:val="black"/>
              </w:rPr>
            </w:pPr>
            <w:r>
              <w:rPr>
                <w:rFonts w:cs="Calibri"/>
                <w:noProof/>
                <w:color w:val="000000"/>
                <w:highlight w:val="black"/>
              </w:rPr>
              <w:t>'''''''''''''''''''''''''</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rsidR="007262D5" w:rsidRPr="00C80DBB" w:rsidRDefault="00C80DBB" w:rsidP="0076527F">
            <w:pPr>
              <w:pStyle w:val="TableText"/>
              <w:rPr>
                <w:bCs/>
                <w:color w:val="000000"/>
                <w:szCs w:val="20"/>
                <w:highlight w:val="black"/>
              </w:rPr>
            </w:pPr>
            <w:r>
              <w:rPr>
                <w:rFonts w:cs="Calibri"/>
                <w:noProof/>
                <w:color w:val="000000"/>
                <w:highlight w:val="black"/>
              </w:rPr>
              <w:t>'''''''''''''''''''''''''''''</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rsidR="007262D5" w:rsidRPr="00C80DBB" w:rsidRDefault="00C80DBB" w:rsidP="0076527F">
            <w:pPr>
              <w:pStyle w:val="TableText"/>
              <w:rPr>
                <w:bCs/>
                <w:color w:val="000000"/>
                <w:szCs w:val="20"/>
                <w:highlight w:val="black"/>
              </w:rPr>
            </w:pPr>
            <w:r>
              <w:rPr>
                <w:rFonts w:cs="Calibri"/>
                <w:noProof/>
                <w:color w:val="000000"/>
                <w:highlight w:val="black"/>
              </w:rPr>
              <w:t>'''''''''''''''''''''''''''</w:t>
            </w:r>
          </w:p>
        </w:tc>
        <w:tc>
          <w:tcPr>
            <w:tcW w:w="653" w:type="pct"/>
            <w:tcBorders>
              <w:top w:val="single" w:sz="4" w:space="0" w:color="auto"/>
              <w:left w:val="single" w:sz="4" w:space="0" w:color="auto"/>
              <w:bottom w:val="single" w:sz="4" w:space="0" w:color="auto"/>
              <w:right w:val="single" w:sz="4" w:space="0" w:color="auto"/>
            </w:tcBorders>
            <w:shd w:val="clear" w:color="000000" w:fill="FFFFFF"/>
            <w:vAlign w:val="center"/>
          </w:tcPr>
          <w:p w:rsidR="007262D5" w:rsidRPr="00C80DBB" w:rsidRDefault="00C80DBB" w:rsidP="0076527F">
            <w:pPr>
              <w:pStyle w:val="TableText"/>
              <w:rPr>
                <w:bCs/>
                <w:color w:val="000000"/>
                <w:szCs w:val="20"/>
                <w:highlight w:val="black"/>
              </w:rPr>
            </w:pPr>
            <w:r>
              <w:rPr>
                <w:rFonts w:cs="Calibri"/>
                <w:noProof/>
                <w:color w:val="000000"/>
                <w:highlight w:val="black"/>
              </w:rPr>
              <w:t>'''''''''''''''''''''''''''''</w:t>
            </w:r>
          </w:p>
        </w:tc>
      </w:tr>
      <w:tr w:rsidR="007262D5" w:rsidRPr="00D15DEE" w:rsidTr="00DC1274">
        <w:tc>
          <w:tcPr>
            <w:tcW w:w="1099" w:type="pct"/>
            <w:shd w:val="clear" w:color="auto" w:fill="auto"/>
            <w:vAlign w:val="center"/>
          </w:tcPr>
          <w:p w:rsidR="007262D5" w:rsidRPr="00D15DEE" w:rsidRDefault="007262D5" w:rsidP="0076527F">
            <w:pPr>
              <w:pStyle w:val="TableText"/>
              <w:rPr>
                <w:szCs w:val="20"/>
              </w:rPr>
            </w:pPr>
            <w:r w:rsidRPr="00D15DEE">
              <w:rPr>
                <w:szCs w:val="20"/>
              </w:rPr>
              <w:t>Cost to PBS/RPBS less copayments</w:t>
            </w:r>
          </w:p>
        </w:tc>
        <w:tc>
          <w:tcPr>
            <w:tcW w:w="628" w:type="pct"/>
            <w:tcBorders>
              <w:top w:val="single" w:sz="4" w:space="0" w:color="auto"/>
              <w:left w:val="nil"/>
              <w:bottom w:val="single" w:sz="4" w:space="0" w:color="auto"/>
              <w:right w:val="single" w:sz="4" w:space="0" w:color="auto"/>
            </w:tcBorders>
            <w:shd w:val="clear" w:color="000000" w:fill="FFFFFF"/>
            <w:vAlign w:val="center"/>
          </w:tcPr>
          <w:p w:rsidR="007262D5" w:rsidRPr="00C80DBB" w:rsidRDefault="00C80DBB" w:rsidP="0076527F">
            <w:pPr>
              <w:pStyle w:val="TableText"/>
              <w:rPr>
                <w:bCs/>
                <w:color w:val="000000"/>
                <w:szCs w:val="20"/>
                <w:highlight w:val="black"/>
              </w:rPr>
            </w:pPr>
            <w:r>
              <w:rPr>
                <w:rFonts w:cs="Calibri"/>
                <w:noProof/>
                <w:color w:val="000000"/>
                <w:highlight w:val="black"/>
              </w:rPr>
              <w:t>''''''''''''''''''''''''</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rsidR="007262D5" w:rsidRPr="00C80DBB" w:rsidRDefault="00C80DBB" w:rsidP="0076527F">
            <w:pPr>
              <w:pStyle w:val="TableText"/>
              <w:rPr>
                <w:bCs/>
                <w:color w:val="000000"/>
                <w:szCs w:val="20"/>
                <w:highlight w:val="black"/>
              </w:rPr>
            </w:pPr>
            <w:r>
              <w:rPr>
                <w:rFonts w:cs="Calibri"/>
                <w:noProof/>
                <w:color w:val="000000"/>
                <w:highlight w:val="black"/>
              </w:rPr>
              <w:t>'''''''''''''''''''''''''''''</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rsidR="007262D5" w:rsidRPr="00C80DBB" w:rsidRDefault="00C80DBB" w:rsidP="0076527F">
            <w:pPr>
              <w:pStyle w:val="TableText"/>
              <w:rPr>
                <w:bCs/>
                <w:color w:val="000000"/>
                <w:szCs w:val="20"/>
                <w:highlight w:val="black"/>
              </w:rPr>
            </w:pPr>
            <w:r>
              <w:rPr>
                <w:rFonts w:cs="Calibri"/>
                <w:noProof/>
                <w:color w:val="000000"/>
                <w:highlight w:val="black"/>
              </w:rPr>
              <w:t>''''''''''''''''''''''''''''''''</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rsidR="007262D5" w:rsidRPr="00C80DBB" w:rsidRDefault="00C80DBB" w:rsidP="0076527F">
            <w:pPr>
              <w:pStyle w:val="TableText"/>
              <w:rPr>
                <w:bCs/>
                <w:color w:val="000000"/>
                <w:szCs w:val="20"/>
                <w:highlight w:val="black"/>
              </w:rPr>
            </w:pPr>
            <w:r>
              <w:rPr>
                <w:rFonts w:cs="Calibri"/>
                <w:noProof/>
                <w:color w:val="000000"/>
                <w:highlight w:val="black"/>
              </w:rPr>
              <w:t>'''''''''''''''''''''''''''''''</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rsidR="007262D5" w:rsidRPr="00C80DBB" w:rsidRDefault="00C80DBB" w:rsidP="0076527F">
            <w:pPr>
              <w:pStyle w:val="TableText"/>
              <w:rPr>
                <w:bCs/>
                <w:color w:val="000000"/>
                <w:szCs w:val="20"/>
                <w:highlight w:val="black"/>
              </w:rPr>
            </w:pPr>
            <w:r>
              <w:rPr>
                <w:rFonts w:cs="Calibri"/>
                <w:noProof/>
                <w:color w:val="000000"/>
                <w:highlight w:val="black"/>
              </w:rPr>
              <w:t>''''''''''''''''''''''''''''''</w:t>
            </w:r>
          </w:p>
        </w:tc>
        <w:tc>
          <w:tcPr>
            <w:tcW w:w="653" w:type="pct"/>
            <w:tcBorders>
              <w:top w:val="single" w:sz="4" w:space="0" w:color="auto"/>
              <w:left w:val="single" w:sz="4" w:space="0" w:color="auto"/>
              <w:bottom w:val="single" w:sz="4" w:space="0" w:color="auto"/>
              <w:right w:val="single" w:sz="4" w:space="0" w:color="auto"/>
            </w:tcBorders>
            <w:shd w:val="clear" w:color="000000" w:fill="FFFFFF"/>
            <w:vAlign w:val="center"/>
          </w:tcPr>
          <w:p w:rsidR="007262D5" w:rsidRPr="00C80DBB" w:rsidRDefault="00C80DBB" w:rsidP="0076527F">
            <w:pPr>
              <w:pStyle w:val="TableText"/>
              <w:rPr>
                <w:bCs/>
                <w:color w:val="000000"/>
                <w:szCs w:val="20"/>
                <w:highlight w:val="black"/>
              </w:rPr>
            </w:pPr>
            <w:r>
              <w:rPr>
                <w:rFonts w:cs="Calibri"/>
                <w:noProof/>
                <w:color w:val="000000"/>
                <w:highlight w:val="black"/>
              </w:rPr>
              <w:t>''''''''''''''''''''''''''''</w:t>
            </w:r>
          </w:p>
        </w:tc>
      </w:tr>
      <w:tr w:rsidR="007262D5" w:rsidRPr="00D15DEE" w:rsidTr="00607758">
        <w:tc>
          <w:tcPr>
            <w:tcW w:w="5000" w:type="pct"/>
            <w:gridSpan w:val="7"/>
            <w:shd w:val="clear" w:color="auto" w:fill="auto"/>
            <w:vAlign w:val="center"/>
          </w:tcPr>
          <w:p w:rsidR="007262D5" w:rsidRPr="00D15DEE" w:rsidRDefault="007262D5" w:rsidP="0076527F">
            <w:pPr>
              <w:pStyle w:val="TableText"/>
              <w:rPr>
                <w:b/>
                <w:bCs/>
                <w:color w:val="000000"/>
                <w:szCs w:val="20"/>
              </w:rPr>
            </w:pPr>
            <w:r w:rsidRPr="00D15DEE">
              <w:rPr>
                <w:b/>
                <w:bCs/>
                <w:color w:val="000000"/>
                <w:szCs w:val="20"/>
              </w:rPr>
              <w:t>Net financial implications</w:t>
            </w:r>
          </w:p>
        </w:tc>
      </w:tr>
      <w:tr w:rsidR="007262D5" w:rsidRPr="00D15DEE" w:rsidTr="005E0068">
        <w:tc>
          <w:tcPr>
            <w:tcW w:w="1099" w:type="pct"/>
            <w:shd w:val="clear" w:color="auto" w:fill="auto"/>
            <w:vAlign w:val="center"/>
          </w:tcPr>
          <w:p w:rsidR="007262D5" w:rsidRPr="00D15DEE" w:rsidRDefault="007262D5" w:rsidP="0076527F">
            <w:pPr>
              <w:pStyle w:val="TableText"/>
              <w:rPr>
                <w:b/>
                <w:szCs w:val="20"/>
              </w:rPr>
            </w:pPr>
            <w:r w:rsidRPr="00D15DEE">
              <w:rPr>
                <w:b/>
                <w:szCs w:val="20"/>
              </w:rPr>
              <w:t>Net cost to PBS/RPBS</w:t>
            </w:r>
          </w:p>
        </w:tc>
        <w:tc>
          <w:tcPr>
            <w:tcW w:w="628" w:type="pct"/>
            <w:shd w:val="clear" w:color="auto" w:fill="auto"/>
            <w:vAlign w:val="bottom"/>
          </w:tcPr>
          <w:p w:rsidR="007262D5" w:rsidRPr="00C80DBB" w:rsidRDefault="00C80DBB" w:rsidP="0076527F">
            <w:pPr>
              <w:pStyle w:val="TableText"/>
              <w:rPr>
                <w:b/>
                <w:bCs/>
                <w:color w:val="000000"/>
                <w:szCs w:val="20"/>
                <w:highlight w:val="black"/>
              </w:rPr>
            </w:pPr>
            <w:r>
              <w:rPr>
                <w:b/>
                <w:noProof/>
                <w:color w:val="000000"/>
                <w:szCs w:val="20"/>
                <w:highlight w:val="black"/>
              </w:rPr>
              <w:t>''''''''''''''''''''</w:t>
            </w:r>
          </w:p>
        </w:tc>
        <w:tc>
          <w:tcPr>
            <w:tcW w:w="655" w:type="pct"/>
            <w:shd w:val="clear" w:color="auto" w:fill="auto"/>
            <w:vAlign w:val="bottom"/>
          </w:tcPr>
          <w:p w:rsidR="007262D5" w:rsidRPr="00C80DBB" w:rsidRDefault="00C80DBB" w:rsidP="0076527F">
            <w:pPr>
              <w:pStyle w:val="TableText"/>
              <w:rPr>
                <w:b/>
                <w:bCs/>
                <w:color w:val="000000"/>
                <w:szCs w:val="20"/>
                <w:highlight w:val="black"/>
              </w:rPr>
            </w:pPr>
            <w:r>
              <w:rPr>
                <w:b/>
                <w:noProof/>
                <w:color w:val="000000"/>
                <w:szCs w:val="20"/>
                <w:highlight w:val="black"/>
              </w:rPr>
              <w:t>''''''''''''''''''''''</w:t>
            </w:r>
          </w:p>
        </w:tc>
        <w:tc>
          <w:tcPr>
            <w:tcW w:w="655" w:type="pct"/>
            <w:shd w:val="clear" w:color="auto" w:fill="auto"/>
            <w:vAlign w:val="bottom"/>
          </w:tcPr>
          <w:p w:rsidR="007262D5" w:rsidRPr="00C80DBB" w:rsidRDefault="00C80DBB" w:rsidP="0076527F">
            <w:pPr>
              <w:pStyle w:val="TableText"/>
              <w:rPr>
                <w:b/>
                <w:bCs/>
                <w:color w:val="000000"/>
                <w:szCs w:val="20"/>
                <w:highlight w:val="black"/>
              </w:rPr>
            </w:pPr>
            <w:r>
              <w:rPr>
                <w:b/>
                <w:noProof/>
                <w:color w:val="000000"/>
                <w:szCs w:val="20"/>
                <w:highlight w:val="black"/>
              </w:rPr>
              <w:t>'''''''''''''''''''''''</w:t>
            </w:r>
          </w:p>
        </w:tc>
        <w:tc>
          <w:tcPr>
            <w:tcW w:w="655" w:type="pct"/>
            <w:shd w:val="clear" w:color="auto" w:fill="auto"/>
            <w:vAlign w:val="bottom"/>
          </w:tcPr>
          <w:p w:rsidR="007262D5" w:rsidRPr="00C80DBB" w:rsidRDefault="00C80DBB" w:rsidP="0076527F">
            <w:pPr>
              <w:pStyle w:val="TableText"/>
              <w:rPr>
                <w:b/>
                <w:bCs/>
                <w:color w:val="000000"/>
                <w:szCs w:val="20"/>
                <w:highlight w:val="black"/>
              </w:rPr>
            </w:pPr>
            <w:r>
              <w:rPr>
                <w:b/>
                <w:noProof/>
                <w:color w:val="000000"/>
                <w:szCs w:val="20"/>
                <w:highlight w:val="black"/>
              </w:rPr>
              <w:t>''''''''''''''''''''''</w:t>
            </w:r>
          </w:p>
        </w:tc>
        <w:tc>
          <w:tcPr>
            <w:tcW w:w="655" w:type="pct"/>
            <w:shd w:val="clear" w:color="auto" w:fill="auto"/>
            <w:vAlign w:val="bottom"/>
          </w:tcPr>
          <w:p w:rsidR="007262D5" w:rsidRPr="00C80DBB" w:rsidRDefault="00C80DBB" w:rsidP="0076527F">
            <w:pPr>
              <w:pStyle w:val="TableText"/>
              <w:rPr>
                <w:b/>
                <w:bCs/>
                <w:color w:val="000000"/>
                <w:szCs w:val="20"/>
                <w:highlight w:val="black"/>
              </w:rPr>
            </w:pPr>
            <w:r>
              <w:rPr>
                <w:b/>
                <w:noProof/>
                <w:color w:val="000000"/>
                <w:szCs w:val="20"/>
                <w:highlight w:val="black"/>
              </w:rPr>
              <w:t>''''''''''''''''''''</w:t>
            </w:r>
          </w:p>
        </w:tc>
        <w:tc>
          <w:tcPr>
            <w:tcW w:w="653" w:type="pct"/>
            <w:vAlign w:val="bottom"/>
          </w:tcPr>
          <w:p w:rsidR="007262D5" w:rsidRPr="00C80DBB" w:rsidRDefault="00C80DBB" w:rsidP="0076527F">
            <w:pPr>
              <w:pStyle w:val="TableText"/>
              <w:rPr>
                <w:b/>
                <w:bCs/>
                <w:color w:val="000000"/>
                <w:szCs w:val="20"/>
                <w:highlight w:val="black"/>
              </w:rPr>
            </w:pPr>
            <w:r>
              <w:rPr>
                <w:b/>
                <w:noProof/>
                <w:color w:val="000000"/>
                <w:szCs w:val="20"/>
                <w:highlight w:val="black"/>
              </w:rPr>
              <w:t>'''''''''''''''''''</w:t>
            </w:r>
          </w:p>
        </w:tc>
      </w:tr>
    </w:tbl>
    <w:p w:rsidR="00AD7D66" w:rsidRPr="00D15DEE" w:rsidRDefault="00AD7D66" w:rsidP="00AD7D66">
      <w:pPr>
        <w:pStyle w:val="TableFooter"/>
      </w:pPr>
      <w:r w:rsidRPr="00D15DEE">
        <w:t>Source: Table 4</w:t>
      </w:r>
      <w:r w:rsidRPr="00D15DEE">
        <w:rPr>
          <w:rFonts w:eastAsia="Calibri" w:cs="Times New Roman"/>
          <w:szCs w:val="18"/>
          <w:lang w:eastAsia="zh-CN"/>
        </w:rPr>
        <w:t>.14, p82</w:t>
      </w:r>
      <w:r w:rsidRPr="00D15DEE">
        <w:t>, table 4.21, p87, table 4.22, p87 of the submission</w:t>
      </w:r>
    </w:p>
    <w:p w:rsidR="00AD7D66" w:rsidRPr="00D15DEE" w:rsidRDefault="00AD7D66" w:rsidP="00AD7D66">
      <w:pPr>
        <w:pStyle w:val="TableFooter"/>
      </w:pPr>
      <w:r w:rsidRPr="00D15DEE">
        <w:rPr>
          <w:rFonts w:eastAsia="SimSun"/>
        </w:rPr>
        <w:t xml:space="preserve">IDegAsp = </w:t>
      </w:r>
      <w:r w:rsidRPr="00D15DEE">
        <w:t xml:space="preserve">insulin degludec/insulin aspart; </w:t>
      </w:r>
      <w:r w:rsidRPr="00D15DEE">
        <w:rPr>
          <w:rFonts w:eastAsia="Calibri" w:cs="Times New Roman"/>
          <w:szCs w:val="18"/>
          <w:lang w:val="en-AU" w:eastAsia="zh-CN"/>
        </w:rPr>
        <w:t>PBS = Pharmaceutical Benefits Scheme; RPBS = Repatriation Pharmaceutical Benefits Scheme</w:t>
      </w:r>
    </w:p>
    <w:p w:rsidR="00C317F3" w:rsidRDefault="00C317F3" w:rsidP="00772501">
      <w:pPr>
        <w:pStyle w:val="TableFooter"/>
      </w:pPr>
      <w:r w:rsidRPr="00D15DEE">
        <w:rPr>
          <w:vertAlign w:val="superscript"/>
        </w:rPr>
        <w:t>a</w:t>
      </w:r>
      <w:r w:rsidR="000152E5" w:rsidRPr="00D15DEE">
        <w:t xml:space="preserve"> Assuming </w:t>
      </w:r>
      <w:r w:rsidR="002F6B53" w:rsidRPr="00D15DEE">
        <w:t xml:space="preserve">3.4 </w:t>
      </w:r>
      <w:r w:rsidR="00607758" w:rsidRPr="00D15DEE">
        <w:t>scripts</w:t>
      </w:r>
      <w:r w:rsidRPr="00D15DEE">
        <w:t xml:space="preserve"> per year as estimated </w:t>
      </w:r>
      <w:r w:rsidR="002F6B53" w:rsidRPr="00D15DEE">
        <w:t>during evaluation</w:t>
      </w:r>
      <w:r w:rsidRPr="00D15DEE">
        <w:t>.</w:t>
      </w:r>
      <w:r w:rsidR="00E7296D" w:rsidRPr="00D15DEE">
        <w:t xml:space="preserve">  ** calculated using effective prices for insulin determir and glargine.</w:t>
      </w:r>
    </w:p>
    <w:p w:rsidR="001F5EAC" w:rsidRDefault="001F5EAC" w:rsidP="00772501">
      <w:pPr>
        <w:pStyle w:val="TableFooter"/>
      </w:pPr>
    </w:p>
    <w:p w:rsidR="001F5EAC" w:rsidRDefault="001F5EAC" w:rsidP="001F5EAC">
      <w:pPr>
        <w:pStyle w:val="ListParagraph"/>
      </w:pPr>
      <w:r w:rsidRPr="001F5EAC">
        <w:rPr>
          <w:lang w:val="en-AU"/>
        </w:rPr>
        <w:t xml:space="preserve">The redacted table shows that at year 5, the estimated number of patients was 10,000 – 50,000 per year and the net cost to the PBS would be </w:t>
      </w:r>
      <w:r w:rsidR="00A2310D">
        <w:rPr>
          <w:lang w:val="en-AU"/>
        </w:rPr>
        <w:t>less than $10</w:t>
      </w:r>
      <w:r w:rsidRPr="001F5EAC">
        <w:rPr>
          <w:lang w:val="en-AU"/>
        </w:rPr>
        <w:t xml:space="preserve"> million per year.</w:t>
      </w:r>
    </w:p>
    <w:p w:rsidR="000152E5" w:rsidRPr="00D15DEE" w:rsidRDefault="00BC0687" w:rsidP="00EF3B52">
      <w:pPr>
        <w:pStyle w:val="ListParagraph"/>
        <w:numPr>
          <w:ilvl w:val="1"/>
          <w:numId w:val="1"/>
        </w:numPr>
        <w:ind w:left="720" w:hanging="720"/>
        <w:jc w:val="both"/>
      </w:pPr>
      <w:r>
        <w:t>Although</w:t>
      </w:r>
      <w:r w:rsidRPr="00D15DEE">
        <w:t xml:space="preserve"> </w:t>
      </w:r>
      <w:r w:rsidR="00A86388" w:rsidRPr="00D15DEE">
        <w:t xml:space="preserve">the submission </w:t>
      </w:r>
      <w:r w:rsidR="007262D5" w:rsidRPr="00D15DEE">
        <w:t xml:space="preserve">presented a </w:t>
      </w:r>
      <w:r w:rsidR="00C43799" w:rsidRPr="00D15DEE">
        <w:t>cost-</w:t>
      </w:r>
      <w:r w:rsidR="00A86388" w:rsidRPr="00D15DEE">
        <w:t>minimisation approach,</w:t>
      </w:r>
      <w:r w:rsidR="007262D5" w:rsidRPr="00D15DEE">
        <w:t xml:space="preserve"> </w:t>
      </w:r>
      <w:r w:rsidR="00A86388" w:rsidRPr="00D15DEE">
        <w:t xml:space="preserve">there was </w:t>
      </w:r>
      <w:r w:rsidR="007262D5" w:rsidRPr="00D15DEE">
        <w:t xml:space="preserve">an </w:t>
      </w:r>
      <w:r w:rsidR="00A86388" w:rsidRPr="00D15DEE">
        <w:t>increase</w:t>
      </w:r>
      <w:r w:rsidR="000F3272">
        <w:t>d</w:t>
      </w:r>
      <w:r w:rsidR="00A86388" w:rsidRPr="00D15DEE">
        <w:t xml:space="preserve"> </w:t>
      </w:r>
      <w:r w:rsidR="007262D5" w:rsidRPr="00D15DEE">
        <w:t xml:space="preserve">cost </w:t>
      </w:r>
      <w:r w:rsidR="00A86388" w:rsidRPr="00D15DEE">
        <w:t xml:space="preserve">of </w:t>
      </w:r>
      <w:r w:rsidR="008E0C3A">
        <w:t>less than $10 million</w:t>
      </w:r>
      <w:r w:rsidR="007262D5" w:rsidRPr="00D15DEE">
        <w:t xml:space="preserve"> </w:t>
      </w:r>
      <w:r w:rsidR="00A86388" w:rsidRPr="00D15DEE">
        <w:t>to the PBS</w:t>
      </w:r>
      <w:r w:rsidR="007262D5" w:rsidRPr="00D15DEE">
        <w:t xml:space="preserve">/RPBS in Year 1 rising to </w:t>
      </w:r>
      <w:r w:rsidR="008E0C3A">
        <w:t>less than $10 million</w:t>
      </w:r>
      <w:r w:rsidR="007262D5" w:rsidRPr="00D15DEE">
        <w:t xml:space="preserve"> in Year 6 with a total </w:t>
      </w:r>
      <w:r w:rsidR="00A86388" w:rsidRPr="00D15DEE">
        <w:t xml:space="preserve">cost increase of </w:t>
      </w:r>
      <w:r w:rsidR="008E0C3A">
        <w:t>$20 - $30 million</w:t>
      </w:r>
      <w:r w:rsidR="008E0C3A" w:rsidRPr="00D15DEE">
        <w:t xml:space="preserve"> in</w:t>
      </w:r>
      <w:r w:rsidR="00A86388" w:rsidRPr="00D15DEE">
        <w:t xml:space="preserve"> the first </w:t>
      </w:r>
      <w:r w:rsidR="007262D5" w:rsidRPr="00D15DEE">
        <w:t>six</w:t>
      </w:r>
      <w:r w:rsidR="00A86388" w:rsidRPr="00D15DEE">
        <w:t xml:space="preserve"> years of listing. </w:t>
      </w:r>
      <w:r w:rsidR="007262D5" w:rsidRPr="00D15DEE">
        <w:t xml:space="preserve">This was </w:t>
      </w:r>
      <w:r w:rsidR="000F3272">
        <w:t xml:space="preserve">primarily </w:t>
      </w:r>
      <w:r w:rsidR="007262D5" w:rsidRPr="00D15DEE">
        <w:t xml:space="preserve">due to the </w:t>
      </w:r>
      <w:r w:rsidR="000F3272">
        <w:t>inclusion of cost offsets for</w:t>
      </w:r>
      <w:r w:rsidR="000F3272" w:rsidRPr="00D15DEE">
        <w:t xml:space="preserve"> </w:t>
      </w:r>
      <w:r w:rsidR="007262D5" w:rsidRPr="00D15DEE">
        <w:t>severe hypoglycaemias i</w:t>
      </w:r>
      <w:r w:rsidR="00C43799" w:rsidRPr="00D15DEE">
        <w:t>n the cost-</w:t>
      </w:r>
      <w:r w:rsidR="007262D5" w:rsidRPr="00D15DEE">
        <w:t>minimisation calculations</w:t>
      </w:r>
      <w:r w:rsidR="00E54FAC" w:rsidRPr="00D15DEE">
        <w:t xml:space="preserve"> that were not included in the financial estimates</w:t>
      </w:r>
      <w:r w:rsidR="007262D5" w:rsidRPr="00D15DEE">
        <w:t>.</w:t>
      </w:r>
    </w:p>
    <w:p w:rsidR="007262D5" w:rsidRPr="00D15DEE" w:rsidRDefault="000F7D36" w:rsidP="00EF3B52">
      <w:pPr>
        <w:pStyle w:val="ListParagraph"/>
        <w:numPr>
          <w:ilvl w:val="1"/>
          <w:numId w:val="1"/>
        </w:numPr>
        <w:ind w:left="720" w:hanging="720"/>
        <w:jc w:val="both"/>
      </w:pPr>
      <w:r>
        <w:rPr>
          <w:lang w:val="en-AU"/>
        </w:rPr>
        <w:t>The PBAC considered t</w:t>
      </w:r>
      <w:r w:rsidR="007C4AEB" w:rsidRPr="00D15DEE">
        <w:rPr>
          <w:lang w:val="en-AU"/>
        </w:rPr>
        <w:t>here was a high degree of uncertainty in the financial estimates</w:t>
      </w:r>
      <w:r w:rsidR="007C4AEB" w:rsidRPr="00D15DEE">
        <w:t xml:space="preserve"> as</w:t>
      </w:r>
      <w:r w:rsidR="007262D5" w:rsidRPr="00D15DEE">
        <w:t>:</w:t>
      </w:r>
    </w:p>
    <w:p w:rsidR="007262D5" w:rsidRPr="00D15DEE" w:rsidRDefault="007262D5" w:rsidP="007C4487">
      <w:pPr>
        <w:pStyle w:val="ListParagraph"/>
        <w:numPr>
          <w:ilvl w:val="0"/>
          <w:numId w:val="8"/>
        </w:numPr>
        <w:spacing w:before="0" w:after="0"/>
        <w:ind w:left="993" w:hanging="284"/>
        <w:jc w:val="both"/>
      </w:pPr>
      <w:r w:rsidRPr="00D15DEE">
        <w:t xml:space="preserve">the </w:t>
      </w:r>
      <w:r w:rsidRPr="00D15DEE">
        <w:rPr>
          <w:lang w:val="en-AU"/>
        </w:rPr>
        <w:t>estimated</w:t>
      </w:r>
      <w:r w:rsidR="007C4AEB" w:rsidRPr="00D15DEE">
        <w:t xml:space="preserve"> </w:t>
      </w:r>
      <w:r w:rsidRPr="00D15DEE">
        <w:t>growth of the insulin market</w:t>
      </w:r>
      <w:r w:rsidR="007C4AEB" w:rsidRPr="00D15DEE">
        <w:t xml:space="preserve"> was uncertain and varied depending on the method used</w:t>
      </w:r>
      <w:r w:rsidRPr="00D15DEE">
        <w:t xml:space="preserve"> (underestimate or overestimate); </w:t>
      </w:r>
    </w:p>
    <w:p w:rsidR="007262D5" w:rsidRPr="00D15DEE" w:rsidRDefault="007262D5" w:rsidP="007C4487">
      <w:pPr>
        <w:pStyle w:val="ListParagraph"/>
        <w:numPr>
          <w:ilvl w:val="0"/>
          <w:numId w:val="8"/>
        </w:numPr>
        <w:spacing w:before="0" w:after="0"/>
        <w:ind w:left="993" w:hanging="284"/>
        <w:jc w:val="both"/>
      </w:pPr>
      <w:r w:rsidRPr="00D15DEE">
        <w:t xml:space="preserve">the </w:t>
      </w:r>
      <w:r w:rsidRPr="00D15DEE">
        <w:rPr>
          <w:lang w:val="en-AU"/>
        </w:rPr>
        <w:t>estimate</w:t>
      </w:r>
      <w:r w:rsidRPr="00D15DEE">
        <w:t xml:space="preserve"> of the market share for </w:t>
      </w:r>
      <w:r w:rsidR="0004412F" w:rsidRPr="00D15DEE">
        <w:t>IDegAsp</w:t>
      </w:r>
      <w:r w:rsidR="007C4AEB" w:rsidRPr="00D15DEE">
        <w:t xml:space="preserve"> was associated with a high degree of uncertainty and </w:t>
      </w:r>
      <w:r w:rsidR="00CE6140" w:rsidRPr="00D15DEE">
        <w:t xml:space="preserve">was </w:t>
      </w:r>
      <w:r w:rsidR="007C4AEB" w:rsidRPr="00D15DEE">
        <w:t>assumed with no evidence base</w:t>
      </w:r>
      <w:r w:rsidRPr="00D15DEE">
        <w:t xml:space="preserve"> (underestimate or overestimate); and</w:t>
      </w:r>
    </w:p>
    <w:p w:rsidR="000F3272" w:rsidRPr="00D15DEE" w:rsidRDefault="0076527F" w:rsidP="00034D3A">
      <w:pPr>
        <w:pStyle w:val="ListParagraph"/>
        <w:numPr>
          <w:ilvl w:val="0"/>
          <w:numId w:val="8"/>
        </w:numPr>
        <w:spacing w:before="0" w:after="0"/>
        <w:ind w:left="993" w:hanging="284"/>
        <w:jc w:val="both"/>
      </w:pPr>
      <w:r w:rsidRPr="00D15DEE">
        <w:t>t</w:t>
      </w:r>
      <w:r w:rsidR="007C4AEB" w:rsidRPr="00D15DEE">
        <w:t>he estimate of</w:t>
      </w:r>
      <w:r w:rsidR="007262D5" w:rsidRPr="00D15DEE">
        <w:t xml:space="preserve"> script equivalence ratios </w:t>
      </w:r>
      <w:r w:rsidR="007C4AEB" w:rsidRPr="00D15DEE">
        <w:t xml:space="preserve">was uncertain due to uncertainty of the </w:t>
      </w:r>
      <w:r w:rsidR="007C4AEB" w:rsidRPr="00034D3A">
        <w:rPr>
          <w:lang w:val="en-AU"/>
        </w:rPr>
        <w:t>equi</w:t>
      </w:r>
      <w:r w:rsidR="007C4AEB" w:rsidRPr="00D15DEE">
        <w:t>-effective dose</w:t>
      </w:r>
      <w:r w:rsidR="00CE6140" w:rsidRPr="00D15DEE">
        <w:t>s</w:t>
      </w:r>
      <w:r w:rsidR="007C4AEB" w:rsidRPr="00D15DEE">
        <w:t xml:space="preserve"> and the </w:t>
      </w:r>
      <w:r w:rsidR="00CE6140" w:rsidRPr="00D15DEE">
        <w:t xml:space="preserve">lack of </w:t>
      </w:r>
      <w:r w:rsidR="007C4AEB" w:rsidRPr="00D15DEE">
        <w:t xml:space="preserve">comparative data with some of the drugs being replaced </w:t>
      </w:r>
      <w:r w:rsidR="007262D5" w:rsidRPr="00D15DEE">
        <w:t>(underestimate).</w:t>
      </w:r>
    </w:p>
    <w:p w:rsidR="00C174CA" w:rsidRPr="002D1395" w:rsidRDefault="0045546D" w:rsidP="00C174CA">
      <w:pPr>
        <w:rPr>
          <w:i/>
        </w:rPr>
      </w:pPr>
      <w:r w:rsidRPr="002D1395">
        <w:rPr>
          <w:i/>
        </w:rPr>
        <w:t>For more detail on PBAC’s view, see section 7 PBAC outcome.</w:t>
      </w:r>
    </w:p>
    <w:p w:rsidR="00C174CA" w:rsidRPr="00FE1D28" w:rsidRDefault="00C174CA" w:rsidP="00C174CA">
      <w:pPr>
        <w:pStyle w:val="Heading1"/>
        <w:ind w:left="720" w:hanging="720"/>
        <w:rPr>
          <w:rFonts w:cs="Arial"/>
          <w:b w:val="0"/>
          <w:bCs/>
          <w:snapToGrid w:val="0"/>
        </w:rPr>
      </w:pPr>
      <w:r w:rsidRPr="00FE1D28">
        <w:rPr>
          <w:rFonts w:cs="Arial"/>
          <w:bCs/>
          <w:snapToGrid w:val="0"/>
        </w:rPr>
        <w:t>PBAC Outcome</w:t>
      </w:r>
    </w:p>
    <w:p w:rsidR="00C21515" w:rsidRPr="00FC6E6D" w:rsidRDefault="00822D47" w:rsidP="00034D3A">
      <w:pPr>
        <w:pStyle w:val="ListParagraph"/>
        <w:numPr>
          <w:ilvl w:val="1"/>
          <w:numId w:val="1"/>
        </w:numPr>
        <w:ind w:left="709" w:hanging="709"/>
        <w:jc w:val="both"/>
        <w:rPr>
          <w:rFonts w:cs="Arial"/>
          <w:bCs/>
          <w:snapToGrid w:val="0"/>
        </w:rPr>
      </w:pPr>
      <w:r w:rsidRPr="00FC6E6D">
        <w:rPr>
          <w:rFonts w:cs="Arial"/>
          <w:bCs/>
          <w:snapToGrid w:val="0"/>
        </w:rPr>
        <w:t xml:space="preserve">The PBAC did not </w:t>
      </w:r>
      <w:r w:rsidR="00C174CA" w:rsidRPr="00FC6E6D">
        <w:rPr>
          <w:rFonts w:cs="Arial"/>
          <w:bCs/>
          <w:snapToGrid w:val="0"/>
        </w:rPr>
        <w:t>recommend</w:t>
      </w:r>
      <w:r w:rsidRPr="00FC6E6D">
        <w:rPr>
          <w:rFonts w:cs="Arial"/>
          <w:bCs/>
          <w:snapToGrid w:val="0"/>
        </w:rPr>
        <w:t xml:space="preserve"> insulin degludec with insulin </w:t>
      </w:r>
      <w:r w:rsidRPr="00962105">
        <w:rPr>
          <w:rFonts w:cs="Arial"/>
          <w:bCs/>
          <w:snapToGrid w:val="0"/>
        </w:rPr>
        <w:t>aspart</w:t>
      </w:r>
      <w:r w:rsidR="00C174CA" w:rsidRPr="00962105">
        <w:rPr>
          <w:rFonts w:cs="Arial"/>
          <w:bCs/>
          <w:snapToGrid w:val="0"/>
        </w:rPr>
        <w:t xml:space="preserve"> </w:t>
      </w:r>
      <w:r w:rsidRPr="00962105">
        <w:rPr>
          <w:lang w:eastAsia="zh-CN"/>
        </w:rPr>
        <w:t xml:space="preserve">(IDegAsp) </w:t>
      </w:r>
      <w:r w:rsidRPr="00962105">
        <w:rPr>
          <w:noProof/>
          <w:lang w:eastAsia="zh-CN"/>
        </w:rPr>
        <w:t>for treatment of</w:t>
      </w:r>
      <w:r w:rsidRPr="00962105">
        <w:rPr>
          <w:lang w:eastAsia="zh-CN"/>
        </w:rPr>
        <w:t xml:space="preserve"> adult patients with diabetes mellitus </w:t>
      </w:r>
      <w:r w:rsidR="008B62E7" w:rsidRPr="00962105">
        <w:rPr>
          <w:lang w:eastAsia="zh-CN"/>
        </w:rPr>
        <w:t xml:space="preserve">where insulin treatment is necessary </w:t>
      </w:r>
      <w:r w:rsidRPr="00962105">
        <w:rPr>
          <w:rFonts w:cs="Arial"/>
          <w:bCs/>
          <w:snapToGrid w:val="0"/>
        </w:rPr>
        <w:t xml:space="preserve">on the basis that the </w:t>
      </w:r>
      <w:r w:rsidR="00BC0687" w:rsidRPr="00034D3A">
        <w:rPr>
          <w:rFonts w:cs="Arial"/>
          <w:bCs/>
          <w:snapToGrid w:val="0"/>
        </w:rPr>
        <w:t>cost effectiveness of the drug</w:t>
      </w:r>
      <w:r w:rsidR="000F3272">
        <w:rPr>
          <w:rFonts w:cs="Arial"/>
          <w:bCs/>
          <w:snapToGrid w:val="0"/>
        </w:rPr>
        <w:t xml:space="preserve"> in type 2 diabetes mellitus (T2DM)</w:t>
      </w:r>
      <w:r w:rsidR="00BC0687" w:rsidRPr="00034D3A">
        <w:rPr>
          <w:rFonts w:cs="Arial"/>
          <w:bCs/>
          <w:snapToGrid w:val="0"/>
        </w:rPr>
        <w:t xml:space="preserve"> </w:t>
      </w:r>
      <w:r w:rsidR="006E0E9A">
        <w:rPr>
          <w:rFonts w:cs="Arial"/>
          <w:bCs/>
          <w:snapToGrid w:val="0"/>
        </w:rPr>
        <w:t xml:space="preserve">was </w:t>
      </w:r>
      <w:r w:rsidR="00BC0687" w:rsidRPr="00034D3A">
        <w:rPr>
          <w:rFonts w:cs="Arial"/>
          <w:bCs/>
          <w:snapToGrid w:val="0"/>
        </w:rPr>
        <w:t>not established at the proposed price</w:t>
      </w:r>
      <w:r w:rsidR="004B6678">
        <w:rPr>
          <w:rFonts w:cs="Arial"/>
          <w:bCs/>
          <w:snapToGrid w:val="0"/>
        </w:rPr>
        <w:t xml:space="preserve">, and because the </w:t>
      </w:r>
      <w:r w:rsidR="000F3272">
        <w:rPr>
          <w:rFonts w:cs="Arial"/>
          <w:bCs/>
          <w:snapToGrid w:val="0"/>
        </w:rPr>
        <w:t xml:space="preserve">clinical place in </w:t>
      </w:r>
      <w:r w:rsidR="000F3272" w:rsidRPr="000F3272">
        <w:rPr>
          <w:rFonts w:cs="Arial"/>
          <w:bCs/>
          <w:snapToGrid w:val="0"/>
        </w:rPr>
        <w:t xml:space="preserve">type </w:t>
      </w:r>
      <w:r w:rsidR="000F3272">
        <w:rPr>
          <w:rFonts w:cs="Arial"/>
          <w:bCs/>
          <w:snapToGrid w:val="0"/>
        </w:rPr>
        <w:t>1</w:t>
      </w:r>
      <w:r w:rsidR="000F3272" w:rsidRPr="000F3272">
        <w:rPr>
          <w:rFonts w:cs="Arial"/>
          <w:bCs/>
          <w:snapToGrid w:val="0"/>
        </w:rPr>
        <w:t xml:space="preserve"> diabetes mellitus (T</w:t>
      </w:r>
      <w:r w:rsidR="000F3272">
        <w:rPr>
          <w:rFonts w:cs="Arial"/>
          <w:bCs/>
          <w:snapToGrid w:val="0"/>
        </w:rPr>
        <w:t>1</w:t>
      </w:r>
      <w:r w:rsidR="000F3272" w:rsidRPr="000F3272">
        <w:rPr>
          <w:rFonts w:cs="Arial"/>
          <w:bCs/>
          <w:snapToGrid w:val="0"/>
        </w:rPr>
        <w:t>DM)</w:t>
      </w:r>
      <w:r w:rsidR="000F3272">
        <w:rPr>
          <w:rFonts w:cs="Arial"/>
          <w:bCs/>
          <w:snapToGrid w:val="0"/>
        </w:rPr>
        <w:t xml:space="preserve"> </w:t>
      </w:r>
      <w:r w:rsidR="005D066A">
        <w:rPr>
          <w:rFonts w:cs="Arial"/>
          <w:bCs/>
          <w:snapToGrid w:val="0"/>
        </w:rPr>
        <w:t xml:space="preserve">was not </w:t>
      </w:r>
      <w:r w:rsidR="00835221">
        <w:rPr>
          <w:rFonts w:cs="Arial"/>
          <w:bCs/>
          <w:snapToGrid w:val="0"/>
        </w:rPr>
        <w:t>established in</w:t>
      </w:r>
      <w:r w:rsidR="000F3272">
        <w:rPr>
          <w:rFonts w:cs="Arial"/>
          <w:bCs/>
          <w:snapToGrid w:val="0"/>
        </w:rPr>
        <w:t xml:space="preserve"> the submission.</w:t>
      </w:r>
    </w:p>
    <w:p w:rsidR="00FC6E6D" w:rsidRDefault="00FC6E6D" w:rsidP="00B31806">
      <w:pPr>
        <w:pStyle w:val="ListParagraph"/>
        <w:numPr>
          <w:ilvl w:val="1"/>
          <w:numId w:val="1"/>
        </w:numPr>
        <w:ind w:left="720" w:hanging="720"/>
        <w:jc w:val="both"/>
        <w:rPr>
          <w:rFonts w:cs="Arial"/>
          <w:bCs/>
          <w:snapToGrid w:val="0"/>
        </w:rPr>
      </w:pPr>
      <w:r>
        <w:rPr>
          <w:rFonts w:cs="Arial"/>
          <w:bCs/>
          <w:snapToGrid w:val="0"/>
        </w:rPr>
        <w:t>The PBAC acknowledged the clinical need for insulin products that improve glycaemic control whilst minimising the risk of hypoglycaemia. However</w:t>
      </w:r>
      <w:r w:rsidR="00786562">
        <w:rPr>
          <w:rFonts w:cs="Arial"/>
          <w:bCs/>
          <w:snapToGrid w:val="0"/>
        </w:rPr>
        <w:t>,</w:t>
      </w:r>
      <w:r>
        <w:rPr>
          <w:rFonts w:cs="Arial"/>
          <w:bCs/>
          <w:snapToGrid w:val="0"/>
        </w:rPr>
        <w:t xml:space="preserve"> </w:t>
      </w:r>
      <w:r w:rsidR="00EB274B">
        <w:rPr>
          <w:rFonts w:cs="Arial"/>
          <w:bCs/>
          <w:snapToGrid w:val="0"/>
        </w:rPr>
        <w:t xml:space="preserve">the Committee </w:t>
      </w:r>
      <w:r>
        <w:rPr>
          <w:rFonts w:cs="Arial"/>
          <w:bCs/>
          <w:snapToGrid w:val="0"/>
        </w:rPr>
        <w:t>was not convinced that the evidence provided for IDegAsp demonstrated it fulfilled this role.</w:t>
      </w:r>
    </w:p>
    <w:p w:rsidR="00A40C5D" w:rsidRDefault="00450F80" w:rsidP="00B31806">
      <w:pPr>
        <w:pStyle w:val="ListParagraph"/>
        <w:numPr>
          <w:ilvl w:val="1"/>
          <w:numId w:val="1"/>
        </w:numPr>
        <w:ind w:left="720" w:hanging="720"/>
        <w:jc w:val="both"/>
        <w:rPr>
          <w:rFonts w:cs="Arial"/>
          <w:bCs/>
          <w:snapToGrid w:val="0"/>
        </w:rPr>
      </w:pPr>
      <w:r>
        <w:rPr>
          <w:rFonts w:cs="Arial"/>
          <w:bCs/>
          <w:snapToGrid w:val="0"/>
        </w:rPr>
        <w:t>The PBAC noted that IDegAsp was not TGA registered at the time of its consideration. The PBAC also noted that IDeg as a single agent is currently undergoing TGA evaluation.</w:t>
      </w:r>
      <w:r w:rsidR="0046516A">
        <w:rPr>
          <w:rFonts w:cs="Arial"/>
          <w:bCs/>
          <w:snapToGrid w:val="0"/>
        </w:rPr>
        <w:t xml:space="preserve"> </w:t>
      </w:r>
    </w:p>
    <w:p w:rsidR="00C174CA" w:rsidRPr="00282DFB" w:rsidRDefault="00A40C5D" w:rsidP="0038798A">
      <w:pPr>
        <w:pStyle w:val="ListParagraph"/>
        <w:numPr>
          <w:ilvl w:val="1"/>
          <w:numId w:val="1"/>
        </w:numPr>
        <w:ind w:left="720" w:hanging="720"/>
        <w:jc w:val="both"/>
        <w:rPr>
          <w:rFonts w:cs="Arial"/>
          <w:bCs/>
          <w:snapToGrid w:val="0"/>
        </w:rPr>
      </w:pPr>
      <w:r>
        <w:rPr>
          <w:rFonts w:cs="Arial"/>
          <w:bCs/>
          <w:snapToGrid w:val="0"/>
        </w:rPr>
        <w:t xml:space="preserve">The PBAC noted that if listed, IDegAsp </w:t>
      </w:r>
      <w:r w:rsidRPr="00D15DEE">
        <w:t>would be the first long acting/short acting premixed insulin available on the PBS.</w:t>
      </w:r>
      <w:r>
        <w:t xml:space="preserve"> </w:t>
      </w:r>
      <w:r w:rsidR="00B97C38" w:rsidRPr="00282DFB">
        <w:t xml:space="preserve">The PBAC considered there </w:t>
      </w:r>
      <w:r w:rsidR="00BC0687">
        <w:t>was</w:t>
      </w:r>
      <w:r w:rsidR="00B97C38" w:rsidRPr="00282DFB">
        <w:t xml:space="preserve"> a </w:t>
      </w:r>
      <w:r w:rsidR="00582FD9">
        <w:t xml:space="preserve">clinical </w:t>
      </w:r>
      <w:r w:rsidR="00B97C38" w:rsidRPr="00282DFB">
        <w:t>place f</w:t>
      </w:r>
      <w:r w:rsidR="00582FD9">
        <w:t>or</w:t>
      </w:r>
      <w:r w:rsidR="00B97C38" w:rsidRPr="00282DFB">
        <w:t xml:space="preserve"> IDegAsp in the treatment of T2DM but </w:t>
      </w:r>
      <w:r w:rsidR="00BC0687">
        <w:t>it was</w:t>
      </w:r>
      <w:r w:rsidR="00B97C38" w:rsidRPr="00282DFB">
        <w:t xml:space="preserve"> not certain if </w:t>
      </w:r>
      <w:r w:rsidR="006B4FEB">
        <w:t xml:space="preserve">there </w:t>
      </w:r>
      <w:r w:rsidR="00582FD9">
        <w:t>was</w:t>
      </w:r>
      <w:r w:rsidR="006B4FEB">
        <w:t xml:space="preserve"> a </w:t>
      </w:r>
      <w:r w:rsidR="00BC0687">
        <w:t xml:space="preserve">clinical </w:t>
      </w:r>
      <w:r w:rsidR="006B4FEB">
        <w:t>place</w:t>
      </w:r>
      <w:r w:rsidR="00B97C38" w:rsidRPr="00282DFB">
        <w:t xml:space="preserve"> </w:t>
      </w:r>
      <w:r w:rsidR="000D6AAA">
        <w:t>for</w:t>
      </w:r>
      <w:r w:rsidR="00BC0687">
        <w:t xml:space="preserve"> </w:t>
      </w:r>
      <w:r w:rsidR="00B97C38" w:rsidRPr="00282DFB">
        <w:t>T1DM</w:t>
      </w:r>
      <w:r w:rsidR="00FC6E6D">
        <w:t>, as most T1DM patients are treated with basal/bolus regimens o</w:t>
      </w:r>
      <w:r w:rsidR="00AD5600">
        <w:t>r</w:t>
      </w:r>
      <w:r w:rsidR="00FC6E6D">
        <w:t xml:space="preserve"> insulin pumps. Thus</w:t>
      </w:r>
      <w:r w:rsidR="00E269E0">
        <w:t>,</w:t>
      </w:r>
      <w:r w:rsidR="00FC6E6D">
        <w:t xml:space="preserve"> biphasic mixed insulins have an extremely limited role in this setting</w:t>
      </w:r>
      <w:r w:rsidR="00B97C38" w:rsidRPr="00282DFB">
        <w:t>.</w:t>
      </w:r>
    </w:p>
    <w:p w:rsidR="0066626E" w:rsidRPr="0066626E" w:rsidRDefault="0066626E" w:rsidP="0042467C">
      <w:pPr>
        <w:pStyle w:val="ListParagraph"/>
        <w:numPr>
          <w:ilvl w:val="1"/>
          <w:numId w:val="1"/>
        </w:numPr>
        <w:ind w:left="720" w:hanging="720"/>
        <w:jc w:val="both"/>
        <w:rPr>
          <w:rFonts w:cs="Arial"/>
          <w:bCs/>
          <w:snapToGrid w:val="0"/>
        </w:rPr>
      </w:pPr>
      <w:r>
        <w:t xml:space="preserve">The PBAC considered that </w:t>
      </w:r>
      <w:r w:rsidR="004B1BBF" w:rsidRPr="004B1BBF">
        <w:t>biphasic insulin aspart 30 (</w:t>
      </w:r>
      <w:r>
        <w:t>BIAsp 30</w:t>
      </w:r>
      <w:r w:rsidR="004B1BBF">
        <w:t>)</w:t>
      </w:r>
      <w:r>
        <w:t xml:space="preserve"> </w:t>
      </w:r>
      <w:r w:rsidR="00582FD9">
        <w:t>wa</w:t>
      </w:r>
      <w:r>
        <w:t xml:space="preserve">s an appropriate comparator in T2DM. However, </w:t>
      </w:r>
      <w:r w:rsidR="00E269E0">
        <w:t xml:space="preserve">the </w:t>
      </w:r>
      <w:r w:rsidR="00CD31F9">
        <w:t xml:space="preserve">PBAC noted that the price requested for </w:t>
      </w:r>
      <w:r w:rsidR="00CD31F9" w:rsidRPr="00F13145">
        <w:t>IDegAsp</w:t>
      </w:r>
      <w:r w:rsidR="00CD31F9">
        <w:t xml:space="preserve"> was higher than that for </w:t>
      </w:r>
      <w:r w:rsidR="00786562">
        <w:t>insulin glargine (</w:t>
      </w:r>
      <w:r w:rsidR="00CD31F9">
        <w:t>IGlar</w:t>
      </w:r>
      <w:r w:rsidR="00786562">
        <w:t>)</w:t>
      </w:r>
      <w:r w:rsidR="00CD31F9">
        <w:t xml:space="preserve"> and that a clinical comparison against IGlar in T2DM may be informative in this context.</w:t>
      </w:r>
    </w:p>
    <w:p w:rsidR="00282DFB" w:rsidRPr="005906B1" w:rsidRDefault="0066626E" w:rsidP="0038798A">
      <w:pPr>
        <w:pStyle w:val="ListParagraph"/>
        <w:numPr>
          <w:ilvl w:val="1"/>
          <w:numId w:val="1"/>
        </w:numPr>
        <w:ind w:left="720" w:hanging="720"/>
        <w:jc w:val="both"/>
        <w:rPr>
          <w:rFonts w:cs="Arial"/>
          <w:bCs/>
          <w:snapToGrid w:val="0"/>
        </w:rPr>
      </w:pPr>
      <w:r w:rsidRPr="005906B1">
        <w:t xml:space="preserve">The PBAC considered that </w:t>
      </w:r>
      <w:r w:rsidR="004B1BBF" w:rsidRPr="005906B1">
        <w:t>insulin detemir (</w:t>
      </w:r>
      <w:r w:rsidR="00466BB6" w:rsidRPr="005906B1">
        <w:t>IDet</w:t>
      </w:r>
      <w:r w:rsidR="004B1BBF" w:rsidRPr="005906B1">
        <w:t>)</w:t>
      </w:r>
      <w:r w:rsidR="00466BB6" w:rsidRPr="005906B1">
        <w:t xml:space="preserve"> </w:t>
      </w:r>
      <w:r w:rsidR="00BC0687" w:rsidRPr="005906B1">
        <w:t xml:space="preserve">was not the appropriate </w:t>
      </w:r>
      <w:r w:rsidR="00466BB6" w:rsidRPr="005906B1">
        <w:t>comparator in T1DM</w:t>
      </w:r>
      <w:r w:rsidR="00BC0687" w:rsidRPr="005906B1">
        <w:t>. T</w:t>
      </w:r>
      <w:r w:rsidR="00093DC8" w:rsidRPr="005906B1">
        <w:t xml:space="preserve">he PBAC considered that BIAsp 30 or other pre-mixed insulins may be </w:t>
      </w:r>
      <w:r w:rsidR="00916FF4">
        <w:t xml:space="preserve">more </w:t>
      </w:r>
      <w:r w:rsidR="00093DC8" w:rsidRPr="005906B1">
        <w:t>appropriate comparators as they possess pharmacologic similarities.</w:t>
      </w:r>
      <w:r w:rsidR="002E6D75" w:rsidRPr="005906B1">
        <w:t xml:space="preserve"> </w:t>
      </w:r>
    </w:p>
    <w:p w:rsidR="0060386B" w:rsidRPr="005906B1" w:rsidRDefault="00933BAB" w:rsidP="0038798A">
      <w:pPr>
        <w:pStyle w:val="ListParagraph"/>
        <w:numPr>
          <w:ilvl w:val="1"/>
          <w:numId w:val="1"/>
        </w:numPr>
        <w:ind w:left="720" w:hanging="720"/>
        <w:jc w:val="both"/>
        <w:rPr>
          <w:rFonts w:cs="Arial"/>
          <w:bCs/>
          <w:snapToGrid w:val="0"/>
        </w:rPr>
      </w:pPr>
      <w:r w:rsidRPr="005906B1">
        <w:rPr>
          <w:rFonts w:cs="Arial"/>
          <w:bCs/>
          <w:snapToGrid w:val="0"/>
        </w:rPr>
        <w:t>The PBAC noted the risk of bias in the</w:t>
      </w:r>
      <w:r w:rsidR="00FC6E6D" w:rsidRPr="005906B1">
        <w:rPr>
          <w:rFonts w:cs="Arial"/>
          <w:bCs/>
          <w:snapToGrid w:val="0"/>
        </w:rPr>
        <w:t xml:space="preserve"> open label</w:t>
      </w:r>
      <w:r w:rsidRPr="005906B1">
        <w:rPr>
          <w:rFonts w:cs="Arial"/>
          <w:bCs/>
          <w:snapToGrid w:val="0"/>
        </w:rPr>
        <w:t xml:space="preserve"> clinical trials presented in the submission and </w:t>
      </w:r>
      <w:r w:rsidR="00FC6E6D" w:rsidRPr="005906B1">
        <w:rPr>
          <w:rFonts w:cs="Arial"/>
          <w:bCs/>
          <w:snapToGrid w:val="0"/>
        </w:rPr>
        <w:t xml:space="preserve">agreed that this risk was </w:t>
      </w:r>
      <w:r w:rsidRPr="005906B1">
        <w:rPr>
          <w:rFonts w:cs="Arial"/>
          <w:bCs/>
          <w:snapToGrid w:val="0"/>
        </w:rPr>
        <w:t>in part mitigated by the objective outcome measures</w:t>
      </w:r>
      <w:r w:rsidR="00FC6E6D" w:rsidRPr="005906B1">
        <w:rPr>
          <w:rFonts w:cs="Arial"/>
          <w:bCs/>
          <w:snapToGrid w:val="0"/>
        </w:rPr>
        <w:t xml:space="preserve"> of effectiveness</w:t>
      </w:r>
      <w:r w:rsidRPr="005906B1">
        <w:rPr>
          <w:rFonts w:cs="Arial"/>
          <w:bCs/>
          <w:snapToGrid w:val="0"/>
        </w:rPr>
        <w:t xml:space="preserve"> such as HbA1c. However, the PBAC agreed that it </w:t>
      </w:r>
      <w:r w:rsidR="00FC6E6D" w:rsidRPr="005906B1">
        <w:rPr>
          <w:rFonts w:cs="Arial"/>
          <w:bCs/>
          <w:snapToGrid w:val="0"/>
        </w:rPr>
        <w:t>was</w:t>
      </w:r>
      <w:r w:rsidRPr="005906B1">
        <w:rPr>
          <w:rFonts w:cs="Arial"/>
          <w:bCs/>
          <w:snapToGrid w:val="0"/>
        </w:rPr>
        <w:t xml:space="preserve"> difficult to assess the </w:t>
      </w:r>
      <w:r w:rsidR="00FC6E6D" w:rsidRPr="005906B1">
        <w:rPr>
          <w:rFonts w:cs="Arial"/>
          <w:bCs/>
          <w:snapToGrid w:val="0"/>
        </w:rPr>
        <w:t xml:space="preserve">likely impact of IDegAsp </w:t>
      </w:r>
      <w:r w:rsidRPr="005906B1">
        <w:rPr>
          <w:rFonts w:cs="Arial"/>
          <w:bCs/>
          <w:snapToGrid w:val="0"/>
        </w:rPr>
        <w:t>on overall rates of hypoglycaemia in clinical practice, particularly asymptomatic hypoglycaemia, as there would be less testing in the clinical environment than in a study environment.</w:t>
      </w:r>
      <w:r w:rsidR="00E90D46" w:rsidRPr="005906B1">
        <w:rPr>
          <w:rFonts w:cs="Arial"/>
          <w:bCs/>
          <w:snapToGrid w:val="0"/>
        </w:rPr>
        <w:t xml:space="preserve"> </w:t>
      </w:r>
      <w:r w:rsidR="002E2D71" w:rsidRPr="005906B1">
        <w:t>Additionally</w:t>
      </w:r>
      <w:r w:rsidR="002E584B" w:rsidRPr="005906B1">
        <w:t>, t</w:t>
      </w:r>
      <w:r w:rsidR="002E6D75" w:rsidRPr="005906B1">
        <w:t xml:space="preserve">he </w:t>
      </w:r>
      <w:r w:rsidR="002E584B" w:rsidRPr="005906B1">
        <w:t xml:space="preserve">PBAC noted that blood glucose levels </w:t>
      </w:r>
      <w:r w:rsidR="00FC6E6D" w:rsidRPr="005906B1">
        <w:t xml:space="preserve">in the studies </w:t>
      </w:r>
      <w:r w:rsidR="002E584B" w:rsidRPr="005906B1">
        <w:t xml:space="preserve">were measured using </w:t>
      </w:r>
      <w:r w:rsidR="008B4D75" w:rsidRPr="005906B1">
        <w:t>self-measuring devices</w:t>
      </w:r>
      <w:r w:rsidR="002E584B" w:rsidRPr="005906B1">
        <w:t xml:space="preserve"> rather than continuous blood glucose monitoring</w:t>
      </w:r>
      <w:r w:rsidR="00AD5600" w:rsidRPr="005906B1">
        <w:t xml:space="preserve"> and therefore do not provide complete or accurate data </w:t>
      </w:r>
      <w:r w:rsidR="001E181F">
        <w:t>of</w:t>
      </w:r>
      <w:r w:rsidR="00AD5600" w:rsidRPr="005906B1">
        <w:t xml:space="preserve"> blood glucose levels over the whole dosing interval. </w:t>
      </w:r>
    </w:p>
    <w:p w:rsidR="00847731" w:rsidRPr="005906B1" w:rsidRDefault="00847731" w:rsidP="0038798A">
      <w:pPr>
        <w:pStyle w:val="ListParagraph"/>
        <w:numPr>
          <w:ilvl w:val="1"/>
          <w:numId w:val="1"/>
        </w:numPr>
        <w:ind w:left="720" w:hanging="720"/>
        <w:jc w:val="both"/>
        <w:rPr>
          <w:rFonts w:cs="Arial"/>
          <w:bCs/>
          <w:snapToGrid w:val="0"/>
        </w:rPr>
      </w:pPr>
      <w:r w:rsidRPr="005906B1">
        <w:rPr>
          <w:rFonts w:cs="Arial"/>
          <w:bCs/>
          <w:snapToGrid w:val="0"/>
        </w:rPr>
        <w:t>The PBAC considered that the claim of non-inferior comparative effectiveness was reasonably supported by the data for T2DM</w:t>
      </w:r>
      <w:r w:rsidR="005C5B0C" w:rsidRPr="005906B1">
        <w:rPr>
          <w:rFonts w:cs="Arial"/>
          <w:bCs/>
          <w:snapToGrid w:val="0"/>
        </w:rPr>
        <w:t xml:space="preserve">. </w:t>
      </w:r>
      <w:r w:rsidRPr="005906B1">
        <w:rPr>
          <w:rFonts w:cs="Arial"/>
          <w:bCs/>
          <w:snapToGrid w:val="0"/>
        </w:rPr>
        <w:t xml:space="preserve"> </w:t>
      </w:r>
    </w:p>
    <w:p w:rsidR="00847731" w:rsidRPr="005906B1" w:rsidRDefault="00847731" w:rsidP="0038798A">
      <w:pPr>
        <w:pStyle w:val="ListParagraph"/>
        <w:numPr>
          <w:ilvl w:val="1"/>
          <w:numId w:val="1"/>
        </w:numPr>
        <w:ind w:left="720" w:hanging="720"/>
        <w:jc w:val="both"/>
        <w:rPr>
          <w:rFonts w:cs="Arial"/>
          <w:bCs/>
          <w:snapToGrid w:val="0"/>
        </w:rPr>
      </w:pPr>
      <w:r w:rsidRPr="005906B1">
        <w:rPr>
          <w:rFonts w:cs="Arial"/>
          <w:bCs/>
          <w:snapToGrid w:val="0"/>
        </w:rPr>
        <w:t>The PBAC considered that the claim of superior comparative safety was not adequately supported by the data</w:t>
      </w:r>
      <w:r w:rsidR="0036455D">
        <w:rPr>
          <w:rFonts w:cs="Arial"/>
          <w:bCs/>
          <w:snapToGrid w:val="0"/>
        </w:rPr>
        <w:t xml:space="preserve"> (see paragraph </w:t>
      </w:r>
      <w:r w:rsidR="003E04FA">
        <w:rPr>
          <w:rFonts w:cs="Arial"/>
          <w:bCs/>
          <w:snapToGrid w:val="0"/>
        </w:rPr>
        <w:t>6.23</w:t>
      </w:r>
      <w:r w:rsidR="00F6498E" w:rsidRPr="005906B1">
        <w:rPr>
          <w:rFonts w:cs="Arial"/>
          <w:bCs/>
          <w:snapToGrid w:val="0"/>
        </w:rPr>
        <w:t>)</w:t>
      </w:r>
    </w:p>
    <w:p w:rsidR="00847731" w:rsidRPr="005906B1" w:rsidRDefault="00D06959" w:rsidP="0038798A">
      <w:pPr>
        <w:pStyle w:val="ListParagraph"/>
        <w:numPr>
          <w:ilvl w:val="1"/>
          <w:numId w:val="1"/>
        </w:numPr>
        <w:ind w:left="720" w:hanging="720"/>
        <w:jc w:val="both"/>
        <w:rPr>
          <w:rFonts w:cs="Arial"/>
          <w:bCs/>
          <w:snapToGrid w:val="0"/>
        </w:rPr>
      </w:pPr>
      <w:r w:rsidRPr="005906B1">
        <w:rPr>
          <w:rFonts w:cs="Arial"/>
          <w:bCs/>
          <w:snapToGrid w:val="0"/>
        </w:rPr>
        <w:t xml:space="preserve">The PBAC </w:t>
      </w:r>
      <w:r w:rsidR="005E5A4D" w:rsidRPr="005906B1">
        <w:rPr>
          <w:rFonts w:cs="Arial"/>
          <w:bCs/>
          <w:snapToGrid w:val="0"/>
        </w:rPr>
        <w:t>considered</w:t>
      </w:r>
      <w:r w:rsidR="00B05970" w:rsidRPr="005906B1">
        <w:rPr>
          <w:rFonts w:cs="Arial"/>
          <w:bCs/>
          <w:snapToGrid w:val="0"/>
        </w:rPr>
        <w:t xml:space="preserve"> the </w:t>
      </w:r>
      <w:r w:rsidR="000F3272" w:rsidRPr="005906B1">
        <w:rPr>
          <w:rFonts w:cs="Arial"/>
          <w:bCs/>
          <w:snapToGrid w:val="0"/>
        </w:rPr>
        <w:t>inclusion of</w:t>
      </w:r>
      <w:r w:rsidR="00B05970" w:rsidRPr="005906B1">
        <w:rPr>
          <w:rFonts w:ascii="Calibri" w:eastAsia="Calibri" w:hAnsi="Calibri" w:cs="Times New Roman"/>
          <w:lang w:val="en-AU"/>
        </w:rPr>
        <w:t xml:space="preserve"> cost offsets for severe hypoglycaemic events</w:t>
      </w:r>
      <w:r w:rsidR="000F3272" w:rsidRPr="005906B1">
        <w:rPr>
          <w:rFonts w:ascii="Calibri" w:eastAsia="Calibri" w:hAnsi="Calibri" w:cs="Times New Roman"/>
          <w:lang w:val="en-AU"/>
        </w:rPr>
        <w:t xml:space="preserve"> in the price for IDegAsp to be </w:t>
      </w:r>
      <w:r w:rsidR="005C5B0C" w:rsidRPr="005906B1">
        <w:rPr>
          <w:rFonts w:ascii="Calibri" w:eastAsia="Calibri" w:hAnsi="Calibri" w:cs="Times New Roman"/>
          <w:lang w:val="en-AU"/>
        </w:rPr>
        <w:t>inconsistent with</w:t>
      </w:r>
      <w:r w:rsidR="00B05970" w:rsidRPr="005906B1">
        <w:rPr>
          <w:rFonts w:ascii="Calibri" w:eastAsia="Calibri" w:hAnsi="Calibri" w:cs="Times New Roman"/>
          <w:lang w:val="en-AU"/>
        </w:rPr>
        <w:t xml:space="preserve"> the clinical evidence for</w:t>
      </w:r>
      <w:r w:rsidR="00A12636" w:rsidRPr="005906B1">
        <w:rPr>
          <w:rFonts w:ascii="Calibri" w:eastAsia="Calibri" w:hAnsi="Calibri" w:cs="Times New Roman"/>
          <w:lang w:val="en-AU"/>
        </w:rPr>
        <w:t xml:space="preserve"> safety</w:t>
      </w:r>
      <w:r w:rsidR="00EE54CC">
        <w:rPr>
          <w:rFonts w:ascii="Calibri" w:eastAsia="Calibri" w:hAnsi="Calibri" w:cs="Times New Roman"/>
          <w:lang w:val="en-AU"/>
        </w:rPr>
        <w:t xml:space="preserve"> (see paragraph 6.24</w:t>
      </w:r>
      <w:r w:rsidR="00635C51" w:rsidRPr="005906B1">
        <w:rPr>
          <w:rFonts w:ascii="Calibri" w:eastAsia="Calibri" w:hAnsi="Calibri" w:cs="Times New Roman"/>
          <w:lang w:val="en-AU"/>
        </w:rPr>
        <w:t>)</w:t>
      </w:r>
      <w:r w:rsidR="00192CBB" w:rsidRPr="005906B1">
        <w:rPr>
          <w:rFonts w:ascii="Calibri" w:eastAsia="Calibri" w:hAnsi="Calibri" w:cs="Times New Roman"/>
          <w:lang w:val="en-AU"/>
        </w:rPr>
        <w:t>.</w:t>
      </w:r>
    </w:p>
    <w:p w:rsidR="00F6498E" w:rsidRPr="00054F78" w:rsidRDefault="005E5A4D" w:rsidP="00F6498E">
      <w:pPr>
        <w:pStyle w:val="ListParagraph"/>
        <w:numPr>
          <w:ilvl w:val="1"/>
          <w:numId w:val="1"/>
        </w:numPr>
        <w:ind w:left="720" w:hanging="720"/>
        <w:jc w:val="both"/>
        <w:rPr>
          <w:rFonts w:cs="Arial"/>
          <w:bCs/>
          <w:snapToGrid w:val="0"/>
        </w:rPr>
      </w:pPr>
      <w:r w:rsidRPr="005906B1">
        <w:rPr>
          <w:rFonts w:ascii="Calibri" w:eastAsia="Calibri" w:hAnsi="Calibri" w:cs="Times New Roman"/>
          <w:lang w:val="en-AU"/>
        </w:rPr>
        <w:t xml:space="preserve">The PBAC considered that the equi-effective doses </w:t>
      </w:r>
      <w:r w:rsidR="00F6498E" w:rsidRPr="005906B1">
        <w:rPr>
          <w:rFonts w:ascii="Calibri" w:eastAsia="Calibri" w:hAnsi="Calibri" w:cs="Times New Roman"/>
          <w:lang w:val="en-AU"/>
        </w:rPr>
        <w:t xml:space="preserve">in T2DM </w:t>
      </w:r>
      <w:r w:rsidRPr="005906B1">
        <w:rPr>
          <w:rFonts w:ascii="Calibri" w:eastAsia="Calibri" w:hAnsi="Calibri" w:cs="Times New Roman"/>
          <w:lang w:val="en-AU"/>
        </w:rPr>
        <w:t xml:space="preserve">were </w:t>
      </w:r>
      <w:r w:rsidR="00092B62" w:rsidRPr="005906B1">
        <w:rPr>
          <w:rFonts w:ascii="Calibri" w:eastAsia="Calibri" w:hAnsi="Calibri" w:cs="Times New Roman"/>
          <w:lang w:val="en-AU"/>
        </w:rPr>
        <w:t>un</w:t>
      </w:r>
      <w:r w:rsidRPr="005906B1">
        <w:rPr>
          <w:rFonts w:ascii="Calibri" w:eastAsia="Calibri" w:hAnsi="Calibri" w:cs="Times New Roman"/>
          <w:lang w:val="en-AU"/>
        </w:rPr>
        <w:t>certain</w:t>
      </w:r>
      <w:r w:rsidR="00EA4539">
        <w:rPr>
          <w:rFonts w:ascii="Calibri" w:eastAsia="Calibri" w:hAnsi="Calibri" w:cs="Times New Roman"/>
          <w:lang w:val="en-AU"/>
        </w:rPr>
        <w:t xml:space="preserve"> (see paragraph 6.30</w:t>
      </w:r>
      <w:r w:rsidR="00301880" w:rsidRPr="005906B1">
        <w:rPr>
          <w:rFonts w:ascii="Calibri" w:eastAsia="Calibri" w:hAnsi="Calibri" w:cs="Times New Roman"/>
          <w:lang w:val="en-AU"/>
        </w:rPr>
        <w:t>)</w:t>
      </w:r>
      <w:r w:rsidR="00F6498E" w:rsidRPr="005906B1">
        <w:rPr>
          <w:rFonts w:ascii="Calibri" w:eastAsia="Calibri" w:hAnsi="Calibri" w:cs="Times New Roman"/>
          <w:lang w:val="en-AU"/>
        </w:rPr>
        <w:t>.</w:t>
      </w:r>
    </w:p>
    <w:p w:rsidR="005E5A4D" w:rsidRPr="005906B1" w:rsidRDefault="000F7D36" w:rsidP="004837DF">
      <w:pPr>
        <w:pStyle w:val="ListParagraph"/>
        <w:numPr>
          <w:ilvl w:val="1"/>
          <w:numId w:val="1"/>
        </w:numPr>
        <w:ind w:left="720" w:hanging="720"/>
        <w:jc w:val="both"/>
        <w:rPr>
          <w:rFonts w:cs="Arial"/>
          <w:bCs/>
          <w:snapToGrid w:val="0"/>
        </w:rPr>
      </w:pPr>
      <w:r w:rsidRPr="005906B1">
        <w:rPr>
          <w:rFonts w:cs="Arial"/>
          <w:bCs/>
          <w:snapToGrid w:val="0"/>
        </w:rPr>
        <w:t>The PBAC considered t</w:t>
      </w:r>
      <w:r w:rsidRPr="004837DF">
        <w:rPr>
          <w:rFonts w:cs="Arial"/>
          <w:bCs/>
          <w:snapToGrid w:val="0"/>
        </w:rPr>
        <w:t>here was a high degree of uncertainty in the financial estimates</w:t>
      </w:r>
      <w:r w:rsidR="0043589D">
        <w:rPr>
          <w:rFonts w:cs="Arial"/>
          <w:bCs/>
          <w:snapToGrid w:val="0"/>
        </w:rPr>
        <w:t xml:space="preserve"> (see paragraph 6.41</w:t>
      </w:r>
      <w:r w:rsidR="00301880" w:rsidRPr="004837DF">
        <w:rPr>
          <w:rFonts w:cs="Arial"/>
          <w:bCs/>
          <w:snapToGrid w:val="0"/>
        </w:rPr>
        <w:t>)</w:t>
      </w:r>
      <w:r w:rsidR="00301880" w:rsidRPr="005906B1">
        <w:rPr>
          <w:rFonts w:cs="Arial"/>
          <w:bCs/>
          <w:snapToGrid w:val="0"/>
        </w:rPr>
        <w:t xml:space="preserve">. </w:t>
      </w:r>
      <w:r w:rsidR="00301880" w:rsidRPr="004837DF">
        <w:rPr>
          <w:rFonts w:cs="Arial"/>
          <w:bCs/>
          <w:snapToGrid w:val="0"/>
        </w:rPr>
        <w:t>The PBAC noted that a</w:t>
      </w:r>
      <w:r w:rsidR="007216AE" w:rsidRPr="004837DF">
        <w:rPr>
          <w:rFonts w:cs="Arial"/>
          <w:bCs/>
          <w:snapToGrid w:val="0"/>
        </w:rPr>
        <w:t>t the proposed price, the listing of IDegAsp would result in a higher cost to the PBS/RPBS due to the higher price of IDegAsp compared to the insulins replaced and because the cost offsets included in the price calculations are not included in the financial estimates.</w:t>
      </w:r>
      <w:r w:rsidR="00495ED9" w:rsidRPr="004837DF">
        <w:rPr>
          <w:rFonts w:cs="Arial"/>
          <w:bCs/>
          <w:snapToGrid w:val="0"/>
        </w:rPr>
        <w:t xml:space="preserve"> </w:t>
      </w:r>
    </w:p>
    <w:p w:rsidR="003A175C" w:rsidRPr="005906B1" w:rsidRDefault="003A175C" w:rsidP="0038798A">
      <w:pPr>
        <w:pStyle w:val="ListParagraph"/>
        <w:numPr>
          <w:ilvl w:val="1"/>
          <w:numId w:val="1"/>
        </w:numPr>
        <w:ind w:left="720" w:hanging="720"/>
        <w:jc w:val="both"/>
        <w:rPr>
          <w:rFonts w:cs="Arial"/>
          <w:bCs/>
          <w:i/>
          <w:snapToGrid w:val="0"/>
        </w:rPr>
      </w:pPr>
      <w:r w:rsidRPr="005906B1">
        <w:rPr>
          <w:rFonts w:cs="Arial"/>
          <w:bCs/>
          <w:snapToGrid w:val="0"/>
        </w:rPr>
        <w:t xml:space="preserve">The PBAC </w:t>
      </w:r>
      <w:r w:rsidR="004F4C75" w:rsidRPr="005906B1">
        <w:rPr>
          <w:rFonts w:cs="Arial"/>
          <w:bCs/>
          <w:snapToGrid w:val="0"/>
        </w:rPr>
        <w:t>considered that any future major</w:t>
      </w:r>
      <w:r w:rsidRPr="005906B1">
        <w:rPr>
          <w:rFonts w:cs="Arial"/>
          <w:bCs/>
          <w:snapToGrid w:val="0"/>
        </w:rPr>
        <w:t xml:space="preserve"> resubmission </w:t>
      </w:r>
      <w:r w:rsidR="002860AA" w:rsidRPr="005906B1">
        <w:rPr>
          <w:rFonts w:cs="Arial"/>
          <w:bCs/>
          <w:snapToGrid w:val="0"/>
        </w:rPr>
        <w:t>seeking a premium over BI</w:t>
      </w:r>
      <w:r w:rsidR="00CA280C">
        <w:rPr>
          <w:rFonts w:cs="Arial"/>
          <w:bCs/>
          <w:snapToGrid w:val="0"/>
        </w:rPr>
        <w:t>As</w:t>
      </w:r>
      <w:r w:rsidR="002860AA" w:rsidRPr="005906B1">
        <w:rPr>
          <w:rFonts w:cs="Arial"/>
          <w:bCs/>
          <w:snapToGrid w:val="0"/>
        </w:rPr>
        <w:t>p</w:t>
      </w:r>
      <w:r w:rsidR="00CA280C">
        <w:rPr>
          <w:rFonts w:cs="Arial"/>
          <w:bCs/>
          <w:snapToGrid w:val="0"/>
        </w:rPr>
        <w:t>30</w:t>
      </w:r>
      <w:r w:rsidR="002860AA" w:rsidRPr="005906B1">
        <w:rPr>
          <w:rFonts w:cs="Arial"/>
          <w:bCs/>
          <w:snapToGrid w:val="0"/>
        </w:rPr>
        <w:t xml:space="preserve"> </w:t>
      </w:r>
      <w:r w:rsidR="00635C51" w:rsidRPr="005906B1">
        <w:rPr>
          <w:rFonts w:cs="Arial"/>
          <w:bCs/>
          <w:snapToGrid w:val="0"/>
        </w:rPr>
        <w:t xml:space="preserve">on the basis of an improved safety profile </w:t>
      </w:r>
      <w:r w:rsidRPr="005906B1">
        <w:rPr>
          <w:rFonts w:cs="Arial"/>
          <w:bCs/>
          <w:snapToGrid w:val="0"/>
        </w:rPr>
        <w:t>would need to clearly demonstrate the benefits over</w:t>
      </w:r>
      <w:r w:rsidR="002860AA" w:rsidRPr="005906B1">
        <w:rPr>
          <w:rFonts w:cs="Arial"/>
          <w:bCs/>
          <w:snapToGrid w:val="0"/>
        </w:rPr>
        <w:t xml:space="preserve"> this drug</w:t>
      </w:r>
      <w:r w:rsidR="00635C51" w:rsidRPr="005906B1">
        <w:rPr>
          <w:rFonts w:cs="Arial"/>
          <w:bCs/>
          <w:snapToGrid w:val="0"/>
        </w:rPr>
        <w:t xml:space="preserve">, </w:t>
      </w:r>
      <w:r w:rsidR="00DF4C58">
        <w:rPr>
          <w:rFonts w:cs="Arial"/>
          <w:bCs/>
          <w:snapToGrid w:val="0"/>
        </w:rPr>
        <w:t>including</w:t>
      </w:r>
      <w:r w:rsidR="00635C51" w:rsidRPr="005906B1">
        <w:rPr>
          <w:rFonts w:cs="Arial"/>
          <w:bCs/>
          <w:snapToGrid w:val="0"/>
        </w:rPr>
        <w:t xml:space="preserve"> providing</w:t>
      </w:r>
      <w:r w:rsidR="00E6742C" w:rsidRPr="005906B1">
        <w:rPr>
          <w:rFonts w:cs="Arial"/>
          <w:bCs/>
          <w:snapToGrid w:val="0"/>
        </w:rPr>
        <w:t xml:space="preserve"> more </w:t>
      </w:r>
      <w:r w:rsidR="006E7EC0" w:rsidRPr="005906B1">
        <w:rPr>
          <w:rFonts w:cs="Arial"/>
          <w:bCs/>
          <w:snapToGrid w:val="0"/>
        </w:rPr>
        <w:t xml:space="preserve">data </w:t>
      </w:r>
      <w:r w:rsidR="002860AA" w:rsidRPr="005906B1">
        <w:rPr>
          <w:rFonts w:cs="Arial"/>
          <w:bCs/>
          <w:snapToGrid w:val="0"/>
        </w:rPr>
        <w:t xml:space="preserve">on </w:t>
      </w:r>
      <w:r w:rsidR="00DF4C58">
        <w:rPr>
          <w:rFonts w:cs="Arial"/>
          <w:bCs/>
          <w:snapToGrid w:val="0"/>
        </w:rPr>
        <w:t>hypoglycaemic events.</w:t>
      </w:r>
    </w:p>
    <w:p w:rsidR="00C174CA" w:rsidRPr="0001147A" w:rsidRDefault="00C174CA" w:rsidP="0038798A">
      <w:pPr>
        <w:pStyle w:val="ListParagraph"/>
        <w:numPr>
          <w:ilvl w:val="1"/>
          <w:numId w:val="1"/>
        </w:numPr>
        <w:ind w:left="720" w:hanging="720"/>
        <w:jc w:val="both"/>
        <w:rPr>
          <w:rFonts w:cs="Arial"/>
          <w:bCs/>
          <w:i/>
          <w:snapToGrid w:val="0"/>
        </w:rPr>
      </w:pPr>
      <w:r w:rsidRPr="0001147A">
        <w:rPr>
          <w:rFonts w:cs="Arial"/>
          <w:bCs/>
          <w:snapToGrid w:val="0"/>
        </w:rPr>
        <w:t>The PBAC noted that this submission is eligible for an Independent Review.</w:t>
      </w:r>
    </w:p>
    <w:p w:rsidR="00C174CA" w:rsidRPr="0001147A" w:rsidRDefault="00C174CA" w:rsidP="00C174CA">
      <w:pPr>
        <w:spacing w:before="240"/>
        <w:jc w:val="both"/>
        <w:rPr>
          <w:rFonts w:cs="Arial"/>
          <w:b/>
          <w:bCs/>
          <w:snapToGrid w:val="0"/>
        </w:rPr>
      </w:pPr>
      <w:r w:rsidRPr="0001147A">
        <w:rPr>
          <w:rFonts w:cs="Arial"/>
          <w:b/>
          <w:bCs/>
          <w:snapToGrid w:val="0"/>
        </w:rPr>
        <w:t>Outcome:</w:t>
      </w:r>
    </w:p>
    <w:p w:rsidR="00C174CA" w:rsidRPr="0001147A" w:rsidRDefault="00C174CA" w:rsidP="00C174CA">
      <w:pPr>
        <w:jc w:val="both"/>
        <w:rPr>
          <w:rFonts w:cs="Arial"/>
          <w:bCs/>
          <w:snapToGrid w:val="0"/>
        </w:rPr>
      </w:pPr>
      <w:r w:rsidRPr="0001147A">
        <w:rPr>
          <w:rFonts w:cs="Arial"/>
          <w:bCs/>
          <w:snapToGrid w:val="0"/>
        </w:rPr>
        <w:t>Rejected</w:t>
      </w:r>
    </w:p>
    <w:p w:rsidR="003F5F54" w:rsidRPr="003F5F54" w:rsidRDefault="003F5F54" w:rsidP="003F5F54">
      <w:pPr>
        <w:pStyle w:val="Heading1"/>
        <w:ind w:left="720" w:hanging="720"/>
        <w:rPr>
          <w:rFonts w:cs="Arial"/>
          <w:bCs/>
          <w:snapToGrid w:val="0"/>
        </w:rPr>
      </w:pPr>
      <w:r w:rsidRPr="003F5F54">
        <w:rPr>
          <w:rFonts w:cs="Arial"/>
          <w:bCs/>
          <w:snapToGrid w:val="0"/>
        </w:rPr>
        <w:t>Context for Decision</w:t>
      </w:r>
    </w:p>
    <w:p w:rsidR="003F5F54" w:rsidRPr="003F5F54" w:rsidRDefault="003F5F54" w:rsidP="003F5F54">
      <w:pPr>
        <w:jc w:val="both"/>
        <w:rPr>
          <w:rFonts w:cs="Arial"/>
          <w:bCs/>
          <w:snapToGrid w:val="0"/>
        </w:rPr>
      </w:pPr>
      <w:r w:rsidRPr="003F5F54">
        <w:rPr>
          <w:rFonts w:cs="Arial"/>
          <w:bCs/>
          <w:snapToGrid w:val="0"/>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3F5F54" w:rsidRPr="003F5F54" w:rsidRDefault="003F5F54" w:rsidP="003F5F54">
      <w:pPr>
        <w:pStyle w:val="Heading1"/>
        <w:ind w:left="720" w:hanging="720"/>
        <w:rPr>
          <w:rFonts w:cs="Arial"/>
          <w:bCs/>
          <w:snapToGrid w:val="0"/>
        </w:rPr>
      </w:pPr>
      <w:r w:rsidRPr="003F5F54">
        <w:rPr>
          <w:rFonts w:cs="Arial"/>
          <w:bCs/>
          <w:snapToGrid w:val="0"/>
        </w:rPr>
        <w:t>Sponsor’s Comment</w:t>
      </w:r>
    </w:p>
    <w:p w:rsidR="00B324B9" w:rsidRPr="003F5F54" w:rsidRDefault="00B324B9" w:rsidP="00B324B9">
      <w:pPr>
        <w:jc w:val="both"/>
        <w:rPr>
          <w:rFonts w:ascii="Calibri" w:eastAsia="Calibri" w:hAnsi="Calibri" w:cs="Arial"/>
          <w:snapToGrid w:val="0"/>
          <w:szCs w:val="20"/>
          <w:lang w:val="en-AU"/>
        </w:rPr>
      </w:pPr>
      <w:r>
        <w:t>Novo Nordisk remains committed to working with the PBAC to make Ryzodeg® 70/30 available for Australians with diabetes mellitus who would benefit from this product.</w:t>
      </w:r>
    </w:p>
    <w:p w:rsidR="00DA4D5C" w:rsidRPr="005A48A5" w:rsidRDefault="00DA4D5C" w:rsidP="00FC6E6D">
      <w:pPr>
        <w:widowControl w:val="0"/>
        <w:jc w:val="both"/>
        <w:rPr>
          <w:rFonts w:cs="Arial"/>
          <w:bCs/>
          <w:snapToGrid w:val="0"/>
          <w:highlight w:val="yellow"/>
        </w:rPr>
      </w:pPr>
    </w:p>
    <w:sectPr w:rsidR="00DA4D5C" w:rsidRPr="005A48A5" w:rsidSect="003D2C6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1EF621" w15:done="0"/>
  <w15:commentEx w15:paraId="51D52661" w15:done="0"/>
  <w15:commentEx w15:paraId="792E41A2" w15:done="0"/>
  <w15:commentEx w15:paraId="4A0A437D" w15:done="0"/>
  <w15:commentEx w15:paraId="06CBEDC0" w15:done="0"/>
  <w15:commentEx w15:paraId="586CA256" w15:done="0"/>
  <w15:commentEx w15:paraId="5A9C90F0" w15:done="0"/>
  <w15:commentEx w15:paraId="43711CE8" w15:done="0"/>
  <w15:commentEx w15:paraId="656EC253" w15:done="0"/>
  <w15:commentEx w15:paraId="6521E662" w15:done="0"/>
  <w15:commentEx w15:paraId="60901D95" w15:done="0"/>
  <w15:commentEx w15:paraId="13CBD11F" w15:done="0"/>
  <w15:commentEx w15:paraId="0D224CA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CCF478" w16cid:durableId="1D5801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DBB" w:rsidRDefault="00C80DBB" w:rsidP="00BA3306">
      <w:pPr>
        <w:spacing w:before="0" w:after="0"/>
      </w:pPr>
      <w:r>
        <w:separator/>
      </w:r>
    </w:p>
  </w:endnote>
  <w:endnote w:type="continuationSeparator" w:id="0">
    <w:p w:rsidR="00C80DBB" w:rsidRDefault="00C80DBB" w:rsidP="00BA33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altName w:val="Calibr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Open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84" w:rsidRDefault="00ED7C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84" w:rsidRPr="00B726F8" w:rsidRDefault="00ED7C84" w:rsidP="00B726F8">
    <w:pPr>
      <w:pStyle w:val="Footer"/>
      <w:ind w:left="360"/>
      <w:jc w:val="center"/>
      <w:rPr>
        <w:rFonts w:ascii="Calibri" w:hAnsi="Calibri" w:cs="Arial"/>
        <w:b/>
        <w:sz w:val="20"/>
      </w:rPr>
    </w:pPr>
    <w:r w:rsidRPr="00F90A91">
      <w:rPr>
        <w:rFonts w:ascii="Calibri" w:hAnsi="Calibri" w:cs="Arial"/>
        <w:b/>
        <w:sz w:val="20"/>
      </w:rPr>
      <w:fldChar w:fldCharType="begin"/>
    </w:r>
    <w:r w:rsidRPr="00F90A91">
      <w:rPr>
        <w:rFonts w:ascii="Calibri" w:hAnsi="Calibri" w:cs="Arial"/>
        <w:b/>
        <w:sz w:val="20"/>
      </w:rPr>
      <w:instrText xml:space="preserve"> PAGE   \* MERGEFORMAT </w:instrText>
    </w:r>
    <w:r w:rsidRPr="00F90A91">
      <w:rPr>
        <w:rFonts w:ascii="Calibri" w:hAnsi="Calibri" w:cs="Arial"/>
        <w:b/>
        <w:sz w:val="20"/>
      </w:rPr>
      <w:fldChar w:fldCharType="separate"/>
    </w:r>
    <w:r w:rsidR="00C80DBB">
      <w:rPr>
        <w:rFonts w:ascii="Calibri" w:hAnsi="Calibri" w:cs="Arial"/>
        <w:b/>
        <w:noProof/>
        <w:sz w:val="20"/>
      </w:rPr>
      <w:t>1</w:t>
    </w:r>
    <w:r w:rsidRPr="00F90A91">
      <w:rPr>
        <w:rFonts w:ascii="Calibri" w:hAnsi="Calibri" w:cs="Arial"/>
        <w:b/>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84" w:rsidRDefault="00ED7C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DBB" w:rsidRDefault="00C80DBB" w:rsidP="00BA3306">
      <w:pPr>
        <w:spacing w:before="0" w:after="0"/>
      </w:pPr>
      <w:r>
        <w:separator/>
      </w:r>
    </w:p>
  </w:footnote>
  <w:footnote w:type="continuationSeparator" w:id="0">
    <w:p w:rsidR="00C80DBB" w:rsidRDefault="00C80DBB" w:rsidP="00BA330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84" w:rsidRDefault="00ED7C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84" w:rsidRPr="00F90A91" w:rsidRDefault="00ED7C84" w:rsidP="00B726F8">
    <w:pPr>
      <w:pStyle w:val="Header"/>
      <w:ind w:left="360"/>
      <w:jc w:val="center"/>
      <w:rPr>
        <w:rFonts w:cs="Arial"/>
        <w:i/>
        <w:color w:val="808080"/>
        <w:sz w:val="22"/>
      </w:rPr>
    </w:pPr>
    <w:r>
      <w:rPr>
        <w:rFonts w:cs="Arial"/>
        <w:i/>
        <w:color w:val="808080"/>
        <w:sz w:val="22"/>
      </w:rPr>
      <w:t>Public Summary Documents</w:t>
    </w:r>
    <w:r w:rsidRPr="00F90A91">
      <w:rPr>
        <w:rFonts w:cs="Arial"/>
        <w:i/>
        <w:color w:val="808080"/>
        <w:sz w:val="22"/>
      </w:rPr>
      <w:t xml:space="preserve"> – </w:t>
    </w:r>
    <w:r>
      <w:rPr>
        <w:rFonts w:cs="Arial"/>
        <w:i/>
        <w:color w:val="808080"/>
        <w:sz w:val="22"/>
      </w:rPr>
      <w:t xml:space="preserve">November 2017 </w:t>
    </w:r>
    <w:r w:rsidRPr="00F90A91">
      <w:rPr>
        <w:rFonts w:cs="Arial"/>
        <w:i/>
        <w:color w:val="808080"/>
        <w:sz w:val="22"/>
      </w:rPr>
      <w:t>PBAC Meeting</w:t>
    </w:r>
  </w:p>
  <w:p w:rsidR="00ED7C84" w:rsidRPr="00B726F8" w:rsidRDefault="00ED7C84" w:rsidP="00B726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84" w:rsidRDefault="00ED7C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5E6F"/>
    <w:multiLevelType w:val="hybridMultilevel"/>
    <w:tmpl w:val="2FDC871E"/>
    <w:lvl w:ilvl="0" w:tplc="10A6FCEC">
      <w:start w:val="1"/>
      <w:numFmt w:val="bullet"/>
      <w:lvlText w:val="•"/>
      <w:lvlJc w:val="left"/>
      <w:pPr>
        <w:tabs>
          <w:tab w:val="num" w:pos="720"/>
        </w:tabs>
        <w:ind w:left="720" w:hanging="360"/>
      </w:pPr>
      <w:rPr>
        <w:rFonts w:ascii="Arial" w:hAnsi="Arial" w:hint="default"/>
      </w:rPr>
    </w:lvl>
    <w:lvl w:ilvl="1" w:tplc="B21A08FA" w:tentative="1">
      <w:start w:val="1"/>
      <w:numFmt w:val="bullet"/>
      <w:lvlText w:val="•"/>
      <w:lvlJc w:val="left"/>
      <w:pPr>
        <w:tabs>
          <w:tab w:val="num" w:pos="1440"/>
        </w:tabs>
        <w:ind w:left="1440" w:hanging="360"/>
      </w:pPr>
      <w:rPr>
        <w:rFonts w:ascii="Arial" w:hAnsi="Arial" w:hint="default"/>
      </w:rPr>
    </w:lvl>
    <w:lvl w:ilvl="2" w:tplc="E28CAEC4" w:tentative="1">
      <w:start w:val="1"/>
      <w:numFmt w:val="bullet"/>
      <w:lvlText w:val="•"/>
      <w:lvlJc w:val="left"/>
      <w:pPr>
        <w:tabs>
          <w:tab w:val="num" w:pos="2160"/>
        </w:tabs>
        <w:ind w:left="2160" w:hanging="360"/>
      </w:pPr>
      <w:rPr>
        <w:rFonts w:ascii="Arial" w:hAnsi="Arial" w:hint="default"/>
      </w:rPr>
    </w:lvl>
    <w:lvl w:ilvl="3" w:tplc="1844485C" w:tentative="1">
      <w:start w:val="1"/>
      <w:numFmt w:val="bullet"/>
      <w:lvlText w:val="•"/>
      <w:lvlJc w:val="left"/>
      <w:pPr>
        <w:tabs>
          <w:tab w:val="num" w:pos="2880"/>
        </w:tabs>
        <w:ind w:left="2880" w:hanging="360"/>
      </w:pPr>
      <w:rPr>
        <w:rFonts w:ascii="Arial" w:hAnsi="Arial" w:hint="default"/>
      </w:rPr>
    </w:lvl>
    <w:lvl w:ilvl="4" w:tplc="593E3960" w:tentative="1">
      <w:start w:val="1"/>
      <w:numFmt w:val="bullet"/>
      <w:lvlText w:val="•"/>
      <w:lvlJc w:val="left"/>
      <w:pPr>
        <w:tabs>
          <w:tab w:val="num" w:pos="3600"/>
        </w:tabs>
        <w:ind w:left="3600" w:hanging="360"/>
      </w:pPr>
      <w:rPr>
        <w:rFonts w:ascii="Arial" w:hAnsi="Arial" w:hint="default"/>
      </w:rPr>
    </w:lvl>
    <w:lvl w:ilvl="5" w:tplc="7EAACCE0" w:tentative="1">
      <w:start w:val="1"/>
      <w:numFmt w:val="bullet"/>
      <w:lvlText w:val="•"/>
      <w:lvlJc w:val="left"/>
      <w:pPr>
        <w:tabs>
          <w:tab w:val="num" w:pos="4320"/>
        </w:tabs>
        <w:ind w:left="4320" w:hanging="360"/>
      </w:pPr>
      <w:rPr>
        <w:rFonts w:ascii="Arial" w:hAnsi="Arial" w:hint="default"/>
      </w:rPr>
    </w:lvl>
    <w:lvl w:ilvl="6" w:tplc="56BE275A" w:tentative="1">
      <w:start w:val="1"/>
      <w:numFmt w:val="bullet"/>
      <w:lvlText w:val="•"/>
      <w:lvlJc w:val="left"/>
      <w:pPr>
        <w:tabs>
          <w:tab w:val="num" w:pos="5040"/>
        </w:tabs>
        <w:ind w:left="5040" w:hanging="360"/>
      </w:pPr>
      <w:rPr>
        <w:rFonts w:ascii="Arial" w:hAnsi="Arial" w:hint="default"/>
      </w:rPr>
    </w:lvl>
    <w:lvl w:ilvl="7" w:tplc="28105B76" w:tentative="1">
      <w:start w:val="1"/>
      <w:numFmt w:val="bullet"/>
      <w:lvlText w:val="•"/>
      <w:lvlJc w:val="left"/>
      <w:pPr>
        <w:tabs>
          <w:tab w:val="num" w:pos="5760"/>
        </w:tabs>
        <w:ind w:left="5760" w:hanging="360"/>
      </w:pPr>
      <w:rPr>
        <w:rFonts w:ascii="Arial" w:hAnsi="Arial" w:hint="default"/>
      </w:rPr>
    </w:lvl>
    <w:lvl w:ilvl="8" w:tplc="317A8710" w:tentative="1">
      <w:start w:val="1"/>
      <w:numFmt w:val="bullet"/>
      <w:lvlText w:val="•"/>
      <w:lvlJc w:val="left"/>
      <w:pPr>
        <w:tabs>
          <w:tab w:val="num" w:pos="6480"/>
        </w:tabs>
        <w:ind w:left="6480" w:hanging="360"/>
      </w:pPr>
      <w:rPr>
        <w:rFonts w:ascii="Arial" w:hAnsi="Arial" w:hint="default"/>
      </w:rPr>
    </w:lvl>
  </w:abstractNum>
  <w:abstractNum w:abstractNumId="1">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DB6EC1"/>
    <w:multiLevelType w:val="hybridMultilevel"/>
    <w:tmpl w:val="EA00BD8C"/>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04F96E6C"/>
    <w:multiLevelType w:val="hybridMultilevel"/>
    <w:tmpl w:val="DEAAD420"/>
    <w:lvl w:ilvl="0" w:tplc="798C83A8">
      <w:start w:val="1"/>
      <w:numFmt w:val="bullet"/>
      <w:lvlText w:val="o"/>
      <w:lvlJc w:val="left"/>
      <w:pPr>
        <w:tabs>
          <w:tab w:val="num" w:pos="720"/>
        </w:tabs>
        <w:ind w:left="720" w:hanging="360"/>
      </w:pPr>
      <w:rPr>
        <w:rFonts w:ascii="Courier New" w:hAnsi="Courier New" w:hint="default"/>
      </w:rPr>
    </w:lvl>
    <w:lvl w:ilvl="1" w:tplc="3D381920">
      <w:start w:val="1"/>
      <w:numFmt w:val="bullet"/>
      <w:lvlText w:val="o"/>
      <w:lvlJc w:val="left"/>
      <w:pPr>
        <w:tabs>
          <w:tab w:val="num" w:pos="1440"/>
        </w:tabs>
        <w:ind w:left="1440" w:hanging="360"/>
      </w:pPr>
      <w:rPr>
        <w:rFonts w:ascii="Courier New" w:hAnsi="Courier New" w:hint="default"/>
      </w:rPr>
    </w:lvl>
    <w:lvl w:ilvl="2" w:tplc="41F81240" w:tentative="1">
      <w:start w:val="1"/>
      <w:numFmt w:val="bullet"/>
      <w:lvlText w:val="o"/>
      <w:lvlJc w:val="left"/>
      <w:pPr>
        <w:tabs>
          <w:tab w:val="num" w:pos="2160"/>
        </w:tabs>
        <w:ind w:left="2160" w:hanging="360"/>
      </w:pPr>
      <w:rPr>
        <w:rFonts w:ascii="Courier New" w:hAnsi="Courier New" w:hint="default"/>
      </w:rPr>
    </w:lvl>
    <w:lvl w:ilvl="3" w:tplc="7E1A0C6A" w:tentative="1">
      <w:start w:val="1"/>
      <w:numFmt w:val="bullet"/>
      <w:lvlText w:val="o"/>
      <w:lvlJc w:val="left"/>
      <w:pPr>
        <w:tabs>
          <w:tab w:val="num" w:pos="2880"/>
        </w:tabs>
        <w:ind w:left="2880" w:hanging="360"/>
      </w:pPr>
      <w:rPr>
        <w:rFonts w:ascii="Courier New" w:hAnsi="Courier New" w:hint="default"/>
      </w:rPr>
    </w:lvl>
    <w:lvl w:ilvl="4" w:tplc="84DA1570" w:tentative="1">
      <w:start w:val="1"/>
      <w:numFmt w:val="bullet"/>
      <w:lvlText w:val="o"/>
      <w:lvlJc w:val="left"/>
      <w:pPr>
        <w:tabs>
          <w:tab w:val="num" w:pos="3600"/>
        </w:tabs>
        <w:ind w:left="3600" w:hanging="360"/>
      </w:pPr>
      <w:rPr>
        <w:rFonts w:ascii="Courier New" w:hAnsi="Courier New" w:hint="default"/>
      </w:rPr>
    </w:lvl>
    <w:lvl w:ilvl="5" w:tplc="F24E2D44" w:tentative="1">
      <w:start w:val="1"/>
      <w:numFmt w:val="bullet"/>
      <w:lvlText w:val="o"/>
      <w:lvlJc w:val="left"/>
      <w:pPr>
        <w:tabs>
          <w:tab w:val="num" w:pos="4320"/>
        </w:tabs>
        <w:ind w:left="4320" w:hanging="360"/>
      </w:pPr>
      <w:rPr>
        <w:rFonts w:ascii="Courier New" w:hAnsi="Courier New" w:hint="default"/>
      </w:rPr>
    </w:lvl>
    <w:lvl w:ilvl="6" w:tplc="EAECE1E6" w:tentative="1">
      <w:start w:val="1"/>
      <w:numFmt w:val="bullet"/>
      <w:lvlText w:val="o"/>
      <w:lvlJc w:val="left"/>
      <w:pPr>
        <w:tabs>
          <w:tab w:val="num" w:pos="5040"/>
        </w:tabs>
        <w:ind w:left="5040" w:hanging="360"/>
      </w:pPr>
      <w:rPr>
        <w:rFonts w:ascii="Courier New" w:hAnsi="Courier New" w:hint="default"/>
      </w:rPr>
    </w:lvl>
    <w:lvl w:ilvl="7" w:tplc="AE708EBE" w:tentative="1">
      <w:start w:val="1"/>
      <w:numFmt w:val="bullet"/>
      <w:lvlText w:val="o"/>
      <w:lvlJc w:val="left"/>
      <w:pPr>
        <w:tabs>
          <w:tab w:val="num" w:pos="5760"/>
        </w:tabs>
        <w:ind w:left="5760" w:hanging="360"/>
      </w:pPr>
      <w:rPr>
        <w:rFonts w:ascii="Courier New" w:hAnsi="Courier New" w:hint="default"/>
      </w:rPr>
    </w:lvl>
    <w:lvl w:ilvl="8" w:tplc="AD02B542" w:tentative="1">
      <w:start w:val="1"/>
      <w:numFmt w:val="bullet"/>
      <w:lvlText w:val="o"/>
      <w:lvlJc w:val="left"/>
      <w:pPr>
        <w:tabs>
          <w:tab w:val="num" w:pos="6480"/>
        </w:tabs>
        <w:ind w:left="6480" w:hanging="360"/>
      </w:pPr>
      <w:rPr>
        <w:rFonts w:ascii="Courier New" w:hAnsi="Courier New" w:hint="default"/>
      </w:rPr>
    </w:lvl>
  </w:abstractNum>
  <w:abstractNum w:abstractNumId="4">
    <w:nsid w:val="08BE099A"/>
    <w:multiLevelType w:val="hybridMultilevel"/>
    <w:tmpl w:val="F17E2D38"/>
    <w:lvl w:ilvl="0" w:tplc="3574F0DC">
      <w:start w:val="1"/>
      <w:numFmt w:val="bullet"/>
      <w:lvlText w:val="o"/>
      <w:lvlJc w:val="left"/>
      <w:pPr>
        <w:tabs>
          <w:tab w:val="num" w:pos="720"/>
        </w:tabs>
        <w:ind w:left="720" w:hanging="360"/>
      </w:pPr>
      <w:rPr>
        <w:rFonts w:ascii="Courier New" w:hAnsi="Courier New" w:hint="default"/>
      </w:rPr>
    </w:lvl>
    <w:lvl w:ilvl="1" w:tplc="EF8E9FB6">
      <w:start w:val="1"/>
      <w:numFmt w:val="bullet"/>
      <w:lvlText w:val="o"/>
      <w:lvlJc w:val="left"/>
      <w:pPr>
        <w:tabs>
          <w:tab w:val="num" w:pos="1440"/>
        </w:tabs>
        <w:ind w:left="1440" w:hanging="360"/>
      </w:pPr>
      <w:rPr>
        <w:rFonts w:ascii="Courier New" w:hAnsi="Courier New" w:hint="default"/>
      </w:rPr>
    </w:lvl>
    <w:lvl w:ilvl="2" w:tplc="B1E08E8C" w:tentative="1">
      <w:start w:val="1"/>
      <w:numFmt w:val="bullet"/>
      <w:lvlText w:val="o"/>
      <w:lvlJc w:val="left"/>
      <w:pPr>
        <w:tabs>
          <w:tab w:val="num" w:pos="2160"/>
        </w:tabs>
        <w:ind w:left="2160" w:hanging="360"/>
      </w:pPr>
      <w:rPr>
        <w:rFonts w:ascii="Courier New" w:hAnsi="Courier New" w:hint="default"/>
      </w:rPr>
    </w:lvl>
    <w:lvl w:ilvl="3" w:tplc="F98C397C" w:tentative="1">
      <w:start w:val="1"/>
      <w:numFmt w:val="bullet"/>
      <w:lvlText w:val="o"/>
      <w:lvlJc w:val="left"/>
      <w:pPr>
        <w:tabs>
          <w:tab w:val="num" w:pos="2880"/>
        </w:tabs>
        <w:ind w:left="2880" w:hanging="360"/>
      </w:pPr>
      <w:rPr>
        <w:rFonts w:ascii="Courier New" w:hAnsi="Courier New" w:hint="default"/>
      </w:rPr>
    </w:lvl>
    <w:lvl w:ilvl="4" w:tplc="B7BAF1F0" w:tentative="1">
      <w:start w:val="1"/>
      <w:numFmt w:val="bullet"/>
      <w:lvlText w:val="o"/>
      <w:lvlJc w:val="left"/>
      <w:pPr>
        <w:tabs>
          <w:tab w:val="num" w:pos="3600"/>
        </w:tabs>
        <w:ind w:left="3600" w:hanging="360"/>
      </w:pPr>
      <w:rPr>
        <w:rFonts w:ascii="Courier New" w:hAnsi="Courier New" w:hint="default"/>
      </w:rPr>
    </w:lvl>
    <w:lvl w:ilvl="5" w:tplc="3C40CCF2" w:tentative="1">
      <w:start w:val="1"/>
      <w:numFmt w:val="bullet"/>
      <w:lvlText w:val="o"/>
      <w:lvlJc w:val="left"/>
      <w:pPr>
        <w:tabs>
          <w:tab w:val="num" w:pos="4320"/>
        </w:tabs>
        <w:ind w:left="4320" w:hanging="360"/>
      </w:pPr>
      <w:rPr>
        <w:rFonts w:ascii="Courier New" w:hAnsi="Courier New" w:hint="default"/>
      </w:rPr>
    </w:lvl>
    <w:lvl w:ilvl="6" w:tplc="F7784890" w:tentative="1">
      <w:start w:val="1"/>
      <w:numFmt w:val="bullet"/>
      <w:lvlText w:val="o"/>
      <w:lvlJc w:val="left"/>
      <w:pPr>
        <w:tabs>
          <w:tab w:val="num" w:pos="5040"/>
        </w:tabs>
        <w:ind w:left="5040" w:hanging="360"/>
      </w:pPr>
      <w:rPr>
        <w:rFonts w:ascii="Courier New" w:hAnsi="Courier New" w:hint="default"/>
      </w:rPr>
    </w:lvl>
    <w:lvl w:ilvl="7" w:tplc="0DB2EA0C" w:tentative="1">
      <w:start w:val="1"/>
      <w:numFmt w:val="bullet"/>
      <w:lvlText w:val="o"/>
      <w:lvlJc w:val="left"/>
      <w:pPr>
        <w:tabs>
          <w:tab w:val="num" w:pos="5760"/>
        </w:tabs>
        <w:ind w:left="5760" w:hanging="360"/>
      </w:pPr>
      <w:rPr>
        <w:rFonts w:ascii="Courier New" w:hAnsi="Courier New" w:hint="default"/>
      </w:rPr>
    </w:lvl>
    <w:lvl w:ilvl="8" w:tplc="5EB01ACA" w:tentative="1">
      <w:start w:val="1"/>
      <w:numFmt w:val="bullet"/>
      <w:lvlText w:val="o"/>
      <w:lvlJc w:val="left"/>
      <w:pPr>
        <w:tabs>
          <w:tab w:val="num" w:pos="6480"/>
        </w:tabs>
        <w:ind w:left="6480" w:hanging="360"/>
      </w:pPr>
      <w:rPr>
        <w:rFonts w:ascii="Courier New" w:hAnsi="Courier New" w:hint="default"/>
      </w:rPr>
    </w:lvl>
  </w:abstractNum>
  <w:abstractNum w:abstractNumId="5">
    <w:nsid w:val="09326F30"/>
    <w:multiLevelType w:val="hybridMultilevel"/>
    <w:tmpl w:val="93BAB6B8"/>
    <w:lvl w:ilvl="0" w:tplc="26FE299E">
      <w:start w:val="1"/>
      <w:numFmt w:val="bullet"/>
      <w:lvlText w:val="o"/>
      <w:lvlJc w:val="left"/>
      <w:pPr>
        <w:tabs>
          <w:tab w:val="num" w:pos="720"/>
        </w:tabs>
        <w:ind w:left="720" w:hanging="360"/>
      </w:pPr>
      <w:rPr>
        <w:rFonts w:ascii="Courier New" w:hAnsi="Courier New" w:hint="default"/>
      </w:rPr>
    </w:lvl>
    <w:lvl w:ilvl="1" w:tplc="DF8A3CA4">
      <w:start w:val="1"/>
      <w:numFmt w:val="bullet"/>
      <w:lvlText w:val="o"/>
      <w:lvlJc w:val="left"/>
      <w:pPr>
        <w:tabs>
          <w:tab w:val="num" w:pos="1440"/>
        </w:tabs>
        <w:ind w:left="1440" w:hanging="360"/>
      </w:pPr>
      <w:rPr>
        <w:rFonts w:ascii="Courier New" w:hAnsi="Courier New" w:hint="default"/>
      </w:rPr>
    </w:lvl>
    <w:lvl w:ilvl="2" w:tplc="B104761C" w:tentative="1">
      <w:start w:val="1"/>
      <w:numFmt w:val="bullet"/>
      <w:lvlText w:val="o"/>
      <w:lvlJc w:val="left"/>
      <w:pPr>
        <w:tabs>
          <w:tab w:val="num" w:pos="2160"/>
        </w:tabs>
        <w:ind w:left="2160" w:hanging="360"/>
      </w:pPr>
      <w:rPr>
        <w:rFonts w:ascii="Courier New" w:hAnsi="Courier New" w:hint="default"/>
      </w:rPr>
    </w:lvl>
    <w:lvl w:ilvl="3" w:tplc="73949510" w:tentative="1">
      <w:start w:val="1"/>
      <w:numFmt w:val="bullet"/>
      <w:lvlText w:val="o"/>
      <w:lvlJc w:val="left"/>
      <w:pPr>
        <w:tabs>
          <w:tab w:val="num" w:pos="2880"/>
        </w:tabs>
        <w:ind w:left="2880" w:hanging="360"/>
      </w:pPr>
      <w:rPr>
        <w:rFonts w:ascii="Courier New" w:hAnsi="Courier New" w:hint="default"/>
      </w:rPr>
    </w:lvl>
    <w:lvl w:ilvl="4" w:tplc="1736E26C" w:tentative="1">
      <w:start w:val="1"/>
      <w:numFmt w:val="bullet"/>
      <w:lvlText w:val="o"/>
      <w:lvlJc w:val="left"/>
      <w:pPr>
        <w:tabs>
          <w:tab w:val="num" w:pos="3600"/>
        </w:tabs>
        <w:ind w:left="3600" w:hanging="360"/>
      </w:pPr>
      <w:rPr>
        <w:rFonts w:ascii="Courier New" w:hAnsi="Courier New" w:hint="default"/>
      </w:rPr>
    </w:lvl>
    <w:lvl w:ilvl="5" w:tplc="CCE28022" w:tentative="1">
      <w:start w:val="1"/>
      <w:numFmt w:val="bullet"/>
      <w:lvlText w:val="o"/>
      <w:lvlJc w:val="left"/>
      <w:pPr>
        <w:tabs>
          <w:tab w:val="num" w:pos="4320"/>
        </w:tabs>
        <w:ind w:left="4320" w:hanging="360"/>
      </w:pPr>
      <w:rPr>
        <w:rFonts w:ascii="Courier New" w:hAnsi="Courier New" w:hint="default"/>
      </w:rPr>
    </w:lvl>
    <w:lvl w:ilvl="6" w:tplc="21BA65A2" w:tentative="1">
      <w:start w:val="1"/>
      <w:numFmt w:val="bullet"/>
      <w:lvlText w:val="o"/>
      <w:lvlJc w:val="left"/>
      <w:pPr>
        <w:tabs>
          <w:tab w:val="num" w:pos="5040"/>
        </w:tabs>
        <w:ind w:left="5040" w:hanging="360"/>
      </w:pPr>
      <w:rPr>
        <w:rFonts w:ascii="Courier New" w:hAnsi="Courier New" w:hint="default"/>
      </w:rPr>
    </w:lvl>
    <w:lvl w:ilvl="7" w:tplc="79B48954" w:tentative="1">
      <w:start w:val="1"/>
      <w:numFmt w:val="bullet"/>
      <w:lvlText w:val="o"/>
      <w:lvlJc w:val="left"/>
      <w:pPr>
        <w:tabs>
          <w:tab w:val="num" w:pos="5760"/>
        </w:tabs>
        <w:ind w:left="5760" w:hanging="360"/>
      </w:pPr>
      <w:rPr>
        <w:rFonts w:ascii="Courier New" w:hAnsi="Courier New" w:hint="default"/>
      </w:rPr>
    </w:lvl>
    <w:lvl w:ilvl="8" w:tplc="024EAC6E" w:tentative="1">
      <w:start w:val="1"/>
      <w:numFmt w:val="bullet"/>
      <w:lvlText w:val="o"/>
      <w:lvlJc w:val="left"/>
      <w:pPr>
        <w:tabs>
          <w:tab w:val="num" w:pos="6480"/>
        </w:tabs>
        <w:ind w:left="6480" w:hanging="360"/>
      </w:pPr>
      <w:rPr>
        <w:rFonts w:ascii="Courier New" w:hAnsi="Courier New" w:hint="default"/>
      </w:rPr>
    </w:lvl>
  </w:abstractNum>
  <w:abstractNum w:abstractNumId="6">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065374D"/>
    <w:multiLevelType w:val="hybridMultilevel"/>
    <w:tmpl w:val="9D7E8C02"/>
    <w:lvl w:ilvl="0" w:tplc="A78AD488">
      <w:start w:val="1"/>
      <w:numFmt w:val="bullet"/>
      <w:lvlText w:val="•"/>
      <w:lvlJc w:val="left"/>
      <w:pPr>
        <w:tabs>
          <w:tab w:val="num" w:pos="720"/>
        </w:tabs>
        <w:ind w:left="720" w:hanging="360"/>
      </w:pPr>
      <w:rPr>
        <w:rFonts w:ascii="Arial" w:hAnsi="Arial" w:hint="default"/>
      </w:rPr>
    </w:lvl>
    <w:lvl w:ilvl="1" w:tplc="02586A90" w:tentative="1">
      <w:start w:val="1"/>
      <w:numFmt w:val="bullet"/>
      <w:lvlText w:val="•"/>
      <w:lvlJc w:val="left"/>
      <w:pPr>
        <w:tabs>
          <w:tab w:val="num" w:pos="1440"/>
        </w:tabs>
        <w:ind w:left="1440" w:hanging="360"/>
      </w:pPr>
      <w:rPr>
        <w:rFonts w:ascii="Arial" w:hAnsi="Arial" w:hint="default"/>
      </w:rPr>
    </w:lvl>
    <w:lvl w:ilvl="2" w:tplc="758297D2" w:tentative="1">
      <w:start w:val="1"/>
      <w:numFmt w:val="bullet"/>
      <w:lvlText w:val="•"/>
      <w:lvlJc w:val="left"/>
      <w:pPr>
        <w:tabs>
          <w:tab w:val="num" w:pos="2160"/>
        </w:tabs>
        <w:ind w:left="2160" w:hanging="360"/>
      </w:pPr>
      <w:rPr>
        <w:rFonts w:ascii="Arial" w:hAnsi="Arial" w:hint="default"/>
      </w:rPr>
    </w:lvl>
    <w:lvl w:ilvl="3" w:tplc="EA60EE7C" w:tentative="1">
      <w:start w:val="1"/>
      <w:numFmt w:val="bullet"/>
      <w:lvlText w:val="•"/>
      <w:lvlJc w:val="left"/>
      <w:pPr>
        <w:tabs>
          <w:tab w:val="num" w:pos="2880"/>
        </w:tabs>
        <w:ind w:left="2880" w:hanging="360"/>
      </w:pPr>
      <w:rPr>
        <w:rFonts w:ascii="Arial" w:hAnsi="Arial" w:hint="default"/>
      </w:rPr>
    </w:lvl>
    <w:lvl w:ilvl="4" w:tplc="95CA1304" w:tentative="1">
      <w:start w:val="1"/>
      <w:numFmt w:val="bullet"/>
      <w:lvlText w:val="•"/>
      <w:lvlJc w:val="left"/>
      <w:pPr>
        <w:tabs>
          <w:tab w:val="num" w:pos="3600"/>
        </w:tabs>
        <w:ind w:left="3600" w:hanging="360"/>
      </w:pPr>
      <w:rPr>
        <w:rFonts w:ascii="Arial" w:hAnsi="Arial" w:hint="default"/>
      </w:rPr>
    </w:lvl>
    <w:lvl w:ilvl="5" w:tplc="044E5F42" w:tentative="1">
      <w:start w:val="1"/>
      <w:numFmt w:val="bullet"/>
      <w:lvlText w:val="•"/>
      <w:lvlJc w:val="left"/>
      <w:pPr>
        <w:tabs>
          <w:tab w:val="num" w:pos="4320"/>
        </w:tabs>
        <w:ind w:left="4320" w:hanging="360"/>
      </w:pPr>
      <w:rPr>
        <w:rFonts w:ascii="Arial" w:hAnsi="Arial" w:hint="default"/>
      </w:rPr>
    </w:lvl>
    <w:lvl w:ilvl="6" w:tplc="EBA00E54" w:tentative="1">
      <w:start w:val="1"/>
      <w:numFmt w:val="bullet"/>
      <w:lvlText w:val="•"/>
      <w:lvlJc w:val="left"/>
      <w:pPr>
        <w:tabs>
          <w:tab w:val="num" w:pos="5040"/>
        </w:tabs>
        <w:ind w:left="5040" w:hanging="360"/>
      </w:pPr>
      <w:rPr>
        <w:rFonts w:ascii="Arial" w:hAnsi="Arial" w:hint="default"/>
      </w:rPr>
    </w:lvl>
    <w:lvl w:ilvl="7" w:tplc="E75670CE" w:tentative="1">
      <w:start w:val="1"/>
      <w:numFmt w:val="bullet"/>
      <w:lvlText w:val="•"/>
      <w:lvlJc w:val="left"/>
      <w:pPr>
        <w:tabs>
          <w:tab w:val="num" w:pos="5760"/>
        </w:tabs>
        <w:ind w:left="5760" w:hanging="360"/>
      </w:pPr>
      <w:rPr>
        <w:rFonts w:ascii="Arial" w:hAnsi="Arial" w:hint="default"/>
      </w:rPr>
    </w:lvl>
    <w:lvl w:ilvl="8" w:tplc="0BA65AC4" w:tentative="1">
      <w:start w:val="1"/>
      <w:numFmt w:val="bullet"/>
      <w:lvlText w:val="•"/>
      <w:lvlJc w:val="left"/>
      <w:pPr>
        <w:tabs>
          <w:tab w:val="num" w:pos="6480"/>
        </w:tabs>
        <w:ind w:left="6480" w:hanging="360"/>
      </w:pPr>
      <w:rPr>
        <w:rFonts w:ascii="Arial" w:hAnsi="Arial" w:hint="default"/>
      </w:rPr>
    </w:lvl>
  </w:abstractNum>
  <w:abstractNum w:abstractNumId="8">
    <w:nsid w:val="17F123AE"/>
    <w:multiLevelType w:val="hybridMultilevel"/>
    <w:tmpl w:val="040C93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1D851C99"/>
    <w:multiLevelType w:val="multilevel"/>
    <w:tmpl w:val="930846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2347123B"/>
    <w:multiLevelType w:val="hybridMultilevel"/>
    <w:tmpl w:val="0EF8B454"/>
    <w:lvl w:ilvl="0" w:tplc="788401D0">
      <w:start w:val="1"/>
      <w:numFmt w:val="bullet"/>
      <w:lvlText w:val="•"/>
      <w:lvlJc w:val="left"/>
      <w:pPr>
        <w:tabs>
          <w:tab w:val="num" w:pos="720"/>
        </w:tabs>
        <w:ind w:left="720" w:hanging="360"/>
      </w:pPr>
      <w:rPr>
        <w:rFonts w:ascii="Arial" w:hAnsi="Arial" w:hint="default"/>
      </w:rPr>
    </w:lvl>
    <w:lvl w:ilvl="1" w:tplc="F692F7B0" w:tentative="1">
      <w:start w:val="1"/>
      <w:numFmt w:val="bullet"/>
      <w:lvlText w:val="•"/>
      <w:lvlJc w:val="left"/>
      <w:pPr>
        <w:tabs>
          <w:tab w:val="num" w:pos="1440"/>
        </w:tabs>
        <w:ind w:left="1440" w:hanging="360"/>
      </w:pPr>
      <w:rPr>
        <w:rFonts w:ascii="Arial" w:hAnsi="Arial" w:hint="default"/>
      </w:rPr>
    </w:lvl>
    <w:lvl w:ilvl="2" w:tplc="A3C8BF18" w:tentative="1">
      <w:start w:val="1"/>
      <w:numFmt w:val="bullet"/>
      <w:lvlText w:val="•"/>
      <w:lvlJc w:val="left"/>
      <w:pPr>
        <w:tabs>
          <w:tab w:val="num" w:pos="2160"/>
        </w:tabs>
        <w:ind w:left="2160" w:hanging="360"/>
      </w:pPr>
      <w:rPr>
        <w:rFonts w:ascii="Arial" w:hAnsi="Arial" w:hint="default"/>
      </w:rPr>
    </w:lvl>
    <w:lvl w:ilvl="3" w:tplc="72082C24" w:tentative="1">
      <w:start w:val="1"/>
      <w:numFmt w:val="bullet"/>
      <w:lvlText w:val="•"/>
      <w:lvlJc w:val="left"/>
      <w:pPr>
        <w:tabs>
          <w:tab w:val="num" w:pos="2880"/>
        </w:tabs>
        <w:ind w:left="2880" w:hanging="360"/>
      </w:pPr>
      <w:rPr>
        <w:rFonts w:ascii="Arial" w:hAnsi="Arial" w:hint="default"/>
      </w:rPr>
    </w:lvl>
    <w:lvl w:ilvl="4" w:tplc="E5FA4DE6" w:tentative="1">
      <w:start w:val="1"/>
      <w:numFmt w:val="bullet"/>
      <w:lvlText w:val="•"/>
      <w:lvlJc w:val="left"/>
      <w:pPr>
        <w:tabs>
          <w:tab w:val="num" w:pos="3600"/>
        </w:tabs>
        <w:ind w:left="3600" w:hanging="360"/>
      </w:pPr>
      <w:rPr>
        <w:rFonts w:ascii="Arial" w:hAnsi="Arial" w:hint="default"/>
      </w:rPr>
    </w:lvl>
    <w:lvl w:ilvl="5" w:tplc="E654E016" w:tentative="1">
      <w:start w:val="1"/>
      <w:numFmt w:val="bullet"/>
      <w:lvlText w:val="•"/>
      <w:lvlJc w:val="left"/>
      <w:pPr>
        <w:tabs>
          <w:tab w:val="num" w:pos="4320"/>
        </w:tabs>
        <w:ind w:left="4320" w:hanging="360"/>
      </w:pPr>
      <w:rPr>
        <w:rFonts w:ascii="Arial" w:hAnsi="Arial" w:hint="default"/>
      </w:rPr>
    </w:lvl>
    <w:lvl w:ilvl="6" w:tplc="550E565E" w:tentative="1">
      <w:start w:val="1"/>
      <w:numFmt w:val="bullet"/>
      <w:lvlText w:val="•"/>
      <w:lvlJc w:val="left"/>
      <w:pPr>
        <w:tabs>
          <w:tab w:val="num" w:pos="5040"/>
        </w:tabs>
        <w:ind w:left="5040" w:hanging="360"/>
      </w:pPr>
      <w:rPr>
        <w:rFonts w:ascii="Arial" w:hAnsi="Arial" w:hint="default"/>
      </w:rPr>
    </w:lvl>
    <w:lvl w:ilvl="7" w:tplc="E8D85326" w:tentative="1">
      <w:start w:val="1"/>
      <w:numFmt w:val="bullet"/>
      <w:lvlText w:val="•"/>
      <w:lvlJc w:val="left"/>
      <w:pPr>
        <w:tabs>
          <w:tab w:val="num" w:pos="5760"/>
        </w:tabs>
        <w:ind w:left="5760" w:hanging="360"/>
      </w:pPr>
      <w:rPr>
        <w:rFonts w:ascii="Arial" w:hAnsi="Arial" w:hint="default"/>
      </w:rPr>
    </w:lvl>
    <w:lvl w:ilvl="8" w:tplc="6C6CF5E8" w:tentative="1">
      <w:start w:val="1"/>
      <w:numFmt w:val="bullet"/>
      <w:lvlText w:val="•"/>
      <w:lvlJc w:val="left"/>
      <w:pPr>
        <w:tabs>
          <w:tab w:val="num" w:pos="6480"/>
        </w:tabs>
        <w:ind w:left="6480" w:hanging="360"/>
      </w:pPr>
      <w:rPr>
        <w:rFonts w:ascii="Arial" w:hAnsi="Arial" w:hint="default"/>
      </w:rPr>
    </w:lvl>
  </w:abstractNum>
  <w:abstractNum w:abstractNumId="11">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7470DE4"/>
    <w:multiLevelType w:val="hybridMultilevel"/>
    <w:tmpl w:val="3E3E3102"/>
    <w:lvl w:ilvl="0" w:tplc="66625036">
      <w:start w:val="1"/>
      <w:numFmt w:val="bullet"/>
      <w:lvlText w:val="•"/>
      <w:lvlJc w:val="left"/>
      <w:pPr>
        <w:tabs>
          <w:tab w:val="num" w:pos="720"/>
        </w:tabs>
        <w:ind w:left="720" w:hanging="360"/>
      </w:pPr>
      <w:rPr>
        <w:rFonts w:ascii="Arial" w:hAnsi="Arial" w:hint="default"/>
      </w:rPr>
    </w:lvl>
    <w:lvl w:ilvl="1" w:tplc="774ACD2E" w:tentative="1">
      <w:start w:val="1"/>
      <w:numFmt w:val="bullet"/>
      <w:lvlText w:val="•"/>
      <w:lvlJc w:val="left"/>
      <w:pPr>
        <w:tabs>
          <w:tab w:val="num" w:pos="1440"/>
        </w:tabs>
        <w:ind w:left="1440" w:hanging="360"/>
      </w:pPr>
      <w:rPr>
        <w:rFonts w:ascii="Arial" w:hAnsi="Arial" w:hint="default"/>
      </w:rPr>
    </w:lvl>
    <w:lvl w:ilvl="2" w:tplc="FD2E61F0" w:tentative="1">
      <w:start w:val="1"/>
      <w:numFmt w:val="bullet"/>
      <w:lvlText w:val="•"/>
      <w:lvlJc w:val="left"/>
      <w:pPr>
        <w:tabs>
          <w:tab w:val="num" w:pos="2160"/>
        </w:tabs>
        <w:ind w:left="2160" w:hanging="360"/>
      </w:pPr>
      <w:rPr>
        <w:rFonts w:ascii="Arial" w:hAnsi="Arial" w:hint="default"/>
      </w:rPr>
    </w:lvl>
    <w:lvl w:ilvl="3" w:tplc="C9EAC2A4" w:tentative="1">
      <w:start w:val="1"/>
      <w:numFmt w:val="bullet"/>
      <w:lvlText w:val="•"/>
      <w:lvlJc w:val="left"/>
      <w:pPr>
        <w:tabs>
          <w:tab w:val="num" w:pos="2880"/>
        </w:tabs>
        <w:ind w:left="2880" w:hanging="360"/>
      </w:pPr>
      <w:rPr>
        <w:rFonts w:ascii="Arial" w:hAnsi="Arial" w:hint="default"/>
      </w:rPr>
    </w:lvl>
    <w:lvl w:ilvl="4" w:tplc="7E4482A4" w:tentative="1">
      <w:start w:val="1"/>
      <w:numFmt w:val="bullet"/>
      <w:lvlText w:val="•"/>
      <w:lvlJc w:val="left"/>
      <w:pPr>
        <w:tabs>
          <w:tab w:val="num" w:pos="3600"/>
        </w:tabs>
        <w:ind w:left="3600" w:hanging="360"/>
      </w:pPr>
      <w:rPr>
        <w:rFonts w:ascii="Arial" w:hAnsi="Arial" w:hint="default"/>
      </w:rPr>
    </w:lvl>
    <w:lvl w:ilvl="5" w:tplc="5F34A416" w:tentative="1">
      <w:start w:val="1"/>
      <w:numFmt w:val="bullet"/>
      <w:lvlText w:val="•"/>
      <w:lvlJc w:val="left"/>
      <w:pPr>
        <w:tabs>
          <w:tab w:val="num" w:pos="4320"/>
        </w:tabs>
        <w:ind w:left="4320" w:hanging="360"/>
      </w:pPr>
      <w:rPr>
        <w:rFonts w:ascii="Arial" w:hAnsi="Arial" w:hint="default"/>
      </w:rPr>
    </w:lvl>
    <w:lvl w:ilvl="6" w:tplc="7E18E242" w:tentative="1">
      <w:start w:val="1"/>
      <w:numFmt w:val="bullet"/>
      <w:lvlText w:val="•"/>
      <w:lvlJc w:val="left"/>
      <w:pPr>
        <w:tabs>
          <w:tab w:val="num" w:pos="5040"/>
        </w:tabs>
        <w:ind w:left="5040" w:hanging="360"/>
      </w:pPr>
      <w:rPr>
        <w:rFonts w:ascii="Arial" w:hAnsi="Arial" w:hint="default"/>
      </w:rPr>
    </w:lvl>
    <w:lvl w:ilvl="7" w:tplc="B4468D8C" w:tentative="1">
      <w:start w:val="1"/>
      <w:numFmt w:val="bullet"/>
      <w:lvlText w:val="•"/>
      <w:lvlJc w:val="left"/>
      <w:pPr>
        <w:tabs>
          <w:tab w:val="num" w:pos="5760"/>
        </w:tabs>
        <w:ind w:left="5760" w:hanging="360"/>
      </w:pPr>
      <w:rPr>
        <w:rFonts w:ascii="Arial" w:hAnsi="Arial" w:hint="default"/>
      </w:rPr>
    </w:lvl>
    <w:lvl w:ilvl="8" w:tplc="BE6E1DE4" w:tentative="1">
      <w:start w:val="1"/>
      <w:numFmt w:val="bullet"/>
      <w:lvlText w:val="•"/>
      <w:lvlJc w:val="left"/>
      <w:pPr>
        <w:tabs>
          <w:tab w:val="num" w:pos="6480"/>
        </w:tabs>
        <w:ind w:left="6480" w:hanging="360"/>
      </w:pPr>
      <w:rPr>
        <w:rFonts w:ascii="Arial" w:hAnsi="Arial" w:hint="default"/>
      </w:rPr>
    </w:lvl>
  </w:abstractNum>
  <w:abstractNum w:abstractNumId="13">
    <w:nsid w:val="284E6825"/>
    <w:multiLevelType w:val="multilevel"/>
    <w:tmpl w:val="8800FA8C"/>
    <w:lvl w:ilvl="0">
      <w:start w:val="1"/>
      <w:numFmt w:val="decimal"/>
      <w:pStyle w:val="Heading1"/>
      <w:lvlText w:val="%1"/>
      <w:lvlJc w:val="left"/>
      <w:pPr>
        <w:ind w:left="432" w:hanging="432"/>
      </w:pPr>
      <w:rPr>
        <w:rFonts w:hint="default"/>
        <w:b/>
        <w:i w:val="0"/>
      </w:rPr>
    </w:lvl>
    <w:lvl w:ilvl="1">
      <w:start w:val="1"/>
      <w:numFmt w:val="decimal"/>
      <w:lvlText w:val="%1.%2"/>
      <w:lvlJc w:val="left"/>
      <w:pPr>
        <w:ind w:left="860" w:hanging="576"/>
      </w:pPr>
      <w:rPr>
        <w:rFonts w:hint="default"/>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B2241CC"/>
    <w:multiLevelType w:val="hybridMultilevel"/>
    <w:tmpl w:val="C3AAEE4C"/>
    <w:lvl w:ilvl="0" w:tplc="831C5C64">
      <w:start w:val="1"/>
      <w:numFmt w:val="bullet"/>
      <w:lvlText w:val="•"/>
      <w:lvlJc w:val="left"/>
      <w:pPr>
        <w:tabs>
          <w:tab w:val="num" w:pos="720"/>
        </w:tabs>
        <w:ind w:left="720" w:hanging="360"/>
      </w:pPr>
      <w:rPr>
        <w:rFonts w:ascii="Arial" w:hAnsi="Arial" w:hint="default"/>
      </w:rPr>
    </w:lvl>
    <w:lvl w:ilvl="1" w:tplc="055A9006">
      <w:start w:val="595"/>
      <w:numFmt w:val="bullet"/>
      <w:lvlText w:val="o"/>
      <w:lvlJc w:val="left"/>
      <w:pPr>
        <w:tabs>
          <w:tab w:val="num" w:pos="1440"/>
        </w:tabs>
        <w:ind w:left="1440" w:hanging="360"/>
      </w:pPr>
      <w:rPr>
        <w:rFonts w:ascii="Courier New" w:hAnsi="Courier New" w:hint="default"/>
      </w:rPr>
    </w:lvl>
    <w:lvl w:ilvl="2" w:tplc="A204F412" w:tentative="1">
      <w:start w:val="1"/>
      <w:numFmt w:val="bullet"/>
      <w:lvlText w:val="•"/>
      <w:lvlJc w:val="left"/>
      <w:pPr>
        <w:tabs>
          <w:tab w:val="num" w:pos="2160"/>
        </w:tabs>
        <w:ind w:left="2160" w:hanging="360"/>
      </w:pPr>
      <w:rPr>
        <w:rFonts w:ascii="Arial" w:hAnsi="Arial" w:hint="default"/>
      </w:rPr>
    </w:lvl>
    <w:lvl w:ilvl="3" w:tplc="D9C873B2" w:tentative="1">
      <w:start w:val="1"/>
      <w:numFmt w:val="bullet"/>
      <w:lvlText w:val="•"/>
      <w:lvlJc w:val="left"/>
      <w:pPr>
        <w:tabs>
          <w:tab w:val="num" w:pos="2880"/>
        </w:tabs>
        <w:ind w:left="2880" w:hanging="360"/>
      </w:pPr>
      <w:rPr>
        <w:rFonts w:ascii="Arial" w:hAnsi="Arial" w:hint="default"/>
      </w:rPr>
    </w:lvl>
    <w:lvl w:ilvl="4" w:tplc="EC4A9382" w:tentative="1">
      <w:start w:val="1"/>
      <w:numFmt w:val="bullet"/>
      <w:lvlText w:val="•"/>
      <w:lvlJc w:val="left"/>
      <w:pPr>
        <w:tabs>
          <w:tab w:val="num" w:pos="3600"/>
        </w:tabs>
        <w:ind w:left="3600" w:hanging="360"/>
      </w:pPr>
      <w:rPr>
        <w:rFonts w:ascii="Arial" w:hAnsi="Arial" w:hint="default"/>
      </w:rPr>
    </w:lvl>
    <w:lvl w:ilvl="5" w:tplc="5D1A49A4" w:tentative="1">
      <w:start w:val="1"/>
      <w:numFmt w:val="bullet"/>
      <w:lvlText w:val="•"/>
      <w:lvlJc w:val="left"/>
      <w:pPr>
        <w:tabs>
          <w:tab w:val="num" w:pos="4320"/>
        </w:tabs>
        <w:ind w:left="4320" w:hanging="360"/>
      </w:pPr>
      <w:rPr>
        <w:rFonts w:ascii="Arial" w:hAnsi="Arial" w:hint="default"/>
      </w:rPr>
    </w:lvl>
    <w:lvl w:ilvl="6" w:tplc="6D82A3B0" w:tentative="1">
      <w:start w:val="1"/>
      <w:numFmt w:val="bullet"/>
      <w:lvlText w:val="•"/>
      <w:lvlJc w:val="left"/>
      <w:pPr>
        <w:tabs>
          <w:tab w:val="num" w:pos="5040"/>
        </w:tabs>
        <w:ind w:left="5040" w:hanging="360"/>
      </w:pPr>
      <w:rPr>
        <w:rFonts w:ascii="Arial" w:hAnsi="Arial" w:hint="default"/>
      </w:rPr>
    </w:lvl>
    <w:lvl w:ilvl="7" w:tplc="45E0F22E" w:tentative="1">
      <w:start w:val="1"/>
      <w:numFmt w:val="bullet"/>
      <w:lvlText w:val="•"/>
      <w:lvlJc w:val="left"/>
      <w:pPr>
        <w:tabs>
          <w:tab w:val="num" w:pos="5760"/>
        </w:tabs>
        <w:ind w:left="5760" w:hanging="360"/>
      </w:pPr>
      <w:rPr>
        <w:rFonts w:ascii="Arial" w:hAnsi="Arial" w:hint="default"/>
      </w:rPr>
    </w:lvl>
    <w:lvl w:ilvl="8" w:tplc="7CE0FAC6" w:tentative="1">
      <w:start w:val="1"/>
      <w:numFmt w:val="bullet"/>
      <w:lvlText w:val="•"/>
      <w:lvlJc w:val="left"/>
      <w:pPr>
        <w:tabs>
          <w:tab w:val="num" w:pos="6480"/>
        </w:tabs>
        <w:ind w:left="6480" w:hanging="360"/>
      </w:pPr>
      <w:rPr>
        <w:rFonts w:ascii="Arial" w:hAnsi="Arial" w:hint="default"/>
      </w:rPr>
    </w:lvl>
  </w:abstractNum>
  <w:abstractNum w:abstractNumId="16">
    <w:nsid w:val="3F1A1401"/>
    <w:multiLevelType w:val="hybridMultilevel"/>
    <w:tmpl w:val="28468B5C"/>
    <w:lvl w:ilvl="0" w:tplc="B1967034">
      <w:start w:val="1"/>
      <w:numFmt w:val="bullet"/>
      <w:lvlText w:val="•"/>
      <w:lvlJc w:val="left"/>
      <w:pPr>
        <w:tabs>
          <w:tab w:val="num" w:pos="720"/>
        </w:tabs>
        <w:ind w:left="720" w:hanging="360"/>
      </w:pPr>
      <w:rPr>
        <w:rFonts w:ascii="Arial" w:hAnsi="Arial" w:hint="default"/>
      </w:rPr>
    </w:lvl>
    <w:lvl w:ilvl="1" w:tplc="EEAE4F10" w:tentative="1">
      <w:start w:val="1"/>
      <w:numFmt w:val="bullet"/>
      <w:lvlText w:val="•"/>
      <w:lvlJc w:val="left"/>
      <w:pPr>
        <w:tabs>
          <w:tab w:val="num" w:pos="1440"/>
        </w:tabs>
        <w:ind w:left="1440" w:hanging="360"/>
      </w:pPr>
      <w:rPr>
        <w:rFonts w:ascii="Arial" w:hAnsi="Arial" w:hint="default"/>
      </w:rPr>
    </w:lvl>
    <w:lvl w:ilvl="2" w:tplc="78BA02BA" w:tentative="1">
      <w:start w:val="1"/>
      <w:numFmt w:val="bullet"/>
      <w:lvlText w:val="•"/>
      <w:lvlJc w:val="left"/>
      <w:pPr>
        <w:tabs>
          <w:tab w:val="num" w:pos="2160"/>
        </w:tabs>
        <w:ind w:left="2160" w:hanging="360"/>
      </w:pPr>
      <w:rPr>
        <w:rFonts w:ascii="Arial" w:hAnsi="Arial" w:hint="default"/>
      </w:rPr>
    </w:lvl>
    <w:lvl w:ilvl="3" w:tplc="F014F31E" w:tentative="1">
      <w:start w:val="1"/>
      <w:numFmt w:val="bullet"/>
      <w:lvlText w:val="•"/>
      <w:lvlJc w:val="left"/>
      <w:pPr>
        <w:tabs>
          <w:tab w:val="num" w:pos="2880"/>
        </w:tabs>
        <w:ind w:left="2880" w:hanging="360"/>
      </w:pPr>
      <w:rPr>
        <w:rFonts w:ascii="Arial" w:hAnsi="Arial" w:hint="default"/>
      </w:rPr>
    </w:lvl>
    <w:lvl w:ilvl="4" w:tplc="485EC916" w:tentative="1">
      <w:start w:val="1"/>
      <w:numFmt w:val="bullet"/>
      <w:lvlText w:val="•"/>
      <w:lvlJc w:val="left"/>
      <w:pPr>
        <w:tabs>
          <w:tab w:val="num" w:pos="3600"/>
        </w:tabs>
        <w:ind w:left="3600" w:hanging="360"/>
      </w:pPr>
      <w:rPr>
        <w:rFonts w:ascii="Arial" w:hAnsi="Arial" w:hint="default"/>
      </w:rPr>
    </w:lvl>
    <w:lvl w:ilvl="5" w:tplc="01E03902" w:tentative="1">
      <w:start w:val="1"/>
      <w:numFmt w:val="bullet"/>
      <w:lvlText w:val="•"/>
      <w:lvlJc w:val="left"/>
      <w:pPr>
        <w:tabs>
          <w:tab w:val="num" w:pos="4320"/>
        </w:tabs>
        <w:ind w:left="4320" w:hanging="360"/>
      </w:pPr>
      <w:rPr>
        <w:rFonts w:ascii="Arial" w:hAnsi="Arial" w:hint="default"/>
      </w:rPr>
    </w:lvl>
    <w:lvl w:ilvl="6" w:tplc="871EF2E4" w:tentative="1">
      <w:start w:val="1"/>
      <w:numFmt w:val="bullet"/>
      <w:lvlText w:val="•"/>
      <w:lvlJc w:val="left"/>
      <w:pPr>
        <w:tabs>
          <w:tab w:val="num" w:pos="5040"/>
        </w:tabs>
        <w:ind w:left="5040" w:hanging="360"/>
      </w:pPr>
      <w:rPr>
        <w:rFonts w:ascii="Arial" w:hAnsi="Arial" w:hint="default"/>
      </w:rPr>
    </w:lvl>
    <w:lvl w:ilvl="7" w:tplc="D20EF940" w:tentative="1">
      <w:start w:val="1"/>
      <w:numFmt w:val="bullet"/>
      <w:lvlText w:val="•"/>
      <w:lvlJc w:val="left"/>
      <w:pPr>
        <w:tabs>
          <w:tab w:val="num" w:pos="5760"/>
        </w:tabs>
        <w:ind w:left="5760" w:hanging="360"/>
      </w:pPr>
      <w:rPr>
        <w:rFonts w:ascii="Arial" w:hAnsi="Arial" w:hint="default"/>
      </w:rPr>
    </w:lvl>
    <w:lvl w:ilvl="8" w:tplc="A326863C" w:tentative="1">
      <w:start w:val="1"/>
      <w:numFmt w:val="bullet"/>
      <w:lvlText w:val="•"/>
      <w:lvlJc w:val="left"/>
      <w:pPr>
        <w:tabs>
          <w:tab w:val="num" w:pos="6480"/>
        </w:tabs>
        <w:ind w:left="6480" w:hanging="360"/>
      </w:pPr>
      <w:rPr>
        <w:rFonts w:ascii="Arial" w:hAnsi="Arial" w:hint="default"/>
      </w:rPr>
    </w:lvl>
  </w:abstractNum>
  <w:abstractNum w:abstractNumId="17">
    <w:nsid w:val="48151F2B"/>
    <w:multiLevelType w:val="hybridMultilevel"/>
    <w:tmpl w:val="F0467406"/>
    <w:lvl w:ilvl="0" w:tplc="ABD24CC8">
      <w:start w:val="1"/>
      <w:numFmt w:val="bullet"/>
      <w:lvlText w:val="•"/>
      <w:lvlJc w:val="left"/>
      <w:pPr>
        <w:tabs>
          <w:tab w:val="num" w:pos="720"/>
        </w:tabs>
        <w:ind w:left="720" w:hanging="360"/>
      </w:pPr>
      <w:rPr>
        <w:rFonts w:ascii="Arial" w:hAnsi="Arial" w:hint="default"/>
      </w:rPr>
    </w:lvl>
    <w:lvl w:ilvl="1" w:tplc="FE46595E" w:tentative="1">
      <w:start w:val="1"/>
      <w:numFmt w:val="bullet"/>
      <w:lvlText w:val="•"/>
      <w:lvlJc w:val="left"/>
      <w:pPr>
        <w:tabs>
          <w:tab w:val="num" w:pos="1440"/>
        </w:tabs>
        <w:ind w:left="1440" w:hanging="360"/>
      </w:pPr>
      <w:rPr>
        <w:rFonts w:ascii="Arial" w:hAnsi="Arial" w:hint="default"/>
      </w:rPr>
    </w:lvl>
    <w:lvl w:ilvl="2" w:tplc="00AC141E" w:tentative="1">
      <w:start w:val="1"/>
      <w:numFmt w:val="bullet"/>
      <w:lvlText w:val="•"/>
      <w:lvlJc w:val="left"/>
      <w:pPr>
        <w:tabs>
          <w:tab w:val="num" w:pos="2160"/>
        </w:tabs>
        <w:ind w:left="2160" w:hanging="360"/>
      </w:pPr>
      <w:rPr>
        <w:rFonts w:ascii="Arial" w:hAnsi="Arial" w:hint="default"/>
      </w:rPr>
    </w:lvl>
    <w:lvl w:ilvl="3" w:tplc="2168E61A" w:tentative="1">
      <w:start w:val="1"/>
      <w:numFmt w:val="bullet"/>
      <w:lvlText w:val="•"/>
      <w:lvlJc w:val="left"/>
      <w:pPr>
        <w:tabs>
          <w:tab w:val="num" w:pos="2880"/>
        </w:tabs>
        <w:ind w:left="2880" w:hanging="360"/>
      </w:pPr>
      <w:rPr>
        <w:rFonts w:ascii="Arial" w:hAnsi="Arial" w:hint="default"/>
      </w:rPr>
    </w:lvl>
    <w:lvl w:ilvl="4" w:tplc="2932AF16" w:tentative="1">
      <w:start w:val="1"/>
      <w:numFmt w:val="bullet"/>
      <w:lvlText w:val="•"/>
      <w:lvlJc w:val="left"/>
      <w:pPr>
        <w:tabs>
          <w:tab w:val="num" w:pos="3600"/>
        </w:tabs>
        <w:ind w:left="3600" w:hanging="360"/>
      </w:pPr>
      <w:rPr>
        <w:rFonts w:ascii="Arial" w:hAnsi="Arial" w:hint="default"/>
      </w:rPr>
    </w:lvl>
    <w:lvl w:ilvl="5" w:tplc="76AE8456" w:tentative="1">
      <w:start w:val="1"/>
      <w:numFmt w:val="bullet"/>
      <w:lvlText w:val="•"/>
      <w:lvlJc w:val="left"/>
      <w:pPr>
        <w:tabs>
          <w:tab w:val="num" w:pos="4320"/>
        </w:tabs>
        <w:ind w:left="4320" w:hanging="360"/>
      </w:pPr>
      <w:rPr>
        <w:rFonts w:ascii="Arial" w:hAnsi="Arial" w:hint="default"/>
      </w:rPr>
    </w:lvl>
    <w:lvl w:ilvl="6" w:tplc="6C4AECC4" w:tentative="1">
      <w:start w:val="1"/>
      <w:numFmt w:val="bullet"/>
      <w:lvlText w:val="•"/>
      <w:lvlJc w:val="left"/>
      <w:pPr>
        <w:tabs>
          <w:tab w:val="num" w:pos="5040"/>
        </w:tabs>
        <w:ind w:left="5040" w:hanging="360"/>
      </w:pPr>
      <w:rPr>
        <w:rFonts w:ascii="Arial" w:hAnsi="Arial" w:hint="default"/>
      </w:rPr>
    </w:lvl>
    <w:lvl w:ilvl="7" w:tplc="AF0E35F0" w:tentative="1">
      <w:start w:val="1"/>
      <w:numFmt w:val="bullet"/>
      <w:lvlText w:val="•"/>
      <w:lvlJc w:val="left"/>
      <w:pPr>
        <w:tabs>
          <w:tab w:val="num" w:pos="5760"/>
        </w:tabs>
        <w:ind w:left="5760" w:hanging="360"/>
      </w:pPr>
      <w:rPr>
        <w:rFonts w:ascii="Arial" w:hAnsi="Arial" w:hint="default"/>
      </w:rPr>
    </w:lvl>
    <w:lvl w:ilvl="8" w:tplc="8DBE33BA" w:tentative="1">
      <w:start w:val="1"/>
      <w:numFmt w:val="bullet"/>
      <w:lvlText w:val="•"/>
      <w:lvlJc w:val="left"/>
      <w:pPr>
        <w:tabs>
          <w:tab w:val="num" w:pos="6480"/>
        </w:tabs>
        <w:ind w:left="6480" w:hanging="360"/>
      </w:pPr>
      <w:rPr>
        <w:rFonts w:ascii="Arial" w:hAnsi="Arial" w:hint="default"/>
      </w:rPr>
    </w:lvl>
  </w:abstractNum>
  <w:abstractNum w:abstractNumId="18">
    <w:nsid w:val="482337F9"/>
    <w:multiLevelType w:val="hybridMultilevel"/>
    <w:tmpl w:val="0CB04216"/>
    <w:lvl w:ilvl="0" w:tplc="CE94A9D0">
      <w:start w:val="1"/>
      <w:numFmt w:val="bullet"/>
      <w:lvlText w:val="•"/>
      <w:lvlJc w:val="left"/>
      <w:pPr>
        <w:tabs>
          <w:tab w:val="num" w:pos="720"/>
        </w:tabs>
        <w:ind w:left="720" w:hanging="360"/>
      </w:pPr>
      <w:rPr>
        <w:rFonts w:ascii="Arial" w:hAnsi="Arial" w:hint="default"/>
      </w:rPr>
    </w:lvl>
    <w:lvl w:ilvl="1" w:tplc="0C8EED26" w:tentative="1">
      <w:start w:val="1"/>
      <w:numFmt w:val="bullet"/>
      <w:lvlText w:val="•"/>
      <w:lvlJc w:val="left"/>
      <w:pPr>
        <w:tabs>
          <w:tab w:val="num" w:pos="1440"/>
        </w:tabs>
        <w:ind w:left="1440" w:hanging="360"/>
      </w:pPr>
      <w:rPr>
        <w:rFonts w:ascii="Arial" w:hAnsi="Arial" w:hint="default"/>
      </w:rPr>
    </w:lvl>
    <w:lvl w:ilvl="2" w:tplc="51245CD6" w:tentative="1">
      <w:start w:val="1"/>
      <w:numFmt w:val="bullet"/>
      <w:lvlText w:val="•"/>
      <w:lvlJc w:val="left"/>
      <w:pPr>
        <w:tabs>
          <w:tab w:val="num" w:pos="2160"/>
        </w:tabs>
        <w:ind w:left="2160" w:hanging="360"/>
      </w:pPr>
      <w:rPr>
        <w:rFonts w:ascii="Arial" w:hAnsi="Arial" w:hint="default"/>
      </w:rPr>
    </w:lvl>
    <w:lvl w:ilvl="3" w:tplc="091E11BA" w:tentative="1">
      <w:start w:val="1"/>
      <w:numFmt w:val="bullet"/>
      <w:lvlText w:val="•"/>
      <w:lvlJc w:val="left"/>
      <w:pPr>
        <w:tabs>
          <w:tab w:val="num" w:pos="2880"/>
        </w:tabs>
        <w:ind w:left="2880" w:hanging="360"/>
      </w:pPr>
      <w:rPr>
        <w:rFonts w:ascii="Arial" w:hAnsi="Arial" w:hint="default"/>
      </w:rPr>
    </w:lvl>
    <w:lvl w:ilvl="4" w:tplc="8CB6BFBE" w:tentative="1">
      <w:start w:val="1"/>
      <w:numFmt w:val="bullet"/>
      <w:lvlText w:val="•"/>
      <w:lvlJc w:val="left"/>
      <w:pPr>
        <w:tabs>
          <w:tab w:val="num" w:pos="3600"/>
        </w:tabs>
        <w:ind w:left="3600" w:hanging="360"/>
      </w:pPr>
      <w:rPr>
        <w:rFonts w:ascii="Arial" w:hAnsi="Arial" w:hint="default"/>
      </w:rPr>
    </w:lvl>
    <w:lvl w:ilvl="5" w:tplc="57469310" w:tentative="1">
      <w:start w:val="1"/>
      <w:numFmt w:val="bullet"/>
      <w:lvlText w:val="•"/>
      <w:lvlJc w:val="left"/>
      <w:pPr>
        <w:tabs>
          <w:tab w:val="num" w:pos="4320"/>
        </w:tabs>
        <w:ind w:left="4320" w:hanging="360"/>
      </w:pPr>
      <w:rPr>
        <w:rFonts w:ascii="Arial" w:hAnsi="Arial" w:hint="default"/>
      </w:rPr>
    </w:lvl>
    <w:lvl w:ilvl="6" w:tplc="48DA24D0" w:tentative="1">
      <w:start w:val="1"/>
      <w:numFmt w:val="bullet"/>
      <w:lvlText w:val="•"/>
      <w:lvlJc w:val="left"/>
      <w:pPr>
        <w:tabs>
          <w:tab w:val="num" w:pos="5040"/>
        </w:tabs>
        <w:ind w:left="5040" w:hanging="360"/>
      </w:pPr>
      <w:rPr>
        <w:rFonts w:ascii="Arial" w:hAnsi="Arial" w:hint="default"/>
      </w:rPr>
    </w:lvl>
    <w:lvl w:ilvl="7" w:tplc="8984F992" w:tentative="1">
      <w:start w:val="1"/>
      <w:numFmt w:val="bullet"/>
      <w:lvlText w:val="•"/>
      <w:lvlJc w:val="left"/>
      <w:pPr>
        <w:tabs>
          <w:tab w:val="num" w:pos="5760"/>
        </w:tabs>
        <w:ind w:left="5760" w:hanging="360"/>
      </w:pPr>
      <w:rPr>
        <w:rFonts w:ascii="Arial" w:hAnsi="Arial" w:hint="default"/>
      </w:rPr>
    </w:lvl>
    <w:lvl w:ilvl="8" w:tplc="12F490C8" w:tentative="1">
      <w:start w:val="1"/>
      <w:numFmt w:val="bullet"/>
      <w:lvlText w:val="•"/>
      <w:lvlJc w:val="left"/>
      <w:pPr>
        <w:tabs>
          <w:tab w:val="num" w:pos="6480"/>
        </w:tabs>
        <w:ind w:left="6480" w:hanging="360"/>
      </w:pPr>
      <w:rPr>
        <w:rFonts w:ascii="Arial" w:hAnsi="Arial" w:hint="default"/>
      </w:rPr>
    </w:lvl>
  </w:abstractNum>
  <w:abstractNum w:abstractNumId="19">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B2934A1"/>
    <w:multiLevelType w:val="hybridMultilevel"/>
    <w:tmpl w:val="90188D08"/>
    <w:lvl w:ilvl="0" w:tplc="FD1253EE">
      <w:start w:val="1"/>
      <w:numFmt w:val="bullet"/>
      <w:lvlText w:val="•"/>
      <w:lvlJc w:val="left"/>
      <w:pPr>
        <w:tabs>
          <w:tab w:val="num" w:pos="720"/>
        </w:tabs>
        <w:ind w:left="720" w:hanging="360"/>
      </w:pPr>
      <w:rPr>
        <w:rFonts w:ascii="Arial" w:hAnsi="Arial" w:hint="default"/>
      </w:rPr>
    </w:lvl>
    <w:lvl w:ilvl="1" w:tplc="49304996" w:tentative="1">
      <w:start w:val="1"/>
      <w:numFmt w:val="bullet"/>
      <w:lvlText w:val="•"/>
      <w:lvlJc w:val="left"/>
      <w:pPr>
        <w:tabs>
          <w:tab w:val="num" w:pos="1440"/>
        </w:tabs>
        <w:ind w:left="1440" w:hanging="360"/>
      </w:pPr>
      <w:rPr>
        <w:rFonts w:ascii="Arial" w:hAnsi="Arial" w:hint="default"/>
      </w:rPr>
    </w:lvl>
    <w:lvl w:ilvl="2" w:tplc="8E8277EC" w:tentative="1">
      <w:start w:val="1"/>
      <w:numFmt w:val="bullet"/>
      <w:lvlText w:val="•"/>
      <w:lvlJc w:val="left"/>
      <w:pPr>
        <w:tabs>
          <w:tab w:val="num" w:pos="2160"/>
        </w:tabs>
        <w:ind w:left="2160" w:hanging="360"/>
      </w:pPr>
      <w:rPr>
        <w:rFonts w:ascii="Arial" w:hAnsi="Arial" w:hint="default"/>
      </w:rPr>
    </w:lvl>
    <w:lvl w:ilvl="3" w:tplc="05D86A22" w:tentative="1">
      <w:start w:val="1"/>
      <w:numFmt w:val="bullet"/>
      <w:lvlText w:val="•"/>
      <w:lvlJc w:val="left"/>
      <w:pPr>
        <w:tabs>
          <w:tab w:val="num" w:pos="2880"/>
        </w:tabs>
        <w:ind w:left="2880" w:hanging="360"/>
      </w:pPr>
      <w:rPr>
        <w:rFonts w:ascii="Arial" w:hAnsi="Arial" w:hint="default"/>
      </w:rPr>
    </w:lvl>
    <w:lvl w:ilvl="4" w:tplc="326E0674" w:tentative="1">
      <w:start w:val="1"/>
      <w:numFmt w:val="bullet"/>
      <w:lvlText w:val="•"/>
      <w:lvlJc w:val="left"/>
      <w:pPr>
        <w:tabs>
          <w:tab w:val="num" w:pos="3600"/>
        </w:tabs>
        <w:ind w:left="3600" w:hanging="360"/>
      </w:pPr>
      <w:rPr>
        <w:rFonts w:ascii="Arial" w:hAnsi="Arial" w:hint="default"/>
      </w:rPr>
    </w:lvl>
    <w:lvl w:ilvl="5" w:tplc="DCA08474" w:tentative="1">
      <w:start w:val="1"/>
      <w:numFmt w:val="bullet"/>
      <w:lvlText w:val="•"/>
      <w:lvlJc w:val="left"/>
      <w:pPr>
        <w:tabs>
          <w:tab w:val="num" w:pos="4320"/>
        </w:tabs>
        <w:ind w:left="4320" w:hanging="360"/>
      </w:pPr>
      <w:rPr>
        <w:rFonts w:ascii="Arial" w:hAnsi="Arial" w:hint="default"/>
      </w:rPr>
    </w:lvl>
    <w:lvl w:ilvl="6" w:tplc="F8EAAC2C" w:tentative="1">
      <w:start w:val="1"/>
      <w:numFmt w:val="bullet"/>
      <w:lvlText w:val="•"/>
      <w:lvlJc w:val="left"/>
      <w:pPr>
        <w:tabs>
          <w:tab w:val="num" w:pos="5040"/>
        </w:tabs>
        <w:ind w:left="5040" w:hanging="360"/>
      </w:pPr>
      <w:rPr>
        <w:rFonts w:ascii="Arial" w:hAnsi="Arial" w:hint="default"/>
      </w:rPr>
    </w:lvl>
    <w:lvl w:ilvl="7" w:tplc="86422190" w:tentative="1">
      <w:start w:val="1"/>
      <w:numFmt w:val="bullet"/>
      <w:lvlText w:val="•"/>
      <w:lvlJc w:val="left"/>
      <w:pPr>
        <w:tabs>
          <w:tab w:val="num" w:pos="5760"/>
        </w:tabs>
        <w:ind w:left="5760" w:hanging="360"/>
      </w:pPr>
      <w:rPr>
        <w:rFonts w:ascii="Arial" w:hAnsi="Arial" w:hint="default"/>
      </w:rPr>
    </w:lvl>
    <w:lvl w:ilvl="8" w:tplc="D95AFD78" w:tentative="1">
      <w:start w:val="1"/>
      <w:numFmt w:val="bullet"/>
      <w:lvlText w:val="•"/>
      <w:lvlJc w:val="left"/>
      <w:pPr>
        <w:tabs>
          <w:tab w:val="num" w:pos="6480"/>
        </w:tabs>
        <w:ind w:left="6480" w:hanging="360"/>
      </w:pPr>
      <w:rPr>
        <w:rFonts w:ascii="Arial" w:hAnsi="Arial" w:hint="default"/>
      </w:rPr>
    </w:lvl>
  </w:abstractNum>
  <w:abstractNum w:abstractNumId="21">
    <w:nsid w:val="508D7F7B"/>
    <w:multiLevelType w:val="hybridMultilevel"/>
    <w:tmpl w:val="EC30790E"/>
    <w:lvl w:ilvl="0" w:tplc="6A580F32">
      <w:start w:val="1"/>
      <w:numFmt w:val="bullet"/>
      <w:lvlText w:val="•"/>
      <w:lvlJc w:val="left"/>
      <w:pPr>
        <w:tabs>
          <w:tab w:val="num" w:pos="720"/>
        </w:tabs>
        <w:ind w:left="720" w:hanging="360"/>
      </w:pPr>
      <w:rPr>
        <w:rFonts w:ascii="Arial" w:hAnsi="Arial" w:hint="default"/>
      </w:rPr>
    </w:lvl>
    <w:lvl w:ilvl="1" w:tplc="71CC10CA">
      <w:start w:val="523"/>
      <w:numFmt w:val="bullet"/>
      <w:lvlText w:val="o"/>
      <w:lvlJc w:val="left"/>
      <w:pPr>
        <w:tabs>
          <w:tab w:val="num" w:pos="1440"/>
        </w:tabs>
        <w:ind w:left="1440" w:hanging="360"/>
      </w:pPr>
      <w:rPr>
        <w:rFonts w:ascii="Courier New" w:hAnsi="Courier New" w:hint="default"/>
      </w:rPr>
    </w:lvl>
    <w:lvl w:ilvl="2" w:tplc="9A4A7A6C" w:tentative="1">
      <w:start w:val="1"/>
      <w:numFmt w:val="bullet"/>
      <w:lvlText w:val="•"/>
      <w:lvlJc w:val="left"/>
      <w:pPr>
        <w:tabs>
          <w:tab w:val="num" w:pos="2160"/>
        </w:tabs>
        <w:ind w:left="2160" w:hanging="360"/>
      </w:pPr>
      <w:rPr>
        <w:rFonts w:ascii="Arial" w:hAnsi="Arial" w:hint="default"/>
      </w:rPr>
    </w:lvl>
    <w:lvl w:ilvl="3" w:tplc="EA0A15B2" w:tentative="1">
      <w:start w:val="1"/>
      <w:numFmt w:val="bullet"/>
      <w:lvlText w:val="•"/>
      <w:lvlJc w:val="left"/>
      <w:pPr>
        <w:tabs>
          <w:tab w:val="num" w:pos="2880"/>
        </w:tabs>
        <w:ind w:left="2880" w:hanging="360"/>
      </w:pPr>
      <w:rPr>
        <w:rFonts w:ascii="Arial" w:hAnsi="Arial" w:hint="default"/>
      </w:rPr>
    </w:lvl>
    <w:lvl w:ilvl="4" w:tplc="D382B06A" w:tentative="1">
      <w:start w:val="1"/>
      <w:numFmt w:val="bullet"/>
      <w:lvlText w:val="•"/>
      <w:lvlJc w:val="left"/>
      <w:pPr>
        <w:tabs>
          <w:tab w:val="num" w:pos="3600"/>
        </w:tabs>
        <w:ind w:left="3600" w:hanging="360"/>
      </w:pPr>
      <w:rPr>
        <w:rFonts w:ascii="Arial" w:hAnsi="Arial" w:hint="default"/>
      </w:rPr>
    </w:lvl>
    <w:lvl w:ilvl="5" w:tplc="73C85418" w:tentative="1">
      <w:start w:val="1"/>
      <w:numFmt w:val="bullet"/>
      <w:lvlText w:val="•"/>
      <w:lvlJc w:val="left"/>
      <w:pPr>
        <w:tabs>
          <w:tab w:val="num" w:pos="4320"/>
        </w:tabs>
        <w:ind w:left="4320" w:hanging="360"/>
      </w:pPr>
      <w:rPr>
        <w:rFonts w:ascii="Arial" w:hAnsi="Arial" w:hint="default"/>
      </w:rPr>
    </w:lvl>
    <w:lvl w:ilvl="6" w:tplc="A25E6400" w:tentative="1">
      <w:start w:val="1"/>
      <w:numFmt w:val="bullet"/>
      <w:lvlText w:val="•"/>
      <w:lvlJc w:val="left"/>
      <w:pPr>
        <w:tabs>
          <w:tab w:val="num" w:pos="5040"/>
        </w:tabs>
        <w:ind w:left="5040" w:hanging="360"/>
      </w:pPr>
      <w:rPr>
        <w:rFonts w:ascii="Arial" w:hAnsi="Arial" w:hint="default"/>
      </w:rPr>
    </w:lvl>
    <w:lvl w:ilvl="7" w:tplc="BB263FD0" w:tentative="1">
      <w:start w:val="1"/>
      <w:numFmt w:val="bullet"/>
      <w:lvlText w:val="•"/>
      <w:lvlJc w:val="left"/>
      <w:pPr>
        <w:tabs>
          <w:tab w:val="num" w:pos="5760"/>
        </w:tabs>
        <w:ind w:left="5760" w:hanging="360"/>
      </w:pPr>
      <w:rPr>
        <w:rFonts w:ascii="Arial" w:hAnsi="Arial" w:hint="default"/>
      </w:rPr>
    </w:lvl>
    <w:lvl w:ilvl="8" w:tplc="7AB2635A" w:tentative="1">
      <w:start w:val="1"/>
      <w:numFmt w:val="bullet"/>
      <w:lvlText w:val="•"/>
      <w:lvlJc w:val="left"/>
      <w:pPr>
        <w:tabs>
          <w:tab w:val="num" w:pos="6480"/>
        </w:tabs>
        <w:ind w:left="6480" w:hanging="360"/>
      </w:pPr>
      <w:rPr>
        <w:rFonts w:ascii="Arial" w:hAnsi="Arial" w:hint="default"/>
      </w:rPr>
    </w:lvl>
  </w:abstractNum>
  <w:abstractNum w:abstractNumId="22">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6BB7F68"/>
    <w:multiLevelType w:val="hybridMultilevel"/>
    <w:tmpl w:val="3B9404A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4">
    <w:nsid w:val="5EB62B65"/>
    <w:multiLevelType w:val="hybridMultilevel"/>
    <w:tmpl w:val="EB2C95C2"/>
    <w:lvl w:ilvl="0" w:tplc="CD885BA4">
      <w:start w:val="1"/>
      <w:numFmt w:val="bullet"/>
      <w:lvlText w:val="•"/>
      <w:lvlJc w:val="left"/>
      <w:pPr>
        <w:tabs>
          <w:tab w:val="num" w:pos="720"/>
        </w:tabs>
        <w:ind w:left="720" w:hanging="360"/>
      </w:pPr>
      <w:rPr>
        <w:rFonts w:ascii="Arial" w:hAnsi="Arial" w:hint="default"/>
      </w:rPr>
    </w:lvl>
    <w:lvl w:ilvl="1" w:tplc="02000FA8" w:tentative="1">
      <w:start w:val="1"/>
      <w:numFmt w:val="bullet"/>
      <w:lvlText w:val="•"/>
      <w:lvlJc w:val="left"/>
      <w:pPr>
        <w:tabs>
          <w:tab w:val="num" w:pos="1440"/>
        </w:tabs>
        <w:ind w:left="1440" w:hanging="360"/>
      </w:pPr>
      <w:rPr>
        <w:rFonts w:ascii="Arial" w:hAnsi="Arial" w:hint="default"/>
      </w:rPr>
    </w:lvl>
    <w:lvl w:ilvl="2" w:tplc="186646A8" w:tentative="1">
      <w:start w:val="1"/>
      <w:numFmt w:val="bullet"/>
      <w:lvlText w:val="•"/>
      <w:lvlJc w:val="left"/>
      <w:pPr>
        <w:tabs>
          <w:tab w:val="num" w:pos="2160"/>
        </w:tabs>
        <w:ind w:left="2160" w:hanging="360"/>
      </w:pPr>
      <w:rPr>
        <w:rFonts w:ascii="Arial" w:hAnsi="Arial" w:hint="default"/>
      </w:rPr>
    </w:lvl>
    <w:lvl w:ilvl="3" w:tplc="177893DC" w:tentative="1">
      <w:start w:val="1"/>
      <w:numFmt w:val="bullet"/>
      <w:lvlText w:val="•"/>
      <w:lvlJc w:val="left"/>
      <w:pPr>
        <w:tabs>
          <w:tab w:val="num" w:pos="2880"/>
        </w:tabs>
        <w:ind w:left="2880" w:hanging="360"/>
      </w:pPr>
      <w:rPr>
        <w:rFonts w:ascii="Arial" w:hAnsi="Arial" w:hint="default"/>
      </w:rPr>
    </w:lvl>
    <w:lvl w:ilvl="4" w:tplc="C5389CDC" w:tentative="1">
      <w:start w:val="1"/>
      <w:numFmt w:val="bullet"/>
      <w:lvlText w:val="•"/>
      <w:lvlJc w:val="left"/>
      <w:pPr>
        <w:tabs>
          <w:tab w:val="num" w:pos="3600"/>
        </w:tabs>
        <w:ind w:left="3600" w:hanging="360"/>
      </w:pPr>
      <w:rPr>
        <w:rFonts w:ascii="Arial" w:hAnsi="Arial" w:hint="default"/>
      </w:rPr>
    </w:lvl>
    <w:lvl w:ilvl="5" w:tplc="2398058C" w:tentative="1">
      <w:start w:val="1"/>
      <w:numFmt w:val="bullet"/>
      <w:lvlText w:val="•"/>
      <w:lvlJc w:val="left"/>
      <w:pPr>
        <w:tabs>
          <w:tab w:val="num" w:pos="4320"/>
        </w:tabs>
        <w:ind w:left="4320" w:hanging="360"/>
      </w:pPr>
      <w:rPr>
        <w:rFonts w:ascii="Arial" w:hAnsi="Arial" w:hint="default"/>
      </w:rPr>
    </w:lvl>
    <w:lvl w:ilvl="6" w:tplc="2F0C3FAC" w:tentative="1">
      <w:start w:val="1"/>
      <w:numFmt w:val="bullet"/>
      <w:lvlText w:val="•"/>
      <w:lvlJc w:val="left"/>
      <w:pPr>
        <w:tabs>
          <w:tab w:val="num" w:pos="5040"/>
        </w:tabs>
        <w:ind w:left="5040" w:hanging="360"/>
      </w:pPr>
      <w:rPr>
        <w:rFonts w:ascii="Arial" w:hAnsi="Arial" w:hint="default"/>
      </w:rPr>
    </w:lvl>
    <w:lvl w:ilvl="7" w:tplc="3B34B9F2" w:tentative="1">
      <w:start w:val="1"/>
      <w:numFmt w:val="bullet"/>
      <w:lvlText w:val="•"/>
      <w:lvlJc w:val="left"/>
      <w:pPr>
        <w:tabs>
          <w:tab w:val="num" w:pos="5760"/>
        </w:tabs>
        <w:ind w:left="5760" w:hanging="360"/>
      </w:pPr>
      <w:rPr>
        <w:rFonts w:ascii="Arial" w:hAnsi="Arial" w:hint="default"/>
      </w:rPr>
    </w:lvl>
    <w:lvl w:ilvl="8" w:tplc="EE76DA9C" w:tentative="1">
      <w:start w:val="1"/>
      <w:numFmt w:val="bullet"/>
      <w:lvlText w:val="•"/>
      <w:lvlJc w:val="left"/>
      <w:pPr>
        <w:tabs>
          <w:tab w:val="num" w:pos="6480"/>
        </w:tabs>
        <w:ind w:left="6480" w:hanging="360"/>
      </w:pPr>
      <w:rPr>
        <w:rFonts w:ascii="Arial" w:hAnsi="Arial" w:hint="default"/>
      </w:rPr>
    </w:lvl>
  </w:abstractNum>
  <w:abstractNum w:abstractNumId="25">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FF57F43"/>
    <w:multiLevelType w:val="hybridMultilevel"/>
    <w:tmpl w:val="FFA89EBC"/>
    <w:lvl w:ilvl="0" w:tplc="005C24F0">
      <w:start w:val="1"/>
      <w:numFmt w:val="bullet"/>
      <w:lvlText w:val="•"/>
      <w:lvlJc w:val="left"/>
      <w:pPr>
        <w:tabs>
          <w:tab w:val="num" w:pos="720"/>
        </w:tabs>
        <w:ind w:left="720" w:hanging="360"/>
      </w:pPr>
      <w:rPr>
        <w:rFonts w:ascii="Arial" w:hAnsi="Arial" w:hint="default"/>
      </w:rPr>
    </w:lvl>
    <w:lvl w:ilvl="1" w:tplc="8B722C90">
      <w:start w:val="1"/>
      <w:numFmt w:val="bullet"/>
      <w:lvlText w:val="•"/>
      <w:lvlJc w:val="left"/>
      <w:pPr>
        <w:tabs>
          <w:tab w:val="num" w:pos="1440"/>
        </w:tabs>
        <w:ind w:left="1440" w:hanging="360"/>
      </w:pPr>
      <w:rPr>
        <w:rFonts w:ascii="Arial" w:hAnsi="Arial" w:hint="default"/>
      </w:rPr>
    </w:lvl>
    <w:lvl w:ilvl="2" w:tplc="F1D065B2" w:tentative="1">
      <w:start w:val="1"/>
      <w:numFmt w:val="bullet"/>
      <w:lvlText w:val="•"/>
      <w:lvlJc w:val="left"/>
      <w:pPr>
        <w:tabs>
          <w:tab w:val="num" w:pos="2160"/>
        </w:tabs>
        <w:ind w:left="2160" w:hanging="360"/>
      </w:pPr>
      <w:rPr>
        <w:rFonts w:ascii="Arial" w:hAnsi="Arial" w:hint="default"/>
      </w:rPr>
    </w:lvl>
    <w:lvl w:ilvl="3" w:tplc="D9461174" w:tentative="1">
      <w:start w:val="1"/>
      <w:numFmt w:val="bullet"/>
      <w:lvlText w:val="•"/>
      <w:lvlJc w:val="left"/>
      <w:pPr>
        <w:tabs>
          <w:tab w:val="num" w:pos="2880"/>
        </w:tabs>
        <w:ind w:left="2880" w:hanging="360"/>
      </w:pPr>
      <w:rPr>
        <w:rFonts w:ascii="Arial" w:hAnsi="Arial" w:hint="default"/>
      </w:rPr>
    </w:lvl>
    <w:lvl w:ilvl="4" w:tplc="06A2CF3A" w:tentative="1">
      <w:start w:val="1"/>
      <w:numFmt w:val="bullet"/>
      <w:lvlText w:val="•"/>
      <w:lvlJc w:val="left"/>
      <w:pPr>
        <w:tabs>
          <w:tab w:val="num" w:pos="3600"/>
        </w:tabs>
        <w:ind w:left="3600" w:hanging="360"/>
      </w:pPr>
      <w:rPr>
        <w:rFonts w:ascii="Arial" w:hAnsi="Arial" w:hint="default"/>
      </w:rPr>
    </w:lvl>
    <w:lvl w:ilvl="5" w:tplc="8AA2F812" w:tentative="1">
      <w:start w:val="1"/>
      <w:numFmt w:val="bullet"/>
      <w:lvlText w:val="•"/>
      <w:lvlJc w:val="left"/>
      <w:pPr>
        <w:tabs>
          <w:tab w:val="num" w:pos="4320"/>
        </w:tabs>
        <w:ind w:left="4320" w:hanging="360"/>
      </w:pPr>
      <w:rPr>
        <w:rFonts w:ascii="Arial" w:hAnsi="Arial" w:hint="default"/>
      </w:rPr>
    </w:lvl>
    <w:lvl w:ilvl="6" w:tplc="4D006610" w:tentative="1">
      <w:start w:val="1"/>
      <w:numFmt w:val="bullet"/>
      <w:lvlText w:val="•"/>
      <w:lvlJc w:val="left"/>
      <w:pPr>
        <w:tabs>
          <w:tab w:val="num" w:pos="5040"/>
        </w:tabs>
        <w:ind w:left="5040" w:hanging="360"/>
      </w:pPr>
      <w:rPr>
        <w:rFonts w:ascii="Arial" w:hAnsi="Arial" w:hint="default"/>
      </w:rPr>
    </w:lvl>
    <w:lvl w:ilvl="7" w:tplc="13424384" w:tentative="1">
      <w:start w:val="1"/>
      <w:numFmt w:val="bullet"/>
      <w:lvlText w:val="•"/>
      <w:lvlJc w:val="left"/>
      <w:pPr>
        <w:tabs>
          <w:tab w:val="num" w:pos="5760"/>
        </w:tabs>
        <w:ind w:left="5760" w:hanging="360"/>
      </w:pPr>
      <w:rPr>
        <w:rFonts w:ascii="Arial" w:hAnsi="Arial" w:hint="default"/>
      </w:rPr>
    </w:lvl>
    <w:lvl w:ilvl="8" w:tplc="7576A102" w:tentative="1">
      <w:start w:val="1"/>
      <w:numFmt w:val="bullet"/>
      <w:lvlText w:val="•"/>
      <w:lvlJc w:val="left"/>
      <w:pPr>
        <w:tabs>
          <w:tab w:val="num" w:pos="6480"/>
        </w:tabs>
        <w:ind w:left="6480" w:hanging="360"/>
      </w:pPr>
      <w:rPr>
        <w:rFonts w:ascii="Arial" w:hAnsi="Arial" w:hint="default"/>
      </w:rPr>
    </w:lvl>
  </w:abstractNum>
  <w:abstractNum w:abstractNumId="27">
    <w:nsid w:val="6E9225C3"/>
    <w:multiLevelType w:val="hybridMultilevel"/>
    <w:tmpl w:val="DFC4F5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nsid w:val="777F0935"/>
    <w:multiLevelType w:val="hybridMultilevel"/>
    <w:tmpl w:val="6742E2F2"/>
    <w:lvl w:ilvl="0" w:tplc="ED9E7A30">
      <w:start w:val="1"/>
      <w:numFmt w:val="upperLetter"/>
      <w:pStyle w:val="Numbering"/>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84D033C"/>
    <w:multiLevelType w:val="multilevel"/>
    <w:tmpl w:val="13CA770C"/>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78855969"/>
    <w:multiLevelType w:val="hybridMultilevel"/>
    <w:tmpl w:val="4198D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A3C26DF"/>
    <w:multiLevelType w:val="hybridMultilevel"/>
    <w:tmpl w:val="FEC46CA8"/>
    <w:lvl w:ilvl="0" w:tplc="0C090001">
      <w:start w:val="1"/>
      <w:numFmt w:val="bullet"/>
      <w:lvlText w:val=""/>
      <w:lvlJc w:val="left"/>
      <w:pPr>
        <w:ind w:left="1296" w:hanging="360"/>
      </w:pPr>
      <w:rPr>
        <w:rFonts w:ascii="Symbol" w:hAnsi="Symbol" w:hint="default"/>
      </w:rPr>
    </w:lvl>
    <w:lvl w:ilvl="1" w:tplc="0C090003" w:tentative="1">
      <w:start w:val="1"/>
      <w:numFmt w:val="bullet"/>
      <w:lvlText w:val="o"/>
      <w:lvlJc w:val="left"/>
      <w:pPr>
        <w:ind w:left="2016" w:hanging="360"/>
      </w:pPr>
      <w:rPr>
        <w:rFonts w:ascii="Courier New" w:hAnsi="Courier New" w:cs="Courier New" w:hint="default"/>
      </w:rPr>
    </w:lvl>
    <w:lvl w:ilvl="2" w:tplc="0C090005" w:tentative="1">
      <w:start w:val="1"/>
      <w:numFmt w:val="bullet"/>
      <w:lvlText w:val=""/>
      <w:lvlJc w:val="left"/>
      <w:pPr>
        <w:ind w:left="2736" w:hanging="360"/>
      </w:pPr>
      <w:rPr>
        <w:rFonts w:ascii="Wingdings" w:hAnsi="Wingdings" w:hint="default"/>
      </w:rPr>
    </w:lvl>
    <w:lvl w:ilvl="3" w:tplc="0C090001" w:tentative="1">
      <w:start w:val="1"/>
      <w:numFmt w:val="bullet"/>
      <w:lvlText w:val=""/>
      <w:lvlJc w:val="left"/>
      <w:pPr>
        <w:ind w:left="3456" w:hanging="360"/>
      </w:pPr>
      <w:rPr>
        <w:rFonts w:ascii="Symbol" w:hAnsi="Symbol" w:hint="default"/>
      </w:rPr>
    </w:lvl>
    <w:lvl w:ilvl="4" w:tplc="0C090003" w:tentative="1">
      <w:start w:val="1"/>
      <w:numFmt w:val="bullet"/>
      <w:lvlText w:val="o"/>
      <w:lvlJc w:val="left"/>
      <w:pPr>
        <w:ind w:left="4176" w:hanging="360"/>
      </w:pPr>
      <w:rPr>
        <w:rFonts w:ascii="Courier New" w:hAnsi="Courier New" w:cs="Courier New" w:hint="default"/>
      </w:rPr>
    </w:lvl>
    <w:lvl w:ilvl="5" w:tplc="0C090005" w:tentative="1">
      <w:start w:val="1"/>
      <w:numFmt w:val="bullet"/>
      <w:lvlText w:val=""/>
      <w:lvlJc w:val="left"/>
      <w:pPr>
        <w:ind w:left="4896" w:hanging="360"/>
      </w:pPr>
      <w:rPr>
        <w:rFonts w:ascii="Wingdings" w:hAnsi="Wingdings" w:hint="default"/>
      </w:rPr>
    </w:lvl>
    <w:lvl w:ilvl="6" w:tplc="0C090001" w:tentative="1">
      <w:start w:val="1"/>
      <w:numFmt w:val="bullet"/>
      <w:lvlText w:val=""/>
      <w:lvlJc w:val="left"/>
      <w:pPr>
        <w:ind w:left="5616" w:hanging="360"/>
      </w:pPr>
      <w:rPr>
        <w:rFonts w:ascii="Symbol" w:hAnsi="Symbol" w:hint="default"/>
      </w:rPr>
    </w:lvl>
    <w:lvl w:ilvl="7" w:tplc="0C090003" w:tentative="1">
      <w:start w:val="1"/>
      <w:numFmt w:val="bullet"/>
      <w:lvlText w:val="o"/>
      <w:lvlJc w:val="left"/>
      <w:pPr>
        <w:ind w:left="6336" w:hanging="360"/>
      </w:pPr>
      <w:rPr>
        <w:rFonts w:ascii="Courier New" w:hAnsi="Courier New" w:cs="Courier New" w:hint="default"/>
      </w:rPr>
    </w:lvl>
    <w:lvl w:ilvl="8" w:tplc="0C090005" w:tentative="1">
      <w:start w:val="1"/>
      <w:numFmt w:val="bullet"/>
      <w:lvlText w:val=""/>
      <w:lvlJc w:val="left"/>
      <w:pPr>
        <w:ind w:left="7056" w:hanging="360"/>
      </w:pPr>
      <w:rPr>
        <w:rFonts w:ascii="Wingdings" w:hAnsi="Wingdings" w:hint="default"/>
      </w:rPr>
    </w:lvl>
  </w:abstractNum>
  <w:abstractNum w:abstractNumId="32">
    <w:nsid w:val="7BB92974"/>
    <w:multiLevelType w:val="hybridMultilevel"/>
    <w:tmpl w:val="198C65CE"/>
    <w:lvl w:ilvl="0" w:tplc="04F6BA56">
      <w:start w:val="1"/>
      <w:numFmt w:val="bullet"/>
      <w:lvlText w:val="•"/>
      <w:lvlJc w:val="left"/>
      <w:pPr>
        <w:tabs>
          <w:tab w:val="num" w:pos="720"/>
        </w:tabs>
        <w:ind w:left="720" w:hanging="360"/>
      </w:pPr>
      <w:rPr>
        <w:rFonts w:ascii="Arial" w:hAnsi="Arial" w:hint="default"/>
      </w:rPr>
    </w:lvl>
    <w:lvl w:ilvl="1" w:tplc="2730A570">
      <w:start w:val="1124"/>
      <w:numFmt w:val="bullet"/>
      <w:lvlText w:val="o"/>
      <w:lvlJc w:val="left"/>
      <w:pPr>
        <w:tabs>
          <w:tab w:val="num" w:pos="1440"/>
        </w:tabs>
        <w:ind w:left="1440" w:hanging="360"/>
      </w:pPr>
      <w:rPr>
        <w:rFonts w:ascii="Courier New" w:hAnsi="Courier New" w:hint="default"/>
      </w:rPr>
    </w:lvl>
    <w:lvl w:ilvl="2" w:tplc="5380D37C" w:tentative="1">
      <w:start w:val="1"/>
      <w:numFmt w:val="bullet"/>
      <w:lvlText w:val="•"/>
      <w:lvlJc w:val="left"/>
      <w:pPr>
        <w:tabs>
          <w:tab w:val="num" w:pos="2160"/>
        </w:tabs>
        <w:ind w:left="2160" w:hanging="360"/>
      </w:pPr>
      <w:rPr>
        <w:rFonts w:ascii="Arial" w:hAnsi="Arial" w:hint="default"/>
      </w:rPr>
    </w:lvl>
    <w:lvl w:ilvl="3" w:tplc="E4A41C98" w:tentative="1">
      <w:start w:val="1"/>
      <w:numFmt w:val="bullet"/>
      <w:lvlText w:val="•"/>
      <w:lvlJc w:val="left"/>
      <w:pPr>
        <w:tabs>
          <w:tab w:val="num" w:pos="2880"/>
        </w:tabs>
        <w:ind w:left="2880" w:hanging="360"/>
      </w:pPr>
      <w:rPr>
        <w:rFonts w:ascii="Arial" w:hAnsi="Arial" w:hint="default"/>
      </w:rPr>
    </w:lvl>
    <w:lvl w:ilvl="4" w:tplc="49A8025A" w:tentative="1">
      <w:start w:val="1"/>
      <w:numFmt w:val="bullet"/>
      <w:lvlText w:val="•"/>
      <w:lvlJc w:val="left"/>
      <w:pPr>
        <w:tabs>
          <w:tab w:val="num" w:pos="3600"/>
        </w:tabs>
        <w:ind w:left="3600" w:hanging="360"/>
      </w:pPr>
      <w:rPr>
        <w:rFonts w:ascii="Arial" w:hAnsi="Arial" w:hint="default"/>
      </w:rPr>
    </w:lvl>
    <w:lvl w:ilvl="5" w:tplc="B02E59F6" w:tentative="1">
      <w:start w:val="1"/>
      <w:numFmt w:val="bullet"/>
      <w:lvlText w:val="•"/>
      <w:lvlJc w:val="left"/>
      <w:pPr>
        <w:tabs>
          <w:tab w:val="num" w:pos="4320"/>
        </w:tabs>
        <w:ind w:left="4320" w:hanging="360"/>
      </w:pPr>
      <w:rPr>
        <w:rFonts w:ascii="Arial" w:hAnsi="Arial" w:hint="default"/>
      </w:rPr>
    </w:lvl>
    <w:lvl w:ilvl="6" w:tplc="983EEA70" w:tentative="1">
      <w:start w:val="1"/>
      <w:numFmt w:val="bullet"/>
      <w:lvlText w:val="•"/>
      <w:lvlJc w:val="left"/>
      <w:pPr>
        <w:tabs>
          <w:tab w:val="num" w:pos="5040"/>
        </w:tabs>
        <w:ind w:left="5040" w:hanging="360"/>
      </w:pPr>
      <w:rPr>
        <w:rFonts w:ascii="Arial" w:hAnsi="Arial" w:hint="default"/>
      </w:rPr>
    </w:lvl>
    <w:lvl w:ilvl="7" w:tplc="597680B2" w:tentative="1">
      <w:start w:val="1"/>
      <w:numFmt w:val="bullet"/>
      <w:lvlText w:val="•"/>
      <w:lvlJc w:val="left"/>
      <w:pPr>
        <w:tabs>
          <w:tab w:val="num" w:pos="5760"/>
        </w:tabs>
        <w:ind w:left="5760" w:hanging="360"/>
      </w:pPr>
      <w:rPr>
        <w:rFonts w:ascii="Arial" w:hAnsi="Arial" w:hint="default"/>
      </w:rPr>
    </w:lvl>
    <w:lvl w:ilvl="8" w:tplc="A3F8CDB2"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19"/>
  </w:num>
  <w:num w:numId="3">
    <w:abstractNumId w:val="2"/>
  </w:num>
  <w:num w:numId="4">
    <w:abstractNumId w:val="29"/>
  </w:num>
  <w:num w:numId="5">
    <w:abstractNumId w:val="14"/>
  </w:num>
  <w:num w:numId="6">
    <w:abstractNumId w:val="25"/>
  </w:num>
  <w:num w:numId="7">
    <w:abstractNumId w:val="30"/>
  </w:num>
  <w:num w:numId="8">
    <w:abstractNumId w:val="31"/>
  </w:num>
  <w:num w:numId="9">
    <w:abstractNumId w:val="28"/>
  </w:num>
  <w:num w:numId="10">
    <w:abstractNumId w:val="8"/>
  </w:num>
  <w:num w:numId="11">
    <w:abstractNumId w:val="27"/>
  </w:num>
  <w:num w:numId="12">
    <w:abstractNumId w:val="22"/>
  </w:num>
  <w:num w:numId="13">
    <w:abstractNumId w:val="6"/>
  </w:num>
  <w:num w:numId="14">
    <w:abstractNumId w:val="1"/>
  </w:num>
  <w:num w:numId="15">
    <w:abstractNumId w:val="11"/>
  </w:num>
  <w:num w:numId="16">
    <w:abstractNumId w:val="20"/>
  </w:num>
  <w:num w:numId="17">
    <w:abstractNumId w:val="7"/>
  </w:num>
  <w:num w:numId="18">
    <w:abstractNumId w:val="0"/>
  </w:num>
  <w:num w:numId="19">
    <w:abstractNumId w:val="18"/>
  </w:num>
  <w:num w:numId="20">
    <w:abstractNumId w:val="12"/>
  </w:num>
  <w:num w:numId="21">
    <w:abstractNumId w:val="24"/>
  </w:num>
  <w:num w:numId="22">
    <w:abstractNumId w:val="32"/>
  </w:num>
  <w:num w:numId="23">
    <w:abstractNumId w:val="17"/>
  </w:num>
  <w:num w:numId="24">
    <w:abstractNumId w:val="16"/>
  </w:num>
  <w:num w:numId="25">
    <w:abstractNumId w:val="3"/>
  </w:num>
  <w:num w:numId="26">
    <w:abstractNumId w:val="4"/>
  </w:num>
  <w:num w:numId="27">
    <w:abstractNumId w:val="5"/>
  </w:num>
  <w:num w:numId="28">
    <w:abstractNumId w:val="21"/>
  </w:num>
  <w:num w:numId="29">
    <w:abstractNumId w:val="10"/>
  </w:num>
  <w:num w:numId="30">
    <w:abstractNumId w:val="26"/>
  </w:num>
  <w:num w:numId="31">
    <w:abstractNumId w:val="15"/>
  </w:num>
  <w:num w:numId="32">
    <w:abstractNumId w:val="9"/>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13"/>
  </w:num>
  <w:num w:numId="36">
    <w:abstractNumId w:val="13"/>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Downes">
    <w15:presenceInfo w15:providerId="None" w15:userId="Martin Downes"/>
  </w15:person>
  <w15:person w15:author="Alexander Labeit">
    <w15:presenceInfo w15:providerId="None" w15:userId="Alexander Labe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5E5"/>
    <w:rsid w:val="00001AB4"/>
    <w:rsid w:val="00003C45"/>
    <w:rsid w:val="0000452F"/>
    <w:rsid w:val="00005803"/>
    <w:rsid w:val="00005D70"/>
    <w:rsid w:val="00006514"/>
    <w:rsid w:val="000077C6"/>
    <w:rsid w:val="00007A5C"/>
    <w:rsid w:val="0001066F"/>
    <w:rsid w:val="0001147A"/>
    <w:rsid w:val="00011BDB"/>
    <w:rsid w:val="00012784"/>
    <w:rsid w:val="00013190"/>
    <w:rsid w:val="00013222"/>
    <w:rsid w:val="00013515"/>
    <w:rsid w:val="00014549"/>
    <w:rsid w:val="00014BD5"/>
    <w:rsid w:val="000152E5"/>
    <w:rsid w:val="000174D9"/>
    <w:rsid w:val="0002095B"/>
    <w:rsid w:val="000222D5"/>
    <w:rsid w:val="0002327B"/>
    <w:rsid w:val="00024BBB"/>
    <w:rsid w:val="00026B8A"/>
    <w:rsid w:val="00026F1B"/>
    <w:rsid w:val="0002706C"/>
    <w:rsid w:val="00030AFF"/>
    <w:rsid w:val="0003115D"/>
    <w:rsid w:val="0003130F"/>
    <w:rsid w:val="000317B0"/>
    <w:rsid w:val="000332DE"/>
    <w:rsid w:val="00033C1F"/>
    <w:rsid w:val="00033EB1"/>
    <w:rsid w:val="00034404"/>
    <w:rsid w:val="000344A2"/>
    <w:rsid w:val="00034D3A"/>
    <w:rsid w:val="00036BF6"/>
    <w:rsid w:val="000379F3"/>
    <w:rsid w:val="00040624"/>
    <w:rsid w:val="00041F4F"/>
    <w:rsid w:val="00043559"/>
    <w:rsid w:val="00043D41"/>
    <w:rsid w:val="00043FEE"/>
    <w:rsid w:val="0004412F"/>
    <w:rsid w:val="000449B4"/>
    <w:rsid w:val="00044B45"/>
    <w:rsid w:val="00044EDE"/>
    <w:rsid w:val="000461CF"/>
    <w:rsid w:val="00046D0B"/>
    <w:rsid w:val="0004794A"/>
    <w:rsid w:val="00051404"/>
    <w:rsid w:val="00052B8E"/>
    <w:rsid w:val="000540ED"/>
    <w:rsid w:val="00054F78"/>
    <w:rsid w:val="00055664"/>
    <w:rsid w:val="00056E05"/>
    <w:rsid w:val="00057F71"/>
    <w:rsid w:val="000602C8"/>
    <w:rsid w:val="00062067"/>
    <w:rsid w:val="000625D0"/>
    <w:rsid w:val="000635CC"/>
    <w:rsid w:val="00065C62"/>
    <w:rsid w:val="00065CDE"/>
    <w:rsid w:val="00065E26"/>
    <w:rsid w:val="00065F4A"/>
    <w:rsid w:val="000660E1"/>
    <w:rsid w:val="00067A4C"/>
    <w:rsid w:val="000706EF"/>
    <w:rsid w:val="0007130B"/>
    <w:rsid w:val="000717EB"/>
    <w:rsid w:val="0007232B"/>
    <w:rsid w:val="00072478"/>
    <w:rsid w:val="00072952"/>
    <w:rsid w:val="0007507F"/>
    <w:rsid w:val="00080FF3"/>
    <w:rsid w:val="000819CD"/>
    <w:rsid w:val="00081A3C"/>
    <w:rsid w:val="000823D1"/>
    <w:rsid w:val="00083D07"/>
    <w:rsid w:val="000842BC"/>
    <w:rsid w:val="000847FE"/>
    <w:rsid w:val="00086133"/>
    <w:rsid w:val="000867F8"/>
    <w:rsid w:val="00090917"/>
    <w:rsid w:val="00091375"/>
    <w:rsid w:val="0009154B"/>
    <w:rsid w:val="00092B62"/>
    <w:rsid w:val="0009325B"/>
    <w:rsid w:val="00093DC8"/>
    <w:rsid w:val="00094197"/>
    <w:rsid w:val="00095F4F"/>
    <w:rsid w:val="00097494"/>
    <w:rsid w:val="000A0A9F"/>
    <w:rsid w:val="000A2694"/>
    <w:rsid w:val="000A2EF1"/>
    <w:rsid w:val="000A3D25"/>
    <w:rsid w:val="000A5071"/>
    <w:rsid w:val="000A6FBD"/>
    <w:rsid w:val="000A7925"/>
    <w:rsid w:val="000A7D43"/>
    <w:rsid w:val="000B0D32"/>
    <w:rsid w:val="000B194B"/>
    <w:rsid w:val="000B270B"/>
    <w:rsid w:val="000B2E40"/>
    <w:rsid w:val="000B4680"/>
    <w:rsid w:val="000B56CD"/>
    <w:rsid w:val="000B6B69"/>
    <w:rsid w:val="000B73D0"/>
    <w:rsid w:val="000C0142"/>
    <w:rsid w:val="000C586A"/>
    <w:rsid w:val="000C6A40"/>
    <w:rsid w:val="000C6A75"/>
    <w:rsid w:val="000D0023"/>
    <w:rsid w:val="000D0E29"/>
    <w:rsid w:val="000D2E92"/>
    <w:rsid w:val="000D2F25"/>
    <w:rsid w:val="000D340D"/>
    <w:rsid w:val="000D469F"/>
    <w:rsid w:val="000D515C"/>
    <w:rsid w:val="000D6913"/>
    <w:rsid w:val="000D6AAA"/>
    <w:rsid w:val="000E0CB2"/>
    <w:rsid w:val="000E108E"/>
    <w:rsid w:val="000E2035"/>
    <w:rsid w:val="000E269B"/>
    <w:rsid w:val="000E4C66"/>
    <w:rsid w:val="000E4E8D"/>
    <w:rsid w:val="000F0F0D"/>
    <w:rsid w:val="000F2534"/>
    <w:rsid w:val="000F3272"/>
    <w:rsid w:val="000F3652"/>
    <w:rsid w:val="000F5ED1"/>
    <w:rsid w:val="000F7AF8"/>
    <w:rsid w:val="000F7C76"/>
    <w:rsid w:val="000F7D36"/>
    <w:rsid w:val="0010042D"/>
    <w:rsid w:val="00100947"/>
    <w:rsid w:val="00100C80"/>
    <w:rsid w:val="00103501"/>
    <w:rsid w:val="00106C30"/>
    <w:rsid w:val="001104FA"/>
    <w:rsid w:val="00110E1B"/>
    <w:rsid w:val="0011139F"/>
    <w:rsid w:val="00111CAA"/>
    <w:rsid w:val="00112D10"/>
    <w:rsid w:val="00113861"/>
    <w:rsid w:val="00114418"/>
    <w:rsid w:val="00114ADE"/>
    <w:rsid w:val="0011503D"/>
    <w:rsid w:val="001158E4"/>
    <w:rsid w:val="00116A22"/>
    <w:rsid w:val="001235D1"/>
    <w:rsid w:val="00124F75"/>
    <w:rsid w:val="0012672B"/>
    <w:rsid w:val="00126768"/>
    <w:rsid w:val="0012701F"/>
    <w:rsid w:val="001277AB"/>
    <w:rsid w:val="001279AE"/>
    <w:rsid w:val="0013092C"/>
    <w:rsid w:val="00130AF5"/>
    <w:rsid w:val="00131CAD"/>
    <w:rsid w:val="00136DD4"/>
    <w:rsid w:val="00136E76"/>
    <w:rsid w:val="00137564"/>
    <w:rsid w:val="001377D3"/>
    <w:rsid w:val="00140F4B"/>
    <w:rsid w:val="00143DCC"/>
    <w:rsid w:val="001468C6"/>
    <w:rsid w:val="00146C47"/>
    <w:rsid w:val="0014787E"/>
    <w:rsid w:val="00151705"/>
    <w:rsid w:val="00155926"/>
    <w:rsid w:val="00160E6F"/>
    <w:rsid w:val="0016135C"/>
    <w:rsid w:val="00161B59"/>
    <w:rsid w:val="00161DCD"/>
    <w:rsid w:val="00165A49"/>
    <w:rsid w:val="001722AD"/>
    <w:rsid w:val="001723D8"/>
    <w:rsid w:val="00172D1B"/>
    <w:rsid w:val="00173577"/>
    <w:rsid w:val="0017638E"/>
    <w:rsid w:val="00176AA5"/>
    <w:rsid w:val="0017720E"/>
    <w:rsid w:val="00177893"/>
    <w:rsid w:val="0018193E"/>
    <w:rsid w:val="001823A4"/>
    <w:rsid w:val="0018375D"/>
    <w:rsid w:val="00184221"/>
    <w:rsid w:val="00186145"/>
    <w:rsid w:val="00186307"/>
    <w:rsid w:val="00186336"/>
    <w:rsid w:val="001864F9"/>
    <w:rsid w:val="00186EBC"/>
    <w:rsid w:val="00187D7B"/>
    <w:rsid w:val="001911C2"/>
    <w:rsid w:val="00191726"/>
    <w:rsid w:val="00192093"/>
    <w:rsid w:val="00192CBB"/>
    <w:rsid w:val="001930CF"/>
    <w:rsid w:val="00193483"/>
    <w:rsid w:val="00193F25"/>
    <w:rsid w:val="00194282"/>
    <w:rsid w:val="00195DA4"/>
    <w:rsid w:val="00197E1D"/>
    <w:rsid w:val="001A0142"/>
    <w:rsid w:val="001A02B2"/>
    <w:rsid w:val="001A4392"/>
    <w:rsid w:val="001A4CEE"/>
    <w:rsid w:val="001A6C27"/>
    <w:rsid w:val="001A7EE4"/>
    <w:rsid w:val="001B00CE"/>
    <w:rsid w:val="001B2941"/>
    <w:rsid w:val="001B370B"/>
    <w:rsid w:val="001B3F7D"/>
    <w:rsid w:val="001B5B7F"/>
    <w:rsid w:val="001B6389"/>
    <w:rsid w:val="001B6DA6"/>
    <w:rsid w:val="001B7C4D"/>
    <w:rsid w:val="001C04CC"/>
    <w:rsid w:val="001C051E"/>
    <w:rsid w:val="001C69A6"/>
    <w:rsid w:val="001C780F"/>
    <w:rsid w:val="001C7B96"/>
    <w:rsid w:val="001D0FE9"/>
    <w:rsid w:val="001D3185"/>
    <w:rsid w:val="001D3D51"/>
    <w:rsid w:val="001D4124"/>
    <w:rsid w:val="001D5DE3"/>
    <w:rsid w:val="001D616B"/>
    <w:rsid w:val="001D793A"/>
    <w:rsid w:val="001D7EEE"/>
    <w:rsid w:val="001E181F"/>
    <w:rsid w:val="001E1A8E"/>
    <w:rsid w:val="001E34FA"/>
    <w:rsid w:val="001E41B4"/>
    <w:rsid w:val="001E4361"/>
    <w:rsid w:val="001E5918"/>
    <w:rsid w:val="001F073C"/>
    <w:rsid w:val="001F0D4F"/>
    <w:rsid w:val="001F2912"/>
    <w:rsid w:val="001F42A6"/>
    <w:rsid w:val="001F5EAC"/>
    <w:rsid w:val="001F7942"/>
    <w:rsid w:val="002001C6"/>
    <w:rsid w:val="00200296"/>
    <w:rsid w:val="00200774"/>
    <w:rsid w:val="00200EF0"/>
    <w:rsid w:val="00201ADB"/>
    <w:rsid w:val="002027C9"/>
    <w:rsid w:val="002033F5"/>
    <w:rsid w:val="002058E5"/>
    <w:rsid w:val="002077B3"/>
    <w:rsid w:val="00210FAA"/>
    <w:rsid w:val="002119EB"/>
    <w:rsid w:val="0021635B"/>
    <w:rsid w:val="00216EEC"/>
    <w:rsid w:val="0021791B"/>
    <w:rsid w:val="00220310"/>
    <w:rsid w:val="00220901"/>
    <w:rsid w:val="00221227"/>
    <w:rsid w:val="00221886"/>
    <w:rsid w:val="002221AF"/>
    <w:rsid w:val="002234A6"/>
    <w:rsid w:val="0022437C"/>
    <w:rsid w:val="0023204F"/>
    <w:rsid w:val="002321A4"/>
    <w:rsid w:val="002322F0"/>
    <w:rsid w:val="002325A4"/>
    <w:rsid w:val="0023264F"/>
    <w:rsid w:val="0023354B"/>
    <w:rsid w:val="0023360D"/>
    <w:rsid w:val="00233A80"/>
    <w:rsid w:val="002362E3"/>
    <w:rsid w:val="002425EA"/>
    <w:rsid w:val="00242EA0"/>
    <w:rsid w:val="00243685"/>
    <w:rsid w:val="0024713E"/>
    <w:rsid w:val="00252B9B"/>
    <w:rsid w:val="002548B0"/>
    <w:rsid w:val="00255386"/>
    <w:rsid w:val="0025613F"/>
    <w:rsid w:val="00260668"/>
    <w:rsid w:val="00260896"/>
    <w:rsid w:val="00261DC6"/>
    <w:rsid w:val="00264194"/>
    <w:rsid w:val="00264623"/>
    <w:rsid w:val="002646C2"/>
    <w:rsid w:val="00270693"/>
    <w:rsid w:val="0027299F"/>
    <w:rsid w:val="00272A27"/>
    <w:rsid w:val="002731C1"/>
    <w:rsid w:val="002737BF"/>
    <w:rsid w:val="00273C92"/>
    <w:rsid w:val="002777B3"/>
    <w:rsid w:val="00277916"/>
    <w:rsid w:val="002779B5"/>
    <w:rsid w:val="00280588"/>
    <w:rsid w:val="00280B5B"/>
    <w:rsid w:val="0028231B"/>
    <w:rsid w:val="00282D1F"/>
    <w:rsid w:val="00282DFB"/>
    <w:rsid w:val="002830F0"/>
    <w:rsid w:val="002836DF"/>
    <w:rsid w:val="00285C99"/>
    <w:rsid w:val="002860AA"/>
    <w:rsid w:val="00286F07"/>
    <w:rsid w:val="002874B6"/>
    <w:rsid w:val="0028780E"/>
    <w:rsid w:val="0029027B"/>
    <w:rsid w:val="002902CA"/>
    <w:rsid w:val="00290C3B"/>
    <w:rsid w:val="002911CC"/>
    <w:rsid w:val="002911D0"/>
    <w:rsid w:val="00291332"/>
    <w:rsid w:val="002928F4"/>
    <w:rsid w:val="00296467"/>
    <w:rsid w:val="002A3299"/>
    <w:rsid w:val="002A4503"/>
    <w:rsid w:val="002A4A0D"/>
    <w:rsid w:val="002A529F"/>
    <w:rsid w:val="002B0367"/>
    <w:rsid w:val="002B2693"/>
    <w:rsid w:val="002B4941"/>
    <w:rsid w:val="002B5D74"/>
    <w:rsid w:val="002B66A7"/>
    <w:rsid w:val="002B7184"/>
    <w:rsid w:val="002B78D0"/>
    <w:rsid w:val="002B7ADB"/>
    <w:rsid w:val="002C0E50"/>
    <w:rsid w:val="002C1909"/>
    <w:rsid w:val="002C1D2F"/>
    <w:rsid w:val="002C4EC5"/>
    <w:rsid w:val="002C525F"/>
    <w:rsid w:val="002C5B94"/>
    <w:rsid w:val="002C6E29"/>
    <w:rsid w:val="002D0F91"/>
    <w:rsid w:val="002D1395"/>
    <w:rsid w:val="002D2FCA"/>
    <w:rsid w:val="002D34C2"/>
    <w:rsid w:val="002D3A56"/>
    <w:rsid w:val="002D549B"/>
    <w:rsid w:val="002D7823"/>
    <w:rsid w:val="002E0365"/>
    <w:rsid w:val="002E1654"/>
    <w:rsid w:val="002E16A6"/>
    <w:rsid w:val="002E1AB3"/>
    <w:rsid w:val="002E29B3"/>
    <w:rsid w:val="002E2D71"/>
    <w:rsid w:val="002E42FD"/>
    <w:rsid w:val="002E4C2D"/>
    <w:rsid w:val="002E584B"/>
    <w:rsid w:val="002E5952"/>
    <w:rsid w:val="002E5B8F"/>
    <w:rsid w:val="002E5DEA"/>
    <w:rsid w:val="002E6261"/>
    <w:rsid w:val="002E6D75"/>
    <w:rsid w:val="002E724A"/>
    <w:rsid w:val="002F0CC4"/>
    <w:rsid w:val="002F1840"/>
    <w:rsid w:val="002F207A"/>
    <w:rsid w:val="002F270A"/>
    <w:rsid w:val="002F311E"/>
    <w:rsid w:val="002F6B53"/>
    <w:rsid w:val="002F71B8"/>
    <w:rsid w:val="0030057F"/>
    <w:rsid w:val="00300D2A"/>
    <w:rsid w:val="00301880"/>
    <w:rsid w:val="00301EA1"/>
    <w:rsid w:val="0030256B"/>
    <w:rsid w:val="00302730"/>
    <w:rsid w:val="00302FCC"/>
    <w:rsid w:val="00303F31"/>
    <w:rsid w:val="0030448B"/>
    <w:rsid w:val="00305866"/>
    <w:rsid w:val="00305967"/>
    <w:rsid w:val="003062AE"/>
    <w:rsid w:val="003068D6"/>
    <w:rsid w:val="00310163"/>
    <w:rsid w:val="00311CA2"/>
    <w:rsid w:val="00312505"/>
    <w:rsid w:val="00314384"/>
    <w:rsid w:val="00315220"/>
    <w:rsid w:val="00315514"/>
    <w:rsid w:val="00315E0F"/>
    <w:rsid w:val="00317803"/>
    <w:rsid w:val="00320B22"/>
    <w:rsid w:val="00322910"/>
    <w:rsid w:val="00323067"/>
    <w:rsid w:val="00325245"/>
    <w:rsid w:val="00334ACF"/>
    <w:rsid w:val="00341A14"/>
    <w:rsid w:val="00351381"/>
    <w:rsid w:val="003530A6"/>
    <w:rsid w:val="00353627"/>
    <w:rsid w:val="00355F72"/>
    <w:rsid w:val="00357657"/>
    <w:rsid w:val="0036164D"/>
    <w:rsid w:val="0036266C"/>
    <w:rsid w:val="00362DAE"/>
    <w:rsid w:val="003639A6"/>
    <w:rsid w:val="00363E23"/>
    <w:rsid w:val="003644C3"/>
    <w:rsid w:val="0036455D"/>
    <w:rsid w:val="003661F5"/>
    <w:rsid w:val="003663DE"/>
    <w:rsid w:val="003668E6"/>
    <w:rsid w:val="0036776A"/>
    <w:rsid w:val="003679AE"/>
    <w:rsid w:val="00370E4A"/>
    <w:rsid w:val="00371C50"/>
    <w:rsid w:val="003800DF"/>
    <w:rsid w:val="003806F9"/>
    <w:rsid w:val="0038281C"/>
    <w:rsid w:val="00384C5F"/>
    <w:rsid w:val="003851FE"/>
    <w:rsid w:val="00385A64"/>
    <w:rsid w:val="00385D5B"/>
    <w:rsid w:val="0038618A"/>
    <w:rsid w:val="00386D1A"/>
    <w:rsid w:val="0038798A"/>
    <w:rsid w:val="00390096"/>
    <w:rsid w:val="00390663"/>
    <w:rsid w:val="00394794"/>
    <w:rsid w:val="0039530B"/>
    <w:rsid w:val="00397170"/>
    <w:rsid w:val="003A175C"/>
    <w:rsid w:val="003A1CAF"/>
    <w:rsid w:val="003A3433"/>
    <w:rsid w:val="003A49F0"/>
    <w:rsid w:val="003A537E"/>
    <w:rsid w:val="003A660F"/>
    <w:rsid w:val="003A6DA5"/>
    <w:rsid w:val="003B0266"/>
    <w:rsid w:val="003B095E"/>
    <w:rsid w:val="003B3A76"/>
    <w:rsid w:val="003B5A66"/>
    <w:rsid w:val="003B6DDB"/>
    <w:rsid w:val="003B78D8"/>
    <w:rsid w:val="003C0BF9"/>
    <w:rsid w:val="003C0EAF"/>
    <w:rsid w:val="003C1A9F"/>
    <w:rsid w:val="003C3D95"/>
    <w:rsid w:val="003C41BE"/>
    <w:rsid w:val="003C5F28"/>
    <w:rsid w:val="003C66C2"/>
    <w:rsid w:val="003D11A9"/>
    <w:rsid w:val="003D11DF"/>
    <w:rsid w:val="003D1A47"/>
    <w:rsid w:val="003D1B8E"/>
    <w:rsid w:val="003D29F6"/>
    <w:rsid w:val="003D2A37"/>
    <w:rsid w:val="003D2C63"/>
    <w:rsid w:val="003D372E"/>
    <w:rsid w:val="003D41CB"/>
    <w:rsid w:val="003D4C17"/>
    <w:rsid w:val="003D69EF"/>
    <w:rsid w:val="003D7F8C"/>
    <w:rsid w:val="003E04FA"/>
    <w:rsid w:val="003E0EDB"/>
    <w:rsid w:val="003E26C8"/>
    <w:rsid w:val="003E61CA"/>
    <w:rsid w:val="003E6433"/>
    <w:rsid w:val="003E6475"/>
    <w:rsid w:val="003F105A"/>
    <w:rsid w:val="003F2066"/>
    <w:rsid w:val="003F25D8"/>
    <w:rsid w:val="003F283D"/>
    <w:rsid w:val="003F3F13"/>
    <w:rsid w:val="003F5F54"/>
    <w:rsid w:val="003F6199"/>
    <w:rsid w:val="003F680A"/>
    <w:rsid w:val="004023F4"/>
    <w:rsid w:val="004033BF"/>
    <w:rsid w:val="00404A92"/>
    <w:rsid w:val="00404EBA"/>
    <w:rsid w:val="00405DB1"/>
    <w:rsid w:val="004105AF"/>
    <w:rsid w:val="00410F58"/>
    <w:rsid w:val="00412084"/>
    <w:rsid w:val="00412BD6"/>
    <w:rsid w:val="00415495"/>
    <w:rsid w:val="00415B30"/>
    <w:rsid w:val="004204A0"/>
    <w:rsid w:val="00421450"/>
    <w:rsid w:val="00421F7E"/>
    <w:rsid w:val="00423069"/>
    <w:rsid w:val="0042467C"/>
    <w:rsid w:val="004266F8"/>
    <w:rsid w:val="00427D47"/>
    <w:rsid w:val="00427E55"/>
    <w:rsid w:val="00432331"/>
    <w:rsid w:val="00433180"/>
    <w:rsid w:val="0043589D"/>
    <w:rsid w:val="00436F9B"/>
    <w:rsid w:val="00437BB5"/>
    <w:rsid w:val="00440126"/>
    <w:rsid w:val="00443391"/>
    <w:rsid w:val="004435F9"/>
    <w:rsid w:val="00443B03"/>
    <w:rsid w:val="00444D7B"/>
    <w:rsid w:val="00450F80"/>
    <w:rsid w:val="00451C25"/>
    <w:rsid w:val="00453BAE"/>
    <w:rsid w:val="00453D59"/>
    <w:rsid w:val="00454493"/>
    <w:rsid w:val="0045546D"/>
    <w:rsid w:val="00455E58"/>
    <w:rsid w:val="0045745A"/>
    <w:rsid w:val="004619BB"/>
    <w:rsid w:val="00463350"/>
    <w:rsid w:val="00464598"/>
    <w:rsid w:val="00464BA7"/>
    <w:rsid w:val="00464D4E"/>
    <w:rsid w:val="0046516A"/>
    <w:rsid w:val="00465D3F"/>
    <w:rsid w:val="0046621E"/>
    <w:rsid w:val="00466BB6"/>
    <w:rsid w:val="00471E20"/>
    <w:rsid w:val="00472D4D"/>
    <w:rsid w:val="0047339C"/>
    <w:rsid w:val="0047441A"/>
    <w:rsid w:val="00474BD1"/>
    <w:rsid w:val="00474E1A"/>
    <w:rsid w:val="00476502"/>
    <w:rsid w:val="00476700"/>
    <w:rsid w:val="00476775"/>
    <w:rsid w:val="004837DF"/>
    <w:rsid w:val="00483AF9"/>
    <w:rsid w:val="00483C29"/>
    <w:rsid w:val="0048508E"/>
    <w:rsid w:val="00490FD7"/>
    <w:rsid w:val="00491662"/>
    <w:rsid w:val="004919DD"/>
    <w:rsid w:val="0049327B"/>
    <w:rsid w:val="0049421F"/>
    <w:rsid w:val="00494C9D"/>
    <w:rsid w:val="00494F7C"/>
    <w:rsid w:val="00495B77"/>
    <w:rsid w:val="00495ED9"/>
    <w:rsid w:val="00496F9B"/>
    <w:rsid w:val="00497FE6"/>
    <w:rsid w:val="004A0879"/>
    <w:rsid w:val="004A0CBE"/>
    <w:rsid w:val="004A1DDD"/>
    <w:rsid w:val="004A29DE"/>
    <w:rsid w:val="004A2DF5"/>
    <w:rsid w:val="004A2F5E"/>
    <w:rsid w:val="004A4B61"/>
    <w:rsid w:val="004A4EF3"/>
    <w:rsid w:val="004B1BBF"/>
    <w:rsid w:val="004B34EB"/>
    <w:rsid w:val="004B3C00"/>
    <w:rsid w:val="004B6678"/>
    <w:rsid w:val="004B7479"/>
    <w:rsid w:val="004B75BF"/>
    <w:rsid w:val="004C0E22"/>
    <w:rsid w:val="004C0F01"/>
    <w:rsid w:val="004C77C2"/>
    <w:rsid w:val="004D0ABD"/>
    <w:rsid w:val="004D1006"/>
    <w:rsid w:val="004D35C2"/>
    <w:rsid w:val="004D45DF"/>
    <w:rsid w:val="004D6CEE"/>
    <w:rsid w:val="004E069F"/>
    <w:rsid w:val="004E0C0B"/>
    <w:rsid w:val="004E1827"/>
    <w:rsid w:val="004E1C67"/>
    <w:rsid w:val="004E2125"/>
    <w:rsid w:val="004E4121"/>
    <w:rsid w:val="004E6228"/>
    <w:rsid w:val="004F2E88"/>
    <w:rsid w:val="004F3688"/>
    <w:rsid w:val="004F3AAE"/>
    <w:rsid w:val="004F3CF6"/>
    <w:rsid w:val="004F4415"/>
    <w:rsid w:val="004F4BDE"/>
    <w:rsid w:val="004F4C75"/>
    <w:rsid w:val="004F6163"/>
    <w:rsid w:val="004F630C"/>
    <w:rsid w:val="004F6689"/>
    <w:rsid w:val="004F7CAC"/>
    <w:rsid w:val="005018F4"/>
    <w:rsid w:val="00506110"/>
    <w:rsid w:val="00507713"/>
    <w:rsid w:val="00507ACE"/>
    <w:rsid w:val="00510043"/>
    <w:rsid w:val="00510B24"/>
    <w:rsid w:val="00511320"/>
    <w:rsid w:val="005137FD"/>
    <w:rsid w:val="005143F9"/>
    <w:rsid w:val="0051442B"/>
    <w:rsid w:val="00516566"/>
    <w:rsid w:val="00516EDF"/>
    <w:rsid w:val="00517C78"/>
    <w:rsid w:val="005218C3"/>
    <w:rsid w:val="005230DA"/>
    <w:rsid w:val="005231BD"/>
    <w:rsid w:val="0052347D"/>
    <w:rsid w:val="005243DC"/>
    <w:rsid w:val="00525DDD"/>
    <w:rsid w:val="00527FE0"/>
    <w:rsid w:val="00531C11"/>
    <w:rsid w:val="00535C74"/>
    <w:rsid w:val="005361AB"/>
    <w:rsid w:val="005373F7"/>
    <w:rsid w:val="00537E0B"/>
    <w:rsid w:val="00540323"/>
    <w:rsid w:val="00541D43"/>
    <w:rsid w:val="00541E65"/>
    <w:rsid w:val="00542068"/>
    <w:rsid w:val="005425A2"/>
    <w:rsid w:val="00542F9C"/>
    <w:rsid w:val="005434B5"/>
    <w:rsid w:val="00543AF9"/>
    <w:rsid w:val="00545716"/>
    <w:rsid w:val="005470FF"/>
    <w:rsid w:val="0055034B"/>
    <w:rsid w:val="00550554"/>
    <w:rsid w:val="00552824"/>
    <w:rsid w:val="00552AA5"/>
    <w:rsid w:val="00552F6F"/>
    <w:rsid w:val="005543D6"/>
    <w:rsid w:val="00554482"/>
    <w:rsid w:val="0055532F"/>
    <w:rsid w:val="005558A9"/>
    <w:rsid w:val="00556ED7"/>
    <w:rsid w:val="0056104F"/>
    <w:rsid w:val="00561770"/>
    <w:rsid w:val="00561D24"/>
    <w:rsid w:val="00562048"/>
    <w:rsid w:val="005645BF"/>
    <w:rsid w:val="00571C09"/>
    <w:rsid w:val="005738A4"/>
    <w:rsid w:val="005763B7"/>
    <w:rsid w:val="00576ADE"/>
    <w:rsid w:val="00577CFD"/>
    <w:rsid w:val="00577DD7"/>
    <w:rsid w:val="00577DEF"/>
    <w:rsid w:val="0058165E"/>
    <w:rsid w:val="00582065"/>
    <w:rsid w:val="0058280C"/>
    <w:rsid w:val="00582877"/>
    <w:rsid w:val="00582FD9"/>
    <w:rsid w:val="00583FD3"/>
    <w:rsid w:val="005855E6"/>
    <w:rsid w:val="005863A4"/>
    <w:rsid w:val="00587023"/>
    <w:rsid w:val="005870B8"/>
    <w:rsid w:val="00587382"/>
    <w:rsid w:val="005906B1"/>
    <w:rsid w:val="005919CB"/>
    <w:rsid w:val="005924A7"/>
    <w:rsid w:val="00592E1C"/>
    <w:rsid w:val="00593280"/>
    <w:rsid w:val="005948F6"/>
    <w:rsid w:val="005963C2"/>
    <w:rsid w:val="00597972"/>
    <w:rsid w:val="005A132F"/>
    <w:rsid w:val="005A2715"/>
    <w:rsid w:val="005A3ADD"/>
    <w:rsid w:val="005A5160"/>
    <w:rsid w:val="005A7BE8"/>
    <w:rsid w:val="005A7EF3"/>
    <w:rsid w:val="005B0531"/>
    <w:rsid w:val="005B1084"/>
    <w:rsid w:val="005B42F0"/>
    <w:rsid w:val="005B53B4"/>
    <w:rsid w:val="005B6438"/>
    <w:rsid w:val="005B6B8B"/>
    <w:rsid w:val="005C0D38"/>
    <w:rsid w:val="005C3BD2"/>
    <w:rsid w:val="005C5B0C"/>
    <w:rsid w:val="005C6285"/>
    <w:rsid w:val="005C6AB7"/>
    <w:rsid w:val="005D066A"/>
    <w:rsid w:val="005D0B53"/>
    <w:rsid w:val="005D2E8A"/>
    <w:rsid w:val="005D5BA1"/>
    <w:rsid w:val="005D5E75"/>
    <w:rsid w:val="005D622E"/>
    <w:rsid w:val="005E0068"/>
    <w:rsid w:val="005E0D32"/>
    <w:rsid w:val="005E1EEC"/>
    <w:rsid w:val="005E49B2"/>
    <w:rsid w:val="005E4D2B"/>
    <w:rsid w:val="005E5A4D"/>
    <w:rsid w:val="005E6037"/>
    <w:rsid w:val="005E6A43"/>
    <w:rsid w:val="005E71D5"/>
    <w:rsid w:val="005F0AE8"/>
    <w:rsid w:val="005F2A6B"/>
    <w:rsid w:val="005F40C1"/>
    <w:rsid w:val="005F4EBF"/>
    <w:rsid w:val="005F548F"/>
    <w:rsid w:val="006024D3"/>
    <w:rsid w:val="006028B1"/>
    <w:rsid w:val="0060386B"/>
    <w:rsid w:val="00604104"/>
    <w:rsid w:val="006054C3"/>
    <w:rsid w:val="00606888"/>
    <w:rsid w:val="00606CF5"/>
    <w:rsid w:val="00606EF9"/>
    <w:rsid w:val="0060706A"/>
    <w:rsid w:val="006070C4"/>
    <w:rsid w:val="00607758"/>
    <w:rsid w:val="00607C5C"/>
    <w:rsid w:val="0061087E"/>
    <w:rsid w:val="00610D5E"/>
    <w:rsid w:val="006110E8"/>
    <w:rsid w:val="00613346"/>
    <w:rsid w:val="00613467"/>
    <w:rsid w:val="00614199"/>
    <w:rsid w:val="006149CB"/>
    <w:rsid w:val="006164C4"/>
    <w:rsid w:val="00616E2A"/>
    <w:rsid w:val="006179F6"/>
    <w:rsid w:val="00624315"/>
    <w:rsid w:val="0062545B"/>
    <w:rsid w:val="0062552A"/>
    <w:rsid w:val="0062723E"/>
    <w:rsid w:val="00630855"/>
    <w:rsid w:val="00631EDC"/>
    <w:rsid w:val="006332BE"/>
    <w:rsid w:val="00635C51"/>
    <w:rsid w:val="006364DD"/>
    <w:rsid w:val="00636B44"/>
    <w:rsid w:val="00637D75"/>
    <w:rsid w:val="006408C3"/>
    <w:rsid w:val="006411E3"/>
    <w:rsid w:val="006419F1"/>
    <w:rsid w:val="006436EA"/>
    <w:rsid w:val="00643FFF"/>
    <w:rsid w:val="006446B1"/>
    <w:rsid w:val="0064620D"/>
    <w:rsid w:val="00647C78"/>
    <w:rsid w:val="00651945"/>
    <w:rsid w:val="0065326F"/>
    <w:rsid w:val="006561C0"/>
    <w:rsid w:val="00657754"/>
    <w:rsid w:val="00657910"/>
    <w:rsid w:val="00661286"/>
    <w:rsid w:val="006619EC"/>
    <w:rsid w:val="00662204"/>
    <w:rsid w:val="00662DFF"/>
    <w:rsid w:val="006630CC"/>
    <w:rsid w:val="006634E8"/>
    <w:rsid w:val="00663DD5"/>
    <w:rsid w:val="00664356"/>
    <w:rsid w:val="00665DC7"/>
    <w:rsid w:val="0066626E"/>
    <w:rsid w:val="006670D0"/>
    <w:rsid w:val="00672120"/>
    <w:rsid w:val="00675F35"/>
    <w:rsid w:val="00680B23"/>
    <w:rsid w:val="00680D34"/>
    <w:rsid w:val="00680F09"/>
    <w:rsid w:val="00682F86"/>
    <w:rsid w:val="0068546A"/>
    <w:rsid w:val="00691913"/>
    <w:rsid w:val="00692700"/>
    <w:rsid w:val="00692DBC"/>
    <w:rsid w:val="00692FB3"/>
    <w:rsid w:val="0069396C"/>
    <w:rsid w:val="00697E36"/>
    <w:rsid w:val="006A138B"/>
    <w:rsid w:val="006A237F"/>
    <w:rsid w:val="006A2A9A"/>
    <w:rsid w:val="006A2FC3"/>
    <w:rsid w:val="006A581D"/>
    <w:rsid w:val="006A63AD"/>
    <w:rsid w:val="006A72AD"/>
    <w:rsid w:val="006A7D3C"/>
    <w:rsid w:val="006B130F"/>
    <w:rsid w:val="006B140A"/>
    <w:rsid w:val="006B2494"/>
    <w:rsid w:val="006B24EE"/>
    <w:rsid w:val="006B318D"/>
    <w:rsid w:val="006B3C97"/>
    <w:rsid w:val="006B3F8F"/>
    <w:rsid w:val="006B49A1"/>
    <w:rsid w:val="006B4FEB"/>
    <w:rsid w:val="006C3770"/>
    <w:rsid w:val="006C46E4"/>
    <w:rsid w:val="006C4906"/>
    <w:rsid w:val="006C7B2F"/>
    <w:rsid w:val="006D3271"/>
    <w:rsid w:val="006D3B24"/>
    <w:rsid w:val="006D53AA"/>
    <w:rsid w:val="006D6C70"/>
    <w:rsid w:val="006D770F"/>
    <w:rsid w:val="006E008A"/>
    <w:rsid w:val="006E0E9A"/>
    <w:rsid w:val="006E7302"/>
    <w:rsid w:val="006E7EC0"/>
    <w:rsid w:val="006F161E"/>
    <w:rsid w:val="006F21CC"/>
    <w:rsid w:val="006F2CB0"/>
    <w:rsid w:val="006F390C"/>
    <w:rsid w:val="006F4646"/>
    <w:rsid w:val="006F4AC2"/>
    <w:rsid w:val="006F51F6"/>
    <w:rsid w:val="006F65C9"/>
    <w:rsid w:val="006F6A6E"/>
    <w:rsid w:val="006F6F45"/>
    <w:rsid w:val="006F73DB"/>
    <w:rsid w:val="006F797A"/>
    <w:rsid w:val="00705084"/>
    <w:rsid w:val="00706ABD"/>
    <w:rsid w:val="00707082"/>
    <w:rsid w:val="0070768E"/>
    <w:rsid w:val="00707749"/>
    <w:rsid w:val="00711E1C"/>
    <w:rsid w:val="00712268"/>
    <w:rsid w:val="00712C73"/>
    <w:rsid w:val="00712CDD"/>
    <w:rsid w:val="007143D6"/>
    <w:rsid w:val="00715830"/>
    <w:rsid w:val="00716EE9"/>
    <w:rsid w:val="00717743"/>
    <w:rsid w:val="00720ADF"/>
    <w:rsid w:val="007216AE"/>
    <w:rsid w:val="00721C44"/>
    <w:rsid w:val="007223B3"/>
    <w:rsid w:val="00723AB1"/>
    <w:rsid w:val="00723E1E"/>
    <w:rsid w:val="007262D5"/>
    <w:rsid w:val="0072706A"/>
    <w:rsid w:val="00732D8C"/>
    <w:rsid w:val="00734916"/>
    <w:rsid w:val="0074488A"/>
    <w:rsid w:val="00745F2D"/>
    <w:rsid w:val="0074730F"/>
    <w:rsid w:val="00747333"/>
    <w:rsid w:val="007509A6"/>
    <w:rsid w:val="00750B5A"/>
    <w:rsid w:val="00751984"/>
    <w:rsid w:val="00751F67"/>
    <w:rsid w:val="0075314B"/>
    <w:rsid w:val="00753EF2"/>
    <w:rsid w:val="00757358"/>
    <w:rsid w:val="00761332"/>
    <w:rsid w:val="00762D70"/>
    <w:rsid w:val="007633B0"/>
    <w:rsid w:val="0076527F"/>
    <w:rsid w:val="007664E6"/>
    <w:rsid w:val="00767A1C"/>
    <w:rsid w:val="007708CE"/>
    <w:rsid w:val="007715D2"/>
    <w:rsid w:val="00772501"/>
    <w:rsid w:val="00772C70"/>
    <w:rsid w:val="00775250"/>
    <w:rsid w:val="00775E29"/>
    <w:rsid w:val="00780A11"/>
    <w:rsid w:val="00781CA9"/>
    <w:rsid w:val="007847FA"/>
    <w:rsid w:val="00786562"/>
    <w:rsid w:val="0078749C"/>
    <w:rsid w:val="00790910"/>
    <w:rsid w:val="00791DE1"/>
    <w:rsid w:val="00792222"/>
    <w:rsid w:val="00792643"/>
    <w:rsid w:val="00796516"/>
    <w:rsid w:val="0079741D"/>
    <w:rsid w:val="007A3246"/>
    <w:rsid w:val="007A3A8C"/>
    <w:rsid w:val="007A3ACE"/>
    <w:rsid w:val="007A52E9"/>
    <w:rsid w:val="007A597A"/>
    <w:rsid w:val="007A75E8"/>
    <w:rsid w:val="007A7FD0"/>
    <w:rsid w:val="007B0B36"/>
    <w:rsid w:val="007B0B5F"/>
    <w:rsid w:val="007B0E0C"/>
    <w:rsid w:val="007B1DB0"/>
    <w:rsid w:val="007B44ED"/>
    <w:rsid w:val="007B7DCD"/>
    <w:rsid w:val="007C26E5"/>
    <w:rsid w:val="007C4487"/>
    <w:rsid w:val="007C4AEB"/>
    <w:rsid w:val="007C5417"/>
    <w:rsid w:val="007C6570"/>
    <w:rsid w:val="007C720A"/>
    <w:rsid w:val="007D1092"/>
    <w:rsid w:val="007D2621"/>
    <w:rsid w:val="007E3562"/>
    <w:rsid w:val="007E476F"/>
    <w:rsid w:val="007E7BA9"/>
    <w:rsid w:val="007F08CA"/>
    <w:rsid w:val="007F1029"/>
    <w:rsid w:val="007F13BE"/>
    <w:rsid w:val="007F2D93"/>
    <w:rsid w:val="007F3B6E"/>
    <w:rsid w:val="00801AA7"/>
    <w:rsid w:val="008022C1"/>
    <w:rsid w:val="00803267"/>
    <w:rsid w:val="008058E8"/>
    <w:rsid w:val="00806434"/>
    <w:rsid w:val="00806903"/>
    <w:rsid w:val="008079A5"/>
    <w:rsid w:val="00813288"/>
    <w:rsid w:val="0081390A"/>
    <w:rsid w:val="008151D6"/>
    <w:rsid w:val="0081705E"/>
    <w:rsid w:val="00820BD0"/>
    <w:rsid w:val="00821A29"/>
    <w:rsid w:val="00821C3C"/>
    <w:rsid w:val="00822D47"/>
    <w:rsid w:val="00823233"/>
    <w:rsid w:val="00824426"/>
    <w:rsid w:val="0082485D"/>
    <w:rsid w:val="00825FED"/>
    <w:rsid w:val="00826646"/>
    <w:rsid w:val="0082681E"/>
    <w:rsid w:val="00830B2A"/>
    <w:rsid w:val="00830E52"/>
    <w:rsid w:val="008324E3"/>
    <w:rsid w:val="00834DD9"/>
    <w:rsid w:val="00835221"/>
    <w:rsid w:val="00835830"/>
    <w:rsid w:val="00836E8D"/>
    <w:rsid w:val="00837509"/>
    <w:rsid w:val="00840380"/>
    <w:rsid w:val="00842FF4"/>
    <w:rsid w:val="00845946"/>
    <w:rsid w:val="008466F4"/>
    <w:rsid w:val="0084734E"/>
    <w:rsid w:val="008476A0"/>
    <w:rsid w:val="00847731"/>
    <w:rsid w:val="008528E3"/>
    <w:rsid w:val="00852F38"/>
    <w:rsid w:val="00854C36"/>
    <w:rsid w:val="0085515C"/>
    <w:rsid w:val="00855FEB"/>
    <w:rsid w:val="00856C34"/>
    <w:rsid w:val="008577B2"/>
    <w:rsid w:val="00862095"/>
    <w:rsid w:val="00862D6D"/>
    <w:rsid w:val="00863345"/>
    <w:rsid w:val="008644B0"/>
    <w:rsid w:val="00864BCC"/>
    <w:rsid w:val="00865DC1"/>
    <w:rsid w:val="008661DC"/>
    <w:rsid w:val="0086621A"/>
    <w:rsid w:val="008672DB"/>
    <w:rsid w:val="00867A73"/>
    <w:rsid w:val="00870089"/>
    <w:rsid w:val="008718AB"/>
    <w:rsid w:val="00871A71"/>
    <w:rsid w:val="008741D1"/>
    <w:rsid w:val="008750F9"/>
    <w:rsid w:val="00875341"/>
    <w:rsid w:val="0087536F"/>
    <w:rsid w:val="008761D6"/>
    <w:rsid w:val="00880A40"/>
    <w:rsid w:val="00882D94"/>
    <w:rsid w:val="00885179"/>
    <w:rsid w:val="00885323"/>
    <w:rsid w:val="0088579E"/>
    <w:rsid w:val="00886041"/>
    <w:rsid w:val="008863AB"/>
    <w:rsid w:val="008869F4"/>
    <w:rsid w:val="008917D5"/>
    <w:rsid w:val="008923FB"/>
    <w:rsid w:val="00893D8F"/>
    <w:rsid w:val="00893EEF"/>
    <w:rsid w:val="0089534C"/>
    <w:rsid w:val="00896477"/>
    <w:rsid w:val="008A094A"/>
    <w:rsid w:val="008A262B"/>
    <w:rsid w:val="008A3C58"/>
    <w:rsid w:val="008A4880"/>
    <w:rsid w:val="008A52B1"/>
    <w:rsid w:val="008B1FAC"/>
    <w:rsid w:val="008B247D"/>
    <w:rsid w:val="008B26CA"/>
    <w:rsid w:val="008B2D3D"/>
    <w:rsid w:val="008B4B20"/>
    <w:rsid w:val="008B4D75"/>
    <w:rsid w:val="008B5B32"/>
    <w:rsid w:val="008B62E7"/>
    <w:rsid w:val="008C00E7"/>
    <w:rsid w:val="008C222C"/>
    <w:rsid w:val="008C36FE"/>
    <w:rsid w:val="008C440C"/>
    <w:rsid w:val="008C4A43"/>
    <w:rsid w:val="008C4F10"/>
    <w:rsid w:val="008D170A"/>
    <w:rsid w:val="008D3E87"/>
    <w:rsid w:val="008D4009"/>
    <w:rsid w:val="008D4434"/>
    <w:rsid w:val="008D7651"/>
    <w:rsid w:val="008D78FF"/>
    <w:rsid w:val="008E0C3A"/>
    <w:rsid w:val="008E33A4"/>
    <w:rsid w:val="008E3B57"/>
    <w:rsid w:val="008E56C1"/>
    <w:rsid w:val="008E64C1"/>
    <w:rsid w:val="008E74DE"/>
    <w:rsid w:val="008F1D88"/>
    <w:rsid w:val="008F2109"/>
    <w:rsid w:val="008F252B"/>
    <w:rsid w:val="008F3598"/>
    <w:rsid w:val="008F434C"/>
    <w:rsid w:val="008F5305"/>
    <w:rsid w:val="008F55BF"/>
    <w:rsid w:val="008F6C6C"/>
    <w:rsid w:val="008F7267"/>
    <w:rsid w:val="0090411C"/>
    <w:rsid w:val="0090518F"/>
    <w:rsid w:val="009055CA"/>
    <w:rsid w:val="00906EC9"/>
    <w:rsid w:val="0090773B"/>
    <w:rsid w:val="00907958"/>
    <w:rsid w:val="0091366D"/>
    <w:rsid w:val="00913924"/>
    <w:rsid w:val="00914DA7"/>
    <w:rsid w:val="00915F63"/>
    <w:rsid w:val="00916FF4"/>
    <w:rsid w:val="009177E9"/>
    <w:rsid w:val="00920FBB"/>
    <w:rsid w:val="00921D82"/>
    <w:rsid w:val="009247AB"/>
    <w:rsid w:val="0092550A"/>
    <w:rsid w:val="0092606A"/>
    <w:rsid w:val="009319C9"/>
    <w:rsid w:val="009331CF"/>
    <w:rsid w:val="009334AC"/>
    <w:rsid w:val="00933BAB"/>
    <w:rsid w:val="00933D7D"/>
    <w:rsid w:val="00933ED8"/>
    <w:rsid w:val="0093737E"/>
    <w:rsid w:val="009374F7"/>
    <w:rsid w:val="00940791"/>
    <w:rsid w:val="009414EA"/>
    <w:rsid w:val="00942010"/>
    <w:rsid w:val="0094320A"/>
    <w:rsid w:val="009446CA"/>
    <w:rsid w:val="00946B2C"/>
    <w:rsid w:val="0095170D"/>
    <w:rsid w:val="0095307F"/>
    <w:rsid w:val="00955526"/>
    <w:rsid w:val="00955532"/>
    <w:rsid w:val="00956868"/>
    <w:rsid w:val="00957106"/>
    <w:rsid w:val="0096201C"/>
    <w:rsid w:val="00962105"/>
    <w:rsid w:val="009627E1"/>
    <w:rsid w:val="00964581"/>
    <w:rsid w:val="00965321"/>
    <w:rsid w:val="00966C09"/>
    <w:rsid w:val="009671C5"/>
    <w:rsid w:val="00970A00"/>
    <w:rsid w:val="00971F9F"/>
    <w:rsid w:val="009738E8"/>
    <w:rsid w:val="009759DF"/>
    <w:rsid w:val="00977909"/>
    <w:rsid w:val="009813A5"/>
    <w:rsid w:val="00981EB9"/>
    <w:rsid w:val="00984441"/>
    <w:rsid w:val="009844CF"/>
    <w:rsid w:val="00984DD8"/>
    <w:rsid w:val="00985709"/>
    <w:rsid w:val="00985744"/>
    <w:rsid w:val="009866A7"/>
    <w:rsid w:val="0099085F"/>
    <w:rsid w:val="009925DB"/>
    <w:rsid w:val="00992C13"/>
    <w:rsid w:val="00993CC9"/>
    <w:rsid w:val="009A21AD"/>
    <w:rsid w:val="009A37CE"/>
    <w:rsid w:val="009A6F74"/>
    <w:rsid w:val="009B0393"/>
    <w:rsid w:val="009B09B0"/>
    <w:rsid w:val="009B0B96"/>
    <w:rsid w:val="009B376D"/>
    <w:rsid w:val="009B5D7B"/>
    <w:rsid w:val="009B7C5C"/>
    <w:rsid w:val="009C05EB"/>
    <w:rsid w:val="009C06A4"/>
    <w:rsid w:val="009C133A"/>
    <w:rsid w:val="009C15D0"/>
    <w:rsid w:val="009C19CB"/>
    <w:rsid w:val="009C33B6"/>
    <w:rsid w:val="009C545F"/>
    <w:rsid w:val="009C698D"/>
    <w:rsid w:val="009D33E8"/>
    <w:rsid w:val="009D3628"/>
    <w:rsid w:val="009D4650"/>
    <w:rsid w:val="009D4C2A"/>
    <w:rsid w:val="009D6914"/>
    <w:rsid w:val="009D6A5B"/>
    <w:rsid w:val="009E085A"/>
    <w:rsid w:val="009E0ACF"/>
    <w:rsid w:val="009E0CE0"/>
    <w:rsid w:val="009E1A8F"/>
    <w:rsid w:val="009E1C22"/>
    <w:rsid w:val="009E2481"/>
    <w:rsid w:val="009E252B"/>
    <w:rsid w:val="009E41CD"/>
    <w:rsid w:val="009E4281"/>
    <w:rsid w:val="009E4537"/>
    <w:rsid w:val="009E4800"/>
    <w:rsid w:val="009E4BCA"/>
    <w:rsid w:val="009E75FC"/>
    <w:rsid w:val="009F068F"/>
    <w:rsid w:val="009F1EFF"/>
    <w:rsid w:val="009F28BA"/>
    <w:rsid w:val="009F3631"/>
    <w:rsid w:val="009F3790"/>
    <w:rsid w:val="009F3911"/>
    <w:rsid w:val="009F44C4"/>
    <w:rsid w:val="009F7CEB"/>
    <w:rsid w:val="00A0037D"/>
    <w:rsid w:val="00A02AF2"/>
    <w:rsid w:val="00A040FD"/>
    <w:rsid w:val="00A0426A"/>
    <w:rsid w:val="00A04C0D"/>
    <w:rsid w:val="00A06F3E"/>
    <w:rsid w:val="00A07A7F"/>
    <w:rsid w:val="00A11F3D"/>
    <w:rsid w:val="00A12636"/>
    <w:rsid w:val="00A12983"/>
    <w:rsid w:val="00A207A6"/>
    <w:rsid w:val="00A20829"/>
    <w:rsid w:val="00A208BA"/>
    <w:rsid w:val="00A20B1A"/>
    <w:rsid w:val="00A22A39"/>
    <w:rsid w:val="00A2310D"/>
    <w:rsid w:val="00A2506B"/>
    <w:rsid w:val="00A26630"/>
    <w:rsid w:val="00A27C07"/>
    <w:rsid w:val="00A30BF6"/>
    <w:rsid w:val="00A33DE1"/>
    <w:rsid w:val="00A34406"/>
    <w:rsid w:val="00A353AF"/>
    <w:rsid w:val="00A35B87"/>
    <w:rsid w:val="00A36E8B"/>
    <w:rsid w:val="00A40C5D"/>
    <w:rsid w:val="00A41B8C"/>
    <w:rsid w:val="00A41C18"/>
    <w:rsid w:val="00A41E5D"/>
    <w:rsid w:val="00A42F7E"/>
    <w:rsid w:val="00A4441C"/>
    <w:rsid w:val="00A44490"/>
    <w:rsid w:val="00A452AD"/>
    <w:rsid w:val="00A47DA2"/>
    <w:rsid w:val="00A5029C"/>
    <w:rsid w:val="00A535FB"/>
    <w:rsid w:val="00A55D61"/>
    <w:rsid w:val="00A57369"/>
    <w:rsid w:val="00A61C8D"/>
    <w:rsid w:val="00A62F7E"/>
    <w:rsid w:val="00A6374D"/>
    <w:rsid w:val="00A707C0"/>
    <w:rsid w:val="00A71030"/>
    <w:rsid w:val="00A72041"/>
    <w:rsid w:val="00A724EE"/>
    <w:rsid w:val="00A72A4F"/>
    <w:rsid w:val="00A74729"/>
    <w:rsid w:val="00A80616"/>
    <w:rsid w:val="00A81F82"/>
    <w:rsid w:val="00A82ACC"/>
    <w:rsid w:val="00A841B0"/>
    <w:rsid w:val="00A85A2B"/>
    <w:rsid w:val="00A860C6"/>
    <w:rsid w:val="00A86388"/>
    <w:rsid w:val="00A8771E"/>
    <w:rsid w:val="00A9013F"/>
    <w:rsid w:val="00A93543"/>
    <w:rsid w:val="00A93E1D"/>
    <w:rsid w:val="00A94EFC"/>
    <w:rsid w:val="00A95AE1"/>
    <w:rsid w:val="00A96214"/>
    <w:rsid w:val="00AA1681"/>
    <w:rsid w:val="00AA219B"/>
    <w:rsid w:val="00AA2FA1"/>
    <w:rsid w:val="00AA36D5"/>
    <w:rsid w:val="00AA51C1"/>
    <w:rsid w:val="00AA5F62"/>
    <w:rsid w:val="00AA6156"/>
    <w:rsid w:val="00AA73AC"/>
    <w:rsid w:val="00AA7B77"/>
    <w:rsid w:val="00AB057D"/>
    <w:rsid w:val="00AB187A"/>
    <w:rsid w:val="00AB3BD3"/>
    <w:rsid w:val="00AB4C4E"/>
    <w:rsid w:val="00AB514A"/>
    <w:rsid w:val="00AB51A7"/>
    <w:rsid w:val="00AB5E87"/>
    <w:rsid w:val="00AB6137"/>
    <w:rsid w:val="00AB6E6C"/>
    <w:rsid w:val="00AB7B6A"/>
    <w:rsid w:val="00AC3926"/>
    <w:rsid w:val="00AC49D6"/>
    <w:rsid w:val="00AC50E3"/>
    <w:rsid w:val="00AC6309"/>
    <w:rsid w:val="00AC75E5"/>
    <w:rsid w:val="00AD51C9"/>
    <w:rsid w:val="00AD5600"/>
    <w:rsid w:val="00AD6980"/>
    <w:rsid w:val="00AD7182"/>
    <w:rsid w:val="00AD7D66"/>
    <w:rsid w:val="00AE0AC3"/>
    <w:rsid w:val="00AE2A68"/>
    <w:rsid w:val="00AE3C1B"/>
    <w:rsid w:val="00AE477B"/>
    <w:rsid w:val="00AE513E"/>
    <w:rsid w:val="00AE7AA8"/>
    <w:rsid w:val="00AF0469"/>
    <w:rsid w:val="00AF0DF9"/>
    <w:rsid w:val="00AF3BF9"/>
    <w:rsid w:val="00AF4BE4"/>
    <w:rsid w:val="00AF4F96"/>
    <w:rsid w:val="00AF5CA5"/>
    <w:rsid w:val="00AF665C"/>
    <w:rsid w:val="00AF67FB"/>
    <w:rsid w:val="00B000C7"/>
    <w:rsid w:val="00B044B9"/>
    <w:rsid w:val="00B05970"/>
    <w:rsid w:val="00B05A6C"/>
    <w:rsid w:val="00B070FD"/>
    <w:rsid w:val="00B11EA0"/>
    <w:rsid w:val="00B15887"/>
    <w:rsid w:val="00B159E9"/>
    <w:rsid w:val="00B16579"/>
    <w:rsid w:val="00B17694"/>
    <w:rsid w:val="00B17A9C"/>
    <w:rsid w:val="00B17FDB"/>
    <w:rsid w:val="00B21BB1"/>
    <w:rsid w:val="00B21D5F"/>
    <w:rsid w:val="00B248C1"/>
    <w:rsid w:val="00B25146"/>
    <w:rsid w:val="00B25D68"/>
    <w:rsid w:val="00B26860"/>
    <w:rsid w:val="00B2768B"/>
    <w:rsid w:val="00B2777B"/>
    <w:rsid w:val="00B31806"/>
    <w:rsid w:val="00B320E4"/>
    <w:rsid w:val="00B324B9"/>
    <w:rsid w:val="00B326D1"/>
    <w:rsid w:val="00B344F3"/>
    <w:rsid w:val="00B351DF"/>
    <w:rsid w:val="00B3565E"/>
    <w:rsid w:val="00B367CC"/>
    <w:rsid w:val="00B375B6"/>
    <w:rsid w:val="00B37E34"/>
    <w:rsid w:val="00B420F5"/>
    <w:rsid w:val="00B42B22"/>
    <w:rsid w:val="00B438D9"/>
    <w:rsid w:val="00B456D4"/>
    <w:rsid w:val="00B45B51"/>
    <w:rsid w:val="00B46023"/>
    <w:rsid w:val="00B46385"/>
    <w:rsid w:val="00B50C28"/>
    <w:rsid w:val="00B539FB"/>
    <w:rsid w:val="00B544A1"/>
    <w:rsid w:val="00B57626"/>
    <w:rsid w:val="00B6367E"/>
    <w:rsid w:val="00B63B06"/>
    <w:rsid w:val="00B652B6"/>
    <w:rsid w:val="00B66C37"/>
    <w:rsid w:val="00B67119"/>
    <w:rsid w:val="00B708F3"/>
    <w:rsid w:val="00B71675"/>
    <w:rsid w:val="00B716BF"/>
    <w:rsid w:val="00B71B62"/>
    <w:rsid w:val="00B726F8"/>
    <w:rsid w:val="00B745B3"/>
    <w:rsid w:val="00B75678"/>
    <w:rsid w:val="00B75A3C"/>
    <w:rsid w:val="00B75BC0"/>
    <w:rsid w:val="00B76852"/>
    <w:rsid w:val="00B76F24"/>
    <w:rsid w:val="00B7710F"/>
    <w:rsid w:val="00B7796D"/>
    <w:rsid w:val="00B80B83"/>
    <w:rsid w:val="00B80F77"/>
    <w:rsid w:val="00B81A5A"/>
    <w:rsid w:val="00B81F57"/>
    <w:rsid w:val="00B839A5"/>
    <w:rsid w:val="00B863A0"/>
    <w:rsid w:val="00B8663E"/>
    <w:rsid w:val="00B870EE"/>
    <w:rsid w:val="00B87A10"/>
    <w:rsid w:val="00B91489"/>
    <w:rsid w:val="00B915D3"/>
    <w:rsid w:val="00B93F2F"/>
    <w:rsid w:val="00B958C5"/>
    <w:rsid w:val="00B97C38"/>
    <w:rsid w:val="00BA01AB"/>
    <w:rsid w:val="00BA16CE"/>
    <w:rsid w:val="00BA1E4D"/>
    <w:rsid w:val="00BA2EAF"/>
    <w:rsid w:val="00BA3306"/>
    <w:rsid w:val="00BA41CB"/>
    <w:rsid w:val="00BA65AF"/>
    <w:rsid w:val="00BA73EE"/>
    <w:rsid w:val="00BA7BB4"/>
    <w:rsid w:val="00BB0198"/>
    <w:rsid w:val="00BB2A72"/>
    <w:rsid w:val="00BB2CFD"/>
    <w:rsid w:val="00BB4BFD"/>
    <w:rsid w:val="00BB589B"/>
    <w:rsid w:val="00BC0687"/>
    <w:rsid w:val="00BC35A5"/>
    <w:rsid w:val="00BC3775"/>
    <w:rsid w:val="00BC42D3"/>
    <w:rsid w:val="00BC6128"/>
    <w:rsid w:val="00BC6480"/>
    <w:rsid w:val="00BC6B26"/>
    <w:rsid w:val="00BC7FCB"/>
    <w:rsid w:val="00BD03EC"/>
    <w:rsid w:val="00BD05DB"/>
    <w:rsid w:val="00BD1E71"/>
    <w:rsid w:val="00BD520D"/>
    <w:rsid w:val="00BD62C4"/>
    <w:rsid w:val="00BD765C"/>
    <w:rsid w:val="00BE259A"/>
    <w:rsid w:val="00BE3C97"/>
    <w:rsid w:val="00BE3CAA"/>
    <w:rsid w:val="00BE3E5F"/>
    <w:rsid w:val="00BE4A9B"/>
    <w:rsid w:val="00BE583A"/>
    <w:rsid w:val="00BF203D"/>
    <w:rsid w:val="00BF4B57"/>
    <w:rsid w:val="00BF7852"/>
    <w:rsid w:val="00C00301"/>
    <w:rsid w:val="00C012CF"/>
    <w:rsid w:val="00C036AE"/>
    <w:rsid w:val="00C03F2C"/>
    <w:rsid w:val="00C04A3B"/>
    <w:rsid w:val="00C057A1"/>
    <w:rsid w:val="00C05C58"/>
    <w:rsid w:val="00C06418"/>
    <w:rsid w:val="00C064F2"/>
    <w:rsid w:val="00C07417"/>
    <w:rsid w:val="00C07BBA"/>
    <w:rsid w:val="00C104C2"/>
    <w:rsid w:val="00C10B3C"/>
    <w:rsid w:val="00C11033"/>
    <w:rsid w:val="00C11D42"/>
    <w:rsid w:val="00C1224A"/>
    <w:rsid w:val="00C138B8"/>
    <w:rsid w:val="00C13AA6"/>
    <w:rsid w:val="00C13C50"/>
    <w:rsid w:val="00C13E44"/>
    <w:rsid w:val="00C14D4A"/>
    <w:rsid w:val="00C15E01"/>
    <w:rsid w:val="00C174CA"/>
    <w:rsid w:val="00C17E91"/>
    <w:rsid w:val="00C20F8F"/>
    <w:rsid w:val="00C21515"/>
    <w:rsid w:val="00C21B4F"/>
    <w:rsid w:val="00C2201E"/>
    <w:rsid w:val="00C23FEA"/>
    <w:rsid w:val="00C24A57"/>
    <w:rsid w:val="00C256FA"/>
    <w:rsid w:val="00C317F3"/>
    <w:rsid w:val="00C329E2"/>
    <w:rsid w:val="00C347CF"/>
    <w:rsid w:val="00C41279"/>
    <w:rsid w:val="00C4248B"/>
    <w:rsid w:val="00C4261E"/>
    <w:rsid w:val="00C43799"/>
    <w:rsid w:val="00C43E74"/>
    <w:rsid w:val="00C44669"/>
    <w:rsid w:val="00C44C37"/>
    <w:rsid w:val="00C451CF"/>
    <w:rsid w:val="00C451D7"/>
    <w:rsid w:val="00C45A1F"/>
    <w:rsid w:val="00C4642A"/>
    <w:rsid w:val="00C46AE5"/>
    <w:rsid w:val="00C46AF7"/>
    <w:rsid w:val="00C46F68"/>
    <w:rsid w:val="00C47252"/>
    <w:rsid w:val="00C47654"/>
    <w:rsid w:val="00C51CE0"/>
    <w:rsid w:val="00C52ACF"/>
    <w:rsid w:val="00C567E2"/>
    <w:rsid w:val="00C56B7E"/>
    <w:rsid w:val="00C57E4D"/>
    <w:rsid w:val="00C626E2"/>
    <w:rsid w:val="00C628C8"/>
    <w:rsid w:val="00C647DE"/>
    <w:rsid w:val="00C65AF8"/>
    <w:rsid w:val="00C725B9"/>
    <w:rsid w:val="00C74D90"/>
    <w:rsid w:val="00C7519E"/>
    <w:rsid w:val="00C756B5"/>
    <w:rsid w:val="00C75FF8"/>
    <w:rsid w:val="00C769C8"/>
    <w:rsid w:val="00C80BBC"/>
    <w:rsid w:val="00C80DBB"/>
    <w:rsid w:val="00C81734"/>
    <w:rsid w:val="00C81A12"/>
    <w:rsid w:val="00C82EA1"/>
    <w:rsid w:val="00C8313D"/>
    <w:rsid w:val="00C832D5"/>
    <w:rsid w:val="00C846BE"/>
    <w:rsid w:val="00C85E13"/>
    <w:rsid w:val="00C86AAD"/>
    <w:rsid w:val="00C90E1E"/>
    <w:rsid w:val="00C93691"/>
    <w:rsid w:val="00C94467"/>
    <w:rsid w:val="00C951E0"/>
    <w:rsid w:val="00C95A1E"/>
    <w:rsid w:val="00C963DE"/>
    <w:rsid w:val="00CA0C26"/>
    <w:rsid w:val="00CA0DF3"/>
    <w:rsid w:val="00CA2263"/>
    <w:rsid w:val="00CA2559"/>
    <w:rsid w:val="00CA280C"/>
    <w:rsid w:val="00CA4A26"/>
    <w:rsid w:val="00CA4B0B"/>
    <w:rsid w:val="00CA7678"/>
    <w:rsid w:val="00CA7AED"/>
    <w:rsid w:val="00CB07A8"/>
    <w:rsid w:val="00CB14A1"/>
    <w:rsid w:val="00CB398D"/>
    <w:rsid w:val="00CB5389"/>
    <w:rsid w:val="00CB78AE"/>
    <w:rsid w:val="00CC020C"/>
    <w:rsid w:val="00CC10E1"/>
    <w:rsid w:val="00CC3675"/>
    <w:rsid w:val="00CC511A"/>
    <w:rsid w:val="00CC6499"/>
    <w:rsid w:val="00CD12E3"/>
    <w:rsid w:val="00CD31F9"/>
    <w:rsid w:val="00CD3CD2"/>
    <w:rsid w:val="00CD4E95"/>
    <w:rsid w:val="00CD6327"/>
    <w:rsid w:val="00CD6671"/>
    <w:rsid w:val="00CE158A"/>
    <w:rsid w:val="00CE2229"/>
    <w:rsid w:val="00CE2B78"/>
    <w:rsid w:val="00CE2F14"/>
    <w:rsid w:val="00CE3362"/>
    <w:rsid w:val="00CE3A76"/>
    <w:rsid w:val="00CE6140"/>
    <w:rsid w:val="00CE74A3"/>
    <w:rsid w:val="00CF2FED"/>
    <w:rsid w:val="00CF3DF1"/>
    <w:rsid w:val="00CF3E7D"/>
    <w:rsid w:val="00CF474E"/>
    <w:rsid w:val="00D00868"/>
    <w:rsid w:val="00D00F9F"/>
    <w:rsid w:val="00D0100F"/>
    <w:rsid w:val="00D02FB1"/>
    <w:rsid w:val="00D034DD"/>
    <w:rsid w:val="00D03D0C"/>
    <w:rsid w:val="00D04909"/>
    <w:rsid w:val="00D04952"/>
    <w:rsid w:val="00D06959"/>
    <w:rsid w:val="00D06A16"/>
    <w:rsid w:val="00D0745C"/>
    <w:rsid w:val="00D1078F"/>
    <w:rsid w:val="00D10E60"/>
    <w:rsid w:val="00D1131E"/>
    <w:rsid w:val="00D12CD2"/>
    <w:rsid w:val="00D14D23"/>
    <w:rsid w:val="00D15973"/>
    <w:rsid w:val="00D15D8B"/>
    <w:rsid w:val="00D15DEE"/>
    <w:rsid w:val="00D17984"/>
    <w:rsid w:val="00D20740"/>
    <w:rsid w:val="00D20D40"/>
    <w:rsid w:val="00D21370"/>
    <w:rsid w:val="00D24DAD"/>
    <w:rsid w:val="00D25916"/>
    <w:rsid w:val="00D26906"/>
    <w:rsid w:val="00D27E25"/>
    <w:rsid w:val="00D30027"/>
    <w:rsid w:val="00D329E6"/>
    <w:rsid w:val="00D3411A"/>
    <w:rsid w:val="00D35746"/>
    <w:rsid w:val="00D358FF"/>
    <w:rsid w:val="00D35F56"/>
    <w:rsid w:val="00D37972"/>
    <w:rsid w:val="00D40333"/>
    <w:rsid w:val="00D40896"/>
    <w:rsid w:val="00D4141F"/>
    <w:rsid w:val="00D41534"/>
    <w:rsid w:val="00D43493"/>
    <w:rsid w:val="00D451FC"/>
    <w:rsid w:val="00D47229"/>
    <w:rsid w:val="00D50D56"/>
    <w:rsid w:val="00D51C0C"/>
    <w:rsid w:val="00D53BF1"/>
    <w:rsid w:val="00D5415E"/>
    <w:rsid w:val="00D55FBC"/>
    <w:rsid w:val="00D5633A"/>
    <w:rsid w:val="00D56477"/>
    <w:rsid w:val="00D566DD"/>
    <w:rsid w:val="00D61F7D"/>
    <w:rsid w:val="00D63C48"/>
    <w:rsid w:val="00D64289"/>
    <w:rsid w:val="00D6667B"/>
    <w:rsid w:val="00D67054"/>
    <w:rsid w:val="00D672A7"/>
    <w:rsid w:val="00D67450"/>
    <w:rsid w:val="00D71400"/>
    <w:rsid w:val="00D726DF"/>
    <w:rsid w:val="00D7287F"/>
    <w:rsid w:val="00D72C23"/>
    <w:rsid w:val="00D7434F"/>
    <w:rsid w:val="00D74B00"/>
    <w:rsid w:val="00D75B18"/>
    <w:rsid w:val="00D76583"/>
    <w:rsid w:val="00D81BE0"/>
    <w:rsid w:val="00D835C8"/>
    <w:rsid w:val="00D84105"/>
    <w:rsid w:val="00D8435D"/>
    <w:rsid w:val="00D86950"/>
    <w:rsid w:val="00D87D2D"/>
    <w:rsid w:val="00D927AD"/>
    <w:rsid w:val="00D952C6"/>
    <w:rsid w:val="00D95394"/>
    <w:rsid w:val="00D96532"/>
    <w:rsid w:val="00D970E7"/>
    <w:rsid w:val="00DA032B"/>
    <w:rsid w:val="00DA0456"/>
    <w:rsid w:val="00DA34D9"/>
    <w:rsid w:val="00DA4B47"/>
    <w:rsid w:val="00DA4D5C"/>
    <w:rsid w:val="00DA4F8F"/>
    <w:rsid w:val="00DA5282"/>
    <w:rsid w:val="00DA55BB"/>
    <w:rsid w:val="00DA73EE"/>
    <w:rsid w:val="00DB35B5"/>
    <w:rsid w:val="00DB6037"/>
    <w:rsid w:val="00DC02DC"/>
    <w:rsid w:val="00DC1274"/>
    <w:rsid w:val="00DC1743"/>
    <w:rsid w:val="00DC177A"/>
    <w:rsid w:val="00DC1F73"/>
    <w:rsid w:val="00DC34D0"/>
    <w:rsid w:val="00DC4CC9"/>
    <w:rsid w:val="00DC5965"/>
    <w:rsid w:val="00DC7746"/>
    <w:rsid w:val="00DD027D"/>
    <w:rsid w:val="00DD3049"/>
    <w:rsid w:val="00DD63E4"/>
    <w:rsid w:val="00DE30E2"/>
    <w:rsid w:val="00DE3A9A"/>
    <w:rsid w:val="00DE6421"/>
    <w:rsid w:val="00DF0682"/>
    <w:rsid w:val="00DF16C0"/>
    <w:rsid w:val="00DF3192"/>
    <w:rsid w:val="00DF3239"/>
    <w:rsid w:val="00DF4C58"/>
    <w:rsid w:val="00DF548B"/>
    <w:rsid w:val="00DF59FB"/>
    <w:rsid w:val="00E006AC"/>
    <w:rsid w:val="00E00703"/>
    <w:rsid w:val="00E01337"/>
    <w:rsid w:val="00E01405"/>
    <w:rsid w:val="00E03891"/>
    <w:rsid w:val="00E03EAA"/>
    <w:rsid w:val="00E05FBC"/>
    <w:rsid w:val="00E072A0"/>
    <w:rsid w:val="00E10B7D"/>
    <w:rsid w:val="00E12B94"/>
    <w:rsid w:val="00E1359D"/>
    <w:rsid w:val="00E14A9E"/>
    <w:rsid w:val="00E227EA"/>
    <w:rsid w:val="00E23660"/>
    <w:rsid w:val="00E269E0"/>
    <w:rsid w:val="00E26CF8"/>
    <w:rsid w:val="00E27107"/>
    <w:rsid w:val="00E2761D"/>
    <w:rsid w:val="00E27C19"/>
    <w:rsid w:val="00E30C80"/>
    <w:rsid w:val="00E31A1E"/>
    <w:rsid w:val="00E31C5E"/>
    <w:rsid w:val="00E32149"/>
    <w:rsid w:val="00E3226A"/>
    <w:rsid w:val="00E33AE1"/>
    <w:rsid w:val="00E33FAE"/>
    <w:rsid w:val="00E34484"/>
    <w:rsid w:val="00E37424"/>
    <w:rsid w:val="00E4041E"/>
    <w:rsid w:val="00E4084F"/>
    <w:rsid w:val="00E40DE8"/>
    <w:rsid w:val="00E44875"/>
    <w:rsid w:val="00E45180"/>
    <w:rsid w:val="00E45305"/>
    <w:rsid w:val="00E4634C"/>
    <w:rsid w:val="00E46892"/>
    <w:rsid w:val="00E46AC9"/>
    <w:rsid w:val="00E50D43"/>
    <w:rsid w:val="00E51ADC"/>
    <w:rsid w:val="00E53DB6"/>
    <w:rsid w:val="00E54BD5"/>
    <w:rsid w:val="00E54FAC"/>
    <w:rsid w:val="00E54FB3"/>
    <w:rsid w:val="00E55904"/>
    <w:rsid w:val="00E55E72"/>
    <w:rsid w:val="00E61ED3"/>
    <w:rsid w:val="00E66210"/>
    <w:rsid w:val="00E66614"/>
    <w:rsid w:val="00E66CD5"/>
    <w:rsid w:val="00E6742C"/>
    <w:rsid w:val="00E6770D"/>
    <w:rsid w:val="00E70110"/>
    <w:rsid w:val="00E7296D"/>
    <w:rsid w:val="00E773DF"/>
    <w:rsid w:val="00E802CC"/>
    <w:rsid w:val="00E809C2"/>
    <w:rsid w:val="00E80D02"/>
    <w:rsid w:val="00E80DE1"/>
    <w:rsid w:val="00E818A6"/>
    <w:rsid w:val="00E823FF"/>
    <w:rsid w:val="00E8269B"/>
    <w:rsid w:val="00E83294"/>
    <w:rsid w:val="00E839D3"/>
    <w:rsid w:val="00E87C75"/>
    <w:rsid w:val="00E90D46"/>
    <w:rsid w:val="00E918C2"/>
    <w:rsid w:val="00E91A70"/>
    <w:rsid w:val="00E930FA"/>
    <w:rsid w:val="00E93D11"/>
    <w:rsid w:val="00E95672"/>
    <w:rsid w:val="00E95E6E"/>
    <w:rsid w:val="00E97F64"/>
    <w:rsid w:val="00EA08F0"/>
    <w:rsid w:val="00EA1B29"/>
    <w:rsid w:val="00EA2573"/>
    <w:rsid w:val="00EA3DBC"/>
    <w:rsid w:val="00EA4539"/>
    <w:rsid w:val="00EA46EC"/>
    <w:rsid w:val="00EA66E6"/>
    <w:rsid w:val="00EB02F4"/>
    <w:rsid w:val="00EB174D"/>
    <w:rsid w:val="00EB269B"/>
    <w:rsid w:val="00EB274B"/>
    <w:rsid w:val="00EB2DAE"/>
    <w:rsid w:val="00EB2FD0"/>
    <w:rsid w:val="00EB3F3E"/>
    <w:rsid w:val="00EB426B"/>
    <w:rsid w:val="00EB4355"/>
    <w:rsid w:val="00EB50C9"/>
    <w:rsid w:val="00EB5470"/>
    <w:rsid w:val="00EB5E6D"/>
    <w:rsid w:val="00EB6311"/>
    <w:rsid w:val="00EB769E"/>
    <w:rsid w:val="00EC17EA"/>
    <w:rsid w:val="00EC1B3E"/>
    <w:rsid w:val="00EC3A2A"/>
    <w:rsid w:val="00EC652A"/>
    <w:rsid w:val="00EC65C4"/>
    <w:rsid w:val="00EC670D"/>
    <w:rsid w:val="00EC70C7"/>
    <w:rsid w:val="00ED41A7"/>
    <w:rsid w:val="00ED5898"/>
    <w:rsid w:val="00ED6518"/>
    <w:rsid w:val="00ED70A3"/>
    <w:rsid w:val="00ED7C84"/>
    <w:rsid w:val="00EE0AB5"/>
    <w:rsid w:val="00EE1E8B"/>
    <w:rsid w:val="00EE2C3F"/>
    <w:rsid w:val="00EE54CC"/>
    <w:rsid w:val="00EF2BC7"/>
    <w:rsid w:val="00EF3278"/>
    <w:rsid w:val="00EF3B52"/>
    <w:rsid w:val="00EF5B95"/>
    <w:rsid w:val="00EF6FDA"/>
    <w:rsid w:val="00EF719A"/>
    <w:rsid w:val="00F010A9"/>
    <w:rsid w:val="00F03316"/>
    <w:rsid w:val="00F0431D"/>
    <w:rsid w:val="00F049EC"/>
    <w:rsid w:val="00F05A52"/>
    <w:rsid w:val="00F07B68"/>
    <w:rsid w:val="00F11A38"/>
    <w:rsid w:val="00F12D00"/>
    <w:rsid w:val="00F13145"/>
    <w:rsid w:val="00F166E8"/>
    <w:rsid w:val="00F1710F"/>
    <w:rsid w:val="00F17D25"/>
    <w:rsid w:val="00F21B73"/>
    <w:rsid w:val="00F2276C"/>
    <w:rsid w:val="00F26B4B"/>
    <w:rsid w:val="00F26D3B"/>
    <w:rsid w:val="00F2706C"/>
    <w:rsid w:val="00F3094A"/>
    <w:rsid w:val="00F32D23"/>
    <w:rsid w:val="00F331BE"/>
    <w:rsid w:val="00F33BB7"/>
    <w:rsid w:val="00F33F6D"/>
    <w:rsid w:val="00F4074A"/>
    <w:rsid w:val="00F419C5"/>
    <w:rsid w:val="00F41D37"/>
    <w:rsid w:val="00F41E71"/>
    <w:rsid w:val="00F42C86"/>
    <w:rsid w:val="00F43B48"/>
    <w:rsid w:val="00F44EFB"/>
    <w:rsid w:val="00F45E17"/>
    <w:rsid w:val="00F46B21"/>
    <w:rsid w:val="00F5107A"/>
    <w:rsid w:val="00F51505"/>
    <w:rsid w:val="00F5169F"/>
    <w:rsid w:val="00F528BB"/>
    <w:rsid w:val="00F52B73"/>
    <w:rsid w:val="00F52EF8"/>
    <w:rsid w:val="00F556B5"/>
    <w:rsid w:val="00F5615A"/>
    <w:rsid w:val="00F56314"/>
    <w:rsid w:val="00F574F8"/>
    <w:rsid w:val="00F6078A"/>
    <w:rsid w:val="00F6178C"/>
    <w:rsid w:val="00F63640"/>
    <w:rsid w:val="00F63CE3"/>
    <w:rsid w:val="00F6498E"/>
    <w:rsid w:val="00F701F0"/>
    <w:rsid w:val="00F706FB"/>
    <w:rsid w:val="00F70C5F"/>
    <w:rsid w:val="00F720D5"/>
    <w:rsid w:val="00F72A52"/>
    <w:rsid w:val="00F72B42"/>
    <w:rsid w:val="00F733F3"/>
    <w:rsid w:val="00F73969"/>
    <w:rsid w:val="00F73A39"/>
    <w:rsid w:val="00F73AC4"/>
    <w:rsid w:val="00F74121"/>
    <w:rsid w:val="00F75D3A"/>
    <w:rsid w:val="00F76A8E"/>
    <w:rsid w:val="00F76C27"/>
    <w:rsid w:val="00F80139"/>
    <w:rsid w:val="00F8272F"/>
    <w:rsid w:val="00F8473F"/>
    <w:rsid w:val="00F84E5A"/>
    <w:rsid w:val="00F8599B"/>
    <w:rsid w:val="00F874FB"/>
    <w:rsid w:val="00F87C31"/>
    <w:rsid w:val="00F90587"/>
    <w:rsid w:val="00F91B97"/>
    <w:rsid w:val="00F9212E"/>
    <w:rsid w:val="00F92B23"/>
    <w:rsid w:val="00F96D56"/>
    <w:rsid w:val="00F9783F"/>
    <w:rsid w:val="00FA0329"/>
    <w:rsid w:val="00FA101F"/>
    <w:rsid w:val="00FA21E6"/>
    <w:rsid w:val="00FA6594"/>
    <w:rsid w:val="00FA6813"/>
    <w:rsid w:val="00FB19B2"/>
    <w:rsid w:val="00FB366A"/>
    <w:rsid w:val="00FB3B26"/>
    <w:rsid w:val="00FB47A5"/>
    <w:rsid w:val="00FB57DB"/>
    <w:rsid w:val="00FB5D5A"/>
    <w:rsid w:val="00FB6238"/>
    <w:rsid w:val="00FC06E3"/>
    <w:rsid w:val="00FC1434"/>
    <w:rsid w:val="00FC22AB"/>
    <w:rsid w:val="00FC430B"/>
    <w:rsid w:val="00FC46CD"/>
    <w:rsid w:val="00FC4B45"/>
    <w:rsid w:val="00FC4EF4"/>
    <w:rsid w:val="00FC594B"/>
    <w:rsid w:val="00FC6E6D"/>
    <w:rsid w:val="00FD045A"/>
    <w:rsid w:val="00FD0DA5"/>
    <w:rsid w:val="00FD1040"/>
    <w:rsid w:val="00FD20F1"/>
    <w:rsid w:val="00FD2F60"/>
    <w:rsid w:val="00FD5A0E"/>
    <w:rsid w:val="00FD7841"/>
    <w:rsid w:val="00FD7AE3"/>
    <w:rsid w:val="00FE1D28"/>
    <w:rsid w:val="00FE1DDD"/>
    <w:rsid w:val="00FE2431"/>
    <w:rsid w:val="00FE2CA2"/>
    <w:rsid w:val="00FE31CE"/>
    <w:rsid w:val="00FE4C58"/>
    <w:rsid w:val="00FE5279"/>
    <w:rsid w:val="00FE52EC"/>
    <w:rsid w:val="00FE5309"/>
    <w:rsid w:val="00FE5D58"/>
    <w:rsid w:val="00FE6746"/>
    <w:rsid w:val="00FF001B"/>
    <w:rsid w:val="00FF2550"/>
    <w:rsid w:val="00FF2E09"/>
    <w:rsid w:val="00FF4160"/>
    <w:rsid w:val="00FF4F77"/>
    <w:rsid w:val="00FF610D"/>
    <w:rsid w:val="00FF7550"/>
    <w:rsid w:val="00FF76D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9C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caption" w:uiPriority="35" w:qFormat="1"/>
    <w:lsdException w:name="annotation reference" w:qFormat="1"/>
    <w:lsdException w:name="Title" w:semiHidden="0" w:uiPriority="7" w:unhideWhenUsed="0" w:qFormat="1"/>
    <w:lsdException w:name="Default Paragraph Font" w:uiPriority="1"/>
    <w:lsdException w:name="Body Text" w:qFormat="1"/>
    <w:lsdException w:name="Body Text Indent" w:uiPriority="9"/>
    <w:lsdException w:name="Subtitle" w:semiHidden="0" w:uiPriority="0"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semiHidden="0" w:uiPriority="59" w:unhideWhenUsed="0"/>
    <w:lsdException w:name="Placeholder Text"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85D"/>
    <w:pPr>
      <w:spacing w:before="120" w:line="240" w:lineRule="auto"/>
    </w:pPr>
    <w:rPr>
      <w:sz w:val="24"/>
      <w:lang w:val="en-GB"/>
    </w:rPr>
  </w:style>
  <w:style w:type="paragraph" w:styleId="Heading1">
    <w:name w:val="heading 1"/>
    <w:basedOn w:val="Normal"/>
    <w:next w:val="Normal"/>
    <w:link w:val="Heading1Char"/>
    <w:uiPriority w:val="1"/>
    <w:qFormat/>
    <w:rsid w:val="00E4041E"/>
    <w:pPr>
      <w:keepNext/>
      <w:keepLines/>
      <w:numPr>
        <w:numId w:val="1"/>
      </w:numPr>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lang w:val="en-GB"/>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1"/>
    <w:rsid w:val="00186307"/>
    <w:rPr>
      <w:rFonts w:eastAsiaTheme="majorEastAsia" w:cstheme="majorBidi"/>
      <w:b/>
      <w:sz w:val="28"/>
      <w:szCs w:val="28"/>
    </w:rPr>
  </w:style>
  <w:style w:type="paragraph" w:styleId="ListParagraph">
    <w:name w:val="List Paragraph"/>
    <w:aliases w:val="BulletPoints"/>
    <w:basedOn w:val="Normal"/>
    <w:link w:val="ListParagraphChar"/>
    <w:uiPriority w:val="34"/>
    <w:qFormat/>
    <w:rsid w:val="0095170D"/>
    <w:pPr>
      <w:ind w:left="720"/>
    </w:pPr>
  </w:style>
  <w:style w:type="paragraph" w:customStyle="1" w:styleId="V50Heading2nonumbers">
    <w:name w:val="V5.0 Heading 2 no numbers"/>
    <w:basedOn w:val="Heading2"/>
    <w:uiPriority w:val="99"/>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lang w:val="en-GB"/>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7"/>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lang w:val="en-GB"/>
    </w:rPr>
  </w:style>
  <w:style w:type="paragraph" w:customStyle="1" w:styleId="V50Heading1nonumbers">
    <w:name w:val="V5.0 Heading 1 no numbers"/>
    <w:basedOn w:val="Heading1"/>
    <w:uiPriority w:val="99"/>
    <w:qFormat/>
    <w:rsid w:val="00186307"/>
    <w:pPr>
      <w:numPr>
        <w:numId w:val="0"/>
      </w:numPr>
    </w:pPr>
  </w:style>
  <w:style w:type="table" w:styleId="TableGrid">
    <w:name w:val="Table Grid"/>
    <w:aliases w:val="Summary box,Table Gridbeth"/>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uiPriority w:val="99"/>
    <w:qFormat/>
    <w:rsid w:val="00597972"/>
    <w:rPr>
      <w:b/>
      <w:color w:val="4472C4" w:themeColor="accent5"/>
    </w:rPr>
  </w:style>
  <w:style w:type="paragraph" w:customStyle="1" w:styleId="V50InstructionsBullets">
    <w:name w:val="V5.0 Instructions Bullets"/>
    <w:basedOn w:val="V50Instructions"/>
    <w:uiPriority w:val="99"/>
    <w:qFormat/>
    <w:rsid w:val="007F08CA"/>
    <w:pPr>
      <w:numPr>
        <w:numId w:val="2"/>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uiPriority w:val="99"/>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uiPriority w:val="99"/>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uiPriority w:val="99"/>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uiPriority w:val="99"/>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0">
    <w:name w:val="Table Heading"/>
    <w:basedOn w:val="Normal"/>
    <w:uiPriority w:val="99"/>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uiPriority w:val="99"/>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7"/>
    <w:qFormat/>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uiPriority w:val="99"/>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uiPriority w:val="99"/>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7"/>
    <w:qFormat/>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
    <w:qFormat/>
    <w:rsid w:val="00C317F3"/>
    <w:pPr>
      <w:spacing w:before="0" w:after="0"/>
    </w:pPr>
    <w:rPr>
      <w:rFonts w:ascii="Arial Narrow" w:eastAsia="Times New Roman" w:hAnsi="Arial Narrow" w:cs="Times New Roman"/>
      <w:sz w:val="20"/>
      <w:szCs w:val="20"/>
    </w:rPr>
  </w:style>
  <w:style w:type="character" w:customStyle="1" w:styleId="TabletextChar">
    <w:name w:val="Table text Char"/>
    <w:link w:val="Tabletext0"/>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rPr>
  </w:style>
  <w:style w:type="paragraph" w:styleId="TOCHeading">
    <w:name w:val="TOC Heading"/>
    <w:basedOn w:val="Heading1"/>
    <w:next w:val="Normal"/>
    <w:uiPriority w:val="39"/>
    <w:unhideWhenUsed/>
    <w:qFormat/>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qFormat/>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4"/>
      </w:numPr>
      <w:spacing w:before="200" w:after="120" w:line="240" w:lineRule="auto"/>
    </w:pPr>
    <w:rPr>
      <w:rFonts w:ascii="Arial" w:eastAsia="Times New Roman" w:hAnsi="Arial" w:cs="Arial"/>
      <w:b/>
      <w:snapToGrid w:val="0"/>
    </w:rPr>
  </w:style>
  <w:style w:type="paragraph" w:customStyle="1" w:styleId="Style1">
    <w:name w:val="Style1"/>
    <w:basedOn w:val="Normal"/>
    <w:uiPriority w:val="99"/>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uiPriority w:val="99"/>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
    <w:basedOn w:val="DefaultParagraphFont"/>
    <w:link w:val="ListParagraph"/>
    <w:uiPriority w:val="34"/>
    <w:locked/>
    <w:rsid w:val="0095170D"/>
    <w:rPr>
      <w:sz w:val="24"/>
    </w:rPr>
  </w:style>
  <w:style w:type="numbering" w:customStyle="1" w:styleId="Headings">
    <w:name w:val="Headings"/>
    <w:uiPriority w:val="99"/>
    <w:rsid w:val="00C317F3"/>
    <w:pPr>
      <w:numPr>
        <w:numId w:val="5"/>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uiPriority w:val="99"/>
    <w:qFormat/>
    <w:rsid w:val="00E46AC9"/>
    <w:pPr>
      <w:numPr>
        <w:numId w:val="6"/>
      </w:numPr>
      <w:spacing w:before="0" w:after="240"/>
      <w:ind w:left="357" w:hanging="357"/>
    </w:pPr>
    <w:rPr>
      <w:sz w:val="22"/>
    </w:rPr>
  </w:style>
  <w:style w:type="paragraph" w:customStyle="1" w:styleId="TableFigNote">
    <w:name w:val="TableFigNote"/>
    <w:basedOn w:val="Normal"/>
    <w:uiPriority w:val="99"/>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uiPriority w:val="99"/>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uiPriority w:val="99"/>
    <w:qFormat/>
    <w:rsid w:val="00C52ACF"/>
    <w:pPr>
      <w:spacing w:before="0" w:after="120"/>
      <w:ind w:left="720" w:hanging="720"/>
      <w:jc w:val="both"/>
    </w:pPr>
    <w:rPr>
      <w:rFonts w:ascii="Calibri" w:hAnsi="Calibri"/>
    </w:rPr>
  </w:style>
  <w:style w:type="paragraph" w:customStyle="1" w:styleId="TableorfigureAbbreviationsandSource">
    <w:name w:val="Table or figure Abbreviations and Source"/>
    <w:next w:val="Normal"/>
    <w:qFormat/>
    <w:rsid w:val="001C69A6"/>
    <w:pPr>
      <w:spacing w:after="240" w:line="240" w:lineRule="auto"/>
      <w:contextualSpacing/>
    </w:pPr>
    <w:rPr>
      <w:rFonts w:ascii="Calibri" w:eastAsia="Calibri" w:hAnsi="Calibri" w:cs="Times New Roman"/>
      <w:sz w:val="16"/>
      <w:lang w:eastAsia="zh-CN"/>
    </w:rPr>
  </w:style>
  <w:style w:type="table" w:customStyle="1" w:styleId="CMATableTemplate1">
    <w:name w:val="CMA Table Template1"/>
    <w:basedOn w:val="TableNormal"/>
    <w:next w:val="TableGrid"/>
    <w:uiPriority w:val="59"/>
    <w:rsid w:val="000152E5"/>
    <w:pPr>
      <w:spacing w:after="0" w:line="240" w:lineRule="auto"/>
    </w:pPr>
    <w:rPr>
      <w:rFonts w:ascii="Calibri" w:eastAsia="SimSun" w:hAnsi="Calibri" w:cs="Times New Roman"/>
      <w:sz w:val="20"/>
      <w:szCs w:val="20"/>
      <w:lang w:eastAsia="zh-C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jc w:val="center"/>
      </w:pPr>
      <w:rPr>
        <w:rFonts w:ascii="Calibri" w:hAnsi="Calibri"/>
        <w:b/>
        <w:i w:val="0"/>
        <w:caps w:val="0"/>
        <w:small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tblStylePr>
    <w:tblStylePr w:type="firstCol">
      <w:pPr>
        <w:wordWrap/>
        <w:adjustRightInd w:val="0"/>
        <w:snapToGrid w:val="0"/>
        <w:contextualSpacing w:val="0"/>
        <w:jc w:val="left"/>
        <w:outlineLvl w:val="9"/>
      </w:pPr>
      <w:rPr>
        <w:rFonts w:ascii="Calibri" w:hAnsi="Calibri"/>
        <w:b w:val="0"/>
        <w:caps w:val="0"/>
        <w:small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tblPr/>
      <w:tcPr>
        <w:vAlign w:val="center"/>
      </w:tcPr>
    </w:tblStylePr>
    <w:tblStylePr w:type="lastCol">
      <w:pPr>
        <w:wordWrap/>
        <w:jc w:val="center"/>
      </w:pPr>
      <w:rPr>
        <w:rFonts w:ascii="Calibri" w:hAnsi="Calibri"/>
      </w:rPr>
    </w:tblStylePr>
    <w:tblStylePr w:type="band1Vert">
      <w:pPr>
        <w:wordWrap/>
        <w:jc w:val="center"/>
      </w:pPr>
      <w:rPr>
        <w:rFonts w:ascii="Calibri" w:hAnsi="Calibri"/>
      </w:rPr>
    </w:tblStylePr>
    <w:tblStylePr w:type="band2Vert">
      <w:pPr>
        <w:wordWrap/>
        <w:jc w:val="center"/>
      </w:pPr>
    </w:tblStylePr>
    <w:tblStylePr w:type="band1Horz">
      <w:pPr>
        <w:wordWrap/>
        <w:adjustRightInd w:val="0"/>
        <w:snapToGrid w:val="0"/>
        <w:contextualSpacing w:val="0"/>
        <w:jc w:val="center"/>
        <w:outlineLvl w:val="9"/>
      </w:pPr>
      <w:rPr>
        <w:rFonts w:ascii="Calibri" w:hAnsi="Calibri"/>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tblStylePr>
    <w:tblStylePr w:type="band2Horz">
      <w:pPr>
        <w:wordWrap/>
        <w:adjustRightInd w:val="0"/>
        <w:snapToGrid w:val="0"/>
        <w:contextualSpacing w:val="0"/>
        <w:jc w:val="center"/>
        <w:outlineLvl w:val="9"/>
      </w:pPr>
      <w:rPr>
        <w:rFonts w:ascii="Calibri" w:hAnsi="Calibri"/>
        <w:sz w:val="20"/>
      </w:rPr>
    </w:tblStylePr>
    <w:tblStylePr w:type="nwCell">
      <w:pPr>
        <w:wordWrap/>
        <w:adjustRightInd w:val="0"/>
        <w:snapToGrid w:val="0"/>
        <w:contextualSpacing w:val="0"/>
        <w:jc w:val="left"/>
        <w:outlineLvl w:val="9"/>
      </w:pPr>
    </w:tblStylePr>
  </w:style>
  <w:style w:type="character" w:customStyle="1" w:styleId="il">
    <w:name w:val="il"/>
    <w:basedOn w:val="DefaultParagraphFont"/>
    <w:rsid w:val="005E0068"/>
  </w:style>
  <w:style w:type="paragraph" w:customStyle="1" w:styleId="Default">
    <w:name w:val="Default"/>
    <w:rsid w:val="0004412F"/>
    <w:pPr>
      <w:autoSpaceDE w:val="0"/>
      <w:autoSpaceDN w:val="0"/>
      <w:adjustRightInd w:val="0"/>
      <w:spacing w:after="0" w:line="240" w:lineRule="auto"/>
    </w:pPr>
    <w:rPr>
      <w:rFonts w:ascii="Calibri" w:hAnsi="Calibri" w:cs="Calibri"/>
      <w:color w:val="000000"/>
      <w:sz w:val="24"/>
      <w:szCs w:val="24"/>
    </w:rPr>
  </w:style>
  <w:style w:type="numbering" w:customStyle="1" w:styleId="NoList1">
    <w:name w:val="No List1"/>
    <w:next w:val="NoList"/>
    <w:uiPriority w:val="99"/>
    <w:semiHidden/>
    <w:unhideWhenUsed/>
    <w:rsid w:val="00EC17EA"/>
  </w:style>
  <w:style w:type="table" w:customStyle="1" w:styleId="CMATableTemplate2">
    <w:name w:val="CMA Table Template2"/>
    <w:basedOn w:val="TableNormal"/>
    <w:next w:val="TableGrid"/>
    <w:uiPriority w:val="59"/>
    <w:rsid w:val="00EC17EA"/>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TableGridLight11">
    <w:name w:val="Table Grid Light11"/>
    <w:basedOn w:val="TableNormal"/>
    <w:uiPriority w:val="40"/>
    <w:rsid w:val="00EC17E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1">
    <w:name w:val="Plain Table 211"/>
    <w:basedOn w:val="TableNormal"/>
    <w:uiPriority w:val="42"/>
    <w:rsid w:val="00EC17E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TMLCite">
    <w:name w:val="HTML Cite"/>
    <w:basedOn w:val="DefaultParagraphFont"/>
    <w:uiPriority w:val="99"/>
    <w:semiHidden/>
    <w:unhideWhenUsed/>
    <w:rsid w:val="00EC17EA"/>
    <w:rPr>
      <w:i/>
      <w:iCs/>
    </w:rPr>
  </w:style>
  <w:style w:type="paragraph" w:customStyle="1" w:styleId="02-SubheadStyle1">
    <w:name w:val="02 - Subhead Style 1"/>
    <w:basedOn w:val="Normal"/>
    <w:qFormat/>
    <w:rsid w:val="00EC17EA"/>
    <w:pPr>
      <w:keepNext/>
      <w:keepLines/>
      <w:spacing w:before="77" w:after="77"/>
      <w:outlineLvl w:val="1"/>
    </w:pPr>
    <w:rPr>
      <w:rFonts w:ascii="Arial" w:eastAsia="MS PGothic" w:hAnsi="Arial"/>
      <w:b/>
      <w:bCs/>
      <w:color w:val="003058"/>
      <w:sz w:val="32"/>
      <w:szCs w:val="32"/>
    </w:rPr>
  </w:style>
  <w:style w:type="paragraph" w:customStyle="1" w:styleId="SummaryBoxtext">
    <w:name w:val="Summary Box text"/>
    <w:basedOn w:val="Normal"/>
    <w:qFormat/>
    <w:rsid w:val="00EC17EA"/>
    <w:pPr>
      <w:adjustRightInd w:val="0"/>
      <w:snapToGrid w:val="0"/>
      <w:spacing w:before="0" w:after="0"/>
    </w:pPr>
    <w:rPr>
      <w:rFonts w:ascii="Calibri" w:eastAsia="SimSun" w:hAnsi="Calibri" w:cs="Times New Roman"/>
      <w:color w:val="FF0000"/>
      <w:sz w:val="22"/>
      <w:lang w:eastAsia="zh-CN"/>
    </w:rPr>
  </w:style>
  <w:style w:type="paragraph" w:customStyle="1" w:styleId="Numbering">
    <w:name w:val="Numbering"/>
    <w:basedOn w:val="Normal"/>
    <w:link w:val="NumberingChar"/>
    <w:qFormat/>
    <w:rsid w:val="00EC17EA"/>
    <w:pPr>
      <w:numPr>
        <w:numId w:val="9"/>
      </w:numPr>
      <w:spacing w:after="120"/>
    </w:pPr>
    <w:rPr>
      <w:rFonts w:ascii="Calibri" w:eastAsia="Calibri" w:hAnsi="Calibri" w:cs="Times New Roman"/>
      <w:sz w:val="22"/>
    </w:rPr>
  </w:style>
  <w:style w:type="character" w:customStyle="1" w:styleId="NumberingChar">
    <w:name w:val="Numbering Char"/>
    <w:basedOn w:val="DefaultParagraphFont"/>
    <w:link w:val="Numbering"/>
    <w:rsid w:val="00EC17EA"/>
    <w:rPr>
      <w:rFonts w:ascii="Calibri" w:eastAsia="Calibri" w:hAnsi="Calibri" w:cs="Times New Roman"/>
      <w:lang w:val="en-GB"/>
    </w:rPr>
  </w:style>
  <w:style w:type="paragraph" w:customStyle="1" w:styleId="western">
    <w:name w:val="western"/>
    <w:basedOn w:val="Normal"/>
    <w:rsid w:val="00EC17EA"/>
    <w:pPr>
      <w:spacing w:before="100" w:beforeAutospacing="1" w:after="0"/>
    </w:pPr>
    <w:rPr>
      <w:rFonts w:ascii="Arial" w:eastAsia="Times New Roman" w:hAnsi="Arial" w:cs="Arial"/>
      <w:sz w:val="22"/>
      <w:lang w:eastAsia="en-AU"/>
    </w:rPr>
  </w:style>
  <w:style w:type="character" w:customStyle="1" w:styleId="st">
    <w:name w:val="st"/>
    <w:basedOn w:val="DefaultParagraphFont"/>
    <w:rsid w:val="00EC17EA"/>
  </w:style>
  <w:style w:type="character" w:customStyle="1" w:styleId="cit">
    <w:name w:val="cit"/>
    <w:basedOn w:val="DefaultParagraphFont"/>
    <w:rsid w:val="00EC17EA"/>
  </w:style>
  <w:style w:type="character" w:customStyle="1" w:styleId="doi">
    <w:name w:val="doi"/>
    <w:basedOn w:val="DefaultParagraphFont"/>
    <w:rsid w:val="00EC17EA"/>
  </w:style>
  <w:style w:type="character" w:customStyle="1" w:styleId="fm-citation-ids-label">
    <w:name w:val="fm-citation-ids-label"/>
    <w:basedOn w:val="DefaultParagraphFont"/>
    <w:rsid w:val="00EC17EA"/>
  </w:style>
  <w:style w:type="numbering" w:customStyle="1" w:styleId="NoList11">
    <w:name w:val="No List11"/>
    <w:next w:val="NoList"/>
    <w:uiPriority w:val="99"/>
    <w:semiHidden/>
    <w:unhideWhenUsed/>
    <w:rsid w:val="00EC17EA"/>
  </w:style>
  <w:style w:type="table" w:customStyle="1" w:styleId="TableGridbeth1">
    <w:name w:val="Table Gridbeth1"/>
    <w:basedOn w:val="TableNormal"/>
    <w:next w:val="TableGrid"/>
    <w:uiPriority w:val="59"/>
    <w:rsid w:val="00EC17EA"/>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CMATableTemplate11">
    <w:name w:val="CMA Table Template11"/>
    <w:basedOn w:val="TableNormal"/>
    <w:next w:val="TableGrid"/>
    <w:uiPriority w:val="59"/>
    <w:rsid w:val="00EC17EA"/>
    <w:pPr>
      <w:spacing w:after="0" w:line="240" w:lineRule="auto"/>
    </w:pPr>
    <w:rPr>
      <w:rFonts w:ascii="Calibri" w:eastAsia="SimSun" w:hAnsi="Calibri" w:cs="Times New Roman"/>
      <w:sz w:val="20"/>
      <w:szCs w:val="20"/>
      <w:lang w:eastAsia="zh-C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jc w:val="center"/>
      </w:pPr>
      <w:rPr>
        <w:rFonts w:ascii="Calibri" w:hAnsi="Calibri"/>
        <w:b/>
        <w:i w:val="0"/>
        <w:caps w:val="0"/>
        <w:small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tblStylePr>
    <w:tblStylePr w:type="firstCol">
      <w:pPr>
        <w:wordWrap/>
        <w:adjustRightInd w:val="0"/>
        <w:snapToGrid w:val="0"/>
        <w:contextualSpacing w:val="0"/>
        <w:jc w:val="left"/>
        <w:outlineLvl w:val="9"/>
      </w:pPr>
      <w:rPr>
        <w:rFonts w:ascii="Calibri" w:hAnsi="Calibri"/>
        <w:b w:val="0"/>
        <w:caps w:val="0"/>
        <w:small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tblPr/>
      <w:tcPr>
        <w:vAlign w:val="center"/>
      </w:tcPr>
    </w:tblStylePr>
    <w:tblStylePr w:type="lastCol">
      <w:pPr>
        <w:wordWrap/>
        <w:jc w:val="center"/>
      </w:pPr>
      <w:rPr>
        <w:rFonts w:ascii="Calibri" w:hAnsi="Calibri"/>
      </w:rPr>
    </w:tblStylePr>
    <w:tblStylePr w:type="band1Vert">
      <w:pPr>
        <w:wordWrap/>
        <w:jc w:val="center"/>
      </w:pPr>
      <w:rPr>
        <w:rFonts w:ascii="Calibri" w:hAnsi="Calibri"/>
      </w:rPr>
    </w:tblStylePr>
    <w:tblStylePr w:type="band2Vert">
      <w:pPr>
        <w:wordWrap/>
        <w:jc w:val="center"/>
      </w:pPr>
    </w:tblStylePr>
    <w:tblStylePr w:type="band1Horz">
      <w:pPr>
        <w:wordWrap/>
        <w:adjustRightInd w:val="0"/>
        <w:snapToGrid w:val="0"/>
        <w:contextualSpacing w:val="0"/>
        <w:jc w:val="center"/>
        <w:outlineLvl w:val="9"/>
      </w:pPr>
      <w:rPr>
        <w:rFonts w:ascii="Calibri" w:hAnsi="Calibri"/>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tblStylePr>
    <w:tblStylePr w:type="band2Horz">
      <w:pPr>
        <w:wordWrap/>
        <w:adjustRightInd w:val="0"/>
        <w:snapToGrid w:val="0"/>
        <w:contextualSpacing w:val="0"/>
        <w:jc w:val="center"/>
        <w:outlineLvl w:val="9"/>
      </w:pPr>
      <w:rPr>
        <w:rFonts w:ascii="Calibri" w:hAnsi="Calibri"/>
        <w:sz w:val="20"/>
      </w:rPr>
    </w:tblStylePr>
    <w:tblStylePr w:type="nwCell">
      <w:pPr>
        <w:wordWrap/>
        <w:adjustRightInd w:val="0"/>
        <w:snapToGrid w:val="0"/>
        <w:contextualSpacing w:val="0"/>
        <w:jc w:val="left"/>
        <w:outlineLvl w:val="9"/>
      </w:pPr>
    </w:tblStylePr>
  </w:style>
  <w:style w:type="character" w:customStyle="1" w:styleId="tgc">
    <w:name w:val="_tgc"/>
    <w:basedOn w:val="DefaultParagraphFont"/>
    <w:rsid w:val="00EC17EA"/>
  </w:style>
  <w:style w:type="numbering" w:customStyle="1" w:styleId="NoList2">
    <w:name w:val="No List2"/>
    <w:next w:val="NoList"/>
    <w:uiPriority w:val="99"/>
    <w:semiHidden/>
    <w:unhideWhenUsed/>
    <w:rsid w:val="00EC17EA"/>
  </w:style>
  <w:style w:type="character" w:customStyle="1" w:styleId="Heading4Char1">
    <w:name w:val="Heading 4 Char1"/>
    <w:aliases w:val="Heading 1 - Body Char1"/>
    <w:basedOn w:val="DefaultParagraphFont"/>
    <w:uiPriority w:val="5"/>
    <w:semiHidden/>
    <w:rsid w:val="00EC17EA"/>
    <w:rPr>
      <w:rFonts w:asciiTheme="majorHAnsi" w:eastAsiaTheme="majorEastAsia" w:hAnsiTheme="majorHAnsi" w:cstheme="majorBidi"/>
      <w:i/>
      <w:iCs/>
      <w:color w:val="2E74B5" w:themeColor="accent1" w:themeShade="BF"/>
      <w:sz w:val="24"/>
      <w:szCs w:val="22"/>
      <w:lang w:val="en-GB"/>
    </w:rPr>
  </w:style>
  <w:style w:type="character" w:customStyle="1" w:styleId="Heading5Char1">
    <w:name w:val="Heading 5 Char1"/>
    <w:aliases w:val="Heading 2 - Body Char1"/>
    <w:basedOn w:val="DefaultParagraphFont"/>
    <w:uiPriority w:val="7"/>
    <w:semiHidden/>
    <w:rsid w:val="00EC17EA"/>
    <w:rPr>
      <w:rFonts w:asciiTheme="majorHAnsi" w:eastAsiaTheme="majorEastAsia" w:hAnsiTheme="majorHAnsi" w:cstheme="majorBidi"/>
      <w:color w:val="2E74B5" w:themeColor="accent1" w:themeShade="BF"/>
      <w:sz w:val="24"/>
      <w:szCs w:val="22"/>
      <w:lang w:val="en-GB"/>
    </w:rPr>
  </w:style>
  <w:style w:type="character" w:customStyle="1" w:styleId="Heading6Char1">
    <w:name w:val="Heading 6 Char1"/>
    <w:aliases w:val="Heading 3 - Body Char1"/>
    <w:basedOn w:val="DefaultParagraphFont"/>
    <w:uiPriority w:val="7"/>
    <w:semiHidden/>
    <w:rsid w:val="00EC17EA"/>
    <w:rPr>
      <w:rFonts w:asciiTheme="majorHAnsi" w:eastAsiaTheme="majorEastAsia" w:hAnsiTheme="majorHAnsi" w:cstheme="majorBidi"/>
      <w:color w:val="1F4D78" w:themeColor="accent1" w:themeShade="7F"/>
      <w:sz w:val="24"/>
      <w:szCs w:val="22"/>
      <w:lang w:val="en-GB"/>
    </w:rPr>
  </w:style>
  <w:style w:type="paragraph" w:customStyle="1" w:styleId="msonormal0">
    <w:name w:val="msonormal"/>
    <w:basedOn w:val="Normal"/>
    <w:uiPriority w:val="99"/>
    <w:rsid w:val="00EC17EA"/>
    <w:pPr>
      <w:spacing w:before="100" w:after="100"/>
    </w:pPr>
    <w:rPr>
      <w:rFonts w:ascii="Times New Roman" w:eastAsia="Times New Roman" w:hAnsi="Times New Roman" w:cs="Times New Roman"/>
      <w:szCs w:val="20"/>
    </w:rPr>
  </w:style>
  <w:style w:type="character" w:customStyle="1" w:styleId="Heading9Char1">
    <w:name w:val="Heading 9 Char1"/>
    <w:aliases w:val="Section heading - Body Char1"/>
    <w:basedOn w:val="DefaultParagraphFont"/>
    <w:uiPriority w:val="7"/>
    <w:semiHidden/>
    <w:rsid w:val="00EC17EA"/>
    <w:rPr>
      <w:rFonts w:asciiTheme="majorHAnsi" w:eastAsiaTheme="majorEastAsia" w:hAnsiTheme="majorHAnsi" w:cstheme="majorBidi"/>
      <w:i/>
      <w:iCs/>
      <w:color w:val="272727" w:themeColor="text1" w:themeTint="D8"/>
      <w:sz w:val="21"/>
      <w:szCs w:val="21"/>
      <w:lang w:val="en-GB"/>
    </w:rPr>
  </w:style>
  <w:style w:type="character" w:customStyle="1" w:styleId="HeaderChar1">
    <w:name w:val="Header Char1"/>
    <w:aliases w:val="Page Header Char1,Header title Char1,he=header Char1,cntr/bld Char1"/>
    <w:basedOn w:val="DefaultParagraphFont"/>
    <w:uiPriority w:val="99"/>
    <w:semiHidden/>
    <w:rsid w:val="00EC17EA"/>
    <w:rPr>
      <w:rFonts w:ascii="Calibri" w:eastAsia="Calibri" w:hAnsi="Calibri" w:cs="Arial"/>
      <w:sz w:val="24"/>
      <w:lang w:val="en-GB"/>
    </w:rPr>
  </w:style>
  <w:style w:type="table" w:customStyle="1" w:styleId="TableGridbeth2">
    <w:name w:val="Table Gridbeth2"/>
    <w:basedOn w:val="TableNormal"/>
    <w:next w:val="TableGrid"/>
    <w:uiPriority w:val="59"/>
    <w:rsid w:val="00EC17EA"/>
    <w:pPr>
      <w:spacing w:after="0" w:line="240" w:lineRule="auto"/>
    </w:pPr>
    <w:rPr>
      <w:rFonts w:ascii="Calibri" w:eastAsia="Calibri" w:hAnsi="Calibri" w:cs="Arial"/>
      <w:lang w:val="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TableGridLight12">
    <w:name w:val="Table Grid Light12"/>
    <w:basedOn w:val="TableNormal"/>
    <w:uiPriority w:val="40"/>
    <w:rsid w:val="00EC17EA"/>
    <w:pPr>
      <w:spacing w:after="0" w:line="240" w:lineRule="auto"/>
    </w:pPr>
    <w:rPr>
      <w:rFonts w:ascii="Calibri" w:eastAsia="Calibri" w:hAnsi="Calibri" w:cs="Arial"/>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2">
    <w:name w:val="Plain Table 212"/>
    <w:basedOn w:val="TableNormal"/>
    <w:uiPriority w:val="42"/>
    <w:rsid w:val="00EC17EA"/>
    <w:pPr>
      <w:spacing w:after="0" w:line="240" w:lineRule="auto"/>
    </w:pPr>
    <w:rPr>
      <w:rFonts w:ascii="Calibri" w:eastAsia="Calibri" w:hAnsi="Calibri" w:cs="Arial"/>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CMATableTemplate111">
    <w:name w:val="CMA Table Template111"/>
    <w:basedOn w:val="TableNormal"/>
    <w:uiPriority w:val="59"/>
    <w:rsid w:val="00EC17EA"/>
    <w:pPr>
      <w:spacing w:after="0" w:line="240" w:lineRule="auto"/>
    </w:pPr>
    <w:rPr>
      <w:rFonts w:ascii="Calibri" w:eastAsia="SimSun" w:hAnsi="Calibri" w:cs="Times New Roman"/>
      <w:sz w:val="20"/>
      <w:szCs w:val="20"/>
      <w:lang w:eastAsia="zh-CN"/>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jc w:val="center"/>
      </w:pPr>
      <w:rPr>
        <w:rFonts w:ascii="Calibri" w:hAnsi="Calibri" w:cs="Calibri" w:hint="default"/>
        <w:b/>
        <w:i w:val="0"/>
        <w:caps w:val="0"/>
        <w:smallCaps w:val="0"/>
        <w:strike w:val="0"/>
        <w:dstrike w:val="0"/>
        <w:vanish w:val="0"/>
        <w:webHidden w:val="0"/>
        <w:sz w:val="20"/>
        <w:szCs w:val="20"/>
        <w:u w:val="none"/>
        <w:effect w:val="none"/>
        <w:specVanish w:val="0"/>
        <w14:shadow w14:blurRad="0" w14:dist="0" w14:dir="0" w14:sx="0" w14:sy="0" w14:kx="0" w14:ky="0" w14:algn="none">
          <w14:srgbClr w14:val="000000"/>
        </w14:shadow>
        <w14:textOutline w14:w="0" w14:cap="rnd" w14:cmpd="sng" w14:algn="ctr">
          <w14:noFill/>
          <w14:prstDash w14:val="solid"/>
          <w14:bevel/>
        </w14:textOutline>
      </w:rPr>
      <w:tblPr/>
      <w:tcPr>
        <w:vAlign w:val="bottom"/>
      </w:tcPr>
    </w:tblStylePr>
    <w:tblStylePr w:type="firstCol">
      <w:pPr>
        <w:wordWrap/>
        <w:adjustRightInd w:val="0"/>
        <w:snapToGrid w:val="0"/>
        <w:jc w:val="left"/>
        <w:outlineLvl w:val="9"/>
      </w:pPr>
      <w:rPr>
        <w:rFonts w:ascii="Calibri" w:hAnsi="Calibri" w:cs="Calibri" w:hint="default"/>
        <w:b w:val="0"/>
        <w:caps w:val="0"/>
        <w:smallCaps w:val="0"/>
        <w:strike w:val="0"/>
        <w:dstrike w:val="0"/>
        <w:vanish w:val="0"/>
        <w:webHidden w:val="0"/>
        <w:sz w:val="20"/>
        <w:szCs w:val="20"/>
        <w:u w:val="none"/>
        <w:effect w:val="none"/>
        <w:specVanish w:val="0"/>
        <w14:shadow w14:blurRad="0" w14:dist="0" w14:dir="0" w14:sx="0" w14:sy="0" w14:kx="0" w14:ky="0" w14:algn="none">
          <w14:srgbClr w14:val="000000"/>
        </w14:shadow>
        <w14:textOutline w14:w="0" w14:cap="rnd" w14:cmpd="sng" w14:algn="ctr">
          <w14:noFill/>
          <w14:prstDash w14:val="solid"/>
          <w14:bevel/>
        </w14:textOutline>
      </w:rPr>
      <w:tblPr/>
      <w:tcPr>
        <w:vAlign w:val="center"/>
      </w:tcPr>
    </w:tblStylePr>
    <w:tblStylePr w:type="lastCol">
      <w:pPr>
        <w:wordWrap/>
        <w:jc w:val="center"/>
      </w:pPr>
      <w:rPr>
        <w:rFonts w:ascii="Calibri" w:hAnsi="Calibri" w:cs="Calibri" w:hint="default"/>
      </w:rPr>
    </w:tblStylePr>
    <w:tblStylePr w:type="band1Vert">
      <w:pPr>
        <w:wordWrap/>
        <w:jc w:val="center"/>
      </w:pPr>
      <w:rPr>
        <w:rFonts w:ascii="Calibri" w:hAnsi="Calibri" w:cs="Calibri" w:hint="default"/>
      </w:rPr>
    </w:tblStylePr>
    <w:tblStylePr w:type="band2Vert">
      <w:pPr>
        <w:wordWrap/>
        <w:jc w:val="center"/>
      </w:pPr>
    </w:tblStylePr>
    <w:tblStylePr w:type="band1Horz">
      <w:pPr>
        <w:wordWrap/>
        <w:adjustRightInd w:val="0"/>
        <w:snapToGrid w:val="0"/>
        <w:jc w:val="center"/>
        <w:outlineLvl w:val="9"/>
      </w:pPr>
      <w:rPr>
        <w:rFonts w:ascii="Calibri" w:hAnsi="Calibri" w:cs="Calibri" w:hint="default"/>
        <w:b w:val="0"/>
        <w:i w:val="0"/>
        <w:caps w:val="0"/>
        <w:smallCaps w:val="0"/>
        <w:strike w:val="0"/>
        <w:dstrike w:val="0"/>
        <w:vanish w:val="0"/>
        <w:webHidden w:val="0"/>
        <w:color w:val="auto"/>
        <w:sz w:val="20"/>
        <w:szCs w:val="20"/>
        <w:u w:val="none"/>
        <w:effect w:val="none"/>
        <w:specVanish w:val="0"/>
        <w14:shadow w14:blurRad="0" w14:dist="0" w14:dir="0" w14:sx="0" w14:sy="0" w14:kx="0" w14:ky="0" w14:algn="none">
          <w14:srgbClr w14:val="000000"/>
        </w14:shadow>
        <w14:textOutline w14:w="0" w14:cap="rnd" w14:cmpd="sng" w14:algn="ctr">
          <w14:noFill/>
          <w14:prstDash w14:val="solid"/>
          <w14:bevel/>
        </w14:textOutline>
      </w:rPr>
      <w:tblPr/>
      <w:tcPr>
        <w:vAlign w:val="bottom"/>
      </w:tcPr>
    </w:tblStylePr>
    <w:tblStylePr w:type="band2Horz">
      <w:pPr>
        <w:wordWrap/>
        <w:adjustRightInd w:val="0"/>
        <w:snapToGrid w:val="0"/>
        <w:jc w:val="center"/>
        <w:outlineLvl w:val="9"/>
      </w:pPr>
      <w:rPr>
        <w:rFonts w:ascii="Calibri" w:hAnsi="Calibri" w:cs="Calibri" w:hint="default"/>
        <w:sz w:val="20"/>
        <w:szCs w:val="20"/>
      </w:rPr>
    </w:tblStylePr>
    <w:tblStylePr w:type="nwCell">
      <w:pPr>
        <w:wordWrap/>
        <w:adjustRightInd w:val="0"/>
        <w:snapToGrid w:val="0"/>
        <w:jc w:val="left"/>
        <w:outlineLvl w:val="9"/>
      </w:pPr>
    </w:tblStylePr>
  </w:style>
  <w:style w:type="numbering" w:customStyle="1" w:styleId="Headings1">
    <w:name w:val="Headings1"/>
    <w:uiPriority w:val="99"/>
    <w:rsid w:val="00EC17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caption" w:uiPriority="35" w:qFormat="1"/>
    <w:lsdException w:name="annotation reference" w:qFormat="1"/>
    <w:lsdException w:name="Title" w:semiHidden="0" w:uiPriority="7" w:unhideWhenUsed="0" w:qFormat="1"/>
    <w:lsdException w:name="Default Paragraph Font" w:uiPriority="1"/>
    <w:lsdException w:name="Body Text" w:qFormat="1"/>
    <w:lsdException w:name="Body Text Indent" w:uiPriority="9"/>
    <w:lsdException w:name="Subtitle" w:semiHidden="0" w:uiPriority="0"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semiHidden="0" w:uiPriority="59" w:unhideWhenUsed="0"/>
    <w:lsdException w:name="Placeholder Text"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85D"/>
    <w:pPr>
      <w:spacing w:before="120" w:line="240" w:lineRule="auto"/>
    </w:pPr>
    <w:rPr>
      <w:sz w:val="24"/>
      <w:lang w:val="en-GB"/>
    </w:rPr>
  </w:style>
  <w:style w:type="paragraph" w:styleId="Heading1">
    <w:name w:val="heading 1"/>
    <w:basedOn w:val="Normal"/>
    <w:next w:val="Normal"/>
    <w:link w:val="Heading1Char"/>
    <w:uiPriority w:val="1"/>
    <w:qFormat/>
    <w:rsid w:val="00E4041E"/>
    <w:pPr>
      <w:keepNext/>
      <w:keepLines/>
      <w:numPr>
        <w:numId w:val="1"/>
      </w:numPr>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lang w:val="en-GB"/>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1"/>
    <w:rsid w:val="00186307"/>
    <w:rPr>
      <w:rFonts w:eastAsiaTheme="majorEastAsia" w:cstheme="majorBidi"/>
      <w:b/>
      <w:sz w:val="28"/>
      <w:szCs w:val="28"/>
    </w:rPr>
  </w:style>
  <w:style w:type="paragraph" w:styleId="ListParagraph">
    <w:name w:val="List Paragraph"/>
    <w:aliases w:val="BulletPoints"/>
    <w:basedOn w:val="Normal"/>
    <w:link w:val="ListParagraphChar"/>
    <w:uiPriority w:val="34"/>
    <w:qFormat/>
    <w:rsid w:val="0095170D"/>
    <w:pPr>
      <w:ind w:left="720"/>
    </w:pPr>
  </w:style>
  <w:style w:type="paragraph" w:customStyle="1" w:styleId="V50Heading2nonumbers">
    <w:name w:val="V5.0 Heading 2 no numbers"/>
    <w:basedOn w:val="Heading2"/>
    <w:uiPriority w:val="99"/>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lang w:val="en-GB"/>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7"/>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lang w:val="en-GB"/>
    </w:rPr>
  </w:style>
  <w:style w:type="paragraph" w:customStyle="1" w:styleId="V50Heading1nonumbers">
    <w:name w:val="V5.0 Heading 1 no numbers"/>
    <w:basedOn w:val="Heading1"/>
    <w:uiPriority w:val="99"/>
    <w:qFormat/>
    <w:rsid w:val="00186307"/>
    <w:pPr>
      <w:numPr>
        <w:numId w:val="0"/>
      </w:numPr>
    </w:pPr>
  </w:style>
  <w:style w:type="table" w:styleId="TableGrid">
    <w:name w:val="Table Grid"/>
    <w:aliases w:val="Summary box,Table Gridbeth"/>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uiPriority w:val="99"/>
    <w:qFormat/>
    <w:rsid w:val="00597972"/>
    <w:rPr>
      <w:b/>
      <w:color w:val="4472C4" w:themeColor="accent5"/>
    </w:rPr>
  </w:style>
  <w:style w:type="paragraph" w:customStyle="1" w:styleId="V50InstructionsBullets">
    <w:name w:val="V5.0 Instructions Bullets"/>
    <w:basedOn w:val="V50Instructions"/>
    <w:uiPriority w:val="99"/>
    <w:qFormat/>
    <w:rsid w:val="007F08CA"/>
    <w:pPr>
      <w:numPr>
        <w:numId w:val="2"/>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uiPriority w:val="99"/>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uiPriority w:val="99"/>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uiPriority w:val="99"/>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uiPriority w:val="99"/>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0">
    <w:name w:val="Table Heading"/>
    <w:basedOn w:val="Normal"/>
    <w:uiPriority w:val="99"/>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uiPriority w:val="99"/>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7"/>
    <w:qFormat/>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uiPriority w:val="99"/>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uiPriority w:val="99"/>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7"/>
    <w:qFormat/>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
    <w:qFormat/>
    <w:rsid w:val="00C317F3"/>
    <w:pPr>
      <w:spacing w:before="0" w:after="0"/>
    </w:pPr>
    <w:rPr>
      <w:rFonts w:ascii="Arial Narrow" w:eastAsia="Times New Roman" w:hAnsi="Arial Narrow" w:cs="Times New Roman"/>
      <w:sz w:val="20"/>
      <w:szCs w:val="20"/>
    </w:rPr>
  </w:style>
  <w:style w:type="character" w:customStyle="1" w:styleId="TabletextChar">
    <w:name w:val="Table text Char"/>
    <w:link w:val="Tabletext0"/>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rPr>
  </w:style>
  <w:style w:type="paragraph" w:styleId="TOCHeading">
    <w:name w:val="TOC Heading"/>
    <w:basedOn w:val="Heading1"/>
    <w:next w:val="Normal"/>
    <w:uiPriority w:val="39"/>
    <w:unhideWhenUsed/>
    <w:qFormat/>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qFormat/>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4"/>
      </w:numPr>
      <w:spacing w:before="200" w:after="120" w:line="240" w:lineRule="auto"/>
    </w:pPr>
    <w:rPr>
      <w:rFonts w:ascii="Arial" w:eastAsia="Times New Roman" w:hAnsi="Arial" w:cs="Arial"/>
      <w:b/>
      <w:snapToGrid w:val="0"/>
    </w:rPr>
  </w:style>
  <w:style w:type="paragraph" w:customStyle="1" w:styleId="Style1">
    <w:name w:val="Style1"/>
    <w:basedOn w:val="Normal"/>
    <w:uiPriority w:val="99"/>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uiPriority w:val="99"/>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
    <w:basedOn w:val="DefaultParagraphFont"/>
    <w:link w:val="ListParagraph"/>
    <w:uiPriority w:val="34"/>
    <w:locked/>
    <w:rsid w:val="0095170D"/>
    <w:rPr>
      <w:sz w:val="24"/>
    </w:rPr>
  </w:style>
  <w:style w:type="numbering" w:customStyle="1" w:styleId="Headings">
    <w:name w:val="Headings"/>
    <w:uiPriority w:val="99"/>
    <w:rsid w:val="00C317F3"/>
    <w:pPr>
      <w:numPr>
        <w:numId w:val="5"/>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uiPriority w:val="99"/>
    <w:qFormat/>
    <w:rsid w:val="00E46AC9"/>
    <w:pPr>
      <w:numPr>
        <w:numId w:val="6"/>
      </w:numPr>
      <w:spacing w:before="0" w:after="240"/>
      <w:ind w:left="357" w:hanging="357"/>
    </w:pPr>
    <w:rPr>
      <w:sz w:val="22"/>
    </w:rPr>
  </w:style>
  <w:style w:type="paragraph" w:customStyle="1" w:styleId="TableFigNote">
    <w:name w:val="TableFigNote"/>
    <w:basedOn w:val="Normal"/>
    <w:uiPriority w:val="99"/>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uiPriority w:val="99"/>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uiPriority w:val="99"/>
    <w:qFormat/>
    <w:rsid w:val="00C52ACF"/>
    <w:pPr>
      <w:spacing w:before="0" w:after="120"/>
      <w:ind w:left="720" w:hanging="720"/>
      <w:jc w:val="both"/>
    </w:pPr>
    <w:rPr>
      <w:rFonts w:ascii="Calibri" w:hAnsi="Calibri"/>
    </w:rPr>
  </w:style>
  <w:style w:type="paragraph" w:customStyle="1" w:styleId="TableorfigureAbbreviationsandSource">
    <w:name w:val="Table or figure Abbreviations and Source"/>
    <w:next w:val="Normal"/>
    <w:qFormat/>
    <w:rsid w:val="001C69A6"/>
    <w:pPr>
      <w:spacing w:after="240" w:line="240" w:lineRule="auto"/>
      <w:contextualSpacing/>
    </w:pPr>
    <w:rPr>
      <w:rFonts w:ascii="Calibri" w:eastAsia="Calibri" w:hAnsi="Calibri" w:cs="Times New Roman"/>
      <w:sz w:val="16"/>
      <w:lang w:eastAsia="zh-CN"/>
    </w:rPr>
  </w:style>
  <w:style w:type="table" w:customStyle="1" w:styleId="CMATableTemplate1">
    <w:name w:val="CMA Table Template1"/>
    <w:basedOn w:val="TableNormal"/>
    <w:next w:val="TableGrid"/>
    <w:uiPriority w:val="59"/>
    <w:rsid w:val="000152E5"/>
    <w:pPr>
      <w:spacing w:after="0" w:line="240" w:lineRule="auto"/>
    </w:pPr>
    <w:rPr>
      <w:rFonts w:ascii="Calibri" w:eastAsia="SimSun" w:hAnsi="Calibri" w:cs="Times New Roman"/>
      <w:sz w:val="20"/>
      <w:szCs w:val="20"/>
      <w:lang w:eastAsia="zh-C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jc w:val="center"/>
      </w:pPr>
      <w:rPr>
        <w:rFonts w:ascii="Calibri" w:hAnsi="Calibri"/>
        <w:b/>
        <w:i w:val="0"/>
        <w:caps w:val="0"/>
        <w:small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tblStylePr>
    <w:tblStylePr w:type="firstCol">
      <w:pPr>
        <w:wordWrap/>
        <w:adjustRightInd w:val="0"/>
        <w:snapToGrid w:val="0"/>
        <w:contextualSpacing w:val="0"/>
        <w:jc w:val="left"/>
        <w:outlineLvl w:val="9"/>
      </w:pPr>
      <w:rPr>
        <w:rFonts w:ascii="Calibri" w:hAnsi="Calibri"/>
        <w:b w:val="0"/>
        <w:caps w:val="0"/>
        <w:small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tblPr/>
      <w:tcPr>
        <w:vAlign w:val="center"/>
      </w:tcPr>
    </w:tblStylePr>
    <w:tblStylePr w:type="lastCol">
      <w:pPr>
        <w:wordWrap/>
        <w:jc w:val="center"/>
      </w:pPr>
      <w:rPr>
        <w:rFonts w:ascii="Calibri" w:hAnsi="Calibri"/>
      </w:rPr>
    </w:tblStylePr>
    <w:tblStylePr w:type="band1Vert">
      <w:pPr>
        <w:wordWrap/>
        <w:jc w:val="center"/>
      </w:pPr>
      <w:rPr>
        <w:rFonts w:ascii="Calibri" w:hAnsi="Calibri"/>
      </w:rPr>
    </w:tblStylePr>
    <w:tblStylePr w:type="band2Vert">
      <w:pPr>
        <w:wordWrap/>
        <w:jc w:val="center"/>
      </w:pPr>
    </w:tblStylePr>
    <w:tblStylePr w:type="band1Horz">
      <w:pPr>
        <w:wordWrap/>
        <w:adjustRightInd w:val="0"/>
        <w:snapToGrid w:val="0"/>
        <w:contextualSpacing w:val="0"/>
        <w:jc w:val="center"/>
        <w:outlineLvl w:val="9"/>
      </w:pPr>
      <w:rPr>
        <w:rFonts w:ascii="Calibri" w:hAnsi="Calibri"/>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tblStylePr>
    <w:tblStylePr w:type="band2Horz">
      <w:pPr>
        <w:wordWrap/>
        <w:adjustRightInd w:val="0"/>
        <w:snapToGrid w:val="0"/>
        <w:contextualSpacing w:val="0"/>
        <w:jc w:val="center"/>
        <w:outlineLvl w:val="9"/>
      </w:pPr>
      <w:rPr>
        <w:rFonts w:ascii="Calibri" w:hAnsi="Calibri"/>
        <w:sz w:val="20"/>
      </w:rPr>
    </w:tblStylePr>
    <w:tblStylePr w:type="nwCell">
      <w:pPr>
        <w:wordWrap/>
        <w:adjustRightInd w:val="0"/>
        <w:snapToGrid w:val="0"/>
        <w:contextualSpacing w:val="0"/>
        <w:jc w:val="left"/>
        <w:outlineLvl w:val="9"/>
      </w:pPr>
    </w:tblStylePr>
  </w:style>
  <w:style w:type="character" w:customStyle="1" w:styleId="il">
    <w:name w:val="il"/>
    <w:basedOn w:val="DefaultParagraphFont"/>
    <w:rsid w:val="005E0068"/>
  </w:style>
  <w:style w:type="paragraph" w:customStyle="1" w:styleId="Default">
    <w:name w:val="Default"/>
    <w:rsid w:val="0004412F"/>
    <w:pPr>
      <w:autoSpaceDE w:val="0"/>
      <w:autoSpaceDN w:val="0"/>
      <w:adjustRightInd w:val="0"/>
      <w:spacing w:after="0" w:line="240" w:lineRule="auto"/>
    </w:pPr>
    <w:rPr>
      <w:rFonts w:ascii="Calibri" w:hAnsi="Calibri" w:cs="Calibri"/>
      <w:color w:val="000000"/>
      <w:sz w:val="24"/>
      <w:szCs w:val="24"/>
    </w:rPr>
  </w:style>
  <w:style w:type="numbering" w:customStyle="1" w:styleId="NoList1">
    <w:name w:val="No List1"/>
    <w:next w:val="NoList"/>
    <w:uiPriority w:val="99"/>
    <w:semiHidden/>
    <w:unhideWhenUsed/>
    <w:rsid w:val="00EC17EA"/>
  </w:style>
  <w:style w:type="table" w:customStyle="1" w:styleId="CMATableTemplate2">
    <w:name w:val="CMA Table Template2"/>
    <w:basedOn w:val="TableNormal"/>
    <w:next w:val="TableGrid"/>
    <w:uiPriority w:val="59"/>
    <w:rsid w:val="00EC17EA"/>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TableGridLight11">
    <w:name w:val="Table Grid Light11"/>
    <w:basedOn w:val="TableNormal"/>
    <w:uiPriority w:val="40"/>
    <w:rsid w:val="00EC17E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1">
    <w:name w:val="Plain Table 211"/>
    <w:basedOn w:val="TableNormal"/>
    <w:uiPriority w:val="42"/>
    <w:rsid w:val="00EC17E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TMLCite">
    <w:name w:val="HTML Cite"/>
    <w:basedOn w:val="DefaultParagraphFont"/>
    <w:uiPriority w:val="99"/>
    <w:semiHidden/>
    <w:unhideWhenUsed/>
    <w:rsid w:val="00EC17EA"/>
    <w:rPr>
      <w:i/>
      <w:iCs/>
    </w:rPr>
  </w:style>
  <w:style w:type="paragraph" w:customStyle="1" w:styleId="02-SubheadStyle1">
    <w:name w:val="02 - Subhead Style 1"/>
    <w:basedOn w:val="Normal"/>
    <w:qFormat/>
    <w:rsid w:val="00EC17EA"/>
    <w:pPr>
      <w:keepNext/>
      <w:keepLines/>
      <w:spacing w:before="77" w:after="77"/>
      <w:outlineLvl w:val="1"/>
    </w:pPr>
    <w:rPr>
      <w:rFonts w:ascii="Arial" w:eastAsia="MS PGothic" w:hAnsi="Arial"/>
      <w:b/>
      <w:bCs/>
      <w:color w:val="003058"/>
      <w:sz w:val="32"/>
      <w:szCs w:val="32"/>
    </w:rPr>
  </w:style>
  <w:style w:type="paragraph" w:customStyle="1" w:styleId="SummaryBoxtext">
    <w:name w:val="Summary Box text"/>
    <w:basedOn w:val="Normal"/>
    <w:qFormat/>
    <w:rsid w:val="00EC17EA"/>
    <w:pPr>
      <w:adjustRightInd w:val="0"/>
      <w:snapToGrid w:val="0"/>
      <w:spacing w:before="0" w:after="0"/>
    </w:pPr>
    <w:rPr>
      <w:rFonts w:ascii="Calibri" w:eastAsia="SimSun" w:hAnsi="Calibri" w:cs="Times New Roman"/>
      <w:color w:val="FF0000"/>
      <w:sz w:val="22"/>
      <w:lang w:eastAsia="zh-CN"/>
    </w:rPr>
  </w:style>
  <w:style w:type="paragraph" w:customStyle="1" w:styleId="Numbering">
    <w:name w:val="Numbering"/>
    <w:basedOn w:val="Normal"/>
    <w:link w:val="NumberingChar"/>
    <w:qFormat/>
    <w:rsid w:val="00EC17EA"/>
    <w:pPr>
      <w:numPr>
        <w:numId w:val="9"/>
      </w:numPr>
      <w:spacing w:after="120"/>
    </w:pPr>
    <w:rPr>
      <w:rFonts w:ascii="Calibri" w:eastAsia="Calibri" w:hAnsi="Calibri" w:cs="Times New Roman"/>
      <w:sz w:val="22"/>
    </w:rPr>
  </w:style>
  <w:style w:type="character" w:customStyle="1" w:styleId="NumberingChar">
    <w:name w:val="Numbering Char"/>
    <w:basedOn w:val="DefaultParagraphFont"/>
    <w:link w:val="Numbering"/>
    <w:rsid w:val="00EC17EA"/>
    <w:rPr>
      <w:rFonts w:ascii="Calibri" w:eastAsia="Calibri" w:hAnsi="Calibri" w:cs="Times New Roman"/>
      <w:lang w:val="en-GB"/>
    </w:rPr>
  </w:style>
  <w:style w:type="paragraph" w:customStyle="1" w:styleId="western">
    <w:name w:val="western"/>
    <w:basedOn w:val="Normal"/>
    <w:rsid w:val="00EC17EA"/>
    <w:pPr>
      <w:spacing w:before="100" w:beforeAutospacing="1" w:after="0"/>
    </w:pPr>
    <w:rPr>
      <w:rFonts w:ascii="Arial" w:eastAsia="Times New Roman" w:hAnsi="Arial" w:cs="Arial"/>
      <w:sz w:val="22"/>
      <w:lang w:eastAsia="en-AU"/>
    </w:rPr>
  </w:style>
  <w:style w:type="character" w:customStyle="1" w:styleId="st">
    <w:name w:val="st"/>
    <w:basedOn w:val="DefaultParagraphFont"/>
    <w:rsid w:val="00EC17EA"/>
  </w:style>
  <w:style w:type="character" w:customStyle="1" w:styleId="cit">
    <w:name w:val="cit"/>
    <w:basedOn w:val="DefaultParagraphFont"/>
    <w:rsid w:val="00EC17EA"/>
  </w:style>
  <w:style w:type="character" w:customStyle="1" w:styleId="doi">
    <w:name w:val="doi"/>
    <w:basedOn w:val="DefaultParagraphFont"/>
    <w:rsid w:val="00EC17EA"/>
  </w:style>
  <w:style w:type="character" w:customStyle="1" w:styleId="fm-citation-ids-label">
    <w:name w:val="fm-citation-ids-label"/>
    <w:basedOn w:val="DefaultParagraphFont"/>
    <w:rsid w:val="00EC17EA"/>
  </w:style>
  <w:style w:type="numbering" w:customStyle="1" w:styleId="NoList11">
    <w:name w:val="No List11"/>
    <w:next w:val="NoList"/>
    <w:uiPriority w:val="99"/>
    <w:semiHidden/>
    <w:unhideWhenUsed/>
    <w:rsid w:val="00EC17EA"/>
  </w:style>
  <w:style w:type="table" w:customStyle="1" w:styleId="TableGridbeth1">
    <w:name w:val="Table Gridbeth1"/>
    <w:basedOn w:val="TableNormal"/>
    <w:next w:val="TableGrid"/>
    <w:uiPriority w:val="59"/>
    <w:rsid w:val="00EC17EA"/>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CMATableTemplate11">
    <w:name w:val="CMA Table Template11"/>
    <w:basedOn w:val="TableNormal"/>
    <w:next w:val="TableGrid"/>
    <w:uiPriority w:val="59"/>
    <w:rsid w:val="00EC17EA"/>
    <w:pPr>
      <w:spacing w:after="0" w:line="240" w:lineRule="auto"/>
    </w:pPr>
    <w:rPr>
      <w:rFonts w:ascii="Calibri" w:eastAsia="SimSun" w:hAnsi="Calibri" w:cs="Times New Roman"/>
      <w:sz w:val="20"/>
      <w:szCs w:val="20"/>
      <w:lang w:eastAsia="zh-C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jc w:val="center"/>
      </w:pPr>
      <w:rPr>
        <w:rFonts w:ascii="Calibri" w:hAnsi="Calibri"/>
        <w:b/>
        <w:i w:val="0"/>
        <w:caps w:val="0"/>
        <w:small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tblStylePr>
    <w:tblStylePr w:type="firstCol">
      <w:pPr>
        <w:wordWrap/>
        <w:adjustRightInd w:val="0"/>
        <w:snapToGrid w:val="0"/>
        <w:contextualSpacing w:val="0"/>
        <w:jc w:val="left"/>
        <w:outlineLvl w:val="9"/>
      </w:pPr>
      <w:rPr>
        <w:rFonts w:ascii="Calibri" w:hAnsi="Calibri"/>
        <w:b w:val="0"/>
        <w:caps w:val="0"/>
        <w:small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tblPr/>
      <w:tcPr>
        <w:vAlign w:val="center"/>
      </w:tcPr>
    </w:tblStylePr>
    <w:tblStylePr w:type="lastCol">
      <w:pPr>
        <w:wordWrap/>
        <w:jc w:val="center"/>
      </w:pPr>
      <w:rPr>
        <w:rFonts w:ascii="Calibri" w:hAnsi="Calibri"/>
      </w:rPr>
    </w:tblStylePr>
    <w:tblStylePr w:type="band1Vert">
      <w:pPr>
        <w:wordWrap/>
        <w:jc w:val="center"/>
      </w:pPr>
      <w:rPr>
        <w:rFonts w:ascii="Calibri" w:hAnsi="Calibri"/>
      </w:rPr>
    </w:tblStylePr>
    <w:tblStylePr w:type="band2Vert">
      <w:pPr>
        <w:wordWrap/>
        <w:jc w:val="center"/>
      </w:pPr>
    </w:tblStylePr>
    <w:tblStylePr w:type="band1Horz">
      <w:pPr>
        <w:wordWrap/>
        <w:adjustRightInd w:val="0"/>
        <w:snapToGrid w:val="0"/>
        <w:contextualSpacing w:val="0"/>
        <w:jc w:val="center"/>
        <w:outlineLvl w:val="9"/>
      </w:pPr>
      <w:rPr>
        <w:rFonts w:ascii="Calibri" w:hAnsi="Calibri"/>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tblStylePr>
    <w:tblStylePr w:type="band2Horz">
      <w:pPr>
        <w:wordWrap/>
        <w:adjustRightInd w:val="0"/>
        <w:snapToGrid w:val="0"/>
        <w:contextualSpacing w:val="0"/>
        <w:jc w:val="center"/>
        <w:outlineLvl w:val="9"/>
      </w:pPr>
      <w:rPr>
        <w:rFonts w:ascii="Calibri" w:hAnsi="Calibri"/>
        <w:sz w:val="20"/>
      </w:rPr>
    </w:tblStylePr>
    <w:tblStylePr w:type="nwCell">
      <w:pPr>
        <w:wordWrap/>
        <w:adjustRightInd w:val="0"/>
        <w:snapToGrid w:val="0"/>
        <w:contextualSpacing w:val="0"/>
        <w:jc w:val="left"/>
        <w:outlineLvl w:val="9"/>
      </w:pPr>
    </w:tblStylePr>
  </w:style>
  <w:style w:type="character" w:customStyle="1" w:styleId="tgc">
    <w:name w:val="_tgc"/>
    <w:basedOn w:val="DefaultParagraphFont"/>
    <w:rsid w:val="00EC17EA"/>
  </w:style>
  <w:style w:type="numbering" w:customStyle="1" w:styleId="NoList2">
    <w:name w:val="No List2"/>
    <w:next w:val="NoList"/>
    <w:uiPriority w:val="99"/>
    <w:semiHidden/>
    <w:unhideWhenUsed/>
    <w:rsid w:val="00EC17EA"/>
  </w:style>
  <w:style w:type="character" w:customStyle="1" w:styleId="Heading4Char1">
    <w:name w:val="Heading 4 Char1"/>
    <w:aliases w:val="Heading 1 - Body Char1"/>
    <w:basedOn w:val="DefaultParagraphFont"/>
    <w:uiPriority w:val="5"/>
    <w:semiHidden/>
    <w:rsid w:val="00EC17EA"/>
    <w:rPr>
      <w:rFonts w:asciiTheme="majorHAnsi" w:eastAsiaTheme="majorEastAsia" w:hAnsiTheme="majorHAnsi" w:cstheme="majorBidi"/>
      <w:i/>
      <w:iCs/>
      <w:color w:val="2E74B5" w:themeColor="accent1" w:themeShade="BF"/>
      <w:sz w:val="24"/>
      <w:szCs w:val="22"/>
      <w:lang w:val="en-GB"/>
    </w:rPr>
  </w:style>
  <w:style w:type="character" w:customStyle="1" w:styleId="Heading5Char1">
    <w:name w:val="Heading 5 Char1"/>
    <w:aliases w:val="Heading 2 - Body Char1"/>
    <w:basedOn w:val="DefaultParagraphFont"/>
    <w:uiPriority w:val="7"/>
    <w:semiHidden/>
    <w:rsid w:val="00EC17EA"/>
    <w:rPr>
      <w:rFonts w:asciiTheme="majorHAnsi" w:eastAsiaTheme="majorEastAsia" w:hAnsiTheme="majorHAnsi" w:cstheme="majorBidi"/>
      <w:color w:val="2E74B5" w:themeColor="accent1" w:themeShade="BF"/>
      <w:sz w:val="24"/>
      <w:szCs w:val="22"/>
      <w:lang w:val="en-GB"/>
    </w:rPr>
  </w:style>
  <w:style w:type="character" w:customStyle="1" w:styleId="Heading6Char1">
    <w:name w:val="Heading 6 Char1"/>
    <w:aliases w:val="Heading 3 - Body Char1"/>
    <w:basedOn w:val="DefaultParagraphFont"/>
    <w:uiPriority w:val="7"/>
    <w:semiHidden/>
    <w:rsid w:val="00EC17EA"/>
    <w:rPr>
      <w:rFonts w:asciiTheme="majorHAnsi" w:eastAsiaTheme="majorEastAsia" w:hAnsiTheme="majorHAnsi" w:cstheme="majorBidi"/>
      <w:color w:val="1F4D78" w:themeColor="accent1" w:themeShade="7F"/>
      <w:sz w:val="24"/>
      <w:szCs w:val="22"/>
      <w:lang w:val="en-GB"/>
    </w:rPr>
  </w:style>
  <w:style w:type="paragraph" w:customStyle="1" w:styleId="msonormal0">
    <w:name w:val="msonormal"/>
    <w:basedOn w:val="Normal"/>
    <w:uiPriority w:val="99"/>
    <w:rsid w:val="00EC17EA"/>
    <w:pPr>
      <w:spacing w:before="100" w:after="100"/>
    </w:pPr>
    <w:rPr>
      <w:rFonts w:ascii="Times New Roman" w:eastAsia="Times New Roman" w:hAnsi="Times New Roman" w:cs="Times New Roman"/>
      <w:szCs w:val="20"/>
    </w:rPr>
  </w:style>
  <w:style w:type="character" w:customStyle="1" w:styleId="Heading9Char1">
    <w:name w:val="Heading 9 Char1"/>
    <w:aliases w:val="Section heading - Body Char1"/>
    <w:basedOn w:val="DefaultParagraphFont"/>
    <w:uiPriority w:val="7"/>
    <w:semiHidden/>
    <w:rsid w:val="00EC17EA"/>
    <w:rPr>
      <w:rFonts w:asciiTheme="majorHAnsi" w:eastAsiaTheme="majorEastAsia" w:hAnsiTheme="majorHAnsi" w:cstheme="majorBidi"/>
      <w:i/>
      <w:iCs/>
      <w:color w:val="272727" w:themeColor="text1" w:themeTint="D8"/>
      <w:sz w:val="21"/>
      <w:szCs w:val="21"/>
      <w:lang w:val="en-GB"/>
    </w:rPr>
  </w:style>
  <w:style w:type="character" w:customStyle="1" w:styleId="HeaderChar1">
    <w:name w:val="Header Char1"/>
    <w:aliases w:val="Page Header Char1,Header title Char1,he=header Char1,cntr/bld Char1"/>
    <w:basedOn w:val="DefaultParagraphFont"/>
    <w:uiPriority w:val="99"/>
    <w:semiHidden/>
    <w:rsid w:val="00EC17EA"/>
    <w:rPr>
      <w:rFonts w:ascii="Calibri" w:eastAsia="Calibri" w:hAnsi="Calibri" w:cs="Arial"/>
      <w:sz w:val="24"/>
      <w:lang w:val="en-GB"/>
    </w:rPr>
  </w:style>
  <w:style w:type="table" w:customStyle="1" w:styleId="TableGridbeth2">
    <w:name w:val="Table Gridbeth2"/>
    <w:basedOn w:val="TableNormal"/>
    <w:next w:val="TableGrid"/>
    <w:uiPriority w:val="59"/>
    <w:rsid w:val="00EC17EA"/>
    <w:pPr>
      <w:spacing w:after="0" w:line="240" w:lineRule="auto"/>
    </w:pPr>
    <w:rPr>
      <w:rFonts w:ascii="Calibri" w:eastAsia="Calibri" w:hAnsi="Calibri" w:cs="Arial"/>
      <w:lang w:val="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TableGridLight12">
    <w:name w:val="Table Grid Light12"/>
    <w:basedOn w:val="TableNormal"/>
    <w:uiPriority w:val="40"/>
    <w:rsid w:val="00EC17EA"/>
    <w:pPr>
      <w:spacing w:after="0" w:line="240" w:lineRule="auto"/>
    </w:pPr>
    <w:rPr>
      <w:rFonts w:ascii="Calibri" w:eastAsia="Calibri" w:hAnsi="Calibri" w:cs="Arial"/>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2">
    <w:name w:val="Plain Table 212"/>
    <w:basedOn w:val="TableNormal"/>
    <w:uiPriority w:val="42"/>
    <w:rsid w:val="00EC17EA"/>
    <w:pPr>
      <w:spacing w:after="0" w:line="240" w:lineRule="auto"/>
    </w:pPr>
    <w:rPr>
      <w:rFonts w:ascii="Calibri" w:eastAsia="Calibri" w:hAnsi="Calibri" w:cs="Arial"/>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CMATableTemplate111">
    <w:name w:val="CMA Table Template111"/>
    <w:basedOn w:val="TableNormal"/>
    <w:uiPriority w:val="59"/>
    <w:rsid w:val="00EC17EA"/>
    <w:pPr>
      <w:spacing w:after="0" w:line="240" w:lineRule="auto"/>
    </w:pPr>
    <w:rPr>
      <w:rFonts w:ascii="Calibri" w:eastAsia="SimSun" w:hAnsi="Calibri" w:cs="Times New Roman"/>
      <w:sz w:val="20"/>
      <w:szCs w:val="20"/>
      <w:lang w:eastAsia="zh-CN"/>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jc w:val="center"/>
      </w:pPr>
      <w:rPr>
        <w:rFonts w:ascii="Calibri" w:hAnsi="Calibri" w:cs="Calibri" w:hint="default"/>
        <w:b/>
        <w:i w:val="0"/>
        <w:caps w:val="0"/>
        <w:smallCaps w:val="0"/>
        <w:strike w:val="0"/>
        <w:dstrike w:val="0"/>
        <w:vanish w:val="0"/>
        <w:webHidden w:val="0"/>
        <w:sz w:val="20"/>
        <w:szCs w:val="20"/>
        <w:u w:val="none"/>
        <w:effect w:val="none"/>
        <w:specVanish w:val="0"/>
        <w14:shadow w14:blurRad="0" w14:dist="0" w14:dir="0" w14:sx="0" w14:sy="0" w14:kx="0" w14:ky="0" w14:algn="none">
          <w14:srgbClr w14:val="000000"/>
        </w14:shadow>
        <w14:textOutline w14:w="0" w14:cap="rnd" w14:cmpd="sng" w14:algn="ctr">
          <w14:noFill/>
          <w14:prstDash w14:val="solid"/>
          <w14:bevel/>
        </w14:textOutline>
      </w:rPr>
      <w:tblPr/>
      <w:tcPr>
        <w:vAlign w:val="bottom"/>
      </w:tcPr>
    </w:tblStylePr>
    <w:tblStylePr w:type="firstCol">
      <w:pPr>
        <w:wordWrap/>
        <w:adjustRightInd w:val="0"/>
        <w:snapToGrid w:val="0"/>
        <w:jc w:val="left"/>
        <w:outlineLvl w:val="9"/>
      </w:pPr>
      <w:rPr>
        <w:rFonts w:ascii="Calibri" w:hAnsi="Calibri" w:cs="Calibri" w:hint="default"/>
        <w:b w:val="0"/>
        <w:caps w:val="0"/>
        <w:smallCaps w:val="0"/>
        <w:strike w:val="0"/>
        <w:dstrike w:val="0"/>
        <w:vanish w:val="0"/>
        <w:webHidden w:val="0"/>
        <w:sz w:val="20"/>
        <w:szCs w:val="20"/>
        <w:u w:val="none"/>
        <w:effect w:val="none"/>
        <w:specVanish w:val="0"/>
        <w14:shadow w14:blurRad="0" w14:dist="0" w14:dir="0" w14:sx="0" w14:sy="0" w14:kx="0" w14:ky="0" w14:algn="none">
          <w14:srgbClr w14:val="000000"/>
        </w14:shadow>
        <w14:textOutline w14:w="0" w14:cap="rnd" w14:cmpd="sng" w14:algn="ctr">
          <w14:noFill/>
          <w14:prstDash w14:val="solid"/>
          <w14:bevel/>
        </w14:textOutline>
      </w:rPr>
      <w:tblPr/>
      <w:tcPr>
        <w:vAlign w:val="center"/>
      </w:tcPr>
    </w:tblStylePr>
    <w:tblStylePr w:type="lastCol">
      <w:pPr>
        <w:wordWrap/>
        <w:jc w:val="center"/>
      </w:pPr>
      <w:rPr>
        <w:rFonts w:ascii="Calibri" w:hAnsi="Calibri" w:cs="Calibri" w:hint="default"/>
      </w:rPr>
    </w:tblStylePr>
    <w:tblStylePr w:type="band1Vert">
      <w:pPr>
        <w:wordWrap/>
        <w:jc w:val="center"/>
      </w:pPr>
      <w:rPr>
        <w:rFonts w:ascii="Calibri" w:hAnsi="Calibri" w:cs="Calibri" w:hint="default"/>
      </w:rPr>
    </w:tblStylePr>
    <w:tblStylePr w:type="band2Vert">
      <w:pPr>
        <w:wordWrap/>
        <w:jc w:val="center"/>
      </w:pPr>
    </w:tblStylePr>
    <w:tblStylePr w:type="band1Horz">
      <w:pPr>
        <w:wordWrap/>
        <w:adjustRightInd w:val="0"/>
        <w:snapToGrid w:val="0"/>
        <w:jc w:val="center"/>
        <w:outlineLvl w:val="9"/>
      </w:pPr>
      <w:rPr>
        <w:rFonts w:ascii="Calibri" w:hAnsi="Calibri" w:cs="Calibri" w:hint="default"/>
        <w:b w:val="0"/>
        <w:i w:val="0"/>
        <w:caps w:val="0"/>
        <w:smallCaps w:val="0"/>
        <w:strike w:val="0"/>
        <w:dstrike w:val="0"/>
        <w:vanish w:val="0"/>
        <w:webHidden w:val="0"/>
        <w:color w:val="auto"/>
        <w:sz w:val="20"/>
        <w:szCs w:val="20"/>
        <w:u w:val="none"/>
        <w:effect w:val="none"/>
        <w:specVanish w:val="0"/>
        <w14:shadow w14:blurRad="0" w14:dist="0" w14:dir="0" w14:sx="0" w14:sy="0" w14:kx="0" w14:ky="0" w14:algn="none">
          <w14:srgbClr w14:val="000000"/>
        </w14:shadow>
        <w14:textOutline w14:w="0" w14:cap="rnd" w14:cmpd="sng" w14:algn="ctr">
          <w14:noFill/>
          <w14:prstDash w14:val="solid"/>
          <w14:bevel/>
        </w14:textOutline>
      </w:rPr>
      <w:tblPr/>
      <w:tcPr>
        <w:vAlign w:val="bottom"/>
      </w:tcPr>
    </w:tblStylePr>
    <w:tblStylePr w:type="band2Horz">
      <w:pPr>
        <w:wordWrap/>
        <w:adjustRightInd w:val="0"/>
        <w:snapToGrid w:val="0"/>
        <w:jc w:val="center"/>
        <w:outlineLvl w:val="9"/>
      </w:pPr>
      <w:rPr>
        <w:rFonts w:ascii="Calibri" w:hAnsi="Calibri" w:cs="Calibri" w:hint="default"/>
        <w:sz w:val="20"/>
        <w:szCs w:val="20"/>
      </w:rPr>
    </w:tblStylePr>
    <w:tblStylePr w:type="nwCell">
      <w:pPr>
        <w:wordWrap/>
        <w:adjustRightInd w:val="0"/>
        <w:snapToGrid w:val="0"/>
        <w:jc w:val="left"/>
        <w:outlineLvl w:val="9"/>
      </w:pPr>
    </w:tblStylePr>
  </w:style>
  <w:style w:type="numbering" w:customStyle="1" w:styleId="Headings1">
    <w:name w:val="Headings1"/>
    <w:uiPriority w:val="99"/>
    <w:rsid w:val="00EC1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79721">
      <w:bodyDiv w:val="1"/>
      <w:marLeft w:val="0"/>
      <w:marRight w:val="0"/>
      <w:marTop w:val="0"/>
      <w:marBottom w:val="0"/>
      <w:divBdr>
        <w:top w:val="none" w:sz="0" w:space="0" w:color="auto"/>
        <w:left w:val="none" w:sz="0" w:space="0" w:color="auto"/>
        <w:bottom w:val="none" w:sz="0" w:space="0" w:color="auto"/>
        <w:right w:val="none" w:sz="0" w:space="0" w:color="auto"/>
      </w:divBdr>
    </w:div>
    <w:div w:id="83261746">
      <w:bodyDiv w:val="1"/>
      <w:marLeft w:val="0"/>
      <w:marRight w:val="0"/>
      <w:marTop w:val="0"/>
      <w:marBottom w:val="0"/>
      <w:divBdr>
        <w:top w:val="none" w:sz="0" w:space="0" w:color="auto"/>
        <w:left w:val="none" w:sz="0" w:space="0" w:color="auto"/>
        <w:bottom w:val="none" w:sz="0" w:space="0" w:color="auto"/>
        <w:right w:val="none" w:sz="0" w:space="0" w:color="auto"/>
      </w:divBdr>
      <w:divsChild>
        <w:div w:id="563952505">
          <w:marLeft w:val="547"/>
          <w:marRight w:val="0"/>
          <w:marTop w:val="115"/>
          <w:marBottom w:val="0"/>
          <w:divBdr>
            <w:top w:val="none" w:sz="0" w:space="0" w:color="auto"/>
            <w:left w:val="none" w:sz="0" w:space="0" w:color="auto"/>
            <w:bottom w:val="none" w:sz="0" w:space="0" w:color="auto"/>
            <w:right w:val="none" w:sz="0" w:space="0" w:color="auto"/>
          </w:divBdr>
        </w:div>
        <w:div w:id="1862277999">
          <w:marLeft w:val="547"/>
          <w:marRight w:val="0"/>
          <w:marTop w:val="115"/>
          <w:marBottom w:val="0"/>
          <w:divBdr>
            <w:top w:val="none" w:sz="0" w:space="0" w:color="auto"/>
            <w:left w:val="none" w:sz="0" w:space="0" w:color="auto"/>
            <w:bottom w:val="none" w:sz="0" w:space="0" w:color="auto"/>
            <w:right w:val="none" w:sz="0" w:space="0" w:color="auto"/>
          </w:divBdr>
        </w:div>
      </w:divsChild>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217782420">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294071076">
      <w:bodyDiv w:val="1"/>
      <w:marLeft w:val="0"/>
      <w:marRight w:val="0"/>
      <w:marTop w:val="0"/>
      <w:marBottom w:val="0"/>
      <w:divBdr>
        <w:top w:val="none" w:sz="0" w:space="0" w:color="auto"/>
        <w:left w:val="none" w:sz="0" w:space="0" w:color="auto"/>
        <w:bottom w:val="none" w:sz="0" w:space="0" w:color="auto"/>
        <w:right w:val="none" w:sz="0" w:space="0" w:color="auto"/>
      </w:divBdr>
      <w:divsChild>
        <w:div w:id="1260063495">
          <w:marLeft w:val="547"/>
          <w:marRight w:val="0"/>
          <w:marTop w:val="96"/>
          <w:marBottom w:val="0"/>
          <w:divBdr>
            <w:top w:val="none" w:sz="0" w:space="0" w:color="auto"/>
            <w:left w:val="none" w:sz="0" w:space="0" w:color="auto"/>
            <w:bottom w:val="none" w:sz="0" w:space="0" w:color="auto"/>
            <w:right w:val="none" w:sz="0" w:space="0" w:color="auto"/>
          </w:divBdr>
        </w:div>
        <w:div w:id="877163552">
          <w:marLeft w:val="1166"/>
          <w:marRight w:val="0"/>
          <w:marTop w:val="96"/>
          <w:marBottom w:val="0"/>
          <w:divBdr>
            <w:top w:val="none" w:sz="0" w:space="0" w:color="auto"/>
            <w:left w:val="none" w:sz="0" w:space="0" w:color="auto"/>
            <w:bottom w:val="none" w:sz="0" w:space="0" w:color="auto"/>
            <w:right w:val="none" w:sz="0" w:space="0" w:color="auto"/>
          </w:divBdr>
        </w:div>
        <w:div w:id="739056204">
          <w:marLeft w:val="1166"/>
          <w:marRight w:val="0"/>
          <w:marTop w:val="96"/>
          <w:marBottom w:val="0"/>
          <w:divBdr>
            <w:top w:val="none" w:sz="0" w:space="0" w:color="auto"/>
            <w:left w:val="none" w:sz="0" w:space="0" w:color="auto"/>
            <w:bottom w:val="none" w:sz="0" w:space="0" w:color="auto"/>
            <w:right w:val="none" w:sz="0" w:space="0" w:color="auto"/>
          </w:divBdr>
        </w:div>
        <w:div w:id="133984253">
          <w:marLeft w:val="547"/>
          <w:marRight w:val="0"/>
          <w:marTop w:val="96"/>
          <w:marBottom w:val="0"/>
          <w:divBdr>
            <w:top w:val="none" w:sz="0" w:space="0" w:color="auto"/>
            <w:left w:val="none" w:sz="0" w:space="0" w:color="auto"/>
            <w:bottom w:val="none" w:sz="0" w:space="0" w:color="auto"/>
            <w:right w:val="none" w:sz="0" w:space="0" w:color="auto"/>
          </w:divBdr>
        </w:div>
        <w:div w:id="74403196">
          <w:marLeft w:val="1166"/>
          <w:marRight w:val="0"/>
          <w:marTop w:val="96"/>
          <w:marBottom w:val="0"/>
          <w:divBdr>
            <w:top w:val="none" w:sz="0" w:space="0" w:color="auto"/>
            <w:left w:val="none" w:sz="0" w:space="0" w:color="auto"/>
            <w:bottom w:val="none" w:sz="0" w:space="0" w:color="auto"/>
            <w:right w:val="none" w:sz="0" w:space="0" w:color="auto"/>
          </w:divBdr>
        </w:div>
        <w:div w:id="1713923939">
          <w:marLeft w:val="1166"/>
          <w:marRight w:val="0"/>
          <w:marTop w:val="96"/>
          <w:marBottom w:val="0"/>
          <w:divBdr>
            <w:top w:val="none" w:sz="0" w:space="0" w:color="auto"/>
            <w:left w:val="none" w:sz="0" w:space="0" w:color="auto"/>
            <w:bottom w:val="none" w:sz="0" w:space="0" w:color="auto"/>
            <w:right w:val="none" w:sz="0" w:space="0" w:color="auto"/>
          </w:divBdr>
        </w:div>
        <w:div w:id="582566323">
          <w:marLeft w:val="1166"/>
          <w:marRight w:val="0"/>
          <w:marTop w:val="96"/>
          <w:marBottom w:val="0"/>
          <w:divBdr>
            <w:top w:val="none" w:sz="0" w:space="0" w:color="auto"/>
            <w:left w:val="none" w:sz="0" w:space="0" w:color="auto"/>
            <w:bottom w:val="none" w:sz="0" w:space="0" w:color="auto"/>
            <w:right w:val="none" w:sz="0" w:space="0" w:color="auto"/>
          </w:divBdr>
        </w:div>
      </w:divsChild>
    </w:div>
    <w:div w:id="347682655">
      <w:bodyDiv w:val="1"/>
      <w:marLeft w:val="0"/>
      <w:marRight w:val="0"/>
      <w:marTop w:val="0"/>
      <w:marBottom w:val="0"/>
      <w:divBdr>
        <w:top w:val="none" w:sz="0" w:space="0" w:color="auto"/>
        <w:left w:val="none" w:sz="0" w:space="0" w:color="auto"/>
        <w:bottom w:val="none" w:sz="0" w:space="0" w:color="auto"/>
        <w:right w:val="none" w:sz="0" w:space="0" w:color="auto"/>
      </w:divBdr>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425348508">
      <w:bodyDiv w:val="1"/>
      <w:marLeft w:val="0"/>
      <w:marRight w:val="0"/>
      <w:marTop w:val="0"/>
      <w:marBottom w:val="0"/>
      <w:divBdr>
        <w:top w:val="none" w:sz="0" w:space="0" w:color="auto"/>
        <w:left w:val="none" w:sz="0" w:space="0" w:color="auto"/>
        <w:bottom w:val="none" w:sz="0" w:space="0" w:color="auto"/>
        <w:right w:val="none" w:sz="0" w:space="0" w:color="auto"/>
      </w:divBdr>
    </w:div>
    <w:div w:id="627980220">
      <w:bodyDiv w:val="1"/>
      <w:marLeft w:val="0"/>
      <w:marRight w:val="0"/>
      <w:marTop w:val="0"/>
      <w:marBottom w:val="0"/>
      <w:divBdr>
        <w:top w:val="none" w:sz="0" w:space="0" w:color="auto"/>
        <w:left w:val="none" w:sz="0" w:space="0" w:color="auto"/>
        <w:bottom w:val="none" w:sz="0" w:space="0" w:color="auto"/>
        <w:right w:val="none" w:sz="0" w:space="0" w:color="auto"/>
      </w:divBdr>
      <w:divsChild>
        <w:div w:id="1783838214">
          <w:marLeft w:val="547"/>
          <w:marRight w:val="0"/>
          <w:marTop w:val="106"/>
          <w:marBottom w:val="0"/>
          <w:divBdr>
            <w:top w:val="none" w:sz="0" w:space="0" w:color="auto"/>
            <w:left w:val="none" w:sz="0" w:space="0" w:color="auto"/>
            <w:bottom w:val="none" w:sz="0" w:space="0" w:color="auto"/>
            <w:right w:val="none" w:sz="0" w:space="0" w:color="auto"/>
          </w:divBdr>
        </w:div>
        <w:div w:id="809131814">
          <w:marLeft w:val="547"/>
          <w:marRight w:val="0"/>
          <w:marTop w:val="106"/>
          <w:marBottom w:val="0"/>
          <w:divBdr>
            <w:top w:val="none" w:sz="0" w:space="0" w:color="auto"/>
            <w:left w:val="none" w:sz="0" w:space="0" w:color="auto"/>
            <w:bottom w:val="none" w:sz="0" w:space="0" w:color="auto"/>
            <w:right w:val="none" w:sz="0" w:space="0" w:color="auto"/>
          </w:divBdr>
        </w:div>
        <w:div w:id="685593100">
          <w:marLeft w:val="547"/>
          <w:marRight w:val="0"/>
          <w:marTop w:val="106"/>
          <w:marBottom w:val="0"/>
          <w:divBdr>
            <w:top w:val="none" w:sz="0" w:space="0" w:color="auto"/>
            <w:left w:val="none" w:sz="0" w:space="0" w:color="auto"/>
            <w:bottom w:val="none" w:sz="0" w:space="0" w:color="auto"/>
            <w:right w:val="none" w:sz="0" w:space="0" w:color="auto"/>
          </w:divBdr>
        </w:div>
        <w:div w:id="2087872670">
          <w:marLeft w:val="547"/>
          <w:marRight w:val="0"/>
          <w:marTop w:val="106"/>
          <w:marBottom w:val="0"/>
          <w:divBdr>
            <w:top w:val="none" w:sz="0" w:space="0" w:color="auto"/>
            <w:left w:val="none" w:sz="0" w:space="0" w:color="auto"/>
            <w:bottom w:val="none" w:sz="0" w:space="0" w:color="auto"/>
            <w:right w:val="none" w:sz="0" w:space="0" w:color="auto"/>
          </w:divBdr>
        </w:div>
      </w:divsChild>
    </w:div>
    <w:div w:id="767193703">
      <w:bodyDiv w:val="1"/>
      <w:marLeft w:val="0"/>
      <w:marRight w:val="0"/>
      <w:marTop w:val="0"/>
      <w:marBottom w:val="0"/>
      <w:divBdr>
        <w:top w:val="none" w:sz="0" w:space="0" w:color="auto"/>
        <w:left w:val="none" w:sz="0" w:space="0" w:color="auto"/>
        <w:bottom w:val="none" w:sz="0" w:space="0" w:color="auto"/>
        <w:right w:val="none" w:sz="0" w:space="0" w:color="auto"/>
      </w:divBdr>
      <w:divsChild>
        <w:div w:id="1422218389">
          <w:marLeft w:val="547"/>
          <w:marRight w:val="0"/>
          <w:marTop w:val="115"/>
          <w:marBottom w:val="0"/>
          <w:divBdr>
            <w:top w:val="none" w:sz="0" w:space="0" w:color="auto"/>
            <w:left w:val="none" w:sz="0" w:space="0" w:color="auto"/>
            <w:bottom w:val="none" w:sz="0" w:space="0" w:color="auto"/>
            <w:right w:val="none" w:sz="0" w:space="0" w:color="auto"/>
          </w:divBdr>
        </w:div>
        <w:div w:id="210265058">
          <w:marLeft w:val="547"/>
          <w:marRight w:val="0"/>
          <w:marTop w:val="115"/>
          <w:marBottom w:val="0"/>
          <w:divBdr>
            <w:top w:val="none" w:sz="0" w:space="0" w:color="auto"/>
            <w:left w:val="none" w:sz="0" w:space="0" w:color="auto"/>
            <w:bottom w:val="none" w:sz="0" w:space="0" w:color="auto"/>
            <w:right w:val="none" w:sz="0" w:space="0" w:color="auto"/>
          </w:divBdr>
        </w:div>
        <w:div w:id="1876886402">
          <w:marLeft w:val="547"/>
          <w:marRight w:val="0"/>
          <w:marTop w:val="115"/>
          <w:marBottom w:val="0"/>
          <w:divBdr>
            <w:top w:val="none" w:sz="0" w:space="0" w:color="auto"/>
            <w:left w:val="none" w:sz="0" w:space="0" w:color="auto"/>
            <w:bottom w:val="none" w:sz="0" w:space="0" w:color="auto"/>
            <w:right w:val="none" w:sz="0" w:space="0" w:color="auto"/>
          </w:divBdr>
        </w:div>
      </w:divsChild>
    </w:div>
    <w:div w:id="817501423">
      <w:bodyDiv w:val="1"/>
      <w:marLeft w:val="0"/>
      <w:marRight w:val="0"/>
      <w:marTop w:val="0"/>
      <w:marBottom w:val="0"/>
      <w:divBdr>
        <w:top w:val="none" w:sz="0" w:space="0" w:color="auto"/>
        <w:left w:val="none" w:sz="0" w:space="0" w:color="auto"/>
        <w:bottom w:val="none" w:sz="0" w:space="0" w:color="auto"/>
        <w:right w:val="none" w:sz="0" w:space="0" w:color="auto"/>
      </w:divBdr>
      <w:divsChild>
        <w:div w:id="458693521">
          <w:marLeft w:val="1166"/>
          <w:marRight w:val="0"/>
          <w:marTop w:val="86"/>
          <w:marBottom w:val="0"/>
          <w:divBdr>
            <w:top w:val="none" w:sz="0" w:space="0" w:color="auto"/>
            <w:left w:val="none" w:sz="0" w:space="0" w:color="auto"/>
            <w:bottom w:val="none" w:sz="0" w:space="0" w:color="auto"/>
            <w:right w:val="none" w:sz="0" w:space="0" w:color="auto"/>
          </w:divBdr>
        </w:div>
        <w:div w:id="47731787">
          <w:marLeft w:val="1166"/>
          <w:marRight w:val="0"/>
          <w:marTop w:val="86"/>
          <w:marBottom w:val="0"/>
          <w:divBdr>
            <w:top w:val="none" w:sz="0" w:space="0" w:color="auto"/>
            <w:left w:val="none" w:sz="0" w:space="0" w:color="auto"/>
            <w:bottom w:val="none" w:sz="0" w:space="0" w:color="auto"/>
            <w:right w:val="none" w:sz="0" w:space="0" w:color="auto"/>
          </w:divBdr>
        </w:div>
        <w:div w:id="736438824">
          <w:marLeft w:val="1166"/>
          <w:marRight w:val="0"/>
          <w:marTop w:val="86"/>
          <w:marBottom w:val="0"/>
          <w:divBdr>
            <w:top w:val="none" w:sz="0" w:space="0" w:color="auto"/>
            <w:left w:val="none" w:sz="0" w:space="0" w:color="auto"/>
            <w:bottom w:val="none" w:sz="0" w:space="0" w:color="auto"/>
            <w:right w:val="none" w:sz="0" w:space="0" w:color="auto"/>
          </w:divBdr>
        </w:div>
        <w:div w:id="1172719160">
          <w:marLeft w:val="1166"/>
          <w:marRight w:val="0"/>
          <w:marTop w:val="86"/>
          <w:marBottom w:val="0"/>
          <w:divBdr>
            <w:top w:val="none" w:sz="0" w:space="0" w:color="auto"/>
            <w:left w:val="none" w:sz="0" w:space="0" w:color="auto"/>
            <w:bottom w:val="none" w:sz="0" w:space="0" w:color="auto"/>
            <w:right w:val="none" w:sz="0" w:space="0" w:color="auto"/>
          </w:divBdr>
        </w:div>
        <w:div w:id="598219844">
          <w:marLeft w:val="1166"/>
          <w:marRight w:val="0"/>
          <w:marTop w:val="86"/>
          <w:marBottom w:val="0"/>
          <w:divBdr>
            <w:top w:val="none" w:sz="0" w:space="0" w:color="auto"/>
            <w:left w:val="none" w:sz="0" w:space="0" w:color="auto"/>
            <w:bottom w:val="none" w:sz="0" w:space="0" w:color="auto"/>
            <w:right w:val="none" w:sz="0" w:space="0" w:color="auto"/>
          </w:divBdr>
        </w:div>
        <w:div w:id="422069073">
          <w:marLeft w:val="1166"/>
          <w:marRight w:val="0"/>
          <w:marTop w:val="86"/>
          <w:marBottom w:val="0"/>
          <w:divBdr>
            <w:top w:val="none" w:sz="0" w:space="0" w:color="auto"/>
            <w:left w:val="none" w:sz="0" w:space="0" w:color="auto"/>
            <w:bottom w:val="none" w:sz="0" w:space="0" w:color="auto"/>
            <w:right w:val="none" w:sz="0" w:space="0" w:color="auto"/>
          </w:divBdr>
        </w:div>
        <w:div w:id="155153359">
          <w:marLeft w:val="1166"/>
          <w:marRight w:val="0"/>
          <w:marTop w:val="86"/>
          <w:marBottom w:val="0"/>
          <w:divBdr>
            <w:top w:val="none" w:sz="0" w:space="0" w:color="auto"/>
            <w:left w:val="none" w:sz="0" w:space="0" w:color="auto"/>
            <w:bottom w:val="none" w:sz="0" w:space="0" w:color="auto"/>
            <w:right w:val="none" w:sz="0" w:space="0" w:color="auto"/>
          </w:divBdr>
        </w:div>
        <w:div w:id="597981246">
          <w:marLeft w:val="1166"/>
          <w:marRight w:val="0"/>
          <w:marTop w:val="86"/>
          <w:marBottom w:val="0"/>
          <w:divBdr>
            <w:top w:val="none" w:sz="0" w:space="0" w:color="auto"/>
            <w:left w:val="none" w:sz="0" w:space="0" w:color="auto"/>
            <w:bottom w:val="none" w:sz="0" w:space="0" w:color="auto"/>
            <w:right w:val="none" w:sz="0" w:space="0" w:color="auto"/>
          </w:divBdr>
        </w:div>
        <w:div w:id="1247151347">
          <w:marLeft w:val="1166"/>
          <w:marRight w:val="0"/>
          <w:marTop w:val="86"/>
          <w:marBottom w:val="0"/>
          <w:divBdr>
            <w:top w:val="none" w:sz="0" w:space="0" w:color="auto"/>
            <w:left w:val="none" w:sz="0" w:space="0" w:color="auto"/>
            <w:bottom w:val="none" w:sz="0" w:space="0" w:color="auto"/>
            <w:right w:val="none" w:sz="0" w:space="0" w:color="auto"/>
          </w:divBdr>
        </w:div>
        <w:div w:id="322398590">
          <w:marLeft w:val="1166"/>
          <w:marRight w:val="0"/>
          <w:marTop w:val="86"/>
          <w:marBottom w:val="0"/>
          <w:divBdr>
            <w:top w:val="none" w:sz="0" w:space="0" w:color="auto"/>
            <w:left w:val="none" w:sz="0" w:space="0" w:color="auto"/>
            <w:bottom w:val="none" w:sz="0" w:space="0" w:color="auto"/>
            <w:right w:val="none" w:sz="0" w:space="0" w:color="auto"/>
          </w:divBdr>
        </w:div>
      </w:divsChild>
    </w:div>
    <w:div w:id="828525018">
      <w:bodyDiv w:val="1"/>
      <w:marLeft w:val="0"/>
      <w:marRight w:val="0"/>
      <w:marTop w:val="0"/>
      <w:marBottom w:val="0"/>
      <w:divBdr>
        <w:top w:val="none" w:sz="0" w:space="0" w:color="auto"/>
        <w:left w:val="none" w:sz="0" w:space="0" w:color="auto"/>
        <w:bottom w:val="none" w:sz="0" w:space="0" w:color="auto"/>
        <w:right w:val="none" w:sz="0" w:space="0" w:color="auto"/>
      </w:divBdr>
      <w:divsChild>
        <w:div w:id="499539989">
          <w:marLeft w:val="547"/>
          <w:marRight w:val="0"/>
          <w:marTop w:val="154"/>
          <w:marBottom w:val="0"/>
          <w:divBdr>
            <w:top w:val="none" w:sz="0" w:space="0" w:color="auto"/>
            <w:left w:val="none" w:sz="0" w:space="0" w:color="auto"/>
            <w:bottom w:val="none" w:sz="0" w:space="0" w:color="auto"/>
            <w:right w:val="none" w:sz="0" w:space="0" w:color="auto"/>
          </w:divBdr>
        </w:div>
      </w:divsChild>
    </w:div>
    <w:div w:id="940836549">
      <w:bodyDiv w:val="1"/>
      <w:marLeft w:val="0"/>
      <w:marRight w:val="0"/>
      <w:marTop w:val="0"/>
      <w:marBottom w:val="0"/>
      <w:divBdr>
        <w:top w:val="none" w:sz="0" w:space="0" w:color="auto"/>
        <w:left w:val="none" w:sz="0" w:space="0" w:color="auto"/>
        <w:bottom w:val="none" w:sz="0" w:space="0" w:color="auto"/>
        <w:right w:val="none" w:sz="0" w:space="0" w:color="auto"/>
      </w:divBdr>
      <w:divsChild>
        <w:div w:id="1384671355">
          <w:marLeft w:val="547"/>
          <w:marRight w:val="0"/>
          <w:marTop w:val="115"/>
          <w:marBottom w:val="0"/>
          <w:divBdr>
            <w:top w:val="none" w:sz="0" w:space="0" w:color="auto"/>
            <w:left w:val="none" w:sz="0" w:space="0" w:color="auto"/>
            <w:bottom w:val="none" w:sz="0" w:space="0" w:color="auto"/>
            <w:right w:val="none" w:sz="0" w:space="0" w:color="auto"/>
          </w:divBdr>
        </w:div>
        <w:div w:id="103576098">
          <w:marLeft w:val="547"/>
          <w:marRight w:val="0"/>
          <w:marTop w:val="115"/>
          <w:marBottom w:val="0"/>
          <w:divBdr>
            <w:top w:val="none" w:sz="0" w:space="0" w:color="auto"/>
            <w:left w:val="none" w:sz="0" w:space="0" w:color="auto"/>
            <w:bottom w:val="none" w:sz="0" w:space="0" w:color="auto"/>
            <w:right w:val="none" w:sz="0" w:space="0" w:color="auto"/>
          </w:divBdr>
        </w:div>
        <w:div w:id="1176308378">
          <w:marLeft w:val="547"/>
          <w:marRight w:val="0"/>
          <w:marTop w:val="115"/>
          <w:marBottom w:val="0"/>
          <w:divBdr>
            <w:top w:val="none" w:sz="0" w:space="0" w:color="auto"/>
            <w:left w:val="none" w:sz="0" w:space="0" w:color="auto"/>
            <w:bottom w:val="none" w:sz="0" w:space="0" w:color="auto"/>
            <w:right w:val="none" w:sz="0" w:space="0" w:color="auto"/>
          </w:divBdr>
        </w:div>
      </w:divsChild>
    </w:div>
    <w:div w:id="964700930">
      <w:bodyDiv w:val="1"/>
      <w:marLeft w:val="0"/>
      <w:marRight w:val="0"/>
      <w:marTop w:val="0"/>
      <w:marBottom w:val="0"/>
      <w:divBdr>
        <w:top w:val="none" w:sz="0" w:space="0" w:color="auto"/>
        <w:left w:val="none" w:sz="0" w:space="0" w:color="auto"/>
        <w:bottom w:val="none" w:sz="0" w:space="0" w:color="auto"/>
        <w:right w:val="none" w:sz="0" w:space="0" w:color="auto"/>
      </w:divBdr>
      <w:divsChild>
        <w:div w:id="1003971853">
          <w:marLeft w:val="547"/>
          <w:marRight w:val="0"/>
          <w:marTop w:val="106"/>
          <w:marBottom w:val="0"/>
          <w:divBdr>
            <w:top w:val="none" w:sz="0" w:space="0" w:color="auto"/>
            <w:left w:val="none" w:sz="0" w:space="0" w:color="auto"/>
            <w:bottom w:val="none" w:sz="0" w:space="0" w:color="auto"/>
            <w:right w:val="none" w:sz="0" w:space="0" w:color="auto"/>
          </w:divBdr>
        </w:div>
      </w:divsChild>
    </w:div>
    <w:div w:id="1004556901">
      <w:bodyDiv w:val="1"/>
      <w:marLeft w:val="0"/>
      <w:marRight w:val="0"/>
      <w:marTop w:val="0"/>
      <w:marBottom w:val="0"/>
      <w:divBdr>
        <w:top w:val="none" w:sz="0" w:space="0" w:color="auto"/>
        <w:left w:val="none" w:sz="0" w:space="0" w:color="auto"/>
        <w:bottom w:val="none" w:sz="0" w:space="0" w:color="auto"/>
        <w:right w:val="none" w:sz="0" w:space="0" w:color="auto"/>
      </w:divBdr>
      <w:divsChild>
        <w:div w:id="876164004">
          <w:marLeft w:val="1166"/>
          <w:marRight w:val="0"/>
          <w:marTop w:val="115"/>
          <w:marBottom w:val="0"/>
          <w:divBdr>
            <w:top w:val="none" w:sz="0" w:space="0" w:color="auto"/>
            <w:left w:val="none" w:sz="0" w:space="0" w:color="auto"/>
            <w:bottom w:val="none" w:sz="0" w:space="0" w:color="auto"/>
            <w:right w:val="none" w:sz="0" w:space="0" w:color="auto"/>
          </w:divBdr>
        </w:div>
        <w:div w:id="391393539">
          <w:marLeft w:val="1166"/>
          <w:marRight w:val="0"/>
          <w:marTop w:val="115"/>
          <w:marBottom w:val="0"/>
          <w:divBdr>
            <w:top w:val="none" w:sz="0" w:space="0" w:color="auto"/>
            <w:left w:val="none" w:sz="0" w:space="0" w:color="auto"/>
            <w:bottom w:val="none" w:sz="0" w:space="0" w:color="auto"/>
            <w:right w:val="none" w:sz="0" w:space="0" w:color="auto"/>
          </w:divBdr>
        </w:div>
        <w:div w:id="1577587950">
          <w:marLeft w:val="1166"/>
          <w:marRight w:val="0"/>
          <w:marTop w:val="115"/>
          <w:marBottom w:val="0"/>
          <w:divBdr>
            <w:top w:val="none" w:sz="0" w:space="0" w:color="auto"/>
            <w:left w:val="none" w:sz="0" w:space="0" w:color="auto"/>
            <w:bottom w:val="none" w:sz="0" w:space="0" w:color="auto"/>
            <w:right w:val="none" w:sz="0" w:space="0" w:color="auto"/>
          </w:divBdr>
        </w:div>
        <w:div w:id="1372724910">
          <w:marLeft w:val="1166"/>
          <w:marRight w:val="0"/>
          <w:marTop w:val="115"/>
          <w:marBottom w:val="0"/>
          <w:divBdr>
            <w:top w:val="none" w:sz="0" w:space="0" w:color="auto"/>
            <w:left w:val="none" w:sz="0" w:space="0" w:color="auto"/>
            <w:bottom w:val="none" w:sz="0" w:space="0" w:color="auto"/>
            <w:right w:val="none" w:sz="0" w:space="0" w:color="auto"/>
          </w:divBdr>
        </w:div>
        <w:div w:id="179315879">
          <w:marLeft w:val="1166"/>
          <w:marRight w:val="0"/>
          <w:marTop w:val="115"/>
          <w:marBottom w:val="0"/>
          <w:divBdr>
            <w:top w:val="none" w:sz="0" w:space="0" w:color="auto"/>
            <w:left w:val="none" w:sz="0" w:space="0" w:color="auto"/>
            <w:bottom w:val="none" w:sz="0" w:space="0" w:color="auto"/>
            <w:right w:val="none" w:sz="0" w:space="0" w:color="auto"/>
          </w:divBdr>
        </w:div>
      </w:divsChild>
    </w:div>
    <w:div w:id="1037239897">
      <w:bodyDiv w:val="1"/>
      <w:marLeft w:val="0"/>
      <w:marRight w:val="0"/>
      <w:marTop w:val="0"/>
      <w:marBottom w:val="0"/>
      <w:divBdr>
        <w:top w:val="none" w:sz="0" w:space="0" w:color="auto"/>
        <w:left w:val="none" w:sz="0" w:space="0" w:color="auto"/>
        <w:bottom w:val="none" w:sz="0" w:space="0" w:color="auto"/>
        <w:right w:val="none" w:sz="0" w:space="0" w:color="auto"/>
      </w:divBdr>
    </w:div>
    <w:div w:id="1094521996">
      <w:bodyDiv w:val="1"/>
      <w:marLeft w:val="0"/>
      <w:marRight w:val="0"/>
      <w:marTop w:val="0"/>
      <w:marBottom w:val="0"/>
      <w:divBdr>
        <w:top w:val="none" w:sz="0" w:space="0" w:color="auto"/>
        <w:left w:val="none" w:sz="0" w:space="0" w:color="auto"/>
        <w:bottom w:val="none" w:sz="0" w:space="0" w:color="auto"/>
        <w:right w:val="none" w:sz="0" w:space="0" w:color="auto"/>
      </w:divBdr>
    </w:div>
    <w:div w:id="1132677485">
      <w:bodyDiv w:val="1"/>
      <w:marLeft w:val="0"/>
      <w:marRight w:val="0"/>
      <w:marTop w:val="0"/>
      <w:marBottom w:val="0"/>
      <w:divBdr>
        <w:top w:val="none" w:sz="0" w:space="0" w:color="auto"/>
        <w:left w:val="none" w:sz="0" w:space="0" w:color="auto"/>
        <w:bottom w:val="none" w:sz="0" w:space="0" w:color="auto"/>
        <w:right w:val="none" w:sz="0" w:space="0" w:color="auto"/>
      </w:divBdr>
      <w:divsChild>
        <w:div w:id="157773779">
          <w:marLeft w:val="547"/>
          <w:marRight w:val="0"/>
          <w:marTop w:val="115"/>
          <w:marBottom w:val="0"/>
          <w:divBdr>
            <w:top w:val="none" w:sz="0" w:space="0" w:color="auto"/>
            <w:left w:val="none" w:sz="0" w:space="0" w:color="auto"/>
            <w:bottom w:val="none" w:sz="0" w:space="0" w:color="auto"/>
            <w:right w:val="none" w:sz="0" w:space="0" w:color="auto"/>
          </w:divBdr>
        </w:div>
        <w:div w:id="2123260144">
          <w:marLeft w:val="547"/>
          <w:marRight w:val="0"/>
          <w:marTop w:val="115"/>
          <w:marBottom w:val="0"/>
          <w:divBdr>
            <w:top w:val="none" w:sz="0" w:space="0" w:color="auto"/>
            <w:left w:val="none" w:sz="0" w:space="0" w:color="auto"/>
            <w:bottom w:val="none" w:sz="0" w:space="0" w:color="auto"/>
            <w:right w:val="none" w:sz="0" w:space="0" w:color="auto"/>
          </w:divBdr>
        </w:div>
        <w:div w:id="792138054">
          <w:marLeft w:val="547"/>
          <w:marRight w:val="0"/>
          <w:marTop w:val="115"/>
          <w:marBottom w:val="0"/>
          <w:divBdr>
            <w:top w:val="none" w:sz="0" w:space="0" w:color="auto"/>
            <w:left w:val="none" w:sz="0" w:space="0" w:color="auto"/>
            <w:bottom w:val="none" w:sz="0" w:space="0" w:color="auto"/>
            <w:right w:val="none" w:sz="0" w:space="0" w:color="auto"/>
          </w:divBdr>
        </w:div>
        <w:div w:id="1391223977">
          <w:marLeft w:val="547"/>
          <w:marRight w:val="0"/>
          <w:marTop w:val="115"/>
          <w:marBottom w:val="0"/>
          <w:divBdr>
            <w:top w:val="none" w:sz="0" w:space="0" w:color="auto"/>
            <w:left w:val="none" w:sz="0" w:space="0" w:color="auto"/>
            <w:bottom w:val="none" w:sz="0" w:space="0" w:color="auto"/>
            <w:right w:val="none" w:sz="0" w:space="0" w:color="auto"/>
          </w:divBdr>
        </w:div>
        <w:div w:id="439642916">
          <w:marLeft w:val="547"/>
          <w:marRight w:val="0"/>
          <w:marTop w:val="115"/>
          <w:marBottom w:val="0"/>
          <w:divBdr>
            <w:top w:val="none" w:sz="0" w:space="0" w:color="auto"/>
            <w:left w:val="none" w:sz="0" w:space="0" w:color="auto"/>
            <w:bottom w:val="none" w:sz="0" w:space="0" w:color="auto"/>
            <w:right w:val="none" w:sz="0" w:space="0" w:color="auto"/>
          </w:divBdr>
        </w:div>
        <w:div w:id="648218319">
          <w:marLeft w:val="547"/>
          <w:marRight w:val="0"/>
          <w:marTop w:val="115"/>
          <w:marBottom w:val="0"/>
          <w:divBdr>
            <w:top w:val="none" w:sz="0" w:space="0" w:color="auto"/>
            <w:left w:val="none" w:sz="0" w:space="0" w:color="auto"/>
            <w:bottom w:val="none" w:sz="0" w:space="0" w:color="auto"/>
            <w:right w:val="none" w:sz="0" w:space="0" w:color="auto"/>
          </w:divBdr>
        </w:div>
      </w:divsChild>
    </w:div>
    <w:div w:id="1167281922">
      <w:bodyDiv w:val="1"/>
      <w:marLeft w:val="0"/>
      <w:marRight w:val="0"/>
      <w:marTop w:val="0"/>
      <w:marBottom w:val="0"/>
      <w:divBdr>
        <w:top w:val="none" w:sz="0" w:space="0" w:color="auto"/>
        <w:left w:val="none" w:sz="0" w:space="0" w:color="auto"/>
        <w:bottom w:val="none" w:sz="0" w:space="0" w:color="auto"/>
        <w:right w:val="none" w:sz="0" w:space="0" w:color="auto"/>
      </w:divBdr>
    </w:div>
    <w:div w:id="1240288618">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426421083">
      <w:bodyDiv w:val="1"/>
      <w:marLeft w:val="0"/>
      <w:marRight w:val="0"/>
      <w:marTop w:val="0"/>
      <w:marBottom w:val="0"/>
      <w:divBdr>
        <w:top w:val="none" w:sz="0" w:space="0" w:color="auto"/>
        <w:left w:val="none" w:sz="0" w:space="0" w:color="auto"/>
        <w:bottom w:val="none" w:sz="0" w:space="0" w:color="auto"/>
        <w:right w:val="none" w:sz="0" w:space="0" w:color="auto"/>
      </w:divBdr>
    </w:div>
    <w:div w:id="1724409368">
      <w:bodyDiv w:val="1"/>
      <w:marLeft w:val="0"/>
      <w:marRight w:val="0"/>
      <w:marTop w:val="0"/>
      <w:marBottom w:val="0"/>
      <w:divBdr>
        <w:top w:val="none" w:sz="0" w:space="0" w:color="auto"/>
        <w:left w:val="none" w:sz="0" w:space="0" w:color="auto"/>
        <w:bottom w:val="none" w:sz="0" w:space="0" w:color="auto"/>
        <w:right w:val="none" w:sz="0" w:space="0" w:color="auto"/>
      </w:divBdr>
      <w:divsChild>
        <w:div w:id="1581788631">
          <w:marLeft w:val="547"/>
          <w:marRight w:val="0"/>
          <w:marTop w:val="106"/>
          <w:marBottom w:val="0"/>
          <w:divBdr>
            <w:top w:val="none" w:sz="0" w:space="0" w:color="auto"/>
            <w:left w:val="none" w:sz="0" w:space="0" w:color="auto"/>
            <w:bottom w:val="none" w:sz="0" w:space="0" w:color="auto"/>
            <w:right w:val="none" w:sz="0" w:space="0" w:color="auto"/>
          </w:divBdr>
        </w:div>
        <w:div w:id="1071075309">
          <w:marLeft w:val="547"/>
          <w:marRight w:val="0"/>
          <w:marTop w:val="106"/>
          <w:marBottom w:val="0"/>
          <w:divBdr>
            <w:top w:val="none" w:sz="0" w:space="0" w:color="auto"/>
            <w:left w:val="none" w:sz="0" w:space="0" w:color="auto"/>
            <w:bottom w:val="none" w:sz="0" w:space="0" w:color="auto"/>
            <w:right w:val="none" w:sz="0" w:space="0" w:color="auto"/>
          </w:divBdr>
        </w:div>
        <w:div w:id="1425759042">
          <w:marLeft w:val="547"/>
          <w:marRight w:val="0"/>
          <w:marTop w:val="106"/>
          <w:marBottom w:val="0"/>
          <w:divBdr>
            <w:top w:val="none" w:sz="0" w:space="0" w:color="auto"/>
            <w:left w:val="none" w:sz="0" w:space="0" w:color="auto"/>
            <w:bottom w:val="none" w:sz="0" w:space="0" w:color="auto"/>
            <w:right w:val="none" w:sz="0" w:space="0" w:color="auto"/>
          </w:divBdr>
        </w:div>
        <w:div w:id="1505514699">
          <w:marLeft w:val="547"/>
          <w:marRight w:val="0"/>
          <w:marTop w:val="106"/>
          <w:marBottom w:val="0"/>
          <w:divBdr>
            <w:top w:val="none" w:sz="0" w:space="0" w:color="auto"/>
            <w:left w:val="none" w:sz="0" w:space="0" w:color="auto"/>
            <w:bottom w:val="none" w:sz="0" w:space="0" w:color="auto"/>
            <w:right w:val="none" w:sz="0" w:space="0" w:color="auto"/>
          </w:divBdr>
        </w:div>
        <w:div w:id="1413770410">
          <w:marLeft w:val="547"/>
          <w:marRight w:val="0"/>
          <w:marTop w:val="106"/>
          <w:marBottom w:val="0"/>
          <w:divBdr>
            <w:top w:val="none" w:sz="0" w:space="0" w:color="auto"/>
            <w:left w:val="none" w:sz="0" w:space="0" w:color="auto"/>
            <w:bottom w:val="none" w:sz="0" w:space="0" w:color="auto"/>
            <w:right w:val="none" w:sz="0" w:space="0" w:color="auto"/>
          </w:divBdr>
        </w:div>
      </w:divsChild>
    </w:div>
    <w:div w:id="1734155187">
      <w:bodyDiv w:val="1"/>
      <w:marLeft w:val="0"/>
      <w:marRight w:val="0"/>
      <w:marTop w:val="0"/>
      <w:marBottom w:val="0"/>
      <w:divBdr>
        <w:top w:val="none" w:sz="0" w:space="0" w:color="auto"/>
        <w:left w:val="none" w:sz="0" w:space="0" w:color="auto"/>
        <w:bottom w:val="none" w:sz="0" w:space="0" w:color="auto"/>
        <w:right w:val="none" w:sz="0" w:space="0" w:color="auto"/>
      </w:divBdr>
      <w:divsChild>
        <w:div w:id="206188642">
          <w:marLeft w:val="547"/>
          <w:marRight w:val="0"/>
          <w:marTop w:val="106"/>
          <w:marBottom w:val="0"/>
          <w:divBdr>
            <w:top w:val="none" w:sz="0" w:space="0" w:color="auto"/>
            <w:left w:val="none" w:sz="0" w:space="0" w:color="auto"/>
            <w:bottom w:val="none" w:sz="0" w:space="0" w:color="auto"/>
            <w:right w:val="none" w:sz="0" w:space="0" w:color="auto"/>
          </w:divBdr>
        </w:div>
        <w:div w:id="555051500">
          <w:marLeft w:val="547"/>
          <w:marRight w:val="0"/>
          <w:marTop w:val="106"/>
          <w:marBottom w:val="0"/>
          <w:divBdr>
            <w:top w:val="none" w:sz="0" w:space="0" w:color="auto"/>
            <w:left w:val="none" w:sz="0" w:space="0" w:color="auto"/>
            <w:bottom w:val="none" w:sz="0" w:space="0" w:color="auto"/>
            <w:right w:val="none" w:sz="0" w:space="0" w:color="auto"/>
          </w:divBdr>
        </w:div>
        <w:div w:id="1374504883">
          <w:marLeft w:val="547"/>
          <w:marRight w:val="0"/>
          <w:marTop w:val="106"/>
          <w:marBottom w:val="0"/>
          <w:divBdr>
            <w:top w:val="none" w:sz="0" w:space="0" w:color="auto"/>
            <w:left w:val="none" w:sz="0" w:space="0" w:color="auto"/>
            <w:bottom w:val="none" w:sz="0" w:space="0" w:color="auto"/>
            <w:right w:val="none" w:sz="0" w:space="0" w:color="auto"/>
          </w:divBdr>
        </w:div>
        <w:div w:id="432211787">
          <w:marLeft w:val="547"/>
          <w:marRight w:val="0"/>
          <w:marTop w:val="106"/>
          <w:marBottom w:val="0"/>
          <w:divBdr>
            <w:top w:val="none" w:sz="0" w:space="0" w:color="auto"/>
            <w:left w:val="none" w:sz="0" w:space="0" w:color="auto"/>
            <w:bottom w:val="none" w:sz="0" w:space="0" w:color="auto"/>
            <w:right w:val="none" w:sz="0" w:space="0" w:color="auto"/>
          </w:divBdr>
        </w:div>
        <w:div w:id="1698769472">
          <w:marLeft w:val="1166"/>
          <w:marRight w:val="0"/>
          <w:marTop w:val="106"/>
          <w:marBottom w:val="0"/>
          <w:divBdr>
            <w:top w:val="none" w:sz="0" w:space="0" w:color="auto"/>
            <w:left w:val="none" w:sz="0" w:space="0" w:color="auto"/>
            <w:bottom w:val="none" w:sz="0" w:space="0" w:color="auto"/>
            <w:right w:val="none" w:sz="0" w:space="0" w:color="auto"/>
          </w:divBdr>
        </w:div>
        <w:div w:id="411313567">
          <w:marLeft w:val="1166"/>
          <w:marRight w:val="0"/>
          <w:marTop w:val="106"/>
          <w:marBottom w:val="0"/>
          <w:divBdr>
            <w:top w:val="none" w:sz="0" w:space="0" w:color="auto"/>
            <w:left w:val="none" w:sz="0" w:space="0" w:color="auto"/>
            <w:bottom w:val="none" w:sz="0" w:space="0" w:color="auto"/>
            <w:right w:val="none" w:sz="0" w:space="0" w:color="auto"/>
          </w:divBdr>
        </w:div>
        <w:div w:id="1218081313">
          <w:marLeft w:val="547"/>
          <w:marRight w:val="0"/>
          <w:marTop w:val="106"/>
          <w:marBottom w:val="0"/>
          <w:divBdr>
            <w:top w:val="none" w:sz="0" w:space="0" w:color="auto"/>
            <w:left w:val="none" w:sz="0" w:space="0" w:color="auto"/>
            <w:bottom w:val="none" w:sz="0" w:space="0" w:color="auto"/>
            <w:right w:val="none" w:sz="0" w:space="0" w:color="auto"/>
          </w:divBdr>
        </w:div>
        <w:div w:id="883324961">
          <w:marLeft w:val="547"/>
          <w:marRight w:val="0"/>
          <w:marTop w:val="106"/>
          <w:marBottom w:val="0"/>
          <w:divBdr>
            <w:top w:val="none" w:sz="0" w:space="0" w:color="auto"/>
            <w:left w:val="none" w:sz="0" w:space="0" w:color="auto"/>
            <w:bottom w:val="none" w:sz="0" w:space="0" w:color="auto"/>
            <w:right w:val="none" w:sz="0" w:space="0" w:color="auto"/>
          </w:divBdr>
        </w:div>
        <w:div w:id="291325240">
          <w:marLeft w:val="547"/>
          <w:marRight w:val="0"/>
          <w:marTop w:val="106"/>
          <w:marBottom w:val="0"/>
          <w:divBdr>
            <w:top w:val="none" w:sz="0" w:space="0" w:color="auto"/>
            <w:left w:val="none" w:sz="0" w:space="0" w:color="auto"/>
            <w:bottom w:val="none" w:sz="0" w:space="0" w:color="auto"/>
            <w:right w:val="none" w:sz="0" w:space="0" w:color="auto"/>
          </w:divBdr>
        </w:div>
        <w:div w:id="1420713920">
          <w:marLeft w:val="547"/>
          <w:marRight w:val="0"/>
          <w:marTop w:val="106"/>
          <w:marBottom w:val="0"/>
          <w:divBdr>
            <w:top w:val="none" w:sz="0" w:space="0" w:color="auto"/>
            <w:left w:val="none" w:sz="0" w:space="0" w:color="auto"/>
            <w:bottom w:val="none" w:sz="0" w:space="0" w:color="auto"/>
            <w:right w:val="none" w:sz="0" w:space="0" w:color="auto"/>
          </w:divBdr>
        </w:div>
      </w:divsChild>
    </w:div>
    <w:div w:id="1749811869">
      <w:bodyDiv w:val="1"/>
      <w:marLeft w:val="0"/>
      <w:marRight w:val="0"/>
      <w:marTop w:val="0"/>
      <w:marBottom w:val="0"/>
      <w:divBdr>
        <w:top w:val="none" w:sz="0" w:space="0" w:color="auto"/>
        <w:left w:val="none" w:sz="0" w:space="0" w:color="auto"/>
        <w:bottom w:val="none" w:sz="0" w:space="0" w:color="auto"/>
        <w:right w:val="none" w:sz="0" w:space="0" w:color="auto"/>
      </w:divBdr>
      <w:divsChild>
        <w:div w:id="1031078114">
          <w:marLeft w:val="547"/>
          <w:marRight w:val="0"/>
          <w:marTop w:val="115"/>
          <w:marBottom w:val="0"/>
          <w:divBdr>
            <w:top w:val="none" w:sz="0" w:space="0" w:color="auto"/>
            <w:left w:val="none" w:sz="0" w:space="0" w:color="auto"/>
            <w:bottom w:val="none" w:sz="0" w:space="0" w:color="auto"/>
            <w:right w:val="none" w:sz="0" w:space="0" w:color="auto"/>
          </w:divBdr>
        </w:div>
      </w:divsChild>
    </w:div>
    <w:div w:id="1778985004">
      <w:bodyDiv w:val="1"/>
      <w:marLeft w:val="0"/>
      <w:marRight w:val="0"/>
      <w:marTop w:val="0"/>
      <w:marBottom w:val="0"/>
      <w:divBdr>
        <w:top w:val="none" w:sz="0" w:space="0" w:color="auto"/>
        <w:left w:val="none" w:sz="0" w:space="0" w:color="auto"/>
        <w:bottom w:val="none" w:sz="0" w:space="0" w:color="auto"/>
        <w:right w:val="none" w:sz="0" w:space="0" w:color="auto"/>
      </w:divBdr>
      <w:divsChild>
        <w:div w:id="147405279">
          <w:marLeft w:val="547"/>
          <w:marRight w:val="0"/>
          <w:marTop w:val="106"/>
          <w:marBottom w:val="0"/>
          <w:divBdr>
            <w:top w:val="none" w:sz="0" w:space="0" w:color="auto"/>
            <w:left w:val="none" w:sz="0" w:space="0" w:color="auto"/>
            <w:bottom w:val="none" w:sz="0" w:space="0" w:color="auto"/>
            <w:right w:val="none" w:sz="0" w:space="0" w:color="auto"/>
          </w:divBdr>
        </w:div>
        <w:div w:id="1363243734">
          <w:marLeft w:val="1166"/>
          <w:marRight w:val="0"/>
          <w:marTop w:val="106"/>
          <w:marBottom w:val="0"/>
          <w:divBdr>
            <w:top w:val="none" w:sz="0" w:space="0" w:color="auto"/>
            <w:left w:val="none" w:sz="0" w:space="0" w:color="auto"/>
            <w:bottom w:val="none" w:sz="0" w:space="0" w:color="auto"/>
            <w:right w:val="none" w:sz="0" w:space="0" w:color="auto"/>
          </w:divBdr>
        </w:div>
        <w:div w:id="375786783">
          <w:marLeft w:val="1166"/>
          <w:marRight w:val="0"/>
          <w:marTop w:val="106"/>
          <w:marBottom w:val="0"/>
          <w:divBdr>
            <w:top w:val="none" w:sz="0" w:space="0" w:color="auto"/>
            <w:left w:val="none" w:sz="0" w:space="0" w:color="auto"/>
            <w:bottom w:val="none" w:sz="0" w:space="0" w:color="auto"/>
            <w:right w:val="none" w:sz="0" w:space="0" w:color="auto"/>
          </w:divBdr>
        </w:div>
        <w:div w:id="1335843108">
          <w:marLeft w:val="1166"/>
          <w:marRight w:val="0"/>
          <w:marTop w:val="106"/>
          <w:marBottom w:val="0"/>
          <w:divBdr>
            <w:top w:val="none" w:sz="0" w:space="0" w:color="auto"/>
            <w:left w:val="none" w:sz="0" w:space="0" w:color="auto"/>
            <w:bottom w:val="none" w:sz="0" w:space="0" w:color="auto"/>
            <w:right w:val="none" w:sz="0" w:space="0" w:color="auto"/>
          </w:divBdr>
        </w:div>
      </w:divsChild>
    </w:div>
    <w:div w:id="1916162766">
      <w:bodyDiv w:val="1"/>
      <w:marLeft w:val="0"/>
      <w:marRight w:val="0"/>
      <w:marTop w:val="0"/>
      <w:marBottom w:val="0"/>
      <w:divBdr>
        <w:top w:val="none" w:sz="0" w:space="0" w:color="auto"/>
        <w:left w:val="none" w:sz="0" w:space="0" w:color="auto"/>
        <w:bottom w:val="none" w:sz="0" w:space="0" w:color="auto"/>
        <w:right w:val="none" w:sz="0" w:space="0" w:color="auto"/>
      </w:divBdr>
      <w:divsChild>
        <w:div w:id="1059521709">
          <w:marLeft w:val="547"/>
          <w:marRight w:val="0"/>
          <w:marTop w:val="115"/>
          <w:marBottom w:val="0"/>
          <w:divBdr>
            <w:top w:val="none" w:sz="0" w:space="0" w:color="auto"/>
            <w:left w:val="none" w:sz="0" w:space="0" w:color="auto"/>
            <w:bottom w:val="none" w:sz="0" w:space="0" w:color="auto"/>
            <w:right w:val="none" w:sz="0" w:space="0" w:color="auto"/>
          </w:divBdr>
        </w:div>
      </w:divsChild>
    </w:div>
    <w:div w:id="1933470360">
      <w:bodyDiv w:val="1"/>
      <w:marLeft w:val="0"/>
      <w:marRight w:val="0"/>
      <w:marTop w:val="0"/>
      <w:marBottom w:val="0"/>
      <w:divBdr>
        <w:top w:val="none" w:sz="0" w:space="0" w:color="auto"/>
        <w:left w:val="none" w:sz="0" w:space="0" w:color="auto"/>
        <w:bottom w:val="none" w:sz="0" w:space="0" w:color="auto"/>
        <w:right w:val="none" w:sz="0" w:space="0" w:color="auto"/>
      </w:divBdr>
    </w:div>
    <w:div w:id="1978291748">
      <w:bodyDiv w:val="1"/>
      <w:marLeft w:val="0"/>
      <w:marRight w:val="0"/>
      <w:marTop w:val="0"/>
      <w:marBottom w:val="0"/>
      <w:divBdr>
        <w:top w:val="none" w:sz="0" w:space="0" w:color="auto"/>
        <w:left w:val="none" w:sz="0" w:space="0" w:color="auto"/>
        <w:bottom w:val="none" w:sz="0" w:space="0" w:color="auto"/>
        <w:right w:val="none" w:sz="0" w:space="0" w:color="auto"/>
      </w:divBdr>
    </w:div>
    <w:div w:id="2032146766">
      <w:bodyDiv w:val="1"/>
      <w:marLeft w:val="0"/>
      <w:marRight w:val="0"/>
      <w:marTop w:val="0"/>
      <w:marBottom w:val="0"/>
      <w:divBdr>
        <w:top w:val="none" w:sz="0" w:space="0" w:color="auto"/>
        <w:left w:val="none" w:sz="0" w:space="0" w:color="auto"/>
        <w:bottom w:val="none" w:sz="0" w:space="0" w:color="auto"/>
        <w:right w:val="none" w:sz="0" w:space="0" w:color="auto"/>
      </w:divBdr>
    </w:div>
    <w:div w:id="207010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28" Type="http://schemas.microsoft.com/office/2011/relationships/commentsExtended" Target="commentsExtended.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AD132-8CE8-4C60-AFE9-9D91DCE00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6757</Words>
  <Characters>38520</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2018-02-14T22:57:00Z</dcterms:created>
  <dcterms:modified xsi:type="dcterms:W3CDTF">2018-02-14T22:58:00Z</dcterms:modified>
</cp:coreProperties>
</file>