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94" w:rsidRPr="003D0027" w:rsidRDefault="00E60094" w:rsidP="008128A5">
      <w:pPr>
        <w:pStyle w:val="Title"/>
        <w:spacing w:after="0"/>
        <w:ind w:left="720" w:hanging="720"/>
        <w:outlineLvl w:val="9"/>
        <w:rPr>
          <w:rFonts w:asciiTheme="minorHAnsi" w:hAnsiTheme="minorHAnsi"/>
          <w:sz w:val="22"/>
          <w:szCs w:val="22"/>
        </w:rPr>
      </w:pPr>
      <w:bookmarkStart w:id="0" w:name="_GoBack"/>
      <w:bookmarkEnd w:id="0"/>
    </w:p>
    <w:p w:rsidR="00C27B58" w:rsidRPr="003D0027" w:rsidRDefault="00BD06BE" w:rsidP="008128A5">
      <w:pPr>
        <w:pStyle w:val="Title"/>
        <w:spacing w:after="0"/>
        <w:ind w:left="720" w:hanging="720"/>
        <w:rPr>
          <w:rFonts w:asciiTheme="minorHAnsi" w:hAnsiTheme="minorHAnsi"/>
          <w:sz w:val="36"/>
          <w:szCs w:val="36"/>
        </w:rPr>
      </w:pPr>
      <w:r w:rsidRPr="003D0027">
        <w:rPr>
          <w:rFonts w:asciiTheme="minorHAnsi" w:hAnsiTheme="minorHAnsi"/>
          <w:sz w:val="36"/>
          <w:szCs w:val="36"/>
        </w:rPr>
        <w:t>6.17</w:t>
      </w:r>
      <w:r w:rsidR="007C0F57" w:rsidRPr="003D0027">
        <w:rPr>
          <w:rFonts w:asciiTheme="minorHAnsi" w:hAnsiTheme="minorHAnsi"/>
          <w:sz w:val="36"/>
          <w:szCs w:val="36"/>
        </w:rPr>
        <w:tab/>
      </w:r>
      <w:r w:rsidR="00AD5C8A">
        <w:rPr>
          <w:rFonts w:asciiTheme="minorHAnsi" w:hAnsiTheme="minorHAnsi"/>
          <w:sz w:val="36"/>
          <w:szCs w:val="36"/>
        </w:rPr>
        <w:t>LANREOTIDE</w:t>
      </w:r>
      <w:r w:rsidR="008128A5">
        <w:rPr>
          <w:rFonts w:asciiTheme="minorHAnsi" w:hAnsiTheme="minorHAnsi"/>
          <w:sz w:val="36"/>
          <w:szCs w:val="36"/>
        </w:rPr>
        <w:br/>
      </w:r>
      <w:r w:rsidR="00B6561E" w:rsidRPr="003D0027">
        <w:rPr>
          <w:rFonts w:asciiTheme="minorHAnsi" w:hAnsiTheme="minorHAnsi"/>
          <w:sz w:val="36"/>
          <w:szCs w:val="36"/>
        </w:rPr>
        <w:t xml:space="preserve">Solution for injection </w:t>
      </w:r>
      <w:r w:rsidRPr="003D0027">
        <w:rPr>
          <w:rFonts w:asciiTheme="minorHAnsi" w:hAnsiTheme="minorHAnsi"/>
          <w:sz w:val="36"/>
          <w:szCs w:val="36"/>
        </w:rPr>
        <w:t xml:space="preserve">60 mg/0.5 ml, 0.5 ml </w:t>
      </w:r>
      <w:r w:rsidR="006062CF" w:rsidRPr="003D0027">
        <w:rPr>
          <w:rFonts w:asciiTheme="minorHAnsi" w:hAnsiTheme="minorHAnsi"/>
          <w:sz w:val="36"/>
          <w:szCs w:val="36"/>
        </w:rPr>
        <w:t xml:space="preserve">pre-filled </w:t>
      </w:r>
      <w:r w:rsidRPr="003D0027">
        <w:rPr>
          <w:rFonts w:asciiTheme="minorHAnsi" w:hAnsiTheme="minorHAnsi"/>
          <w:sz w:val="36"/>
          <w:szCs w:val="36"/>
        </w:rPr>
        <w:t>syringe</w:t>
      </w:r>
      <w:r w:rsidRPr="003D0027">
        <w:rPr>
          <w:rFonts w:asciiTheme="minorHAnsi" w:hAnsiTheme="minorHAnsi"/>
          <w:sz w:val="36"/>
          <w:szCs w:val="36"/>
        </w:rPr>
        <w:br/>
      </w:r>
      <w:r w:rsidR="00B6561E" w:rsidRPr="003D0027">
        <w:rPr>
          <w:rFonts w:asciiTheme="minorHAnsi" w:hAnsiTheme="minorHAnsi"/>
          <w:sz w:val="36"/>
          <w:szCs w:val="36"/>
        </w:rPr>
        <w:t xml:space="preserve">Solution for injection </w:t>
      </w:r>
      <w:r w:rsidRPr="003D0027">
        <w:rPr>
          <w:rFonts w:asciiTheme="minorHAnsi" w:hAnsiTheme="minorHAnsi"/>
          <w:sz w:val="36"/>
          <w:szCs w:val="36"/>
        </w:rPr>
        <w:t xml:space="preserve">90 mg/0.5 ml, 0.5 ml </w:t>
      </w:r>
      <w:r w:rsidR="006062CF" w:rsidRPr="003D0027">
        <w:rPr>
          <w:rFonts w:asciiTheme="minorHAnsi" w:hAnsiTheme="minorHAnsi"/>
          <w:sz w:val="36"/>
          <w:szCs w:val="36"/>
        </w:rPr>
        <w:t xml:space="preserve">pre-filled </w:t>
      </w:r>
      <w:r w:rsidRPr="003D0027">
        <w:rPr>
          <w:rFonts w:asciiTheme="minorHAnsi" w:hAnsiTheme="minorHAnsi"/>
          <w:sz w:val="36"/>
          <w:szCs w:val="36"/>
        </w:rPr>
        <w:t>syringe</w:t>
      </w:r>
      <w:r w:rsidRPr="003D0027">
        <w:rPr>
          <w:rFonts w:asciiTheme="minorHAnsi" w:hAnsiTheme="minorHAnsi"/>
          <w:sz w:val="36"/>
          <w:szCs w:val="36"/>
        </w:rPr>
        <w:br/>
      </w:r>
      <w:r w:rsidR="00B6561E" w:rsidRPr="003D0027">
        <w:rPr>
          <w:rFonts w:asciiTheme="minorHAnsi" w:hAnsiTheme="minorHAnsi"/>
          <w:sz w:val="36"/>
          <w:szCs w:val="36"/>
        </w:rPr>
        <w:t xml:space="preserve">Solution for injection </w:t>
      </w:r>
      <w:r w:rsidRPr="003D0027">
        <w:rPr>
          <w:rFonts w:asciiTheme="minorHAnsi" w:hAnsiTheme="minorHAnsi"/>
          <w:sz w:val="36"/>
          <w:szCs w:val="36"/>
        </w:rPr>
        <w:t xml:space="preserve">120 mg/0.5 ml, 0.5 ml </w:t>
      </w:r>
      <w:r w:rsidR="006062CF" w:rsidRPr="003D0027">
        <w:rPr>
          <w:rFonts w:asciiTheme="minorHAnsi" w:hAnsiTheme="minorHAnsi"/>
          <w:sz w:val="36"/>
          <w:szCs w:val="36"/>
        </w:rPr>
        <w:t xml:space="preserve">pre-filled </w:t>
      </w:r>
      <w:r w:rsidRPr="003D0027">
        <w:rPr>
          <w:rFonts w:asciiTheme="minorHAnsi" w:hAnsiTheme="minorHAnsi"/>
          <w:sz w:val="36"/>
          <w:szCs w:val="36"/>
        </w:rPr>
        <w:t>syringe</w:t>
      </w:r>
      <w:r w:rsidR="008A50F1" w:rsidRPr="003D0027">
        <w:rPr>
          <w:rFonts w:asciiTheme="minorHAnsi" w:hAnsiTheme="minorHAnsi"/>
          <w:sz w:val="36"/>
          <w:szCs w:val="36"/>
        </w:rPr>
        <w:br/>
      </w:r>
      <w:r w:rsidRPr="003D0027">
        <w:rPr>
          <w:rFonts w:asciiTheme="minorHAnsi" w:hAnsiTheme="minorHAnsi"/>
          <w:sz w:val="36"/>
          <w:szCs w:val="36"/>
        </w:rPr>
        <w:t>Somatuline</w:t>
      </w:r>
      <w:r w:rsidR="00CC78E5" w:rsidRPr="003D0027">
        <w:rPr>
          <w:rFonts w:asciiTheme="minorHAnsi" w:hAnsiTheme="minorHAnsi"/>
          <w:sz w:val="36"/>
          <w:szCs w:val="36"/>
        </w:rPr>
        <w:t>®</w:t>
      </w:r>
      <w:r w:rsidRPr="003D0027">
        <w:rPr>
          <w:rFonts w:asciiTheme="minorHAnsi" w:hAnsiTheme="minorHAnsi"/>
          <w:sz w:val="36"/>
          <w:szCs w:val="36"/>
          <w:vertAlign w:val="superscript"/>
        </w:rPr>
        <w:t xml:space="preserve"> </w:t>
      </w:r>
      <w:r w:rsidRPr="003D0027">
        <w:rPr>
          <w:rFonts w:asciiTheme="minorHAnsi" w:hAnsiTheme="minorHAnsi"/>
          <w:sz w:val="36"/>
          <w:szCs w:val="36"/>
        </w:rPr>
        <w:t>Autogel®</w:t>
      </w:r>
      <w:r w:rsidR="00EF44A0" w:rsidRPr="003D0027">
        <w:rPr>
          <w:rFonts w:asciiTheme="minorHAnsi" w:hAnsiTheme="minorHAnsi"/>
          <w:sz w:val="36"/>
          <w:szCs w:val="36"/>
        </w:rPr>
        <w:t xml:space="preserve">, </w:t>
      </w:r>
      <w:r w:rsidRPr="003D0027">
        <w:rPr>
          <w:rFonts w:asciiTheme="minorHAnsi" w:hAnsiTheme="minorHAnsi"/>
          <w:sz w:val="36"/>
          <w:szCs w:val="36"/>
        </w:rPr>
        <w:t>Ipsen Pty Ltd</w:t>
      </w:r>
    </w:p>
    <w:p w:rsidR="008A50F1" w:rsidRPr="003D0027" w:rsidRDefault="00CE10C4" w:rsidP="005704D0">
      <w:pPr>
        <w:pStyle w:val="PBACHeading1"/>
        <w:spacing w:before="240" w:after="300"/>
        <w:ind w:left="709" w:hanging="709"/>
        <w:rPr>
          <w:rFonts w:asciiTheme="minorHAnsi" w:hAnsiTheme="minorHAnsi"/>
          <w:sz w:val="32"/>
          <w:szCs w:val="32"/>
        </w:rPr>
      </w:pPr>
      <w:r w:rsidRPr="003D0027">
        <w:rPr>
          <w:rFonts w:asciiTheme="minorHAnsi" w:hAnsiTheme="minorHAnsi"/>
          <w:sz w:val="32"/>
          <w:szCs w:val="32"/>
        </w:rPr>
        <w:t xml:space="preserve">Purpose of </w:t>
      </w:r>
      <w:r w:rsidR="0004240E" w:rsidRPr="003D0027">
        <w:rPr>
          <w:rFonts w:asciiTheme="minorHAnsi" w:hAnsiTheme="minorHAnsi"/>
          <w:sz w:val="32"/>
          <w:szCs w:val="32"/>
        </w:rPr>
        <w:t>Application</w:t>
      </w:r>
    </w:p>
    <w:p w:rsidR="00EF44A0" w:rsidRPr="003D0027" w:rsidRDefault="00EF44A0" w:rsidP="005704D0">
      <w:pPr>
        <w:pStyle w:val="ListParagraph"/>
        <w:widowControl/>
        <w:numPr>
          <w:ilvl w:val="1"/>
          <w:numId w:val="5"/>
        </w:numPr>
        <w:spacing w:after="240"/>
        <w:ind w:left="709" w:hanging="709"/>
        <w:contextualSpacing w:val="0"/>
        <w:rPr>
          <w:rFonts w:asciiTheme="minorHAnsi" w:hAnsiTheme="minorHAnsi"/>
          <w:sz w:val="24"/>
          <w:szCs w:val="24"/>
        </w:rPr>
      </w:pPr>
      <w:r w:rsidRPr="003D0027">
        <w:rPr>
          <w:rFonts w:asciiTheme="minorHAnsi" w:eastAsiaTheme="minorHAnsi" w:hAnsiTheme="minorHAnsi" w:cstheme="minorBidi"/>
          <w:snapToGrid/>
          <w:sz w:val="24"/>
          <w:szCs w:val="22"/>
        </w:rPr>
        <w:t xml:space="preserve">The </w:t>
      </w:r>
      <w:r w:rsidR="00FF2801" w:rsidRPr="003D0027">
        <w:rPr>
          <w:rFonts w:asciiTheme="minorHAnsi" w:eastAsiaTheme="minorHAnsi" w:hAnsiTheme="minorHAnsi" w:cstheme="minorBidi"/>
          <w:snapToGrid/>
          <w:sz w:val="24"/>
          <w:szCs w:val="22"/>
        </w:rPr>
        <w:t xml:space="preserve">submission </w:t>
      </w:r>
      <w:r w:rsidR="00B6519D" w:rsidRPr="003D0027">
        <w:rPr>
          <w:rFonts w:asciiTheme="minorHAnsi" w:eastAsiaTheme="minorHAnsi" w:hAnsiTheme="minorHAnsi" w:cstheme="minorBidi"/>
          <w:snapToGrid/>
          <w:sz w:val="24"/>
          <w:szCs w:val="22"/>
        </w:rPr>
        <w:t>sought</w:t>
      </w:r>
      <w:r w:rsidR="00ED73BC" w:rsidRPr="003D0027">
        <w:rPr>
          <w:rFonts w:asciiTheme="minorHAnsi" w:eastAsiaTheme="minorHAnsi" w:hAnsiTheme="minorHAnsi" w:cstheme="minorBidi"/>
          <w:snapToGrid/>
          <w:sz w:val="24"/>
          <w:szCs w:val="22"/>
        </w:rPr>
        <w:t xml:space="preserve"> </w:t>
      </w:r>
      <w:r w:rsidR="00CF767E" w:rsidRPr="003D0027">
        <w:rPr>
          <w:rFonts w:asciiTheme="minorHAnsi" w:eastAsiaTheme="minorHAnsi" w:hAnsiTheme="minorHAnsi" w:cstheme="minorBidi"/>
          <w:snapToGrid/>
          <w:sz w:val="24"/>
          <w:szCs w:val="22"/>
        </w:rPr>
        <w:t>to</w:t>
      </w:r>
      <w:r w:rsidR="00C26CB1" w:rsidRPr="003D0027">
        <w:rPr>
          <w:rFonts w:asciiTheme="minorHAnsi" w:eastAsiaTheme="minorHAnsi" w:hAnsiTheme="minorHAnsi" w:cstheme="minorBidi"/>
          <w:snapToGrid/>
          <w:sz w:val="24"/>
          <w:szCs w:val="22"/>
        </w:rPr>
        <w:t xml:space="preserve"> extend the current listing for lanreotide a</w:t>
      </w:r>
      <w:r w:rsidR="00CF767E" w:rsidRPr="003D0027">
        <w:rPr>
          <w:rFonts w:asciiTheme="minorHAnsi" w:eastAsiaTheme="minorHAnsi" w:hAnsiTheme="minorHAnsi" w:cstheme="minorBidi"/>
          <w:snapToGrid/>
          <w:sz w:val="24"/>
          <w:szCs w:val="22"/>
        </w:rPr>
        <w:t xml:space="preserve">cetate </w:t>
      </w:r>
      <w:r w:rsidR="00C26CB1" w:rsidRPr="003D0027">
        <w:rPr>
          <w:rFonts w:asciiTheme="minorHAnsi" w:eastAsiaTheme="minorHAnsi" w:hAnsiTheme="minorHAnsi" w:cstheme="minorBidi"/>
          <w:snapToGrid/>
          <w:sz w:val="24"/>
          <w:szCs w:val="22"/>
        </w:rPr>
        <w:t>pre-filled syringe, 120</w:t>
      </w:r>
      <w:r w:rsidR="00E93A05" w:rsidRPr="003D0027">
        <w:rPr>
          <w:rFonts w:asciiTheme="minorHAnsi" w:eastAsiaTheme="minorHAnsi" w:hAnsiTheme="minorHAnsi" w:cstheme="minorBidi"/>
          <w:snapToGrid/>
          <w:sz w:val="24"/>
          <w:szCs w:val="22"/>
        </w:rPr>
        <w:t xml:space="preserve"> </w:t>
      </w:r>
      <w:r w:rsidR="00C26CB1" w:rsidRPr="003D0027">
        <w:rPr>
          <w:rFonts w:asciiTheme="minorHAnsi" w:eastAsiaTheme="minorHAnsi" w:hAnsiTheme="minorHAnsi" w:cstheme="minorBidi"/>
          <w:snapToGrid/>
          <w:sz w:val="24"/>
          <w:szCs w:val="22"/>
        </w:rPr>
        <w:t>mg</w:t>
      </w:r>
      <w:r w:rsidR="00C77C90" w:rsidRPr="003D0027">
        <w:rPr>
          <w:rFonts w:asciiTheme="minorHAnsi" w:eastAsiaTheme="minorHAnsi" w:hAnsiTheme="minorHAnsi" w:cstheme="minorBidi"/>
          <w:snapToGrid/>
          <w:sz w:val="24"/>
          <w:szCs w:val="22"/>
        </w:rPr>
        <w:t>/ 0.5 ml</w:t>
      </w:r>
      <w:r w:rsidR="00C26CB1" w:rsidRPr="003D0027">
        <w:rPr>
          <w:rFonts w:asciiTheme="minorHAnsi" w:eastAsiaTheme="minorHAnsi" w:hAnsiTheme="minorHAnsi" w:cstheme="minorBidi"/>
          <w:snapToGrid/>
          <w:sz w:val="24"/>
          <w:szCs w:val="22"/>
        </w:rPr>
        <w:t>, 90</w:t>
      </w:r>
      <w:r w:rsidR="00E93A05" w:rsidRPr="003D0027">
        <w:rPr>
          <w:rFonts w:asciiTheme="minorHAnsi" w:eastAsiaTheme="minorHAnsi" w:hAnsiTheme="minorHAnsi" w:cstheme="minorBidi"/>
          <w:snapToGrid/>
          <w:sz w:val="24"/>
          <w:szCs w:val="22"/>
        </w:rPr>
        <w:t xml:space="preserve"> </w:t>
      </w:r>
      <w:r w:rsidR="00C26CB1" w:rsidRPr="003D0027">
        <w:rPr>
          <w:rFonts w:asciiTheme="minorHAnsi" w:eastAsiaTheme="minorHAnsi" w:hAnsiTheme="minorHAnsi" w:cstheme="minorBidi"/>
          <w:snapToGrid/>
          <w:sz w:val="24"/>
          <w:szCs w:val="22"/>
        </w:rPr>
        <w:t>mg</w:t>
      </w:r>
      <w:r w:rsidR="00C77C90" w:rsidRPr="003D0027">
        <w:rPr>
          <w:rFonts w:asciiTheme="minorHAnsi" w:eastAsiaTheme="minorHAnsi" w:hAnsiTheme="minorHAnsi" w:cstheme="minorBidi"/>
          <w:snapToGrid/>
          <w:sz w:val="24"/>
          <w:szCs w:val="22"/>
        </w:rPr>
        <w:t>/ 0.5 ml</w:t>
      </w:r>
      <w:r w:rsidR="00C26CB1" w:rsidRPr="003D0027">
        <w:rPr>
          <w:rFonts w:asciiTheme="minorHAnsi" w:eastAsiaTheme="minorHAnsi" w:hAnsiTheme="minorHAnsi" w:cstheme="minorBidi"/>
          <w:snapToGrid/>
          <w:sz w:val="24"/>
          <w:szCs w:val="22"/>
        </w:rPr>
        <w:t xml:space="preserve"> and 60</w:t>
      </w:r>
      <w:r w:rsidR="00E93A05" w:rsidRPr="003D0027">
        <w:rPr>
          <w:rFonts w:asciiTheme="minorHAnsi" w:eastAsiaTheme="minorHAnsi" w:hAnsiTheme="minorHAnsi" w:cstheme="minorBidi"/>
          <w:snapToGrid/>
          <w:sz w:val="24"/>
          <w:szCs w:val="22"/>
        </w:rPr>
        <w:t xml:space="preserve"> </w:t>
      </w:r>
      <w:r w:rsidR="00C26CB1" w:rsidRPr="003D0027">
        <w:rPr>
          <w:rFonts w:asciiTheme="minorHAnsi" w:eastAsiaTheme="minorHAnsi" w:hAnsiTheme="minorHAnsi" w:cstheme="minorBidi"/>
          <w:snapToGrid/>
          <w:sz w:val="24"/>
          <w:szCs w:val="22"/>
        </w:rPr>
        <w:t>mg</w:t>
      </w:r>
      <w:r w:rsidR="00C77C90" w:rsidRPr="003D0027">
        <w:rPr>
          <w:rFonts w:asciiTheme="minorHAnsi" w:eastAsiaTheme="minorHAnsi" w:hAnsiTheme="minorHAnsi" w:cstheme="minorBidi"/>
          <w:snapToGrid/>
          <w:sz w:val="24"/>
          <w:szCs w:val="22"/>
        </w:rPr>
        <w:t>/ 0.5 ml</w:t>
      </w:r>
      <w:r w:rsidR="00C26CB1" w:rsidRPr="003D0027">
        <w:rPr>
          <w:rFonts w:asciiTheme="minorHAnsi" w:eastAsiaTheme="minorHAnsi" w:hAnsiTheme="minorHAnsi" w:cstheme="minorBidi"/>
          <w:snapToGrid/>
          <w:sz w:val="24"/>
          <w:szCs w:val="22"/>
        </w:rPr>
        <w:t xml:space="preserve"> </w:t>
      </w:r>
      <w:r w:rsidR="00CF767E" w:rsidRPr="003D0027">
        <w:rPr>
          <w:rFonts w:asciiTheme="minorHAnsi" w:eastAsiaTheme="minorHAnsi" w:hAnsiTheme="minorHAnsi" w:cstheme="minorBidi"/>
          <w:snapToGrid/>
          <w:sz w:val="24"/>
          <w:szCs w:val="22"/>
        </w:rPr>
        <w:t>to</w:t>
      </w:r>
      <w:r w:rsidR="00ED73BC" w:rsidRPr="003D0027">
        <w:rPr>
          <w:rFonts w:asciiTheme="minorHAnsi" w:eastAsiaTheme="minorHAnsi" w:hAnsiTheme="minorHAnsi" w:cstheme="minorBidi"/>
          <w:snapToGrid/>
          <w:sz w:val="24"/>
          <w:szCs w:val="22"/>
        </w:rPr>
        <w:t xml:space="preserve"> </w:t>
      </w:r>
      <w:r w:rsidR="00CF767E" w:rsidRPr="003D0027">
        <w:rPr>
          <w:rFonts w:asciiTheme="minorHAnsi" w:eastAsiaTheme="minorHAnsi" w:hAnsiTheme="minorHAnsi" w:cstheme="minorBidi"/>
          <w:snapToGrid/>
          <w:sz w:val="24"/>
          <w:szCs w:val="22"/>
        </w:rPr>
        <w:t xml:space="preserve">a </w:t>
      </w:r>
      <w:r w:rsidR="005C2CB2" w:rsidRPr="003D0027">
        <w:rPr>
          <w:rFonts w:asciiTheme="minorHAnsi" w:eastAsiaTheme="minorHAnsi" w:hAnsiTheme="minorHAnsi" w:cstheme="minorBidi"/>
          <w:snapToGrid/>
          <w:sz w:val="24"/>
          <w:szCs w:val="22"/>
        </w:rPr>
        <w:t>Section 100</w:t>
      </w:r>
      <w:r w:rsidR="005C2CB2" w:rsidRPr="003D0027">
        <w:rPr>
          <w:rFonts w:asciiTheme="minorHAnsi" w:hAnsiTheme="minorHAnsi"/>
          <w:sz w:val="24"/>
          <w:szCs w:val="24"/>
        </w:rPr>
        <w:t xml:space="preserve"> Highly Specialised Drug</w:t>
      </w:r>
      <w:r w:rsidR="0012443A" w:rsidRPr="003D0027">
        <w:rPr>
          <w:rFonts w:asciiTheme="minorHAnsi" w:hAnsiTheme="minorHAnsi"/>
          <w:sz w:val="24"/>
          <w:szCs w:val="24"/>
        </w:rPr>
        <w:t>s</w:t>
      </w:r>
      <w:r w:rsidR="00895605" w:rsidRPr="003D0027">
        <w:rPr>
          <w:rFonts w:asciiTheme="minorHAnsi" w:hAnsiTheme="minorHAnsi"/>
          <w:sz w:val="24"/>
          <w:szCs w:val="24"/>
        </w:rPr>
        <w:t xml:space="preserve"> </w:t>
      </w:r>
      <w:r w:rsidR="00E93A05" w:rsidRPr="003D0027">
        <w:rPr>
          <w:rFonts w:asciiTheme="minorHAnsi" w:hAnsiTheme="minorHAnsi"/>
          <w:sz w:val="24"/>
          <w:szCs w:val="24"/>
        </w:rPr>
        <w:t>Program Community Access</w:t>
      </w:r>
      <w:r w:rsidR="00895605" w:rsidRPr="003D0027">
        <w:rPr>
          <w:rFonts w:asciiTheme="minorHAnsi" w:hAnsiTheme="minorHAnsi"/>
          <w:sz w:val="24"/>
          <w:szCs w:val="24"/>
        </w:rPr>
        <w:t>,</w:t>
      </w:r>
      <w:r w:rsidR="00ED73BC" w:rsidRPr="003D0027">
        <w:rPr>
          <w:rFonts w:asciiTheme="minorHAnsi" w:hAnsiTheme="minorHAnsi"/>
          <w:sz w:val="24"/>
          <w:szCs w:val="24"/>
        </w:rPr>
        <w:t xml:space="preserve"> Authority Required (STREAMLINED) for patients with acromegaly and functional carcinoid </w:t>
      </w:r>
      <w:r w:rsidR="00B6519D" w:rsidRPr="003D0027">
        <w:rPr>
          <w:rFonts w:asciiTheme="minorHAnsi" w:hAnsiTheme="minorHAnsi"/>
          <w:sz w:val="24"/>
          <w:szCs w:val="24"/>
        </w:rPr>
        <w:t>t</w:t>
      </w:r>
      <w:r w:rsidR="005F5075" w:rsidRPr="003D0027">
        <w:rPr>
          <w:rFonts w:asciiTheme="minorHAnsi" w:hAnsiTheme="minorHAnsi"/>
          <w:sz w:val="24"/>
          <w:szCs w:val="24"/>
        </w:rPr>
        <w:t>u</w:t>
      </w:r>
      <w:r w:rsidR="00B6519D" w:rsidRPr="003D0027">
        <w:rPr>
          <w:rFonts w:asciiTheme="minorHAnsi" w:hAnsiTheme="minorHAnsi"/>
          <w:sz w:val="24"/>
          <w:szCs w:val="24"/>
        </w:rPr>
        <w:t>mour</w:t>
      </w:r>
      <w:r w:rsidR="00ED73BC" w:rsidRPr="003D0027">
        <w:rPr>
          <w:rFonts w:asciiTheme="minorHAnsi" w:hAnsiTheme="minorHAnsi"/>
          <w:sz w:val="24"/>
          <w:szCs w:val="24"/>
        </w:rPr>
        <w:t>.</w:t>
      </w:r>
    </w:p>
    <w:p w:rsidR="006A12A5" w:rsidRPr="003D0027" w:rsidRDefault="006A12A5" w:rsidP="00EB0B63">
      <w:pPr>
        <w:pStyle w:val="PBACHeading1"/>
        <w:spacing w:before="240" w:after="120"/>
        <w:ind w:left="709" w:hanging="709"/>
        <w:rPr>
          <w:rFonts w:asciiTheme="minorHAnsi" w:hAnsiTheme="minorHAnsi"/>
          <w:sz w:val="32"/>
          <w:szCs w:val="32"/>
        </w:rPr>
      </w:pPr>
      <w:r w:rsidRPr="003D0027">
        <w:rPr>
          <w:rFonts w:asciiTheme="minorHAnsi" w:hAnsiTheme="minorHAnsi"/>
          <w:sz w:val="32"/>
          <w:szCs w:val="32"/>
        </w:rPr>
        <w:t>Requested listing</w:t>
      </w:r>
    </w:p>
    <w:p w:rsidR="00CA0D32" w:rsidRPr="003D0027" w:rsidRDefault="00E23946" w:rsidP="00CA0D32">
      <w:pPr>
        <w:pStyle w:val="ListParagraph"/>
        <w:widowControl/>
        <w:numPr>
          <w:ilvl w:val="1"/>
          <w:numId w:val="14"/>
        </w:numPr>
        <w:spacing w:after="120"/>
        <w:ind w:left="709" w:hanging="709"/>
        <w:contextualSpacing w:val="0"/>
        <w:rPr>
          <w:rFonts w:asciiTheme="minorHAnsi" w:eastAsiaTheme="minorHAnsi" w:hAnsiTheme="minorHAnsi" w:cstheme="minorBidi"/>
          <w:i/>
          <w:snapToGrid/>
          <w:sz w:val="24"/>
          <w:szCs w:val="22"/>
        </w:rPr>
      </w:pPr>
      <w:r w:rsidRPr="003D0027">
        <w:rPr>
          <w:rFonts w:asciiTheme="minorHAnsi" w:eastAsiaTheme="minorHAnsi" w:hAnsiTheme="minorHAnsi" w:cstheme="minorBidi"/>
          <w:snapToGrid/>
          <w:sz w:val="24"/>
          <w:szCs w:val="22"/>
        </w:rPr>
        <w:t xml:space="preserve">The </w:t>
      </w:r>
      <w:r w:rsidR="003303FF" w:rsidRPr="003D0027">
        <w:rPr>
          <w:rFonts w:asciiTheme="minorHAnsi" w:eastAsiaTheme="minorHAnsi" w:hAnsiTheme="minorHAnsi" w:cstheme="minorBidi"/>
          <w:snapToGrid/>
          <w:sz w:val="24"/>
          <w:szCs w:val="22"/>
        </w:rPr>
        <w:t>requested</w:t>
      </w:r>
      <w:r w:rsidR="00B6519D" w:rsidRPr="003D0027">
        <w:rPr>
          <w:rFonts w:asciiTheme="minorHAnsi" w:eastAsiaTheme="minorHAnsi" w:hAnsiTheme="minorHAnsi" w:cstheme="minorBidi"/>
          <w:snapToGrid/>
          <w:sz w:val="24"/>
          <w:szCs w:val="22"/>
        </w:rPr>
        <w:t xml:space="preserve"> listing</w:t>
      </w:r>
      <w:r w:rsidRPr="003D0027">
        <w:rPr>
          <w:rFonts w:asciiTheme="minorHAnsi" w:eastAsiaTheme="minorHAnsi" w:hAnsiTheme="minorHAnsi" w:cstheme="minorBidi"/>
          <w:snapToGrid/>
          <w:sz w:val="24"/>
          <w:szCs w:val="22"/>
        </w:rPr>
        <w:t xml:space="preserve"> for acromegaly </w:t>
      </w:r>
      <w:r w:rsidR="0012443A" w:rsidRPr="003D0027">
        <w:rPr>
          <w:rFonts w:asciiTheme="minorHAnsi" w:eastAsiaTheme="minorHAnsi" w:hAnsiTheme="minorHAnsi" w:cstheme="minorBidi"/>
          <w:snapToGrid/>
          <w:sz w:val="24"/>
          <w:szCs w:val="22"/>
        </w:rPr>
        <w:t>and functional carcinoid tumour</w:t>
      </w:r>
      <w:r w:rsidRPr="003D0027">
        <w:rPr>
          <w:rFonts w:asciiTheme="minorHAnsi" w:eastAsiaTheme="minorHAnsi" w:hAnsiTheme="minorHAnsi" w:cstheme="minorBidi"/>
          <w:snapToGrid/>
          <w:sz w:val="24"/>
          <w:szCs w:val="22"/>
        </w:rPr>
        <w:t xml:space="preserve"> </w:t>
      </w:r>
      <w:r w:rsidR="00B6519D" w:rsidRPr="003D0027">
        <w:rPr>
          <w:rFonts w:asciiTheme="minorHAnsi" w:eastAsiaTheme="minorHAnsi" w:hAnsiTheme="minorHAnsi" w:cstheme="minorBidi"/>
          <w:snapToGrid/>
          <w:sz w:val="24"/>
          <w:szCs w:val="22"/>
        </w:rPr>
        <w:t xml:space="preserve">is </w:t>
      </w:r>
      <w:r w:rsidR="0012443A" w:rsidRPr="003D0027">
        <w:rPr>
          <w:rFonts w:asciiTheme="minorHAnsi" w:eastAsiaTheme="minorHAnsi" w:hAnsiTheme="minorHAnsi" w:cstheme="minorBidi"/>
          <w:snapToGrid/>
          <w:sz w:val="24"/>
          <w:szCs w:val="22"/>
        </w:rPr>
        <w:t>provided</w:t>
      </w:r>
      <w:r w:rsidRPr="003D0027">
        <w:rPr>
          <w:rFonts w:asciiTheme="minorHAnsi" w:eastAsiaTheme="minorHAnsi" w:hAnsiTheme="minorHAnsi" w:cstheme="minorBidi"/>
          <w:snapToGrid/>
          <w:sz w:val="24"/>
          <w:szCs w:val="22"/>
        </w:rPr>
        <w:t xml:space="preserve"> below</w:t>
      </w:r>
      <w:r w:rsidR="00B6519D" w:rsidRPr="003D0027">
        <w:rPr>
          <w:rFonts w:asciiTheme="minorHAnsi" w:eastAsiaTheme="minorHAnsi" w:hAnsiTheme="minorHAnsi" w:cstheme="minorBidi"/>
          <w:snapToGrid/>
          <w:sz w:val="24"/>
          <w:szCs w:val="22"/>
        </w:rPr>
        <w:t xml:space="preserve">. </w:t>
      </w:r>
      <w:r w:rsidR="00CA0D32" w:rsidRPr="003D0027">
        <w:rPr>
          <w:rFonts w:asciiTheme="minorHAnsi" w:eastAsiaTheme="minorHAnsi" w:hAnsiTheme="minorHAnsi" w:cstheme="minorBidi"/>
          <w:snapToGrid/>
          <w:sz w:val="24"/>
          <w:szCs w:val="22"/>
        </w:rPr>
        <w:t>S</w:t>
      </w:r>
      <w:r w:rsidR="003303FF" w:rsidRPr="003D0027">
        <w:rPr>
          <w:rFonts w:asciiTheme="minorHAnsi" w:eastAsiaTheme="minorHAnsi" w:hAnsiTheme="minorHAnsi" w:cstheme="minorBidi"/>
          <w:snapToGrid/>
          <w:sz w:val="24"/>
          <w:szCs w:val="22"/>
        </w:rPr>
        <w:t>uggestions and additions proposed by the S</w:t>
      </w:r>
      <w:r w:rsidR="00CA0D32" w:rsidRPr="003D0027">
        <w:rPr>
          <w:rFonts w:asciiTheme="minorHAnsi" w:eastAsiaTheme="minorHAnsi" w:hAnsiTheme="minorHAnsi" w:cstheme="minorBidi"/>
          <w:snapToGrid/>
          <w:sz w:val="24"/>
          <w:szCs w:val="22"/>
        </w:rPr>
        <w:t xml:space="preserve">ecretariat </w:t>
      </w:r>
      <w:r w:rsidR="003303FF" w:rsidRPr="003D0027">
        <w:rPr>
          <w:rFonts w:asciiTheme="minorHAnsi" w:eastAsiaTheme="minorHAnsi" w:hAnsiTheme="minorHAnsi" w:cstheme="minorBidi"/>
          <w:snapToGrid/>
          <w:sz w:val="24"/>
          <w:szCs w:val="22"/>
        </w:rPr>
        <w:t>to the requested listing</w:t>
      </w:r>
      <w:r w:rsidR="00CA0D32" w:rsidRPr="003D0027">
        <w:rPr>
          <w:rFonts w:asciiTheme="minorHAnsi" w:eastAsiaTheme="minorHAnsi" w:hAnsiTheme="minorHAnsi" w:cstheme="minorBidi"/>
          <w:snapToGrid/>
          <w:sz w:val="24"/>
          <w:szCs w:val="22"/>
        </w:rPr>
        <w:t xml:space="preserve"> are </w:t>
      </w:r>
      <w:r w:rsidR="003303FF" w:rsidRPr="003D0027">
        <w:rPr>
          <w:rFonts w:asciiTheme="minorHAnsi" w:eastAsiaTheme="minorHAnsi" w:hAnsiTheme="minorHAnsi" w:cstheme="minorBidi"/>
          <w:snapToGrid/>
          <w:sz w:val="24"/>
          <w:szCs w:val="22"/>
        </w:rPr>
        <w:t>adde</w:t>
      </w:r>
      <w:r w:rsidR="00CA0D32" w:rsidRPr="003D0027">
        <w:rPr>
          <w:rFonts w:asciiTheme="minorHAnsi" w:eastAsiaTheme="minorHAnsi" w:hAnsiTheme="minorHAnsi" w:cstheme="minorBidi"/>
          <w:snapToGrid/>
          <w:sz w:val="24"/>
          <w:szCs w:val="22"/>
        </w:rPr>
        <w:t xml:space="preserve">d in italics and </w:t>
      </w:r>
      <w:r w:rsidR="003303FF" w:rsidRPr="003D0027">
        <w:rPr>
          <w:rFonts w:asciiTheme="minorHAnsi" w:eastAsiaTheme="minorHAnsi" w:hAnsiTheme="minorHAnsi" w:cstheme="minorBidi"/>
          <w:snapToGrid/>
          <w:sz w:val="24"/>
          <w:szCs w:val="22"/>
        </w:rPr>
        <w:t xml:space="preserve">suggested </w:t>
      </w:r>
      <w:r w:rsidR="00CA0D32" w:rsidRPr="003D0027">
        <w:rPr>
          <w:rFonts w:asciiTheme="minorHAnsi" w:eastAsiaTheme="minorHAnsi" w:hAnsiTheme="minorHAnsi" w:cstheme="minorBidi"/>
          <w:snapToGrid/>
          <w:sz w:val="24"/>
          <w:szCs w:val="22"/>
        </w:rPr>
        <w:t xml:space="preserve">deletions are </w:t>
      </w:r>
      <w:r w:rsidR="003303FF" w:rsidRPr="003D0027">
        <w:rPr>
          <w:rFonts w:asciiTheme="minorHAnsi" w:eastAsiaTheme="minorHAnsi" w:hAnsiTheme="minorHAnsi" w:cstheme="minorBidi"/>
          <w:snapToGrid/>
          <w:sz w:val="24"/>
          <w:szCs w:val="22"/>
        </w:rPr>
        <w:t>crosse</w:t>
      </w:r>
      <w:r w:rsidR="00CA0D32" w:rsidRPr="003D0027">
        <w:rPr>
          <w:rFonts w:asciiTheme="minorHAnsi" w:eastAsiaTheme="minorHAnsi" w:hAnsiTheme="minorHAnsi" w:cstheme="minorBidi"/>
          <w:snapToGrid/>
          <w:sz w:val="24"/>
          <w:szCs w:val="22"/>
        </w:rPr>
        <w:t>d</w:t>
      </w:r>
      <w:r w:rsidR="003303FF" w:rsidRPr="003D0027">
        <w:rPr>
          <w:rFonts w:asciiTheme="minorHAnsi" w:eastAsiaTheme="minorHAnsi" w:hAnsiTheme="minorHAnsi" w:cstheme="minorBidi"/>
          <w:snapToGrid/>
          <w:sz w:val="24"/>
          <w:szCs w:val="22"/>
        </w:rPr>
        <w:t xml:space="preserve"> out</w:t>
      </w:r>
      <w:r w:rsidR="00CA0D32" w:rsidRPr="003D0027">
        <w:rPr>
          <w:rFonts w:asciiTheme="minorHAnsi" w:eastAsiaTheme="minorHAnsi" w:hAnsiTheme="minorHAnsi" w:cstheme="minorBidi"/>
          <w:snapToGrid/>
          <w:sz w:val="24"/>
          <w:szCs w:val="22"/>
        </w:rPr>
        <w:t xml:space="preserve"> in strikethrough</w:t>
      </w:r>
      <w:r w:rsidR="00CA0D32" w:rsidRPr="003D0027">
        <w:rPr>
          <w:rFonts w:asciiTheme="minorHAnsi" w:eastAsiaTheme="minorHAnsi" w:hAnsiTheme="minorHAnsi" w:cstheme="minorBidi"/>
          <w:i/>
          <w:snapToGrid/>
          <w:sz w:val="24"/>
          <w:szCs w:val="22"/>
        </w:rPr>
        <w:t xml:space="preserve">. </w:t>
      </w:r>
    </w:p>
    <w:p w:rsidR="002F0C72" w:rsidRDefault="002F0C72">
      <w:pPr>
        <w:rPr>
          <w:rFonts w:asciiTheme="minorHAnsi" w:eastAsiaTheme="minorHAnsi" w:hAnsiTheme="minorHAnsi" w:cstheme="minorBidi"/>
          <w:i/>
          <w:szCs w:val="22"/>
          <w:lang w:eastAsia="en-US"/>
        </w:rPr>
      </w:pPr>
      <w:r>
        <w:rPr>
          <w:rFonts w:asciiTheme="minorHAnsi" w:eastAsiaTheme="minorHAnsi" w:hAnsiTheme="minorHAnsi" w:cstheme="minorBidi"/>
          <w:i/>
          <w:szCs w:val="22"/>
        </w:rPr>
        <w:br w:type="page"/>
      </w:r>
    </w:p>
    <w:p w:rsidR="00030D53" w:rsidRPr="003D0027" w:rsidRDefault="00030D53" w:rsidP="00030D53">
      <w:pPr>
        <w:pStyle w:val="ListParagraph"/>
        <w:widowControl/>
        <w:spacing w:after="120"/>
        <w:ind w:left="709"/>
        <w:contextualSpacing w:val="0"/>
        <w:rPr>
          <w:rFonts w:asciiTheme="minorHAnsi" w:eastAsiaTheme="minorHAnsi" w:hAnsiTheme="minorHAnsi" w:cstheme="minorBidi"/>
          <w:i/>
          <w:snapToGrid/>
          <w:sz w:val="24"/>
          <w:szCs w:val="22"/>
        </w:rPr>
      </w:pPr>
    </w:p>
    <w:tbl>
      <w:tblPr>
        <w:tblW w:w="4836" w:type="pct"/>
        <w:tblInd w:w="250" w:type="dxa"/>
        <w:tblLook w:val="0000" w:firstRow="0" w:lastRow="0" w:firstColumn="0" w:lastColumn="0" w:noHBand="0" w:noVBand="0"/>
      </w:tblPr>
      <w:tblGrid>
        <w:gridCol w:w="1622"/>
        <w:gridCol w:w="1296"/>
        <w:gridCol w:w="1014"/>
        <w:gridCol w:w="762"/>
        <w:gridCol w:w="1604"/>
        <w:gridCol w:w="1461"/>
        <w:gridCol w:w="1180"/>
      </w:tblGrid>
      <w:tr w:rsidR="00CA0D32" w:rsidRPr="003D0027" w:rsidTr="0003136D">
        <w:trPr>
          <w:cantSplit/>
          <w:trHeight w:val="471"/>
        </w:trPr>
        <w:tc>
          <w:tcPr>
            <w:tcW w:w="1633" w:type="pct"/>
            <w:gridSpan w:val="2"/>
            <w:tcBorders>
              <w:bottom w:val="single" w:sz="4" w:space="0" w:color="auto"/>
            </w:tcBorders>
          </w:tcPr>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Name, Restriction,</w:t>
            </w: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Manner of administration and form</w:t>
            </w:r>
          </w:p>
        </w:tc>
        <w:tc>
          <w:tcPr>
            <w:tcW w:w="567" w:type="pct"/>
            <w:tcBorders>
              <w:bottom w:val="single" w:sz="4" w:space="0" w:color="auto"/>
            </w:tcBorders>
          </w:tcPr>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Max.</w:t>
            </w: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Qty</w:t>
            </w:r>
          </w:p>
        </w:tc>
        <w:tc>
          <w:tcPr>
            <w:tcW w:w="426" w:type="pct"/>
            <w:tcBorders>
              <w:bottom w:val="single" w:sz="4" w:space="0" w:color="auto"/>
            </w:tcBorders>
          </w:tcPr>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№.of</w:t>
            </w: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Rpts</w:t>
            </w:r>
          </w:p>
        </w:tc>
        <w:tc>
          <w:tcPr>
            <w:tcW w:w="897" w:type="pct"/>
            <w:tcBorders>
              <w:bottom w:val="single" w:sz="4" w:space="0" w:color="auto"/>
            </w:tcBorders>
          </w:tcPr>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Dispensed Price for Max. Qty</w:t>
            </w:r>
          </w:p>
        </w:tc>
        <w:tc>
          <w:tcPr>
            <w:tcW w:w="1477" w:type="pct"/>
            <w:gridSpan w:val="2"/>
            <w:tcBorders>
              <w:bottom w:val="single" w:sz="4" w:space="0" w:color="auto"/>
            </w:tcBorders>
          </w:tcPr>
          <w:p w:rsidR="00CA0D32" w:rsidRPr="003D0027" w:rsidRDefault="00CA0D32" w:rsidP="0003136D">
            <w:pPr>
              <w:keepNext/>
              <w:spacing w:line="259" w:lineRule="auto"/>
              <w:rPr>
                <w:rFonts w:ascii="Arial Narrow" w:hAnsi="Arial Narrow" w:cstheme="minorHAnsi"/>
                <w:b/>
                <w:sz w:val="18"/>
                <w:szCs w:val="18"/>
              </w:rPr>
            </w:pPr>
            <w:r w:rsidRPr="003D0027">
              <w:rPr>
                <w:rFonts w:ascii="Arial Narrow" w:hAnsi="Arial Narrow" w:cstheme="minorHAnsi"/>
                <w:b/>
                <w:sz w:val="18"/>
                <w:szCs w:val="18"/>
              </w:rPr>
              <w:t>Proprietary Name and Manufacturer</w:t>
            </w:r>
          </w:p>
        </w:tc>
      </w:tr>
      <w:tr w:rsidR="00CA0D32" w:rsidRPr="003D0027" w:rsidTr="0003136D">
        <w:trPr>
          <w:cantSplit/>
          <w:trHeight w:val="520"/>
        </w:trPr>
        <w:tc>
          <w:tcPr>
            <w:tcW w:w="1633" w:type="pct"/>
            <w:gridSpan w:val="2"/>
          </w:tcPr>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mallCaps/>
                <w:sz w:val="18"/>
                <w:szCs w:val="18"/>
              </w:rPr>
              <w:t xml:space="preserve">LANREOTIDE </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Injection, 120 mg/0.5 ml  syringe</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Injection, 90 mg/0.5 ml  syringe</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Injection, 60 mg/0.5 ml  syringe</w:t>
            </w:r>
          </w:p>
        </w:tc>
        <w:tc>
          <w:tcPr>
            <w:tcW w:w="567" w:type="pct"/>
          </w:tcPr>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2</w:t>
            </w:r>
          </w:p>
        </w:tc>
        <w:tc>
          <w:tcPr>
            <w:tcW w:w="426" w:type="pct"/>
          </w:tcPr>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5</w:t>
            </w:r>
          </w:p>
        </w:tc>
        <w:tc>
          <w:tcPr>
            <w:tcW w:w="897" w:type="pct"/>
          </w:tcPr>
          <w:p w:rsidR="00CA0D32" w:rsidRPr="003D0027" w:rsidRDefault="00CA0D32" w:rsidP="0003136D">
            <w:pPr>
              <w:keepNext/>
              <w:spacing w:line="259" w:lineRule="auto"/>
              <w:ind w:left="-108"/>
              <w:rPr>
                <w:rFonts w:ascii="Arial Narrow" w:hAnsi="Arial Narrow" w:cstheme="minorHAnsi"/>
                <w:sz w:val="18"/>
                <w:szCs w:val="18"/>
                <w:u w:val="single"/>
              </w:rPr>
            </w:pPr>
            <w:r w:rsidRPr="003D0027">
              <w:rPr>
                <w:rFonts w:ascii="Arial Narrow" w:hAnsi="Arial Narrow" w:cstheme="minorHAnsi"/>
                <w:sz w:val="18"/>
                <w:szCs w:val="18"/>
                <w:u w:val="single"/>
              </w:rPr>
              <w:t>List price</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w:t>
            </w:r>
            <w:r w:rsidRPr="00AD6DCA">
              <w:rPr>
                <w:rFonts w:ascii="Arial Narrow" w:hAnsi="Arial Narrow" w:cstheme="minorHAnsi"/>
                <w:sz w:val="18"/>
                <w:szCs w:val="18"/>
              </w:rPr>
              <w:t>4,302.93</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w:t>
            </w:r>
            <w:r w:rsidRPr="00AD6DCA">
              <w:rPr>
                <w:rFonts w:ascii="Arial Narrow" w:hAnsi="Arial Narrow" w:cstheme="minorHAnsi"/>
                <w:sz w:val="18"/>
                <w:szCs w:val="18"/>
              </w:rPr>
              <w:t>3,448.15</w:t>
            </w:r>
            <w:r w:rsidRPr="003D0027">
              <w:rPr>
                <w:rFonts w:ascii="Arial Narrow" w:hAnsi="Arial Narrow" w:cstheme="minorHAnsi"/>
                <w:sz w:val="18"/>
                <w:szCs w:val="18"/>
              </w:rPr>
              <w:t xml:space="preserve"> </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w:t>
            </w:r>
            <w:r w:rsidRPr="00B84D30">
              <w:rPr>
                <w:rFonts w:ascii="Arial Narrow" w:hAnsi="Arial Narrow" w:cstheme="minorHAnsi"/>
                <w:sz w:val="18"/>
                <w:szCs w:val="18"/>
              </w:rPr>
              <w:t>2,602.65</w:t>
            </w:r>
            <w:r w:rsidRPr="003D0027">
              <w:rPr>
                <w:rFonts w:ascii="Arial Narrow" w:hAnsi="Arial Narrow" w:cstheme="minorHAnsi"/>
                <w:sz w:val="18"/>
                <w:szCs w:val="18"/>
              </w:rPr>
              <w:t xml:space="preserve"> </w:t>
            </w:r>
          </w:p>
        </w:tc>
        <w:tc>
          <w:tcPr>
            <w:tcW w:w="817" w:type="pct"/>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Somatuline® Autogel®</w:t>
            </w:r>
          </w:p>
        </w:tc>
        <w:tc>
          <w:tcPr>
            <w:tcW w:w="660" w:type="pct"/>
          </w:tcPr>
          <w:p w:rsidR="00CA0D32" w:rsidRPr="003D0027" w:rsidRDefault="00CA0D32" w:rsidP="0003136D">
            <w:pPr>
              <w:keepNext/>
              <w:spacing w:line="259" w:lineRule="auto"/>
              <w:rPr>
                <w:rFonts w:ascii="Arial Narrow" w:hAnsi="Arial Narrow" w:cstheme="minorHAnsi"/>
                <w:sz w:val="18"/>
                <w:szCs w:val="18"/>
              </w:rPr>
            </w:pPr>
            <w:r w:rsidRPr="003D0027">
              <w:rPr>
                <w:rFonts w:ascii="Arial Narrow" w:hAnsi="Arial Narrow" w:cstheme="minorHAnsi"/>
                <w:sz w:val="18"/>
                <w:szCs w:val="18"/>
              </w:rPr>
              <w:t>Ipsen Pty Ltd</w:t>
            </w:r>
          </w:p>
        </w:tc>
      </w:tr>
      <w:tr w:rsidR="00CA0D32" w:rsidRPr="003D0027" w:rsidTr="0003136D">
        <w:trPr>
          <w:cantSplit/>
          <w:trHeight w:val="683"/>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 xml:space="preserve">Category / </w:t>
            </w:r>
          </w:p>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Program</w:t>
            </w: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Section 100 – Highly Specialised Drugs Program (Community Access)</w:t>
            </w:r>
          </w:p>
          <w:p w:rsidR="00CA0D32" w:rsidRPr="003D0027" w:rsidRDefault="00CA0D32" w:rsidP="0003136D">
            <w:pPr>
              <w:spacing w:line="259" w:lineRule="auto"/>
              <w:rPr>
                <w:rFonts w:ascii="Arial Narrow" w:hAnsi="Arial Narrow" w:cstheme="minorHAnsi"/>
                <w:sz w:val="18"/>
                <w:szCs w:val="18"/>
              </w:rPr>
            </w:pPr>
          </w:p>
        </w:tc>
      </w:tr>
      <w:tr w:rsidR="00CA0D32" w:rsidRPr="003D0027" w:rsidTr="0003136D">
        <w:trPr>
          <w:cantSplit/>
          <w:trHeight w:val="360"/>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Prescriber type:</w:t>
            </w: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1"/>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 xml:space="preserve">Dental  </w:t>
            </w:r>
            <w:r w:rsidRPr="003D0027">
              <w:rPr>
                <w:rFonts w:ascii="Arial Narrow" w:hAnsi="Arial Narrow" w:cstheme="minorHAnsi"/>
                <w:sz w:val="18"/>
                <w:szCs w:val="18"/>
              </w:rPr>
              <w:fldChar w:fldCharType="begin">
                <w:ffData>
                  <w:name w:val=""/>
                  <w:enabled/>
                  <w:calcOnExit w:val="0"/>
                  <w:checkBox>
                    <w:sizeAuto/>
                    <w:default w:val="1"/>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 xml:space="preserve">Medical Practitioners  </w:t>
            </w:r>
            <w:r w:rsidRPr="003D0027">
              <w:rPr>
                <w:rFonts w:ascii="Arial Narrow" w:hAnsi="Arial Narrow" w:cstheme="minorHAnsi"/>
                <w:sz w:val="18"/>
                <w:szCs w:val="18"/>
              </w:rPr>
              <w:fldChar w:fldCharType="begin">
                <w:ffData>
                  <w:name w:val="Check3"/>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 xml:space="preserve">Nurse practitioners  </w:t>
            </w:r>
            <w:r w:rsidRPr="003D0027">
              <w:rPr>
                <w:rFonts w:ascii="Arial Narrow" w:hAnsi="Arial Narrow" w:cstheme="minorHAnsi"/>
                <w:sz w:val="18"/>
                <w:szCs w:val="18"/>
              </w:rPr>
              <w:fldChar w:fldCharType="begin">
                <w:ffData>
                  <w:name w:val=""/>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Optometrists</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5"/>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Midwives</w:t>
            </w:r>
          </w:p>
        </w:tc>
      </w:tr>
      <w:tr w:rsidR="00CA0D32" w:rsidRPr="003D0027" w:rsidTr="0003136D">
        <w:trPr>
          <w:cantSplit/>
          <w:trHeight w:val="360"/>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i/>
                <w:sz w:val="18"/>
                <w:szCs w:val="18"/>
              </w:rPr>
            </w:pPr>
            <w:r w:rsidRPr="003D0027">
              <w:rPr>
                <w:rFonts w:ascii="Arial Narrow" w:hAnsi="Arial Narrow" w:cstheme="minorHAnsi"/>
                <w:b/>
                <w:sz w:val="18"/>
                <w:szCs w:val="18"/>
              </w:rPr>
              <w:t>PBS Indication:</w:t>
            </w: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trike/>
                <w:sz w:val="18"/>
                <w:szCs w:val="18"/>
              </w:rPr>
            </w:pPr>
            <w:r w:rsidRPr="003D0027">
              <w:rPr>
                <w:rFonts w:ascii="Arial Narrow" w:hAnsi="Arial Narrow" w:cstheme="minorHAnsi"/>
                <w:sz w:val="18"/>
                <w:szCs w:val="18"/>
              </w:rPr>
              <w:t>Acromegaly</w:t>
            </w:r>
          </w:p>
        </w:tc>
      </w:tr>
      <w:tr w:rsidR="00CA0D32" w:rsidRPr="003D0027" w:rsidTr="0003136D">
        <w:trPr>
          <w:cantSplit/>
          <w:trHeight w:val="360"/>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Restriction Level / Method:</w:t>
            </w:r>
          </w:p>
          <w:p w:rsidR="00CA0D32" w:rsidRPr="003D0027" w:rsidRDefault="00CA0D32" w:rsidP="0003136D">
            <w:pPr>
              <w:spacing w:line="259" w:lineRule="auto"/>
              <w:rPr>
                <w:rFonts w:ascii="Arial Narrow" w:hAnsi="Arial Narrow" w:cstheme="minorHAnsi"/>
                <w:i/>
                <w:sz w:val="18"/>
                <w:szCs w:val="18"/>
              </w:rPr>
            </w:pP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1"/>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Restricted benefit</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Authority Required - In Writing</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3"/>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Authority Required - Telephone</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Authority Required - Emergency</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5"/>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Authority Required - Electronic</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5"/>
                  <w:enabled/>
                  <w:calcOnExit w:val="0"/>
                  <w:checkBox>
                    <w:sizeAuto/>
                    <w:default w:val="1"/>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Streamlined</w:t>
            </w:r>
          </w:p>
        </w:tc>
      </w:tr>
      <w:tr w:rsidR="00CA0D32" w:rsidRPr="003D0027" w:rsidTr="0003136D">
        <w:trPr>
          <w:cantSplit/>
          <w:trHeight w:val="360"/>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i/>
                <w:sz w:val="18"/>
                <w:szCs w:val="18"/>
              </w:rPr>
            </w:pPr>
            <w:r w:rsidRPr="003D0027">
              <w:rPr>
                <w:rFonts w:ascii="Arial Narrow" w:hAnsi="Arial Narrow" w:cstheme="minorHAnsi"/>
                <w:b/>
                <w:i/>
                <w:sz w:val="18"/>
                <w:szCs w:val="18"/>
              </w:rPr>
              <w:t>Treatment phase</w:t>
            </w: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i/>
                <w:sz w:val="18"/>
                <w:szCs w:val="18"/>
              </w:rPr>
            </w:pPr>
            <w:r w:rsidRPr="003D0027">
              <w:rPr>
                <w:rFonts w:ascii="Arial Narrow" w:hAnsi="Arial Narrow" w:cstheme="minorHAnsi"/>
                <w:i/>
                <w:sz w:val="18"/>
                <w:szCs w:val="18"/>
              </w:rPr>
              <w:t>Continuing treatment</w:t>
            </w:r>
          </w:p>
        </w:tc>
      </w:tr>
      <w:tr w:rsidR="00CA0D32" w:rsidRPr="003D0027" w:rsidTr="0003136D">
        <w:trPr>
          <w:cantSplit/>
          <w:trHeight w:val="360"/>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b/>
                <w:sz w:val="18"/>
                <w:szCs w:val="18"/>
              </w:rPr>
              <w:t>Treatment criteria:</w:t>
            </w: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In a patient treated with radiotherapy, lanreotide should be withdrawn every 2 years in the 10 years after radiotherapy for assessment of remission</w:t>
            </w:r>
          </w:p>
        </w:tc>
      </w:tr>
      <w:tr w:rsidR="00CA0D32" w:rsidRPr="003D0027" w:rsidTr="0003136D">
        <w:trPr>
          <w:cantSplit/>
          <w:trHeight w:val="360"/>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Clinical criteria:</w:t>
            </w:r>
          </w:p>
          <w:p w:rsidR="00CA0D32" w:rsidRPr="003D0027" w:rsidRDefault="00CA0D32" w:rsidP="0003136D">
            <w:pPr>
              <w:spacing w:line="259" w:lineRule="auto"/>
              <w:rPr>
                <w:rFonts w:ascii="Arial Narrow" w:hAnsi="Arial Narrow" w:cstheme="minorHAnsi"/>
                <w:i/>
                <w:sz w:val="18"/>
                <w:szCs w:val="18"/>
              </w:rPr>
            </w:pPr>
          </w:p>
          <w:p w:rsidR="00CA0D32" w:rsidRPr="003D0027" w:rsidRDefault="00CA0D32" w:rsidP="0003136D">
            <w:pPr>
              <w:spacing w:line="259" w:lineRule="auto"/>
              <w:rPr>
                <w:rFonts w:ascii="Arial Narrow" w:hAnsi="Arial Narrow" w:cstheme="minorHAnsi"/>
                <w:sz w:val="18"/>
                <w:szCs w:val="18"/>
              </w:rPr>
            </w:pP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C0018B">
            <w:pPr>
              <w:spacing w:after="160" w:line="259" w:lineRule="auto"/>
              <w:contextualSpacing/>
              <w:rPr>
                <w:rFonts w:ascii="Arial Narrow" w:hAnsi="Arial Narrow" w:cstheme="minorHAnsi"/>
                <w:i/>
                <w:sz w:val="18"/>
                <w:szCs w:val="18"/>
              </w:rPr>
            </w:pPr>
            <w:r w:rsidRPr="003D0027">
              <w:rPr>
                <w:rFonts w:ascii="Arial Narrow" w:hAnsi="Arial Narrow" w:cstheme="minorHAnsi"/>
                <w:sz w:val="18"/>
                <w:szCs w:val="18"/>
              </w:rPr>
              <w:t xml:space="preserve">Patient must have previously been issued with authority prescription for this drug for this condition, </w:t>
            </w:r>
            <w:r w:rsidR="008760BA" w:rsidRPr="003D0027">
              <w:rPr>
                <w:rFonts w:ascii="Arial Narrow" w:hAnsi="Arial Narrow" w:cstheme="minorHAnsi"/>
                <w:i/>
                <w:sz w:val="18"/>
                <w:szCs w:val="18"/>
              </w:rPr>
              <w:t>through a Section 100 Highly Specialised Drugs Program- (</w:t>
            </w:r>
            <w:r w:rsidRPr="003D0027">
              <w:rPr>
                <w:rFonts w:ascii="Arial Narrow" w:hAnsi="Arial Narrow" w:cstheme="minorHAnsi"/>
                <w:i/>
                <w:sz w:val="18"/>
                <w:szCs w:val="18"/>
              </w:rPr>
              <w:t xml:space="preserve">Public </w:t>
            </w:r>
            <w:r w:rsidR="00EB2DB3" w:rsidRPr="003D0027">
              <w:rPr>
                <w:rFonts w:ascii="Arial Narrow" w:hAnsi="Arial Narrow" w:cstheme="minorHAnsi"/>
                <w:i/>
                <w:sz w:val="18"/>
                <w:szCs w:val="18"/>
              </w:rPr>
              <w:t>or Private Hospital</w:t>
            </w:r>
            <w:r w:rsidR="008760BA" w:rsidRPr="003D0027">
              <w:rPr>
                <w:rFonts w:ascii="Arial Narrow" w:hAnsi="Arial Narrow" w:cstheme="minorHAnsi"/>
                <w:i/>
                <w:sz w:val="18"/>
                <w:szCs w:val="18"/>
              </w:rPr>
              <w:t>s)</w:t>
            </w:r>
            <w:r w:rsidRPr="003D0027">
              <w:rPr>
                <w:rFonts w:ascii="Arial Narrow" w:hAnsi="Arial Narrow" w:cstheme="minorHAnsi"/>
                <w:i/>
                <w:sz w:val="18"/>
                <w:szCs w:val="18"/>
              </w:rPr>
              <w:t>.</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The condition must be active</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Patient must have persistent elevation of mean growth hormone levels of greater than 2.5 micrograms per litre,</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The treatment must be after failure of other therapy including dopamine agonists; OR</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The treatment must be as interim treatment while awaiting the effects of radiotherapy and where treatment with dopamine agonists has failed; OR</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The treatment must be in a patient who is unfit for or unwilling to undergo surgery and where radiotherapy is contraindicated</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The treatment must cease in a patient treated with radiotherapy if there is biochemical evidence of remission (normal IGF1) after lanreotide has been withdrawn for at least 4 weeks (8 weeks after the last dose),</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The treatment must cease if IGF1 is not lower after 3 months of treatment.</w:t>
            </w:r>
          </w:p>
          <w:p w:rsidR="00CA0D32" w:rsidRPr="003D0027" w:rsidRDefault="00CA0D32" w:rsidP="00C0018B">
            <w:pPr>
              <w:spacing w:after="160" w:line="259" w:lineRule="auto"/>
              <w:contextualSpacing/>
              <w:rPr>
                <w:rFonts w:ascii="Arial Narrow" w:hAnsi="Arial Narrow" w:cstheme="minorHAnsi"/>
                <w:i/>
                <w:sz w:val="18"/>
                <w:szCs w:val="18"/>
              </w:rPr>
            </w:pPr>
            <w:r w:rsidRPr="003D0027">
              <w:rPr>
                <w:rFonts w:ascii="Arial Narrow" w:hAnsi="Arial Narrow" w:cstheme="minorHAnsi"/>
                <w:i/>
                <w:sz w:val="18"/>
                <w:szCs w:val="18"/>
              </w:rPr>
              <w:t>The treatment must not be given concomitantly with PBS- subsidised pegvisomant.</w:t>
            </w:r>
          </w:p>
        </w:tc>
      </w:tr>
      <w:tr w:rsidR="00CA0D32" w:rsidRPr="003D0027" w:rsidTr="0003136D">
        <w:trPr>
          <w:cantSplit/>
          <w:trHeight w:val="360"/>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b/>
                <w:sz w:val="18"/>
                <w:szCs w:val="18"/>
              </w:rPr>
              <w:t>Population criteria:</w:t>
            </w: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trike/>
                <w:sz w:val="18"/>
                <w:szCs w:val="18"/>
              </w:rPr>
            </w:pPr>
            <w:r w:rsidRPr="003D0027">
              <w:rPr>
                <w:rFonts w:ascii="Arial Narrow" w:hAnsi="Arial Narrow" w:cstheme="minorHAnsi"/>
                <w:strike/>
                <w:sz w:val="18"/>
                <w:szCs w:val="18"/>
              </w:rPr>
              <w:t>Patient must be aged 18 years or older</w:t>
            </w:r>
          </w:p>
        </w:tc>
      </w:tr>
      <w:tr w:rsidR="00CA0D32" w:rsidRPr="003D0027" w:rsidTr="0003136D">
        <w:trPr>
          <w:cantSplit/>
          <w:trHeight w:val="360"/>
        </w:trPr>
        <w:tc>
          <w:tcPr>
            <w:tcW w:w="908"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i/>
                <w:sz w:val="18"/>
                <w:szCs w:val="18"/>
              </w:rPr>
            </w:pPr>
            <w:r w:rsidRPr="003D0027">
              <w:rPr>
                <w:rFonts w:ascii="Arial Narrow" w:hAnsi="Arial Narrow" w:cstheme="minorHAnsi"/>
                <w:b/>
                <w:i/>
                <w:sz w:val="18"/>
                <w:szCs w:val="18"/>
              </w:rPr>
              <w:t>Administrative Advice</w:t>
            </w:r>
          </w:p>
        </w:tc>
        <w:tc>
          <w:tcPr>
            <w:tcW w:w="4092"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i/>
                <w:sz w:val="18"/>
                <w:szCs w:val="18"/>
              </w:rPr>
            </w:pPr>
            <w:r w:rsidRPr="003D0027">
              <w:rPr>
                <w:rFonts w:ascii="Arial Narrow" w:hAnsi="Arial Narrow" w:cstheme="minorHAnsi"/>
                <w:i/>
                <w:sz w:val="18"/>
                <w:szCs w:val="18"/>
              </w:rPr>
              <w:t xml:space="preserve">No increase in maximum quantity or number of repeats may be authorised. </w:t>
            </w:r>
          </w:p>
        </w:tc>
      </w:tr>
    </w:tbl>
    <w:p w:rsidR="002F0C72" w:rsidRDefault="002F0C72">
      <w:r>
        <w:br w:type="page"/>
      </w:r>
    </w:p>
    <w:tbl>
      <w:tblPr>
        <w:tblW w:w="4836" w:type="pct"/>
        <w:tblInd w:w="250" w:type="dxa"/>
        <w:tblLook w:val="0000" w:firstRow="0" w:lastRow="0" w:firstColumn="0" w:lastColumn="0" w:noHBand="0" w:noVBand="0"/>
      </w:tblPr>
      <w:tblGrid>
        <w:gridCol w:w="1700"/>
        <w:gridCol w:w="1373"/>
        <w:gridCol w:w="560"/>
        <w:gridCol w:w="838"/>
        <w:gridCol w:w="1675"/>
        <w:gridCol w:w="1536"/>
        <w:gridCol w:w="1257"/>
      </w:tblGrid>
      <w:tr w:rsidR="00CA0D32" w:rsidRPr="003D0027" w:rsidTr="00043AD1">
        <w:trPr>
          <w:cantSplit/>
          <w:trHeight w:val="471"/>
        </w:trPr>
        <w:tc>
          <w:tcPr>
            <w:tcW w:w="1719" w:type="pct"/>
            <w:gridSpan w:val="2"/>
            <w:tcBorders>
              <w:bottom w:val="single" w:sz="4" w:space="0" w:color="auto"/>
            </w:tcBorders>
          </w:tcPr>
          <w:p w:rsidR="00CA0D32" w:rsidRPr="003D0027" w:rsidRDefault="00CA0D32" w:rsidP="0003136D">
            <w:pPr>
              <w:keepNext/>
              <w:spacing w:line="259" w:lineRule="auto"/>
              <w:ind w:left="-108"/>
              <w:rPr>
                <w:rFonts w:ascii="Arial Narrow" w:hAnsi="Arial Narrow" w:cstheme="minorHAnsi"/>
                <w:b/>
                <w:sz w:val="18"/>
                <w:szCs w:val="18"/>
              </w:rPr>
            </w:pP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Name, Restriction,</w:t>
            </w: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Manner of administration and form</w:t>
            </w:r>
          </w:p>
        </w:tc>
        <w:tc>
          <w:tcPr>
            <w:tcW w:w="313" w:type="pct"/>
            <w:tcBorders>
              <w:bottom w:val="single" w:sz="4" w:space="0" w:color="auto"/>
            </w:tcBorders>
          </w:tcPr>
          <w:p w:rsidR="00CA0D32" w:rsidRPr="003D0027" w:rsidRDefault="00CA0D32" w:rsidP="0003136D">
            <w:pPr>
              <w:keepNext/>
              <w:spacing w:line="259" w:lineRule="auto"/>
              <w:ind w:left="-108"/>
              <w:rPr>
                <w:rFonts w:ascii="Arial Narrow" w:hAnsi="Arial Narrow" w:cstheme="minorHAnsi"/>
                <w:b/>
                <w:sz w:val="18"/>
                <w:szCs w:val="18"/>
              </w:rPr>
            </w:pP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Max.</w:t>
            </w: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Qty</w:t>
            </w:r>
          </w:p>
        </w:tc>
        <w:tc>
          <w:tcPr>
            <w:tcW w:w="469" w:type="pct"/>
            <w:tcBorders>
              <w:bottom w:val="single" w:sz="4" w:space="0" w:color="auto"/>
            </w:tcBorders>
          </w:tcPr>
          <w:p w:rsidR="00CA0D32" w:rsidRPr="003D0027" w:rsidRDefault="00CA0D32" w:rsidP="0003136D">
            <w:pPr>
              <w:keepNext/>
              <w:spacing w:line="259" w:lineRule="auto"/>
              <w:ind w:left="-108"/>
              <w:rPr>
                <w:rFonts w:ascii="Arial Narrow" w:hAnsi="Arial Narrow" w:cstheme="minorHAnsi"/>
                <w:b/>
                <w:sz w:val="18"/>
                <w:szCs w:val="18"/>
              </w:rPr>
            </w:pP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№.of</w:t>
            </w: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Rpts</w:t>
            </w:r>
          </w:p>
        </w:tc>
        <w:tc>
          <w:tcPr>
            <w:tcW w:w="937" w:type="pct"/>
            <w:tcBorders>
              <w:bottom w:val="single" w:sz="4" w:space="0" w:color="auto"/>
            </w:tcBorders>
          </w:tcPr>
          <w:p w:rsidR="00CA0D32" w:rsidRPr="003D0027" w:rsidRDefault="00CA0D32" w:rsidP="0003136D">
            <w:pPr>
              <w:keepNext/>
              <w:spacing w:line="259" w:lineRule="auto"/>
              <w:ind w:left="-108"/>
              <w:rPr>
                <w:rFonts w:ascii="Arial Narrow" w:hAnsi="Arial Narrow" w:cstheme="minorHAnsi"/>
                <w:b/>
                <w:sz w:val="18"/>
                <w:szCs w:val="18"/>
              </w:rPr>
            </w:pPr>
          </w:p>
          <w:p w:rsidR="00CA0D32" w:rsidRPr="003D0027" w:rsidRDefault="00CA0D32" w:rsidP="0003136D">
            <w:pPr>
              <w:keepNext/>
              <w:spacing w:line="259" w:lineRule="auto"/>
              <w:ind w:left="-108"/>
              <w:rPr>
                <w:rFonts w:ascii="Arial Narrow" w:hAnsi="Arial Narrow" w:cstheme="minorHAnsi"/>
                <w:b/>
                <w:sz w:val="18"/>
                <w:szCs w:val="18"/>
              </w:rPr>
            </w:pPr>
            <w:r w:rsidRPr="003D0027">
              <w:rPr>
                <w:rFonts w:ascii="Arial Narrow" w:hAnsi="Arial Narrow" w:cstheme="minorHAnsi"/>
                <w:b/>
                <w:sz w:val="18"/>
                <w:szCs w:val="18"/>
              </w:rPr>
              <w:t>Dispensed Price for Max. Qty</w:t>
            </w:r>
          </w:p>
        </w:tc>
        <w:tc>
          <w:tcPr>
            <w:tcW w:w="1562" w:type="pct"/>
            <w:gridSpan w:val="2"/>
            <w:tcBorders>
              <w:bottom w:val="single" w:sz="4" w:space="0" w:color="auto"/>
            </w:tcBorders>
          </w:tcPr>
          <w:p w:rsidR="00CA0D32" w:rsidRPr="003D0027" w:rsidRDefault="00CA0D32" w:rsidP="0003136D">
            <w:pPr>
              <w:keepNext/>
              <w:spacing w:line="259" w:lineRule="auto"/>
              <w:rPr>
                <w:rFonts w:ascii="Arial Narrow" w:hAnsi="Arial Narrow" w:cstheme="minorHAnsi"/>
                <w:b/>
                <w:sz w:val="18"/>
                <w:szCs w:val="18"/>
              </w:rPr>
            </w:pPr>
          </w:p>
          <w:p w:rsidR="00CA0D32" w:rsidRPr="003D0027" w:rsidRDefault="00CA0D32" w:rsidP="0003136D">
            <w:pPr>
              <w:keepNext/>
              <w:spacing w:line="259" w:lineRule="auto"/>
              <w:rPr>
                <w:rFonts w:ascii="Arial Narrow" w:hAnsi="Arial Narrow" w:cstheme="minorHAnsi"/>
                <w:b/>
                <w:sz w:val="18"/>
                <w:szCs w:val="18"/>
              </w:rPr>
            </w:pPr>
            <w:r w:rsidRPr="003D0027">
              <w:rPr>
                <w:rFonts w:ascii="Arial Narrow" w:hAnsi="Arial Narrow" w:cstheme="minorHAnsi"/>
                <w:b/>
                <w:sz w:val="18"/>
                <w:szCs w:val="18"/>
              </w:rPr>
              <w:t>Proprietary Name and Manufacturer</w:t>
            </w:r>
          </w:p>
        </w:tc>
      </w:tr>
      <w:tr w:rsidR="00CA0D32" w:rsidRPr="003D0027" w:rsidTr="00043AD1">
        <w:trPr>
          <w:cantSplit/>
          <w:trHeight w:val="520"/>
        </w:trPr>
        <w:tc>
          <w:tcPr>
            <w:tcW w:w="1719" w:type="pct"/>
            <w:gridSpan w:val="2"/>
          </w:tcPr>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mallCaps/>
                <w:sz w:val="18"/>
                <w:szCs w:val="18"/>
              </w:rPr>
              <w:t>LANREOTIDE ACETATE</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Injection, 120 mg/0.5 ml  syringe</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Injection, 90 mg/0.5 ml  syringe</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Injection, 60 mg/0.5 ml  syringe</w:t>
            </w:r>
          </w:p>
        </w:tc>
        <w:tc>
          <w:tcPr>
            <w:tcW w:w="313" w:type="pct"/>
          </w:tcPr>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2</w:t>
            </w:r>
          </w:p>
        </w:tc>
        <w:tc>
          <w:tcPr>
            <w:tcW w:w="469" w:type="pct"/>
          </w:tcPr>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5</w:t>
            </w:r>
          </w:p>
        </w:tc>
        <w:tc>
          <w:tcPr>
            <w:tcW w:w="937" w:type="pct"/>
          </w:tcPr>
          <w:p w:rsidR="00CA0D32" w:rsidRPr="003D0027" w:rsidRDefault="00CA0D32" w:rsidP="0003136D">
            <w:pPr>
              <w:keepNext/>
              <w:spacing w:line="259" w:lineRule="auto"/>
              <w:ind w:left="-108"/>
              <w:rPr>
                <w:rFonts w:ascii="Arial Narrow" w:hAnsi="Arial Narrow" w:cstheme="minorHAnsi"/>
                <w:sz w:val="18"/>
                <w:szCs w:val="18"/>
                <w:u w:val="single"/>
              </w:rPr>
            </w:pPr>
            <w:r w:rsidRPr="003D0027">
              <w:rPr>
                <w:rFonts w:ascii="Arial Narrow" w:hAnsi="Arial Narrow" w:cstheme="minorHAnsi"/>
                <w:sz w:val="18"/>
                <w:szCs w:val="18"/>
                <w:u w:val="single"/>
              </w:rPr>
              <w:t>List price</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w:t>
            </w:r>
            <w:r w:rsidRPr="00AD6DCA">
              <w:rPr>
                <w:rFonts w:ascii="Arial Narrow" w:hAnsi="Arial Narrow" w:cstheme="minorHAnsi"/>
                <w:sz w:val="18"/>
                <w:szCs w:val="18"/>
              </w:rPr>
              <w:t>4,302.93</w:t>
            </w:r>
            <w:r w:rsidRPr="003D0027">
              <w:rPr>
                <w:rFonts w:ascii="Arial Narrow" w:hAnsi="Arial Narrow" w:cstheme="minorHAnsi"/>
                <w:sz w:val="18"/>
                <w:szCs w:val="18"/>
              </w:rPr>
              <w:t xml:space="preserve"> </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w:t>
            </w:r>
            <w:r w:rsidRPr="00AD6DCA">
              <w:rPr>
                <w:rFonts w:ascii="Arial Narrow" w:hAnsi="Arial Narrow" w:cstheme="minorHAnsi"/>
                <w:sz w:val="18"/>
                <w:szCs w:val="18"/>
              </w:rPr>
              <w:t>3,448.15</w:t>
            </w:r>
            <w:r w:rsidRPr="003D0027">
              <w:rPr>
                <w:rFonts w:ascii="Arial Narrow" w:hAnsi="Arial Narrow" w:cstheme="minorHAnsi"/>
                <w:sz w:val="18"/>
                <w:szCs w:val="18"/>
              </w:rPr>
              <w:t xml:space="preserve"> </w:t>
            </w:r>
          </w:p>
          <w:p w:rsidR="00CA0D32" w:rsidRPr="003D0027" w:rsidRDefault="00CA0D32" w:rsidP="0003136D">
            <w:pPr>
              <w:keepNext/>
              <w:spacing w:line="259" w:lineRule="auto"/>
              <w:ind w:left="-108"/>
              <w:rPr>
                <w:rFonts w:ascii="Arial Narrow" w:hAnsi="Arial Narrow" w:cstheme="minorHAnsi"/>
                <w:sz w:val="18"/>
                <w:szCs w:val="18"/>
              </w:rPr>
            </w:pPr>
            <w:r w:rsidRPr="003D0027">
              <w:rPr>
                <w:rFonts w:ascii="Arial Narrow" w:hAnsi="Arial Narrow" w:cstheme="minorHAnsi"/>
                <w:sz w:val="18"/>
                <w:szCs w:val="18"/>
              </w:rPr>
              <w:t>$</w:t>
            </w:r>
            <w:r w:rsidRPr="00AD6DCA">
              <w:rPr>
                <w:rFonts w:ascii="Arial Narrow" w:hAnsi="Arial Narrow" w:cstheme="minorHAnsi"/>
                <w:sz w:val="18"/>
                <w:szCs w:val="18"/>
              </w:rPr>
              <w:t xml:space="preserve">2,602.65 </w:t>
            </w:r>
          </w:p>
        </w:tc>
        <w:tc>
          <w:tcPr>
            <w:tcW w:w="859" w:type="pct"/>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Somatuline® Autogel®</w:t>
            </w:r>
          </w:p>
        </w:tc>
        <w:tc>
          <w:tcPr>
            <w:tcW w:w="703" w:type="pct"/>
          </w:tcPr>
          <w:p w:rsidR="00CA0D32" w:rsidRPr="003D0027" w:rsidRDefault="00CA0D32" w:rsidP="0003136D">
            <w:pPr>
              <w:keepNext/>
              <w:spacing w:line="259" w:lineRule="auto"/>
              <w:rPr>
                <w:rFonts w:ascii="Arial Narrow" w:hAnsi="Arial Narrow" w:cstheme="minorHAnsi"/>
                <w:sz w:val="18"/>
                <w:szCs w:val="18"/>
              </w:rPr>
            </w:pPr>
            <w:r w:rsidRPr="003D0027">
              <w:rPr>
                <w:rFonts w:ascii="Arial Narrow" w:hAnsi="Arial Narrow" w:cstheme="minorHAnsi"/>
                <w:sz w:val="18"/>
                <w:szCs w:val="18"/>
              </w:rPr>
              <w:t>Ipsen Pty Ltd</w:t>
            </w: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 xml:space="preserve">Category / </w:t>
            </w:r>
          </w:p>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Program</w:t>
            </w:r>
          </w:p>
        </w:tc>
        <w:tc>
          <w:tcPr>
            <w:tcW w:w="4049"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Section 100 – Highly Specialised Drugs Program (Community Access)</w:t>
            </w:r>
          </w:p>
          <w:p w:rsidR="00CA0D32" w:rsidRPr="003D0027" w:rsidRDefault="00CA0D32" w:rsidP="0003136D">
            <w:pPr>
              <w:spacing w:line="259" w:lineRule="auto"/>
              <w:rPr>
                <w:rFonts w:ascii="Arial Narrow" w:hAnsi="Arial Narrow" w:cstheme="minorHAnsi"/>
                <w:sz w:val="18"/>
                <w:szCs w:val="18"/>
              </w:rPr>
            </w:pP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Prescriber type:</w:t>
            </w:r>
          </w:p>
        </w:tc>
        <w:tc>
          <w:tcPr>
            <w:tcW w:w="4049"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1"/>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 xml:space="preserve">Dental  </w:t>
            </w:r>
            <w:r w:rsidRPr="003D0027">
              <w:rPr>
                <w:rFonts w:ascii="Arial Narrow" w:hAnsi="Arial Narrow" w:cstheme="minorHAnsi"/>
                <w:sz w:val="18"/>
                <w:szCs w:val="18"/>
              </w:rPr>
              <w:fldChar w:fldCharType="begin">
                <w:ffData>
                  <w:name w:val=""/>
                  <w:enabled/>
                  <w:calcOnExit w:val="0"/>
                  <w:checkBox>
                    <w:sizeAuto/>
                    <w:default w:val="1"/>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 xml:space="preserve">Medical Practitioners  </w:t>
            </w:r>
            <w:r w:rsidRPr="003D0027">
              <w:rPr>
                <w:rFonts w:ascii="Arial Narrow" w:hAnsi="Arial Narrow" w:cstheme="minorHAnsi"/>
                <w:sz w:val="18"/>
                <w:szCs w:val="18"/>
              </w:rPr>
              <w:fldChar w:fldCharType="begin">
                <w:ffData>
                  <w:name w:val="Check3"/>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 xml:space="preserve">Nurse practitioners  </w:t>
            </w:r>
            <w:r w:rsidRPr="003D0027">
              <w:rPr>
                <w:rFonts w:ascii="Arial Narrow" w:hAnsi="Arial Narrow" w:cstheme="minorHAnsi"/>
                <w:sz w:val="18"/>
                <w:szCs w:val="18"/>
              </w:rPr>
              <w:fldChar w:fldCharType="begin">
                <w:ffData>
                  <w:name w:val=""/>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Optometrists</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5"/>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Midwives</w:t>
            </w: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i/>
                <w:sz w:val="18"/>
                <w:szCs w:val="18"/>
              </w:rPr>
            </w:pPr>
            <w:r w:rsidRPr="003D0027">
              <w:rPr>
                <w:rFonts w:ascii="Arial Narrow" w:hAnsi="Arial Narrow" w:cstheme="minorHAnsi"/>
                <w:b/>
                <w:sz w:val="18"/>
                <w:szCs w:val="18"/>
              </w:rPr>
              <w:t>PBS Indication:</w:t>
            </w:r>
          </w:p>
        </w:tc>
        <w:tc>
          <w:tcPr>
            <w:tcW w:w="4049"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trike/>
                <w:sz w:val="18"/>
                <w:szCs w:val="18"/>
              </w:rPr>
            </w:pPr>
            <w:r w:rsidRPr="003D0027">
              <w:rPr>
                <w:rFonts w:ascii="Arial Narrow" w:hAnsi="Arial Narrow" w:cstheme="minorHAnsi"/>
                <w:sz w:val="18"/>
                <w:szCs w:val="18"/>
              </w:rPr>
              <w:t>Functional carcinoid tumour</w:t>
            </w: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Restriction Level / Method:</w:t>
            </w:r>
          </w:p>
          <w:p w:rsidR="00CA0D32" w:rsidRPr="003D0027" w:rsidRDefault="00CA0D32" w:rsidP="0003136D">
            <w:pPr>
              <w:spacing w:line="259" w:lineRule="auto"/>
              <w:rPr>
                <w:rFonts w:ascii="Arial Narrow" w:hAnsi="Arial Narrow" w:cstheme="minorHAnsi"/>
                <w:i/>
                <w:sz w:val="18"/>
                <w:szCs w:val="18"/>
              </w:rPr>
            </w:pPr>
          </w:p>
        </w:tc>
        <w:tc>
          <w:tcPr>
            <w:tcW w:w="4049"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1"/>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Restricted benefit</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Authority Required - In Writing</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3"/>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Authority Required - Telephone</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Authority Required - Emergency</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5"/>
                  <w:enabled/>
                  <w:calcOnExit w:val="0"/>
                  <w:checkBox>
                    <w:sizeAuto/>
                    <w:default w:val="0"/>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Authority Required - Electronic</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fldChar w:fldCharType="begin">
                <w:ffData>
                  <w:name w:val="Check5"/>
                  <w:enabled/>
                  <w:calcOnExit w:val="0"/>
                  <w:checkBox>
                    <w:sizeAuto/>
                    <w:default w:val="1"/>
                  </w:checkBox>
                </w:ffData>
              </w:fldChar>
            </w:r>
            <w:r w:rsidRPr="003D0027">
              <w:rPr>
                <w:rFonts w:ascii="Arial Narrow" w:hAnsi="Arial Narrow" w:cstheme="minorHAnsi"/>
                <w:sz w:val="18"/>
                <w:szCs w:val="18"/>
              </w:rPr>
              <w:instrText xml:space="preserve"> FORMCHECKBOX </w:instrText>
            </w:r>
            <w:r w:rsidR="008316D9">
              <w:rPr>
                <w:rFonts w:ascii="Arial Narrow" w:hAnsi="Arial Narrow" w:cstheme="minorHAnsi"/>
                <w:sz w:val="18"/>
                <w:szCs w:val="18"/>
              </w:rPr>
            </w:r>
            <w:r w:rsidR="008316D9">
              <w:rPr>
                <w:rFonts w:ascii="Arial Narrow" w:hAnsi="Arial Narrow" w:cstheme="minorHAnsi"/>
                <w:sz w:val="18"/>
                <w:szCs w:val="18"/>
              </w:rPr>
              <w:fldChar w:fldCharType="separate"/>
            </w:r>
            <w:r w:rsidRPr="003D0027">
              <w:rPr>
                <w:rFonts w:ascii="Arial Narrow" w:hAnsi="Arial Narrow" w:cstheme="minorHAnsi"/>
                <w:sz w:val="18"/>
                <w:szCs w:val="18"/>
              </w:rPr>
              <w:fldChar w:fldCharType="end"/>
            </w:r>
            <w:r w:rsidRPr="003D0027">
              <w:rPr>
                <w:rFonts w:ascii="Arial Narrow" w:hAnsi="Arial Narrow" w:cstheme="minorHAnsi"/>
                <w:sz w:val="18"/>
                <w:szCs w:val="18"/>
              </w:rPr>
              <w:t>Streamlined</w:t>
            </w: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i/>
                <w:sz w:val="18"/>
                <w:szCs w:val="18"/>
              </w:rPr>
            </w:pPr>
            <w:r w:rsidRPr="003D0027">
              <w:rPr>
                <w:rFonts w:ascii="Arial Narrow" w:hAnsi="Arial Narrow" w:cstheme="minorHAnsi"/>
                <w:b/>
                <w:i/>
                <w:sz w:val="18"/>
                <w:szCs w:val="18"/>
              </w:rPr>
              <w:t>Treatment phase</w:t>
            </w:r>
          </w:p>
        </w:tc>
        <w:tc>
          <w:tcPr>
            <w:tcW w:w="4049"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i/>
                <w:sz w:val="18"/>
                <w:szCs w:val="18"/>
              </w:rPr>
            </w:pPr>
            <w:r w:rsidRPr="003D0027">
              <w:rPr>
                <w:rFonts w:ascii="Arial Narrow" w:hAnsi="Arial Narrow" w:cstheme="minorHAnsi"/>
                <w:i/>
                <w:sz w:val="18"/>
                <w:szCs w:val="18"/>
              </w:rPr>
              <w:t>Continuing treatment</w:t>
            </w: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b/>
                <w:sz w:val="18"/>
                <w:szCs w:val="18"/>
              </w:rPr>
              <w:t>Treatment criteria:</w:t>
            </w:r>
          </w:p>
        </w:tc>
        <w:tc>
          <w:tcPr>
            <w:tcW w:w="4049"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Dosage and tolerance to the drug should be assessed regularly and the dosage should be titrated slowly downwards to determine the minimum effective dose.</w:t>
            </w: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sz w:val="18"/>
                <w:szCs w:val="18"/>
              </w:rPr>
            </w:pPr>
            <w:r w:rsidRPr="003D0027">
              <w:rPr>
                <w:rFonts w:ascii="Arial Narrow" w:hAnsi="Arial Narrow" w:cstheme="minorHAnsi"/>
                <w:b/>
                <w:sz w:val="18"/>
                <w:szCs w:val="18"/>
              </w:rPr>
              <w:t>Clinical criteria:</w:t>
            </w:r>
          </w:p>
          <w:p w:rsidR="00CA0D32" w:rsidRPr="003D0027" w:rsidRDefault="00CA0D32" w:rsidP="0003136D">
            <w:pPr>
              <w:spacing w:line="259" w:lineRule="auto"/>
              <w:rPr>
                <w:rFonts w:ascii="Arial Narrow" w:hAnsi="Arial Narrow" w:cstheme="minorHAnsi"/>
                <w:i/>
                <w:sz w:val="18"/>
                <w:szCs w:val="18"/>
              </w:rPr>
            </w:pPr>
          </w:p>
          <w:p w:rsidR="00CA0D32" w:rsidRPr="003D0027" w:rsidRDefault="00CA0D32" w:rsidP="0003136D">
            <w:pPr>
              <w:spacing w:line="259" w:lineRule="auto"/>
              <w:rPr>
                <w:rFonts w:ascii="Arial Narrow" w:hAnsi="Arial Narrow" w:cstheme="minorHAnsi"/>
                <w:sz w:val="18"/>
                <w:szCs w:val="18"/>
              </w:rPr>
            </w:pPr>
          </w:p>
        </w:tc>
        <w:tc>
          <w:tcPr>
            <w:tcW w:w="4049" w:type="pct"/>
            <w:gridSpan w:val="6"/>
            <w:tcBorders>
              <w:top w:val="single" w:sz="4" w:space="0" w:color="auto"/>
              <w:left w:val="single" w:sz="4" w:space="0" w:color="auto"/>
              <w:bottom w:val="single" w:sz="4" w:space="0" w:color="auto"/>
              <w:right w:val="single" w:sz="4" w:space="0" w:color="auto"/>
            </w:tcBorders>
          </w:tcPr>
          <w:p w:rsidR="008C5B21" w:rsidRPr="003D0027" w:rsidRDefault="008C5B21" w:rsidP="008C5B21">
            <w:pPr>
              <w:spacing w:after="160" w:line="259" w:lineRule="auto"/>
              <w:contextualSpacing/>
              <w:rPr>
                <w:rFonts w:ascii="Arial Narrow" w:hAnsi="Arial Narrow" w:cstheme="minorHAnsi"/>
                <w:i/>
                <w:sz w:val="18"/>
                <w:szCs w:val="18"/>
              </w:rPr>
            </w:pPr>
            <w:r w:rsidRPr="003D0027">
              <w:rPr>
                <w:rFonts w:ascii="Arial Narrow" w:hAnsi="Arial Narrow" w:cstheme="minorHAnsi"/>
                <w:sz w:val="18"/>
                <w:szCs w:val="18"/>
              </w:rPr>
              <w:t xml:space="preserve">Patient must have previously been issued with authority prescription for this drug for this condition, </w:t>
            </w:r>
            <w:r w:rsidRPr="003D0027">
              <w:rPr>
                <w:rFonts w:ascii="Arial Narrow" w:hAnsi="Arial Narrow" w:cstheme="minorHAnsi"/>
                <w:i/>
                <w:sz w:val="18"/>
                <w:szCs w:val="18"/>
              </w:rPr>
              <w:t>through a Section 100 Highly Specialised Drugs Program- (Public or Private Hospitals).</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The condition must be causing intractable symptoms,</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Patients must have experienced on average over 1 week, 3 or more episodes per day of diarrhoea and/or flushing, which persisted despite the use of anti-histamines, anti-serotonin agents and anti-diarrhoea agents</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Patient must be one in whom surgery or antineoplastic therapy has failed or is inappropriate</w:t>
            </w:r>
          </w:p>
          <w:p w:rsidR="00CA0D32" w:rsidRPr="003D0027" w:rsidRDefault="00CA0D32" w:rsidP="0003136D">
            <w:pPr>
              <w:spacing w:line="259" w:lineRule="auto"/>
              <w:rPr>
                <w:rFonts w:ascii="Arial Narrow" w:hAnsi="Arial Narrow" w:cstheme="minorHAnsi"/>
                <w:sz w:val="18"/>
                <w:szCs w:val="18"/>
              </w:rPr>
            </w:pPr>
            <w:r w:rsidRPr="003D0027">
              <w:rPr>
                <w:rFonts w:ascii="Arial Narrow" w:hAnsi="Arial Narrow" w:cstheme="minorHAnsi"/>
                <w:sz w:val="18"/>
                <w:szCs w:val="18"/>
              </w:rPr>
              <w:t>AND</w:t>
            </w:r>
          </w:p>
          <w:p w:rsidR="00CA0D32" w:rsidRPr="003D0027" w:rsidRDefault="00CA0D32" w:rsidP="00C0018B">
            <w:pPr>
              <w:spacing w:after="160" w:line="259" w:lineRule="auto"/>
              <w:contextualSpacing/>
              <w:rPr>
                <w:rFonts w:ascii="Arial Narrow" w:hAnsi="Arial Narrow" w:cstheme="minorHAnsi"/>
                <w:sz w:val="18"/>
                <w:szCs w:val="18"/>
              </w:rPr>
            </w:pPr>
            <w:r w:rsidRPr="003D0027">
              <w:rPr>
                <w:rFonts w:ascii="Arial Narrow" w:hAnsi="Arial Narrow" w:cstheme="minorHAnsi"/>
                <w:sz w:val="18"/>
                <w:szCs w:val="18"/>
              </w:rPr>
              <w:t>The treatment must cease if there is failure to produce a clinically significant reduction in the frequency and severity of symptoms after 3 months’ therapy at a dose of 120 mg every 28 days</w:t>
            </w: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trike/>
                <w:sz w:val="18"/>
                <w:szCs w:val="18"/>
              </w:rPr>
            </w:pPr>
            <w:r w:rsidRPr="003D0027">
              <w:rPr>
                <w:rFonts w:ascii="Arial Narrow" w:hAnsi="Arial Narrow" w:cstheme="minorHAnsi"/>
                <w:b/>
                <w:strike/>
                <w:sz w:val="18"/>
                <w:szCs w:val="18"/>
              </w:rPr>
              <w:t>Population criteria:</w:t>
            </w:r>
          </w:p>
        </w:tc>
        <w:tc>
          <w:tcPr>
            <w:tcW w:w="4049"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strike/>
                <w:sz w:val="18"/>
                <w:szCs w:val="18"/>
              </w:rPr>
            </w:pPr>
            <w:r w:rsidRPr="003D0027">
              <w:rPr>
                <w:rFonts w:ascii="Arial Narrow" w:hAnsi="Arial Narrow" w:cstheme="minorHAnsi"/>
                <w:strike/>
                <w:sz w:val="18"/>
                <w:szCs w:val="18"/>
              </w:rPr>
              <w:t>Patient must be aged 18 years or older</w:t>
            </w:r>
          </w:p>
        </w:tc>
      </w:tr>
      <w:tr w:rsidR="00CA0D32" w:rsidRPr="003D0027" w:rsidTr="0003136D">
        <w:trPr>
          <w:cantSplit/>
          <w:trHeight w:val="360"/>
        </w:trPr>
        <w:tc>
          <w:tcPr>
            <w:tcW w:w="951" w:type="pct"/>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b/>
                <w:i/>
                <w:sz w:val="18"/>
                <w:szCs w:val="18"/>
              </w:rPr>
            </w:pPr>
            <w:r w:rsidRPr="003D0027">
              <w:rPr>
                <w:rFonts w:ascii="Arial Narrow" w:hAnsi="Arial Narrow" w:cstheme="minorHAnsi"/>
                <w:b/>
                <w:i/>
                <w:sz w:val="18"/>
                <w:szCs w:val="18"/>
              </w:rPr>
              <w:t>Administrative Advice</w:t>
            </w:r>
          </w:p>
        </w:tc>
        <w:tc>
          <w:tcPr>
            <w:tcW w:w="4049" w:type="pct"/>
            <w:gridSpan w:val="6"/>
            <w:tcBorders>
              <w:top w:val="single" w:sz="4" w:space="0" w:color="auto"/>
              <w:left w:val="single" w:sz="4" w:space="0" w:color="auto"/>
              <w:bottom w:val="single" w:sz="4" w:space="0" w:color="auto"/>
              <w:right w:val="single" w:sz="4" w:space="0" w:color="auto"/>
            </w:tcBorders>
          </w:tcPr>
          <w:p w:rsidR="00CA0D32" w:rsidRPr="003D0027" w:rsidRDefault="00CA0D32" w:rsidP="0003136D">
            <w:pPr>
              <w:spacing w:line="259" w:lineRule="auto"/>
              <w:rPr>
                <w:rFonts w:ascii="Arial Narrow" w:hAnsi="Arial Narrow" w:cstheme="minorHAnsi"/>
                <w:i/>
                <w:sz w:val="18"/>
                <w:szCs w:val="18"/>
              </w:rPr>
            </w:pPr>
            <w:r w:rsidRPr="003D0027">
              <w:rPr>
                <w:rFonts w:ascii="Arial Narrow" w:hAnsi="Arial Narrow" w:cstheme="minorHAnsi"/>
                <w:i/>
                <w:sz w:val="18"/>
                <w:szCs w:val="18"/>
              </w:rPr>
              <w:t xml:space="preserve">No increase in maximum quantity or number of repeats may be authorised. </w:t>
            </w:r>
          </w:p>
        </w:tc>
      </w:tr>
    </w:tbl>
    <w:p w:rsidR="00336B43" w:rsidRPr="003D0027" w:rsidRDefault="00336B43" w:rsidP="008128A5">
      <w:pPr>
        <w:pStyle w:val="PBACHeading1"/>
        <w:numPr>
          <w:ilvl w:val="0"/>
          <w:numId w:val="0"/>
        </w:numPr>
        <w:spacing w:before="240" w:after="120"/>
        <w:ind w:left="709"/>
        <w:outlineLvl w:val="9"/>
        <w:rPr>
          <w:rFonts w:asciiTheme="minorHAnsi" w:hAnsiTheme="minorHAnsi"/>
          <w:b w:val="0"/>
          <w:i/>
          <w:sz w:val="24"/>
          <w:szCs w:val="24"/>
        </w:rPr>
      </w:pPr>
      <w:r w:rsidRPr="003D0027">
        <w:rPr>
          <w:rFonts w:asciiTheme="minorHAnsi" w:hAnsiTheme="minorHAnsi"/>
          <w:b w:val="0"/>
          <w:i/>
          <w:sz w:val="24"/>
          <w:szCs w:val="24"/>
        </w:rPr>
        <w:t xml:space="preserve">For more detail on PBAC’s view, see section </w:t>
      </w:r>
      <w:r w:rsidR="00685007">
        <w:rPr>
          <w:rFonts w:asciiTheme="minorHAnsi" w:hAnsiTheme="minorHAnsi"/>
          <w:b w:val="0"/>
          <w:i/>
          <w:sz w:val="24"/>
          <w:szCs w:val="24"/>
        </w:rPr>
        <w:t>6</w:t>
      </w:r>
      <w:r w:rsidRPr="003D0027">
        <w:rPr>
          <w:rFonts w:asciiTheme="minorHAnsi" w:hAnsiTheme="minorHAnsi"/>
          <w:b w:val="0"/>
          <w:i/>
          <w:sz w:val="24"/>
          <w:szCs w:val="24"/>
        </w:rPr>
        <w:t xml:space="preserve"> PBAC outcome</w:t>
      </w:r>
    </w:p>
    <w:p w:rsidR="00C603D4" w:rsidRPr="003D0027" w:rsidRDefault="00CE10C4" w:rsidP="005704D0">
      <w:pPr>
        <w:pStyle w:val="PBACHeading1"/>
        <w:spacing w:after="120"/>
        <w:ind w:left="709" w:hanging="709"/>
        <w:rPr>
          <w:rFonts w:asciiTheme="minorHAnsi" w:hAnsiTheme="minorHAnsi"/>
          <w:sz w:val="32"/>
          <w:szCs w:val="32"/>
        </w:rPr>
      </w:pPr>
      <w:r w:rsidRPr="003D0027">
        <w:rPr>
          <w:rFonts w:asciiTheme="minorHAnsi" w:hAnsiTheme="minorHAnsi"/>
          <w:sz w:val="32"/>
          <w:szCs w:val="32"/>
        </w:rPr>
        <w:t>Background</w:t>
      </w:r>
    </w:p>
    <w:p w:rsidR="008B2635" w:rsidRPr="003D0027" w:rsidRDefault="006A41BB" w:rsidP="005704D0">
      <w:pPr>
        <w:pStyle w:val="ListParagraph"/>
        <w:widowControl/>
        <w:numPr>
          <w:ilvl w:val="1"/>
          <w:numId w:val="14"/>
        </w:numPr>
        <w:spacing w:after="240"/>
        <w:ind w:left="709"/>
        <w:contextualSpacing w:val="0"/>
        <w:rPr>
          <w:rFonts w:asciiTheme="minorHAnsi" w:eastAsiaTheme="minorHAnsi" w:hAnsiTheme="minorHAnsi" w:cstheme="minorBidi"/>
          <w:snapToGrid/>
          <w:sz w:val="24"/>
          <w:szCs w:val="22"/>
        </w:rPr>
      </w:pPr>
      <w:r w:rsidRPr="003D0027">
        <w:rPr>
          <w:rFonts w:asciiTheme="minorHAnsi" w:eastAsiaTheme="minorHAnsi" w:hAnsiTheme="minorHAnsi" w:cstheme="minorBidi"/>
          <w:snapToGrid/>
          <w:sz w:val="24"/>
          <w:szCs w:val="22"/>
        </w:rPr>
        <w:t xml:space="preserve">Lanreotide </w:t>
      </w:r>
      <w:r w:rsidR="00476245" w:rsidRPr="003D0027">
        <w:rPr>
          <w:rFonts w:asciiTheme="minorHAnsi" w:eastAsiaTheme="minorHAnsi" w:hAnsiTheme="minorHAnsi" w:cstheme="minorBidi"/>
          <w:snapToGrid/>
          <w:sz w:val="24"/>
          <w:szCs w:val="22"/>
        </w:rPr>
        <w:t>is TGA registered for</w:t>
      </w:r>
      <w:r w:rsidRPr="003D0027">
        <w:rPr>
          <w:rFonts w:asciiTheme="minorHAnsi" w:eastAsiaTheme="minorHAnsi" w:hAnsiTheme="minorHAnsi" w:cstheme="minorBidi"/>
          <w:snapToGrid/>
          <w:sz w:val="24"/>
          <w:szCs w:val="22"/>
        </w:rPr>
        <w:t xml:space="preserve"> the treatment of</w:t>
      </w:r>
      <w:r w:rsidR="002D6E60" w:rsidRPr="003D0027">
        <w:rPr>
          <w:rFonts w:asciiTheme="minorHAnsi" w:eastAsiaTheme="minorHAnsi" w:hAnsiTheme="minorHAnsi" w:cstheme="minorBidi"/>
          <w:snapToGrid/>
          <w:sz w:val="24"/>
          <w:szCs w:val="22"/>
        </w:rPr>
        <w:t xml:space="preserve"> </w:t>
      </w:r>
      <w:r w:rsidRPr="003D0027">
        <w:rPr>
          <w:rFonts w:asciiTheme="minorHAnsi" w:eastAsiaTheme="minorHAnsi" w:hAnsiTheme="minorHAnsi" w:cstheme="minorBidi"/>
          <w:snapToGrid/>
          <w:sz w:val="24"/>
          <w:szCs w:val="22"/>
        </w:rPr>
        <w:t xml:space="preserve">acromegaly when the circulating levels of growth hormone and </w:t>
      </w:r>
      <w:r w:rsidR="000C6165" w:rsidRPr="003D0027">
        <w:rPr>
          <w:rFonts w:asciiTheme="minorHAnsi" w:eastAsiaTheme="minorHAnsi" w:hAnsiTheme="minorHAnsi" w:cstheme="minorBidi"/>
          <w:snapToGrid/>
          <w:sz w:val="24"/>
          <w:szCs w:val="22"/>
        </w:rPr>
        <w:t>insulin-like growth factor 1 (</w:t>
      </w:r>
      <w:r w:rsidRPr="003D0027">
        <w:rPr>
          <w:rFonts w:asciiTheme="minorHAnsi" w:eastAsiaTheme="minorHAnsi" w:hAnsiTheme="minorHAnsi" w:cstheme="minorBidi"/>
          <w:snapToGrid/>
          <w:sz w:val="24"/>
          <w:szCs w:val="22"/>
        </w:rPr>
        <w:t>IGF-1</w:t>
      </w:r>
      <w:r w:rsidR="000C6165" w:rsidRPr="003D0027">
        <w:rPr>
          <w:rFonts w:asciiTheme="minorHAnsi" w:eastAsiaTheme="minorHAnsi" w:hAnsiTheme="minorHAnsi" w:cstheme="minorBidi"/>
          <w:snapToGrid/>
          <w:sz w:val="24"/>
          <w:szCs w:val="22"/>
        </w:rPr>
        <w:t>)</w:t>
      </w:r>
      <w:r w:rsidRPr="003D0027">
        <w:rPr>
          <w:rFonts w:asciiTheme="minorHAnsi" w:eastAsiaTheme="minorHAnsi" w:hAnsiTheme="minorHAnsi" w:cstheme="minorBidi"/>
          <w:snapToGrid/>
          <w:sz w:val="24"/>
          <w:szCs w:val="22"/>
        </w:rPr>
        <w:t xml:space="preserve"> remain abnormal after surgery and/or radiotherapy or in patients who are dopamine agonist treatment refractory;</w:t>
      </w:r>
      <w:r w:rsidR="002D6E60" w:rsidRPr="003D0027">
        <w:rPr>
          <w:rFonts w:asciiTheme="minorHAnsi" w:eastAsiaTheme="minorHAnsi" w:hAnsiTheme="minorHAnsi" w:cstheme="minorBidi"/>
          <w:snapToGrid/>
          <w:sz w:val="24"/>
          <w:szCs w:val="22"/>
        </w:rPr>
        <w:t xml:space="preserve"> </w:t>
      </w:r>
      <w:r w:rsidRPr="003D0027">
        <w:rPr>
          <w:rFonts w:asciiTheme="minorHAnsi" w:eastAsiaTheme="minorHAnsi" w:hAnsiTheme="minorHAnsi" w:cstheme="minorBidi"/>
          <w:snapToGrid/>
          <w:sz w:val="24"/>
          <w:szCs w:val="22"/>
        </w:rPr>
        <w:t>symptoms of carcinoid syndrome associated with carcinoid tumours; and</w:t>
      </w:r>
      <w:r w:rsidR="002D6E60" w:rsidRPr="003D0027">
        <w:rPr>
          <w:rFonts w:asciiTheme="minorHAnsi" w:eastAsiaTheme="minorHAnsi" w:hAnsiTheme="minorHAnsi" w:cstheme="minorBidi"/>
          <w:snapToGrid/>
          <w:sz w:val="24"/>
          <w:szCs w:val="22"/>
        </w:rPr>
        <w:t xml:space="preserve"> </w:t>
      </w:r>
      <w:r w:rsidR="009F5EC3" w:rsidRPr="003D0027">
        <w:rPr>
          <w:rFonts w:asciiTheme="minorHAnsi" w:eastAsiaTheme="minorHAnsi" w:hAnsiTheme="minorHAnsi" w:cstheme="minorBidi"/>
          <w:snapToGrid/>
          <w:sz w:val="24"/>
          <w:szCs w:val="22"/>
        </w:rPr>
        <w:t>Gastroenteropancreatic Neuroendocrine T</w:t>
      </w:r>
      <w:r w:rsidRPr="003D0027">
        <w:rPr>
          <w:rFonts w:asciiTheme="minorHAnsi" w:eastAsiaTheme="minorHAnsi" w:hAnsiTheme="minorHAnsi" w:cstheme="minorBidi"/>
          <w:snapToGrid/>
          <w:sz w:val="24"/>
          <w:szCs w:val="22"/>
        </w:rPr>
        <w:t xml:space="preserve">umours (GEP-NETs) in adult patients with unresectable locally advanced or metastatic disease. </w:t>
      </w:r>
    </w:p>
    <w:p w:rsidR="00093137" w:rsidRPr="003D0027" w:rsidRDefault="00A579F2" w:rsidP="005704D0">
      <w:pPr>
        <w:pStyle w:val="ListParagraph"/>
        <w:widowControl/>
        <w:numPr>
          <w:ilvl w:val="1"/>
          <w:numId w:val="14"/>
        </w:numPr>
        <w:spacing w:after="240"/>
        <w:ind w:left="709"/>
        <w:contextualSpacing w:val="0"/>
        <w:rPr>
          <w:rFonts w:asciiTheme="minorHAnsi" w:eastAsiaTheme="minorHAnsi" w:hAnsiTheme="minorHAnsi" w:cstheme="minorBidi"/>
          <w:snapToGrid/>
          <w:sz w:val="24"/>
          <w:szCs w:val="22"/>
        </w:rPr>
      </w:pPr>
      <w:r w:rsidRPr="003D0027">
        <w:rPr>
          <w:rFonts w:asciiTheme="minorHAnsi" w:eastAsiaTheme="minorHAnsi" w:hAnsiTheme="minorHAnsi" w:cstheme="minorBidi"/>
          <w:snapToGrid/>
          <w:sz w:val="24"/>
          <w:szCs w:val="22"/>
        </w:rPr>
        <w:t>Lanreotide a</w:t>
      </w:r>
      <w:r w:rsidR="008B2635" w:rsidRPr="003D0027">
        <w:rPr>
          <w:rFonts w:asciiTheme="minorHAnsi" w:eastAsiaTheme="minorHAnsi" w:hAnsiTheme="minorHAnsi" w:cstheme="minorBidi"/>
          <w:snapToGrid/>
          <w:sz w:val="24"/>
          <w:szCs w:val="22"/>
        </w:rPr>
        <w:t xml:space="preserve">cetate prolonged release depot suspension (Somatuline LA® 30 mg) was recommended </w:t>
      </w:r>
      <w:r w:rsidR="00093137" w:rsidRPr="003D0027">
        <w:rPr>
          <w:rFonts w:asciiTheme="minorHAnsi" w:eastAsiaTheme="minorHAnsi" w:hAnsiTheme="minorHAnsi" w:cstheme="minorBidi"/>
          <w:snapToGrid/>
          <w:sz w:val="24"/>
          <w:szCs w:val="22"/>
        </w:rPr>
        <w:t>as a</w:t>
      </w:r>
      <w:r w:rsidR="008B2635" w:rsidRPr="003D0027">
        <w:rPr>
          <w:rFonts w:asciiTheme="minorHAnsi" w:eastAsiaTheme="minorHAnsi" w:hAnsiTheme="minorHAnsi" w:cstheme="minorBidi"/>
          <w:snapToGrid/>
          <w:sz w:val="24"/>
          <w:szCs w:val="22"/>
        </w:rPr>
        <w:t xml:space="preserve"> Section 100 listing for the treatment of active acromegaly at the September 2001 PBAC meeting. Lanreotide Acetate (Somatuline Autogel) pre-filled syringe, 60 mg, 90 mg and 120 mg, </w:t>
      </w:r>
      <w:r w:rsidR="00093137" w:rsidRPr="003D0027">
        <w:rPr>
          <w:rFonts w:asciiTheme="minorHAnsi" w:eastAsiaTheme="minorHAnsi" w:hAnsiTheme="minorHAnsi" w:cstheme="minorBidi"/>
          <w:snapToGrid/>
          <w:sz w:val="24"/>
          <w:szCs w:val="22"/>
        </w:rPr>
        <w:t xml:space="preserve">was recommended </w:t>
      </w:r>
      <w:r w:rsidR="008B2635" w:rsidRPr="003D0027">
        <w:rPr>
          <w:rFonts w:asciiTheme="minorHAnsi" w:eastAsiaTheme="minorHAnsi" w:hAnsiTheme="minorHAnsi" w:cstheme="minorBidi"/>
          <w:snapToGrid/>
          <w:sz w:val="24"/>
          <w:szCs w:val="22"/>
        </w:rPr>
        <w:t xml:space="preserve">for </w:t>
      </w:r>
      <w:r w:rsidR="00093137" w:rsidRPr="003D0027">
        <w:rPr>
          <w:rFonts w:asciiTheme="minorHAnsi" w:eastAsiaTheme="minorHAnsi" w:hAnsiTheme="minorHAnsi" w:cstheme="minorBidi"/>
          <w:snapToGrid/>
          <w:sz w:val="24"/>
          <w:szCs w:val="22"/>
        </w:rPr>
        <w:t>listing by the PBA</w:t>
      </w:r>
      <w:r w:rsidR="00DA6443" w:rsidRPr="003D0027">
        <w:rPr>
          <w:rFonts w:asciiTheme="minorHAnsi" w:eastAsiaTheme="minorHAnsi" w:hAnsiTheme="minorHAnsi" w:cstheme="minorBidi"/>
          <w:snapToGrid/>
          <w:sz w:val="24"/>
          <w:szCs w:val="22"/>
        </w:rPr>
        <w:t>C</w:t>
      </w:r>
      <w:r w:rsidR="00093137" w:rsidRPr="003D0027">
        <w:rPr>
          <w:rFonts w:asciiTheme="minorHAnsi" w:eastAsiaTheme="minorHAnsi" w:hAnsiTheme="minorHAnsi" w:cstheme="minorBidi"/>
          <w:snapToGrid/>
          <w:sz w:val="24"/>
          <w:szCs w:val="22"/>
        </w:rPr>
        <w:t xml:space="preserve"> as a Section 100 HSD, for </w:t>
      </w:r>
      <w:r w:rsidR="008B2635" w:rsidRPr="003D0027">
        <w:rPr>
          <w:rFonts w:asciiTheme="minorHAnsi" w:eastAsiaTheme="minorHAnsi" w:hAnsiTheme="minorHAnsi" w:cstheme="minorBidi"/>
          <w:snapToGrid/>
          <w:sz w:val="24"/>
          <w:szCs w:val="22"/>
        </w:rPr>
        <w:t>the treatment of acromegaly</w:t>
      </w:r>
      <w:r w:rsidR="00093137" w:rsidRPr="003D0027">
        <w:rPr>
          <w:rFonts w:asciiTheme="minorHAnsi" w:eastAsiaTheme="minorHAnsi" w:hAnsiTheme="minorHAnsi" w:cstheme="minorBidi"/>
          <w:snapToGrid/>
          <w:sz w:val="24"/>
          <w:szCs w:val="22"/>
        </w:rPr>
        <w:t xml:space="preserve"> and for the treatment of the symptoms of carcinoid syndrome </w:t>
      </w:r>
      <w:r w:rsidR="00340C93" w:rsidRPr="003D0027">
        <w:rPr>
          <w:rFonts w:asciiTheme="minorHAnsi" w:eastAsiaTheme="minorHAnsi" w:hAnsiTheme="minorHAnsi" w:cstheme="minorBidi"/>
          <w:snapToGrid/>
          <w:sz w:val="24"/>
          <w:szCs w:val="22"/>
        </w:rPr>
        <w:t>at its July 2005 meeting</w:t>
      </w:r>
      <w:r w:rsidR="00093137" w:rsidRPr="003D0027">
        <w:rPr>
          <w:rFonts w:asciiTheme="minorHAnsi" w:eastAsiaTheme="minorHAnsi" w:hAnsiTheme="minorHAnsi" w:cstheme="minorBidi"/>
          <w:snapToGrid/>
          <w:sz w:val="24"/>
          <w:szCs w:val="22"/>
        </w:rPr>
        <w:t>.</w:t>
      </w:r>
    </w:p>
    <w:p w:rsidR="00A579F2" w:rsidRPr="003D0027" w:rsidRDefault="00A579F2" w:rsidP="005704D0">
      <w:pPr>
        <w:pStyle w:val="ListParagraph"/>
        <w:widowControl/>
        <w:numPr>
          <w:ilvl w:val="1"/>
          <w:numId w:val="14"/>
        </w:numPr>
        <w:spacing w:after="240"/>
        <w:ind w:left="709"/>
        <w:contextualSpacing w:val="0"/>
        <w:rPr>
          <w:rFonts w:asciiTheme="minorHAnsi" w:eastAsiaTheme="minorHAnsi" w:hAnsiTheme="minorHAnsi" w:cstheme="minorBidi"/>
          <w:snapToGrid/>
          <w:sz w:val="24"/>
          <w:szCs w:val="22"/>
        </w:rPr>
      </w:pPr>
      <w:r w:rsidRPr="003D0027">
        <w:rPr>
          <w:rFonts w:asciiTheme="minorHAnsi" w:eastAsiaTheme="minorHAnsi" w:hAnsiTheme="minorHAnsi" w:cstheme="minorBidi"/>
          <w:snapToGrid/>
          <w:sz w:val="24"/>
          <w:szCs w:val="22"/>
        </w:rPr>
        <w:t>The HSD community access arrangements, introduced</w:t>
      </w:r>
      <w:r w:rsidR="00340C93" w:rsidRPr="003D0027">
        <w:rPr>
          <w:rFonts w:asciiTheme="minorHAnsi" w:eastAsiaTheme="minorHAnsi" w:hAnsiTheme="minorHAnsi" w:cstheme="minorBidi"/>
          <w:snapToGrid/>
          <w:sz w:val="24"/>
          <w:szCs w:val="22"/>
        </w:rPr>
        <w:t xml:space="preserve"> on</w:t>
      </w:r>
      <w:r w:rsidRPr="003D0027">
        <w:rPr>
          <w:rFonts w:asciiTheme="minorHAnsi" w:eastAsiaTheme="minorHAnsi" w:hAnsiTheme="minorHAnsi" w:cstheme="minorBidi"/>
          <w:snapToGrid/>
          <w:sz w:val="24"/>
          <w:szCs w:val="22"/>
        </w:rPr>
        <w:t xml:space="preserve"> 1 July 2015, allow authorised community based practitioners to prescribe clozapine for the treatment of schizophrenia (maintenance therapy only), HIV antiretroviral and hepatitis B medicines without the need to be affiliated with a hospital.  In comparison to S100 </w:t>
      </w:r>
      <w:r w:rsidR="00340C93" w:rsidRPr="003D0027">
        <w:rPr>
          <w:rFonts w:asciiTheme="minorHAnsi" w:eastAsiaTheme="minorHAnsi" w:hAnsiTheme="minorHAnsi" w:cstheme="minorBidi"/>
          <w:snapToGrid/>
          <w:sz w:val="24"/>
          <w:szCs w:val="22"/>
        </w:rPr>
        <w:t xml:space="preserve">HSD </w:t>
      </w:r>
      <w:r w:rsidRPr="003D0027">
        <w:rPr>
          <w:rFonts w:asciiTheme="minorHAnsi" w:eastAsiaTheme="minorHAnsi" w:hAnsiTheme="minorHAnsi" w:cstheme="minorBidi"/>
          <w:snapToGrid/>
          <w:sz w:val="24"/>
          <w:szCs w:val="22"/>
        </w:rPr>
        <w:t xml:space="preserve">public </w:t>
      </w:r>
      <w:r w:rsidR="00340C93" w:rsidRPr="003D0027">
        <w:rPr>
          <w:rFonts w:asciiTheme="minorHAnsi" w:eastAsiaTheme="minorHAnsi" w:hAnsiTheme="minorHAnsi" w:cstheme="minorBidi"/>
          <w:snapToGrid/>
          <w:sz w:val="24"/>
          <w:szCs w:val="22"/>
        </w:rPr>
        <w:t>and</w:t>
      </w:r>
      <w:r w:rsidRPr="003D0027">
        <w:rPr>
          <w:rFonts w:asciiTheme="minorHAnsi" w:eastAsiaTheme="minorHAnsi" w:hAnsiTheme="minorHAnsi" w:cstheme="minorBidi"/>
          <w:snapToGrid/>
          <w:sz w:val="24"/>
          <w:szCs w:val="22"/>
        </w:rPr>
        <w:t xml:space="preserve"> private hospital listings, community access arrangements </w:t>
      </w:r>
      <w:r w:rsidR="002D6E60" w:rsidRPr="003D0027">
        <w:rPr>
          <w:rFonts w:asciiTheme="minorHAnsi" w:eastAsiaTheme="minorHAnsi" w:hAnsiTheme="minorHAnsi" w:cstheme="minorBidi"/>
          <w:snapToGrid/>
          <w:sz w:val="24"/>
          <w:szCs w:val="22"/>
        </w:rPr>
        <w:t>remove the requirement</w:t>
      </w:r>
      <w:r w:rsidR="0047418B" w:rsidRPr="003D0027">
        <w:rPr>
          <w:rFonts w:asciiTheme="minorHAnsi" w:eastAsiaTheme="minorHAnsi" w:hAnsiTheme="minorHAnsi" w:cstheme="minorBidi"/>
          <w:snapToGrid/>
          <w:sz w:val="24"/>
          <w:szCs w:val="22"/>
        </w:rPr>
        <w:t>s</w:t>
      </w:r>
      <w:r w:rsidR="002D6E60" w:rsidRPr="003D0027">
        <w:rPr>
          <w:rFonts w:asciiTheme="minorHAnsi" w:eastAsiaTheme="minorHAnsi" w:hAnsiTheme="minorHAnsi" w:cstheme="minorBidi"/>
          <w:snapToGrid/>
          <w:sz w:val="24"/>
          <w:szCs w:val="22"/>
        </w:rPr>
        <w:t xml:space="preserve"> for</w:t>
      </w:r>
      <w:r w:rsidR="0047418B" w:rsidRPr="003D0027">
        <w:rPr>
          <w:rFonts w:asciiTheme="minorHAnsi" w:eastAsiaTheme="minorHAnsi" w:hAnsiTheme="minorHAnsi" w:cstheme="minorBidi"/>
          <w:snapToGrid/>
          <w:sz w:val="24"/>
          <w:szCs w:val="22"/>
        </w:rPr>
        <w:t xml:space="preserve"> </w:t>
      </w:r>
      <w:r w:rsidRPr="003D0027">
        <w:rPr>
          <w:rFonts w:asciiTheme="minorHAnsi" w:eastAsiaTheme="minorHAnsi" w:hAnsiTheme="minorHAnsi" w:cstheme="minorBidi"/>
          <w:snapToGrid/>
          <w:sz w:val="24"/>
          <w:szCs w:val="22"/>
        </w:rPr>
        <w:t>prescribers to demonstra</w:t>
      </w:r>
      <w:r w:rsidR="0094599D" w:rsidRPr="003D0027">
        <w:rPr>
          <w:rFonts w:asciiTheme="minorHAnsi" w:eastAsiaTheme="minorHAnsi" w:hAnsiTheme="minorHAnsi" w:cstheme="minorBidi"/>
          <w:snapToGrid/>
          <w:sz w:val="24"/>
          <w:szCs w:val="22"/>
        </w:rPr>
        <w:t>te a link to a hospital setting. It also removes the requirements for</w:t>
      </w:r>
      <w:r w:rsidR="0047418B" w:rsidRPr="003D0027">
        <w:rPr>
          <w:rFonts w:asciiTheme="minorHAnsi" w:eastAsiaTheme="minorHAnsi" w:hAnsiTheme="minorHAnsi" w:cstheme="minorBidi"/>
          <w:snapToGrid/>
          <w:sz w:val="24"/>
          <w:szCs w:val="22"/>
        </w:rPr>
        <w:t xml:space="preserve"> </w:t>
      </w:r>
      <w:r w:rsidRPr="003D0027">
        <w:rPr>
          <w:rFonts w:asciiTheme="minorHAnsi" w:eastAsiaTheme="minorHAnsi" w:hAnsiTheme="minorHAnsi" w:cstheme="minorBidi"/>
          <w:snapToGrid/>
          <w:sz w:val="24"/>
          <w:szCs w:val="22"/>
        </w:rPr>
        <w:t xml:space="preserve">private hospital prescribers to </w:t>
      </w:r>
      <w:r w:rsidR="00292C66" w:rsidRPr="003D0027">
        <w:rPr>
          <w:rFonts w:asciiTheme="minorHAnsi" w:eastAsiaTheme="minorHAnsi" w:hAnsiTheme="minorHAnsi" w:cstheme="minorBidi"/>
          <w:snapToGrid/>
          <w:sz w:val="24"/>
          <w:szCs w:val="22"/>
        </w:rPr>
        <w:t>obtain</w:t>
      </w:r>
      <w:r w:rsidRPr="003D0027">
        <w:rPr>
          <w:rFonts w:asciiTheme="minorHAnsi" w:eastAsiaTheme="minorHAnsi" w:hAnsiTheme="minorHAnsi" w:cstheme="minorBidi"/>
          <w:snapToGrid/>
          <w:sz w:val="24"/>
          <w:szCs w:val="22"/>
        </w:rPr>
        <w:t xml:space="preserve"> phone authority, replacing the current authority requirements with streamlined authority; and</w:t>
      </w:r>
      <w:r w:rsidR="0047418B" w:rsidRPr="003D0027">
        <w:rPr>
          <w:rFonts w:asciiTheme="minorHAnsi" w:eastAsiaTheme="minorHAnsi" w:hAnsiTheme="minorHAnsi" w:cstheme="minorBidi"/>
          <w:snapToGrid/>
          <w:sz w:val="24"/>
          <w:szCs w:val="22"/>
        </w:rPr>
        <w:t xml:space="preserve"> for </w:t>
      </w:r>
      <w:r w:rsidRPr="003D0027">
        <w:rPr>
          <w:rFonts w:asciiTheme="minorHAnsi" w:eastAsiaTheme="minorHAnsi" w:hAnsiTheme="minorHAnsi" w:cstheme="minorBidi"/>
          <w:snapToGrid/>
          <w:sz w:val="24"/>
          <w:szCs w:val="22"/>
        </w:rPr>
        <w:t>patients receiving care at/or from a hospital.</w:t>
      </w:r>
    </w:p>
    <w:p w:rsidR="00297442" w:rsidRPr="000D6C28" w:rsidRDefault="00297442" w:rsidP="00297442">
      <w:pPr>
        <w:pStyle w:val="ListParagraph"/>
        <w:widowControl/>
        <w:spacing w:after="160"/>
        <w:ind w:left="709"/>
        <w:contextualSpacing w:val="0"/>
        <w:rPr>
          <w:rFonts w:asciiTheme="minorHAnsi" w:eastAsiaTheme="minorHAnsi" w:hAnsiTheme="minorHAnsi" w:cstheme="minorBidi"/>
          <w:snapToGrid/>
          <w:sz w:val="24"/>
          <w:szCs w:val="22"/>
          <w:highlight w:val="black"/>
        </w:rPr>
      </w:pPr>
      <w:r>
        <w:rPr>
          <w:rFonts w:asciiTheme="minorHAnsi" w:eastAsiaTheme="minorHAnsi" w:hAnsiTheme="minorHAnsi" w:cstheme="minorBidi"/>
          <w:noProof/>
          <w:snapToGrid/>
          <w:color w:val="000000"/>
          <w:sz w:val="24"/>
          <w:szCs w:val="22"/>
          <w:highlight w:val="black"/>
        </w:rPr>
        <w:t>''''' ''''' ''''''''''''' ''''''''' '''''''''''''''' '''''' ''''''''''''' ''''''''''''''''' '' '''''''''' '''''''''''' '''''''''''' '''' ''''''''''''''''''' ''''''''''''''''''' '''''''' '''''''''''' '''' '''''''''''''''' ''''''' '''''''''''''' '''''''' '''''''''''''''''''' '''''''''''' '''''''''''''''''' ''''''''''''''''''''' ''''''''''''' ''''' ''''''''''''''''''''' '''''''''''''''''''''' '''' '''''''' ''''''''''''''''' ''''''''''''''''''' '''''''''''''''' ''''''''' '''''''''' ''''''''''''' '''''''' ''''''''' '''''''''''''''''''' '''' ''''''''' ''''''''''''''''''''''' '''''''''''' '''' ''' '''''''' ''''''''' ''''''''' ''''''' ''''''''''''''''''''' '''''''''''' '''''''''''''''''''''''''' '''''''''' ''''''''''' '''''''''''''''''''''''  ''''''''''''' '''''''''''' '''''''''' '''''''''''''' '''''''''''''' ''''''''''''''' '''''''' ''''''''</w:t>
      </w:r>
    </w:p>
    <w:p w:rsidR="00297442" w:rsidRPr="000D6C28" w:rsidRDefault="00297442" w:rsidP="00297442">
      <w:pPr>
        <w:pStyle w:val="ListParagraph"/>
        <w:widowControl/>
        <w:spacing w:after="160"/>
        <w:ind w:left="709"/>
        <w:contextualSpacing w:val="0"/>
        <w:rPr>
          <w:rFonts w:asciiTheme="minorHAnsi" w:eastAsiaTheme="minorHAnsi" w:hAnsiTheme="minorHAnsi" w:cstheme="minorBidi"/>
          <w:snapToGrid/>
          <w:sz w:val="24"/>
          <w:szCs w:val="22"/>
          <w:highlight w:val="black"/>
        </w:rPr>
      </w:pPr>
      <w:r>
        <w:rPr>
          <w:rFonts w:asciiTheme="minorHAnsi" w:eastAsiaTheme="minorHAnsi" w:hAnsiTheme="minorHAnsi" w:cstheme="minorBidi"/>
          <w:noProof/>
          <w:snapToGrid/>
          <w:color w:val="000000"/>
          <w:sz w:val="24"/>
          <w:szCs w:val="22"/>
          <w:highlight w:val="black"/>
        </w:rPr>
        <w:t>'''''''' ''''''''''''''''''''' '''''' ''''''''''''''''' '''''''''''''''''''' '''''''''''''''' ''''''' '''''''''''' ''''''''''' '''''''' '''''''''''''''''' ''''''''''' '''''''''''''''''''''''''''''' '''''''''''' '''''' ''''''''' ''''''''''' '''''''''''''''''' ''''''''' '''''''''''' '''''''''''''''''</w:t>
      </w:r>
    </w:p>
    <w:p w:rsidR="00A5022A" w:rsidRDefault="00990EF9" w:rsidP="00FE27B2">
      <w:pPr>
        <w:pStyle w:val="PBACHeading1"/>
        <w:ind w:left="851" w:hanging="851"/>
        <w:rPr>
          <w:rFonts w:asciiTheme="minorHAnsi" w:eastAsiaTheme="minorHAnsi" w:hAnsiTheme="minorHAnsi"/>
          <w:snapToGrid/>
          <w:sz w:val="32"/>
          <w:szCs w:val="32"/>
        </w:rPr>
      </w:pPr>
      <w:r w:rsidRPr="003D0027">
        <w:rPr>
          <w:rFonts w:asciiTheme="minorHAnsi" w:eastAsiaTheme="minorHAnsi" w:hAnsiTheme="minorHAnsi"/>
          <w:snapToGrid/>
          <w:sz w:val="32"/>
          <w:szCs w:val="32"/>
        </w:rPr>
        <w:t>Clinical Place for the proposed therapy</w:t>
      </w:r>
    </w:p>
    <w:p w:rsidR="00685007" w:rsidRPr="003D0027" w:rsidRDefault="00685007" w:rsidP="00685007">
      <w:pPr>
        <w:pStyle w:val="PBACHeading1"/>
        <w:numPr>
          <w:ilvl w:val="0"/>
          <w:numId w:val="0"/>
        </w:numPr>
        <w:ind w:left="851"/>
        <w:outlineLvl w:val="9"/>
        <w:rPr>
          <w:rFonts w:asciiTheme="minorHAnsi" w:eastAsiaTheme="minorHAnsi" w:hAnsiTheme="minorHAnsi"/>
          <w:snapToGrid/>
          <w:sz w:val="32"/>
          <w:szCs w:val="32"/>
        </w:rPr>
      </w:pPr>
    </w:p>
    <w:p w:rsidR="00990EF9" w:rsidRPr="00D60A02" w:rsidRDefault="00990EF9" w:rsidP="00D60A02">
      <w:pPr>
        <w:pStyle w:val="ListParagraph"/>
        <w:widowControl/>
        <w:numPr>
          <w:ilvl w:val="1"/>
          <w:numId w:val="14"/>
        </w:numPr>
        <w:spacing w:after="240"/>
        <w:ind w:left="709"/>
        <w:contextualSpacing w:val="0"/>
        <w:rPr>
          <w:rFonts w:asciiTheme="minorHAnsi" w:eastAsiaTheme="minorHAnsi" w:hAnsiTheme="minorHAnsi" w:cstheme="minorBidi"/>
          <w:snapToGrid/>
          <w:sz w:val="24"/>
          <w:szCs w:val="22"/>
        </w:rPr>
      </w:pPr>
      <w:r w:rsidRPr="003D0027">
        <w:rPr>
          <w:rFonts w:asciiTheme="minorHAnsi" w:eastAsiaTheme="minorHAnsi" w:hAnsiTheme="minorHAnsi" w:cstheme="minorBidi"/>
          <w:snapToGrid/>
          <w:sz w:val="24"/>
          <w:szCs w:val="22"/>
        </w:rPr>
        <w:t>The submission stated that patients living in rural areas</w:t>
      </w:r>
      <w:r w:rsidRPr="005B6277">
        <w:rPr>
          <w:rFonts w:asciiTheme="minorHAnsi" w:eastAsiaTheme="minorHAnsi" w:hAnsiTheme="minorHAnsi" w:cstheme="minorBidi"/>
          <w:snapToGrid/>
          <w:sz w:val="24"/>
          <w:szCs w:val="22"/>
        </w:rPr>
        <w:t>, currently must travel into regional centres or major cities to be prescribed and dispensed Lanreotide Acetate. Therefore, the submission argued that a section 100 HSD Community Access Authority Req</w:t>
      </w:r>
      <w:r w:rsidRPr="00D60A02">
        <w:rPr>
          <w:rFonts w:asciiTheme="minorHAnsi" w:eastAsiaTheme="minorHAnsi" w:hAnsiTheme="minorHAnsi" w:cstheme="minorBidi"/>
          <w:snapToGrid/>
          <w:sz w:val="24"/>
          <w:szCs w:val="22"/>
        </w:rPr>
        <w:t xml:space="preserve">uired (Streamlined) listing for the drug would allow authorised community based practitioners to prescribe the drug without needing to be affiliated with a hospital and removing the burden of travel for patients living in rural areas. </w:t>
      </w:r>
    </w:p>
    <w:p w:rsidR="00990EF9" w:rsidRPr="005B6277" w:rsidRDefault="00990EF9" w:rsidP="00D60A02">
      <w:pPr>
        <w:pStyle w:val="ListParagraph"/>
        <w:widowControl/>
        <w:numPr>
          <w:ilvl w:val="1"/>
          <w:numId w:val="14"/>
        </w:numPr>
        <w:spacing w:after="240"/>
        <w:ind w:left="709"/>
        <w:contextualSpacing w:val="0"/>
        <w:rPr>
          <w:rFonts w:asciiTheme="minorHAnsi" w:eastAsiaTheme="minorHAnsi" w:hAnsiTheme="minorHAnsi" w:cstheme="minorBidi"/>
          <w:snapToGrid/>
          <w:sz w:val="24"/>
          <w:szCs w:val="22"/>
        </w:rPr>
      </w:pPr>
      <w:r w:rsidRPr="00D60A02">
        <w:rPr>
          <w:rFonts w:asciiTheme="minorHAnsi" w:eastAsiaTheme="minorHAnsi" w:hAnsiTheme="minorHAnsi" w:cstheme="minorBidi"/>
          <w:snapToGrid/>
          <w:sz w:val="24"/>
          <w:szCs w:val="22"/>
        </w:rPr>
        <w:t xml:space="preserve">The submission requested a Section 100 HSD (Community Access) listing </w:t>
      </w:r>
      <w:r w:rsidR="00F26EE8" w:rsidRPr="00D60A02">
        <w:rPr>
          <w:rFonts w:asciiTheme="minorHAnsi" w:eastAsiaTheme="minorHAnsi" w:hAnsiTheme="minorHAnsi" w:cstheme="minorBidi"/>
          <w:snapToGrid/>
          <w:sz w:val="24"/>
          <w:szCs w:val="22"/>
        </w:rPr>
        <w:t>for lanreotide a</w:t>
      </w:r>
      <w:r w:rsidRPr="00D60A02">
        <w:rPr>
          <w:rFonts w:asciiTheme="minorHAnsi" w:eastAsiaTheme="minorHAnsi" w:hAnsiTheme="minorHAnsi" w:cstheme="minorBidi"/>
          <w:snapToGrid/>
          <w:sz w:val="24"/>
          <w:szCs w:val="22"/>
        </w:rPr>
        <w:t>cetate pre-filled syringe (Somatuline® Autogel®) as this formulation</w:t>
      </w:r>
      <w:r w:rsidR="00BC3166" w:rsidRPr="00D60A02">
        <w:rPr>
          <w:rFonts w:asciiTheme="minorHAnsi" w:eastAsiaTheme="minorHAnsi" w:hAnsiTheme="minorHAnsi" w:cstheme="minorBidi"/>
          <w:snapToGrid/>
          <w:sz w:val="24"/>
          <w:szCs w:val="22"/>
        </w:rPr>
        <w:t xml:space="preserve">, in contrast to </w:t>
      </w:r>
      <w:r w:rsidR="00F26EE8" w:rsidRPr="003D0027">
        <w:rPr>
          <w:rFonts w:asciiTheme="minorHAnsi" w:eastAsiaTheme="minorHAnsi" w:hAnsiTheme="minorHAnsi" w:cstheme="minorBidi"/>
          <w:snapToGrid/>
          <w:sz w:val="24"/>
          <w:szCs w:val="22"/>
        </w:rPr>
        <w:t>l</w:t>
      </w:r>
      <w:r w:rsidR="00BC3166" w:rsidRPr="003D0027">
        <w:rPr>
          <w:rFonts w:asciiTheme="minorHAnsi" w:eastAsiaTheme="minorHAnsi" w:hAnsiTheme="minorHAnsi" w:cstheme="minorBidi"/>
          <w:snapToGrid/>
          <w:sz w:val="24"/>
          <w:szCs w:val="22"/>
        </w:rPr>
        <w:t>anreotide acetate prolonged release depot suspension (Somatuline LA® 30 mg), does not require reconstitution and it</w:t>
      </w:r>
      <w:r w:rsidRPr="003D0027">
        <w:rPr>
          <w:rFonts w:asciiTheme="minorHAnsi" w:eastAsiaTheme="minorHAnsi" w:hAnsiTheme="minorHAnsi" w:cstheme="minorBidi"/>
          <w:snapToGrid/>
          <w:sz w:val="24"/>
          <w:szCs w:val="22"/>
        </w:rPr>
        <w:t xml:space="preserve"> is ready to be self- injected by the patient or administered by a care</w:t>
      </w:r>
      <w:r w:rsidR="00517CB1" w:rsidRPr="003D0027">
        <w:rPr>
          <w:rFonts w:asciiTheme="minorHAnsi" w:eastAsiaTheme="minorHAnsi" w:hAnsiTheme="minorHAnsi" w:cstheme="minorBidi"/>
          <w:snapToGrid/>
          <w:sz w:val="24"/>
          <w:szCs w:val="22"/>
        </w:rPr>
        <w:t xml:space="preserve">-giver </w:t>
      </w:r>
      <w:r w:rsidRPr="005B6277">
        <w:rPr>
          <w:rFonts w:asciiTheme="minorHAnsi" w:eastAsiaTheme="minorHAnsi" w:hAnsiTheme="minorHAnsi" w:cstheme="minorBidi"/>
          <w:snapToGrid/>
          <w:sz w:val="24"/>
          <w:szCs w:val="22"/>
        </w:rPr>
        <w:t>following training.</w:t>
      </w:r>
      <w:r w:rsidR="00BC3166" w:rsidRPr="005B6277">
        <w:rPr>
          <w:rFonts w:asciiTheme="minorHAnsi" w:eastAsiaTheme="minorHAnsi" w:hAnsiTheme="minorHAnsi" w:cstheme="minorBidi"/>
          <w:snapToGrid/>
          <w:sz w:val="24"/>
          <w:szCs w:val="22"/>
        </w:rPr>
        <w:t xml:space="preserve"> </w:t>
      </w:r>
    </w:p>
    <w:p w:rsidR="00BC3166" w:rsidRPr="00D60A02" w:rsidRDefault="00BC3166" w:rsidP="00D60A02">
      <w:pPr>
        <w:pStyle w:val="ListParagraph"/>
        <w:widowControl/>
        <w:numPr>
          <w:ilvl w:val="1"/>
          <w:numId w:val="14"/>
        </w:numPr>
        <w:spacing w:after="240"/>
        <w:ind w:left="709"/>
        <w:contextualSpacing w:val="0"/>
        <w:rPr>
          <w:rFonts w:asciiTheme="minorHAnsi" w:eastAsiaTheme="minorHAnsi" w:hAnsiTheme="minorHAnsi" w:cstheme="minorBidi"/>
          <w:snapToGrid/>
          <w:sz w:val="24"/>
          <w:szCs w:val="22"/>
        </w:rPr>
      </w:pPr>
      <w:r w:rsidRPr="00D60A02">
        <w:rPr>
          <w:rFonts w:asciiTheme="minorHAnsi" w:eastAsiaTheme="minorHAnsi" w:hAnsiTheme="minorHAnsi" w:cstheme="minorBidi"/>
          <w:snapToGrid/>
          <w:sz w:val="24"/>
          <w:szCs w:val="22"/>
        </w:rPr>
        <w:t>The submission</w:t>
      </w:r>
      <w:r w:rsidR="00B6646C" w:rsidRPr="00D60A02">
        <w:rPr>
          <w:rFonts w:asciiTheme="minorHAnsi" w:eastAsiaTheme="minorHAnsi" w:hAnsiTheme="minorHAnsi" w:cstheme="minorBidi"/>
          <w:snapToGrid/>
          <w:sz w:val="24"/>
          <w:szCs w:val="22"/>
        </w:rPr>
        <w:t xml:space="preserve"> stated</w:t>
      </w:r>
      <w:r w:rsidRPr="00D60A02">
        <w:rPr>
          <w:rFonts w:asciiTheme="minorHAnsi" w:eastAsiaTheme="minorHAnsi" w:hAnsiTheme="minorHAnsi" w:cstheme="minorBidi"/>
          <w:snapToGrid/>
          <w:sz w:val="24"/>
          <w:szCs w:val="22"/>
        </w:rPr>
        <w:t xml:space="preserve"> that training </w:t>
      </w:r>
      <w:r w:rsidR="00517CB1" w:rsidRPr="00D60A02">
        <w:rPr>
          <w:rFonts w:asciiTheme="minorHAnsi" w:eastAsiaTheme="minorHAnsi" w:hAnsiTheme="minorHAnsi" w:cstheme="minorBidi"/>
          <w:snapToGrid/>
          <w:sz w:val="24"/>
          <w:szCs w:val="22"/>
        </w:rPr>
        <w:t xml:space="preserve">to use the injector and self-inject </w:t>
      </w:r>
      <w:r w:rsidRPr="00D60A02">
        <w:rPr>
          <w:rFonts w:asciiTheme="minorHAnsi" w:eastAsiaTheme="minorHAnsi" w:hAnsiTheme="minorHAnsi" w:cstheme="minorBidi"/>
          <w:snapToGrid/>
          <w:sz w:val="24"/>
          <w:szCs w:val="22"/>
        </w:rPr>
        <w:t xml:space="preserve">for patients </w:t>
      </w:r>
      <w:r w:rsidR="00B6646C" w:rsidRPr="00D60A02">
        <w:rPr>
          <w:rFonts w:asciiTheme="minorHAnsi" w:eastAsiaTheme="minorHAnsi" w:hAnsiTheme="minorHAnsi" w:cstheme="minorBidi"/>
          <w:snapToGrid/>
          <w:sz w:val="24"/>
          <w:szCs w:val="22"/>
        </w:rPr>
        <w:t>or</w:t>
      </w:r>
      <w:r w:rsidRPr="00D60A02">
        <w:rPr>
          <w:rFonts w:asciiTheme="minorHAnsi" w:eastAsiaTheme="minorHAnsi" w:hAnsiTheme="minorHAnsi" w:cstheme="minorBidi"/>
          <w:snapToGrid/>
          <w:sz w:val="24"/>
          <w:szCs w:val="22"/>
        </w:rPr>
        <w:t xml:space="preserve"> care</w:t>
      </w:r>
      <w:r w:rsidR="00517CB1" w:rsidRPr="00D60A02">
        <w:rPr>
          <w:rFonts w:asciiTheme="minorHAnsi" w:eastAsiaTheme="minorHAnsi" w:hAnsiTheme="minorHAnsi" w:cstheme="minorBidi"/>
          <w:snapToGrid/>
          <w:sz w:val="24"/>
          <w:szCs w:val="22"/>
        </w:rPr>
        <w:t>-giver</w:t>
      </w:r>
      <w:r w:rsidR="00B6646C" w:rsidRPr="00D60A02">
        <w:rPr>
          <w:rFonts w:asciiTheme="minorHAnsi" w:eastAsiaTheme="minorHAnsi" w:hAnsiTheme="minorHAnsi" w:cstheme="minorBidi"/>
          <w:snapToGrid/>
          <w:sz w:val="24"/>
          <w:szCs w:val="22"/>
        </w:rPr>
        <w:t>s</w:t>
      </w:r>
      <w:r w:rsidRPr="00D60A02">
        <w:rPr>
          <w:rFonts w:asciiTheme="minorHAnsi" w:eastAsiaTheme="minorHAnsi" w:hAnsiTheme="minorHAnsi" w:cstheme="minorBidi"/>
          <w:snapToGrid/>
          <w:sz w:val="24"/>
          <w:szCs w:val="22"/>
        </w:rPr>
        <w:t xml:space="preserve"> is </w:t>
      </w:r>
      <w:r w:rsidR="00517CB1" w:rsidRPr="00D60A02">
        <w:rPr>
          <w:rFonts w:asciiTheme="minorHAnsi" w:eastAsiaTheme="minorHAnsi" w:hAnsiTheme="minorHAnsi" w:cstheme="minorBidi"/>
          <w:snapToGrid/>
          <w:sz w:val="24"/>
          <w:szCs w:val="22"/>
        </w:rPr>
        <w:t xml:space="preserve">provided by the </w:t>
      </w:r>
      <w:r w:rsidR="00B6646C" w:rsidRPr="00D60A02">
        <w:rPr>
          <w:rFonts w:asciiTheme="minorHAnsi" w:eastAsiaTheme="minorHAnsi" w:hAnsiTheme="minorHAnsi" w:cstheme="minorBidi"/>
          <w:snapToGrid/>
          <w:sz w:val="24"/>
          <w:szCs w:val="22"/>
        </w:rPr>
        <w:t xml:space="preserve">Ipsen patient support program </w:t>
      </w:r>
      <w:r w:rsidR="00517CB1" w:rsidRPr="00D60A02">
        <w:rPr>
          <w:rFonts w:asciiTheme="minorHAnsi" w:eastAsiaTheme="minorHAnsi" w:hAnsiTheme="minorHAnsi" w:cstheme="minorBidi"/>
          <w:snapToGrid/>
          <w:sz w:val="24"/>
          <w:szCs w:val="22"/>
        </w:rPr>
        <w:t>assistBEYOND</w:t>
      </w:r>
      <w:r w:rsidR="00B6646C" w:rsidRPr="00D60A02">
        <w:rPr>
          <w:rFonts w:asciiTheme="minorHAnsi" w:eastAsiaTheme="minorHAnsi" w:hAnsiTheme="minorHAnsi" w:cstheme="minorBidi"/>
          <w:snapToGrid/>
          <w:sz w:val="24"/>
          <w:szCs w:val="22"/>
        </w:rPr>
        <w:t>.</w:t>
      </w:r>
      <w:r w:rsidR="00517CB1" w:rsidRPr="00D60A02">
        <w:rPr>
          <w:rFonts w:asciiTheme="minorHAnsi" w:eastAsiaTheme="minorHAnsi" w:hAnsiTheme="minorHAnsi" w:cstheme="minorBidi"/>
          <w:snapToGrid/>
          <w:sz w:val="24"/>
          <w:szCs w:val="22"/>
        </w:rPr>
        <w:t xml:space="preserve"> </w:t>
      </w:r>
      <w:r w:rsidRPr="00D60A02">
        <w:rPr>
          <w:rFonts w:asciiTheme="minorHAnsi" w:eastAsiaTheme="minorHAnsi" w:hAnsiTheme="minorHAnsi" w:cstheme="minorBidi"/>
          <w:snapToGrid/>
          <w:sz w:val="24"/>
          <w:szCs w:val="22"/>
        </w:rPr>
        <w:t xml:space="preserve"> </w:t>
      </w:r>
    </w:p>
    <w:p w:rsidR="00167D2A" w:rsidRPr="003D0027" w:rsidRDefault="00167D2A" w:rsidP="005704D0">
      <w:pPr>
        <w:pStyle w:val="PBACHeading1"/>
        <w:spacing w:after="240"/>
        <w:ind w:left="709"/>
        <w:rPr>
          <w:rFonts w:asciiTheme="minorHAnsi" w:eastAsiaTheme="minorHAnsi" w:hAnsiTheme="minorHAnsi"/>
          <w:snapToGrid/>
          <w:sz w:val="32"/>
          <w:szCs w:val="32"/>
        </w:rPr>
      </w:pPr>
      <w:r w:rsidRPr="003D0027">
        <w:rPr>
          <w:rFonts w:asciiTheme="minorHAnsi" w:eastAsiaTheme="minorHAnsi" w:hAnsiTheme="minorHAnsi"/>
          <w:snapToGrid/>
          <w:sz w:val="32"/>
          <w:szCs w:val="32"/>
        </w:rPr>
        <w:t>Consideration of Evidence</w:t>
      </w:r>
    </w:p>
    <w:p w:rsidR="00167D2A" w:rsidRPr="00685007" w:rsidRDefault="00167D2A" w:rsidP="00685007">
      <w:pPr>
        <w:pStyle w:val="PBACHeading1"/>
        <w:numPr>
          <w:ilvl w:val="0"/>
          <w:numId w:val="0"/>
        </w:numPr>
        <w:spacing w:after="240"/>
        <w:ind w:left="720"/>
        <w:outlineLvl w:val="1"/>
        <w:rPr>
          <w:rFonts w:asciiTheme="minorHAnsi" w:eastAsiaTheme="minorHAnsi" w:hAnsiTheme="minorHAnsi"/>
          <w:snapToGrid/>
          <w:sz w:val="28"/>
          <w:szCs w:val="24"/>
        </w:rPr>
      </w:pPr>
      <w:r w:rsidRPr="00685007">
        <w:rPr>
          <w:rFonts w:asciiTheme="minorHAnsi" w:eastAsiaTheme="minorHAnsi" w:hAnsiTheme="minorHAnsi"/>
          <w:snapToGrid/>
          <w:sz w:val="28"/>
          <w:szCs w:val="24"/>
        </w:rPr>
        <w:t>Sponsor hearing</w:t>
      </w:r>
    </w:p>
    <w:p w:rsidR="00167D2A" w:rsidRPr="00D60A02" w:rsidRDefault="00167D2A" w:rsidP="00D60A02">
      <w:pPr>
        <w:pStyle w:val="ListParagraph"/>
        <w:widowControl/>
        <w:numPr>
          <w:ilvl w:val="1"/>
          <w:numId w:val="14"/>
        </w:numPr>
        <w:spacing w:after="240"/>
        <w:ind w:left="709"/>
        <w:contextualSpacing w:val="0"/>
        <w:rPr>
          <w:rFonts w:asciiTheme="minorHAnsi" w:eastAsiaTheme="minorHAnsi" w:hAnsiTheme="minorHAnsi" w:cstheme="minorBidi"/>
          <w:b/>
          <w:snapToGrid/>
          <w:sz w:val="24"/>
          <w:szCs w:val="22"/>
        </w:rPr>
      </w:pPr>
      <w:r w:rsidRPr="003D0027">
        <w:rPr>
          <w:rFonts w:asciiTheme="minorHAnsi" w:eastAsiaTheme="minorHAnsi" w:hAnsiTheme="minorHAnsi" w:cstheme="minorBidi"/>
          <w:snapToGrid/>
          <w:sz w:val="24"/>
          <w:szCs w:val="22"/>
        </w:rPr>
        <w:t xml:space="preserve">There was no hearing for </w:t>
      </w:r>
      <w:r w:rsidR="00277B62" w:rsidRPr="003D0027">
        <w:rPr>
          <w:rFonts w:asciiTheme="minorHAnsi" w:eastAsiaTheme="minorHAnsi" w:hAnsiTheme="minorHAnsi" w:cstheme="minorBidi"/>
          <w:snapToGrid/>
          <w:sz w:val="24"/>
          <w:szCs w:val="22"/>
        </w:rPr>
        <w:t>this item as it was a minor submission.</w:t>
      </w:r>
    </w:p>
    <w:p w:rsidR="00167D2A" w:rsidRPr="00685007" w:rsidRDefault="00277B62" w:rsidP="00685007">
      <w:pPr>
        <w:pStyle w:val="PBACHeading1"/>
        <w:numPr>
          <w:ilvl w:val="0"/>
          <w:numId w:val="0"/>
        </w:numPr>
        <w:spacing w:after="240"/>
        <w:ind w:left="720"/>
        <w:outlineLvl w:val="1"/>
        <w:rPr>
          <w:rFonts w:asciiTheme="minorHAnsi" w:eastAsiaTheme="minorHAnsi" w:hAnsiTheme="minorHAnsi"/>
          <w:snapToGrid/>
          <w:sz w:val="28"/>
          <w:szCs w:val="24"/>
        </w:rPr>
      </w:pPr>
      <w:r w:rsidRPr="00685007">
        <w:rPr>
          <w:rFonts w:asciiTheme="minorHAnsi" w:eastAsiaTheme="minorHAnsi" w:hAnsiTheme="minorHAnsi"/>
          <w:snapToGrid/>
          <w:sz w:val="28"/>
          <w:szCs w:val="24"/>
        </w:rPr>
        <w:t>Consumer comments</w:t>
      </w:r>
    </w:p>
    <w:p w:rsidR="00277B62" w:rsidRPr="003D0027" w:rsidRDefault="00277B62" w:rsidP="008128A5">
      <w:pPr>
        <w:pStyle w:val="PBACHeading1"/>
        <w:numPr>
          <w:ilvl w:val="0"/>
          <w:numId w:val="0"/>
        </w:numPr>
        <w:spacing w:after="240"/>
        <w:ind w:left="709"/>
        <w:outlineLvl w:val="9"/>
        <w:rPr>
          <w:rFonts w:asciiTheme="minorHAnsi" w:eastAsiaTheme="minorHAnsi" w:hAnsiTheme="minorHAnsi"/>
          <w:b w:val="0"/>
          <w:snapToGrid/>
          <w:sz w:val="24"/>
          <w:szCs w:val="24"/>
        </w:rPr>
      </w:pPr>
      <w:r w:rsidRPr="003D0027">
        <w:rPr>
          <w:rFonts w:asciiTheme="minorHAnsi" w:eastAsiaTheme="minorHAnsi" w:hAnsiTheme="minorHAnsi"/>
          <w:b w:val="0"/>
          <w:snapToGrid/>
          <w:sz w:val="24"/>
          <w:szCs w:val="24"/>
        </w:rPr>
        <w:t>The PBAC noted that no consumer comments were received for this item.</w:t>
      </w:r>
    </w:p>
    <w:p w:rsidR="000F31EE" w:rsidRPr="00685007" w:rsidRDefault="000F31EE" w:rsidP="00685007">
      <w:pPr>
        <w:ind w:left="720"/>
        <w:outlineLvl w:val="1"/>
        <w:rPr>
          <w:rFonts w:asciiTheme="minorHAnsi" w:eastAsiaTheme="minorHAnsi" w:hAnsiTheme="minorHAnsi" w:cs="Arial"/>
          <w:b/>
          <w:snapToGrid w:val="0"/>
          <w:sz w:val="28"/>
          <w:szCs w:val="32"/>
          <w:lang w:eastAsia="en-US"/>
        </w:rPr>
      </w:pPr>
      <w:r w:rsidRPr="00685007">
        <w:rPr>
          <w:rFonts w:asciiTheme="minorHAnsi" w:eastAsiaTheme="minorHAnsi" w:hAnsiTheme="minorHAnsi" w:cs="Arial"/>
          <w:b/>
          <w:sz w:val="28"/>
          <w:szCs w:val="32"/>
          <w:lang w:eastAsia="en-US"/>
        </w:rPr>
        <w:t>Estimated PBS and financial implications</w:t>
      </w:r>
    </w:p>
    <w:p w:rsidR="00E5544C" w:rsidRPr="003D0027" w:rsidRDefault="00E5544C" w:rsidP="00E5544C">
      <w:pPr>
        <w:pStyle w:val="ListParagraph"/>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3D0027">
        <w:rPr>
          <w:rFonts w:asciiTheme="minorHAnsi" w:eastAsiaTheme="minorHAnsi" w:hAnsiTheme="minorHAnsi" w:cstheme="minorBidi"/>
          <w:snapToGrid/>
          <w:sz w:val="24"/>
          <w:szCs w:val="24"/>
        </w:rPr>
        <w:t xml:space="preserve">The submission presented the estimated net financial impact of the listing to the PBS/RPBS across the forward projections. The submission estimated a net savings to the PBS/RPBS, estimated to increase from </w:t>
      </w:r>
      <w:r w:rsidR="002F0C72">
        <w:rPr>
          <w:rFonts w:asciiTheme="minorHAnsi" w:eastAsiaTheme="minorHAnsi" w:hAnsiTheme="minorHAnsi" w:cstheme="minorBidi"/>
          <w:snapToGrid/>
          <w:sz w:val="24"/>
          <w:szCs w:val="24"/>
        </w:rPr>
        <w:t>less than $10 million per year</w:t>
      </w:r>
      <w:r w:rsidRPr="003D0027">
        <w:rPr>
          <w:rFonts w:asciiTheme="minorHAnsi" w:eastAsiaTheme="minorHAnsi" w:hAnsiTheme="minorHAnsi" w:cstheme="minorBidi"/>
          <w:snapToGrid/>
          <w:sz w:val="24"/>
          <w:szCs w:val="24"/>
        </w:rPr>
        <w:t xml:space="preserve"> in 2017 to a saving of </w:t>
      </w:r>
      <w:r w:rsidR="002F0C72">
        <w:rPr>
          <w:rFonts w:asciiTheme="minorHAnsi" w:eastAsiaTheme="minorHAnsi" w:hAnsiTheme="minorHAnsi" w:cstheme="minorBidi"/>
          <w:snapToGrid/>
          <w:sz w:val="24"/>
          <w:szCs w:val="24"/>
        </w:rPr>
        <w:t>less than $10 million per year</w:t>
      </w:r>
      <w:r w:rsidR="002F0C72" w:rsidRPr="003D0027" w:rsidDel="002F0C72">
        <w:rPr>
          <w:rFonts w:asciiTheme="minorHAnsi" w:eastAsiaTheme="minorHAnsi" w:hAnsiTheme="minorHAnsi" w:cstheme="minorBidi"/>
          <w:snapToGrid/>
          <w:sz w:val="24"/>
          <w:szCs w:val="24"/>
        </w:rPr>
        <w:t xml:space="preserve"> </w:t>
      </w:r>
      <w:r w:rsidRPr="003D0027">
        <w:rPr>
          <w:rFonts w:asciiTheme="minorHAnsi" w:eastAsiaTheme="minorHAnsi" w:hAnsiTheme="minorHAnsi" w:cstheme="minorBidi"/>
          <w:snapToGrid/>
          <w:sz w:val="24"/>
          <w:szCs w:val="24"/>
        </w:rPr>
        <w:t xml:space="preserve">by 2022. </w:t>
      </w:r>
      <w:r w:rsidR="00F26EE8" w:rsidRPr="003D0027">
        <w:rPr>
          <w:rFonts w:asciiTheme="minorHAnsi" w:eastAsiaTheme="minorHAnsi" w:hAnsiTheme="minorHAnsi" w:cstheme="minorBidi"/>
          <w:snapToGrid/>
          <w:sz w:val="24"/>
          <w:szCs w:val="24"/>
        </w:rPr>
        <w:t>T</w:t>
      </w:r>
      <w:r w:rsidRPr="003D0027">
        <w:rPr>
          <w:rFonts w:asciiTheme="minorHAnsi" w:eastAsiaTheme="minorHAnsi" w:hAnsiTheme="minorHAnsi" w:cstheme="minorBidi"/>
          <w:snapToGrid/>
          <w:sz w:val="24"/>
          <w:szCs w:val="24"/>
        </w:rPr>
        <w:t xml:space="preserve">he secretariat noted that this estimated cost saving is not </w:t>
      </w:r>
      <w:r w:rsidR="00F26EE8" w:rsidRPr="003D0027">
        <w:rPr>
          <w:rFonts w:asciiTheme="minorHAnsi" w:eastAsiaTheme="minorHAnsi" w:hAnsiTheme="minorHAnsi" w:cstheme="minorBidi"/>
          <w:snapToGrid/>
          <w:sz w:val="24"/>
          <w:szCs w:val="24"/>
        </w:rPr>
        <w:t xml:space="preserve">directly </w:t>
      </w:r>
      <w:r w:rsidRPr="003D0027">
        <w:rPr>
          <w:rFonts w:asciiTheme="minorHAnsi" w:eastAsiaTheme="minorHAnsi" w:hAnsiTheme="minorHAnsi" w:cstheme="minorBidi"/>
          <w:snapToGrid/>
          <w:sz w:val="24"/>
          <w:szCs w:val="24"/>
        </w:rPr>
        <w:t>attributable to the requested change in this minor submission.</w:t>
      </w:r>
    </w:p>
    <w:p w:rsidR="00502FCC" w:rsidRPr="00D60A02" w:rsidRDefault="00094E1E" w:rsidP="00D60A02">
      <w:pPr>
        <w:numPr>
          <w:ilvl w:val="0"/>
          <w:numId w:val="5"/>
        </w:numPr>
        <w:ind w:left="720"/>
        <w:outlineLvl w:val="0"/>
        <w:rPr>
          <w:rFonts w:asciiTheme="minorHAnsi" w:eastAsiaTheme="minorHAnsi" w:hAnsiTheme="minorHAnsi" w:cs="Arial"/>
          <w:b/>
          <w:sz w:val="32"/>
          <w:szCs w:val="32"/>
        </w:rPr>
      </w:pPr>
      <w:r w:rsidRPr="00D60A02">
        <w:rPr>
          <w:rFonts w:asciiTheme="minorHAnsi" w:eastAsiaTheme="minorHAnsi" w:hAnsiTheme="minorHAnsi" w:cs="Arial"/>
          <w:b/>
          <w:sz w:val="32"/>
          <w:szCs w:val="32"/>
          <w:lang w:eastAsia="en-US"/>
        </w:rPr>
        <w:t xml:space="preserve">PBAC </w:t>
      </w:r>
      <w:r w:rsidR="001D3E14" w:rsidRPr="00D60A02">
        <w:rPr>
          <w:rFonts w:asciiTheme="minorHAnsi" w:eastAsiaTheme="minorHAnsi" w:hAnsiTheme="minorHAnsi" w:cs="Arial"/>
          <w:b/>
          <w:sz w:val="32"/>
          <w:szCs w:val="32"/>
          <w:lang w:eastAsia="en-US"/>
        </w:rPr>
        <w:t>Outcome</w:t>
      </w:r>
    </w:p>
    <w:p w:rsidR="002D7CE9" w:rsidRPr="00D60A02" w:rsidRDefault="001D3E14" w:rsidP="00D60A02">
      <w:pPr>
        <w:pStyle w:val="ListParagraph"/>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3D0027">
        <w:rPr>
          <w:rFonts w:asciiTheme="minorHAnsi" w:eastAsiaTheme="minorHAnsi" w:hAnsiTheme="minorHAnsi" w:cstheme="minorBidi"/>
          <w:snapToGrid/>
          <w:sz w:val="24"/>
          <w:szCs w:val="24"/>
        </w:rPr>
        <w:t xml:space="preserve">The PBAC recommended </w:t>
      </w:r>
      <w:r w:rsidR="00343E06" w:rsidRPr="003D0027">
        <w:rPr>
          <w:rFonts w:asciiTheme="minorHAnsi" w:eastAsiaTheme="minorHAnsi" w:hAnsiTheme="minorHAnsi" w:cstheme="minorBidi"/>
          <w:snapToGrid/>
          <w:sz w:val="24"/>
          <w:szCs w:val="24"/>
        </w:rPr>
        <w:t xml:space="preserve">to </w:t>
      </w:r>
      <w:r w:rsidR="00343E06" w:rsidRPr="00D60A02">
        <w:rPr>
          <w:rFonts w:asciiTheme="minorHAnsi" w:eastAsiaTheme="minorHAnsi" w:hAnsiTheme="minorHAnsi" w:cstheme="minorBidi"/>
          <w:snapToGrid/>
          <w:sz w:val="24"/>
          <w:szCs w:val="24"/>
        </w:rPr>
        <w:t>extend the current listing for l</w:t>
      </w:r>
      <w:r w:rsidR="00343E06" w:rsidRPr="003D0027">
        <w:rPr>
          <w:rFonts w:asciiTheme="minorHAnsi" w:eastAsiaTheme="minorHAnsi" w:hAnsiTheme="minorHAnsi" w:cstheme="minorBidi"/>
          <w:snapToGrid/>
          <w:sz w:val="24"/>
          <w:szCs w:val="24"/>
        </w:rPr>
        <w:t>anreotide acetate 60 mg/0.5 mL, 90 mg/0.5 mL and 120 mg/0.5 mL pre-filled syringes, Somatuline Autogel</w:t>
      </w:r>
      <w:r w:rsidR="00343E06" w:rsidRPr="00D60A02">
        <w:rPr>
          <w:rFonts w:asciiTheme="minorHAnsi" w:eastAsiaTheme="minorHAnsi" w:hAnsiTheme="minorHAnsi" w:cstheme="minorBidi"/>
          <w:snapToGrid/>
          <w:sz w:val="24"/>
          <w:szCs w:val="24"/>
        </w:rPr>
        <w:t xml:space="preserve"> pre-filled syringe from Section 100 Highly Specialised Drug</w:t>
      </w:r>
      <w:r w:rsidR="00864E16" w:rsidRPr="00D60A02">
        <w:rPr>
          <w:rFonts w:asciiTheme="minorHAnsi" w:eastAsiaTheme="minorHAnsi" w:hAnsiTheme="minorHAnsi" w:cstheme="minorBidi"/>
          <w:snapToGrid/>
          <w:sz w:val="24"/>
          <w:szCs w:val="24"/>
        </w:rPr>
        <w:t>s</w:t>
      </w:r>
      <w:r w:rsidR="00343E06" w:rsidRPr="00D60A02">
        <w:rPr>
          <w:rFonts w:asciiTheme="minorHAnsi" w:eastAsiaTheme="minorHAnsi" w:hAnsiTheme="minorHAnsi" w:cstheme="minorBidi"/>
          <w:snapToGrid/>
          <w:sz w:val="24"/>
          <w:szCs w:val="24"/>
        </w:rPr>
        <w:t xml:space="preserve"> program (HSD) to a Section 100 HSD Community Access, Authority Required (STREAMLINED) for patients with acromegaly and functional carcinoid </w:t>
      </w:r>
      <w:r w:rsidR="00054D4C" w:rsidRPr="00D60A02">
        <w:rPr>
          <w:rFonts w:asciiTheme="minorHAnsi" w:eastAsiaTheme="minorHAnsi" w:hAnsiTheme="minorHAnsi" w:cstheme="minorBidi"/>
          <w:snapToGrid/>
          <w:sz w:val="24"/>
          <w:szCs w:val="24"/>
        </w:rPr>
        <w:t>tumour</w:t>
      </w:r>
      <w:r w:rsidR="005B6277">
        <w:rPr>
          <w:rFonts w:asciiTheme="minorHAnsi" w:eastAsiaTheme="minorHAnsi" w:hAnsiTheme="minorHAnsi" w:cstheme="minorBidi"/>
          <w:snapToGrid/>
          <w:sz w:val="24"/>
          <w:szCs w:val="24"/>
        </w:rPr>
        <w:t xml:space="preserve"> under the conditions noted below</w:t>
      </w:r>
      <w:r w:rsidR="00343E06" w:rsidRPr="00D60A02">
        <w:rPr>
          <w:rFonts w:asciiTheme="minorHAnsi" w:eastAsiaTheme="minorHAnsi" w:hAnsiTheme="minorHAnsi" w:cstheme="minorBidi"/>
          <w:snapToGrid/>
          <w:sz w:val="24"/>
          <w:szCs w:val="24"/>
        </w:rPr>
        <w:t>.</w:t>
      </w:r>
    </w:p>
    <w:p w:rsidR="00343E06" w:rsidRPr="00D60A02" w:rsidRDefault="002D7CE9" w:rsidP="00D60A02">
      <w:pPr>
        <w:pStyle w:val="ListParagraph"/>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D60A02">
        <w:rPr>
          <w:rFonts w:asciiTheme="minorHAnsi" w:eastAsiaTheme="minorHAnsi" w:hAnsiTheme="minorHAnsi" w:cstheme="minorBidi"/>
          <w:snapToGrid/>
          <w:sz w:val="24"/>
          <w:szCs w:val="24"/>
        </w:rPr>
        <w:t xml:space="preserve">The PBAC </w:t>
      </w:r>
      <w:r w:rsidRPr="003D0027">
        <w:rPr>
          <w:rFonts w:asciiTheme="minorHAnsi" w:eastAsiaTheme="minorHAnsi" w:hAnsiTheme="minorHAnsi" w:cstheme="minorBidi"/>
          <w:snapToGrid/>
          <w:sz w:val="24"/>
          <w:szCs w:val="24"/>
        </w:rPr>
        <w:t xml:space="preserve">recommended that the continuing phase of treatment should be available under Section 100 - Highly Specialised Drugs Program (Community Access), whilst the initial phase of treatment should remain </w:t>
      </w:r>
      <w:r w:rsidR="009A4B8A">
        <w:rPr>
          <w:rFonts w:asciiTheme="minorHAnsi" w:eastAsiaTheme="minorHAnsi" w:hAnsiTheme="minorHAnsi" w:cstheme="minorBidi"/>
          <w:snapToGrid/>
          <w:sz w:val="24"/>
          <w:szCs w:val="24"/>
        </w:rPr>
        <w:t xml:space="preserve">unchanged </w:t>
      </w:r>
      <w:r w:rsidRPr="003D0027">
        <w:rPr>
          <w:rFonts w:asciiTheme="minorHAnsi" w:eastAsiaTheme="minorHAnsi" w:hAnsiTheme="minorHAnsi" w:cstheme="minorBidi"/>
          <w:snapToGrid/>
          <w:sz w:val="24"/>
          <w:szCs w:val="24"/>
        </w:rPr>
        <w:t>under Section 100 – Highly Specialised Drugs Program (Public and Private Hospitals).</w:t>
      </w:r>
    </w:p>
    <w:p w:rsidR="001562BE" w:rsidRPr="00D60A02" w:rsidRDefault="002D7CE9" w:rsidP="00D60A02">
      <w:pPr>
        <w:pStyle w:val="ListParagraph"/>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D60A02">
        <w:rPr>
          <w:rFonts w:asciiTheme="minorHAnsi" w:eastAsiaTheme="minorHAnsi" w:hAnsiTheme="minorHAnsi" w:cstheme="minorBidi"/>
          <w:snapToGrid/>
          <w:sz w:val="24"/>
          <w:szCs w:val="24"/>
        </w:rPr>
        <w:t xml:space="preserve">The PBAC </w:t>
      </w:r>
      <w:r w:rsidR="00343E06" w:rsidRPr="00D60A02">
        <w:rPr>
          <w:rFonts w:asciiTheme="minorHAnsi" w:eastAsiaTheme="minorHAnsi" w:hAnsiTheme="minorHAnsi" w:cstheme="minorBidi"/>
          <w:snapToGrid/>
          <w:sz w:val="24"/>
          <w:szCs w:val="24"/>
        </w:rPr>
        <w:t xml:space="preserve">noted that the Department </w:t>
      </w:r>
      <w:r w:rsidR="001562BE" w:rsidRPr="00D60A02">
        <w:rPr>
          <w:rFonts w:asciiTheme="minorHAnsi" w:eastAsiaTheme="minorHAnsi" w:hAnsiTheme="minorHAnsi" w:cstheme="minorBidi"/>
          <w:snapToGrid/>
          <w:sz w:val="24"/>
          <w:szCs w:val="24"/>
        </w:rPr>
        <w:t>are currently reviewing broader PBS access issues and authority listing inconsistencies within the S100 highly specialised drug (HSD) program.</w:t>
      </w:r>
    </w:p>
    <w:p w:rsidR="001D3E14" w:rsidRPr="00D60A02" w:rsidRDefault="001B1BE4" w:rsidP="00D60A02">
      <w:pPr>
        <w:pStyle w:val="ListParagraph"/>
        <w:widowControl/>
        <w:numPr>
          <w:ilvl w:val="1"/>
          <w:numId w:val="5"/>
        </w:numPr>
        <w:spacing w:before="240" w:after="160"/>
        <w:ind w:left="709" w:hanging="709"/>
        <w:contextualSpacing w:val="0"/>
        <w:rPr>
          <w:rFonts w:asciiTheme="minorHAnsi" w:eastAsiaTheme="minorHAnsi" w:hAnsiTheme="minorHAnsi" w:cstheme="minorBidi"/>
          <w:snapToGrid/>
          <w:sz w:val="24"/>
          <w:szCs w:val="24"/>
        </w:rPr>
      </w:pPr>
      <w:r w:rsidRPr="00D60A02">
        <w:rPr>
          <w:rFonts w:asciiTheme="minorHAnsi" w:eastAsiaTheme="minorHAnsi" w:hAnsiTheme="minorHAnsi" w:cstheme="minorBidi"/>
          <w:snapToGrid/>
          <w:sz w:val="24"/>
          <w:szCs w:val="24"/>
        </w:rPr>
        <w:t xml:space="preserve">The </w:t>
      </w:r>
      <w:r w:rsidR="00735DF1" w:rsidRPr="00D60A02">
        <w:rPr>
          <w:rFonts w:asciiTheme="minorHAnsi" w:eastAsiaTheme="minorHAnsi" w:hAnsiTheme="minorHAnsi" w:cstheme="minorBidi"/>
          <w:snapToGrid/>
          <w:sz w:val="24"/>
          <w:szCs w:val="24"/>
        </w:rPr>
        <w:t>PBAC recommended that this extension of listing be incorporated</w:t>
      </w:r>
      <w:r w:rsidR="006D3D6B" w:rsidRPr="00D60A02">
        <w:rPr>
          <w:rFonts w:asciiTheme="minorHAnsi" w:eastAsiaTheme="minorHAnsi" w:hAnsiTheme="minorHAnsi" w:cstheme="minorBidi"/>
          <w:snapToGrid/>
          <w:sz w:val="24"/>
          <w:szCs w:val="24"/>
        </w:rPr>
        <w:t xml:space="preserve"> into the Department’s current work within this area.</w:t>
      </w:r>
      <w:r w:rsidR="00735DF1" w:rsidRPr="00D60A02">
        <w:rPr>
          <w:rFonts w:asciiTheme="minorHAnsi" w:eastAsiaTheme="minorHAnsi" w:hAnsiTheme="minorHAnsi" w:cstheme="minorBidi"/>
          <w:snapToGrid/>
          <w:sz w:val="24"/>
          <w:szCs w:val="24"/>
        </w:rPr>
        <w:t xml:space="preserve">  </w:t>
      </w:r>
      <w:r w:rsidRPr="00D60A02">
        <w:rPr>
          <w:rFonts w:asciiTheme="minorHAnsi" w:eastAsiaTheme="minorHAnsi" w:hAnsiTheme="minorHAnsi" w:cstheme="minorBidi"/>
          <w:snapToGrid/>
          <w:sz w:val="24"/>
          <w:szCs w:val="24"/>
        </w:rPr>
        <w:t>PBAC requested</w:t>
      </w:r>
      <w:r w:rsidR="006D3D6B" w:rsidRPr="00D60A02">
        <w:rPr>
          <w:rFonts w:asciiTheme="minorHAnsi" w:eastAsiaTheme="minorHAnsi" w:hAnsiTheme="minorHAnsi" w:cstheme="minorBidi"/>
          <w:snapToGrid/>
          <w:sz w:val="24"/>
          <w:szCs w:val="24"/>
        </w:rPr>
        <w:t xml:space="preserve"> the Department liaise with the </w:t>
      </w:r>
      <w:r w:rsidR="00343E06" w:rsidRPr="00D60A02">
        <w:rPr>
          <w:rFonts w:asciiTheme="minorHAnsi" w:eastAsiaTheme="minorHAnsi" w:hAnsiTheme="minorHAnsi" w:cstheme="minorBidi"/>
          <w:snapToGrid/>
          <w:sz w:val="24"/>
          <w:szCs w:val="24"/>
        </w:rPr>
        <w:t xml:space="preserve">sponsor </w:t>
      </w:r>
      <w:r w:rsidR="006D3D6B" w:rsidRPr="00D60A02">
        <w:rPr>
          <w:rFonts w:asciiTheme="minorHAnsi" w:eastAsiaTheme="minorHAnsi" w:hAnsiTheme="minorHAnsi" w:cstheme="minorBidi"/>
          <w:snapToGrid/>
          <w:sz w:val="24"/>
          <w:szCs w:val="24"/>
        </w:rPr>
        <w:t>in order to facilitate</w:t>
      </w:r>
      <w:r w:rsidR="00343E06" w:rsidRPr="00D60A02">
        <w:rPr>
          <w:rFonts w:asciiTheme="minorHAnsi" w:eastAsiaTheme="minorHAnsi" w:hAnsiTheme="minorHAnsi" w:cstheme="minorBidi"/>
          <w:snapToGrid/>
          <w:sz w:val="24"/>
          <w:szCs w:val="24"/>
        </w:rPr>
        <w:t xml:space="preserve"> an appropriate way to improve access to PBS listed medicines for patients living in rural and remote </w:t>
      </w:r>
      <w:r w:rsidR="002D7CE9" w:rsidRPr="00D60A02">
        <w:rPr>
          <w:rFonts w:asciiTheme="minorHAnsi" w:eastAsiaTheme="minorHAnsi" w:hAnsiTheme="minorHAnsi" w:cstheme="minorBidi"/>
          <w:snapToGrid/>
          <w:sz w:val="24"/>
          <w:szCs w:val="24"/>
        </w:rPr>
        <w:t>Australia</w:t>
      </w:r>
      <w:r w:rsidR="002E7751" w:rsidRPr="00D60A02">
        <w:rPr>
          <w:rFonts w:asciiTheme="minorHAnsi" w:eastAsiaTheme="minorHAnsi" w:hAnsiTheme="minorHAnsi" w:cstheme="minorBidi"/>
          <w:snapToGrid/>
          <w:sz w:val="24"/>
          <w:szCs w:val="24"/>
        </w:rPr>
        <w:t>.</w:t>
      </w:r>
      <w:r w:rsidR="001D3E14" w:rsidRPr="00D60A02">
        <w:rPr>
          <w:rFonts w:asciiTheme="minorHAnsi" w:eastAsiaTheme="minorHAnsi" w:hAnsiTheme="minorHAnsi" w:cstheme="minorBidi"/>
          <w:snapToGrid/>
          <w:sz w:val="24"/>
          <w:szCs w:val="24"/>
        </w:rPr>
        <w:t xml:space="preserve"> </w:t>
      </w:r>
    </w:p>
    <w:p w:rsidR="00870CF3" w:rsidRPr="003D0027" w:rsidRDefault="00870CF3" w:rsidP="00094E1E">
      <w:pPr>
        <w:pStyle w:val="ListParagraph"/>
        <w:widowControl/>
        <w:spacing w:before="240" w:after="160"/>
        <w:ind w:left="709" w:hanging="709"/>
        <w:contextualSpacing w:val="0"/>
        <w:rPr>
          <w:rFonts w:asciiTheme="minorHAnsi" w:eastAsiaTheme="minorHAnsi" w:hAnsiTheme="minorHAnsi" w:cstheme="minorBidi"/>
          <w:b/>
          <w:snapToGrid/>
          <w:sz w:val="28"/>
          <w:szCs w:val="28"/>
        </w:rPr>
      </w:pPr>
      <w:r w:rsidRPr="003D0027">
        <w:rPr>
          <w:rFonts w:asciiTheme="minorHAnsi" w:eastAsiaTheme="minorHAnsi" w:hAnsiTheme="minorHAnsi" w:cstheme="minorBidi"/>
          <w:b/>
          <w:snapToGrid/>
          <w:sz w:val="28"/>
          <w:szCs w:val="28"/>
        </w:rPr>
        <w:t>Outcome</w:t>
      </w:r>
    </w:p>
    <w:p w:rsidR="00685007" w:rsidRDefault="00870CF3" w:rsidP="009C360F">
      <w:pPr>
        <w:spacing w:before="240" w:after="160"/>
        <w:rPr>
          <w:rFonts w:asciiTheme="minorHAnsi" w:eastAsiaTheme="minorHAnsi" w:hAnsiTheme="minorHAnsi" w:cstheme="minorBidi"/>
          <w:sz w:val="32"/>
          <w:szCs w:val="32"/>
        </w:rPr>
      </w:pPr>
      <w:r w:rsidRPr="009C360F">
        <w:rPr>
          <w:rFonts w:asciiTheme="minorHAnsi" w:eastAsiaTheme="minorHAnsi" w:hAnsiTheme="minorHAnsi" w:cstheme="minorBidi"/>
        </w:rPr>
        <w:t>Recommended</w:t>
      </w:r>
      <w:r w:rsidR="00094E1E" w:rsidRPr="009C360F">
        <w:rPr>
          <w:rFonts w:asciiTheme="minorHAnsi" w:eastAsiaTheme="minorHAnsi" w:hAnsiTheme="minorHAnsi" w:cstheme="minorBidi"/>
          <w:sz w:val="32"/>
          <w:szCs w:val="32"/>
        </w:rPr>
        <w:t xml:space="preserve"> </w:t>
      </w:r>
    </w:p>
    <w:p w:rsidR="00685007" w:rsidRPr="00685007" w:rsidRDefault="00685007" w:rsidP="00685007">
      <w:pPr>
        <w:numPr>
          <w:ilvl w:val="0"/>
          <w:numId w:val="5"/>
        </w:numPr>
        <w:ind w:left="720"/>
        <w:outlineLvl w:val="0"/>
        <w:rPr>
          <w:rFonts w:asciiTheme="minorHAnsi" w:eastAsiaTheme="minorHAnsi" w:hAnsiTheme="minorHAnsi" w:cs="Arial"/>
          <w:b/>
          <w:sz w:val="32"/>
          <w:szCs w:val="32"/>
          <w:lang w:eastAsia="en-US"/>
        </w:rPr>
      </w:pPr>
      <w:r w:rsidRPr="00685007">
        <w:rPr>
          <w:rFonts w:asciiTheme="minorHAnsi" w:eastAsiaTheme="minorHAnsi" w:hAnsiTheme="minorHAnsi" w:cs="Arial"/>
          <w:b/>
          <w:sz w:val="32"/>
          <w:szCs w:val="32"/>
          <w:lang w:eastAsia="en-US"/>
        </w:rPr>
        <w:t>Context for Decision</w:t>
      </w:r>
    </w:p>
    <w:p w:rsidR="00685007" w:rsidRPr="00685007" w:rsidRDefault="00685007" w:rsidP="00685007">
      <w:pPr>
        <w:spacing w:before="120" w:after="120"/>
        <w:rPr>
          <w:rFonts w:ascii="Calibri" w:eastAsia="Calibri" w:hAnsi="Calibri" w:cs="Arial"/>
          <w:szCs w:val="22"/>
          <w:lang w:eastAsia="en-US"/>
        </w:rPr>
      </w:pPr>
      <w:r w:rsidRPr="00685007">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85007" w:rsidRPr="00685007" w:rsidRDefault="00685007" w:rsidP="00685007">
      <w:pPr>
        <w:numPr>
          <w:ilvl w:val="0"/>
          <w:numId w:val="5"/>
        </w:numPr>
        <w:ind w:left="720"/>
        <w:outlineLvl w:val="0"/>
        <w:rPr>
          <w:rFonts w:asciiTheme="minorHAnsi" w:eastAsiaTheme="minorHAnsi" w:hAnsiTheme="minorHAnsi" w:cs="Arial"/>
          <w:b/>
          <w:sz w:val="32"/>
          <w:szCs w:val="32"/>
          <w:lang w:eastAsia="en-US"/>
        </w:rPr>
      </w:pPr>
      <w:r w:rsidRPr="00685007">
        <w:rPr>
          <w:rFonts w:asciiTheme="minorHAnsi" w:eastAsiaTheme="minorHAnsi" w:hAnsiTheme="minorHAnsi" w:cs="Arial"/>
          <w:b/>
          <w:sz w:val="32"/>
          <w:szCs w:val="32"/>
          <w:lang w:eastAsia="en-US"/>
        </w:rPr>
        <w:t>Sponsor’s Comment</w:t>
      </w:r>
    </w:p>
    <w:p w:rsidR="00685007" w:rsidRPr="009C360F" w:rsidRDefault="00685007" w:rsidP="00B15306">
      <w:pPr>
        <w:spacing w:before="120" w:after="160"/>
        <w:jc w:val="both"/>
        <w:rPr>
          <w:rFonts w:asciiTheme="minorHAnsi" w:eastAsiaTheme="minorHAnsi" w:hAnsiTheme="minorHAnsi" w:cstheme="minorBidi"/>
        </w:rPr>
      </w:pPr>
      <w:r w:rsidRPr="00685007">
        <w:rPr>
          <w:rFonts w:ascii="Calibri" w:eastAsia="Calibri" w:hAnsi="Calibri" w:cs="Arial"/>
          <w:snapToGrid w:val="0"/>
          <w:szCs w:val="20"/>
          <w:lang w:eastAsia="en-US"/>
        </w:rPr>
        <w:t>The sponsor had no comment.</w:t>
      </w:r>
      <w:r w:rsidR="00B15306" w:rsidRPr="009C360F">
        <w:rPr>
          <w:rFonts w:asciiTheme="minorHAnsi" w:eastAsiaTheme="minorHAnsi" w:hAnsiTheme="minorHAnsi" w:cstheme="minorBidi"/>
        </w:rPr>
        <w:t xml:space="preserve"> </w:t>
      </w:r>
    </w:p>
    <w:sectPr w:rsidR="00685007" w:rsidRPr="009C360F" w:rsidSect="00CC78E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D9" w:rsidRDefault="008316D9">
      <w:r>
        <w:separator/>
      </w:r>
    </w:p>
    <w:p w:rsidR="008316D9" w:rsidRDefault="008316D9"/>
  </w:endnote>
  <w:endnote w:type="continuationSeparator" w:id="0">
    <w:p w:rsidR="008316D9" w:rsidRDefault="008316D9">
      <w:r>
        <w:continuationSeparator/>
      </w:r>
    </w:p>
    <w:p w:rsidR="008316D9" w:rsidRDefault="00831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F23FB" w:rsidTr="005A3173">
      <w:trPr>
        <w:trHeight w:val="151"/>
      </w:trPr>
      <w:tc>
        <w:tcPr>
          <w:tcW w:w="2250" w:type="pct"/>
          <w:tcBorders>
            <w:top w:val="nil"/>
            <w:left w:val="nil"/>
            <w:bottom w:val="single" w:sz="4" w:space="0" w:color="4F81BD"/>
            <w:right w:val="nil"/>
          </w:tcBorders>
        </w:tcPr>
        <w:p w:rsidR="000F23FB" w:rsidRPr="005A3173" w:rsidRDefault="000F23F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F23FB" w:rsidRPr="005A3173" w:rsidRDefault="000F23F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F23FB" w:rsidRPr="005A3173" w:rsidRDefault="000F23FB" w:rsidP="005A3173">
          <w:pPr>
            <w:pStyle w:val="Header"/>
            <w:spacing w:line="276" w:lineRule="auto"/>
            <w:rPr>
              <w:rFonts w:ascii="Calibri" w:eastAsia="MS Gothic" w:hAnsi="Calibri"/>
              <w:b/>
              <w:bCs/>
              <w:color w:val="4F81BD"/>
            </w:rPr>
          </w:pPr>
        </w:p>
      </w:tc>
    </w:tr>
    <w:tr w:rsidR="000F23FB" w:rsidTr="005A3173">
      <w:trPr>
        <w:trHeight w:val="150"/>
      </w:trPr>
      <w:tc>
        <w:tcPr>
          <w:tcW w:w="2250" w:type="pct"/>
          <w:tcBorders>
            <w:top w:val="single" w:sz="4" w:space="0" w:color="4F81BD"/>
            <w:left w:val="nil"/>
            <w:bottom w:val="nil"/>
            <w:right w:val="nil"/>
          </w:tcBorders>
        </w:tcPr>
        <w:p w:rsidR="000F23FB" w:rsidRPr="005A3173" w:rsidRDefault="000F23FB" w:rsidP="005A3173">
          <w:pPr>
            <w:pStyle w:val="Header"/>
            <w:spacing w:line="276" w:lineRule="auto"/>
            <w:rPr>
              <w:rFonts w:ascii="Calibri" w:eastAsia="MS Gothic" w:hAnsi="Calibri"/>
              <w:b/>
              <w:bCs/>
              <w:color w:val="4F81BD"/>
            </w:rPr>
          </w:pPr>
        </w:p>
      </w:tc>
      <w:tc>
        <w:tcPr>
          <w:tcW w:w="0" w:type="auto"/>
          <w:vMerge/>
          <w:vAlign w:val="center"/>
          <w:hideMark/>
        </w:tcPr>
        <w:p w:rsidR="000F23FB" w:rsidRPr="005A3173" w:rsidRDefault="000F23FB" w:rsidP="005A3173">
          <w:pPr>
            <w:rPr>
              <w:rFonts w:ascii="Calibri" w:hAnsi="Calibri"/>
              <w:color w:val="365F91"/>
              <w:sz w:val="22"/>
              <w:szCs w:val="22"/>
            </w:rPr>
          </w:pPr>
        </w:p>
      </w:tc>
      <w:tc>
        <w:tcPr>
          <w:tcW w:w="2250" w:type="pct"/>
          <w:tcBorders>
            <w:top w:val="single" w:sz="4" w:space="0" w:color="4F81BD"/>
            <w:left w:val="nil"/>
            <w:bottom w:val="nil"/>
            <w:right w:val="nil"/>
          </w:tcBorders>
        </w:tcPr>
        <w:p w:rsidR="000F23FB" w:rsidRPr="005A3173" w:rsidRDefault="000F23FB" w:rsidP="005A3173">
          <w:pPr>
            <w:pStyle w:val="Header"/>
            <w:spacing w:line="276" w:lineRule="auto"/>
            <w:rPr>
              <w:rFonts w:ascii="Calibri" w:eastAsia="MS Gothic" w:hAnsi="Calibri"/>
              <w:b/>
              <w:bCs/>
              <w:color w:val="4F81BD"/>
            </w:rPr>
          </w:pPr>
        </w:p>
      </w:tc>
    </w:tr>
  </w:tbl>
  <w:p w:rsidR="000F23FB" w:rsidRDefault="000F23F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3FB" w:rsidRDefault="000F23FB">
    <w:pPr>
      <w:pStyle w:val="Footer"/>
    </w:pPr>
  </w:p>
  <w:p w:rsidR="000F23FB" w:rsidRDefault="000F23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62491"/>
      <w:docPartObj>
        <w:docPartGallery w:val="Page Numbers (Bottom of Page)"/>
        <w:docPartUnique/>
      </w:docPartObj>
    </w:sdtPr>
    <w:sdtEndPr>
      <w:rPr>
        <w:noProof/>
      </w:rPr>
    </w:sdtEndPr>
    <w:sdtContent>
      <w:p w:rsidR="00E60094" w:rsidRDefault="00E60094">
        <w:pPr>
          <w:pStyle w:val="Footer"/>
          <w:jc w:val="center"/>
        </w:pPr>
        <w:r>
          <w:fldChar w:fldCharType="begin"/>
        </w:r>
        <w:r>
          <w:instrText xml:space="preserve"> PAGE   \* MERGEFORMAT </w:instrText>
        </w:r>
        <w:r>
          <w:fldChar w:fldCharType="separate"/>
        </w:r>
        <w:r w:rsidR="008316D9">
          <w:rPr>
            <w:noProof/>
          </w:rPr>
          <w:t>5</w:t>
        </w:r>
        <w:r>
          <w:rPr>
            <w:noProof/>
          </w:rPr>
          <w:fldChar w:fldCharType="end"/>
        </w:r>
      </w:p>
    </w:sdtContent>
  </w:sdt>
  <w:p w:rsidR="000F23FB" w:rsidRPr="005E1333" w:rsidRDefault="000F23FB"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F23FB" w:rsidTr="005A3173">
      <w:trPr>
        <w:trHeight w:val="151"/>
      </w:trPr>
      <w:tc>
        <w:tcPr>
          <w:tcW w:w="2250" w:type="pct"/>
          <w:tcBorders>
            <w:top w:val="nil"/>
            <w:left w:val="nil"/>
            <w:bottom w:val="single" w:sz="4" w:space="0" w:color="4F81BD"/>
            <w:right w:val="nil"/>
          </w:tcBorders>
        </w:tcPr>
        <w:p w:rsidR="000F23FB" w:rsidRPr="005A3173" w:rsidRDefault="000F23F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F23FB" w:rsidRPr="005A3173" w:rsidRDefault="000F23F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F23FB" w:rsidRPr="005A3173" w:rsidRDefault="000F23FB" w:rsidP="005A3173">
          <w:pPr>
            <w:pStyle w:val="Header"/>
            <w:spacing w:line="276" w:lineRule="auto"/>
            <w:rPr>
              <w:rFonts w:ascii="Calibri" w:eastAsia="MS Gothic" w:hAnsi="Calibri"/>
              <w:b/>
              <w:bCs/>
              <w:color w:val="4F81BD"/>
            </w:rPr>
          </w:pPr>
        </w:p>
      </w:tc>
    </w:tr>
    <w:tr w:rsidR="000F23FB" w:rsidTr="005A3173">
      <w:trPr>
        <w:trHeight w:val="150"/>
      </w:trPr>
      <w:tc>
        <w:tcPr>
          <w:tcW w:w="2250" w:type="pct"/>
          <w:tcBorders>
            <w:top w:val="single" w:sz="4" w:space="0" w:color="4F81BD"/>
            <w:left w:val="nil"/>
            <w:bottom w:val="nil"/>
            <w:right w:val="nil"/>
          </w:tcBorders>
        </w:tcPr>
        <w:p w:rsidR="000F23FB" w:rsidRPr="005A3173" w:rsidRDefault="000F23FB" w:rsidP="005A3173">
          <w:pPr>
            <w:pStyle w:val="Header"/>
            <w:spacing w:line="276" w:lineRule="auto"/>
            <w:rPr>
              <w:rFonts w:ascii="Calibri" w:eastAsia="MS Gothic" w:hAnsi="Calibri"/>
              <w:b/>
              <w:bCs/>
              <w:color w:val="4F81BD"/>
            </w:rPr>
          </w:pPr>
        </w:p>
      </w:tc>
      <w:tc>
        <w:tcPr>
          <w:tcW w:w="0" w:type="auto"/>
          <w:vMerge/>
          <w:vAlign w:val="center"/>
          <w:hideMark/>
        </w:tcPr>
        <w:p w:rsidR="000F23FB" w:rsidRPr="005A3173" w:rsidRDefault="000F23FB" w:rsidP="005A3173">
          <w:pPr>
            <w:rPr>
              <w:rFonts w:ascii="Calibri" w:hAnsi="Calibri"/>
              <w:color w:val="365F91"/>
              <w:sz w:val="22"/>
              <w:szCs w:val="22"/>
            </w:rPr>
          </w:pPr>
        </w:p>
      </w:tc>
      <w:tc>
        <w:tcPr>
          <w:tcW w:w="2250" w:type="pct"/>
          <w:tcBorders>
            <w:top w:val="single" w:sz="4" w:space="0" w:color="4F81BD"/>
            <w:left w:val="nil"/>
            <w:bottom w:val="nil"/>
            <w:right w:val="nil"/>
          </w:tcBorders>
        </w:tcPr>
        <w:p w:rsidR="000F23FB" w:rsidRPr="005A3173" w:rsidRDefault="000F23F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F23FB" w:rsidTr="005A3173">
      <w:trPr>
        <w:trHeight w:val="151"/>
      </w:trPr>
      <w:tc>
        <w:tcPr>
          <w:tcW w:w="2250" w:type="pct"/>
          <w:tcBorders>
            <w:top w:val="nil"/>
            <w:left w:val="nil"/>
            <w:bottom w:val="single" w:sz="4" w:space="0" w:color="4F81BD"/>
            <w:right w:val="nil"/>
          </w:tcBorders>
        </w:tcPr>
        <w:p w:rsidR="000F23FB" w:rsidRPr="005A3173" w:rsidRDefault="000F23F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F23FB" w:rsidRPr="005A3173" w:rsidRDefault="000F23F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F23FB" w:rsidRPr="005A3173" w:rsidRDefault="000F23FB" w:rsidP="005A3173">
          <w:pPr>
            <w:pStyle w:val="Header"/>
            <w:spacing w:line="276" w:lineRule="auto"/>
            <w:rPr>
              <w:rFonts w:ascii="Calibri" w:eastAsia="MS Gothic" w:hAnsi="Calibri"/>
              <w:b/>
              <w:bCs/>
              <w:color w:val="4F81BD"/>
            </w:rPr>
          </w:pPr>
        </w:p>
      </w:tc>
    </w:tr>
    <w:tr w:rsidR="000F23FB" w:rsidTr="005A3173">
      <w:trPr>
        <w:trHeight w:val="150"/>
      </w:trPr>
      <w:tc>
        <w:tcPr>
          <w:tcW w:w="2250" w:type="pct"/>
          <w:tcBorders>
            <w:top w:val="single" w:sz="4" w:space="0" w:color="4F81BD"/>
            <w:left w:val="nil"/>
            <w:bottom w:val="nil"/>
            <w:right w:val="nil"/>
          </w:tcBorders>
        </w:tcPr>
        <w:p w:rsidR="000F23FB" w:rsidRPr="005A3173" w:rsidRDefault="000F23FB" w:rsidP="005A3173">
          <w:pPr>
            <w:pStyle w:val="Header"/>
            <w:spacing w:line="276" w:lineRule="auto"/>
            <w:rPr>
              <w:rFonts w:ascii="Calibri" w:eastAsia="MS Gothic" w:hAnsi="Calibri"/>
              <w:b/>
              <w:bCs/>
              <w:color w:val="4F81BD"/>
            </w:rPr>
          </w:pPr>
        </w:p>
      </w:tc>
      <w:tc>
        <w:tcPr>
          <w:tcW w:w="0" w:type="auto"/>
          <w:vMerge/>
          <w:vAlign w:val="center"/>
          <w:hideMark/>
        </w:tcPr>
        <w:p w:rsidR="000F23FB" w:rsidRPr="005A3173" w:rsidRDefault="000F23FB" w:rsidP="005A3173">
          <w:pPr>
            <w:rPr>
              <w:rFonts w:ascii="Calibri" w:hAnsi="Calibri"/>
              <w:color w:val="365F91"/>
              <w:sz w:val="22"/>
              <w:szCs w:val="22"/>
            </w:rPr>
          </w:pPr>
        </w:p>
      </w:tc>
      <w:tc>
        <w:tcPr>
          <w:tcW w:w="2250" w:type="pct"/>
          <w:tcBorders>
            <w:top w:val="single" w:sz="4" w:space="0" w:color="4F81BD"/>
            <w:left w:val="nil"/>
            <w:bottom w:val="nil"/>
            <w:right w:val="nil"/>
          </w:tcBorders>
        </w:tcPr>
        <w:p w:rsidR="000F23FB" w:rsidRPr="005A3173" w:rsidRDefault="000F23FB" w:rsidP="005A3173">
          <w:pPr>
            <w:pStyle w:val="Header"/>
            <w:spacing w:line="276" w:lineRule="auto"/>
            <w:rPr>
              <w:rFonts w:ascii="Calibri" w:eastAsia="MS Gothic" w:hAnsi="Calibri"/>
              <w:b/>
              <w:bCs/>
              <w:color w:val="4F81BD"/>
            </w:rPr>
          </w:pPr>
        </w:p>
      </w:tc>
    </w:tr>
  </w:tbl>
  <w:p w:rsidR="000F23FB" w:rsidRPr="007C0F57" w:rsidRDefault="000F23F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F23FB" w:rsidRPr="007C0F57" w:rsidRDefault="000F23FB" w:rsidP="007C0F57">
    <w:pPr>
      <w:pStyle w:val="Footer"/>
      <w:jc w:val="center"/>
      <w:rPr>
        <w:b/>
        <w:i/>
        <w:sz w:val="20"/>
        <w:szCs w:val="20"/>
      </w:rPr>
    </w:pPr>
    <w:r w:rsidRPr="007C0F57">
      <w:rPr>
        <w:b/>
        <w:i/>
        <w:sz w:val="20"/>
        <w:szCs w:val="20"/>
      </w:rPr>
      <w:t>Commercial-in-Confidence</w:t>
    </w:r>
  </w:p>
  <w:p w:rsidR="000F23FB" w:rsidRDefault="000F23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D9" w:rsidRDefault="008316D9">
      <w:r>
        <w:separator/>
      </w:r>
    </w:p>
    <w:p w:rsidR="008316D9" w:rsidRDefault="008316D9"/>
  </w:footnote>
  <w:footnote w:type="continuationSeparator" w:id="0">
    <w:p w:rsidR="008316D9" w:rsidRDefault="008316D9">
      <w:r>
        <w:continuationSeparator/>
      </w:r>
    </w:p>
    <w:p w:rsidR="008316D9" w:rsidRDefault="008316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F23FB" w:rsidRPr="008E0D90" w:rsidTr="00A06225">
      <w:trPr>
        <w:trHeight w:val="151"/>
      </w:trPr>
      <w:tc>
        <w:tcPr>
          <w:tcW w:w="2389" w:type="pct"/>
          <w:tcBorders>
            <w:top w:val="nil"/>
            <w:left w:val="nil"/>
            <w:bottom w:val="single" w:sz="4" w:space="0" w:color="4F81BD"/>
            <w:right w:val="nil"/>
          </w:tcBorders>
        </w:tcPr>
        <w:p w:rsidR="000F23FB" w:rsidRPr="00A06225" w:rsidRDefault="000F23FB">
          <w:pPr>
            <w:pStyle w:val="Header"/>
            <w:spacing w:line="276" w:lineRule="auto"/>
            <w:rPr>
              <w:rFonts w:ascii="Cambria" w:eastAsia="MS Gothic" w:hAnsi="Cambria"/>
              <w:b/>
              <w:bCs/>
              <w:color w:val="4F81BD"/>
            </w:rPr>
          </w:pPr>
        </w:p>
      </w:tc>
      <w:tc>
        <w:tcPr>
          <w:tcW w:w="333" w:type="pct"/>
          <w:vMerge w:val="restart"/>
          <w:noWrap/>
          <w:vAlign w:val="center"/>
          <w:hideMark/>
        </w:tcPr>
        <w:p w:rsidR="000F23FB" w:rsidRPr="00A06225" w:rsidRDefault="000F23F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F23FB" w:rsidRPr="00A06225" w:rsidRDefault="000F23FB">
          <w:pPr>
            <w:pStyle w:val="Header"/>
            <w:spacing w:line="276" w:lineRule="auto"/>
            <w:rPr>
              <w:rFonts w:ascii="Cambria" w:eastAsia="MS Gothic" w:hAnsi="Cambria"/>
              <w:b/>
              <w:bCs/>
              <w:color w:val="4F81BD"/>
            </w:rPr>
          </w:pPr>
        </w:p>
      </w:tc>
    </w:tr>
    <w:tr w:rsidR="000F23FB" w:rsidRPr="008E0D90" w:rsidTr="00A06225">
      <w:trPr>
        <w:trHeight w:val="150"/>
      </w:trPr>
      <w:tc>
        <w:tcPr>
          <w:tcW w:w="2389" w:type="pct"/>
          <w:tcBorders>
            <w:top w:val="single" w:sz="4" w:space="0" w:color="4F81BD"/>
            <w:left w:val="nil"/>
            <w:bottom w:val="nil"/>
            <w:right w:val="nil"/>
          </w:tcBorders>
        </w:tcPr>
        <w:p w:rsidR="000F23FB" w:rsidRPr="00A06225" w:rsidRDefault="000F23FB">
          <w:pPr>
            <w:pStyle w:val="Header"/>
            <w:spacing w:line="276" w:lineRule="auto"/>
            <w:rPr>
              <w:rFonts w:ascii="Cambria" w:eastAsia="MS Gothic" w:hAnsi="Cambria"/>
              <w:b/>
              <w:bCs/>
              <w:color w:val="4F81BD"/>
            </w:rPr>
          </w:pPr>
        </w:p>
      </w:tc>
      <w:tc>
        <w:tcPr>
          <w:tcW w:w="0" w:type="auto"/>
          <w:vMerge/>
          <w:vAlign w:val="center"/>
          <w:hideMark/>
        </w:tcPr>
        <w:p w:rsidR="000F23FB" w:rsidRPr="00A06225" w:rsidRDefault="000F23FB">
          <w:pPr>
            <w:rPr>
              <w:rFonts w:ascii="Cambria" w:hAnsi="Cambria"/>
              <w:color w:val="4F81BD"/>
              <w:sz w:val="22"/>
              <w:szCs w:val="22"/>
            </w:rPr>
          </w:pPr>
        </w:p>
      </w:tc>
      <w:tc>
        <w:tcPr>
          <w:tcW w:w="2278" w:type="pct"/>
          <w:tcBorders>
            <w:top w:val="single" w:sz="4" w:space="0" w:color="4F81BD"/>
            <w:left w:val="nil"/>
            <w:bottom w:val="nil"/>
            <w:right w:val="nil"/>
          </w:tcBorders>
        </w:tcPr>
        <w:p w:rsidR="000F23FB" w:rsidRPr="00A06225" w:rsidRDefault="000F23FB">
          <w:pPr>
            <w:pStyle w:val="Header"/>
            <w:spacing w:line="276" w:lineRule="auto"/>
            <w:rPr>
              <w:rFonts w:ascii="Cambria" w:eastAsia="MS Gothic" w:hAnsi="Cambria"/>
              <w:b/>
              <w:bCs/>
              <w:color w:val="4F81BD"/>
            </w:rPr>
          </w:pPr>
        </w:p>
      </w:tc>
    </w:tr>
  </w:tbl>
  <w:p w:rsidR="000F23FB" w:rsidRDefault="000F23FB">
    <w:pPr>
      <w:pStyle w:val="Header"/>
    </w:pPr>
  </w:p>
  <w:p w:rsidR="000F23FB" w:rsidRDefault="000F23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94" w:rsidRPr="00C84689" w:rsidRDefault="008128A5" w:rsidP="00E60094">
    <w:pPr>
      <w:pStyle w:val="NoSpacing"/>
      <w:jc w:val="center"/>
      <w:rPr>
        <w:rFonts w:asciiTheme="minorHAnsi" w:hAnsiTheme="minorHAnsi"/>
        <w:i/>
      </w:rPr>
    </w:pPr>
    <w:r>
      <w:rPr>
        <w:rFonts w:asciiTheme="minorHAnsi" w:hAnsiTheme="minorHAnsi"/>
        <w:i/>
      </w:rPr>
      <w:t>Public Summary Document</w:t>
    </w:r>
    <w:r w:rsidR="00E60094" w:rsidRPr="00C84689">
      <w:rPr>
        <w:rFonts w:asciiTheme="minorHAnsi" w:hAnsiTheme="minorHAnsi"/>
        <w:i/>
      </w:rPr>
      <w:t xml:space="preserve"> - November 2017 PBAC Meeting</w:t>
    </w:r>
  </w:p>
  <w:p w:rsidR="005704D0" w:rsidRPr="005704D0" w:rsidRDefault="005704D0" w:rsidP="00E60094">
    <w:pPr>
      <w:pStyle w:val="NoSpacing"/>
      <w:jc w:val="cent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D9" w:rsidRDefault="00831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6161F1B"/>
    <w:multiLevelType w:val="multilevel"/>
    <w:tmpl w:val="1E2A8202"/>
    <w:lvl w:ilvl="0">
      <w:start w:val="1"/>
      <w:numFmt w:val="decimal"/>
      <w:lvlText w:val="%1"/>
      <w:lvlJc w:val="left"/>
      <w:pPr>
        <w:ind w:left="720" w:hanging="720"/>
      </w:pPr>
      <w:rPr>
        <w:rFonts w:hint="default"/>
        <w:b/>
      </w:rPr>
    </w:lvl>
    <w:lvl w:ilvl="1">
      <w:start w:val="1"/>
      <w:numFmt w:val="bullet"/>
      <w:lvlText w:val=""/>
      <w:lvlJc w:val="left"/>
      <w:pPr>
        <w:ind w:left="862"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6D54D97"/>
    <w:multiLevelType w:val="hybridMultilevel"/>
    <w:tmpl w:val="88661088"/>
    <w:lvl w:ilvl="0" w:tplc="0C090001">
      <w:start w:val="1"/>
      <w:numFmt w:val="bullet"/>
      <w:lvlText w:val=""/>
      <w:lvlJc w:val="left"/>
      <w:pPr>
        <w:ind w:left="797" w:hanging="360"/>
      </w:pPr>
      <w:rPr>
        <w:rFonts w:ascii="Symbol" w:hAnsi="Symbol" w:hint="default"/>
      </w:rPr>
    </w:lvl>
    <w:lvl w:ilvl="1" w:tplc="0C090003">
      <w:start w:val="1"/>
      <w:numFmt w:val="bullet"/>
      <w:lvlText w:val="o"/>
      <w:lvlJc w:val="left"/>
      <w:pPr>
        <w:ind w:left="1517" w:hanging="360"/>
      </w:pPr>
      <w:rPr>
        <w:rFonts w:ascii="Courier New" w:hAnsi="Courier New" w:cs="Courier New" w:hint="default"/>
      </w:rPr>
    </w:lvl>
    <w:lvl w:ilvl="2" w:tplc="0C090005">
      <w:start w:val="1"/>
      <w:numFmt w:val="bullet"/>
      <w:lvlText w:val=""/>
      <w:lvlJc w:val="left"/>
      <w:pPr>
        <w:ind w:left="2237" w:hanging="360"/>
      </w:pPr>
      <w:rPr>
        <w:rFonts w:ascii="Wingdings" w:hAnsi="Wingdings" w:hint="default"/>
      </w:rPr>
    </w:lvl>
    <w:lvl w:ilvl="3" w:tplc="0C090001">
      <w:start w:val="1"/>
      <w:numFmt w:val="bullet"/>
      <w:lvlText w:val=""/>
      <w:lvlJc w:val="left"/>
      <w:pPr>
        <w:ind w:left="2957" w:hanging="360"/>
      </w:pPr>
      <w:rPr>
        <w:rFonts w:ascii="Symbol" w:hAnsi="Symbol" w:hint="default"/>
      </w:rPr>
    </w:lvl>
    <w:lvl w:ilvl="4" w:tplc="0C090003">
      <w:start w:val="1"/>
      <w:numFmt w:val="bullet"/>
      <w:lvlText w:val="o"/>
      <w:lvlJc w:val="left"/>
      <w:pPr>
        <w:ind w:left="3677" w:hanging="360"/>
      </w:pPr>
      <w:rPr>
        <w:rFonts w:ascii="Courier New" w:hAnsi="Courier New" w:cs="Courier New" w:hint="default"/>
      </w:rPr>
    </w:lvl>
    <w:lvl w:ilvl="5" w:tplc="0C090005">
      <w:start w:val="1"/>
      <w:numFmt w:val="bullet"/>
      <w:lvlText w:val=""/>
      <w:lvlJc w:val="left"/>
      <w:pPr>
        <w:ind w:left="4397" w:hanging="360"/>
      </w:pPr>
      <w:rPr>
        <w:rFonts w:ascii="Wingdings" w:hAnsi="Wingdings" w:hint="default"/>
      </w:rPr>
    </w:lvl>
    <w:lvl w:ilvl="6" w:tplc="0C090001">
      <w:start w:val="1"/>
      <w:numFmt w:val="bullet"/>
      <w:lvlText w:val=""/>
      <w:lvlJc w:val="left"/>
      <w:pPr>
        <w:ind w:left="5117" w:hanging="360"/>
      </w:pPr>
      <w:rPr>
        <w:rFonts w:ascii="Symbol" w:hAnsi="Symbol" w:hint="default"/>
      </w:rPr>
    </w:lvl>
    <w:lvl w:ilvl="7" w:tplc="0C090003">
      <w:start w:val="1"/>
      <w:numFmt w:val="bullet"/>
      <w:lvlText w:val="o"/>
      <w:lvlJc w:val="left"/>
      <w:pPr>
        <w:ind w:left="5837" w:hanging="360"/>
      </w:pPr>
      <w:rPr>
        <w:rFonts w:ascii="Courier New" w:hAnsi="Courier New" w:cs="Courier New" w:hint="default"/>
      </w:rPr>
    </w:lvl>
    <w:lvl w:ilvl="8" w:tplc="0C090005">
      <w:start w:val="1"/>
      <w:numFmt w:val="bullet"/>
      <w:lvlText w:val=""/>
      <w:lvlJc w:val="left"/>
      <w:pPr>
        <w:ind w:left="6557" w:hanging="360"/>
      </w:pPr>
      <w:rPr>
        <w:rFonts w:ascii="Wingdings" w:hAnsi="Wingdings" w:hint="default"/>
      </w:rPr>
    </w:lvl>
  </w:abstractNum>
  <w:abstractNum w:abstractNumId="12">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DFF62B6"/>
    <w:multiLevelType w:val="hybridMultilevel"/>
    <w:tmpl w:val="3A3093A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0BB7E49"/>
    <w:multiLevelType w:val="hybridMultilevel"/>
    <w:tmpl w:val="F7700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502C41C6"/>
    <w:lvl w:ilvl="0">
      <w:start w:val="1"/>
      <w:numFmt w:val="decimal"/>
      <w:pStyle w:val="PBACHeading1"/>
      <w:lvlText w:val="%1"/>
      <w:lvlJc w:val="left"/>
      <w:pPr>
        <w:ind w:left="6391" w:hanging="720"/>
      </w:pPr>
      <w:rPr>
        <w:rFonts w:hint="default"/>
        <w:b/>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3"/>
  </w:num>
  <w:num w:numId="5">
    <w:abstractNumId w:val="16"/>
  </w:num>
  <w:num w:numId="6">
    <w:abstractNumId w:val="5"/>
  </w:num>
  <w:num w:numId="7">
    <w:abstractNumId w:val="12"/>
  </w:num>
  <w:num w:numId="8">
    <w:abstractNumId w:val="3"/>
  </w:num>
  <w:num w:numId="9">
    <w:abstractNumId w:val="9"/>
  </w:num>
  <w:num w:numId="10">
    <w:abstractNumId w:val="8"/>
  </w:num>
  <w:num w:numId="11">
    <w:abstractNumId w:val="7"/>
  </w:num>
  <w:num w:numId="12">
    <w:abstractNumId w:val="1"/>
  </w:num>
  <w:num w:numId="13">
    <w:abstractNumId w:val="0"/>
  </w:num>
  <w:num w:numId="14">
    <w:abstractNumId w:val="16"/>
  </w:num>
  <w:num w:numId="15">
    <w:abstractNumId w:val="15"/>
  </w:num>
  <w:num w:numId="16">
    <w:abstractNumId w:val="16"/>
    <w:lvlOverride w:ilvl="0">
      <w:startOverride w:val="4"/>
    </w:lvlOverride>
    <w:lvlOverride w:ilvl="1">
      <w:startOverride w:val="2"/>
    </w:lvlOverride>
  </w:num>
  <w:num w:numId="17">
    <w:abstractNumId w:val="16"/>
    <w:lvlOverride w:ilvl="0">
      <w:startOverride w:val="6"/>
    </w:lvlOverride>
    <w:lvlOverride w:ilvl="1">
      <w:startOverride w:val="3"/>
    </w:lvlOverride>
  </w:num>
  <w:num w:numId="18">
    <w:abstractNumId w:val="16"/>
    <w:lvlOverride w:ilvl="0">
      <w:startOverride w:val="6"/>
    </w:lvlOverride>
    <w:lvlOverride w:ilvl="1">
      <w:startOverride w:val="3"/>
    </w:lvlOverride>
  </w:num>
  <w:num w:numId="19">
    <w:abstractNumId w:val="11"/>
  </w:num>
  <w:num w:numId="20">
    <w:abstractNumId w:val="10"/>
  </w:num>
  <w:num w:numId="21">
    <w:abstractNumId w:val="16"/>
  </w:num>
  <w:num w:numId="22">
    <w:abstractNumId w:val="14"/>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5561"/>
    <w:rsid w:val="00015890"/>
    <w:rsid w:val="00023205"/>
    <w:rsid w:val="00023DBE"/>
    <w:rsid w:val="0002464A"/>
    <w:rsid w:val="000258F4"/>
    <w:rsid w:val="00025D0E"/>
    <w:rsid w:val="000274E8"/>
    <w:rsid w:val="00030D53"/>
    <w:rsid w:val="0003106B"/>
    <w:rsid w:val="00033B5E"/>
    <w:rsid w:val="00037D60"/>
    <w:rsid w:val="000421A1"/>
    <w:rsid w:val="0004240E"/>
    <w:rsid w:val="00043AD1"/>
    <w:rsid w:val="00045E26"/>
    <w:rsid w:val="000514B5"/>
    <w:rsid w:val="00051AB1"/>
    <w:rsid w:val="00054D4C"/>
    <w:rsid w:val="00055D49"/>
    <w:rsid w:val="00060E64"/>
    <w:rsid w:val="000646B2"/>
    <w:rsid w:val="000655D9"/>
    <w:rsid w:val="00065FB8"/>
    <w:rsid w:val="00066755"/>
    <w:rsid w:val="0007356E"/>
    <w:rsid w:val="00077143"/>
    <w:rsid w:val="00080042"/>
    <w:rsid w:val="00082169"/>
    <w:rsid w:val="00093137"/>
    <w:rsid w:val="00094309"/>
    <w:rsid w:val="00094E1E"/>
    <w:rsid w:val="000969AD"/>
    <w:rsid w:val="000A3805"/>
    <w:rsid w:val="000A5611"/>
    <w:rsid w:val="000B558D"/>
    <w:rsid w:val="000C6165"/>
    <w:rsid w:val="000C6996"/>
    <w:rsid w:val="000D23BA"/>
    <w:rsid w:val="000D37D1"/>
    <w:rsid w:val="000D6F7E"/>
    <w:rsid w:val="000E21E5"/>
    <w:rsid w:val="000E26EE"/>
    <w:rsid w:val="000E681E"/>
    <w:rsid w:val="000E6A32"/>
    <w:rsid w:val="000F0003"/>
    <w:rsid w:val="000F23FB"/>
    <w:rsid w:val="000F31EE"/>
    <w:rsid w:val="000F4E6A"/>
    <w:rsid w:val="000F4F7A"/>
    <w:rsid w:val="00104227"/>
    <w:rsid w:val="001107BF"/>
    <w:rsid w:val="00111314"/>
    <w:rsid w:val="001153E7"/>
    <w:rsid w:val="001168FE"/>
    <w:rsid w:val="0012190A"/>
    <w:rsid w:val="0012417C"/>
    <w:rsid w:val="0012443A"/>
    <w:rsid w:val="001272BD"/>
    <w:rsid w:val="0013109E"/>
    <w:rsid w:val="001326D3"/>
    <w:rsid w:val="00142395"/>
    <w:rsid w:val="00142714"/>
    <w:rsid w:val="001452ED"/>
    <w:rsid w:val="001467DE"/>
    <w:rsid w:val="00151C42"/>
    <w:rsid w:val="00153A91"/>
    <w:rsid w:val="00155DBC"/>
    <w:rsid w:val="001562BE"/>
    <w:rsid w:val="00163329"/>
    <w:rsid w:val="00164623"/>
    <w:rsid w:val="00165B64"/>
    <w:rsid w:val="00167D2A"/>
    <w:rsid w:val="001830CE"/>
    <w:rsid w:val="001834C6"/>
    <w:rsid w:val="00183859"/>
    <w:rsid w:val="00183891"/>
    <w:rsid w:val="0018643B"/>
    <w:rsid w:val="00190171"/>
    <w:rsid w:val="00190824"/>
    <w:rsid w:val="00193912"/>
    <w:rsid w:val="00196307"/>
    <w:rsid w:val="001A33EA"/>
    <w:rsid w:val="001A6BAA"/>
    <w:rsid w:val="001B017F"/>
    <w:rsid w:val="001B1BE4"/>
    <w:rsid w:val="001B2BBC"/>
    <w:rsid w:val="001B5129"/>
    <w:rsid w:val="001B6DE0"/>
    <w:rsid w:val="001B7BEC"/>
    <w:rsid w:val="001C1195"/>
    <w:rsid w:val="001D1428"/>
    <w:rsid w:val="001D2F38"/>
    <w:rsid w:val="001D3535"/>
    <w:rsid w:val="001D3E14"/>
    <w:rsid w:val="001F1850"/>
    <w:rsid w:val="001F6469"/>
    <w:rsid w:val="00203FAC"/>
    <w:rsid w:val="00207079"/>
    <w:rsid w:val="00213CFB"/>
    <w:rsid w:val="0021759D"/>
    <w:rsid w:val="00217BE1"/>
    <w:rsid w:val="00227EA7"/>
    <w:rsid w:val="0023421C"/>
    <w:rsid w:val="00244CAB"/>
    <w:rsid w:val="00255137"/>
    <w:rsid w:val="00255E46"/>
    <w:rsid w:val="0027121F"/>
    <w:rsid w:val="00271BA1"/>
    <w:rsid w:val="002762FA"/>
    <w:rsid w:val="00277505"/>
    <w:rsid w:val="00277A9C"/>
    <w:rsid w:val="00277B62"/>
    <w:rsid w:val="00291CB5"/>
    <w:rsid w:val="00292C66"/>
    <w:rsid w:val="0029458F"/>
    <w:rsid w:val="00297442"/>
    <w:rsid w:val="002A104C"/>
    <w:rsid w:val="002A4960"/>
    <w:rsid w:val="002B1AE6"/>
    <w:rsid w:val="002B2DE8"/>
    <w:rsid w:val="002B30F8"/>
    <w:rsid w:val="002B3E1F"/>
    <w:rsid w:val="002B5596"/>
    <w:rsid w:val="002C212F"/>
    <w:rsid w:val="002D1DF5"/>
    <w:rsid w:val="002D4098"/>
    <w:rsid w:val="002D4543"/>
    <w:rsid w:val="002D6E60"/>
    <w:rsid w:val="002D7CE9"/>
    <w:rsid w:val="002E3153"/>
    <w:rsid w:val="002E72CA"/>
    <w:rsid w:val="002E7751"/>
    <w:rsid w:val="002F0C72"/>
    <w:rsid w:val="00300AD6"/>
    <w:rsid w:val="003118C3"/>
    <w:rsid w:val="00317C6C"/>
    <w:rsid w:val="0032390C"/>
    <w:rsid w:val="00323C36"/>
    <w:rsid w:val="0032430B"/>
    <w:rsid w:val="00326E79"/>
    <w:rsid w:val="003301BB"/>
    <w:rsid w:val="003303FF"/>
    <w:rsid w:val="003316A7"/>
    <w:rsid w:val="00334F36"/>
    <w:rsid w:val="0033518A"/>
    <w:rsid w:val="003353A8"/>
    <w:rsid w:val="003367EF"/>
    <w:rsid w:val="00336B43"/>
    <w:rsid w:val="00340C93"/>
    <w:rsid w:val="00341AE4"/>
    <w:rsid w:val="00343E06"/>
    <w:rsid w:val="003442F9"/>
    <w:rsid w:val="00344F98"/>
    <w:rsid w:val="00347916"/>
    <w:rsid w:val="003565AC"/>
    <w:rsid w:val="00362A24"/>
    <w:rsid w:val="00382179"/>
    <w:rsid w:val="003872CF"/>
    <w:rsid w:val="00392EC4"/>
    <w:rsid w:val="00394B2D"/>
    <w:rsid w:val="00394D43"/>
    <w:rsid w:val="0039782C"/>
    <w:rsid w:val="003A5465"/>
    <w:rsid w:val="003A5B4A"/>
    <w:rsid w:val="003A74CC"/>
    <w:rsid w:val="003B23C5"/>
    <w:rsid w:val="003B2A75"/>
    <w:rsid w:val="003B60AB"/>
    <w:rsid w:val="003B6124"/>
    <w:rsid w:val="003B6522"/>
    <w:rsid w:val="003B7380"/>
    <w:rsid w:val="003C2FB5"/>
    <w:rsid w:val="003C64CF"/>
    <w:rsid w:val="003D0027"/>
    <w:rsid w:val="003D4AC4"/>
    <w:rsid w:val="003D50FD"/>
    <w:rsid w:val="003D63B7"/>
    <w:rsid w:val="003E336A"/>
    <w:rsid w:val="003E337D"/>
    <w:rsid w:val="003E468B"/>
    <w:rsid w:val="003F3228"/>
    <w:rsid w:val="003F5C8C"/>
    <w:rsid w:val="003F6371"/>
    <w:rsid w:val="00423683"/>
    <w:rsid w:val="004252EC"/>
    <w:rsid w:val="00427759"/>
    <w:rsid w:val="00430169"/>
    <w:rsid w:val="00430FD8"/>
    <w:rsid w:val="004465BD"/>
    <w:rsid w:val="00460072"/>
    <w:rsid w:val="004647EA"/>
    <w:rsid w:val="00465D5F"/>
    <w:rsid w:val="00466ADA"/>
    <w:rsid w:val="004703E7"/>
    <w:rsid w:val="0047142E"/>
    <w:rsid w:val="0047418B"/>
    <w:rsid w:val="00476245"/>
    <w:rsid w:val="00480719"/>
    <w:rsid w:val="00483035"/>
    <w:rsid w:val="004830CE"/>
    <w:rsid w:val="00485940"/>
    <w:rsid w:val="00491504"/>
    <w:rsid w:val="00496229"/>
    <w:rsid w:val="00496B21"/>
    <w:rsid w:val="004A2484"/>
    <w:rsid w:val="004A4463"/>
    <w:rsid w:val="004A5A85"/>
    <w:rsid w:val="004A71D1"/>
    <w:rsid w:val="004B5640"/>
    <w:rsid w:val="004C1BD7"/>
    <w:rsid w:val="004C31FE"/>
    <w:rsid w:val="004C691D"/>
    <w:rsid w:val="004C6C07"/>
    <w:rsid w:val="004D156B"/>
    <w:rsid w:val="004D778D"/>
    <w:rsid w:val="004E692D"/>
    <w:rsid w:val="004E7241"/>
    <w:rsid w:val="004F4174"/>
    <w:rsid w:val="004F7F16"/>
    <w:rsid w:val="00501554"/>
    <w:rsid w:val="00502FCC"/>
    <w:rsid w:val="00514CD7"/>
    <w:rsid w:val="00517CB1"/>
    <w:rsid w:val="00517F18"/>
    <w:rsid w:val="00522CA3"/>
    <w:rsid w:val="00526C24"/>
    <w:rsid w:val="005319B2"/>
    <w:rsid w:val="00532402"/>
    <w:rsid w:val="00532C74"/>
    <w:rsid w:val="00534E2E"/>
    <w:rsid w:val="00537191"/>
    <w:rsid w:val="0054210B"/>
    <w:rsid w:val="005435B7"/>
    <w:rsid w:val="00544552"/>
    <w:rsid w:val="005518A2"/>
    <w:rsid w:val="0056356F"/>
    <w:rsid w:val="005704D0"/>
    <w:rsid w:val="00576229"/>
    <w:rsid w:val="00577C4D"/>
    <w:rsid w:val="00581932"/>
    <w:rsid w:val="00582B47"/>
    <w:rsid w:val="00582CD5"/>
    <w:rsid w:val="00586F0E"/>
    <w:rsid w:val="005922F4"/>
    <w:rsid w:val="005963BB"/>
    <w:rsid w:val="005A3173"/>
    <w:rsid w:val="005A3223"/>
    <w:rsid w:val="005A3DA3"/>
    <w:rsid w:val="005A52C4"/>
    <w:rsid w:val="005B1F62"/>
    <w:rsid w:val="005B6277"/>
    <w:rsid w:val="005C2CB2"/>
    <w:rsid w:val="005C5613"/>
    <w:rsid w:val="005D03AB"/>
    <w:rsid w:val="005D4378"/>
    <w:rsid w:val="005D5017"/>
    <w:rsid w:val="005D5A7C"/>
    <w:rsid w:val="005D7A06"/>
    <w:rsid w:val="005E1333"/>
    <w:rsid w:val="005E3C22"/>
    <w:rsid w:val="005F0D8B"/>
    <w:rsid w:val="005F5075"/>
    <w:rsid w:val="00600A3B"/>
    <w:rsid w:val="00601A91"/>
    <w:rsid w:val="00602BA3"/>
    <w:rsid w:val="00604464"/>
    <w:rsid w:val="006062CF"/>
    <w:rsid w:val="00606A78"/>
    <w:rsid w:val="0061152D"/>
    <w:rsid w:val="00612E34"/>
    <w:rsid w:val="00614159"/>
    <w:rsid w:val="00617C00"/>
    <w:rsid w:val="0062065D"/>
    <w:rsid w:val="00620D24"/>
    <w:rsid w:val="00625369"/>
    <w:rsid w:val="006263BF"/>
    <w:rsid w:val="0062748A"/>
    <w:rsid w:val="00630A2C"/>
    <w:rsid w:val="00635D65"/>
    <w:rsid w:val="006362E9"/>
    <w:rsid w:val="0063682E"/>
    <w:rsid w:val="0063747B"/>
    <w:rsid w:val="006436CD"/>
    <w:rsid w:val="00643D4E"/>
    <w:rsid w:val="00650DC5"/>
    <w:rsid w:val="00651169"/>
    <w:rsid w:val="00653D69"/>
    <w:rsid w:val="006670BE"/>
    <w:rsid w:val="00667BE0"/>
    <w:rsid w:val="00670A76"/>
    <w:rsid w:val="006711AA"/>
    <w:rsid w:val="00672B57"/>
    <w:rsid w:val="006754E3"/>
    <w:rsid w:val="00675622"/>
    <w:rsid w:val="00685007"/>
    <w:rsid w:val="006906DB"/>
    <w:rsid w:val="00691E6C"/>
    <w:rsid w:val="0069444D"/>
    <w:rsid w:val="00696129"/>
    <w:rsid w:val="0069631A"/>
    <w:rsid w:val="00697CF2"/>
    <w:rsid w:val="006A12A5"/>
    <w:rsid w:val="006A33C3"/>
    <w:rsid w:val="006A3D0C"/>
    <w:rsid w:val="006A41BB"/>
    <w:rsid w:val="006A4354"/>
    <w:rsid w:val="006A667E"/>
    <w:rsid w:val="006B0D94"/>
    <w:rsid w:val="006B485D"/>
    <w:rsid w:val="006C492B"/>
    <w:rsid w:val="006C708E"/>
    <w:rsid w:val="006D3D6B"/>
    <w:rsid w:val="006D50D8"/>
    <w:rsid w:val="006D6EC7"/>
    <w:rsid w:val="006E0EB1"/>
    <w:rsid w:val="006E1E35"/>
    <w:rsid w:val="006F262F"/>
    <w:rsid w:val="006F5125"/>
    <w:rsid w:val="006F6F26"/>
    <w:rsid w:val="00702B6F"/>
    <w:rsid w:val="0071340B"/>
    <w:rsid w:val="00715C3A"/>
    <w:rsid w:val="007174BB"/>
    <w:rsid w:val="0072025D"/>
    <w:rsid w:val="00720388"/>
    <w:rsid w:val="00721A6E"/>
    <w:rsid w:val="00725FD8"/>
    <w:rsid w:val="00734A83"/>
    <w:rsid w:val="007353D3"/>
    <w:rsid w:val="00735DF1"/>
    <w:rsid w:val="00741898"/>
    <w:rsid w:val="00742402"/>
    <w:rsid w:val="00742981"/>
    <w:rsid w:val="00757AD8"/>
    <w:rsid w:val="0076420C"/>
    <w:rsid w:val="007753C2"/>
    <w:rsid w:val="007838B8"/>
    <w:rsid w:val="007859D8"/>
    <w:rsid w:val="00793FFC"/>
    <w:rsid w:val="007A0169"/>
    <w:rsid w:val="007A591C"/>
    <w:rsid w:val="007A6C6E"/>
    <w:rsid w:val="007B1198"/>
    <w:rsid w:val="007C0F57"/>
    <w:rsid w:val="007C40B6"/>
    <w:rsid w:val="007C729F"/>
    <w:rsid w:val="007D3F95"/>
    <w:rsid w:val="007D66FF"/>
    <w:rsid w:val="007D6C85"/>
    <w:rsid w:val="007E1D28"/>
    <w:rsid w:val="007E2A41"/>
    <w:rsid w:val="007E636F"/>
    <w:rsid w:val="007F2641"/>
    <w:rsid w:val="007F7C36"/>
    <w:rsid w:val="00806796"/>
    <w:rsid w:val="00811985"/>
    <w:rsid w:val="008128A5"/>
    <w:rsid w:val="008151D6"/>
    <w:rsid w:val="008243A0"/>
    <w:rsid w:val="00826F6D"/>
    <w:rsid w:val="008306DC"/>
    <w:rsid w:val="008306F3"/>
    <w:rsid w:val="008316D9"/>
    <w:rsid w:val="00846432"/>
    <w:rsid w:val="00856DDD"/>
    <w:rsid w:val="00863E68"/>
    <w:rsid w:val="00864E16"/>
    <w:rsid w:val="00870CF3"/>
    <w:rsid w:val="008740EE"/>
    <w:rsid w:val="008760BA"/>
    <w:rsid w:val="00880CB4"/>
    <w:rsid w:val="00882085"/>
    <w:rsid w:val="00883188"/>
    <w:rsid w:val="00892F41"/>
    <w:rsid w:val="00895605"/>
    <w:rsid w:val="00895F48"/>
    <w:rsid w:val="00897D58"/>
    <w:rsid w:val="00897F22"/>
    <w:rsid w:val="008A1956"/>
    <w:rsid w:val="008A4937"/>
    <w:rsid w:val="008A4F10"/>
    <w:rsid w:val="008A50F1"/>
    <w:rsid w:val="008A635F"/>
    <w:rsid w:val="008B2635"/>
    <w:rsid w:val="008B724E"/>
    <w:rsid w:val="008C33DA"/>
    <w:rsid w:val="008C4848"/>
    <w:rsid w:val="008C5B21"/>
    <w:rsid w:val="008D1B5C"/>
    <w:rsid w:val="008D23D5"/>
    <w:rsid w:val="008D3C82"/>
    <w:rsid w:val="008D447E"/>
    <w:rsid w:val="008D7A41"/>
    <w:rsid w:val="008D7CDC"/>
    <w:rsid w:val="008E31B6"/>
    <w:rsid w:val="008E3560"/>
    <w:rsid w:val="008E3680"/>
    <w:rsid w:val="008E5870"/>
    <w:rsid w:val="008F1434"/>
    <w:rsid w:val="008F5947"/>
    <w:rsid w:val="008F7355"/>
    <w:rsid w:val="008F7598"/>
    <w:rsid w:val="00906103"/>
    <w:rsid w:val="009067B7"/>
    <w:rsid w:val="009118A0"/>
    <w:rsid w:val="00913235"/>
    <w:rsid w:val="00921362"/>
    <w:rsid w:val="00930937"/>
    <w:rsid w:val="009338B1"/>
    <w:rsid w:val="00933E6C"/>
    <w:rsid w:val="00937958"/>
    <w:rsid w:val="00942160"/>
    <w:rsid w:val="00944482"/>
    <w:rsid w:val="0094599D"/>
    <w:rsid w:val="0095146F"/>
    <w:rsid w:val="009602C5"/>
    <w:rsid w:val="00960AD8"/>
    <w:rsid w:val="00962223"/>
    <w:rsid w:val="00966D0D"/>
    <w:rsid w:val="0097241F"/>
    <w:rsid w:val="00974C21"/>
    <w:rsid w:val="00980A44"/>
    <w:rsid w:val="00990EF9"/>
    <w:rsid w:val="009A4B8A"/>
    <w:rsid w:val="009B0F67"/>
    <w:rsid w:val="009C360F"/>
    <w:rsid w:val="009C703C"/>
    <w:rsid w:val="009D0069"/>
    <w:rsid w:val="009D34A8"/>
    <w:rsid w:val="009D3CAA"/>
    <w:rsid w:val="009F0493"/>
    <w:rsid w:val="009F1BA8"/>
    <w:rsid w:val="009F4E46"/>
    <w:rsid w:val="009F5B65"/>
    <w:rsid w:val="009F5EC3"/>
    <w:rsid w:val="009F5F2E"/>
    <w:rsid w:val="009F630E"/>
    <w:rsid w:val="009F775A"/>
    <w:rsid w:val="00A02586"/>
    <w:rsid w:val="00A0614D"/>
    <w:rsid w:val="00A06225"/>
    <w:rsid w:val="00A128E6"/>
    <w:rsid w:val="00A16B25"/>
    <w:rsid w:val="00A21C31"/>
    <w:rsid w:val="00A310B1"/>
    <w:rsid w:val="00A32A29"/>
    <w:rsid w:val="00A34E6C"/>
    <w:rsid w:val="00A34EB1"/>
    <w:rsid w:val="00A37C8D"/>
    <w:rsid w:val="00A5022A"/>
    <w:rsid w:val="00A5273B"/>
    <w:rsid w:val="00A53A9D"/>
    <w:rsid w:val="00A55FEE"/>
    <w:rsid w:val="00A579F2"/>
    <w:rsid w:val="00A62C1A"/>
    <w:rsid w:val="00A6426D"/>
    <w:rsid w:val="00A6476F"/>
    <w:rsid w:val="00A665C1"/>
    <w:rsid w:val="00A70622"/>
    <w:rsid w:val="00A70771"/>
    <w:rsid w:val="00A70977"/>
    <w:rsid w:val="00A718A5"/>
    <w:rsid w:val="00A72036"/>
    <w:rsid w:val="00A76C36"/>
    <w:rsid w:val="00A77613"/>
    <w:rsid w:val="00A8390C"/>
    <w:rsid w:val="00A86555"/>
    <w:rsid w:val="00A928BD"/>
    <w:rsid w:val="00AA4D1C"/>
    <w:rsid w:val="00AA63FC"/>
    <w:rsid w:val="00AA70C2"/>
    <w:rsid w:val="00AB2545"/>
    <w:rsid w:val="00AC193C"/>
    <w:rsid w:val="00AC5206"/>
    <w:rsid w:val="00AD1703"/>
    <w:rsid w:val="00AD5C8A"/>
    <w:rsid w:val="00AD6DCA"/>
    <w:rsid w:val="00AD7F8D"/>
    <w:rsid w:val="00AE11A5"/>
    <w:rsid w:val="00AE13E2"/>
    <w:rsid w:val="00AE22D3"/>
    <w:rsid w:val="00AE6D21"/>
    <w:rsid w:val="00AF5E96"/>
    <w:rsid w:val="00AF62DF"/>
    <w:rsid w:val="00AF68CC"/>
    <w:rsid w:val="00B1059E"/>
    <w:rsid w:val="00B15306"/>
    <w:rsid w:val="00B15B16"/>
    <w:rsid w:val="00B176C8"/>
    <w:rsid w:val="00B205AA"/>
    <w:rsid w:val="00B22E84"/>
    <w:rsid w:val="00B25F75"/>
    <w:rsid w:val="00B26B3F"/>
    <w:rsid w:val="00B32297"/>
    <w:rsid w:val="00B378E3"/>
    <w:rsid w:val="00B424A4"/>
    <w:rsid w:val="00B43E90"/>
    <w:rsid w:val="00B445D5"/>
    <w:rsid w:val="00B467DC"/>
    <w:rsid w:val="00B47651"/>
    <w:rsid w:val="00B5243F"/>
    <w:rsid w:val="00B56118"/>
    <w:rsid w:val="00B56DD1"/>
    <w:rsid w:val="00B64145"/>
    <w:rsid w:val="00B6519D"/>
    <w:rsid w:val="00B6561E"/>
    <w:rsid w:val="00B65BBB"/>
    <w:rsid w:val="00B6646C"/>
    <w:rsid w:val="00B6773F"/>
    <w:rsid w:val="00B70B94"/>
    <w:rsid w:val="00B72B47"/>
    <w:rsid w:val="00B73AC8"/>
    <w:rsid w:val="00B73F0C"/>
    <w:rsid w:val="00B7551A"/>
    <w:rsid w:val="00B801BA"/>
    <w:rsid w:val="00B84D30"/>
    <w:rsid w:val="00B84D5C"/>
    <w:rsid w:val="00BA0E19"/>
    <w:rsid w:val="00BA423C"/>
    <w:rsid w:val="00BB26F1"/>
    <w:rsid w:val="00BB69F5"/>
    <w:rsid w:val="00BB7EC3"/>
    <w:rsid w:val="00BC3166"/>
    <w:rsid w:val="00BC4B9A"/>
    <w:rsid w:val="00BD06BE"/>
    <w:rsid w:val="00BD784C"/>
    <w:rsid w:val="00BE0D4C"/>
    <w:rsid w:val="00BE534E"/>
    <w:rsid w:val="00BF4CB6"/>
    <w:rsid w:val="00BF526A"/>
    <w:rsid w:val="00C0018B"/>
    <w:rsid w:val="00C00DA7"/>
    <w:rsid w:val="00C12768"/>
    <w:rsid w:val="00C25267"/>
    <w:rsid w:val="00C26CB1"/>
    <w:rsid w:val="00C27B58"/>
    <w:rsid w:val="00C27DA6"/>
    <w:rsid w:val="00C35996"/>
    <w:rsid w:val="00C416C4"/>
    <w:rsid w:val="00C4747E"/>
    <w:rsid w:val="00C5342C"/>
    <w:rsid w:val="00C53D80"/>
    <w:rsid w:val="00C603D4"/>
    <w:rsid w:val="00C6256A"/>
    <w:rsid w:val="00C64353"/>
    <w:rsid w:val="00C645F9"/>
    <w:rsid w:val="00C70000"/>
    <w:rsid w:val="00C70E6D"/>
    <w:rsid w:val="00C74135"/>
    <w:rsid w:val="00C755F5"/>
    <w:rsid w:val="00C77891"/>
    <w:rsid w:val="00C77C90"/>
    <w:rsid w:val="00C84689"/>
    <w:rsid w:val="00C91449"/>
    <w:rsid w:val="00C92D10"/>
    <w:rsid w:val="00CA0D32"/>
    <w:rsid w:val="00CA1EE7"/>
    <w:rsid w:val="00CA3E77"/>
    <w:rsid w:val="00CB2F3E"/>
    <w:rsid w:val="00CB5A38"/>
    <w:rsid w:val="00CC3810"/>
    <w:rsid w:val="00CC78E5"/>
    <w:rsid w:val="00CD4AD5"/>
    <w:rsid w:val="00CE10C4"/>
    <w:rsid w:val="00CE128A"/>
    <w:rsid w:val="00CE27B5"/>
    <w:rsid w:val="00CF607E"/>
    <w:rsid w:val="00CF6282"/>
    <w:rsid w:val="00CF767E"/>
    <w:rsid w:val="00D0321E"/>
    <w:rsid w:val="00D033BA"/>
    <w:rsid w:val="00D06F23"/>
    <w:rsid w:val="00D1455A"/>
    <w:rsid w:val="00D17634"/>
    <w:rsid w:val="00D23838"/>
    <w:rsid w:val="00D25A1E"/>
    <w:rsid w:val="00D31150"/>
    <w:rsid w:val="00D3138B"/>
    <w:rsid w:val="00D316AC"/>
    <w:rsid w:val="00D3280C"/>
    <w:rsid w:val="00D3406A"/>
    <w:rsid w:val="00D4049E"/>
    <w:rsid w:val="00D40C41"/>
    <w:rsid w:val="00D433D3"/>
    <w:rsid w:val="00D4572C"/>
    <w:rsid w:val="00D469B2"/>
    <w:rsid w:val="00D47B39"/>
    <w:rsid w:val="00D60A02"/>
    <w:rsid w:val="00D637AB"/>
    <w:rsid w:val="00D741EB"/>
    <w:rsid w:val="00D76C05"/>
    <w:rsid w:val="00D8330A"/>
    <w:rsid w:val="00D83605"/>
    <w:rsid w:val="00D84934"/>
    <w:rsid w:val="00D91271"/>
    <w:rsid w:val="00D9678F"/>
    <w:rsid w:val="00D973DD"/>
    <w:rsid w:val="00DA2CB5"/>
    <w:rsid w:val="00DA4BAC"/>
    <w:rsid w:val="00DA6443"/>
    <w:rsid w:val="00DA6933"/>
    <w:rsid w:val="00DB05CB"/>
    <w:rsid w:val="00DB6066"/>
    <w:rsid w:val="00DC4E22"/>
    <w:rsid w:val="00DD509B"/>
    <w:rsid w:val="00DD5D85"/>
    <w:rsid w:val="00DD7682"/>
    <w:rsid w:val="00DE0F4E"/>
    <w:rsid w:val="00DE2A30"/>
    <w:rsid w:val="00DE690D"/>
    <w:rsid w:val="00DE6D27"/>
    <w:rsid w:val="00DF217D"/>
    <w:rsid w:val="00DF26A7"/>
    <w:rsid w:val="00DF2F01"/>
    <w:rsid w:val="00DF5D97"/>
    <w:rsid w:val="00DF6F74"/>
    <w:rsid w:val="00E15627"/>
    <w:rsid w:val="00E164B3"/>
    <w:rsid w:val="00E16910"/>
    <w:rsid w:val="00E2272E"/>
    <w:rsid w:val="00E2276B"/>
    <w:rsid w:val="00E23946"/>
    <w:rsid w:val="00E413BD"/>
    <w:rsid w:val="00E42BDB"/>
    <w:rsid w:val="00E5544C"/>
    <w:rsid w:val="00E57EEB"/>
    <w:rsid w:val="00E60094"/>
    <w:rsid w:val="00E6223C"/>
    <w:rsid w:val="00E62D94"/>
    <w:rsid w:val="00E65E54"/>
    <w:rsid w:val="00E673E7"/>
    <w:rsid w:val="00E7482B"/>
    <w:rsid w:val="00E80155"/>
    <w:rsid w:val="00E848C0"/>
    <w:rsid w:val="00E91B96"/>
    <w:rsid w:val="00E93A05"/>
    <w:rsid w:val="00E941A1"/>
    <w:rsid w:val="00E95CE3"/>
    <w:rsid w:val="00EA2825"/>
    <w:rsid w:val="00EA6E77"/>
    <w:rsid w:val="00EB0B63"/>
    <w:rsid w:val="00EB2DB3"/>
    <w:rsid w:val="00EB5088"/>
    <w:rsid w:val="00EB5152"/>
    <w:rsid w:val="00EC09DD"/>
    <w:rsid w:val="00EC3ABD"/>
    <w:rsid w:val="00EC4C45"/>
    <w:rsid w:val="00ED1644"/>
    <w:rsid w:val="00ED2593"/>
    <w:rsid w:val="00ED73BC"/>
    <w:rsid w:val="00ED7D9C"/>
    <w:rsid w:val="00EE1C14"/>
    <w:rsid w:val="00EE32B0"/>
    <w:rsid w:val="00EE66AB"/>
    <w:rsid w:val="00EE791C"/>
    <w:rsid w:val="00EF44A0"/>
    <w:rsid w:val="00EF4FED"/>
    <w:rsid w:val="00F050BD"/>
    <w:rsid w:val="00F05657"/>
    <w:rsid w:val="00F14FE3"/>
    <w:rsid w:val="00F17A90"/>
    <w:rsid w:val="00F17DD6"/>
    <w:rsid w:val="00F25578"/>
    <w:rsid w:val="00F258E5"/>
    <w:rsid w:val="00F26EE8"/>
    <w:rsid w:val="00F300BC"/>
    <w:rsid w:val="00F308E8"/>
    <w:rsid w:val="00F3334E"/>
    <w:rsid w:val="00F342B6"/>
    <w:rsid w:val="00F36CCB"/>
    <w:rsid w:val="00F374E5"/>
    <w:rsid w:val="00F3754C"/>
    <w:rsid w:val="00F43AF2"/>
    <w:rsid w:val="00F440A7"/>
    <w:rsid w:val="00F50EC4"/>
    <w:rsid w:val="00F550CF"/>
    <w:rsid w:val="00F57A6D"/>
    <w:rsid w:val="00F638CC"/>
    <w:rsid w:val="00F63988"/>
    <w:rsid w:val="00F64CC1"/>
    <w:rsid w:val="00F65F31"/>
    <w:rsid w:val="00F71B7C"/>
    <w:rsid w:val="00F72317"/>
    <w:rsid w:val="00F748B7"/>
    <w:rsid w:val="00F764FB"/>
    <w:rsid w:val="00F80475"/>
    <w:rsid w:val="00F8247A"/>
    <w:rsid w:val="00F9629A"/>
    <w:rsid w:val="00F97EFC"/>
    <w:rsid w:val="00FA1FF7"/>
    <w:rsid w:val="00FA5883"/>
    <w:rsid w:val="00FA6055"/>
    <w:rsid w:val="00FB2019"/>
    <w:rsid w:val="00FB322F"/>
    <w:rsid w:val="00FB442F"/>
    <w:rsid w:val="00FB4ACA"/>
    <w:rsid w:val="00FB7766"/>
    <w:rsid w:val="00FC1929"/>
    <w:rsid w:val="00FC46D3"/>
    <w:rsid w:val="00FC4855"/>
    <w:rsid w:val="00FC5B46"/>
    <w:rsid w:val="00FD1659"/>
    <w:rsid w:val="00FD5723"/>
    <w:rsid w:val="00FD6D8E"/>
    <w:rsid w:val="00FE0E94"/>
    <w:rsid w:val="00FE27B2"/>
    <w:rsid w:val="00FF00BD"/>
    <w:rsid w:val="00FF1ED4"/>
    <w:rsid w:val="00FF2801"/>
    <w:rsid w:val="00FF4FD6"/>
    <w:rsid w:val="00FF6B26"/>
    <w:rsid w:val="00FF6EB7"/>
    <w:rsid w:val="00FF7B51"/>
    <w:rsid w:val="00FF7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table" w:customStyle="1" w:styleId="TableGrid1">
    <w:name w:val="Table Grid1"/>
    <w:basedOn w:val="TableNormal"/>
    <w:next w:val="TableGrid"/>
    <w:uiPriority w:val="59"/>
    <w:rsid w:val="00F3754C"/>
    <w:rPr>
      <w:rFonts w:asci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45D5"/>
    <w:rPr>
      <w:rFonts w:asci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534E"/>
    <w:pPr>
      <w:spacing w:after="120"/>
    </w:pPr>
    <w:rPr>
      <w:rFonts w:asciiTheme="minorHAnsi"/>
      <w:i/>
      <w:iCs/>
      <w:sz w:val="18"/>
      <w:szCs w:val="18"/>
    </w:rPr>
  </w:style>
  <w:style w:type="paragraph" w:styleId="FootnoteText">
    <w:name w:val="footnote text"/>
    <w:basedOn w:val="Normal"/>
    <w:link w:val="FootnoteTextChar"/>
    <w:uiPriority w:val="99"/>
    <w:unhideWhenUsed/>
    <w:rsid w:val="00A579F2"/>
    <w:rPr>
      <w:rFonts w:eastAsiaTheme="minorHAnsi"/>
      <w:sz w:val="20"/>
      <w:szCs w:val="20"/>
    </w:rPr>
  </w:style>
  <w:style w:type="character" w:customStyle="1" w:styleId="FootnoteTextChar">
    <w:name w:val="Footnote Text Char"/>
    <w:basedOn w:val="DefaultParagraphFont"/>
    <w:link w:val="FootnoteText"/>
    <w:uiPriority w:val="99"/>
    <w:rsid w:val="00A579F2"/>
    <w:rPr>
      <w:rFonts w:eastAsiaTheme="minorHAnsi"/>
    </w:rPr>
  </w:style>
  <w:style w:type="character" w:styleId="FootnoteReference">
    <w:name w:val="footnote reference"/>
    <w:basedOn w:val="DefaultParagraphFont"/>
    <w:uiPriority w:val="99"/>
    <w:unhideWhenUsed/>
    <w:rsid w:val="00A579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table" w:customStyle="1" w:styleId="TableGrid1">
    <w:name w:val="Table Grid1"/>
    <w:basedOn w:val="TableNormal"/>
    <w:next w:val="TableGrid"/>
    <w:uiPriority w:val="59"/>
    <w:rsid w:val="00F3754C"/>
    <w:rPr>
      <w:rFonts w:asci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45D5"/>
    <w:rPr>
      <w:rFonts w:asci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534E"/>
    <w:pPr>
      <w:spacing w:after="120"/>
    </w:pPr>
    <w:rPr>
      <w:rFonts w:asciiTheme="minorHAnsi"/>
      <w:i/>
      <w:iCs/>
      <w:sz w:val="18"/>
      <w:szCs w:val="18"/>
    </w:rPr>
  </w:style>
  <w:style w:type="paragraph" w:styleId="FootnoteText">
    <w:name w:val="footnote text"/>
    <w:basedOn w:val="Normal"/>
    <w:link w:val="FootnoteTextChar"/>
    <w:uiPriority w:val="99"/>
    <w:unhideWhenUsed/>
    <w:rsid w:val="00A579F2"/>
    <w:rPr>
      <w:rFonts w:eastAsiaTheme="minorHAnsi"/>
      <w:sz w:val="20"/>
      <w:szCs w:val="20"/>
    </w:rPr>
  </w:style>
  <w:style w:type="character" w:customStyle="1" w:styleId="FootnoteTextChar">
    <w:name w:val="Footnote Text Char"/>
    <w:basedOn w:val="DefaultParagraphFont"/>
    <w:link w:val="FootnoteText"/>
    <w:uiPriority w:val="99"/>
    <w:rsid w:val="00A579F2"/>
    <w:rPr>
      <w:rFonts w:eastAsiaTheme="minorHAnsi"/>
    </w:rPr>
  </w:style>
  <w:style w:type="character" w:styleId="FootnoteReference">
    <w:name w:val="footnote reference"/>
    <w:basedOn w:val="DefaultParagraphFont"/>
    <w:uiPriority w:val="99"/>
    <w:unhideWhenUsed/>
    <w:rsid w:val="00A57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3861585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A7FC-EF47-40FC-BECE-DAB18DDE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2018-01-30T03:13:00Z</dcterms:created>
  <dcterms:modified xsi:type="dcterms:W3CDTF">2018-01-30T03:14:00Z</dcterms:modified>
</cp:coreProperties>
</file>