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B17639" w:rsidRDefault="00C45223" w:rsidP="000257ED">
      <w:pPr>
        <w:ind w:left="992" w:hanging="992"/>
        <w:outlineLvl w:val="0"/>
        <w:rPr>
          <w:b/>
          <w:sz w:val="36"/>
          <w:szCs w:val="36"/>
        </w:rPr>
      </w:pPr>
      <w:bookmarkStart w:id="0" w:name="_GoBack"/>
      <w:bookmarkEnd w:id="0"/>
      <w:r w:rsidRPr="00B17639">
        <w:rPr>
          <w:b/>
          <w:sz w:val="36"/>
          <w:szCs w:val="36"/>
        </w:rPr>
        <w:t>6</w:t>
      </w:r>
      <w:r w:rsidR="00C317F3" w:rsidRPr="00B17639">
        <w:rPr>
          <w:b/>
          <w:sz w:val="36"/>
          <w:szCs w:val="36"/>
        </w:rPr>
        <w:t>.</w:t>
      </w:r>
      <w:r w:rsidRPr="00B17639">
        <w:rPr>
          <w:b/>
          <w:sz w:val="36"/>
          <w:szCs w:val="36"/>
        </w:rPr>
        <w:t>06</w:t>
      </w:r>
      <w:r w:rsidR="0010575A" w:rsidRPr="00B17639">
        <w:rPr>
          <w:b/>
          <w:sz w:val="36"/>
          <w:szCs w:val="36"/>
        </w:rPr>
        <w:tab/>
        <w:t>LENVATINIB</w:t>
      </w:r>
      <w:r w:rsidR="00C317F3" w:rsidRPr="00B17639">
        <w:rPr>
          <w:b/>
          <w:sz w:val="36"/>
          <w:szCs w:val="36"/>
        </w:rPr>
        <w:t>,</w:t>
      </w:r>
      <w:r w:rsidR="009D4C2A" w:rsidRPr="00B17639">
        <w:rPr>
          <w:b/>
          <w:sz w:val="36"/>
          <w:szCs w:val="36"/>
        </w:rPr>
        <w:br/>
      </w:r>
      <w:r w:rsidR="0010575A" w:rsidRPr="00B17639">
        <w:rPr>
          <w:b/>
          <w:sz w:val="36"/>
          <w:szCs w:val="36"/>
        </w:rPr>
        <w:t>Capsule 4</w:t>
      </w:r>
      <w:r w:rsidR="002E45C3">
        <w:rPr>
          <w:b/>
          <w:sz w:val="36"/>
          <w:szCs w:val="36"/>
        </w:rPr>
        <w:t xml:space="preserve"> </w:t>
      </w:r>
      <w:r w:rsidR="0010575A" w:rsidRPr="00B17639">
        <w:rPr>
          <w:b/>
          <w:sz w:val="36"/>
          <w:szCs w:val="36"/>
        </w:rPr>
        <w:t>mg</w:t>
      </w:r>
      <w:r w:rsidRPr="00B17639">
        <w:rPr>
          <w:b/>
          <w:sz w:val="36"/>
          <w:szCs w:val="36"/>
        </w:rPr>
        <w:t xml:space="preserve"> (as mesilate)</w:t>
      </w:r>
      <w:r w:rsidR="00C317F3" w:rsidRPr="00B17639">
        <w:rPr>
          <w:b/>
          <w:sz w:val="36"/>
          <w:szCs w:val="36"/>
        </w:rPr>
        <w:t>,</w:t>
      </w:r>
      <w:r w:rsidR="0010575A" w:rsidRPr="00B17639">
        <w:rPr>
          <w:b/>
          <w:sz w:val="36"/>
          <w:szCs w:val="36"/>
        </w:rPr>
        <w:t xml:space="preserve"> Capsule 10</w:t>
      </w:r>
      <w:r w:rsidR="002E45C3">
        <w:rPr>
          <w:b/>
          <w:sz w:val="36"/>
          <w:szCs w:val="36"/>
        </w:rPr>
        <w:t xml:space="preserve"> </w:t>
      </w:r>
      <w:r w:rsidR="0010575A" w:rsidRPr="00B17639">
        <w:rPr>
          <w:b/>
          <w:sz w:val="36"/>
          <w:szCs w:val="36"/>
        </w:rPr>
        <w:t>mg</w:t>
      </w:r>
      <w:r w:rsidRPr="00B17639">
        <w:rPr>
          <w:b/>
          <w:sz w:val="36"/>
          <w:szCs w:val="36"/>
        </w:rPr>
        <w:t xml:space="preserve"> (as mesilate)</w:t>
      </w:r>
      <w:r w:rsidR="00C317F3" w:rsidRPr="00B17639">
        <w:rPr>
          <w:b/>
          <w:sz w:val="36"/>
          <w:szCs w:val="36"/>
        </w:rPr>
        <w:t xml:space="preserve"> </w:t>
      </w:r>
      <w:r w:rsidR="009D4C2A" w:rsidRPr="00B17639">
        <w:rPr>
          <w:b/>
          <w:sz w:val="36"/>
          <w:szCs w:val="36"/>
        </w:rPr>
        <w:br/>
      </w:r>
      <w:r w:rsidR="0010575A" w:rsidRPr="00B17639">
        <w:rPr>
          <w:b/>
          <w:sz w:val="36"/>
          <w:szCs w:val="36"/>
        </w:rPr>
        <w:t>Lenvima</w:t>
      </w:r>
      <w:r w:rsidR="00C317F3" w:rsidRPr="00B17639">
        <w:rPr>
          <w:b/>
          <w:sz w:val="36"/>
          <w:szCs w:val="36"/>
        </w:rPr>
        <w:t xml:space="preserve">®, </w:t>
      </w:r>
      <w:r w:rsidR="0010575A" w:rsidRPr="00B17639">
        <w:rPr>
          <w:b/>
          <w:sz w:val="36"/>
          <w:szCs w:val="36"/>
        </w:rPr>
        <w:t>Eisai Australia Pty Ltd.</w:t>
      </w:r>
    </w:p>
    <w:p w:rsidR="001C1CEC" w:rsidRDefault="001C1CEC" w:rsidP="000257ED">
      <w:pPr>
        <w:pStyle w:val="V50Heading2nonumbers"/>
        <w:outlineLvl w:val="9"/>
        <w:rPr>
          <w:i w:val="0"/>
        </w:rPr>
      </w:pPr>
      <w:bookmarkStart w:id="1" w:name="_Toc493002678"/>
    </w:p>
    <w:p w:rsidR="00C317F3" w:rsidRPr="00B17639" w:rsidRDefault="00C317F3" w:rsidP="002001C6">
      <w:pPr>
        <w:pStyle w:val="Heading1"/>
        <w:ind w:left="709" w:hanging="709"/>
      </w:pPr>
      <w:bookmarkStart w:id="2" w:name="_Toc413139271"/>
      <w:bookmarkStart w:id="3" w:name="_Toc493002679"/>
      <w:bookmarkEnd w:id="1"/>
      <w:r w:rsidRPr="00B17639">
        <w:t xml:space="preserve">Purpose of </w:t>
      </w:r>
      <w:r w:rsidR="00661286" w:rsidRPr="00B17639">
        <w:t>a</w:t>
      </w:r>
      <w:r w:rsidRPr="00B17639">
        <w:t>pplication</w:t>
      </w:r>
      <w:bookmarkEnd w:id="2"/>
      <w:bookmarkEnd w:id="3"/>
    </w:p>
    <w:p w:rsidR="00C317F3" w:rsidRPr="00B17639" w:rsidRDefault="004D04BA" w:rsidP="00992485">
      <w:pPr>
        <w:pStyle w:val="ListParagraph"/>
        <w:numPr>
          <w:ilvl w:val="1"/>
          <w:numId w:val="18"/>
        </w:numPr>
        <w:spacing w:before="0" w:after="120"/>
        <w:jc w:val="both"/>
      </w:pPr>
      <w:r w:rsidRPr="00B17639">
        <w:t xml:space="preserve">The </w:t>
      </w:r>
      <w:r w:rsidR="00F21F55" w:rsidRPr="00B17639">
        <w:t xml:space="preserve">submission </w:t>
      </w:r>
      <w:r w:rsidRPr="00B17639">
        <w:t xml:space="preserve">requested </w:t>
      </w:r>
      <w:r w:rsidR="00F21F55" w:rsidRPr="00B17639">
        <w:t xml:space="preserve">a Section 85, </w:t>
      </w:r>
      <w:r w:rsidR="00C317F3" w:rsidRPr="00B17639">
        <w:t>Authority Required</w:t>
      </w:r>
      <w:r w:rsidR="00F21F55" w:rsidRPr="00B17639">
        <w:t xml:space="preserve"> (Streamlined), listing of lenvatinib </w:t>
      </w:r>
      <w:r w:rsidR="00E81CF7">
        <w:t xml:space="preserve">for use in combination with everolimus </w:t>
      </w:r>
      <w:r w:rsidR="00C317F3" w:rsidRPr="00B17639">
        <w:t xml:space="preserve">for treatment of </w:t>
      </w:r>
      <w:r w:rsidR="00F21F55" w:rsidRPr="00B17639">
        <w:t xml:space="preserve">patients with stage IV clear cell variant </w:t>
      </w:r>
      <w:r w:rsidR="0033157F">
        <w:t>renal cell carcinoma (</w:t>
      </w:r>
      <w:r w:rsidR="00C85365" w:rsidRPr="00B17639">
        <w:t>RCC</w:t>
      </w:r>
      <w:r w:rsidR="0033157F">
        <w:t>)</w:t>
      </w:r>
      <w:r w:rsidR="00C85365" w:rsidRPr="00B17639">
        <w:t>.</w:t>
      </w:r>
      <w:r w:rsidR="00F21F55" w:rsidRPr="00B17639">
        <w:t xml:space="preserve"> This submission had not been considered by the PBAC previously.</w:t>
      </w:r>
    </w:p>
    <w:p w:rsidR="00F21F55" w:rsidRPr="00B17639" w:rsidRDefault="00FA4B49" w:rsidP="00C365B7">
      <w:pPr>
        <w:pStyle w:val="ListParagraph"/>
        <w:numPr>
          <w:ilvl w:val="1"/>
          <w:numId w:val="18"/>
        </w:numPr>
        <w:spacing w:before="0" w:after="120"/>
        <w:jc w:val="both"/>
      </w:pPr>
      <w:r w:rsidRPr="00B17639">
        <w:t xml:space="preserve">The submission presented </w:t>
      </w:r>
      <w:r w:rsidRPr="00E44EE5">
        <w:t>a cost-utility analysis, where the combination therapy of lenvatinib 18</w:t>
      </w:r>
      <w:r w:rsidR="004D04BA" w:rsidRPr="00E44EE5">
        <w:t xml:space="preserve"> </w:t>
      </w:r>
      <w:r w:rsidRPr="00E44EE5">
        <w:t>mg orally per day and everolimus 5</w:t>
      </w:r>
      <w:r w:rsidR="004D04BA" w:rsidRPr="00E44EE5">
        <w:t xml:space="preserve"> </w:t>
      </w:r>
      <w:r w:rsidRPr="00E44EE5">
        <w:t>mg orally per day was claimed to be superior in terms of effectiveness against everolimus 10</w:t>
      </w:r>
      <w:r w:rsidR="004D04BA" w:rsidRPr="00E44EE5">
        <w:t xml:space="preserve"> </w:t>
      </w:r>
      <w:r w:rsidRPr="00E44EE5">
        <w:t xml:space="preserve">mg orally per day. </w:t>
      </w:r>
      <w:r w:rsidR="00AA0983" w:rsidRPr="00E44EE5">
        <w:t>C</w:t>
      </w:r>
      <w:r w:rsidRPr="00E44EE5">
        <w:t>linical evidence comparing the combination treatment with nivolumab</w:t>
      </w:r>
      <w:r w:rsidR="006C57B1" w:rsidRPr="00E44EE5">
        <w:t>, and secondary comparisons with axitinib and cabozantinib,</w:t>
      </w:r>
      <w:r w:rsidRPr="00E44EE5">
        <w:t xml:space="preserve"> w</w:t>
      </w:r>
      <w:r w:rsidR="006C57B1" w:rsidRPr="00E44EE5">
        <w:t>ere</w:t>
      </w:r>
      <w:r w:rsidRPr="00E44EE5">
        <w:t xml:space="preserve"> also presented. The key components of the clinical issues addressed by the submission are shown in </w:t>
      </w:r>
      <w:r w:rsidR="004D04BA" w:rsidRPr="00E44EE5">
        <w:t xml:space="preserve">Table </w:t>
      </w:r>
      <w:r w:rsidRPr="00E44EE5">
        <w:t>1</w:t>
      </w:r>
      <w:r w:rsidRPr="00B17639">
        <w:t xml:space="preserve">. </w:t>
      </w:r>
    </w:p>
    <w:p w:rsidR="00FA4B49" w:rsidRPr="00B17639" w:rsidRDefault="00FA4B49" w:rsidP="00FA4B49">
      <w:pPr>
        <w:keepNext/>
        <w:spacing w:before="0" w:after="60"/>
        <w:rPr>
          <w:rFonts w:ascii="Arial Narrow" w:hAnsi="Arial Narrow"/>
          <w:b/>
          <w:sz w:val="20"/>
        </w:rPr>
      </w:pPr>
      <w:bookmarkStart w:id="4" w:name="_Toc413139272"/>
      <w:r w:rsidRPr="00B17639">
        <w:rPr>
          <w:rFonts w:ascii="Arial Narrow" w:hAnsi="Arial Narrow"/>
          <w:b/>
          <w:sz w:val="20"/>
        </w:rPr>
        <w:t xml:space="preserve">Table 1: Key components of the clinical issue addressed by the submission </w:t>
      </w:r>
    </w:p>
    <w:tbl>
      <w:tblPr>
        <w:tblStyle w:val="TableGrid"/>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526"/>
        <w:gridCol w:w="7653"/>
      </w:tblGrid>
      <w:tr w:rsidR="00FA4B49" w:rsidRPr="00B17639">
        <w:trPr>
          <w:cnfStyle w:val="100000000000" w:firstRow="1" w:lastRow="0" w:firstColumn="0" w:lastColumn="0" w:oddVBand="0" w:evenVBand="0" w:oddHBand="0" w:evenHBand="0" w:firstRowFirstColumn="0" w:firstRowLastColumn="0" w:lastRowFirstColumn="0" w:lastRowLastColumn="0"/>
          <w:cantSplit/>
          <w:tblHeader/>
        </w:trPr>
        <w:tc>
          <w:tcPr>
            <w:tcW w:w="831" w:type="pct"/>
            <w:shd w:val="clear" w:color="auto" w:fill="FFFFFF" w:themeFill="background1"/>
          </w:tcPr>
          <w:p w:rsidR="00FA4B49" w:rsidRPr="00B17639" w:rsidRDefault="00FA4B49" w:rsidP="00D65285">
            <w:pPr>
              <w:keepNext/>
              <w:spacing w:before="40" w:after="40"/>
              <w:rPr>
                <w:rFonts w:ascii="Arial Narrow" w:hAnsi="Arial Narrow"/>
                <w:b w:val="0"/>
                <w:sz w:val="20"/>
              </w:rPr>
            </w:pPr>
            <w:r w:rsidRPr="00B17639">
              <w:rPr>
                <w:rFonts w:ascii="Arial Narrow" w:hAnsi="Arial Narrow"/>
                <w:sz w:val="20"/>
              </w:rPr>
              <w:t>Component</w:t>
            </w:r>
          </w:p>
        </w:tc>
        <w:tc>
          <w:tcPr>
            <w:tcW w:w="4169" w:type="pct"/>
            <w:shd w:val="clear" w:color="auto" w:fill="FFFFFF" w:themeFill="background1"/>
          </w:tcPr>
          <w:p w:rsidR="00FA4B49" w:rsidRPr="00B17639" w:rsidRDefault="00FA4B49" w:rsidP="00D65285">
            <w:pPr>
              <w:keepNext/>
              <w:spacing w:before="40" w:after="40"/>
              <w:rPr>
                <w:rFonts w:ascii="Arial Narrow" w:hAnsi="Arial Narrow"/>
                <w:b w:val="0"/>
                <w:sz w:val="20"/>
              </w:rPr>
            </w:pPr>
            <w:r w:rsidRPr="00B17639">
              <w:rPr>
                <w:rFonts w:ascii="Arial Narrow" w:hAnsi="Arial Narrow"/>
                <w:sz w:val="20"/>
              </w:rPr>
              <w:t>Description</w:t>
            </w:r>
          </w:p>
        </w:tc>
      </w:tr>
      <w:tr w:rsidR="00FA4B49" w:rsidRPr="00B17639">
        <w:trPr>
          <w:cantSplit/>
        </w:trPr>
        <w:tc>
          <w:tcPr>
            <w:tcW w:w="831" w:type="pct"/>
          </w:tcPr>
          <w:p w:rsidR="00FA4B49" w:rsidRPr="00B17639" w:rsidRDefault="00FA4B49" w:rsidP="00D65285">
            <w:pPr>
              <w:keepNext/>
              <w:spacing w:before="40" w:after="40"/>
              <w:rPr>
                <w:rFonts w:ascii="Arial Narrow" w:hAnsi="Arial Narrow"/>
                <w:sz w:val="20"/>
              </w:rPr>
            </w:pPr>
            <w:r w:rsidRPr="00B17639">
              <w:rPr>
                <w:rFonts w:ascii="Arial Narrow" w:hAnsi="Arial Narrow"/>
                <w:sz w:val="20"/>
              </w:rPr>
              <w:t>Population</w:t>
            </w:r>
          </w:p>
        </w:tc>
        <w:tc>
          <w:tcPr>
            <w:tcW w:w="4169" w:type="pct"/>
          </w:tcPr>
          <w:p w:rsidR="00FA4B49" w:rsidRPr="006E3E48" w:rsidRDefault="00FA4B49" w:rsidP="00D65285">
            <w:pPr>
              <w:keepNext/>
              <w:spacing w:before="40" w:after="40"/>
              <w:rPr>
                <w:rFonts w:ascii="Times" w:eastAsia="Times New Roman" w:hAnsi="Times" w:cs="Times New Roman"/>
                <w:sz w:val="20"/>
              </w:rPr>
            </w:pPr>
            <w:r w:rsidRPr="006E3E48">
              <w:rPr>
                <w:rFonts w:ascii="Arial Narrow" w:hAnsi="Arial Narrow"/>
                <w:sz w:val="20"/>
              </w:rPr>
              <w:t>Patients with Stage IV clear cell variant renal cell carcinoma.</w:t>
            </w:r>
          </w:p>
        </w:tc>
      </w:tr>
      <w:tr w:rsidR="00FA4B49" w:rsidRPr="00B17639">
        <w:trPr>
          <w:cantSplit/>
        </w:trPr>
        <w:tc>
          <w:tcPr>
            <w:tcW w:w="831" w:type="pct"/>
          </w:tcPr>
          <w:p w:rsidR="00FA4B49" w:rsidRPr="00B17639" w:rsidRDefault="00FA4B49" w:rsidP="00D65285">
            <w:pPr>
              <w:keepNext/>
              <w:spacing w:before="40" w:after="40"/>
              <w:rPr>
                <w:rFonts w:ascii="Times" w:eastAsia="Times New Roman" w:hAnsi="Times" w:cs="Times New Roman"/>
                <w:sz w:val="20"/>
              </w:rPr>
            </w:pPr>
            <w:r w:rsidRPr="00B17639">
              <w:rPr>
                <w:rFonts w:ascii="Arial Narrow" w:hAnsi="Arial Narrow"/>
                <w:sz w:val="20"/>
              </w:rPr>
              <w:t>Intervention</w:t>
            </w:r>
          </w:p>
        </w:tc>
        <w:tc>
          <w:tcPr>
            <w:tcW w:w="4169" w:type="pct"/>
          </w:tcPr>
          <w:p w:rsidR="00FA4B49" w:rsidRPr="006E3E48" w:rsidRDefault="00FA4B49" w:rsidP="00D65285">
            <w:pPr>
              <w:keepNext/>
              <w:spacing w:before="40" w:after="40"/>
              <w:rPr>
                <w:rFonts w:ascii="Times" w:eastAsia="Times New Roman" w:hAnsi="Times" w:cs="Times New Roman"/>
                <w:sz w:val="20"/>
              </w:rPr>
            </w:pPr>
            <w:r w:rsidRPr="006E3E48">
              <w:rPr>
                <w:rFonts w:ascii="Arial Narrow" w:hAnsi="Arial Narrow"/>
                <w:sz w:val="20"/>
              </w:rPr>
              <w:t>Lenvatinib 18</w:t>
            </w:r>
            <w:r w:rsidR="004D04BA" w:rsidRPr="006E3E48">
              <w:rPr>
                <w:rFonts w:ascii="Arial Narrow" w:hAnsi="Arial Narrow"/>
                <w:sz w:val="20"/>
              </w:rPr>
              <w:t xml:space="preserve"> </w:t>
            </w:r>
            <w:r w:rsidRPr="006E3E48">
              <w:rPr>
                <w:rFonts w:ascii="Arial Narrow" w:hAnsi="Arial Narrow"/>
                <w:sz w:val="20"/>
              </w:rPr>
              <w:t>mg and everolimus 5</w:t>
            </w:r>
            <w:r w:rsidR="004D04BA" w:rsidRPr="006E3E48">
              <w:rPr>
                <w:rFonts w:ascii="Arial Narrow" w:hAnsi="Arial Narrow"/>
                <w:sz w:val="20"/>
              </w:rPr>
              <w:t xml:space="preserve"> </w:t>
            </w:r>
            <w:r w:rsidRPr="006E3E48">
              <w:rPr>
                <w:rFonts w:ascii="Arial Narrow" w:hAnsi="Arial Narrow"/>
                <w:sz w:val="20"/>
              </w:rPr>
              <w:t>mg orally, once daily.</w:t>
            </w:r>
          </w:p>
        </w:tc>
      </w:tr>
      <w:tr w:rsidR="00FA4B49" w:rsidRPr="00B17639">
        <w:trPr>
          <w:cantSplit/>
        </w:trPr>
        <w:tc>
          <w:tcPr>
            <w:tcW w:w="831" w:type="pct"/>
          </w:tcPr>
          <w:p w:rsidR="00FA4B49" w:rsidRPr="00B17639" w:rsidRDefault="00FA4B49" w:rsidP="00D65285">
            <w:pPr>
              <w:keepNext/>
              <w:spacing w:before="40" w:after="40"/>
              <w:rPr>
                <w:rFonts w:ascii="Times" w:eastAsia="Times New Roman" w:hAnsi="Times" w:cs="Times New Roman"/>
                <w:sz w:val="20"/>
              </w:rPr>
            </w:pPr>
            <w:r w:rsidRPr="00B17639">
              <w:rPr>
                <w:rFonts w:ascii="Arial Narrow" w:hAnsi="Arial Narrow"/>
                <w:sz w:val="20"/>
              </w:rPr>
              <w:t>Comparator</w:t>
            </w:r>
          </w:p>
        </w:tc>
        <w:tc>
          <w:tcPr>
            <w:tcW w:w="4169" w:type="pct"/>
          </w:tcPr>
          <w:p w:rsidR="00FA4B49" w:rsidRPr="006E3E48" w:rsidRDefault="00FA4B49" w:rsidP="00D65285">
            <w:pPr>
              <w:keepNext/>
              <w:spacing w:before="40" w:after="40"/>
              <w:rPr>
                <w:rFonts w:ascii="Arial Narrow" w:hAnsi="Arial Narrow"/>
                <w:sz w:val="20"/>
              </w:rPr>
            </w:pPr>
            <w:r w:rsidRPr="006E3E48">
              <w:rPr>
                <w:rFonts w:ascii="Arial Narrow" w:hAnsi="Arial Narrow"/>
                <w:sz w:val="20"/>
              </w:rPr>
              <w:t>Everolimus 10</w:t>
            </w:r>
            <w:r w:rsidR="004D04BA" w:rsidRPr="006E3E48">
              <w:rPr>
                <w:rFonts w:ascii="Arial Narrow" w:hAnsi="Arial Narrow"/>
                <w:sz w:val="20"/>
              </w:rPr>
              <w:t xml:space="preserve"> </w:t>
            </w:r>
            <w:r w:rsidRPr="006E3E48">
              <w:rPr>
                <w:rFonts w:ascii="Arial Narrow" w:hAnsi="Arial Narrow"/>
                <w:sz w:val="20"/>
              </w:rPr>
              <w:t xml:space="preserve">mg orally, once daily, was nominated as the primary comparator upon which the clinical and cost-effectiveness data presented </w:t>
            </w:r>
            <w:r w:rsidR="004D04BA" w:rsidRPr="006E3E48">
              <w:rPr>
                <w:rFonts w:ascii="Arial Narrow" w:hAnsi="Arial Narrow"/>
                <w:sz w:val="20"/>
              </w:rPr>
              <w:t xml:space="preserve">were </w:t>
            </w:r>
            <w:r w:rsidRPr="006E3E48">
              <w:rPr>
                <w:rFonts w:ascii="Arial Narrow" w:hAnsi="Arial Narrow"/>
                <w:sz w:val="20"/>
              </w:rPr>
              <w:t>based.</w:t>
            </w:r>
          </w:p>
          <w:p w:rsidR="00FA4B49" w:rsidRPr="006E3E48" w:rsidRDefault="00FA4B49" w:rsidP="006C57B1">
            <w:pPr>
              <w:keepNext/>
              <w:spacing w:before="40" w:after="40"/>
              <w:rPr>
                <w:rFonts w:ascii="Times" w:eastAsia="Times New Roman" w:hAnsi="Times" w:cs="Times New Roman"/>
                <w:sz w:val="20"/>
              </w:rPr>
            </w:pPr>
            <w:r w:rsidRPr="006E3E48">
              <w:rPr>
                <w:rFonts w:ascii="Arial Narrow" w:hAnsi="Arial Narrow"/>
                <w:sz w:val="20"/>
              </w:rPr>
              <w:t>A secondary indirect comparison with nivolumab</w:t>
            </w:r>
            <w:r w:rsidR="006C57B1" w:rsidRPr="006E3E48">
              <w:rPr>
                <w:rFonts w:ascii="Arial Narrow" w:hAnsi="Arial Narrow"/>
                <w:sz w:val="20"/>
              </w:rPr>
              <w:t>, and supplementary c</w:t>
            </w:r>
            <w:r w:rsidR="00C365B7" w:rsidRPr="006E3E48">
              <w:rPr>
                <w:rFonts w:ascii="Arial Narrow" w:hAnsi="Arial Narrow"/>
                <w:sz w:val="20"/>
              </w:rPr>
              <w:t>omparisons with axitinib and ca</w:t>
            </w:r>
            <w:r w:rsidR="006C57B1" w:rsidRPr="006E3E48">
              <w:rPr>
                <w:rFonts w:ascii="Arial Narrow" w:hAnsi="Arial Narrow"/>
                <w:sz w:val="20"/>
              </w:rPr>
              <w:t>bozantinib,</w:t>
            </w:r>
            <w:r w:rsidRPr="006E3E48">
              <w:rPr>
                <w:rFonts w:ascii="Arial Narrow" w:hAnsi="Arial Narrow"/>
                <w:sz w:val="20"/>
              </w:rPr>
              <w:t xml:space="preserve"> for clinical effectiveness </w:t>
            </w:r>
            <w:r w:rsidR="006C57B1" w:rsidRPr="006E3E48">
              <w:rPr>
                <w:rFonts w:ascii="Arial Narrow" w:hAnsi="Arial Narrow"/>
                <w:sz w:val="20"/>
              </w:rPr>
              <w:t xml:space="preserve">were </w:t>
            </w:r>
            <w:r w:rsidRPr="006E3E48">
              <w:rPr>
                <w:rFonts w:ascii="Arial Narrow" w:hAnsi="Arial Narrow"/>
                <w:sz w:val="20"/>
              </w:rPr>
              <w:t xml:space="preserve">also presented. </w:t>
            </w:r>
          </w:p>
        </w:tc>
      </w:tr>
      <w:tr w:rsidR="00FA4B49" w:rsidRPr="00B17639">
        <w:trPr>
          <w:cantSplit/>
        </w:trPr>
        <w:tc>
          <w:tcPr>
            <w:tcW w:w="831" w:type="pct"/>
          </w:tcPr>
          <w:p w:rsidR="00FA4B49" w:rsidRPr="00B17639" w:rsidRDefault="00FA4B49" w:rsidP="00D65285">
            <w:pPr>
              <w:keepNext/>
              <w:spacing w:before="40" w:after="40"/>
              <w:rPr>
                <w:rFonts w:ascii="Times" w:eastAsia="Times New Roman" w:hAnsi="Times" w:cs="Times New Roman"/>
                <w:sz w:val="20"/>
              </w:rPr>
            </w:pPr>
            <w:r w:rsidRPr="00B17639">
              <w:rPr>
                <w:rFonts w:ascii="Arial Narrow" w:hAnsi="Arial Narrow"/>
                <w:sz w:val="20"/>
              </w:rPr>
              <w:t>Outcomes</w:t>
            </w:r>
          </w:p>
        </w:tc>
        <w:tc>
          <w:tcPr>
            <w:tcW w:w="4169" w:type="pct"/>
          </w:tcPr>
          <w:p w:rsidR="00FA4B49" w:rsidRPr="006E3E48" w:rsidRDefault="00FA4B49" w:rsidP="00D65285">
            <w:pPr>
              <w:keepNext/>
              <w:spacing w:before="40" w:after="40"/>
              <w:rPr>
                <w:rFonts w:ascii="Times" w:eastAsia="Times New Roman" w:hAnsi="Times" w:cs="Times New Roman"/>
                <w:sz w:val="20"/>
              </w:rPr>
            </w:pPr>
            <w:r w:rsidRPr="006E3E48">
              <w:rPr>
                <w:rFonts w:ascii="Arial Narrow" w:hAnsi="Arial Narrow"/>
                <w:sz w:val="20"/>
              </w:rPr>
              <w:t>Progression free survival (PFS); Overall Survival (OS).</w:t>
            </w:r>
          </w:p>
        </w:tc>
      </w:tr>
      <w:tr w:rsidR="00FA4B49" w:rsidRPr="00B17639">
        <w:trPr>
          <w:cantSplit/>
          <w:trHeight w:val="1415"/>
        </w:trPr>
        <w:tc>
          <w:tcPr>
            <w:tcW w:w="831" w:type="pct"/>
          </w:tcPr>
          <w:p w:rsidR="00FA4B49" w:rsidRPr="00B17639" w:rsidRDefault="00FA4B49" w:rsidP="00D65285">
            <w:pPr>
              <w:keepNext/>
              <w:spacing w:before="40" w:after="40"/>
              <w:rPr>
                <w:rFonts w:ascii="Times" w:eastAsia="Times New Roman" w:hAnsi="Times" w:cs="Times New Roman"/>
                <w:sz w:val="20"/>
              </w:rPr>
            </w:pPr>
            <w:r w:rsidRPr="00B17639">
              <w:rPr>
                <w:rFonts w:ascii="Arial Narrow" w:hAnsi="Arial Narrow"/>
                <w:sz w:val="20"/>
              </w:rPr>
              <w:t>Clinical claim</w:t>
            </w:r>
          </w:p>
        </w:tc>
        <w:tc>
          <w:tcPr>
            <w:tcW w:w="4169" w:type="pct"/>
          </w:tcPr>
          <w:p w:rsidR="00FA4B49" w:rsidRPr="006E3E48" w:rsidRDefault="00FA4B49" w:rsidP="00D65285">
            <w:pPr>
              <w:keepNext/>
              <w:spacing w:before="40" w:after="40"/>
              <w:rPr>
                <w:rFonts w:ascii="Arial Narrow" w:hAnsi="Arial Narrow"/>
                <w:sz w:val="20"/>
              </w:rPr>
            </w:pPr>
            <w:r w:rsidRPr="006E3E48">
              <w:rPr>
                <w:rFonts w:ascii="Arial Narrow" w:hAnsi="Arial Narrow"/>
                <w:sz w:val="20"/>
              </w:rPr>
              <w:t xml:space="preserve">In the primary comparison, the combination of lenvatinib and everolimus </w:t>
            </w:r>
            <w:r w:rsidR="004D04BA" w:rsidRPr="006E3E48">
              <w:rPr>
                <w:rFonts w:ascii="Arial Narrow" w:hAnsi="Arial Narrow"/>
                <w:sz w:val="20"/>
              </w:rPr>
              <w:t>wa</w:t>
            </w:r>
            <w:r w:rsidRPr="006E3E48">
              <w:rPr>
                <w:rFonts w:ascii="Arial Narrow" w:hAnsi="Arial Narrow"/>
                <w:sz w:val="20"/>
              </w:rPr>
              <w:t xml:space="preserve">s </w:t>
            </w:r>
            <w:r w:rsidR="00E27B22" w:rsidRPr="006E3E48">
              <w:rPr>
                <w:rFonts w:ascii="Arial Narrow" w:hAnsi="Arial Narrow"/>
                <w:sz w:val="20"/>
              </w:rPr>
              <w:t xml:space="preserve">claimed to be </w:t>
            </w:r>
            <w:r w:rsidRPr="006E3E48">
              <w:rPr>
                <w:rFonts w:ascii="Arial Narrow" w:hAnsi="Arial Narrow"/>
                <w:sz w:val="20"/>
              </w:rPr>
              <w:t xml:space="preserve">superior to everolimus monotherapy in terms of effectiveness and inferior in terms of safety. The overall safety profile </w:t>
            </w:r>
            <w:r w:rsidR="004D04BA" w:rsidRPr="006E3E48">
              <w:rPr>
                <w:rFonts w:ascii="Arial Narrow" w:hAnsi="Arial Narrow"/>
                <w:sz w:val="20"/>
              </w:rPr>
              <w:t>wa</w:t>
            </w:r>
            <w:r w:rsidRPr="006E3E48">
              <w:rPr>
                <w:rFonts w:ascii="Arial Narrow" w:hAnsi="Arial Narrow"/>
                <w:sz w:val="20"/>
              </w:rPr>
              <w:t xml:space="preserve">s </w:t>
            </w:r>
            <w:r w:rsidR="00E27B22" w:rsidRPr="006E3E48">
              <w:rPr>
                <w:rFonts w:ascii="Arial Narrow" w:hAnsi="Arial Narrow"/>
                <w:sz w:val="20"/>
              </w:rPr>
              <w:t xml:space="preserve">claimed to be </w:t>
            </w:r>
            <w:r w:rsidRPr="006E3E48">
              <w:rPr>
                <w:rFonts w:ascii="Arial Narrow" w:hAnsi="Arial Narrow"/>
                <w:sz w:val="20"/>
              </w:rPr>
              <w:t>acceptable in consideration of the improvements in PFS and OS.</w:t>
            </w:r>
            <w:r w:rsidR="004D04BA" w:rsidRPr="006E3E48">
              <w:rPr>
                <w:rFonts w:ascii="Arial Narrow" w:hAnsi="Arial Narrow"/>
                <w:sz w:val="20"/>
              </w:rPr>
              <w:t xml:space="preserve"> </w:t>
            </w:r>
          </w:p>
          <w:p w:rsidR="00FA4B49" w:rsidRPr="006E3E48" w:rsidRDefault="00FA4B49" w:rsidP="00D65285">
            <w:pPr>
              <w:keepNext/>
              <w:spacing w:before="40" w:after="40"/>
              <w:rPr>
                <w:rFonts w:ascii="Arial Narrow" w:hAnsi="Arial Narrow"/>
                <w:sz w:val="20"/>
              </w:rPr>
            </w:pPr>
            <w:r w:rsidRPr="006E3E48">
              <w:rPr>
                <w:rFonts w:ascii="Arial Narrow" w:hAnsi="Arial Narrow"/>
                <w:sz w:val="20"/>
              </w:rPr>
              <w:t>In the secondary comparison, the combinati</w:t>
            </w:r>
            <w:r w:rsidR="00E27B22" w:rsidRPr="006E3E48">
              <w:rPr>
                <w:rFonts w:ascii="Arial Narrow" w:hAnsi="Arial Narrow"/>
                <w:sz w:val="20"/>
              </w:rPr>
              <w:t>on of lenvatinib and everolimus was claimed to be</w:t>
            </w:r>
            <w:r w:rsidRPr="006E3E48">
              <w:rPr>
                <w:rFonts w:ascii="Arial Narrow" w:hAnsi="Arial Narrow"/>
                <w:sz w:val="20"/>
              </w:rPr>
              <w:t xml:space="preserve"> superior </w:t>
            </w:r>
            <w:r w:rsidR="00E27B22" w:rsidRPr="006E3E48">
              <w:rPr>
                <w:rFonts w:ascii="Arial Narrow" w:hAnsi="Arial Narrow"/>
                <w:sz w:val="20"/>
              </w:rPr>
              <w:t>to nivolumab i</w:t>
            </w:r>
            <w:r w:rsidRPr="006E3E48">
              <w:rPr>
                <w:rFonts w:ascii="Arial Narrow" w:hAnsi="Arial Narrow"/>
                <w:sz w:val="20"/>
              </w:rPr>
              <w:t>n terms of effectiveness for the outcome of PFS and non-inferior in terms of OS</w:t>
            </w:r>
            <w:r w:rsidR="00CD08FB" w:rsidRPr="006E3E48">
              <w:rPr>
                <w:rFonts w:ascii="Arial Narrow" w:hAnsi="Arial Narrow"/>
                <w:sz w:val="20"/>
              </w:rPr>
              <w:t xml:space="preserve">. The combination </w:t>
            </w:r>
            <w:r w:rsidR="00E27B22" w:rsidRPr="006E3E48">
              <w:rPr>
                <w:rFonts w:ascii="Arial Narrow" w:hAnsi="Arial Narrow"/>
                <w:sz w:val="20"/>
              </w:rPr>
              <w:t>was</w:t>
            </w:r>
            <w:r w:rsidRPr="006E3E48">
              <w:rPr>
                <w:rFonts w:ascii="Arial Narrow" w:hAnsi="Arial Narrow"/>
                <w:sz w:val="20"/>
              </w:rPr>
              <w:t xml:space="preserve"> inferior in terms of safety.</w:t>
            </w:r>
          </w:p>
          <w:p w:rsidR="006C57B1" w:rsidRPr="006E3E48" w:rsidRDefault="006C57B1" w:rsidP="006C57B1">
            <w:pPr>
              <w:keepNext/>
              <w:spacing w:before="40" w:after="40"/>
              <w:rPr>
                <w:rFonts w:ascii="Arial Narrow" w:hAnsi="Arial Narrow"/>
                <w:sz w:val="20"/>
              </w:rPr>
            </w:pPr>
            <w:r w:rsidRPr="006E3E48">
              <w:rPr>
                <w:rFonts w:ascii="Arial Narrow" w:hAnsi="Arial Narrow"/>
                <w:sz w:val="20"/>
              </w:rPr>
              <w:t xml:space="preserve">In the supplementary </w:t>
            </w:r>
            <w:r w:rsidR="00C365B7" w:rsidRPr="006E3E48">
              <w:rPr>
                <w:rFonts w:ascii="Arial Narrow" w:hAnsi="Arial Narrow"/>
                <w:sz w:val="20"/>
              </w:rPr>
              <w:t xml:space="preserve">naïve </w:t>
            </w:r>
            <w:r w:rsidRPr="006E3E48">
              <w:rPr>
                <w:rFonts w:ascii="Arial Narrow" w:hAnsi="Arial Narrow"/>
                <w:sz w:val="20"/>
              </w:rPr>
              <w:t>comparison with axitinib, the submission claimed that lenvatinib/everolimus was superior in clinical effectiveness when compared to axitinib, with a different safety profile.</w:t>
            </w:r>
          </w:p>
          <w:p w:rsidR="00C365B7" w:rsidRPr="006E3E48" w:rsidRDefault="00C365B7" w:rsidP="00C365B7">
            <w:pPr>
              <w:keepNext/>
              <w:spacing w:before="40" w:after="40"/>
              <w:rPr>
                <w:rFonts w:ascii="Times" w:eastAsia="Times New Roman" w:hAnsi="Times" w:cs="Times New Roman"/>
                <w:sz w:val="20"/>
              </w:rPr>
            </w:pPr>
            <w:r w:rsidRPr="006E3E48">
              <w:rPr>
                <w:rFonts w:ascii="Arial Narrow" w:hAnsi="Arial Narrow"/>
                <w:sz w:val="20"/>
              </w:rPr>
              <w:t>In the supplementary indirect comparison with cabozantinib, the submission claimed that lenvatinib/everolimus was non-inferior in clinical effectiveness when compared to cabozantinib, with a different safety profile.</w:t>
            </w:r>
          </w:p>
        </w:tc>
      </w:tr>
    </w:tbl>
    <w:p w:rsidR="00E4041E" w:rsidRPr="00B17639" w:rsidRDefault="00C317F3" w:rsidP="00E4041E">
      <w:pPr>
        <w:pStyle w:val="Heading1"/>
        <w:ind w:left="709" w:hanging="709"/>
      </w:pPr>
      <w:bookmarkStart w:id="5" w:name="_Toc493002680"/>
      <w:r w:rsidRPr="00B17639">
        <w:t>Requested listing</w:t>
      </w:r>
      <w:bookmarkEnd w:id="4"/>
      <w:bookmarkEnd w:id="5"/>
      <w:r w:rsidR="005C6285" w:rsidRPr="00B17639">
        <w:t xml:space="preserve"> </w:t>
      </w:r>
    </w:p>
    <w:p w:rsidR="00292805" w:rsidRPr="0014492C" w:rsidRDefault="00292805" w:rsidP="0014492C">
      <w:pPr>
        <w:pStyle w:val="ListParagraph"/>
        <w:numPr>
          <w:ilvl w:val="1"/>
          <w:numId w:val="9"/>
        </w:numPr>
        <w:jc w:val="both"/>
      </w:pPr>
      <w:r>
        <w:t>The proposed PBS listings for lenvatinib (initial and continuing treatment) are presented below.</w:t>
      </w:r>
    </w:p>
    <w:p w:rsidR="00CE1B6C" w:rsidRPr="00B17639" w:rsidRDefault="00CE1B6C" w:rsidP="00CE1B6C">
      <w:pPr>
        <w:keepNext/>
        <w:spacing w:before="0" w:after="60"/>
        <w:rPr>
          <w:rFonts w:ascii="Arial Narrow" w:hAnsi="Arial Narrow"/>
          <w:b/>
          <w:sz w:val="20"/>
        </w:rPr>
      </w:pPr>
    </w:p>
    <w:tbl>
      <w:tblPr>
        <w:tblStyle w:val="PlainTable21"/>
        <w:tblW w:w="9193" w:type="dxa"/>
        <w:tblLayout w:type="fixed"/>
        <w:tblLook w:val="04A0" w:firstRow="1" w:lastRow="0" w:firstColumn="1" w:lastColumn="0" w:noHBand="0" w:noVBand="1"/>
        <w:tblCaption w:val="Requested listing "/>
      </w:tblPr>
      <w:tblGrid>
        <w:gridCol w:w="2088"/>
        <w:gridCol w:w="997"/>
        <w:gridCol w:w="992"/>
        <w:gridCol w:w="1560"/>
        <w:gridCol w:w="1842"/>
        <w:gridCol w:w="1714"/>
      </w:tblGrid>
      <w:tr w:rsidR="005D27BF" w:rsidRPr="00B17639" w:rsidTr="002119F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88" w:type="dxa"/>
          </w:tcPr>
          <w:p w:rsidR="005F64E4" w:rsidRPr="00B17639" w:rsidRDefault="005F64E4" w:rsidP="00180F36">
            <w:pPr>
              <w:widowControl w:val="0"/>
              <w:spacing w:before="0"/>
              <w:rPr>
                <w:rFonts w:ascii="Arial Narrow" w:eastAsia="Times New Roman" w:hAnsi="Arial Narrow" w:cs="Times New Roman"/>
                <w:b w:val="0"/>
                <w:bCs w:val="0"/>
                <w:sz w:val="20"/>
                <w:szCs w:val="20"/>
              </w:rPr>
            </w:pPr>
            <w:r w:rsidRPr="00B17639">
              <w:rPr>
                <w:rFonts w:ascii="Arial Narrow" w:eastAsia="Times New Roman" w:hAnsi="Arial Narrow" w:cs="Times New Roman"/>
                <w:sz w:val="20"/>
                <w:szCs w:val="20"/>
              </w:rPr>
              <w:t>Name, restriction, manner of administration, form</w:t>
            </w:r>
          </w:p>
        </w:tc>
        <w:tc>
          <w:tcPr>
            <w:tcW w:w="997" w:type="dxa"/>
          </w:tcPr>
          <w:p w:rsidR="005F64E4" w:rsidRPr="00B17639" w:rsidRDefault="005F64E4" w:rsidP="00180F36">
            <w:pPr>
              <w:widowControl w:val="0"/>
              <w:spacing w:before="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B17639">
              <w:rPr>
                <w:rFonts w:ascii="Arial Narrow" w:eastAsia="Times New Roman" w:hAnsi="Arial Narrow" w:cs="Times New Roman"/>
                <w:sz w:val="20"/>
                <w:szCs w:val="20"/>
              </w:rPr>
              <w:t>Maximum quantity (packs)</w:t>
            </w:r>
          </w:p>
        </w:tc>
        <w:tc>
          <w:tcPr>
            <w:tcW w:w="992" w:type="dxa"/>
          </w:tcPr>
          <w:p w:rsidR="005F64E4" w:rsidRPr="00B17639" w:rsidRDefault="005F64E4" w:rsidP="00180F36">
            <w:pPr>
              <w:widowControl w:val="0"/>
              <w:spacing w:before="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B17639">
              <w:rPr>
                <w:rFonts w:ascii="Arial Narrow" w:eastAsia="Times New Roman" w:hAnsi="Arial Narrow" w:cs="Times New Roman"/>
                <w:sz w:val="20"/>
                <w:szCs w:val="20"/>
              </w:rPr>
              <w:t>Maximum quantity (units)</w:t>
            </w:r>
          </w:p>
        </w:tc>
        <w:tc>
          <w:tcPr>
            <w:tcW w:w="1560" w:type="dxa"/>
          </w:tcPr>
          <w:p w:rsidR="005F64E4" w:rsidRPr="00B17639" w:rsidRDefault="005F64E4" w:rsidP="00180F36">
            <w:pPr>
              <w:widowControl w:val="0"/>
              <w:spacing w:before="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B17639">
              <w:rPr>
                <w:rFonts w:ascii="Arial Narrow" w:eastAsia="Times New Roman" w:hAnsi="Arial Narrow" w:cs="Times New Roman"/>
                <w:sz w:val="20"/>
                <w:szCs w:val="20"/>
              </w:rPr>
              <w:t>No. of repeats</w:t>
            </w:r>
          </w:p>
        </w:tc>
        <w:tc>
          <w:tcPr>
            <w:tcW w:w="1842" w:type="dxa"/>
          </w:tcPr>
          <w:p w:rsidR="005F64E4" w:rsidRPr="00B17639" w:rsidRDefault="005F64E4" w:rsidP="00180F36">
            <w:pPr>
              <w:widowControl w:val="0"/>
              <w:spacing w:before="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B17639">
              <w:rPr>
                <w:rFonts w:ascii="Arial Narrow" w:eastAsia="Times New Roman" w:hAnsi="Arial Narrow" w:cs="Times New Roman"/>
                <w:sz w:val="20"/>
                <w:szCs w:val="20"/>
              </w:rPr>
              <w:t>Dispensed price for maximum quantity</w:t>
            </w:r>
          </w:p>
        </w:tc>
        <w:tc>
          <w:tcPr>
            <w:tcW w:w="1714" w:type="dxa"/>
          </w:tcPr>
          <w:p w:rsidR="005F64E4" w:rsidRPr="00B17639" w:rsidRDefault="005F64E4" w:rsidP="00180F36">
            <w:pPr>
              <w:widowControl w:val="0"/>
              <w:spacing w:before="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B17639">
              <w:rPr>
                <w:rFonts w:ascii="Arial Narrow" w:eastAsia="Times New Roman" w:hAnsi="Arial Narrow" w:cs="Times New Roman"/>
                <w:sz w:val="20"/>
                <w:szCs w:val="20"/>
              </w:rPr>
              <w:t>Proprietary name and manufacturer</w:t>
            </w:r>
          </w:p>
        </w:tc>
      </w:tr>
      <w:tr w:rsidR="005D27BF" w:rsidRPr="00B176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8" w:type="dxa"/>
            <w:tcBorders>
              <w:bottom w:val="nil"/>
            </w:tcBorders>
          </w:tcPr>
          <w:p w:rsidR="005F64E4" w:rsidRPr="00B17639" w:rsidRDefault="00C558E0" w:rsidP="00180F36">
            <w:pPr>
              <w:widowControl w:val="0"/>
              <w:spacing w:before="0"/>
              <w:rPr>
                <w:rFonts w:ascii="Arial Narrow" w:eastAsia="Times New Roman" w:hAnsi="Arial Narrow" w:cs="Times New Roman"/>
                <w:b w:val="0"/>
                <w:bCs w:val="0"/>
                <w:sz w:val="20"/>
                <w:szCs w:val="20"/>
              </w:rPr>
            </w:pPr>
            <w:r w:rsidRPr="00B17639">
              <w:rPr>
                <w:rFonts w:ascii="Arial Narrow" w:eastAsia="Times New Roman" w:hAnsi="Arial Narrow" w:cs="Times New Roman"/>
                <w:b w:val="0"/>
                <w:sz w:val="20"/>
                <w:szCs w:val="20"/>
              </w:rPr>
              <w:t>Lenvatinib, 10 mg, capsule</w:t>
            </w:r>
          </w:p>
        </w:tc>
        <w:tc>
          <w:tcPr>
            <w:tcW w:w="997" w:type="dxa"/>
            <w:tcBorders>
              <w:bottom w:val="nil"/>
            </w:tcBorders>
          </w:tcPr>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B17639">
              <w:rPr>
                <w:rFonts w:ascii="Arial Narrow" w:eastAsia="Times New Roman" w:hAnsi="Arial Narrow" w:cs="Times New Roman"/>
                <w:sz w:val="20"/>
                <w:szCs w:val="20"/>
              </w:rPr>
              <w:t>1</w:t>
            </w:r>
          </w:p>
        </w:tc>
        <w:tc>
          <w:tcPr>
            <w:tcW w:w="992" w:type="dxa"/>
            <w:tcBorders>
              <w:bottom w:val="nil"/>
            </w:tcBorders>
          </w:tcPr>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B17639">
              <w:rPr>
                <w:rFonts w:ascii="Arial Narrow" w:eastAsia="Times New Roman" w:hAnsi="Arial Narrow" w:cs="Times New Roman"/>
                <w:sz w:val="20"/>
                <w:szCs w:val="20"/>
              </w:rPr>
              <w:t>30</w:t>
            </w:r>
          </w:p>
        </w:tc>
        <w:tc>
          <w:tcPr>
            <w:tcW w:w="1560" w:type="dxa"/>
            <w:tcBorders>
              <w:bottom w:val="nil"/>
            </w:tcBorders>
          </w:tcPr>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2 (initial phase)</w:t>
            </w:r>
          </w:p>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5 (continuing phase)</w:t>
            </w:r>
          </w:p>
        </w:tc>
        <w:tc>
          <w:tcPr>
            <w:tcW w:w="1842" w:type="dxa"/>
            <w:tcBorders>
              <w:bottom w:val="nil"/>
            </w:tcBorders>
          </w:tcPr>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w:t>
            </w:r>
            <w:r w:rsidRPr="00D0150B">
              <w:rPr>
                <w:rFonts w:ascii="Arial Narrow" w:eastAsia="Times New Roman" w:hAnsi="Arial Narrow" w:cs="Times New Roman"/>
                <w:sz w:val="20"/>
                <w:szCs w:val="20"/>
              </w:rPr>
              <w:t>3,302.88</w:t>
            </w:r>
            <w:r w:rsidRPr="00B17639">
              <w:rPr>
                <w:rFonts w:ascii="Arial Narrow" w:eastAsia="Times New Roman" w:hAnsi="Arial Narrow" w:cs="Times New Roman"/>
                <w:sz w:val="20"/>
                <w:szCs w:val="20"/>
              </w:rPr>
              <w:t xml:space="preserve"> (published)</w:t>
            </w:r>
          </w:p>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B17639">
              <w:rPr>
                <w:rFonts w:ascii="Arial Narrow" w:eastAsia="Times New Roman" w:hAnsi="Arial Narrow" w:cs="Times New Roman"/>
                <w:sz w:val="20"/>
                <w:szCs w:val="20"/>
              </w:rPr>
              <w:t>$</w:t>
            </w:r>
            <w:r w:rsidR="0089293C">
              <w:rPr>
                <w:rFonts w:ascii="Arial Narrow" w:eastAsia="Times New Roman" w:hAnsi="Arial Narrow" w:cs="Times New Roman"/>
                <w:noProof/>
                <w:color w:val="000000"/>
                <w:sz w:val="20"/>
                <w:szCs w:val="20"/>
                <w:highlight w:val="black"/>
              </w:rPr>
              <w:t>'''''''''''''''''''</w:t>
            </w:r>
            <w:r w:rsidRPr="00B17639">
              <w:rPr>
                <w:rFonts w:ascii="Arial Narrow" w:eastAsia="Times New Roman" w:hAnsi="Arial Narrow" w:cs="Times New Roman"/>
                <w:sz w:val="20"/>
                <w:szCs w:val="20"/>
              </w:rPr>
              <w:t xml:space="preserve"> (effective)</w:t>
            </w:r>
          </w:p>
        </w:tc>
        <w:tc>
          <w:tcPr>
            <w:tcW w:w="1714" w:type="dxa"/>
            <w:tcBorders>
              <w:bottom w:val="nil"/>
            </w:tcBorders>
          </w:tcPr>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Lenvima®</w:t>
            </w:r>
          </w:p>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5F64E4" w:rsidRPr="00B17639" w:rsidRDefault="005F64E4" w:rsidP="00180F36">
            <w:pPr>
              <w:widowControl w:val="0"/>
              <w:spacing w:before="0"/>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B17639">
              <w:rPr>
                <w:rFonts w:ascii="Arial Narrow" w:eastAsia="Times New Roman" w:hAnsi="Arial Narrow" w:cs="Times New Roman"/>
                <w:sz w:val="20"/>
                <w:szCs w:val="20"/>
              </w:rPr>
              <w:t>Eisai Australia Pty Ltd</w:t>
            </w:r>
          </w:p>
        </w:tc>
      </w:tr>
      <w:tr w:rsidR="005D27BF" w:rsidRPr="00B17639">
        <w:trPr>
          <w:cantSplit/>
        </w:trPr>
        <w:tc>
          <w:tcPr>
            <w:cnfStyle w:val="001000000000" w:firstRow="0" w:lastRow="0" w:firstColumn="1" w:lastColumn="0" w:oddVBand="0" w:evenVBand="0" w:oddHBand="0" w:evenHBand="0" w:firstRowFirstColumn="0" w:firstRowLastColumn="0" w:lastRowFirstColumn="0" w:lastRowLastColumn="0"/>
            <w:tcW w:w="2088" w:type="dxa"/>
            <w:tcBorders>
              <w:top w:val="nil"/>
            </w:tcBorders>
          </w:tcPr>
          <w:p w:rsidR="00453F0B" w:rsidRPr="00B17639" w:rsidRDefault="00453F0B" w:rsidP="00180F36">
            <w:pPr>
              <w:widowControl w:val="0"/>
              <w:spacing w:before="0"/>
              <w:rPr>
                <w:rFonts w:ascii="Arial Narrow" w:eastAsia="Times New Roman" w:hAnsi="Arial Narrow" w:cs="Times New Roman"/>
                <w:b w:val="0"/>
                <w:sz w:val="20"/>
                <w:szCs w:val="20"/>
              </w:rPr>
            </w:pPr>
            <w:r w:rsidRPr="00B17639">
              <w:rPr>
                <w:rFonts w:ascii="Arial Narrow" w:eastAsia="Times New Roman" w:hAnsi="Arial Narrow" w:cs="Times New Roman"/>
                <w:b w:val="0"/>
                <w:sz w:val="20"/>
                <w:szCs w:val="20"/>
              </w:rPr>
              <w:t>Lenvatinib, 4 mg, capsule</w:t>
            </w:r>
          </w:p>
        </w:tc>
        <w:tc>
          <w:tcPr>
            <w:tcW w:w="997" w:type="dxa"/>
            <w:tcBorders>
              <w:top w:val="nil"/>
            </w:tcBorders>
          </w:tcPr>
          <w:p w:rsidR="00453F0B" w:rsidRPr="00B17639" w:rsidRDefault="00453F0B"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2</w:t>
            </w:r>
          </w:p>
        </w:tc>
        <w:tc>
          <w:tcPr>
            <w:tcW w:w="992" w:type="dxa"/>
            <w:tcBorders>
              <w:top w:val="nil"/>
            </w:tcBorders>
          </w:tcPr>
          <w:p w:rsidR="00453F0B" w:rsidRPr="00B17639" w:rsidRDefault="00453F0B"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60</w:t>
            </w:r>
          </w:p>
        </w:tc>
        <w:tc>
          <w:tcPr>
            <w:tcW w:w="1560" w:type="dxa"/>
            <w:tcBorders>
              <w:top w:val="nil"/>
            </w:tcBorders>
          </w:tcPr>
          <w:p w:rsidR="00453F0B" w:rsidRPr="00B17639" w:rsidRDefault="00453F0B"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4 (initial phase)</w:t>
            </w:r>
          </w:p>
          <w:p w:rsidR="00453F0B" w:rsidRPr="00B17639" w:rsidRDefault="00453F0B"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10 (continuing phase)</w:t>
            </w:r>
          </w:p>
        </w:tc>
        <w:tc>
          <w:tcPr>
            <w:tcW w:w="1842" w:type="dxa"/>
            <w:tcBorders>
              <w:top w:val="nil"/>
            </w:tcBorders>
          </w:tcPr>
          <w:p w:rsidR="00453F0B" w:rsidRPr="00B17639" w:rsidRDefault="00453F0B"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w:t>
            </w:r>
            <w:r w:rsidRPr="00D0150B">
              <w:rPr>
                <w:rFonts w:ascii="Arial Narrow" w:eastAsia="Times New Roman" w:hAnsi="Arial Narrow" w:cs="Times New Roman"/>
                <w:sz w:val="20"/>
                <w:szCs w:val="20"/>
              </w:rPr>
              <w:t>6,605.76</w:t>
            </w:r>
            <w:r w:rsidRPr="00B17639">
              <w:rPr>
                <w:rFonts w:ascii="Arial Narrow" w:eastAsia="Times New Roman" w:hAnsi="Arial Narrow" w:cs="Times New Roman"/>
                <w:sz w:val="20"/>
                <w:szCs w:val="20"/>
              </w:rPr>
              <w:t xml:space="preserve"> (published)</w:t>
            </w:r>
          </w:p>
          <w:p w:rsidR="00453F0B" w:rsidRPr="00B17639" w:rsidRDefault="00453F0B"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B17639">
              <w:rPr>
                <w:rFonts w:ascii="Arial Narrow" w:eastAsia="Times New Roman" w:hAnsi="Arial Narrow" w:cs="Times New Roman"/>
                <w:sz w:val="20"/>
                <w:szCs w:val="20"/>
              </w:rPr>
              <w:t>$</w:t>
            </w:r>
            <w:r w:rsidR="0089293C">
              <w:rPr>
                <w:rFonts w:ascii="Arial Narrow" w:eastAsia="Times New Roman" w:hAnsi="Arial Narrow" w:cs="Times New Roman"/>
                <w:noProof/>
                <w:color w:val="000000"/>
                <w:sz w:val="20"/>
                <w:szCs w:val="20"/>
                <w:highlight w:val="black"/>
              </w:rPr>
              <w:t>'''''''''''''''''''''''</w:t>
            </w:r>
            <w:r w:rsidRPr="00B17639">
              <w:rPr>
                <w:rFonts w:ascii="Arial Narrow" w:eastAsia="Times New Roman" w:hAnsi="Arial Narrow" w:cs="Times New Roman"/>
                <w:sz w:val="20"/>
                <w:szCs w:val="20"/>
              </w:rPr>
              <w:t xml:space="preserve"> (effective)</w:t>
            </w:r>
          </w:p>
          <w:p w:rsidR="005D27BF" w:rsidRPr="00B17639" w:rsidRDefault="005D27BF"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p>
        </w:tc>
        <w:tc>
          <w:tcPr>
            <w:tcW w:w="1712" w:type="dxa"/>
            <w:tcBorders>
              <w:top w:val="nil"/>
            </w:tcBorders>
          </w:tcPr>
          <w:p w:rsidR="00453F0B" w:rsidRPr="00B17639" w:rsidRDefault="00453F0B" w:rsidP="00180F36">
            <w:pPr>
              <w:widowControl w:val="0"/>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p>
        </w:tc>
      </w:tr>
    </w:tbl>
    <w:tbl>
      <w:tblPr>
        <w:tblW w:w="5000" w:type="pct"/>
        <w:tblLayout w:type="fixed"/>
        <w:tblLook w:val="0000" w:firstRow="0" w:lastRow="0" w:firstColumn="0" w:lastColumn="0" w:noHBand="0" w:noVBand="0"/>
        <w:tblCaption w:val="Requested listing "/>
      </w:tblPr>
      <w:tblGrid>
        <w:gridCol w:w="2009"/>
        <w:gridCol w:w="7233"/>
      </w:tblGrid>
      <w:tr w:rsidR="00FB57DB" w:rsidRPr="00B17639">
        <w:trPr>
          <w:cantSplit/>
          <w:trHeight w:val="20"/>
        </w:trPr>
        <w:tc>
          <w:tcPr>
            <w:tcW w:w="1087" w:type="pct"/>
            <w:tcBorders>
              <w:top w:val="single" w:sz="4" w:space="0" w:color="auto"/>
              <w:left w:val="single" w:sz="4" w:space="0" w:color="auto"/>
              <w:bottom w:val="single" w:sz="4" w:space="0" w:color="auto"/>
              <w:right w:val="single" w:sz="4" w:space="0" w:color="auto"/>
            </w:tcBorders>
          </w:tcPr>
          <w:p w:rsidR="00FB57DB" w:rsidRPr="00B17639" w:rsidRDefault="00FB57DB" w:rsidP="003145A9">
            <w:pPr>
              <w:pStyle w:val="TableText"/>
              <w:widowControl w:val="0"/>
              <w:spacing w:before="0" w:after="0"/>
            </w:pPr>
            <w:r w:rsidRPr="00B17639">
              <w:t>Category / Program</w:t>
            </w:r>
            <w:r w:rsidR="00791DE1" w:rsidRPr="00B17639">
              <w:t>:</w:t>
            </w:r>
          </w:p>
        </w:tc>
        <w:tc>
          <w:tcPr>
            <w:tcW w:w="3913" w:type="pct"/>
            <w:tcBorders>
              <w:top w:val="single" w:sz="4" w:space="0" w:color="auto"/>
              <w:left w:val="single" w:sz="4" w:space="0" w:color="auto"/>
              <w:bottom w:val="single" w:sz="4" w:space="0" w:color="auto"/>
              <w:right w:val="single" w:sz="4" w:space="0" w:color="auto"/>
            </w:tcBorders>
          </w:tcPr>
          <w:p w:rsidR="00FB57DB" w:rsidRPr="00B17639" w:rsidRDefault="00453F0B" w:rsidP="003145A9">
            <w:pPr>
              <w:pStyle w:val="TableText"/>
              <w:widowControl w:val="0"/>
              <w:spacing w:before="0" w:after="0"/>
            </w:pPr>
            <w:r w:rsidRPr="00B17639">
              <w:rPr>
                <w:rFonts w:eastAsia="Calibri" w:cs="Times New Roman"/>
              </w:rPr>
              <w:t>Section 85 – General Schedule</w:t>
            </w:r>
          </w:p>
        </w:tc>
      </w:tr>
      <w:tr w:rsidR="00FB57DB" w:rsidRPr="00B17639">
        <w:trPr>
          <w:cantSplit/>
          <w:trHeight w:val="20"/>
        </w:trPr>
        <w:tc>
          <w:tcPr>
            <w:tcW w:w="1087" w:type="pct"/>
            <w:tcBorders>
              <w:top w:val="single" w:sz="4" w:space="0" w:color="auto"/>
              <w:left w:val="single" w:sz="4" w:space="0" w:color="auto"/>
              <w:bottom w:val="single" w:sz="4" w:space="0" w:color="auto"/>
              <w:right w:val="single" w:sz="4" w:space="0" w:color="auto"/>
            </w:tcBorders>
          </w:tcPr>
          <w:p w:rsidR="00FB57DB" w:rsidRPr="00B17639" w:rsidRDefault="00D91CDB" w:rsidP="003145A9">
            <w:pPr>
              <w:pStyle w:val="TableText"/>
              <w:widowControl w:val="0"/>
              <w:spacing w:before="0" w:after="0"/>
              <w:rPr>
                <w:rFonts w:ascii="Times" w:eastAsia="Times New Roman" w:hAnsi="Times" w:cs="Times New Roman"/>
                <w:szCs w:val="20"/>
                <w:lang w:val="en-US"/>
              </w:rPr>
            </w:pPr>
            <w:r w:rsidRPr="00B17639">
              <w:t>Condition</w:t>
            </w:r>
          </w:p>
        </w:tc>
        <w:tc>
          <w:tcPr>
            <w:tcW w:w="3913" w:type="pct"/>
            <w:tcBorders>
              <w:top w:val="single" w:sz="4" w:space="0" w:color="auto"/>
              <w:left w:val="single" w:sz="4" w:space="0" w:color="auto"/>
              <w:bottom w:val="single" w:sz="4" w:space="0" w:color="auto"/>
              <w:right w:val="single" w:sz="4" w:space="0" w:color="auto"/>
            </w:tcBorders>
          </w:tcPr>
          <w:p w:rsidR="00FB57DB" w:rsidRPr="00B17639" w:rsidRDefault="00453F0B" w:rsidP="003145A9">
            <w:pPr>
              <w:pStyle w:val="TableText"/>
              <w:widowControl w:val="0"/>
              <w:spacing w:before="0" w:after="0"/>
            </w:pPr>
            <w:r w:rsidRPr="00B17639">
              <w:rPr>
                <w:rFonts w:eastAsia="Calibri" w:cs="Times New Roman"/>
              </w:rPr>
              <w:t>Clear cell variant renal cell carcinoma (RCC)</w:t>
            </w:r>
          </w:p>
        </w:tc>
      </w:tr>
      <w:tr w:rsidR="00D91CDB" w:rsidRPr="00B17639">
        <w:trPr>
          <w:cantSplit/>
          <w:trHeight w:val="20"/>
        </w:trPr>
        <w:tc>
          <w:tcPr>
            <w:tcW w:w="1087" w:type="pct"/>
            <w:tcBorders>
              <w:top w:val="single" w:sz="4" w:space="0" w:color="auto"/>
              <w:left w:val="single" w:sz="4" w:space="0" w:color="auto"/>
              <w:bottom w:val="single" w:sz="4" w:space="0" w:color="auto"/>
              <w:right w:val="single" w:sz="4" w:space="0" w:color="auto"/>
            </w:tcBorders>
          </w:tcPr>
          <w:p w:rsidR="00D91CDB" w:rsidRPr="00B17639" w:rsidRDefault="00D91CDB" w:rsidP="003145A9">
            <w:pPr>
              <w:pStyle w:val="TableText"/>
              <w:widowControl w:val="0"/>
              <w:spacing w:before="0" w:after="0"/>
            </w:pPr>
            <w:r w:rsidRPr="00B17639">
              <w:t>PBS indication</w:t>
            </w:r>
          </w:p>
        </w:tc>
        <w:tc>
          <w:tcPr>
            <w:tcW w:w="3913" w:type="pct"/>
            <w:tcBorders>
              <w:top w:val="single" w:sz="4" w:space="0" w:color="auto"/>
              <w:left w:val="single" w:sz="4" w:space="0" w:color="auto"/>
              <w:bottom w:val="single" w:sz="4" w:space="0" w:color="auto"/>
              <w:right w:val="single" w:sz="4" w:space="0" w:color="auto"/>
            </w:tcBorders>
          </w:tcPr>
          <w:p w:rsidR="00D91CDB" w:rsidRPr="00B17639" w:rsidRDefault="00D91CDB" w:rsidP="003145A9">
            <w:pPr>
              <w:pStyle w:val="TableText"/>
              <w:widowControl w:val="0"/>
              <w:spacing w:before="0" w:after="0"/>
              <w:rPr>
                <w:rFonts w:eastAsia="Calibri" w:cs="Times New Roman"/>
              </w:rPr>
            </w:pPr>
            <w:r w:rsidRPr="00B17639">
              <w:t>Stage IV clear cell variant renal cell carcinoma (RCC)</w:t>
            </w:r>
          </w:p>
        </w:tc>
      </w:tr>
      <w:tr w:rsidR="00FB57DB" w:rsidRPr="00B17639">
        <w:trPr>
          <w:cantSplit/>
          <w:trHeight w:val="20"/>
        </w:trPr>
        <w:tc>
          <w:tcPr>
            <w:tcW w:w="1087" w:type="pct"/>
            <w:tcBorders>
              <w:top w:val="single" w:sz="4" w:space="0" w:color="auto"/>
              <w:left w:val="single" w:sz="4" w:space="0" w:color="auto"/>
              <w:bottom w:val="single" w:sz="4" w:space="0" w:color="auto"/>
              <w:right w:val="single" w:sz="4" w:space="0" w:color="auto"/>
            </w:tcBorders>
          </w:tcPr>
          <w:p w:rsidR="00FB57DB" w:rsidRPr="00B17639" w:rsidRDefault="00FB57DB" w:rsidP="003145A9">
            <w:pPr>
              <w:pStyle w:val="TableText"/>
              <w:widowControl w:val="0"/>
              <w:spacing w:before="0" w:after="0"/>
            </w:pPr>
            <w:r w:rsidRPr="00B17639">
              <w:t>Treatment phase:</w:t>
            </w:r>
          </w:p>
        </w:tc>
        <w:tc>
          <w:tcPr>
            <w:tcW w:w="3913" w:type="pct"/>
            <w:tcBorders>
              <w:top w:val="single" w:sz="4" w:space="0" w:color="auto"/>
              <w:left w:val="single" w:sz="4" w:space="0" w:color="auto"/>
              <w:bottom w:val="single" w:sz="4" w:space="0" w:color="auto"/>
              <w:right w:val="single" w:sz="4" w:space="0" w:color="auto"/>
            </w:tcBorders>
          </w:tcPr>
          <w:p w:rsidR="00FB57DB" w:rsidRPr="00B17639" w:rsidRDefault="00D91CDB" w:rsidP="003145A9">
            <w:pPr>
              <w:pStyle w:val="TableText"/>
              <w:widowControl w:val="0"/>
              <w:spacing w:before="0" w:after="0"/>
            </w:pPr>
            <w:r w:rsidRPr="00B17639">
              <w:t>Initial treatment</w:t>
            </w:r>
          </w:p>
        </w:tc>
      </w:tr>
      <w:tr w:rsidR="00FB57DB" w:rsidRPr="00B17639">
        <w:trPr>
          <w:cantSplit/>
          <w:trHeight w:val="20"/>
        </w:trPr>
        <w:tc>
          <w:tcPr>
            <w:tcW w:w="1087" w:type="pct"/>
            <w:tcBorders>
              <w:top w:val="single" w:sz="4" w:space="0" w:color="auto"/>
              <w:left w:val="single" w:sz="4" w:space="0" w:color="auto"/>
              <w:bottom w:val="single" w:sz="4" w:space="0" w:color="auto"/>
              <w:right w:val="single" w:sz="4" w:space="0" w:color="auto"/>
            </w:tcBorders>
          </w:tcPr>
          <w:p w:rsidR="00FB57DB" w:rsidRPr="00B17639" w:rsidRDefault="00FB57DB" w:rsidP="003145A9">
            <w:pPr>
              <w:pStyle w:val="TableText"/>
              <w:widowControl w:val="0"/>
              <w:spacing w:before="0" w:after="0"/>
            </w:pPr>
            <w:r w:rsidRPr="00B17639">
              <w:t>Restriction:</w:t>
            </w:r>
          </w:p>
        </w:tc>
        <w:tc>
          <w:tcPr>
            <w:tcW w:w="3913" w:type="pct"/>
            <w:tcBorders>
              <w:top w:val="single" w:sz="4" w:space="0" w:color="auto"/>
              <w:left w:val="single" w:sz="4" w:space="0" w:color="auto"/>
              <w:bottom w:val="single" w:sz="4" w:space="0" w:color="auto"/>
              <w:right w:val="single" w:sz="4" w:space="0" w:color="auto"/>
            </w:tcBorders>
          </w:tcPr>
          <w:p w:rsidR="00FB57DB" w:rsidRPr="00B17639" w:rsidRDefault="00FB57DB" w:rsidP="003145A9">
            <w:pPr>
              <w:pStyle w:val="TableText"/>
              <w:widowControl w:val="0"/>
              <w:spacing w:before="0" w:after="0"/>
              <w:rPr>
                <w:rFonts w:eastAsia="Calibri" w:cs="Times New Roman"/>
                <w:szCs w:val="20"/>
                <w:lang w:eastAsia="en-AU"/>
              </w:rPr>
            </w:pPr>
            <w:r w:rsidRPr="00B17639">
              <w:t>Authority required (STREAMLINED)</w:t>
            </w:r>
          </w:p>
        </w:tc>
      </w:tr>
      <w:tr w:rsidR="00453F0B" w:rsidRPr="00B17639">
        <w:trPr>
          <w:cantSplit/>
          <w:trHeight w:val="360"/>
        </w:trPr>
        <w:tc>
          <w:tcPr>
            <w:tcW w:w="1087" w:type="pct"/>
            <w:tcBorders>
              <w:top w:val="single" w:sz="4" w:space="0" w:color="auto"/>
              <w:left w:val="single" w:sz="4" w:space="0" w:color="auto"/>
              <w:bottom w:val="single" w:sz="4" w:space="0" w:color="auto"/>
              <w:right w:val="single" w:sz="4" w:space="0" w:color="auto"/>
            </w:tcBorders>
          </w:tcPr>
          <w:p w:rsidR="00453F0B" w:rsidRPr="00B17639" w:rsidRDefault="00453F0B" w:rsidP="00180F36">
            <w:pPr>
              <w:pStyle w:val="TableText"/>
              <w:widowControl w:val="0"/>
              <w:rPr>
                <w:rFonts w:ascii="Times" w:eastAsia="Times New Roman" w:hAnsi="Times" w:cs="Times New Roman"/>
                <w:szCs w:val="20"/>
                <w:lang w:val="en-US"/>
              </w:rPr>
            </w:pPr>
            <w:r w:rsidRPr="00B17639">
              <w:t>Clinical criteria:</w:t>
            </w:r>
          </w:p>
        </w:tc>
        <w:tc>
          <w:tcPr>
            <w:tcW w:w="3913" w:type="pct"/>
            <w:tcBorders>
              <w:top w:val="single" w:sz="4" w:space="0" w:color="auto"/>
              <w:left w:val="single" w:sz="4" w:space="0" w:color="auto"/>
              <w:bottom w:val="single" w:sz="4" w:space="0" w:color="auto"/>
              <w:right w:val="single" w:sz="4" w:space="0" w:color="auto"/>
            </w:tcBorders>
          </w:tcPr>
          <w:p w:rsidR="00453F0B" w:rsidRPr="00B17639" w:rsidRDefault="00453F0B" w:rsidP="00F70B8F">
            <w:pPr>
              <w:widowControl w:val="0"/>
              <w:numPr>
                <w:ilvl w:val="0"/>
                <w:numId w:val="5"/>
              </w:numPr>
              <w:spacing w:before="0" w:after="120"/>
              <w:ind w:left="357" w:hanging="357"/>
              <w:contextualSpacing/>
              <w:jc w:val="both"/>
              <w:rPr>
                <w:rFonts w:ascii="Arial Narrow" w:eastAsia="Calibri" w:hAnsi="Arial Narrow" w:cs="Times New Roman"/>
                <w:sz w:val="20"/>
              </w:rPr>
            </w:pPr>
            <w:r w:rsidRPr="00B17639">
              <w:rPr>
                <w:rFonts w:ascii="Arial Narrow" w:eastAsia="Calibri" w:hAnsi="Arial Narrow" w:cs="Times New Roman"/>
                <w:sz w:val="20"/>
              </w:rPr>
              <w:t>The treatment must be used in combination with everolimus at a maximum everolimus dose of 5 mg daily</w:t>
            </w:r>
          </w:p>
          <w:p w:rsidR="00453F0B" w:rsidRPr="00B17639" w:rsidRDefault="00453F0B" w:rsidP="00180F36">
            <w:pPr>
              <w:widowControl w:val="0"/>
              <w:spacing w:before="0" w:after="120"/>
              <w:jc w:val="both"/>
              <w:rPr>
                <w:rFonts w:ascii="Arial Narrow" w:eastAsia="Calibri" w:hAnsi="Arial Narrow" w:cs="Times New Roman"/>
                <w:sz w:val="20"/>
              </w:rPr>
            </w:pPr>
            <w:r w:rsidRPr="00B17639">
              <w:rPr>
                <w:rFonts w:ascii="Arial Narrow" w:eastAsia="Calibri" w:hAnsi="Arial Narrow" w:cs="Times New Roman"/>
                <w:sz w:val="20"/>
              </w:rPr>
              <w:t>AND</w:t>
            </w:r>
          </w:p>
          <w:p w:rsidR="00453F0B" w:rsidRPr="00B17639" w:rsidRDefault="00453F0B" w:rsidP="00D91CDB">
            <w:pPr>
              <w:widowControl w:val="0"/>
              <w:numPr>
                <w:ilvl w:val="0"/>
                <w:numId w:val="5"/>
              </w:numPr>
              <w:spacing w:before="0" w:after="120"/>
              <w:contextualSpacing/>
              <w:jc w:val="both"/>
              <w:rPr>
                <w:rFonts w:ascii="Arial Narrow" w:eastAsia="Calibri" w:hAnsi="Arial Narrow" w:cs="Times New Roman"/>
                <w:sz w:val="20"/>
              </w:rPr>
            </w:pPr>
            <w:r w:rsidRPr="00B17639">
              <w:rPr>
                <w:rFonts w:ascii="Arial Narrow" w:eastAsia="Calibri" w:hAnsi="Arial Narrow" w:cs="Times New Roman"/>
                <w:sz w:val="20"/>
              </w:rPr>
              <w:t>Patient must have progressive disease according to the Response Evaluation Criteria in Solid Tumours (RECIST) following first-line treatment with a tyrosine kinase inhibitor</w:t>
            </w:r>
          </w:p>
          <w:p w:rsidR="00453F0B" w:rsidRPr="00B17639" w:rsidRDefault="00453F0B" w:rsidP="00180F36">
            <w:pPr>
              <w:widowControl w:val="0"/>
              <w:spacing w:before="0" w:after="120"/>
              <w:jc w:val="both"/>
              <w:rPr>
                <w:rFonts w:ascii="Arial Narrow" w:eastAsia="Calibri" w:hAnsi="Arial Narrow" w:cs="Times New Roman"/>
                <w:sz w:val="20"/>
              </w:rPr>
            </w:pPr>
            <w:r w:rsidRPr="00B17639">
              <w:rPr>
                <w:rFonts w:ascii="Arial Narrow" w:eastAsia="Calibri" w:hAnsi="Arial Narrow" w:cs="Times New Roman"/>
                <w:sz w:val="20"/>
              </w:rPr>
              <w:t>OR</w:t>
            </w:r>
          </w:p>
          <w:p w:rsidR="00453F0B" w:rsidRPr="00B17639" w:rsidRDefault="00453F0B" w:rsidP="00D91CDB">
            <w:pPr>
              <w:widowControl w:val="0"/>
              <w:numPr>
                <w:ilvl w:val="0"/>
                <w:numId w:val="5"/>
              </w:numPr>
              <w:spacing w:before="0" w:after="120"/>
              <w:contextualSpacing/>
              <w:jc w:val="both"/>
              <w:rPr>
                <w:rFonts w:ascii="Arial Narrow" w:eastAsia="Calibri" w:hAnsi="Arial Narrow" w:cs="Times New Roman"/>
                <w:sz w:val="20"/>
              </w:rPr>
            </w:pPr>
            <w:r w:rsidRPr="00B17639">
              <w:rPr>
                <w:rFonts w:ascii="Arial Narrow" w:eastAsia="Calibri" w:hAnsi="Arial Narrow" w:cs="Times New Roman"/>
                <w:sz w:val="20"/>
              </w:rPr>
              <w:t>Patient must have developed intolerance to a tyrosine kinase inhibitor of a severity necessitating permanent treatment withdrawal</w:t>
            </w:r>
          </w:p>
          <w:p w:rsidR="00453F0B" w:rsidRPr="00B17639" w:rsidRDefault="00453F0B" w:rsidP="00180F36">
            <w:pPr>
              <w:widowControl w:val="0"/>
              <w:spacing w:before="0" w:after="120"/>
              <w:jc w:val="both"/>
              <w:rPr>
                <w:rFonts w:ascii="Arial Narrow" w:eastAsia="Calibri" w:hAnsi="Arial Narrow" w:cs="Times New Roman"/>
                <w:sz w:val="20"/>
              </w:rPr>
            </w:pPr>
            <w:r w:rsidRPr="00B17639">
              <w:rPr>
                <w:rFonts w:ascii="Arial Narrow" w:eastAsia="Calibri" w:hAnsi="Arial Narrow" w:cs="Times New Roman"/>
                <w:sz w:val="20"/>
              </w:rPr>
              <w:t>AND</w:t>
            </w:r>
          </w:p>
          <w:p w:rsidR="00453F0B" w:rsidRPr="00B17639" w:rsidRDefault="00453F0B" w:rsidP="00F70B8F">
            <w:pPr>
              <w:widowControl w:val="0"/>
              <w:numPr>
                <w:ilvl w:val="0"/>
                <w:numId w:val="5"/>
              </w:numPr>
              <w:spacing w:before="0" w:after="120"/>
              <w:ind w:left="357" w:hanging="357"/>
              <w:contextualSpacing/>
              <w:jc w:val="both"/>
              <w:rPr>
                <w:rFonts w:ascii="Arial Narrow" w:eastAsia="Calibri" w:hAnsi="Arial Narrow" w:cs="Times New Roman"/>
                <w:sz w:val="20"/>
              </w:rPr>
            </w:pPr>
            <w:r w:rsidRPr="00B17639">
              <w:rPr>
                <w:rFonts w:ascii="Arial Narrow" w:eastAsia="Calibri" w:hAnsi="Arial Narrow" w:cs="Times New Roman"/>
                <w:sz w:val="20"/>
              </w:rPr>
              <w:t>Patient must have a WHO performance status of 2 or less</w:t>
            </w:r>
          </w:p>
          <w:p w:rsidR="00453F0B" w:rsidRPr="00B17639" w:rsidRDefault="00453F0B" w:rsidP="00180F36">
            <w:pPr>
              <w:widowControl w:val="0"/>
              <w:spacing w:before="0" w:after="120"/>
              <w:jc w:val="both"/>
              <w:rPr>
                <w:rFonts w:ascii="Arial Narrow" w:eastAsia="Calibri" w:hAnsi="Arial Narrow" w:cs="Times New Roman"/>
                <w:sz w:val="20"/>
              </w:rPr>
            </w:pPr>
            <w:r w:rsidRPr="00B17639">
              <w:rPr>
                <w:rFonts w:ascii="Arial Narrow" w:eastAsia="Calibri" w:hAnsi="Arial Narrow" w:cs="Times New Roman"/>
                <w:sz w:val="20"/>
              </w:rPr>
              <w:t>AND</w:t>
            </w:r>
          </w:p>
          <w:p w:rsidR="00453F0B" w:rsidRPr="00B17639" w:rsidRDefault="00453F0B" w:rsidP="003145A9">
            <w:pPr>
              <w:widowControl w:val="0"/>
              <w:numPr>
                <w:ilvl w:val="0"/>
                <w:numId w:val="5"/>
              </w:numPr>
              <w:spacing w:before="0" w:after="120"/>
              <w:contextualSpacing/>
              <w:jc w:val="both"/>
            </w:pPr>
            <w:r w:rsidRPr="00B17639">
              <w:rPr>
                <w:rFonts w:ascii="Arial Narrow" w:eastAsia="Calibri" w:hAnsi="Arial Narrow" w:cs="Times New Roman"/>
                <w:sz w:val="20"/>
              </w:rPr>
              <w:t>Patients who have developed progressive disease with lenvatinib are no longer eligible for PBS-subsidised lenvatinib</w:t>
            </w:r>
          </w:p>
        </w:tc>
      </w:tr>
    </w:tbl>
    <w:p w:rsidR="00584F21" w:rsidRPr="00B17639" w:rsidRDefault="00584F21" w:rsidP="000F5D15">
      <w:pPr>
        <w:jc w:val="both"/>
      </w:pPr>
    </w:p>
    <w:tbl>
      <w:tblPr>
        <w:tblW w:w="5028" w:type="pct"/>
        <w:tblLook w:val="0000" w:firstRow="0" w:lastRow="0" w:firstColumn="0" w:lastColumn="0" w:noHBand="0" w:noVBand="0"/>
      </w:tblPr>
      <w:tblGrid>
        <w:gridCol w:w="2048"/>
        <w:gridCol w:w="7246"/>
      </w:tblGrid>
      <w:tr w:rsidR="00584F21" w:rsidRPr="00B17639">
        <w:trPr>
          <w:cantSplit/>
          <w:trHeight w:val="20"/>
        </w:trPr>
        <w:tc>
          <w:tcPr>
            <w:tcW w:w="1102"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Category / Program</w:t>
            </w:r>
          </w:p>
        </w:tc>
        <w:tc>
          <w:tcPr>
            <w:tcW w:w="3898"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Section 85 – General Schedule</w:t>
            </w:r>
          </w:p>
        </w:tc>
      </w:tr>
      <w:tr w:rsidR="00584F21" w:rsidRPr="00B17639">
        <w:trPr>
          <w:cantSplit/>
          <w:trHeight w:val="20"/>
        </w:trPr>
        <w:tc>
          <w:tcPr>
            <w:tcW w:w="1102"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Condition:</w:t>
            </w:r>
          </w:p>
        </w:tc>
        <w:tc>
          <w:tcPr>
            <w:tcW w:w="3898"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Clear cell variant renal cell carcinoma (RCC)</w:t>
            </w:r>
          </w:p>
        </w:tc>
      </w:tr>
      <w:tr w:rsidR="00584F21" w:rsidRPr="00B17639">
        <w:trPr>
          <w:cantSplit/>
          <w:trHeight w:val="20"/>
        </w:trPr>
        <w:tc>
          <w:tcPr>
            <w:tcW w:w="1102"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PBS Indication:</w:t>
            </w:r>
          </w:p>
        </w:tc>
        <w:tc>
          <w:tcPr>
            <w:tcW w:w="3898"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Stage IV clear cell variant renal cell carcinoma (RCC)</w:t>
            </w:r>
          </w:p>
        </w:tc>
      </w:tr>
      <w:tr w:rsidR="00584F21" w:rsidRPr="00B17639">
        <w:trPr>
          <w:cantSplit/>
          <w:trHeight w:val="20"/>
        </w:trPr>
        <w:tc>
          <w:tcPr>
            <w:tcW w:w="1102"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Treatment phase:</w:t>
            </w:r>
          </w:p>
        </w:tc>
        <w:tc>
          <w:tcPr>
            <w:tcW w:w="3898"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Continuing treatment</w:t>
            </w:r>
          </w:p>
        </w:tc>
      </w:tr>
      <w:tr w:rsidR="00584F21" w:rsidRPr="00B17639">
        <w:trPr>
          <w:cantSplit/>
          <w:trHeight w:val="20"/>
        </w:trPr>
        <w:tc>
          <w:tcPr>
            <w:tcW w:w="1102"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Restriction</w:t>
            </w:r>
            <w:r w:rsidR="000956AF" w:rsidRPr="00B17639">
              <w:rPr>
                <w:rFonts w:ascii="Arial Narrow" w:eastAsia="Calibri" w:hAnsi="Arial Narrow" w:cs="Times New Roman"/>
                <w:sz w:val="20"/>
              </w:rPr>
              <w:t>:</w:t>
            </w:r>
          </w:p>
        </w:tc>
        <w:tc>
          <w:tcPr>
            <w:tcW w:w="3898"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keepNext/>
              <w:keepLines/>
              <w:spacing w:before="0" w:after="0"/>
              <w:jc w:val="both"/>
              <w:rPr>
                <w:rFonts w:ascii="Arial Narrow" w:eastAsia="Calibri" w:hAnsi="Arial Narrow" w:cs="Times New Roman"/>
                <w:sz w:val="20"/>
              </w:rPr>
            </w:pPr>
            <w:r w:rsidRPr="00B17639">
              <w:rPr>
                <w:rFonts w:ascii="Arial Narrow" w:eastAsia="Calibri" w:hAnsi="Arial Narrow" w:cs="Times New Roman"/>
                <w:sz w:val="20"/>
              </w:rPr>
              <w:t>Authority required (STREAMLINED)</w:t>
            </w:r>
          </w:p>
        </w:tc>
      </w:tr>
      <w:tr w:rsidR="00584F21" w:rsidRPr="00B17639">
        <w:trPr>
          <w:cantSplit/>
          <w:trHeight w:val="360"/>
        </w:trPr>
        <w:tc>
          <w:tcPr>
            <w:tcW w:w="1102" w:type="pct"/>
            <w:tcBorders>
              <w:top w:val="single" w:sz="4" w:space="0" w:color="auto"/>
              <w:left w:val="single" w:sz="4" w:space="0" w:color="auto"/>
              <w:bottom w:val="single" w:sz="4" w:space="0" w:color="auto"/>
              <w:right w:val="single" w:sz="4" w:space="0" w:color="auto"/>
            </w:tcBorders>
          </w:tcPr>
          <w:p w:rsidR="00584F21" w:rsidRPr="00B17639" w:rsidRDefault="00584F21" w:rsidP="00A80465">
            <w:pPr>
              <w:spacing w:before="0" w:after="120"/>
              <w:jc w:val="both"/>
              <w:rPr>
                <w:rFonts w:ascii="Arial Narrow" w:eastAsia="Calibri" w:hAnsi="Arial Narrow" w:cs="Times New Roman"/>
                <w:sz w:val="20"/>
              </w:rPr>
            </w:pPr>
            <w:r w:rsidRPr="00B17639">
              <w:rPr>
                <w:rFonts w:ascii="Arial Narrow" w:eastAsia="Calibri" w:hAnsi="Arial Narrow" w:cs="Times New Roman"/>
                <w:sz w:val="20"/>
              </w:rPr>
              <w:t>Clinical criteria:</w:t>
            </w:r>
          </w:p>
          <w:p w:rsidR="00584F21" w:rsidRPr="00B17639" w:rsidRDefault="00584F21" w:rsidP="00A80465">
            <w:pPr>
              <w:spacing w:before="0" w:after="120"/>
              <w:jc w:val="both"/>
              <w:rPr>
                <w:rFonts w:ascii="Arial Narrow" w:eastAsia="Calibri" w:hAnsi="Arial Narrow" w:cs="Times New Roman"/>
                <w:sz w:val="20"/>
              </w:rPr>
            </w:pPr>
          </w:p>
        </w:tc>
        <w:tc>
          <w:tcPr>
            <w:tcW w:w="3898" w:type="pct"/>
            <w:tcBorders>
              <w:top w:val="single" w:sz="4" w:space="0" w:color="auto"/>
              <w:left w:val="single" w:sz="4" w:space="0" w:color="auto"/>
              <w:bottom w:val="single" w:sz="4" w:space="0" w:color="auto"/>
              <w:right w:val="single" w:sz="4" w:space="0" w:color="auto"/>
            </w:tcBorders>
          </w:tcPr>
          <w:p w:rsidR="00584F21" w:rsidRPr="00B17639" w:rsidRDefault="00584F21" w:rsidP="003145A9">
            <w:pPr>
              <w:numPr>
                <w:ilvl w:val="0"/>
                <w:numId w:val="5"/>
              </w:numPr>
              <w:spacing w:before="0" w:after="120"/>
              <w:contextualSpacing/>
              <w:jc w:val="both"/>
              <w:rPr>
                <w:rFonts w:ascii="Arial Narrow" w:eastAsia="Calibri" w:hAnsi="Arial Narrow" w:cs="Times New Roman"/>
                <w:sz w:val="20"/>
              </w:rPr>
            </w:pPr>
            <w:r w:rsidRPr="00B17639">
              <w:rPr>
                <w:rFonts w:ascii="Arial Narrow" w:eastAsia="Calibri" w:hAnsi="Arial Narrow" w:cs="Times New Roman"/>
                <w:sz w:val="20"/>
              </w:rPr>
              <w:t>Patient must have previously been issued with an authority prescription for this drug for this condition</w:t>
            </w:r>
          </w:p>
          <w:p w:rsidR="00584F21" w:rsidRPr="00B17639" w:rsidRDefault="00584F21" w:rsidP="000956AF">
            <w:pPr>
              <w:spacing w:before="0" w:after="120"/>
              <w:jc w:val="both"/>
              <w:rPr>
                <w:rFonts w:ascii="Arial Narrow" w:eastAsia="Calibri" w:hAnsi="Arial Narrow" w:cs="Times New Roman"/>
                <w:sz w:val="20"/>
              </w:rPr>
            </w:pPr>
            <w:r w:rsidRPr="00B17639">
              <w:rPr>
                <w:rFonts w:ascii="Arial Narrow" w:eastAsia="Calibri" w:hAnsi="Arial Narrow" w:cs="Times New Roman"/>
                <w:sz w:val="20"/>
              </w:rPr>
              <w:t>AND</w:t>
            </w:r>
          </w:p>
          <w:p w:rsidR="00584F21" w:rsidRPr="00B17639" w:rsidRDefault="00584F21" w:rsidP="003145A9">
            <w:pPr>
              <w:numPr>
                <w:ilvl w:val="0"/>
                <w:numId w:val="5"/>
              </w:numPr>
              <w:spacing w:before="0" w:after="120"/>
              <w:contextualSpacing/>
              <w:jc w:val="both"/>
              <w:rPr>
                <w:rFonts w:ascii="Arial Narrow" w:eastAsia="Calibri" w:hAnsi="Arial Narrow" w:cs="Times New Roman"/>
                <w:sz w:val="20"/>
              </w:rPr>
            </w:pPr>
            <w:r w:rsidRPr="00B17639">
              <w:rPr>
                <w:rFonts w:ascii="Arial Narrow" w:eastAsia="Calibri" w:hAnsi="Arial Narrow" w:cs="Times New Roman"/>
                <w:sz w:val="20"/>
              </w:rPr>
              <w:t>The treatment must be used in combination with everolimus at a maximum everolimus dose of 5 mg daily</w:t>
            </w:r>
          </w:p>
          <w:p w:rsidR="00584F21" w:rsidRPr="00B17639" w:rsidRDefault="00584F21" w:rsidP="000956AF">
            <w:pPr>
              <w:spacing w:before="0" w:after="120"/>
              <w:jc w:val="both"/>
              <w:rPr>
                <w:rFonts w:ascii="Arial Narrow" w:eastAsia="Calibri" w:hAnsi="Arial Narrow" w:cs="Times New Roman"/>
                <w:sz w:val="20"/>
              </w:rPr>
            </w:pPr>
            <w:r w:rsidRPr="00B17639">
              <w:rPr>
                <w:rFonts w:ascii="Arial Narrow" w:eastAsia="Calibri" w:hAnsi="Arial Narrow" w:cs="Times New Roman"/>
                <w:sz w:val="20"/>
              </w:rPr>
              <w:t>AND</w:t>
            </w:r>
          </w:p>
          <w:p w:rsidR="00584F21" w:rsidRPr="00B17639" w:rsidRDefault="00584F21" w:rsidP="003145A9">
            <w:pPr>
              <w:numPr>
                <w:ilvl w:val="0"/>
                <w:numId w:val="5"/>
              </w:numPr>
              <w:spacing w:before="0" w:after="120"/>
              <w:contextualSpacing/>
              <w:jc w:val="both"/>
              <w:rPr>
                <w:rFonts w:ascii="Arial Narrow" w:eastAsia="Calibri" w:hAnsi="Arial Narrow" w:cs="Times New Roman"/>
                <w:sz w:val="20"/>
              </w:rPr>
            </w:pPr>
            <w:r w:rsidRPr="00B17639">
              <w:rPr>
                <w:rFonts w:ascii="Arial Narrow" w:eastAsia="Calibri" w:hAnsi="Arial Narrow" w:cs="Times New Roman"/>
                <w:sz w:val="20"/>
              </w:rPr>
              <w:t>Patient must have stable or responding disease according to the Response Evaluation Criteria In Solid Tumours (RECIST)</w:t>
            </w:r>
          </w:p>
          <w:p w:rsidR="00584F21" w:rsidRPr="00B17639" w:rsidRDefault="00584F21" w:rsidP="000956AF">
            <w:pPr>
              <w:spacing w:before="0" w:after="120"/>
              <w:jc w:val="both"/>
              <w:rPr>
                <w:rFonts w:ascii="Arial Narrow" w:eastAsia="Calibri" w:hAnsi="Arial Narrow" w:cs="Times New Roman"/>
                <w:sz w:val="20"/>
              </w:rPr>
            </w:pPr>
            <w:r w:rsidRPr="00B17639">
              <w:rPr>
                <w:rFonts w:ascii="Arial Narrow" w:eastAsia="Calibri" w:hAnsi="Arial Narrow" w:cs="Times New Roman"/>
                <w:sz w:val="20"/>
              </w:rPr>
              <w:t>AND</w:t>
            </w:r>
          </w:p>
          <w:p w:rsidR="00584F21" w:rsidRPr="00B17639" w:rsidRDefault="00584F21" w:rsidP="003145A9">
            <w:pPr>
              <w:numPr>
                <w:ilvl w:val="0"/>
                <w:numId w:val="5"/>
              </w:numPr>
              <w:spacing w:before="0" w:after="120"/>
              <w:contextualSpacing/>
              <w:jc w:val="both"/>
              <w:rPr>
                <w:rFonts w:ascii="Arial Narrow" w:eastAsia="Calibri" w:hAnsi="Arial Narrow" w:cs="Times New Roman"/>
                <w:sz w:val="20"/>
              </w:rPr>
            </w:pPr>
            <w:r w:rsidRPr="00B17639">
              <w:rPr>
                <w:rFonts w:ascii="Arial Narrow" w:eastAsia="Calibri" w:hAnsi="Arial Narrow" w:cs="Times New Roman"/>
                <w:sz w:val="20"/>
              </w:rPr>
              <w:t>Patients who have developed progressive disease with lenvatinib are no longer eligible for PBS-subsidised lenvatinib</w:t>
            </w:r>
          </w:p>
        </w:tc>
      </w:tr>
    </w:tbl>
    <w:p w:rsidR="00584F21" w:rsidRPr="00B17639" w:rsidRDefault="00584F21" w:rsidP="00584F21">
      <w:pPr>
        <w:jc w:val="both"/>
      </w:pPr>
    </w:p>
    <w:p w:rsidR="00385FAF" w:rsidRPr="006E3E48" w:rsidRDefault="00A965B4" w:rsidP="00DE7B89">
      <w:pPr>
        <w:pStyle w:val="ListParagraph"/>
        <w:numPr>
          <w:ilvl w:val="1"/>
          <w:numId w:val="9"/>
        </w:numPr>
        <w:jc w:val="both"/>
      </w:pPr>
      <w:r w:rsidRPr="006E3E48">
        <w:t xml:space="preserve">The intent of this listing, and in accordance with the clinical evidence presented in the submission, was that the lenvatinib/everolimus combination would be used as a second line </w:t>
      </w:r>
      <w:r w:rsidR="0068611E" w:rsidRPr="006E3E48">
        <w:t>therapy</w:t>
      </w:r>
      <w:r w:rsidRPr="006E3E48">
        <w:t xml:space="preserve"> following treatment with a first line </w:t>
      </w:r>
      <w:r w:rsidR="00197A49" w:rsidRPr="006E3E48">
        <w:t>tyrosine kinase inhibitor (</w:t>
      </w:r>
      <w:r w:rsidRPr="006E3E48">
        <w:t>TKI</w:t>
      </w:r>
      <w:r w:rsidR="00197A49" w:rsidRPr="006E3E48">
        <w:t>)</w:t>
      </w:r>
      <w:r w:rsidRPr="006E3E48">
        <w:t xml:space="preserve">. </w:t>
      </w:r>
    </w:p>
    <w:p w:rsidR="00385FAF" w:rsidRPr="006E3E48" w:rsidRDefault="00A27DC8" w:rsidP="00992485">
      <w:pPr>
        <w:pStyle w:val="ListParagraph"/>
        <w:numPr>
          <w:ilvl w:val="1"/>
          <w:numId w:val="9"/>
        </w:numPr>
        <w:jc w:val="both"/>
      </w:pPr>
      <w:r w:rsidRPr="006E3E48">
        <w:lastRenderedPageBreak/>
        <w:t xml:space="preserve">The restriction allows for treatment to continue until disease progression. </w:t>
      </w:r>
      <w:r w:rsidR="0035639B" w:rsidRPr="006E3E48">
        <w:t>The median duration of time to disease progression in the key clinical trial was reported at 14.6 months</w:t>
      </w:r>
      <w:r w:rsidRPr="006E3E48">
        <w:t xml:space="preserve">. The </w:t>
      </w:r>
      <w:r w:rsidR="0035639B" w:rsidRPr="006E3E48">
        <w:t xml:space="preserve">mean </w:t>
      </w:r>
      <w:r w:rsidRPr="006E3E48">
        <w:t xml:space="preserve">time to disease progression was not reported, but is </w:t>
      </w:r>
      <w:r w:rsidR="0035639B" w:rsidRPr="006E3E48">
        <w:t xml:space="preserve">likely to be higher. The corresponding </w:t>
      </w:r>
      <w:r w:rsidR="003145A9" w:rsidRPr="006E3E48">
        <w:t xml:space="preserve">median </w:t>
      </w:r>
      <w:r w:rsidR="0035639B" w:rsidRPr="006E3E48">
        <w:t>duration of therapy in the trial was significantly lower at 7.6 months. Th</w:t>
      </w:r>
      <w:r w:rsidRPr="006E3E48">
        <w:t xml:space="preserve">is implies that </w:t>
      </w:r>
      <w:r w:rsidR="0035639B" w:rsidRPr="006E3E48">
        <w:t xml:space="preserve">there </w:t>
      </w:r>
      <w:r w:rsidR="005E4FA2" w:rsidRPr="006E3E48">
        <w:t>were</w:t>
      </w:r>
      <w:r w:rsidRPr="006E3E48">
        <w:t xml:space="preserve"> </w:t>
      </w:r>
      <w:r w:rsidR="0035639B" w:rsidRPr="006E3E48">
        <w:t xml:space="preserve">significant treatment </w:t>
      </w:r>
      <w:r w:rsidRPr="006E3E48">
        <w:t xml:space="preserve">discontinuations and </w:t>
      </w:r>
      <w:r w:rsidR="0035639B" w:rsidRPr="006E3E48">
        <w:t xml:space="preserve">interruptions during </w:t>
      </w:r>
      <w:r w:rsidR="005E4FA2" w:rsidRPr="006E3E48">
        <w:t>therapy in the trial</w:t>
      </w:r>
      <w:r w:rsidR="0035639B" w:rsidRPr="006E3E48">
        <w:t xml:space="preserve">. The </w:t>
      </w:r>
      <w:r w:rsidR="005E4FA2" w:rsidRPr="006E3E48">
        <w:t>impact of such discontinuations and interruptions</w:t>
      </w:r>
      <w:r w:rsidR="0035639B" w:rsidRPr="006E3E48">
        <w:t xml:space="preserve"> on the </w:t>
      </w:r>
      <w:r w:rsidR="00643788" w:rsidRPr="006E3E48">
        <w:t>likely duration of therapy for the</w:t>
      </w:r>
      <w:r w:rsidR="0035639B" w:rsidRPr="006E3E48">
        <w:t xml:space="preserve"> PBS population is unknown. </w:t>
      </w:r>
    </w:p>
    <w:p w:rsidR="00C317F3" w:rsidRPr="006E3E48" w:rsidRDefault="00AA2410" w:rsidP="00992485">
      <w:pPr>
        <w:pStyle w:val="ListParagraph"/>
        <w:numPr>
          <w:ilvl w:val="1"/>
          <w:numId w:val="9"/>
        </w:numPr>
        <w:jc w:val="both"/>
      </w:pPr>
      <w:r w:rsidRPr="006E3E48">
        <w:t xml:space="preserve">Lenvatinib is currently listed on the PBS as a treatment for locally advanced or metastatic radioactive iodine refractory differentiated thyroid cancer. The current PBS listing </w:t>
      </w:r>
      <w:r w:rsidR="00A27DC8" w:rsidRPr="006E3E48">
        <w:t xml:space="preserve">for </w:t>
      </w:r>
      <w:r w:rsidRPr="006E3E48">
        <w:t>lenvatinib is based on a special pricing arrangement</w:t>
      </w:r>
      <w:r w:rsidR="00C2231D" w:rsidRPr="006E3E48">
        <w:t xml:space="preserve"> (SPA). The </w:t>
      </w:r>
      <w:r w:rsidRPr="006E3E48">
        <w:t xml:space="preserve">submission </w:t>
      </w:r>
      <w:r w:rsidR="00C2231D" w:rsidRPr="006E3E48">
        <w:t xml:space="preserve">proposed </w:t>
      </w:r>
      <w:r w:rsidRPr="006E3E48">
        <w:t xml:space="preserve">that the same </w:t>
      </w:r>
      <w:r w:rsidR="00C2231D" w:rsidRPr="006E3E48">
        <w:t xml:space="preserve">SPA </w:t>
      </w:r>
      <w:r w:rsidRPr="006E3E48">
        <w:t xml:space="preserve">would also apply </w:t>
      </w:r>
      <w:r w:rsidR="00A27DC8" w:rsidRPr="006E3E48">
        <w:t>to its listing for RCC</w:t>
      </w:r>
      <w:r w:rsidRPr="006E3E48">
        <w:t xml:space="preserve">. </w:t>
      </w:r>
      <w:r w:rsidR="00B905AE" w:rsidRPr="006E3E48">
        <w:t>The relevant prices are shown</w:t>
      </w:r>
      <w:r w:rsidR="0084277D" w:rsidRPr="006E3E48">
        <w:t xml:space="preserve"> in the requested listing</w:t>
      </w:r>
      <w:r w:rsidR="00B905AE" w:rsidRPr="006E3E48">
        <w:t xml:space="preserve"> </w:t>
      </w:r>
      <w:r w:rsidR="00A27DC8" w:rsidRPr="006E3E48">
        <w:t>above</w:t>
      </w:r>
      <w:r w:rsidR="00B905AE" w:rsidRPr="006E3E48">
        <w:t>.</w:t>
      </w:r>
    </w:p>
    <w:p w:rsidR="005D2C96" w:rsidRPr="005D2C96" w:rsidRDefault="005D2C96" w:rsidP="005D2C96">
      <w:pPr>
        <w:ind w:firstLine="709"/>
        <w:rPr>
          <w:i/>
        </w:rPr>
      </w:pPr>
      <w:r w:rsidRPr="003613EB">
        <w:rPr>
          <w:i/>
        </w:rPr>
        <w:t>For more detail on PBAC’s view, see section 7 “PBAC outcome”</w:t>
      </w:r>
    </w:p>
    <w:p w:rsidR="00C317F3" w:rsidRPr="00B17639" w:rsidRDefault="00C317F3" w:rsidP="002001C6">
      <w:pPr>
        <w:pStyle w:val="Heading1"/>
        <w:ind w:left="709" w:hanging="709"/>
      </w:pPr>
      <w:bookmarkStart w:id="6" w:name="_Toc413139273"/>
      <w:bookmarkStart w:id="7" w:name="_Toc493002681"/>
      <w:r w:rsidRPr="00B17639">
        <w:t>Background</w:t>
      </w:r>
      <w:bookmarkEnd w:id="6"/>
      <w:bookmarkEnd w:id="7"/>
    </w:p>
    <w:p w:rsidR="0017638E" w:rsidRPr="00B17639" w:rsidRDefault="0017638E" w:rsidP="0017638E">
      <w:pPr>
        <w:pStyle w:val="Heading2"/>
        <w:rPr>
          <w:i w:val="0"/>
        </w:rPr>
      </w:pPr>
      <w:bookmarkStart w:id="8" w:name="_Toc493002682"/>
      <w:r w:rsidRPr="00B17639">
        <w:rPr>
          <w:i w:val="0"/>
        </w:rPr>
        <w:t>Registration status</w:t>
      </w:r>
      <w:bookmarkEnd w:id="8"/>
    </w:p>
    <w:p w:rsidR="00D91451" w:rsidRPr="006E3E48" w:rsidRDefault="00950076" w:rsidP="008D4DDB">
      <w:pPr>
        <w:pStyle w:val="ListParagraph"/>
        <w:numPr>
          <w:ilvl w:val="1"/>
          <w:numId w:val="10"/>
        </w:numPr>
        <w:jc w:val="both"/>
      </w:pPr>
      <w:r w:rsidRPr="0014492C">
        <w:t>TGA status at the time of PBAC consideration:</w:t>
      </w:r>
      <w:r>
        <w:t xml:space="preserve"> </w:t>
      </w:r>
      <w:r w:rsidR="0000687F" w:rsidRPr="006E3E48">
        <w:t xml:space="preserve">The </w:t>
      </w:r>
      <w:r w:rsidR="00643788" w:rsidRPr="006E3E48">
        <w:t xml:space="preserve">submission </w:t>
      </w:r>
      <w:r w:rsidR="0000687F" w:rsidRPr="006E3E48">
        <w:t>was</w:t>
      </w:r>
      <w:r w:rsidR="00643788" w:rsidRPr="006E3E48">
        <w:t xml:space="preserve"> lodged under the TGA/PBAC parallel process. </w:t>
      </w:r>
      <w:r w:rsidR="0000687F" w:rsidRPr="006E3E48">
        <w:t>TGA documentation supplied with the submission included the c</w:t>
      </w:r>
      <w:r w:rsidR="00643788" w:rsidRPr="006E3E48">
        <w:t>linical e</w:t>
      </w:r>
      <w:r w:rsidR="0000687F" w:rsidRPr="006E3E48">
        <w:t xml:space="preserve">valuator’s report (Round 2). On </w:t>
      </w:r>
      <w:r w:rsidR="00643788" w:rsidRPr="006E3E48">
        <w:t xml:space="preserve">26 July 2017, the Delegate approved </w:t>
      </w:r>
      <w:r w:rsidR="0000687F" w:rsidRPr="006E3E48">
        <w:t xml:space="preserve">the </w:t>
      </w:r>
      <w:r w:rsidR="00643788" w:rsidRPr="006E3E48">
        <w:t>registration of the product for the new indication.</w:t>
      </w:r>
    </w:p>
    <w:p w:rsidR="00C317F3" w:rsidRPr="006E3E48" w:rsidRDefault="008D4DDB" w:rsidP="008D4DDB">
      <w:pPr>
        <w:pStyle w:val="ListParagraph"/>
        <w:numPr>
          <w:ilvl w:val="1"/>
          <w:numId w:val="10"/>
        </w:numPr>
        <w:jc w:val="both"/>
      </w:pPr>
      <w:r w:rsidRPr="006E3E48">
        <w:t>The TGA approved indication for lenvatinib is for its use in combination with everolimus for the t</w:t>
      </w:r>
      <w:r w:rsidR="0000687F" w:rsidRPr="006E3E48">
        <w:t xml:space="preserve">reatment of adult patients with advanced </w:t>
      </w:r>
      <w:r w:rsidR="0033157F">
        <w:t>RCC</w:t>
      </w:r>
      <w:r w:rsidR="0000687F" w:rsidRPr="006E3E48">
        <w:t xml:space="preserve"> whose disease has progressed following </w:t>
      </w:r>
      <w:r w:rsidR="0000687F" w:rsidRPr="006E3E48">
        <w:rPr>
          <w:b/>
        </w:rPr>
        <w:t>one</w:t>
      </w:r>
      <w:r w:rsidR="0000687F" w:rsidRPr="006E3E48">
        <w:t xml:space="preserve"> prior vascular endothelial growth factor targeted therapy.</w:t>
      </w:r>
    </w:p>
    <w:p w:rsidR="002E45C3" w:rsidRDefault="00C2231D" w:rsidP="008D4DDB">
      <w:pPr>
        <w:pStyle w:val="ListParagraph"/>
        <w:numPr>
          <w:ilvl w:val="1"/>
          <w:numId w:val="10"/>
        </w:numPr>
        <w:jc w:val="both"/>
      </w:pPr>
      <w:r w:rsidRPr="006E3E48">
        <w:t xml:space="preserve">The </w:t>
      </w:r>
      <w:r w:rsidR="003613EB">
        <w:t>PBAC</w:t>
      </w:r>
      <w:r w:rsidRPr="006E3E48">
        <w:t xml:space="preserve"> noted that </w:t>
      </w:r>
      <w:r w:rsidR="00D47FCE">
        <w:t>the</w:t>
      </w:r>
      <w:r w:rsidRPr="006E3E48">
        <w:t xml:space="preserve"> proposed PBS restriction would permit use of lenvatinib at second and subsequent lines of </w:t>
      </w:r>
      <w:r w:rsidR="004873F8" w:rsidRPr="006E3E48">
        <w:t xml:space="preserve">tyrosine kinase inhibitor </w:t>
      </w:r>
      <w:r w:rsidRPr="006E3E48">
        <w:t xml:space="preserve">therapy. </w:t>
      </w:r>
    </w:p>
    <w:p w:rsidR="005D2C96" w:rsidRPr="005D2C96" w:rsidRDefault="005D2C96" w:rsidP="005D2C96">
      <w:pPr>
        <w:pStyle w:val="PBACHeading1"/>
        <w:numPr>
          <w:ilvl w:val="0"/>
          <w:numId w:val="0"/>
        </w:numPr>
        <w:ind w:firstLine="709"/>
        <w:rPr>
          <w:rFonts w:asciiTheme="minorHAnsi" w:eastAsiaTheme="minorHAnsi" w:hAnsiTheme="minorHAnsi" w:cstheme="minorBidi"/>
          <w:b w:val="0"/>
          <w:i/>
          <w:snapToGrid/>
          <w:sz w:val="24"/>
        </w:rPr>
      </w:pPr>
      <w:r w:rsidRPr="003613EB">
        <w:rPr>
          <w:rFonts w:asciiTheme="minorHAnsi" w:eastAsiaTheme="minorHAnsi" w:hAnsiTheme="minorHAnsi" w:cstheme="minorBidi"/>
          <w:b w:val="0"/>
          <w:i/>
          <w:snapToGrid/>
          <w:sz w:val="24"/>
        </w:rPr>
        <w:t>For more detail on PBAC’s view, see section 7 “PBAC outcome”</w:t>
      </w:r>
    </w:p>
    <w:p w:rsidR="002001C6" w:rsidRPr="00B17639" w:rsidRDefault="00C317F3" w:rsidP="008D4DDB">
      <w:pPr>
        <w:pStyle w:val="Heading1"/>
        <w:ind w:left="709" w:hanging="709"/>
      </w:pPr>
      <w:bookmarkStart w:id="9" w:name="_Toc493002683"/>
      <w:r w:rsidRPr="00B17639">
        <w:t>Population and disease</w:t>
      </w:r>
      <w:bookmarkEnd w:id="9"/>
    </w:p>
    <w:p w:rsidR="00A965B4" w:rsidRPr="00BE42A7" w:rsidRDefault="00A965B4" w:rsidP="00D73306">
      <w:pPr>
        <w:pStyle w:val="ListParagraph"/>
        <w:numPr>
          <w:ilvl w:val="1"/>
          <w:numId w:val="11"/>
        </w:numPr>
        <w:jc w:val="both"/>
      </w:pPr>
      <w:r w:rsidRPr="00BE42A7">
        <w:t>RCC is a type of cancer originating from the lining of renal tubules</w:t>
      </w:r>
      <w:r w:rsidR="00385D34" w:rsidRPr="00BE42A7">
        <w:t xml:space="preserve"> of the kidney</w:t>
      </w:r>
      <w:r w:rsidRPr="00BE42A7">
        <w:t>. It is the most common form of kidney cancer accounting for 80</w:t>
      </w:r>
      <w:r w:rsidR="002D04D9">
        <w:t>–</w:t>
      </w:r>
      <w:r w:rsidRPr="00BE42A7">
        <w:t>95% of all cases. Kidney cancer is more frequently reported in males than in females.</w:t>
      </w:r>
      <w:r w:rsidR="000A0DDD" w:rsidRPr="00BE42A7">
        <w:t xml:space="preserve"> In 2013, there were 2,256 cases of kidney cancer in males and 1,256 cases in females. Most RCC patients are diagnosed with advanced disease, and this is often resistant to systemic therapy</w:t>
      </w:r>
      <w:r w:rsidR="00A27DC8" w:rsidRPr="00BE42A7">
        <w:t>.</w:t>
      </w:r>
    </w:p>
    <w:p w:rsidR="00C317F3" w:rsidRPr="00BE42A7" w:rsidRDefault="000A0DDD" w:rsidP="00D73306">
      <w:pPr>
        <w:pStyle w:val="ListParagraph"/>
        <w:numPr>
          <w:ilvl w:val="1"/>
          <w:numId w:val="11"/>
        </w:numPr>
        <w:jc w:val="both"/>
      </w:pPr>
      <w:r w:rsidRPr="00BE42A7">
        <w:t xml:space="preserve">First line treatment options for advanced RCC include the currently </w:t>
      </w:r>
      <w:r w:rsidR="00192FC2" w:rsidRPr="00BE42A7">
        <w:t xml:space="preserve">PBS </w:t>
      </w:r>
      <w:r w:rsidRPr="00BE42A7">
        <w:t xml:space="preserve">listed </w:t>
      </w:r>
      <w:r w:rsidR="00C65EF6" w:rsidRPr="00BE42A7">
        <w:t>tyrosine kinase inhibitors (</w:t>
      </w:r>
      <w:r w:rsidRPr="00BE42A7">
        <w:t>TKIs</w:t>
      </w:r>
      <w:r w:rsidR="00C65EF6" w:rsidRPr="00BE42A7">
        <w:t>)</w:t>
      </w:r>
      <w:r w:rsidR="00192FC2" w:rsidRPr="00BE42A7">
        <w:t xml:space="preserve">, </w:t>
      </w:r>
      <w:r w:rsidRPr="00BE42A7">
        <w:t xml:space="preserve">sunitinib and pazopanib. Following disease progression with these agents, currently listed PBS items for second line therapy include </w:t>
      </w:r>
      <w:r w:rsidR="00323375" w:rsidRPr="00BE42A7">
        <w:t xml:space="preserve">nivolumab, </w:t>
      </w:r>
      <w:r w:rsidRPr="00BE42A7">
        <w:t xml:space="preserve">everolimus, axitinib </w:t>
      </w:r>
      <w:r w:rsidR="00192FC2" w:rsidRPr="00BE42A7">
        <w:t xml:space="preserve">and </w:t>
      </w:r>
      <w:r w:rsidRPr="00BE42A7">
        <w:t xml:space="preserve">sorafenib. </w:t>
      </w:r>
      <w:r w:rsidR="00BE6F1F">
        <w:t xml:space="preserve">At present there are no </w:t>
      </w:r>
      <w:r w:rsidR="00DD195E">
        <w:t xml:space="preserve">validated </w:t>
      </w:r>
      <w:r w:rsidR="00BE6F1F">
        <w:t>predictive biomarkers to guide treatment selection.</w:t>
      </w:r>
      <w:r w:rsidR="00C5741F">
        <w:t xml:space="preserve"> </w:t>
      </w:r>
    </w:p>
    <w:p w:rsidR="000E724C" w:rsidRPr="00B11C13" w:rsidRDefault="00323375" w:rsidP="00D73306">
      <w:pPr>
        <w:pStyle w:val="ListParagraph"/>
        <w:numPr>
          <w:ilvl w:val="1"/>
          <w:numId w:val="11"/>
        </w:numPr>
        <w:jc w:val="both"/>
        <w:rPr>
          <w:rFonts w:ascii="Arial" w:eastAsia="Times New Roman" w:hAnsi="Arial" w:cs="Arial"/>
          <w:bCs/>
          <w:snapToGrid w:val="0"/>
          <w:sz w:val="22"/>
          <w:szCs w:val="20"/>
        </w:rPr>
      </w:pPr>
      <w:r w:rsidRPr="00BE42A7">
        <w:t>Most recently, i</w:t>
      </w:r>
      <w:r w:rsidR="000A0DDD" w:rsidRPr="00BE42A7">
        <w:t xml:space="preserve">n March 2017, the PBAC recommended the listing of nivolumab as a treatment option for patients with advanced RCC in a second line setting, as a </w:t>
      </w:r>
      <w:r w:rsidR="000A0DDD" w:rsidRPr="00BE42A7">
        <w:lastRenderedPageBreak/>
        <w:t>potential alternative to the currently available drugs. The PBAC considered that</w:t>
      </w:r>
      <w:r w:rsidR="004E60B9">
        <w:t>,</w:t>
      </w:r>
      <w:r w:rsidR="000A0DDD" w:rsidRPr="00BE42A7">
        <w:t xml:space="preserve"> for some patients</w:t>
      </w:r>
      <w:r w:rsidR="004E60B9">
        <w:t>,</w:t>
      </w:r>
      <w:r w:rsidR="0089091D" w:rsidRPr="00BE42A7">
        <w:t xml:space="preserve"> </w:t>
      </w:r>
      <w:r w:rsidR="000E724C" w:rsidRPr="00BE42A7">
        <w:t xml:space="preserve">nivolumab provided a significant improvement in efficacy and </w:t>
      </w:r>
      <w:r w:rsidR="00192FC2" w:rsidRPr="00BE42A7">
        <w:t xml:space="preserve">a </w:t>
      </w:r>
      <w:r w:rsidR="000E724C" w:rsidRPr="00BE42A7">
        <w:t>reduction in toxicity over everolimus, which was the nominated comparator (</w:t>
      </w:r>
      <w:r w:rsidR="005D27BF" w:rsidRPr="00BE42A7">
        <w:t xml:space="preserve">paragraph </w:t>
      </w:r>
      <w:r w:rsidR="000E724C" w:rsidRPr="00BE42A7">
        <w:t>7.1, nivolumab PSD, March 2017).</w:t>
      </w:r>
      <w:r w:rsidRPr="00BE42A7">
        <w:t xml:space="preserve"> In November 2014, </w:t>
      </w:r>
      <w:r w:rsidR="00B00EF0" w:rsidRPr="00BE42A7">
        <w:t>t</w:t>
      </w:r>
      <w:r w:rsidRPr="00BE42A7">
        <w:t>he PBAC recommended listing axitinib in a second line setting for the treatment of patients with stage IV clear cell variant RCC, on a cost-minimisation basis with everolimus (paragraph 7.1, axitinib PSD, November 2014).</w:t>
      </w:r>
    </w:p>
    <w:p w:rsidR="00D2267F" w:rsidRPr="00B11C13" w:rsidRDefault="00D2267F" w:rsidP="00204A21">
      <w:pPr>
        <w:pStyle w:val="ListParagraph"/>
        <w:numPr>
          <w:ilvl w:val="1"/>
          <w:numId w:val="11"/>
        </w:numPr>
        <w:jc w:val="both"/>
      </w:pPr>
      <w:r>
        <w:t>The PBAC noted that the submission proposes use of lenvatinib/everolimus in a second line setting</w:t>
      </w:r>
      <w:r w:rsidR="004E60B9">
        <w:t>,</w:t>
      </w:r>
      <w:r>
        <w:t xml:space="preserve"> whereas the sponsors clinical Advisory Board advised that use would likely be third line. </w:t>
      </w:r>
      <w:r w:rsidR="006C459A" w:rsidRPr="00B11C13">
        <w:t>The PBAC considered that concerns regarding the magnitude of clinical benefit and the toxicity profile of lenvatinib/everolimus</w:t>
      </w:r>
      <w:r w:rsidR="004E60B9">
        <w:t>,</w:t>
      </w:r>
      <w:r w:rsidR="006C459A" w:rsidRPr="00B11C13">
        <w:t xml:space="preserve"> when compared with both everolimus and nivolumab</w:t>
      </w:r>
      <w:r w:rsidR="004E60B9">
        <w:t>,</w:t>
      </w:r>
      <w:r w:rsidR="006C459A" w:rsidRPr="00B11C13">
        <w:t xml:space="preserve"> meant that its clinical place in therapy was unclear given the treatments currently available. </w:t>
      </w:r>
    </w:p>
    <w:p w:rsidR="005D2C96" w:rsidRPr="005D2C96" w:rsidRDefault="005D2C96" w:rsidP="005D2C96">
      <w:pPr>
        <w:ind w:firstLine="709"/>
        <w:rPr>
          <w:i/>
        </w:rPr>
      </w:pPr>
      <w:r w:rsidRPr="0014492C">
        <w:rPr>
          <w:i/>
        </w:rPr>
        <w:t>For more detail on PBAC’s view, see section 7 “PBAC outcome”</w:t>
      </w:r>
    </w:p>
    <w:p w:rsidR="002001C6" w:rsidRPr="00B17639" w:rsidRDefault="00C317F3" w:rsidP="007F47FE">
      <w:pPr>
        <w:pStyle w:val="Heading1"/>
        <w:ind w:left="709" w:hanging="709"/>
      </w:pPr>
      <w:bookmarkStart w:id="10" w:name="_Toc413139275"/>
      <w:bookmarkStart w:id="11" w:name="_Toc493002684"/>
      <w:r w:rsidRPr="00B17639">
        <w:t>Comparator</w:t>
      </w:r>
      <w:bookmarkStart w:id="12" w:name="_Toc490298652"/>
      <w:bookmarkStart w:id="13" w:name="_Toc490298673"/>
      <w:bookmarkStart w:id="14" w:name="_Toc490298982"/>
      <w:bookmarkEnd w:id="10"/>
      <w:bookmarkEnd w:id="11"/>
      <w:bookmarkEnd w:id="12"/>
      <w:bookmarkEnd w:id="13"/>
      <w:bookmarkEnd w:id="14"/>
    </w:p>
    <w:p w:rsidR="00A3452E" w:rsidRPr="00CA7504" w:rsidRDefault="0089091D" w:rsidP="007F47FE">
      <w:pPr>
        <w:pStyle w:val="ListParagraph"/>
        <w:numPr>
          <w:ilvl w:val="1"/>
          <w:numId w:val="12"/>
        </w:numPr>
        <w:jc w:val="both"/>
      </w:pPr>
      <w:r w:rsidRPr="00CA7504">
        <w:t xml:space="preserve">The nominated </w:t>
      </w:r>
      <w:r w:rsidR="00C32FCA" w:rsidRPr="00CA7504">
        <w:t xml:space="preserve">main </w:t>
      </w:r>
      <w:r w:rsidRPr="00CA7504">
        <w:t>comparator in the submission was everolimus monotherapy at a dose of 10</w:t>
      </w:r>
      <w:r w:rsidR="00192FC2" w:rsidRPr="00CA7504">
        <w:t xml:space="preserve"> </w:t>
      </w:r>
      <w:r w:rsidRPr="00CA7504">
        <w:t xml:space="preserve">mg orally per day. The submission argued that this is the currently listed PBS treatment that would most likely be replaced in the event of a </w:t>
      </w:r>
      <w:r w:rsidR="00641AD8" w:rsidRPr="00CA7504">
        <w:t xml:space="preserve">PBS </w:t>
      </w:r>
      <w:r w:rsidRPr="00CA7504">
        <w:t xml:space="preserve">listing for lenvatinib/everolimus combination therapy. </w:t>
      </w:r>
    </w:p>
    <w:p w:rsidR="0089091D" w:rsidRPr="00CA7504" w:rsidRDefault="0089091D" w:rsidP="007F47FE">
      <w:pPr>
        <w:pStyle w:val="ListParagraph"/>
        <w:numPr>
          <w:ilvl w:val="1"/>
          <w:numId w:val="12"/>
        </w:numPr>
        <w:jc w:val="both"/>
      </w:pPr>
      <w:r w:rsidRPr="00CA7504">
        <w:t>The submission acknowledged that nivolumab, once PBS listed, would be likely to become the standard of care in the second line setting for these patients</w:t>
      </w:r>
      <w:r w:rsidR="00663C8D" w:rsidRPr="00CA7504">
        <w:t xml:space="preserve"> given that </w:t>
      </w:r>
      <w:r w:rsidR="00C65EF6" w:rsidRPr="00CA7504">
        <w:t xml:space="preserve">the </w:t>
      </w:r>
      <w:r w:rsidR="00447A1F" w:rsidRPr="00CA7504">
        <w:t xml:space="preserve">available </w:t>
      </w:r>
      <w:r w:rsidR="00663C8D" w:rsidRPr="00CA7504">
        <w:t xml:space="preserve">clinical guidelines </w:t>
      </w:r>
      <w:r w:rsidR="007C6AC8" w:rsidRPr="00CA7504">
        <w:t>describe it as a C</w:t>
      </w:r>
      <w:r w:rsidR="002B251E" w:rsidRPr="00CA7504">
        <w:t xml:space="preserve">ategory 1 preferred </w:t>
      </w:r>
      <w:r w:rsidR="00AE3D48" w:rsidRPr="00CA7504">
        <w:t>treatment</w:t>
      </w:r>
      <w:r w:rsidRPr="00CA7504">
        <w:t xml:space="preserve">. </w:t>
      </w:r>
      <w:r w:rsidR="0067658D" w:rsidRPr="00CA7504">
        <w:t>It expected a “rapid and substantial</w:t>
      </w:r>
      <w:r w:rsidR="009D3129" w:rsidRPr="00CA7504">
        <w:t xml:space="preserve"> uptake </w:t>
      </w:r>
      <w:r w:rsidR="00C65EF6" w:rsidRPr="00CA7504">
        <w:t xml:space="preserve">[of nivolumab] </w:t>
      </w:r>
      <w:r w:rsidR="009D3129" w:rsidRPr="00CA7504">
        <w:t xml:space="preserve">in the near future”. </w:t>
      </w:r>
      <w:r w:rsidR="00B45C15" w:rsidRPr="00CA7504">
        <w:t>However, i</w:t>
      </w:r>
      <w:r w:rsidRPr="00CA7504">
        <w:t xml:space="preserve">t took the view that </w:t>
      </w:r>
      <w:r w:rsidR="00EB1FFE" w:rsidRPr="00CA7504">
        <w:t>there still needed to be an oral treatment option available for some p</w:t>
      </w:r>
      <w:r w:rsidRPr="00CA7504">
        <w:t xml:space="preserve">atients </w:t>
      </w:r>
      <w:r w:rsidR="00267541">
        <w:t>as an alternative to</w:t>
      </w:r>
      <w:r w:rsidR="00267541" w:rsidRPr="00CA7504">
        <w:t xml:space="preserve"> </w:t>
      </w:r>
      <w:r w:rsidR="00A3452E" w:rsidRPr="00CA7504">
        <w:t>nivolumab</w:t>
      </w:r>
      <w:r w:rsidR="00267541">
        <w:t>,</w:t>
      </w:r>
      <w:r w:rsidR="00A3452E" w:rsidRPr="00CA7504">
        <w:t xml:space="preserve"> which is infused intravenously every two weeks. This could be because of </w:t>
      </w:r>
      <w:r w:rsidR="00B45C15" w:rsidRPr="00CA7504">
        <w:t xml:space="preserve">a </w:t>
      </w:r>
      <w:r w:rsidR="00A3452E" w:rsidRPr="00CA7504">
        <w:t>lack of access to an infusion</w:t>
      </w:r>
      <w:r w:rsidR="005564DF" w:rsidRPr="00CA7504">
        <w:t xml:space="preserve"> administration</w:t>
      </w:r>
      <w:r w:rsidR="00A3452E" w:rsidRPr="00CA7504">
        <w:t xml:space="preserve"> facility, because of patient preference</w:t>
      </w:r>
      <w:r w:rsidR="00C65EF6" w:rsidRPr="00CA7504">
        <w:t xml:space="preserve"> for an oral therapy (lenvatinib</w:t>
      </w:r>
      <w:r w:rsidR="00267541">
        <w:t xml:space="preserve"> + everolimus</w:t>
      </w:r>
      <w:r w:rsidR="00C65EF6" w:rsidRPr="00CA7504">
        <w:t>)</w:t>
      </w:r>
      <w:r w:rsidR="00267541">
        <w:t>,</w:t>
      </w:r>
      <w:r w:rsidR="00A3452E" w:rsidRPr="00CA7504">
        <w:t xml:space="preserve"> or because of contraindication to nivolumab. </w:t>
      </w:r>
      <w:r w:rsidR="00995628" w:rsidRPr="00CA7504">
        <w:t xml:space="preserve">The submission provided an indirect comparison of the clinical evidence from the lenvatinib/everolimus trial with the nivolumab trial, where everolimus monotherapy was a common comparator to both. Evidence from the nivolumab trial was not used in the economic evaluation, and an economic evaluation incorporating nivolumab was not presented. </w:t>
      </w:r>
      <w:r w:rsidR="00FD0232">
        <w:t xml:space="preserve">The pre-PBAC response (p1) argued that </w:t>
      </w:r>
      <w:r w:rsidR="000820C8">
        <w:t xml:space="preserve">everolimus is a more appropriate comparator, because </w:t>
      </w:r>
      <w:r w:rsidR="00FD0232">
        <w:t>nivolumab has a different mode of administration</w:t>
      </w:r>
      <w:r w:rsidR="000820C8">
        <w:t>,</w:t>
      </w:r>
      <w:r w:rsidR="00FD0232">
        <w:t xml:space="preserve"> and is in a different treatment class to both lenva</w:t>
      </w:r>
      <w:r w:rsidR="00B65B30">
        <w:t xml:space="preserve">tinib and everolimus. </w:t>
      </w:r>
    </w:p>
    <w:p w:rsidR="00A3452E" w:rsidRPr="00CA7504" w:rsidRDefault="007878FD" w:rsidP="007F47FE">
      <w:pPr>
        <w:pStyle w:val="ListParagraph"/>
        <w:numPr>
          <w:ilvl w:val="1"/>
          <w:numId w:val="12"/>
        </w:numPr>
        <w:jc w:val="both"/>
        <w:rPr>
          <w:lang w:val="en-GB"/>
        </w:rPr>
      </w:pPr>
      <w:r w:rsidRPr="00CA7504">
        <w:t xml:space="preserve">The ESC noted that </w:t>
      </w:r>
      <w:r w:rsidR="008F6B4A" w:rsidRPr="00CA7504">
        <w:t>g</w:t>
      </w:r>
      <w:r w:rsidRPr="00CA7504">
        <w:t xml:space="preserve">iven the same </w:t>
      </w:r>
      <w:r w:rsidR="00724071" w:rsidRPr="00CA7504">
        <w:t>mechanism</w:t>
      </w:r>
      <w:r w:rsidRPr="00CA7504">
        <w:t xml:space="preserve"> of action (TKI inhibition), mode of administration (oral)</w:t>
      </w:r>
      <w:r w:rsidR="009B6F3C">
        <w:t>,</w:t>
      </w:r>
      <w:r w:rsidRPr="00CA7504">
        <w:t xml:space="preserve"> and feedback from the sponsors</w:t>
      </w:r>
      <w:r w:rsidR="008F6B4A" w:rsidRPr="00CA7504">
        <w:t>’</w:t>
      </w:r>
      <w:r w:rsidRPr="00CA7504">
        <w:t xml:space="preserve"> clinical advisors that axitinib is used for second</w:t>
      </w:r>
      <w:r w:rsidR="000631BC">
        <w:t xml:space="preserve"> </w:t>
      </w:r>
      <w:r w:rsidRPr="00CA7504">
        <w:t xml:space="preserve">line therapy, axitinib may be a more appropriate comparator than </w:t>
      </w:r>
      <w:r w:rsidR="00FD29B1" w:rsidRPr="00CA7504">
        <w:t xml:space="preserve">everolimus </w:t>
      </w:r>
      <w:r w:rsidR="00323375" w:rsidRPr="00CA7504">
        <w:t xml:space="preserve">and possibly </w:t>
      </w:r>
      <w:r w:rsidR="00FD29B1" w:rsidRPr="00CA7504">
        <w:t>nivolumab</w:t>
      </w:r>
      <w:r w:rsidRPr="00CA7504">
        <w:t>. The submission</w:t>
      </w:r>
      <w:r w:rsidR="00966679">
        <w:t xml:space="preserve"> </w:t>
      </w:r>
      <w:r w:rsidR="00323375" w:rsidRPr="00CA7504">
        <w:t>included a supplementary naïve</w:t>
      </w:r>
      <w:r w:rsidRPr="00CA7504">
        <w:t xml:space="preserve"> comparison against axitinib. </w:t>
      </w:r>
      <w:r w:rsidR="00B00D81">
        <w:t>In the pre-PBAC response</w:t>
      </w:r>
      <w:r w:rsidR="004A4AEC">
        <w:t xml:space="preserve"> (p1)</w:t>
      </w:r>
      <w:r w:rsidR="00B00D81">
        <w:t xml:space="preserve"> the sponsor disagreed that axitinib would be a more appropriate comparator. The sponsor note</w:t>
      </w:r>
      <w:r w:rsidR="004D6390">
        <w:t>d</w:t>
      </w:r>
      <w:r w:rsidR="00B00D81">
        <w:t xml:space="preserve"> that the TGA-approved indication and the proposed PBS restriction require use in combination with everolimus. Hence, the sponsor argues that the nomination of </w:t>
      </w:r>
      <w:r w:rsidR="00B00D81">
        <w:lastRenderedPageBreak/>
        <w:t xml:space="preserve">everolimus as a comparator provides a basis for establishing the additive clinical benefit and cost-effectiveness of the combination of lenvatinib/everolimus compared with everolimus. </w:t>
      </w:r>
    </w:p>
    <w:p w:rsidR="000724E3" w:rsidRDefault="00642072" w:rsidP="00642072">
      <w:pPr>
        <w:pStyle w:val="ListParagraph"/>
        <w:numPr>
          <w:ilvl w:val="1"/>
          <w:numId w:val="12"/>
        </w:numPr>
        <w:jc w:val="both"/>
        <w:rPr>
          <w:lang w:val="en-GB"/>
        </w:rPr>
      </w:pPr>
      <w:r w:rsidRPr="00CA7504">
        <w:rPr>
          <w:lang w:val="en-GB"/>
        </w:rPr>
        <w:t>Cabozantinib is a new orally active TKI that is not yet TGA approved, but has been approved by the FDA and EMA as a second line treatment option in RCC</w:t>
      </w:r>
      <w:r w:rsidR="00DA22C6">
        <w:rPr>
          <w:lang w:val="en-GB"/>
        </w:rPr>
        <w:t>,</w:t>
      </w:r>
      <w:r w:rsidRPr="00CA7504">
        <w:rPr>
          <w:lang w:val="en-GB"/>
        </w:rPr>
        <w:t xml:space="preserve"> and is a recommended treatment option</w:t>
      </w:r>
      <w:r w:rsidR="00C65EF6" w:rsidRPr="00CA7504">
        <w:rPr>
          <w:lang w:val="en-GB"/>
        </w:rPr>
        <w:t xml:space="preserve"> for patients with RCC</w:t>
      </w:r>
      <w:r w:rsidRPr="00CA7504">
        <w:rPr>
          <w:lang w:val="en-GB"/>
        </w:rPr>
        <w:t xml:space="preserve"> in c</w:t>
      </w:r>
      <w:r w:rsidR="00447A1F" w:rsidRPr="00CA7504">
        <w:rPr>
          <w:lang w:val="en-GB"/>
        </w:rPr>
        <w:t>linical management guidelines (C</w:t>
      </w:r>
      <w:r w:rsidRPr="00CA7504">
        <w:rPr>
          <w:lang w:val="en-GB"/>
        </w:rPr>
        <w:t>ategory</w:t>
      </w:r>
      <w:r w:rsidR="00981858" w:rsidRPr="00CA7504">
        <w:rPr>
          <w:lang w:val="en-GB"/>
        </w:rPr>
        <w:t xml:space="preserve"> </w:t>
      </w:r>
      <w:r w:rsidRPr="00CA7504">
        <w:rPr>
          <w:lang w:val="en-GB"/>
        </w:rPr>
        <w:t xml:space="preserve">1, preferred). </w:t>
      </w:r>
      <w:r w:rsidR="00257F36" w:rsidRPr="00CA7504">
        <w:rPr>
          <w:lang w:val="en-GB"/>
        </w:rPr>
        <w:t>An application for listing of cabozantinib on the PBS for clear cell variant RCC in the second line (post-TKI) is scheduled for consideration by the PBAC at its meeting on 15</w:t>
      </w:r>
      <w:r w:rsidR="00257F36" w:rsidRPr="00CA7504">
        <w:rPr>
          <w:vertAlign w:val="superscript"/>
          <w:lang w:val="en-GB"/>
        </w:rPr>
        <w:t>th</w:t>
      </w:r>
      <w:r w:rsidR="00257F36" w:rsidRPr="00CA7504">
        <w:rPr>
          <w:lang w:val="en-GB"/>
        </w:rPr>
        <w:t xml:space="preserve"> December 2017. I</w:t>
      </w:r>
      <w:r w:rsidRPr="00CA7504">
        <w:rPr>
          <w:lang w:val="en-GB"/>
        </w:rPr>
        <w:t xml:space="preserve">t could </w:t>
      </w:r>
      <w:r w:rsidR="00257F36" w:rsidRPr="00CA7504">
        <w:rPr>
          <w:lang w:val="en-GB"/>
        </w:rPr>
        <w:t xml:space="preserve">thus </w:t>
      </w:r>
      <w:r w:rsidRPr="00CA7504">
        <w:rPr>
          <w:lang w:val="en-GB"/>
        </w:rPr>
        <w:t xml:space="preserve">represent a plausible comparator for lenvatinib/everolimus. The submission included an indirect comparison of the lenvatinib/everolimus combination with cabozantinib formed using everolimus as the common comparator. </w:t>
      </w:r>
    </w:p>
    <w:p w:rsidR="00F0174B" w:rsidRPr="00CA7504" w:rsidRDefault="00F0174B" w:rsidP="00642072">
      <w:pPr>
        <w:pStyle w:val="ListParagraph"/>
        <w:numPr>
          <w:ilvl w:val="1"/>
          <w:numId w:val="12"/>
        </w:numPr>
        <w:jc w:val="both"/>
        <w:rPr>
          <w:lang w:val="en-GB"/>
        </w:rPr>
      </w:pPr>
      <w:r>
        <w:t>The PBAC</w:t>
      </w:r>
      <w:r w:rsidRPr="006E3E48">
        <w:t xml:space="preserve"> noted that the introduction of nivolumab as second line therapy had already led to the displacement of axitinib in the second line setting, and that the latter had displaced everolimus</w:t>
      </w:r>
      <w:r>
        <w:t xml:space="preserve">. </w:t>
      </w:r>
      <w:r w:rsidR="00960C5E">
        <w:t xml:space="preserve">The PBAC reiterated </w:t>
      </w:r>
      <w:r w:rsidR="00D07CCA">
        <w:t xml:space="preserve">that the </w:t>
      </w:r>
      <w:r w:rsidR="00733E56">
        <w:t xml:space="preserve">clinical </w:t>
      </w:r>
      <w:r w:rsidR="00D07CCA">
        <w:t>place in therapy of lenvatinib/everolimus was unclear</w:t>
      </w:r>
      <w:r w:rsidR="00DA22C6">
        <w:t>,</w:t>
      </w:r>
      <w:r w:rsidR="00D07CCA">
        <w:t xml:space="preserve"> given the treatments currently available. Hence, the PBAC considered the appropriate comparator for lenvatinib/everolimus was uncertain.</w:t>
      </w:r>
    </w:p>
    <w:p w:rsidR="005D2C96" w:rsidRPr="005D2C96" w:rsidRDefault="005D2C96" w:rsidP="005D2C96">
      <w:pPr>
        <w:ind w:firstLine="709"/>
        <w:rPr>
          <w:i/>
        </w:rPr>
      </w:pPr>
      <w:r w:rsidRPr="0014492C">
        <w:rPr>
          <w:i/>
        </w:rPr>
        <w:t>For more detail on PBAC’s view, see section 7 “PBAC outcome”</w:t>
      </w:r>
    </w:p>
    <w:p w:rsidR="00C317F3" w:rsidRPr="00B17639" w:rsidRDefault="00C317F3" w:rsidP="002001C6">
      <w:pPr>
        <w:pStyle w:val="Heading1"/>
        <w:ind w:left="709" w:hanging="709"/>
      </w:pPr>
      <w:bookmarkStart w:id="15" w:name="_Toc413139276"/>
      <w:bookmarkStart w:id="16" w:name="_Toc493002685"/>
      <w:r w:rsidRPr="00B17639">
        <w:t>Consideration of the evidence</w:t>
      </w:r>
      <w:bookmarkEnd w:id="15"/>
      <w:bookmarkEnd w:id="16"/>
    </w:p>
    <w:p w:rsidR="00CA7504" w:rsidRPr="00493936" w:rsidRDefault="00CA7504" w:rsidP="00472537">
      <w:pPr>
        <w:pStyle w:val="Heading2"/>
        <w:rPr>
          <w:rFonts w:cs="Arial"/>
          <w:b w:val="0"/>
          <w:bCs/>
          <w:i w:val="0"/>
          <w:snapToGrid w:val="0"/>
        </w:rPr>
      </w:pPr>
      <w:bookmarkStart w:id="17" w:name="_Toc413139277"/>
      <w:bookmarkStart w:id="18" w:name="_Toc493002686"/>
      <w:r w:rsidRPr="00493936">
        <w:rPr>
          <w:rFonts w:cs="Arial"/>
          <w:bCs/>
          <w:snapToGrid w:val="0"/>
        </w:rPr>
        <w:t>Sponsor hearing</w:t>
      </w:r>
    </w:p>
    <w:p w:rsidR="00E44601" w:rsidRDefault="00CA7504" w:rsidP="00E44601">
      <w:pPr>
        <w:numPr>
          <w:ilvl w:val="1"/>
          <w:numId w:val="1"/>
        </w:numPr>
        <w:jc w:val="both"/>
      </w:pPr>
      <w:r w:rsidRPr="00CA7504">
        <w:t>The</w:t>
      </w:r>
      <w:r>
        <w:t>re was no hearing for this item</w:t>
      </w:r>
      <w:r w:rsidRPr="00CA7504">
        <w:t>.</w:t>
      </w:r>
    </w:p>
    <w:p w:rsidR="00E44601" w:rsidRPr="00493936" w:rsidRDefault="00E44601" w:rsidP="00472537">
      <w:pPr>
        <w:pStyle w:val="Heading2"/>
        <w:rPr>
          <w:rFonts w:cs="Arial"/>
          <w:b w:val="0"/>
          <w:bCs/>
          <w:i w:val="0"/>
          <w:snapToGrid w:val="0"/>
        </w:rPr>
      </w:pPr>
      <w:r w:rsidRPr="00493936">
        <w:rPr>
          <w:rFonts w:cs="Arial"/>
          <w:bCs/>
          <w:snapToGrid w:val="0"/>
        </w:rPr>
        <w:t>Consumer comments</w:t>
      </w:r>
    </w:p>
    <w:p w:rsidR="00E44601" w:rsidRDefault="00E44601" w:rsidP="00E44601">
      <w:pPr>
        <w:numPr>
          <w:ilvl w:val="1"/>
          <w:numId w:val="1"/>
        </w:numPr>
        <w:jc w:val="both"/>
      </w:pPr>
      <w:r w:rsidRPr="00E44601">
        <w:t>The PBAC noted that no consumer comments were received for this item.</w:t>
      </w:r>
      <w:bookmarkEnd w:id="17"/>
      <w:bookmarkEnd w:id="18"/>
    </w:p>
    <w:p w:rsidR="00E44601" w:rsidRPr="00493936" w:rsidRDefault="00E44601" w:rsidP="00472537">
      <w:pPr>
        <w:pStyle w:val="Heading2"/>
        <w:rPr>
          <w:rFonts w:cs="Arial"/>
          <w:b w:val="0"/>
          <w:bCs/>
          <w:i w:val="0"/>
          <w:snapToGrid w:val="0"/>
        </w:rPr>
      </w:pPr>
      <w:r w:rsidRPr="00493936">
        <w:rPr>
          <w:rFonts w:cs="Arial"/>
          <w:bCs/>
          <w:snapToGrid w:val="0"/>
        </w:rPr>
        <w:t>Clinical trials</w:t>
      </w:r>
    </w:p>
    <w:p w:rsidR="00C317F3" w:rsidRPr="00E44601" w:rsidRDefault="00D543CB" w:rsidP="00E44601">
      <w:pPr>
        <w:numPr>
          <w:ilvl w:val="1"/>
          <w:numId w:val="1"/>
        </w:numPr>
        <w:jc w:val="both"/>
      </w:pPr>
      <w:r w:rsidRPr="00E44601">
        <w:t>The submission was based on a single Phase II open</w:t>
      </w:r>
      <w:r w:rsidR="00981A61">
        <w:t>-</w:t>
      </w:r>
      <w:r w:rsidRPr="00E44601">
        <w:t xml:space="preserve">label trial that compared the combination of lenvatinib </w:t>
      </w:r>
      <w:r w:rsidR="003D1595" w:rsidRPr="00E44601">
        <w:t xml:space="preserve">plus </w:t>
      </w:r>
      <w:r w:rsidRPr="00E44601">
        <w:t xml:space="preserve">everolimus with everolimus monotherapy in patients with metastatic RCC whose disease had progressed after first line therapy. This </w:t>
      </w:r>
      <w:r w:rsidR="00C32FCA" w:rsidRPr="00E44601">
        <w:t xml:space="preserve">was </w:t>
      </w:r>
      <w:r w:rsidRPr="00E44601">
        <w:t xml:space="preserve">referred to as Study 205. </w:t>
      </w:r>
      <w:r w:rsidR="00CA3CCD" w:rsidRPr="00E44601">
        <w:t>This trial included a third randomised arm where patients were allocated to receive lenvatinib monotherapy in a dose higher than that used in the combination arm. The sponsor ha</w:t>
      </w:r>
      <w:r w:rsidR="003D1595" w:rsidRPr="00E44601">
        <w:t>s</w:t>
      </w:r>
      <w:r w:rsidR="00CA3CCD" w:rsidRPr="00E44601">
        <w:t xml:space="preserve"> not sought to have monotherapy authorised in its regulatory approvals with </w:t>
      </w:r>
      <w:r w:rsidR="003D1595" w:rsidRPr="00E44601">
        <w:t xml:space="preserve">the </w:t>
      </w:r>
      <w:r w:rsidR="00CA3CCD" w:rsidRPr="00E44601">
        <w:t>EMA, FDA or TGA</w:t>
      </w:r>
      <w:r w:rsidR="000A6885">
        <w:t>;</w:t>
      </w:r>
      <w:r w:rsidR="00CA3CCD" w:rsidRPr="00E44601">
        <w:t xml:space="preserve"> and </w:t>
      </w:r>
      <w:r w:rsidR="003D1595" w:rsidRPr="00E44601">
        <w:t xml:space="preserve">has </w:t>
      </w:r>
      <w:r w:rsidR="00CA3CCD" w:rsidRPr="00E44601">
        <w:t xml:space="preserve">not sought to have it PBS listed. Accordingly, </w:t>
      </w:r>
      <w:r w:rsidR="000A6885" w:rsidRPr="00E44601">
        <w:t xml:space="preserve">lenvatinib monotherapy </w:t>
      </w:r>
      <w:r w:rsidR="00C921B3" w:rsidRPr="00E44601">
        <w:t xml:space="preserve">was not discussed by the </w:t>
      </w:r>
      <w:r w:rsidR="00A85645">
        <w:t>PBAC</w:t>
      </w:r>
      <w:r w:rsidR="00C921B3" w:rsidRPr="00E44601">
        <w:t>.</w:t>
      </w:r>
    </w:p>
    <w:p w:rsidR="009C2281" w:rsidRDefault="003D1595" w:rsidP="00E44601">
      <w:pPr>
        <w:numPr>
          <w:ilvl w:val="1"/>
          <w:numId w:val="1"/>
        </w:numPr>
        <w:jc w:val="both"/>
      </w:pPr>
      <w:r w:rsidRPr="00B17639">
        <w:t xml:space="preserve">A </w:t>
      </w:r>
      <w:r w:rsidR="004E382D" w:rsidRPr="00B17639">
        <w:t>secondary</w:t>
      </w:r>
      <w:r w:rsidRPr="00B17639">
        <w:t>,</w:t>
      </w:r>
      <w:r w:rsidR="004E382D" w:rsidRPr="00B17639">
        <w:t xml:space="preserve"> indirect comparison of nivolumab</w:t>
      </w:r>
      <w:r w:rsidR="00C32FCA" w:rsidRPr="00B17639">
        <w:t xml:space="preserve"> and lenvatinib</w:t>
      </w:r>
      <w:r w:rsidR="00936CE9" w:rsidRPr="00B17639">
        <w:t>/everolimus</w:t>
      </w:r>
      <w:r w:rsidRPr="00B17639">
        <w:t xml:space="preserve"> was presented using the</w:t>
      </w:r>
      <w:r w:rsidR="004E382D" w:rsidRPr="00B17639">
        <w:t xml:space="preserve"> clinical evidence from </w:t>
      </w:r>
      <w:r w:rsidR="009C2281" w:rsidRPr="00B17639">
        <w:t xml:space="preserve">Study 205 and data from </w:t>
      </w:r>
      <w:r w:rsidR="00C32FCA" w:rsidRPr="00B17639">
        <w:t xml:space="preserve">the nivolumab </w:t>
      </w:r>
      <w:r w:rsidR="009C2281" w:rsidRPr="00B17639">
        <w:t>trial CheckMate 025. Both of these trials had everolimus 10</w:t>
      </w:r>
      <w:r w:rsidRPr="00B17639">
        <w:t xml:space="preserve"> </w:t>
      </w:r>
      <w:r w:rsidR="009C2281" w:rsidRPr="00B17639">
        <w:t xml:space="preserve">mg per day as the common comparator. Data from the CheckMate 025 trial formed the basis of the clinical evidence provided to the PBAC in </w:t>
      </w:r>
      <w:r w:rsidRPr="00B17639">
        <w:t xml:space="preserve">its </w:t>
      </w:r>
      <w:r w:rsidR="009C2281" w:rsidRPr="00B17639">
        <w:t>consideration and subsequent recommendation to list nivolumab on the PBS</w:t>
      </w:r>
      <w:r w:rsidR="002D0C27" w:rsidRPr="00B17639">
        <w:t xml:space="preserve"> (nivolumab public summary document, July 2016)</w:t>
      </w:r>
      <w:r w:rsidR="009C2281" w:rsidRPr="00B17639">
        <w:t>.</w:t>
      </w:r>
    </w:p>
    <w:p w:rsidR="00C921B3" w:rsidRPr="00E44601" w:rsidRDefault="00C921B3" w:rsidP="00E44601">
      <w:pPr>
        <w:numPr>
          <w:ilvl w:val="1"/>
          <w:numId w:val="1"/>
        </w:numPr>
        <w:jc w:val="both"/>
      </w:pPr>
      <w:r w:rsidRPr="00E44601">
        <w:lastRenderedPageBreak/>
        <w:t xml:space="preserve">The submission included a supplementary comparison of lenvatinib/everolimus with axitinib. Data for axitinib were sourced from the AXIS trial which compared axitinib with sorafenib. </w:t>
      </w:r>
      <w:r w:rsidR="00C5741F">
        <w:t>The PBAC noted that o</w:t>
      </w:r>
      <w:r w:rsidR="00257F36" w:rsidRPr="00E44601">
        <w:t>n the basis of these data, it was not possible to form</w:t>
      </w:r>
      <w:r w:rsidRPr="00E44601">
        <w:t xml:space="preserve"> an indirect comparison </w:t>
      </w:r>
      <w:r w:rsidR="00257F36" w:rsidRPr="00E44601">
        <w:t>of lenvatinib/everolimus with</w:t>
      </w:r>
      <w:r w:rsidRPr="00E44601">
        <w:t xml:space="preserve"> axitinib via a common reference</w:t>
      </w:r>
      <w:r w:rsidR="00CF31EF" w:rsidRPr="00E44601">
        <w:t xml:space="preserve"> (such as everolimus).</w:t>
      </w:r>
      <w:r w:rsidR="00C5741F">
        <w:t xml:space="preserve">  </w:t>
      </w:r>
    </w:p>
    <w:p w:rsidR="00C317F3" w:rsidRPr="00B17639" w:rsidRDefault="00142C88" w:rsidP="00E44601">
      <w:pPr>
        <w:numPr>
          <w:ilvl w:val="1"/>
          <w:numId w:val="1"/>
        </w:numPr>
        <w:jc w:val="both"/>
      </w:pPr>
      <w:bookmarkStart w:id="19" w:name="_Hlk489624959"/>
      <w:r w:rsidRPr="00B17639">
        <w:t xml:space="preserve">Details of the trials presented </w:t>
      </w:r>
      <w:r w:rsidR="00C317F3" w:rsidRPr="00B17639">
        <w:t>in the submission</w:t>
      </w:r>
      <w:r w:rsidR="003002E6">
        <w:t>, including the supplementary comparator,</w:t>
      </w:r>
      <w:r w:rsidR="00C317F3" w:rsidRPr="00B17639">
        <w:t xml:space="preserve"> are provided in </w:t>
      </w:r>
      <w:r w:rsidR="003D1595" w:rsidRPr="00B17639">
        <w:t xml:space="preserve">Table </w:t>
      </w:r>
      <w:r w:rsidR="008A63CA">
        <w:t>2</w:t>
      </w:r>
      <w:r w:rsidR="00C317F3" w:rsidRPr="00B17639">
        <w:t>.</w:t>
      </w:r>
    </w:p>
    <w:bookmarkEnd w:id="19"/>
    <w:p w:rsidR="00AA0983" w:rsidRPr="00B17639" w:rsidRDefault="00AA0983" w:rsidP="001716C5">
      <w:pPr>
        <w:pStyle w:val="TableFooter"/>
        <w:spacing w:after="0"/>
        <w:rPr>
          <w:b/>
          <w:sz w:val="20"/>
        </w:rPr>
      </w:pPr>
    </w:p>
    <w:p w:rsidR="00142C88" w:rsidRPr="00B17639" w:rsidRDefault="00142C88" w:rsidP="001716C5">
      <w:pPr>
        <w:pStyle w:val="TableFooter"/>
        <w:spacing w:after="0"/>
        <w:rPr>
          <w:b/>
          <w:sz w:val="20"/>
        </w:rPr>
      </w:pPr>
      <w:r w:rsidRPr="00B17639">
        <w:rPr>
          <w:b/>
          <w:sz w:val="20"/>
        </w:rPr>
        <w:t xml:space="preserve">Table </w:t>
      </w:r>
      <w:r w:rsidR="008A63CA">
        <w:rPr>
          <w:b/>
          <w:sz w:val="20"/>
        </w:rPr>
        <w:t>2</w:t>
      </w:r>
      <w:r w:rsidRPr="00B17639">
        <w:rPr>
          <w:b/>
          <w:sz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3564"/>
        <w:gridCol w:w="3785"/>
      </w:tblGrid>
      <w:tr w:rsidR="00142C88" w:rsidRPr="00B17639">
        <w:trPr>
          <w:tblHeader/>
        </w:trPr>
        <w:tc>
          <w:tcPr>
            <w:tcW w:w="954" w:type="pct"/>
          </w:tcPr>
          <w:p w:rsidR="00142C88" w:rsidRPr="00B17639" w:rsidRDefault="00142C88" w:rsidP="00C70077">
            <w:pPr>
              <w:pStyle w:val="TableText"/>
              <w:keepNext w:val="0"/>
              <w:rPr>
                <w:b/>
              </w:rPr>
            </w:pPr>
            <w:r w:rsidRPr="00B17639">
              <w:rPr>
                <w:b/>
              </w:rPr>
              <w:t>Trial ID</w:t>
            </w:r>
          </w:p>
        </w:tc>
        <w:tc>
          <w:tcPr>
            <w:tcW w:w="1962" w:type="pct"/>
          </w:tcPr>
          <w:p w:rsidR="00142C88" w:rsidRPr="00B17639" w:rsidRDefault="00142C88" w:rsidP="00C70077">
            <w:pPr>
              <w:pStyle w:val="TableText"/>
              <w:keepNext w:val="0"/>
              <w:rPr>
                <w:b/>
              </w:rPr>
            </w:pPr>
            <w:r w:rsidRPr="00B17639">
              <w:rPr>
                <w:b/>
              </w:rPr>
              <w:t>Protocol title/ Publication title</w:t>
            </w:r>
          </w:p>
        </w:tc>
        <w:tc>
          <w:tcPr>
            <w:tcW w:w="2084" w:type="pct"/>
          </w:tcPr>
          <w:p w:rsidR="00142C88" w:rsidRPr="00B17639" w:rsidRDefault="00142C88" w:rsidP="00C70077">
            <w:pPr>
              <w:pStyle w:val="TableText"/>
              <w:keepNext w:val="0"/>
              <w:rPr>
                <w:b/>
              </w:rPr>
            </w:pPr>
            <w:r w:rsidRPr="00B17639">
              <w:rPr>
                <w:b/>
              </w:rPr>
              <w:t>Publication citation</w:t>
            </w:r>
          </w:p>
        </w:tc>
      </w:tr>
      <w:tr w:rsidR="00981858" w:rsidRPr="00B17639">
        <w:tc>
          <w:tcPr>
            <w:tcW w:w="954" w:type="pct"/>
            <w:vMerge w:val="restart"/>
            <w:vAlign w:val="center"/>
          </w:tcPr>
          <w:p w:rsidR="00981858" w:rsidRPr="00B17639" w:rsidRDefault="00981858" w:rsidP="00981858">
            <w:pPr>
              <w:pStyle w:val="TableText"/>
              <w:keepNext w:val="0"/>
            </w:pPr>
            <w:r w:rsidRPr="00B17639">
              <w:t>Study 205 (lenvatinib and everolimus versus everolimus)</w:t>
            </w:r>
          </w:p>
        </w:tc>
        <w:tc>
          <w:tcPr>
            <w:tcW w:w="1962" w:type="pct"/>
          </w:tcPr>
          <w:p w:rsidR="00981858" w:rsidRPr="00B17639" w:rsidRDefault="00981858" w:rsidP="00EC48BB">
            <w:pPr>
              <w:pStyle w:val="TableText"/>
              <w:keepNext w:val="0"/>
            </w:pPr>
            <w:r w:rsidRPr="00B17639">
              <w:t>CSR: An Open-Label, Multicenter Phase 1b/2 Study of E7080 Alone, and in Combination with Everolimus in Subjects With Unresectable Advanced or Metastatic Renal Cell Carcinoma Following One Prior VEGF-Targeted Treatment.</w:t>
            </w:r>
          </w:p>
        </w:tc>
        <w:tc>
          <w:tcPr>
            <w:tcW w:w="2084" w:type="pct"/>
          </w:tcPr>
          <w:p w:rsidR="00981858" w:rsidRPr="00B17639" w:rsidRDefault="00981858" w:rsidP="00C70077">
            <w:pPr>
              <w:pStyle w:val="TableText"/>
              <w:keepNext w:val="0"/>
            </w:pPr>
            <w:r w:rsidRPr="00B17639">
              <w:t>October 2015</w:t>
            </w:r>
          </w:p>
        </w:tc>
      </w:tr>
      <w:tr w:rsidR="00981858" w:rsidRPr="00B17639">
        <w:tc>
          <w:tcPr>
            <w:tcW w:w="954" w:type="pct"/>
            <w:vMerge/>
          </w:tcPr>
          <w:p w:rsidR="00981858" w:rsidRPr="00B17639" w:rsidRDefault="00981858" w:rsidP="00C70077">
            <w:pPr>
              <w:pStyle w:val="TableText"/>
              <w:keepNext w:val="0"/>
            </w:pPr>
          </w:p>
        </w:tc>
        <w:tc>
          <w:tcPr>
            <w:tcW w:w="1962" w:type="pct"/>
          </w:tcPr>
          <w:p w:rsidR="00981858" w:rsidRPr="00B17639" w:rsidRDefault="00981858" w:rsidP="00C70077">
            <w:pPr>
              <w:pStyle w:val="TableText"/>
              <w:keepNext w:val="0"/>
            </w:pPr>
            <w:r w:rsidRPr="00B17639">
              <w:t xml:space="preserve">Motzer, RJ et al. Lenvatinib, everolimus, and the combination in patients with metastatic renal cell carcinoma: A randomised, phase 2, open-label, multicentre trial. </w:t>
            </w:r>
          </w:p>
        </w:tc>
        <w:tc>
          <w:tcPr>
            <w:tcW w:w="2084" w:type="pct"/>
          </w:tcPr>
          <w:p w:rsidR="00981858" w:rsidRPr="00B17639" w:rsidRDefault="00981858" w:rsidP="00C70077">
            <w:pPr>
              <w:pStyle w:val="TableText"/>
              <w:keepNext w:val="0"/>
            </w:pPr>
            <w:r w:rsidRPr="00B17639">
              <w:t>The Lancet Oncology (2015) 16, 1473-1482.</w:t>
            </w:r>
          </w:p>
        </w:tc>
      </w:tr>
      <w:tr w:rsidR="00981858" w:rsidRPr="00B17639">
        <w:tc>
          <w:tcPr>
            <w:tcW w:w="954" w:type="pct"/>
            <w:vMerge/>
          </w:tcPr>
          <w:p w:rsidR="00981858" w:rsidRPr="00B17639" w:rsidRDefault="00981858" w:rsidP="00C70077">
            <w:pPr>
              <w:pStyle w:val="TableText"/>
              <w:keepNext w:val="0"/>
            </w:pPr>
          </w:p>
        </w:tc>
        <w:tc>
          <w:tcPr>
            <w:tcW w:w="1962" w:type="pct"/>
          </w:tcPr>
          <w:p w:rsidR="00981858" w:rsidRPr="00B17639" w:rsidRDefault="00981858" w:rsidP="00C70077">
            <w:pPr>
              <w:pStyle w:val="TableText"/>
              <w:keepNext w:val="0"/>
            </w:pPr>
            <w:r w:rsidRPr="00B17639">
              <w:t xml:space="preserve">Motzer, RJ et al. Independent assessment of lenvatinib plus everolimus in patients with metastatic renal cell carcinoma. </w:t>
            </w:r>
          </w:p>
        </w:tc>
        <w:tc>
          <w:tcPr>
            <w:tcW w:w="2084" w:type="pct"/>
          </w:tcPr>
          <w:p w:rsidR="00981858" w:rsidRPr="00B17639" w:rsidRDefault="00981858" w:rsidP="00C70077">
            <w:pPr>
              <w:pStyle w:val="TableText"/>
              <w:keepNext w:val="0"/>
            </w:pPr>
            <w:r w:rsidRPr="00B17639">
              <w:t>The Lancet Oncology (2016) 17.1: e4-e5.</w:t>
            </w:r>
          </w:p>
        </w:tc>
      </w:tr>
      <w:tr w:rsidR="00981858" w:rsidRPr="00B17639">
        <w:tc>
          <w:tcPr>
            <w:tcW w:w="954" w:type="pct"/>
            <w:vMerge/>
          </w:tcPr>
          <w:p w:rsidR="00981858" w:rsidRPr="00B17639" w:rsidRDefault="00981858" w:rsidP="00C70077">
            <w:pPr>
              <w:pStyle w:val="TableText"/>
              <w:keepNext w:val="0"/>
            </w:pPr>
          </w:p>
        </w:tc>
        <w:tc>
          <w:tcPr>
            <w:tcW w:w="1962" w:type="pct"/>
          </w:tcPr>
          <w:p w:rsidR="00981858" w:rsidRPr="00B17639" w:rsidRDefault="00981858" w:rsidP="00C70077">
            <w:pPr>
              <w:pStyle w:val="TableText"/>
              <w:keepNext w:val="0"/>
            </w:pPr>
            <w:r w:rsidRPr="00B17639">
              <w:t xml:space="preserve">Hutson, TE., et al. Subgroup analyses and updated overall survival from the phase 2 trial of lenvatinib (LEN), everolimus (EVE), and LEN+ EVE in metastatic renal cell carcinoma (mRCC) </w:t>
            </w:r>
          </w:p>
        </w:tc>
        <w:tc>
          <w:tcPr>
            <w:tcW w:w="2084" w:type="pct"/>
          </w:tcPr>
          <w:p w:rsidR="00981858" w:rsidRPr="00B17639" w:rsidRDefault="00981858" w:rsidP="00C70077">
            <w:pPr>
              <w:pStyle w:val="TableText"/>
              <w:keepNext w:val="0"/>
            </w:pPr>
            <w:r w:rsidRPr="00B17639">
              <w:t>American Society for Clinical Oncology Annual Meeting (2016).</w:t>
            </w:r>
          </w:p>
        </w:tc>
      </w:tr>
      <w:tr w:rsidR="00981858" w:rsidRPr="00B17639">
        <w:tc>
          <w:tcPr>
            <w:tcW w:w="954" w:type="pct"/>
            <w:vMerge/>
          </w:tcPr>
          <w:p w:rsidR="00981858" w:rsidRPr="00B17639" w:rsidRDefault="00981858" w:rsidP="00C70077">
            <w:pPr>
              <w:pStyle w:val="TableText"/>
              <w:keepNext w:val="0"/>
            </w:pPr>
          </w:p>
        </w:tc>
        <w:tc>
          <w:tcPr>
            <w:tcW w:w="1962" w:type="pct"/>
          </w:tcPr>
          <w:p w:rsidR="00981858" w:rsidRPr="00B17639" w:rsidRDefault="00981858" w:rsidP="00C70077">
            <w:pPr>
              <w:pStyle w:val="TableText"/>
              <w:keepNext w:val="0"/>
            </w:pPr>
            <w:r w:rsidRPr="00B17639">
              <w:t>Motzer, RJ et al Randomized phase II, three-arm trial of lenvatinib (LEN), everolimus (EVE), and LEN+ EVE in patients (pts) with metastatic renal cell carcinoma (mRCC).</w:t>
            </w:r>
          </w:p>
        </w:tc>
        <w:tc>
          <w:tcPr>
            <w:tcW w:w="2084" w:type="pct"/>
          </w:tcPr>
          <w:p w:rsidR="00981858" w:rsidRPr="00B17639" w:rsidRDefault="00981858" w:rsidP="00C70077">
            <w:pPr>
              <w:pStyle w:val="TableText"/>
              <w:keepNext w:val="0"/>
            </w:pPr>
            <w:r w:rsidRPr="00B17639">
              <w:t>Journal of clinical oncology (2015), 33, Conference Start: 2015 May 29 Conference End: 2015 Jun 2</w:t>
            </w:r>
          </w:p>
        </w:tc>
      </w:tr>
      <w:tr w:rsidR="00F14303" w:rsidRPr="00B17639">
        <w:tc>
          <w:tcPr>
            <w:tcW w:w="954" w:type="pct"/>
          </w:tcPr>
          <w:p w:rsidR="00F14303" w:rsidRPr="00B17639" w:rsidRDefault="00981858" w:rsidP="00981858">
            <w:pPr>
              <w:pStyle w:val="TableText"/>
              <w:keepNext w:val="0"/>
            </w:pPr>
            <w:r w:rsidRPr="00B17639">
              <w:t>CheckMate 025 (nivolumab versus everolimus)</w:t>
            </w:r>
          </w:p>
        </w:tc>
        <w:tc>
          <w:tcPr>
            <w:tcW w:w="1962" w:type="pct"/>
          </w:tcPr>
          <w:p w:rsidR="00F14303" w:rsidRPr="00B17639" w:rsidRDefault="00F14303" w:rsidP="00F14303">
            <w:pPr>
              <w:pStyle w:val="TableText"/>
              <w:keepNext w:val="0"/>
            </w:pPr>
            <w:r w:rsidRPr="00B17639">
              <w:t>Motzer, RJ et al. Nivolumab versus everolimus in advanced renal-cell carcinoma</w:t>
            </w:r>
            <w:r w:rsidR="00981858" w:rsidRPr="00B17639">
              <w:t xml:space="preserve"> (primary publication)</w:t>
            </w:r>
            <w:r w:rsidRPr="00B17639">
              <w:t xml:space="preserve">. </w:t>
            </w:r>
          </w:p>
        </w:tc>
        <w:tc>
          <w:tcPr>
            <w:tcW w:w="2084" w:type="pct"/>
          </w:tcPr>
          <w:p w:rsidR="00F14303" w:rsidRPr="00B17639" w:rsidRDefault="00F14303" w:rsidP="00F14303">
            <w:pPr>
              <w:pStyle w:val="TableText"/>
              <w:keepNext w:val="0"/>
            </w:pPr>
            <w:r w:rsidRPr="00B17639">
              <w:t>New England Journal of Medicine (2015), 373, 1803-1813</w:t>
            </w:r>
          </w:p>
        </w:tc>
      </w:tr>
      <w:tr w:rsidR="00CF31EF" w:rsidRPr="00CF31EF">
        <w:tc>
          <w:tcPr>
            <w:tcW w:w="954" w:type="pct"/>
          </w:tcPr>
          <w:p w:rsidR="00CF31EF" w:rsidRPr="00E44601" w:rsidRDefault="00CF31EF" w:rsidP="00981858">
            <w:pPr>
              <w:pStyle w:val="TableText"/>
              <w:keepNext w:val="0"/>
            </w:pPr>
            <w:r w:rsidRPr="00E44601">
              <w:t>AXIS (axitinib versus sorafenib)</w:t>
            </w:r>
          </w:p>
        </w:tc>
        <w:tc>
          <w:tcPr>
            <w:tcW w:w="1962" w:type="pct"/>
          </w:tcPr>
          <w:p w:rsidR="00CF31EF" w:rsidRPr="00E44601" w:rsidRDefault="00CF31EF" w:rsidP="00CF31EF">
            <w:pPr>
              <w:pStyle w:val="TableText"/>
              <w:keepNext w:val="0"/>
            </w:pPr>
            <w:r w:rsidRPr="00E44601">
              <w:rPr>
                <w:lang w:eastAsia="en-AU"/>
              </w:rPr>
              <w:t xml:space="preserve">Rini, B et al. Comparative effectiveness of axitinib versus sorafenib in advanced renal cell carcinoma (AXIS): a randomised Phase III trial (primary publication). </w:t>
            </w:r>
          </w:p>
        </w:tc>
        <w:tc>
          <w:tcPr>
            <w:tcW w:w="2084" w:type="pct"/>
          </w:tcPr>
          <w:p w:rsidR="00CF31EF" w:rsidRPr="00E44601" w:rsidRDefault="00CF31EF" w:rsidP="00F14303">
            <w:pPr>
              <w:pStyle w:val="TableText"/>
              <w:keepNext w:val="0"/>
            </w:pPr>
            <w:r w:rsidRPr="00E44601">
              <w:rPr>
                <w:iCs/>
                <w:lang w:eastAsia="en-AU"/>
              </w:rPr>
              <w:t>Lancet (2011)</w:t>
            </w:r>
            <w:r w:rsidRPr="00E44601">
              <w:rPr>
                <w:lang w:eastAsia="en-AU"/>
              </w:rPr>
              <w:t xml:space="preserve">, </w:t>
            </w:r>
            <w:r w:rsidRPr="00E44601">
              <w:rPr>
                <w:iCs/>
                <w:lang w:eastAsia="en-AU"/>
              </w:rPr>
              <w:t>378</w:t>
            </w:r>
            <w:r w:rsidRPr="00E44601">
              <w:rPr>
                <w:lang w:eastAsia="en-AU"/>
              </w:rPr>
              <w:t>(9807), 1931-1939.</w:t>
            </w:r>
          </w:p>
        </w:tc>
      </w:tr>
    </w:tbl>
    <w:p w:rsidR="001716C5" w:rsidRPr="00B17639" w:rsidRDefault="001716C5" w:rsidP="001716C5">
      <w:pPr>
        <w:pStyle w:val="TableFooter"/>
      </w:pPr>
      <w:r w:rsidRPr="00B17639">
        <w:t>Source: Table 2-5, pages 47 and 48 of submission</w:t>
      </w:r>
      <w:r w:rsidR="00310134">
        <w:t>; Appendix 1 of the submission.</w:t>
      </w:r>
    </w:p>
    <w:p w:rsidR="003D1595" w:rsidRPr="00B17639" w:rsidRDefault="003D1595" w:rsidP="001716C5">
      <w:pPr>
        <w:pStyle w:val="TableFooter"/>
      </w:pPr>
      <w:r w:rsidRPr="00B17639">
        <w:t xml:space="preserve">Abbreviations: </w:t>
      </w:r>
      <w:r w:rsidR="00AA0983" w:rsidRPr="00B17639">
        <w:t>CSR, clinical study report.</w:t>
      </w:r>
    </w:p>
    <w:p w:rsidR="00C317F3" w:rsidRPr="00B17639" w:rsidRDefault="00C317F3" w:rsidP="00E44601">
      <w:pPr>
        <w:numPr>
          <w:ilvl w:val="1"/>
          <w:numId w:val="1"/>
        </w:numPr>
        <w:jc w:val="both"/>
      </w:pPr>
      <w:r w:rsidRPr="00B17639">
        <w:t xml:space="preserve">The key features of the </w:t>
      </w:r>
      <w:r w:rsidR="002B1FDF" w:rsidRPr="00B17639">
        <w:t>randomised trial</w:t>
      </w:r>
      <w:r w:rsidRPr="00B17639">
        <w:t xml:space="preserve"> are summarised in </w:t>
      </w:r>
      <w:r w:rsidR="00191580" w:rsidRPr="00B17639">
        <w:t>T</w:t>
      </w:r>
      <w:r w:rsidRPr="00B17639">
        <w:t>able</w:t>
      </w:r>
      <w:r w:rsidR="00047287" w:rsidRPr="00B17639">
        <w:t xml:space="preserve"> </w:t>
      </w:r>
      <w:r w:rsidR="008A63CA">
        <w:t>3</w:t>
      </w:r>
      <w:r w:rsidR="00181F70" w:rsidRPr="00B17639">
        <w:t xml:space="preserve">. </w:t>
      </w:r>
      <w:r w:rsidRPr="00B17639">
        <w:t xml:space="preserve"> </w:t>
      </w:r>
    </w:p>
    <w:p w:rsidR="00797B43" w:rsidRPr="00B17639" w:rsidRDefault="00797B43" w:rsidP="00797B43">
      <w:pPr>
        <w:pStyle w:val="TableHeading0"/>
        <w:rPr>
          <w:rFonts w:eastAsia="Times New Roman" w:cs="Arial"/>
          <w:b w:val="0"/>
          <w:snapToGrid w:val="0"/>
          <w:szCs w:val="16"/>
        </w:rPr>
      </w:pPr>
      <w:r w:rsidRPr="00B17639">
        <w:rPr>
          <w:rFonts w:eastAsia="Times New Roman" w:cs="Arial"/>
          <w:snapToGrid w:val="0"/>
          <w:szCs w:val="16"/>
        </w:rPr>
        <w:lastRenderedPageBreak/>
        <w:t xml:space="preserve">Table </w:t>
      </w:r>
      <w:r w:rsidR="008A63CA">
        <w:rPr>
          <w:rFonts w:eastAsia="Times New Roman" w:cs="Arial"/>
          <w:snapToGrid w:val="0"/>
          <w:szCs w:val="16"/>
        </w:rPr>
        <w:t>3</w:t>
      </w:r>
      <w:r w:rsidRPr="00B17639">
        <w:rPr>
          <w:rFonts w:eastAsia="Times New Roman" w:cs="Arial"/>
          <w:snapToGrid w:val="0"/>
          <w:szCs w:val="16"/>
        </w:rPr>
        <w:t>: Key features of the included direct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8"/>
        <w:gridCol w:w="768"/>
        <w:gridCol w:w="2000"/>
        <w:gridCol w:w="1073"/>
        <w:gridCol w:w="1579"/>
        <w:gridCol w:w="1228"/>
        <w:gridCol w:w="1206"/>
      </w:tblGrid>
      <w:tr w:rsidR="00C317F3" w:rsidRPr="00B17639">
        <w:tc>
          <w:tcPr>
            <w:tcW w:w="676" w:type="pct"/>
            <w:shd w:val="clear" w:color="auto" w:fill="auto"/>
            <w:vAlign w:val="center"/>
          </w:tcPr>
          <w:p w:rsidR="00C317F3" w:rsidRPr="00B17639" w:rsidRDefault="00C317F3" w:rsidP="00772501">
            <w:pPr>
              <w:pStyle w:val="TableText"/>
              <w:rPr>
                <w:b/>
              </w:rPr>
            </w:pPr>
            <w:r w:rsidRPr="00B17639">
              <w:rPr>
                <w:b/>
              </w:rPr>
              <w:t>Trial</w:t>
            </w:r>
          </w:p>
        </w:tc>
        <w:tc>
          <w:tcPr>
            <w:tcW w:w="423" w:type="pct"/>
            <w:shd w:val="clear" w:color="auto" w:fill="auto"/>
            <w:vAlign w:val="center"/>
          </w:tcPr>
          <w:p w:rsidR="00C317F3" w:rsidRPr="00B17639" w:rsidRDefault="00C317F3" w:rsidP="00772501">
            <w:pPr>
              <w:pStyle w:val="TableText"/>
              <w:rPr>
                <w:b/>
              </w:rPr>
            </w:pPr>
            <w:r w:rsidRPr="00B17639">
              <w:rPr>
                <w:b/>
              </w:rPr>
              <w:t>N</w:t>
            </w:r>
          </w:p>
        </w:tc>
        <w:tc>
          <w:tcPr>
            <w:tcW w:w="1101" w:type="pct"/>
            <w:shd w:val="clear" w:color="auto" w:fill="auto"/>
            <w:vAlign w:val="center"/>
          </w:tcPr>
          <w:p w:rsidR="00C317F3" w:rsidRPr="00B17639" w:rsidRDefault="00C317F3" w:rsidP="00772501">
            <w:pPr>
              <w:pStyle w:val="TableText"/>
              <w:rPr>
                <w:b/>
              </w:rPr>
            </w:pPr>
            <w:r w:rsidRPr="00B17639">
              <w:rPr>
                <w:b/>
              </w:rPr>
              <w:t>Design/ duration</w:t>
            </w:r>
            <w:r w:rsidR="005F2A6B" w:rsidRPr="00B17639">
              <w:rPr>
                <w:b/>
              </w:rPr>
              <w:t xml:space="preserve"> of follow-up</w:t>
            </w:r>
          </w:p>
        </w:tc>
        <w:tc>
          <w:tcPr>
            <w:tcW w:w="591" w:type="pct"/>
            <w:shd w:val="clear" w:color="auto" w:fill="auto"/>
            <w:vAlign w:val="center"/>
          </w:tcPr>
          <w:p w:rsidR="00C317F3" w:rsidRPr="00B17639" w:rsidRDefault="00C317F3" w:rsidP="00772501">
            <w:pPr>
              <w:pStyle w:val="TableText"/>
              <w:rPr>
                <w:b/>
              </w:rPr>
            </w:pPr>
            <w:r w:rsidRPr="00B17639">
              <w:rPr>
                <w:b/>
              </w:rPr>
              <w:t>Risk of bias</w:t>
            </w:r>
          </w:p>
        </w:tc>
        <w:tc>
          <w:tcPr>
            <w:tcW w:w="869" w:type="pct"/>
            <w:shd w:val="clear" w:color="auto" w:fill="auto"/>
            <w:vAlign w:val="center"/>
          </w:tcPr>
          <w:p w:rsidR="00C317F3" w:rsidRPr="00B17639" w:rsidRDefault="00C317F3" w:rsidP="00772501">
            <w:pPr>
              <w:pStyle w:val="TableText"/>
              <w:rPr>
                <w:b/>
              </w:rPr>
            </w:pPr>
            <w:r w:rsidRPr="00B17639">
              <w:rPr>
                <w:b/>
              </w:rPr>
              <w:t>Patient population</w:t>
            </w:r>
          </w:p>
        </w:tc>
        <w:tc>
          <w:tcPr>
            <w:tcW w:w="676" w:type="pct"/>
            <w:shd w:val="clear" w:color="auto" w:fill="auto"/>
            <w:vAlign w:val="center"/>
          </w:tcPr>
          <w:p w:rsidR="00C317F3" w:rsidRPr="00B17639" w:rsidRDefault="00C317F3" w:rsidP="00772501">
            <w:pPr>
              <w:pStyle w:val="TableText"/>
              <w:rPr>
                <w:b/>
              </w:rPr>
            </w:pPr>
            <w:r w:rsidRPr="00B17639">
              <w:rPr>
                <w:b/>
              </w:rPr>
              <w:t>Outcome(s)</w:t>
            </w:r>
          </w:p>
        </w:tc>
        <w:tc>
          <w:tcPr>
            <w:tcW w:w="664" w:type="pct"/>
            <w:shd w:val="clear" w:color="auto" w:fill="auto"/>
            <w:vAlign w:val="center"/>
          </w:tcPr>
          <w:p w:rsidR="00C317F3" w:rsidRPr="00B17639" w:rsidRDefault="00C317F3" w:rsidP="00772501">
            <w:pPr>
              <w:pStyle w:val="TableText"/>
              <w:rPr>
                <w:b/>
              </w:rPr>
            </w:pPr>
            <w:r w:rsidRPr="00B17639">
              <w:rPr>
                <w:b/>
              </w:rPr>
              <w:t>Use in modelled evaluation</w:t>
            </w:r>
          </w:p>
        </w:tc>
      </w:tr>
      <w:tr w:rsidR="00CE47B9" w:rsidRPr="00B17639">
        <w:tc>
          <w:tcPr>
            <w:tcW w:w="5000" w:type="pct"/>
            <w:gridSpan w:val="7"/>
            <w:shd w:val="clear" w:color="auto" w:fill="auto"/>
            <w:vAlign w:val="center"/>
          </w:tcPr>
          <w:p w:rsidR="00CE47B9" w:rsidRPr="00B17639" w:rsidRDefault="001D6867" w:rsidP="00772501">
            <w:pPr>
              <w:pStyle w:val="TableText"/>
            </w:pPr>
            <w:r w:rsidRPr="00B17639">
              <w:rPr>
                <w:b/>
              </w:rPr>
              <w:t>Study 205 (lenvatinib and everolimus versus everolimus)</w:t>
            </w:r>
          </w:p>
        </w:tc>
      </w:tr>
      <w:tr w:rsidR="00C317F3" w:rsidRPr="00B17639">
        <w:tc>
          <w:tcPr>
            <w:tcW w:w="676" w:type="pct"/>
            <w:shd w:val="clear" w:color="auto" w:fill="auto"/>
            <w:vAlign w:val="center"/>
          </w:tcPr>
          <w:p w:rsidR="00C317F3" w:rsidRPr="00B17639" w:rsidRDefault="00797B43" w:rsidP="00772501">
            <w:pPr>
              <w:pStyle w:val="TableText"/>
            </w:pPr>
            <w:r w:rsidRPr="00B17639">
              <w:t>Study 205</w:t>
            </w:r>
          </w:p>
        </w:tc>
        <w:tc>
          <w:tcPr>
            <w:tcW w:w="423" w:type="pct"/>
            <w:shd w:val="clear" w:color="auto" w:fill="auto"/>
            <w:vAlign w:val="center"/>
          </w:tcPr>
          <w:p w:rsidR="00C317F3" w:rsidRPr="00B17639" w:rsidRDefault="00797B43" w:rsidP="00772501">
            <w:pPr>
              <w:pStyle w:val="TableText"/>
              <w:rPr>
                <w:rFonts w:ascii="Times" w:eastAsia="Times New Roman" w:hAnsi="Times" w:cs="Times New Roman"/>
              </w:rPr>
            </w:pPr>
            <w:r w:rsidRPr="00B17639">
              <w:t>101</w:t>
            </w:r>
          </w:p>
        </w:tc>
        <w:tc>
          <w:tcPr>
            <w:tcW w:w="1101" w:type="pct"/>
            <w:shd w:val="clear" w:color="auto" w:fill="auto"/>
            <w:vAlign w:val="center"/>
          </w:tcPr>
          <w:p w:rsidR="00C317F3" w:rsidRPr="00B17639" w:rsidRDefault="00C317F3" w:rsidP="00772501">
            <w:pPr>
              <w:pStyle w:val="TableText"/>
              <w:rPr>
                <w:rFonts w:ascii="Times" w:eastAsia="Times New Roman" w:hAnsi="Times" w:cs="Times New Roman"/>
              </w:rPr>
            </w:pPr>
            <w:r w:rsidRPr="00B17639">
              <w:t xml:space="preserve">R, </w:t>
            </w:r>
            <w:r w:rsidR="00797B43" w:rsidRPr="00B17639">
              <w:t>O</w:t>
            </w:r>
            <w:r w:rsidR="005B24E0" w:rsidRPr="00B17639">
              <w:t>L</w:t>
            </w:r>
            <w:r w:rsidR="00797B43" w:rsidRPr="00B17639">
              <w:t>, MC</w:t>
            </w:r>
          </w:p>
          <w:p w:rsidR="00C317F3" w:rsidRPr="00B17639" w:rsidRDefault="005B24E0" w:rsidP="00772501">
            <w:pPr>
              <w:pStyle w:val="TableText"/>
              <w:rPr>
                <w:rFonts w:ascii="Times" w:eastAsia="Times New Roman" w:hAnsi="Times" w:cs="Times New Roman"/>
              </w:rPr>
            </w:pPr>
            <w:r w:rsidRPr="00B17639">
              <w:t xml:space="preserve">Median duration </w:t>
            </w:r>
            <w:r w:rsidR="003D1595" w:rsidRPr="00B17639">
              <w:t xml:space="preserve">of </w:t>
            </w:r>
            <w:r w:rsidRPr="00B17639">
              <w:t xml:space="preserve">follow up </w:t>
            </w:r>
            <w:r w:rsidR="00C275F5" w:rsidRPr="00B17639">
              <w:t>18.5</w:t>
            </w:r>
            <w:r w:rsidRPr="00B17639">
              <w:t xml:space="preserve"> mths for lenvatinib and </w:t>
            </w:r>
            <w:r w:rsidR="00C275F5" w:rsidRPr="00B17639">
              <w:t>17.8</w:t>
            </w:r>
            <w:r w:rsidRPr="00B17639">
              <w:t xml:space="preserve"> mths for everolimus.</w:t>
            </w:r>
          </w:p>
        </w:tc>
        <w:tc>
          <w:tcPr>
            <w:tcW w:w="591" w:type="pct"/>
            <w:shd w:val="clear" w:color="auto" w:fill="auto"/>
            <w:vAlign w:val="center"/>
          </w:tcPr>
          <w:p w:rsidR="00C317F3" w:rsidRPr="00B17639" w:rsidRDefault="005B24E0" w:rsidP="00772501">
            <w:pPr>
              <w:pStyle w:val="TableText"/>
              <w:rPr>
                <w:rFonts w:ascii="Times" w:eastAsia="Times New Roman" w:hAnsi="Times" w:cs="Times New Roman"/>
              </w:rPr>
            </w:pPr>
            <w:r w:rsidRPr="00B17639">
              <w:t>High</w:t>
            </w:r>
            <w:r w:rsidR="003D1595" w:rsidRPr="00B17639">
              <w:t xml:space="preserve"> due to non-blinded nature of study, and investigator assessment of benefit.</w:t>
            </w:r>
          </w:p>
        </w:tc>
        <w:tc>
          <w:tcPr>
            <w:tcW w:w="869" w:type="pct"/>
            <w:shd w:val="clear" w:color="auto" w:fill="auto"/>
            <w:vAlign w:val="center"/>
          </w:tcPr>
          <w:p w:rsidR="00C317F3" w:rsidRPr="00B17639" w:rsidRDefault="005B24E0" w:rsidP="005B24E0">
            <w:pPr>
              <w:pStyle w:val="TableText"/>
              <w:rPr>
                <w:rFonts w:ascii="Times" w:eastAsia="Times New Roman" w:hAnsi="Times" w:cs="Times New Roman"/>
              </w:rPr>
            </w:pPr>
            <w:r w:rsidRPr="00B17639">
              <w:t>Advanced/metastatic RCC following one prior V</w:t>
            </w:r>
            <w:r w:rsidR="003D1595" w:rsidRPr="00B17639">
              <w:t>E</w:t>
            </w:r>
            <w:r w:rsidRPr="00B17639">
              <w:t>GF-targeted treatment</w:t>
            </w:r>
          </w:p>
        </w:tc>
        <w:tc>
          <w:tcPr>
            <w:tcW w:w="676" w:type="pct"/>
            <w:shd w:val="clear" w:color="auto" w:fill="auto"/>
            <w:vAlign w:val="center"/>
          </w:tcPr>
          <w:p w:rsidR="00C317F3" w:rsidRPr="00B17639" w:rsidRDefault="00C317F3" w:rsidP="00772501">
            <w:pPr>
              <w:pStyle w:val="TableText"/>
            </w:pPr>
            <w:r w:rsidRPr="00B17639">
              <w:t>OS</w:t>
            </w:r>
            <w:r w:rsidR="005B24E0" w:rsidRPr="00B17639">
              <w:t xml:space="preserve">, PFS (primary), </w:t>
            </w:r>
            <w:r w:rsidR="002646BB" w:rsidRPr="00B17639">
              <w:t xml:space="preserve">overall response, </w:t>
            </w:r>
            <w:r w:rsidR="005B24E0" w:rsidRPr="00B17639">
              <w:t xml:space="preserve">objective response rate, </w:t>
            </w:r>
            <w:r w:rsidR="002646BB" w:rsidRPr="00B17639">
              <w:t>duration of response, time to response.</w:t>
            </w:r>
          </w:p>
          <w:p w:rsidR="00C70077" w:rsidRPr="00B17639" w:rsidRDefault="00C70077" w:rsidP="00772501">
            <w:pPr>
              <w:pStyle w:val="TableText"/>
              <w:rPr>
                <w:rFonts w:ascii="Times" w:eastAsia="Times New Roman" w:hAnsi="Times" w:cs="Times New Roman"/>
              </w:rPr>
            </w:pPr>
            <w:r w:rsidRPr="00B17639">
              <w:t>Rate and nature adverse events</w:t>
            </w:r>
          </w:p>
        </w:tc>
        <w:tc>
          <w:tcPr>
            <w:tcW w:w="664" w:type="pct"/>
            <w:shd w:val="clear" w:color="auto" w:fill="auto"/>
            <w:vAlign w:val="center"/>
          </w:tcPr>
          <w:p w:rsidR="005B24E0" w:rsidRPr="00B17639" w:rsidRDefault="005B24E0" w:rsidP="00772501">
            <w:pPr>
              <w:pStyle w:val="TableText"/>
            </w:pPr>
            <w:r w:rsidRPr="00B17639">
              <w:t>OS</w:t>
            </w:r>
          </w:p>
          <w:p w:rsidR="00C317F3" w:rsidRPr="00B17639" w:rsidRDefault="005B24E0" w:rsidP="00772501">
            <w:pPr>
              <w:pStyle w:val="TableText"/>
            </w:pPr>
            <w:r w:rsidRPr="00B17639">
              <w:t>PFS</w:t>
            </w:r>
          </w:p>
          <w:p w:rsidR="00C70077" w:rsidRPr="00B17639" w:rsidRDefault="00C70077" w:rsidP="00772501">
            <w:pPr>
              <w:pStyle w:val="TableText"/>
              <w:rPr>
                <w:rFonts w:ascii="Times" w:eastAsia="Times New Roman" w:hAnsi="Times" w:cs="Times New Roman"/>
              </w:rPr>
            </w:pPr>
            <w:r w:rsidRPr="00B17639">
              <w:t>Adverse events</w:t>
            </w:r>
          </w:p>
        </w:tc>
      </w:tr>
      <w:tr w:rsidR="001D6867" w:rsidRPr="00B17639">
        <w:tc>
          <w:tcPr>
            <w:tcW w:w="5000" w:type="pct"/>
            <w:gridSpan w:val="7"/>
            <w:shd w:val="clear" w:color="auto" w:fill="auto"/>
            <w:vAlign w:val="center"/>
          </w:tcPr>
          <w:p w:rsidR="001D6867" w:rsidRPr="00B17639" w:rsidRDefault="001D6867" w:rsidP="00772501">
            <w:pPr>
              <w:pStyle w:val="TableText"/>
            </w:pPr>
            <w:r w:rsidRPr="00B17639">
              <w:rPr>
                <w:b/>
              </w:rPr>
              <w:t xml:space="preserve">CheckMate 025 (nivolumab versus everolimus) </w:t>
            </w:r>
          </w:p>
        </w:tc>
      </w:tr>
      <w:tr w:rsidR="00CE47B9" w:rsidRPr="00B17639">
        <w:tc>
          <w:tcPr>
            <w:tcW w:w="676" w:type="pct"/>
            <w:shd w:val="clear" w:color="auto" w:fill="auto"/>
            <w:vAlign w:val="center"/>
          </w:tcPr>
          <w:p w:rsidR="00CE47B9" w:rsidRPr="00B17639" w:rsidRDefault="00CE47B9" w:rsidP="00CE47B9">
            <w:pPr>
              <w:pStyle w:val="TableText"/>
            </w:pPr>
            <w:r w:rsidRPr="00B17639">
              <w:t>Motzer et al 2015</w:t>
            </w:r>
          </w:p>
        </w:tc>
        <w:tc>
          <w:tcPr>
            <w:tcW w:w="423" w:type="pct"/>
            <w:shd w:val="clear" w:color="auto" w:fill="auto"/>
            <w:vAlign w:val="center"/>
          </w:tcPr>
          <w:p w:rsidR="00CE47B9" w:rsidRPr="00B17639" w:rsidRDefault="00CE47B9" w:rsidP="00CE47B9">
            <w:pPr>
              <w:pStyle w:val="TableText"/>
            </w:pPr>
            <w:r w:rsidRPr="00B17639">
              <w:t>821</w:t>
            </w:r>
          </w:p>
        </w:tc>
        <w:tc>
          <w:tcPr>
            <w:tcW w:w="1101" w:type="pct"/>
            <w:shd w:val="clear" w:color="auto" w:fill="auto"/>
            <w:vAlign w:val="center"/>
          </w:tcPr>
          <w:p w:rsidR="00CE47B9" w:rsidRPr="00B17639" w:rsidRDefault="00CE47B9" w:rsidP="00CE47B9">
            <w:pPr>
              <w:pStyle w:val="TableText"/>
            </w:pPr>
            <w:r w:rsidRPr="00B17639">
              <w:t xml:space="preserve">Phase III, </w:t>
            </w:r>
            <w:r w:rsidRPr="00B17639">
              <w:rPr>
                <w:snapToGrid w:val="0"/>
              </w:rPr>
              <w:t>R, OL, MC</w:t>
            </w:r>
          </w:p>
        </w:tc>
        <w:tc>
          <w:tcPr>
            <w:tcW w:w="591" w:type="pct"/>
            <w:shd w:val="clear" w:color="auto" w:fill="auto"/>
            <w:vAlign w:val="center"/>
          </w:tcPr>
          <w:p w:rsidR="00CE47B9" w:rsidRPr="00B17639" w:rsidRDefault="00CE47B9" w:rsidP="00CE47B9">
            <w:pPr>
              <w:pStyle w:val="TableText"/>
            </w:pPr>
            <w:r w:rsidRPr="00B17639">
              <w:t>Moderate (due to open-label design, and potential for early termination to influence magnitude of treatment effect).</w:t>
            </w:r>
          </w:p>
        </w:tc>
        <w:tc>
          <w:tcPr>
            <w:tcW w:w="869" w:type="pct"/>
            <w:shd w:val="clear" w:color="auto" w:fill="auto"/>
            <w:vAlign w:val="center"/>
          </w:tcPr>
          <w:p w:rsidR="00CE47B9" w:rsidRPr="00B17639" w:rsidRDefault="00CE47B9" w:rsidP="00CE47B9">
            <w:pPr>
              <w:pStyle w:val="TableText"/>
            </w:pPr>
            <w:r w:rsidRPr="00B17639">
              <w:t>RCC progressed following first line treatment</w:t>
            </w:r>
          </w:p>
        </w:tc>
        <w:tc>
          <w:tcPr>
            <w:tcW w:w="676" w:type="pct"/>
            <w:shd w:val="clear" w:color="auto" w:fill="auto"/>
            <w:vAlign w:val="center"/>
          </w:tcPr>
          <w:p w:rsidR="00CE47B9" w:rsidRPr="00B17639" w:rsidRDefault="00CE47B9" w:rsidP="00CE47B9">
            <w:pPr>
              <w:pStyle w:val="TableText"/>
            </w:pPr>
            <w:r w:rsidRPr="00B17639">
              <w:t>OS, PFS (RECIST-defined), EQ-5D, Safety and tolerability</w:t>
            </w:r>
          </w:p>
        </w:tc>
        <w:tc>
          <w:tcPr>
            <w:tcW w:w="664" w:type="pct"/>
            <w:shd w:val="clear" w:color="auto" w:fill="auto"/>
            <w:vAlign w:val="center"/>
          </w:tcPr>
          <w:p w:rsidR="00CE47B9" w:rsidRPr="00B17639" w:rsidRDefault="00CE47B9" w:rsidP="00CE47B9">
            <w:pPr>
              <w:pStyle w:val="TableText"/>
            </w:pPr>
            <w:r w:rsidRPr="00B17639">
              <w:t>Not used</w:t>
            </w:r>
          </w:p>
        </w:tc>
      </w:tr>
      <w:tr w:rsidR="00CF31EF" w:rsidRPr="00B17639">
        <w:tc>
          <w:tcPr>
            <w:tcW w:w="5000" w:type="pct"/>
            <w:gridSpan w:val="7"/>
            <w:shd w:val="clear" w:color="auto" w:fill="auto"/>
            <w:vAlign w:val="center"/>
          </w:tcPr>
          <w:p w:rsidR="00CF31EF" w:rsidRPr="00B00EF0" w:rsidRDefault="00CF31EF" w:rsidP="00CE47B9">
            <w:pPr>
              <w:pStyle w:val="TableText"/>
              <w:rPr>
                <w:b/>
              </w:rPr>
            </w:pPr>
            <w:r w:rsidRPr="00B00EF0">
              <w:rPr>
                <w:b/>
              </w:rPr>
              <w:t>AXIS (axitinib versus sorafenib)</w:t>
            </w:r>
          </w:p>
        </w:tc>
      </w:tr>
      <w:tr w:rsidR="003B0EC0" w:rsidRPr="00B17639">
        <w:tc>
          <w:tcPr>
            <w:tcW w:w="676" w:type="pct"/>
            <w:shd w:val="clear" w:color="auto" w:fill="auto"/>
            <w:vAlign w:val="center"/>
          </w:tcPr>
          <w:p w:rsidR="003B0EC0" w:rsidRPr="00B17639" w:rsidRDefault="003B0EC0" w:rsidP="00CE47B9">
            <w:pPr>
              <w:pStyle w:val="TableText"/>
            </w:pPr>
            <w:r>
              <w:t>AXIS</w:t>
            </w:r>
          </w:p>
        </w:tc>
        <w:tc>
          <w:tcPr>
            <w:tcW w:w="423" w:type="pct"/>
            <w:shd w:val="clear" w:color="auto" w:fill="auto"/>
            <w:vAlign w:val="center"/>
          </w:tcPr>
          <w:p w:rsidR="003B0EC0" w:rsidRPr="00B17639" w:rsidRDefault="003B0EC0" w:rsidP="00CE47B9">
            <w:pPr>
              <w:pStyle w:val="TableText"/>
            </w:pPr>
            <w:r>
              <w:t>723</w:t>
            </w:r>
          </w:p>
        </w:tc>
        <w:tc>
          <w:tcPr>
            <w:tcW w:w="1101" w:type="pct"/>
            <w:shd w:val="clear" w:color="auto" w:fill="auto"/>
            <w:vAlign w:val="center"/>
          </w:tcPr>
          <w:p w:rsidR="003B0EC0" w:rsidRPr="00B17639" w:rsidRDefault="003B0EC0" w:rsidP="00CE47B9">
            <w:pPr>
              <w:pStyle w:val="TableText"/>
            </w:pPr>
            <w:r w:rsidRPr="00B17639">
              <w:t xml:space="preserve">Phase III, </w:t>
            </w:r>
            <w:r w:rsidRPr="00B17639">
              <w:rPr>
                <w:snapToGrid w:val="0"/>
              </w:rPr>
              <w:t>R, OL, MC</w:t>
            </w:r>
          </w:p>
        </w:tc>
        <w:tc>
          <w:tcPr>
            <w:tcW w:w="591" w:type="pct"/>
            <w:shd w:val="clear" w:color="auto" w:fill="auto"/>
            <w:vAlign w:val="center"/>
          </w:tcPr>
          <w:p w:rsidR="003B0EC0" w:rsidRPr="00B17639" w:rsidRDefault="003B0EC0" w:rsidP="003B0EC0">
            <w:pPr>
              <w:pStyle w:val="TableText"/>
            </w:pPr>
            <w:r>
              <w:rPr>
                <w:szCs w:val="16"/>
                <w:lang w:val="en-US"/>
              </w:rPr>
              <w:t>Moderate (</w:t>
            </w:r>
            <w:r w:rsidRPr="00B17639">
              <w:t xml:space="preserve">due to </w:t>
            </w:r>
            <w:r>
              <w:t xml:space="preserve">potential for </w:t>
            </w:r>
            <w:r w:rsidRPr="00B17639">
              <w:t>open-label design</w:t>
            </w:r>
            <w:r>
              <w:t xml:space="preserve"> </w:t>
            </w:r>
            <w:r w:rsidRPr="00B17639">
              <w:t>to influence magnitude of treatment effect</w:t>
            </w:r>
            <w:r>
              <w:t>).</w:t>
            </w:r>
          </w:p>
        </w:tc>
        <w:tc>
          <w:tcPr>
            <w:tcW w:w="869" w:type="pct"/>
            <w:shd w:val="clear" w:color="auto" w:fill="auto"/>
            <w:vAlign w:val="center"/>
          </w:tcPr>
          <w:p w:rsidR="003B0EC0" w:rsidRPr="00B17639" w:rsidRDefault="003B0EC0" w:rsidP="003B0EC0">
            <w:pPr>
              <w:pStyle w:val="TableText"/>
            </w:pPr>
            <w:r>
              <w:rPr>
                <w:szCs w:val="16"/>
                <w:lang w:val="en-US"/>
              </w:rPr>
              <w:t>RCC after f</w:t>
            </w:r>
            <w:r w:rsidRPr="002372C4">
              <w:rPr>
                <w:szCs w:val="16"/>
                <w:lang w:val="en-US"/>
              </w:rPr>
              <w:t>ail</w:t>
            </w:r>
            <w:r>
              <w:rPr>
                <w:szCs w:val="16"/>
                <w:lang w:val="en-US"/>
              </w:rPr>
              <w:t>ure of</w:t>
            </w:r>
            <w:r w:rsidRPr="002372C4">
              <w:rPr>
                <w:szCs w:val="16"/>
                <w:lang w:val="en-US"/>
              </w:rPr>
              <w:t xml:space="preserve"> one prior systemic 1</w:t>
            </w:r>
            <w:r w:rsidRPr="002372C4">
              <w:rPr>
                <w:szCs w:val="16"/>
                <w:vertAlign w:val="superscript"/>
                <w:lang w:val="en-US"/>
              </w:rPr>
              <w:t>st</w:t>
            </w:r>
            <w:r w:rsidRPr="002372C4">
              <w:rPr>
                <w:szCs w:val="16"/>
                <w:lang w:val="en-US"/>
              </w:rPr>
              <w:t>-line therapy</w:t>
            </w:r>
          </w:p>
        </w:tc>
        <w:tc>
          <w:tcPr>
            <w:tcW w:w="676" w:type="pct"/>
            <w:shd w:val="clear" w:color="auto" w:fill="auto"/>
            <w:vAlign w:val="center"/>
          </w:tcPr>
          <w:p w:rsidR="003B0EC0" w:rsidRPr="00B17639" w:rsidRDefault="003B0EC0" w:rsidP="00CE47B9">
            <w:pPr>
              <w:pStyle w:val="TableText"/>
            </w:pPr>
            <w:r w:rsidRPr="002372C4">
              <w:rPr>
                <w:szCs w:val="16"/>
                <w:lang w:val="en-US"/>
              </w:rPr>
              <w:t>PFS, OS</w:t>
            </w:r>
            <w:r>
              <w:rPr>
                <w:szCs w:val="16"/>
                <w:lang w:val="en-US"/>
              </w:rPr>
              <w:t>, safety</w:t>
            </w:r>
          </w:p>
        </w:tc>
        <w:tc>
          <w:tcPr>
            <w:tcW w:w="664" w:type="pct"/>
            <w:shd w:val="clear" w:color="auto" w:fill="auto"/>
            <w:vAlign w:val="center"/>
          </w:tcPr>
          <w:p w:rsidR="003B0EC0" w:rsidRPr="00B17639" w:rsidRDefault="003B0EC0" w:rsidP="00CE47B9">
            <w:pPr>
              <w:pStyle w:val="TableText"/>
            </w:pPr>
            <w:r>
              <w:t>Not used</w:t>
            </w:r>
          </w:p>
        </w:tc>
      </w:tr>
    </w:tbl>
    <w:p w:rsidR="005B24E0" w:rsidRPr="00B17639" w:rsidRDefault="005B24E0" w:rsidP="005B24E0">
      <w:pPr>
        <w:pStyle w:val="TableFooter"/>
      </w:pPr>
      <w:r w:rsidRPr="00B17639">
        <w:t xml:space="preserve">Source: compiled during the evaluation, data from </w:t>
      </w:r>
      <w:r w:rsidR="003D1595" w:rsidRPr="00B17639">
        <w:t xml:space="preserve">Table </w:t>
      </w:r>
      <w:r w:rsidR="00D930B0" w:rsidRPr="00B17639">
        <w:t xml:space="preserve">2-3 page </w:t>
      </w:r>
      <w:r w:rsidRPr="00B17639">
        <w:t>49</w:t>
      </w:r>
      <w:r w:rsidR="00D930B0" w:rsidRPr="00B17639">
        <w:t xml:space="preserve">, </w:t>
      </w:r>
      <w:r w:rsidR="003D1595" w:rsidRPr="00B17639">
        <w:t xml:space="preserve">Table </w:t>
      </w:r>
      <w:r w:rsidR="00D930B0" w:rsidRPr="00B17639">
        <w:t>2-16 page</w:t>
      </w:r>
      <w:r w:rsidRPr="00B17639">
        <w:t xml:space="preserve"> 63 and</w:t>
      </w:r>
      <w:r w:rsidR="00D930B0" w:rsidRPr="00B17639">
        <w:t xml:space="preserve"> </w:t>
      </w:r>
      <w:r w:rsidR="003D1595" w:rsidRPr="00B17639">
        <w:t xml:space="preserve">Table </w:t>
      </w:r>
      <w:r w:rsidR="00D930B0" w:rsidRPr="00B17639">
        <w:t>2-18 page 65</w:t>
      </w:r>
      <w:r w:rsidR="003D1595" w:rsidRPr="00B17639">
        <w:t xml:space="preserve"> of the submission</w:t>
      </w:r>
      <w:r w:rsidR="00D930B0" w:rsidRPr="00B17639">
        <w:t>.</w:t>
      </w:r>
      <w:r w:rsidRPr="00B17639">
        <w:t xml:space="preserve"> </w:t>
      </w:r>
      <w:r w:rsidR="0070504D" w:rsidRPr="00B17639">
        <w:t>Paragraph 6.6, nivo</w:t>
      </w:r>
      <w:r w:rsidR="00A56427" w:rsidRPr="00B17639">
        <w:t xml:space="preserve">lumab PSD, </w:t>
      </w:r>
      <w:r w:rsidR="004D18CE" w:rsidRPr="00B17639">
        <w:t>March 2017</w:t>
      </w:r>
      <w:r w:rsidR="00310134">
        <w:t xml:space="preserve">. Appendix 1 of the submission. </w:t>
      </w:r>
    </w:p>
    <w:p w:rsidR="00C317F3" w:rsidRPr="00B17639" w:rsidRDefault="005B24E0" w:rsidP="00772501">
      <w:pPr>
        <w:pStyle w:val="TableFooter"/>
        <w:rPr>
          <w:szCs w:val="18"/>
        </w:rPr>
      </w:pPr>
      <w:r w:rsidRPr="00B17639">
        <w:rPr>
          <w:szCs w:val="18"/>
        </w:rPr>
        <w:t>Abbreviations: R, randomised; OL, open</w:t>
      </w:r>
      <w:r w:rsidR="00981A61">
        <w:rPr>
          <w:szCs w:val="18"/>
        </w:rPr>
        <w:t>-</w:t>
      </w:r>
      <w:r w:rsidRPr="00B17639">
        <w:rPr>
          <w:szCs w:val="18"/>
        </w:rPr>
        <w:t xml:space="preserve">label; </w:t>
      </w:r>
      <w:r w:rsidR="00C317F3" w:rsidRPr="00B17639">
        <w:rPr>
          <w:szCs w:val="18"/>
        </w:rPr>
        <w:t>MC</w:t>
      </w:r>
      <w:r w:rsidRPr="00B17639">
        <w:rPr>
          <w:szCs w:val="18"/>
        </w:rPr>
        <w:t>, m</w:t>
      </w:r>
      <w:r w:rsidR="00C317F3" w:rsidRPr="00B17639">
        <w:rPr>
          <w:szCs w:val="18"/>
        </w:rPr>
        <w:t xml:space="preserve">ulti-centre; </w:t>
      </w:r>
      <w:r w:rsidRPr="00B17639">
        <w:rPr>
          <w:szCs w:val="18"/>
        </w:rPr>
        <w:t xml:space="preserve">mths, months; RCC, renal cell carcinoma; VGEF, </w:t>
      </w:r>
      <w:r w:rsidRPr="00B17639">
        <w:rPr>
          <w:rFonts w:eastAsia="Calibri" w:cs="Times New Roman"/>
          <w:szCs w:val="18"/>
        </w:rPr>
        <w:t xml:space="preserve">vascular endothelial growth factor; </w:t>
      </w:r>
      <w:r w:rsidR="00C317F3" w:rsidRPr="00B17639">
        <w:rPr>
          <w:szCs w:val="18"/>
        </w:rPr>
        <w:t>OS</w:t>
      </w:r>
      <w:r w:rsidR="00495235">
        <w:rPr>
          <w:szCs w:val="18"/>
        </w:rPr>
        <w:t>,</w:t>
      </w:r>
      <w:r w:rsidR="00C317F3" w:rsidRPr="00B17639">
        <w:rPr>
          <w:szCs w:val="18"/>
        </w:rPr>
        <w:t>overall survival; PFS</w:t>
      </w:r>
      <w:r w:rsidR="00495235">
        <w:rPr>
          <w:szCs w:val="18"/>
        </w:rPr>
        <w:t>,</w:t>
      </w:r>
      <w:r w:rsidR="00C317F3" w:rsidRPr="00B17639">
        <w:rPr>
          <w:szCs w:val="18"/>
        </w:rPr>
        <w:t>progress</w:t>
      </w:r>
      <w:r w:rsidRPr="00B17639">
        <w:rPr>
          <w:szCs w:val="18"/>
        </w:rPr>
        <w:t>ion-free survival.</w:t>
      </w:r>
    </w:p>
    <w:p w:rsidR="00C70077" w:rsidRDefault="00E20730" w:rsidP="0047390F">
      <w:pPr>
        <w:numPr>
          <w:ilvl w:val="1"/>
          <w:numId w:val="1"/>
        </w:numPr>
        <w:tabs>
          <w:tab w:val="left" w:pos="2835"/>
        </w:tabs>
        <w:jc w:val="both"/>
      </w:pPr>
      <w:bookmarkStart w:id="20" w:name="_Hlk490130591"/>
      <w:r w:rsidRPr="00B17639">
        <w:t xml:space="preserve">Study 205, a </w:t>
      </w:r>
      <w:r w:rsidR="00C275F5" w:rsidRPr="00B17639">
        <w:t>small</w:t>
      </w:r>
      <w:r w:rsidR="00A7717D" w:rsidRPr="00B17639">
        <w:t>-</w:t>
      </w:r>
      <w:r w:rsidR="00C275F5" w:rsidRPr="00B17639">
        <w:t xml:space="preserve">scale Phase II </w:t>
      </w:r>
      <w:r w:rsidR="0010575A" w:rsidRPr="00B17639">
        <w:t>trial</w:t>
      </w:r>
      <w:r w:rsidRPr="00B17639">
        <w:t>,</w:t>
      </w:r>
      <w:r w:rsidR="0010575A" w:rsidRPr="00B17639">
        <w:t xml:space="preserve"> was assessed as having a high risk of bias. </w:t>
      </w:r>
      <w:r w:rsidR="00C275F5" w:rsidRPr="00B17639">
        <w:t>T</w:t>
      </w:r>
      <w:r w:rsidR="0010575A" w:rsidRPr="00B17639">
        <w:t xml:space="preserve">he </w:t>
      </w:r>
      <w:r w:rsidRPr="00B17639">
        <w:t>trial was open</w:t>
      </w:r>
      <w:r w:rsidR="00981A61">
        <w:t>-</w:t>
      </w:r>
      <w:r w:rsidRPr="00B17639">
        <w:t>label</w:t>
      </w:r>
      <w:r w:rsidR="003D1595" w:rsidRPr="00B17639">
        <w:t>,</w:t>
      </w:r>
      <w:r w:rsidR="00C275F5" w:rsidRPr="00B17639">
        <w:t xml:space="preserve"> and t</w:t>
      </w:r>
      <w:r w:rsidR="00C70077" w:rsidRPr="00B17639">
        <w:t xml:space="preserve">he reporting of the primary endpoint (PFS) using RECIST v1.1 criteria was undertaken by the investigators. </w:t>
      </w:r>
    </w:p>
    <w:p w:rsidR="00DC4DB0" w:rsidRPr="00B17639" w:rsidRDefault="00DC4DB0" w:rsidP="0047390F">
      <w:pPr>
        <w:numPr>
          <w:ilvl w:val="1"/>
          <w:numId w:val="1"/>
        </w:numPr>
        <w:tabs>
          <w:tab w:val="left" w:pos="2835"/>
        </w:tabs>
        <w:jc w:val="both"/>
      </w:pPr>
      <w:r>
        <w:t xml:space="preserve">The PBAC noted that </w:t>
      </w:r>
      <w:r w:rsidR="00524880">
        <w:t xml:space="preserve">of the 235 patients assessed for eligibility in Study 205, 82 (35%) were </w:t>
      </w:r>
      <w:r w:rsidR="00694676">
        <w:t xml:space="preserve">deemed ineligible. </w:t>
      </w:r>
    </w:p>
    <w:p w:rsidR="00750EF8" w:rsidRPr="00B17639" w:rsidRDefault="00C275F5" w:rsidP="0047390F">
      <w:pPr>
        <w:numPr>
          <w:ilvl w:val="1"/>
          <w:numId w:val="1"/>
        </w:numPr>
        <w:tabs>
          <w:tab w:val="left" w:pos="2835"/>
        </w:tabs>
        <w:jc w:val="both"/>
      </w:pPr>
      <w:r w:rsidRPr="00B17639">
        <w:t>At the time of the primary efficacy assessment</w:t>
      </w:r>
      <w:r w:rsidR="00D930B0" w:rsidRPr="00B17639">
        <w:t xml:space="preserve"> for PFS</w:t>
      </w:r>
      <w:r w:rsidRPr="00B17639">
        <w:t xml:space="preserve"> in June 2014, only 26 patients (51%) in the lenvatinib/everolimus arm and 37 patients (74%) in the everolimus monotherapy arm had disease progression. This </w:t>
      </w:r>
      <w:r w:rsidR="0047390F">
        <w:t>results in</w:t>
      </w:r>
      <w:r w:rsidRPr="00B17639">
        <w:t xml:space="preserve"> some uncertainty in the interpretation of the magnitude of the reported PFS gain. </w:t>
      </w:r>
      <w:r w:rsidR="00600372" w:rsidRPr="00B17639">
        <w:t>E</w:t>
      </w:r>
      <w:r w:rsidRPr="00B17639">
        <w:t xml:space="preserve">vidence reported in the submission for PFS </w:t>
      </w:r>
      <w:r w:rsidR="00600372" w:rsidRPr="00B17639">
        <w:t xml:space="preserve">related to the primary efficacy assessment by the investigators, </w:t>
      </w:r>
      <w:r w:rsidR="00AF0296" w:rsidRPr="00B17639">
        <w:t>together with</w:t>
      </w:r>
      <w:r w:rsidR="00600372" w:rsidRPr="00B17639">
        <w:t xml:space="preserve"> </w:t>
      </w:r>
      <w:r w:rsidR="00665B03" w:rsidRPr="00B17639">
        <w:t xml:space="preserve">the </w:t>
      </w:r>
      <w:r w:rsidR="00600372" w:rsidRPr="00B17639">
        <w:t>blinded independent radiologist review</w:t>
      </w:r>
      <w:r w:rsidR="00AF0296" w:rsidRPr="00B17639">
        <w:t xml:space="preserve"> that had been requested by </w:t>
      </w:r>
      <w:r w:rsidR="00AF0296" w:rsidRPr="00B17639">
        <w:lastRenderedPageBreak/>
        <w:t>regulatory agencies</w:t>
      </w:r>
      <w:r w:rsidR="00750EF8" w:rsidRPr="00B17639">
        <w:t xml:space="preserve">. </w:t>
      </w:r>
      <w:r w:rsidR="00E1467F">
        <w:t>The PBAC noted the r</w:t>
      </w:r>
      <w:r w:rsidR="00750EF8" w:rsidRPr="00B17639">
        <w:t>esults of the blinded assessment were less favourable for lenvatinib/everolimus than those from the primary assessment</w:t>
      </w:r>
      <w:r w:rsidR="00600372" w:rsidRPr="00B17639">
        <w:t>.</w:t>
      </w:r>
    </w:p>
    <w:p w:rsidR="00600372" w:rsidRPr="00B17639" w:rsidRDefault="00AF0296" w:rsidP="00E44601">
      <w:pPr>
        <w:numPr>
          <w:ilvl w:val="1"/>
          <w:numId w:val="1"/>
        </w:numPr>
        <w:jc w:val="both"/>
      </w:pPr>
      <w:r w:rsidRPr="00B17639">
        <w:t xml:space="preserve">In the reporting of OS benefits from a later data cut-off </w:t>
      </w:r>
      <w:r w:rsidR="00750EF8" w:rsidRPr="00B17639">
        <w:t>(</w:t>
      </w:r>
      <w:r w:rsidRPr="00B17639">
        <w:t>July 2015</w:t>
      </w:r>
      <w:r w:rsidR="00750EF8" w:rsidRPr="00B17639">
        <w:t>)</w:t>
      </w:r>
      <w:r w:rsidRPr="00B17639">
        <w:t>,</w:t>
      </w:r>
      <w:r w:rsidR="00600372" w:rsidRPr="00B17639">
        <w:t xml:space="preserve"> </w:t>
      </w:r>
      <w:r w:rsidRPr="00B17639">
        <w:t xml:space="preserve">63% of patients in the lenvatinib/everolimus arm and 74% of patients in the everolimus monotherapy arm had died. </w:t>
      </w:r>
      <w:r w:rsidR="00600372" w:rsidRPr="00B17639">
        <w:t xml:space="preserve">The economic evaluation used </w:t>
      </w:r>
      <w:r w:rsidRPr="00B17639">
        <w:t xml:space="preserve">OS and </w:t>
      </w:r>
      <w:r w:rsidR="00600372" w:rsidRPr="00B17639">
        <w:t xml:space="preserve">PFS data from </w:t>
      </w:r>
      <w:r w:rsidRPr="00B17639">
        <w:t>this l</w:t>
      </w:r>
      <w:r w:rsidR="00600372" w:rsidRPr="00B17639">
        <w:t xml:space="preserve">ater trial cut-off </w:t>
      </w:r>
      <w:r w:rsidRPr="00B17639">
        <w:t>(</w:t>
      </w:r>
      <w:r w:rsidR="00600372" w:rsidRPr="00B17639">
        <w:t xml:space="preserve">median duration of follow up 32 months) </w:t>
      </w:r>
      <w:r w:rsidRPr="00B17639">
        <w:t xml:space="preserve">with the PFS values being less favourable than those reported in the </w:t>
      </w:r>
      <w:r w:rsidR="003D1595" w:rsidRPr="00B17639">
        <w:t>initial assessment</w:t>
      </w:r>
      <w:r w:rsidR="00B607A9" w:rsidRPr="00B17639">
        <w:t>s</w:t>
      </w:r>
      <w:r w:rsidR="003D1595" w:rsidRPr="00B17639">
        <w:t xml:space="preserve"> of </w:t>
      </w:r>
      <w:r w:rsidRPr="00B17639">
        <w:t>clinical efficacy.</w:t>
      </w:r>
      <w:r w:rsidR="00600372" w:rsidRPr="00B17639">
        <w:t xml:space="preserve"> </w:t>
      </w:r>
      <w:r w:rsidR="00694676">
        <w:t>The pre-PBAC response (p3) states that as of the latest data cut for Study 205 (15</w:t>
      </w:r>
      <w:r w:rsidR="00694676" w:rsidRPr="0031632F">
        <w:rPr>
          <w:vertAlign w:val="superscript"/>
        </w:rPr>
        <w:t>th</w:t>
      </w:r>
      <w:r w:rsidR="00694676">
        <w:t xml:space="preserve"> April 2016) 80% of patients in the lenvatinib/everolimus arm and 75% of patients in the everolimus arm had died. The sponsor state</w:t>
      </w:r>
      <w:r w:rsidR="0047390F">
        <w:t>d</w:t>
      </w:r>
      <w:r w:rsidR="00694676">
        <w:t xml:space="preserve"> that the OS data reported is highly consistent with OS data used in the economic evaluation of lenvatinib/everolimus.</w:t>
      </w:r>
    </w:p>
    <w:bookmarkEnd w:id="20"/>
    <w:p w:rsidR="00600372" w:rsidRPr="00B17639" w:rsidRDefault="00600372" w:rsidP="00E44601">
      <w:pPr>
        <w:numPr>
          <w:ilvl w:val="1"/>
          <w:numId w:val="1"/>
        </w:numPr>
        <w:jc w:val="both"/>
      </w:pPr>
      <w:r w:rsidRPr="00B17639">
        <w:t xml:space="preserve">The submission relied on the first </w:t>
      </w:r>
      <w:r w:rsidR="00EA76ED" w:rsidRPr="00B17639">
        <w:t xml:space="preserve">data </w:t>
      </w:r>
      <w:r w:rsidRPr="00B17639">
        <w:t xml:space="preserve">cut-off from Study 205 </w:t>
      </w:r>
      <w:r w:rsidR="00F65B65" w:rsidRPr="00B17639">
        <w:t xml:space="preserve">to </w:t>
      </w:r>
      <w:r w:rsidRPr="00B17639">
        <w:t>estimat</w:t>
      </w:r>
      <w:r w:rsidR="00F65B65" w:rsidRPr="00B17639">
        <w:t>e</w:t>
      </w:r>
      <w:r w:rsidRPr="00B17639">
        <w:t xml:space="preserve"> the mean daily doses </w:t>
      </w:r>
      <w:r w:rsidR="00F65B65" w:rsidRPr="00B17639">
        <w:t xml:space="preserve">of treatment </w:t>
      </w:r>
      <w:r w:rsidRPr="00B17639">
        <w:t>administered in each treatment arm</w:t>
      </w:r>
      <w:r w:rsidR="00CF4828" w:rsidRPr="00B17639">
        <w:t xml:space="preserve"> and to estimate the duration of therapy and time to progression. </w:t>
      </w:r>
      <w:r w:rsidR="00EA76ED" w:rsidRPr="00B17639">
        <w:t>A</w:t>
      </w:r>
      <w:r w:rsidRPr="00B17639">
        <w:t xml:space="preserve">t </w:t>
      </w:r>
      <w:r w:rsidR="00EA76ED" w:rsidRPr="00B17639">
        <w:t>the first data</w:t>
      </w:r>
      <w:r w:rsidRPr="00B17639">
        <w:t xml:space="preserve"> </w:t>
      </w:r>
      <w:r w:rsidR="00EA76ED" w:rsidRPr="00B17639">
        <w:t xml:space="preserve">cut-off </w:t>
      </w:r>
      <w:r w:rsidRPr="00B17639">
        <w:t>13 patients in the lenvatinib/everolimus arm (25.5%) and 3 patients in the everolimus monotherapy arm (6%) remained on treatment. This lead to an under-</w:t>
      </w:r>
      <w:r w:rsidR="00F65B65" w:rsidRPr="00B17639">
        <w:t xml:space="preserve">estimate </w:t>
      </w:r>
      <w:r w:rsidRPr="00B17639">
        <w:t xml:space="preserve">of </w:t>
      </w:r>
      <w:r w:rsidR="00F65B65" w:rsidRPr="00B17639">
        <w:t xml:space="preserve">the </w:t>
      </w:r>
      <w:r w:rsidRPr="00B17639">
        <w:t xml:space="preserve">duration of therapy </w:t>
      </w:r>
      <w:r w:rsidR="00110DEA" w:rsidRPr="00B17639">
        <w:t xml:space="preserve">which was used </w:t>
      </w:r>
      <w:r w:rsidRPr="00B17639">
        <w:t xml:space="preserve">in </w:t>
      </w:r>
      <w:r w:rsidR="00110DEA" w:rsidRPr="00B17639">
        <w:t>the financial estimates</w:t>
      </w:r>
      <w:r w:rsidR="00EA76ED" w:rsidRPr="00B17639">
        <w:t>. The impact on</w:t>
      </w:r>
      <w:r w:rsidRPr="00B17639">
        <w:t xml:space="preserve"> the estimat</w:t>
      </w:r>
      <w:r w:rsidR="00EA76ED" w:rsidRPr="00B17639">
        <w:t>ed</w:t>
      </w:r>
      <w:r w:rsidRPr="00B17639">
        <w:t xml:space="preserve"> mean dose administered </w:t>
      </w:r>
      <w:r w:rsidR="00E20730" w:rsidRPr="00B17639">
        <w:t>wa</w:t>
      </w:r>
      <w:r w:rsidR="00EA76ED" w:rsidRPr="00B17639">
        <w:t>s unknown</w:t>
      </w:r>
      <w:r w:rsidRPr="00B17639">
        <w:t>.</w:t>
      </w:r>
      <w:r w:rsidR="00110DEA" w:rsidRPr="00B17639">
        <w:t xml:space="preserve"> </w:t>
      </w:r>
    </w:p>
    <w:p w:rsidR="00110DEA" w:rsidRPr="00B17639" w:rsidRDefault="00110DEA" w:rsidP="00E44601">
      <w:pPr>
        <w:numPr>
          <w:ilvl w:val="1"/>
          <w:numId w:val="1"/>
        </w:numPr>
        <w:jc w:val="both"/>
      </w:pPr>
      <w:bookmarkStart w:id="21" w:name="_Hlk490130666"/>
      <w:r w:rsidRPr="00B17639">
        <w:t xml:space="preserve">A significant number of patients in </w:t>
      </w:r>
      <w:r w:rsidR="00EA76ED" w:rsidRPr="00B17639">
        <w:t xml:space="preserve">both </w:t>
      </w:r>
      <w:r w:rsidRPr="00B17639">
        <w:t>arm</w:t>
      </w:r>
      <w:r w:rsidR="00EA76ED" w:rsidRPr="00B17639">
        <w:t>s</w:t>
      </w:r>
      <w:r w:rsidRPr="00B17639">
        <w:t xml:space="preserve"> of </w:t>
      </w:r>
      <w:r w:rsidR="00E20730" w:rsidRPr="00B17639">
        <w:t>Study 205</w:t>
      </w:r>
      <w:r w:rsidRPr="00B17639">
        <w:t xml:space="preserve"> had prematurely discontinued therapy prior to the development of disease progression. Of these, adverse events led 9 patients (17.6%) in the lenvatinib/everolimus arm and 5 patients (10%) in the everolimus monotherapy arm to </w:t>
      </w:r>
      <w:r w:rsidR="00F65B65" w:rsidRPr="00B17639">
        <w:t xml:space="preserve">discontinue </w:t>
      </w:r>
      <w:r w:rsidRPr="00B17639">
        <w:t>prematurely. Four patients (7.9%) in the lenvatinib/everolimus arm and 1 patient (2%) in the everolimus arm chose to withdraw from the trial. The</w:t>
      </w:r>
      <w:r w:rsidR="00750EF8" w:rsidRPr="00B17639">
        <w:t xml:space="preserve"> applicability to the proposed PBS population of trial based</w:t>
      </w:r>
      <w:r w:rsidR="00F65B65" w:rsidRPr="00B17639">
        <w:t xml:space="preserve"> estimates of exposure </w:t>
      </w:r>
      <w:r w:rsidR="00750EF8" w:rsidRPr="00B17639">
        <w:t>is uncertain</w:t>
      </w:r>
      <w:r w:rsidR="00537A52">
        <w:t>,</w:t>
      </w:r>
      <w:r w:rsidR="00750EF8" w:rsidRPr="00B17639">
        <w:t xml:space="preserve"> due to potential differences in the pattern of discontinuation. In particular, trial patients may be younger and have an improved performance status than PBS patients</w:t>
      </w:r>
      <w:r w:rsidR="00537A52">
        <w:t>,</w:t>
      </w:r>
      <w:r w:rsidR="00750EF8" w:rsidRPr="00B17639">
        <w:t xml:space="preserve"> which may impact on treatment exposure in practice. </w:t>
      </w:r>
      <w:bookmarkEnd w:id="21"/>
      <w:r w:rsidR="00F50E66" w:rsidRPr="00B17639">
        <w:t xml:space="preserve"> </w:t>
      </w:r>
    </w:p>
    <w:p w:rsidR="000F2146" w:rsidRPr="00B00EF0" w:rsidRDefault="00DD1C08" w:rsidP="00E44601">
      <w:pPr>
        <w:numPr>
          <w:ilvl w:val="1"/>
          <w:numId w:val="1"/>
        </w:numPr>
        <w:jc w:val="both"/>
      </w:pPr>
      <w:r w:rsidRPr="00B17639">
        <w:t xml:space="preserve">Some issues with the CheckMate 025 trial </w:t>
      </w:r>
      <w:r w:rsidR="00750EF8" w:rsidRPr="00B17639">
        <w:t xml:space="preserve">for nivolumab </w:t>
      </w:r>
      <w:r w:rsidRPr="00B17639">
        <w:t xml:space="preserve">have previously been identified by the PBAC. The pre-specified boundary for significance was crossed at the first interim analysis of OS, and the trial was terminated early to allow the everolimus treated patients to receive nivolumab. </w:t>
      </w:r>
      <w:r w:rsidR="004B09A4" w:rsidRPr="00B17639">
        <w:t>The outcomes reported from the first database lock are not confounded by crossover</w:t>
      </w:r>
      <w:r w:rsidRPr="00B17639">
        <w:t>.</w:t>
      </w:r>
      <w:r w:rsidR="007F1C2A" w:rsidRPr="00B17639">
        <w:t xml:space="preserve"> </w:t>
      </w:r>
      <w:r w:rsidRPr="00B17639">
        <w:t xml:space="preserve">Similar to Study 205, significant numbers of patients were continuing on treatment at the time of </w:t>
      </w:r>
      <w:r w:rsidR="00F65B65" w:rsidRPr="00B17639">
        <w:t xml:space="preserve">the </w:t>
      </w:r>
      <w:r w:rsidRPr="00B17639">
        <w:t xml:space="preserve">database lock (16.3% for nivolumab and 6.8% for everolimus) potentially leading to the duration of therapy being underestimated. Unlike Study 205, </w:t>
      </w:r>
      <w:r w:rsidRPr="00E44601">
        <w:t xml:space="preserve">patients </w:t>
      </w:r>
      <w:r w:rsidR="00537A52">
        <w:t xml:space="preserve">in the </w:t>
      </w:r>
      <w:r w:rsidR="00537A52" w:rsidRPr="00B17639">
        <w:t xml:space="preserve">CheckMate 025 trial </w:t>
      </w:r>
      <w:r w:rsidRPr="00E44601">
        <w:t>were able to continue receiving treatment beyond progression if they were assessed by the investigators as still deriving clinical benefit a</w:t>
      </w:r>
      <w:r w:rsidR="007F1C2A" w:rsidRPr="00E44601">
        <w:t xml:space="preserve">nd tolerating treatment (6.6-6.8, PSD, nivolumab July 2016). The </w:t>
      </w:r>
      <w:r w:rsidR="008D3E9F" w:rsidRPr="00E44601">
        <w:t xml:space="preserve">current </w:t>
      </w:r>
      <w:r w:rsidR="007F1C2A" w:rsidRPr="00E44601">
        <w:t xml:space="preserve">submission claimed that the ability to continue treatment beyond progression may </w:t>
      </w:r>
      <w:r w:rsidR="008D3E9F" w:rsidRPr="00E44601">
        <w:t xml:space="preserve">have </w:t>
      </w:r>
      <w:r w:rsidR="007F1C2A" w:rsidRPr="00E44601">
        <w:t>bias</w:t>
      </w:r>
      <w:r w:rsidR="008D3E9F" w:rsidRPr="00E44601">
        <w:t>ed</w:t>
      </w:r>
      <w:r w:rsidR="007F1C2A" w:rsidRPr="00E44601">
        <w:t xml:space="preserve"> the results of </w:t>
      </w:r>
      <w:r w:rsidR="00B80AF7" w:rsidRPr="00E44601">
        <w:t xml:space="preserve">CheckMate 025 </w:t>
      </w:r>
      <w:r w:rsidR="007F1C2A" w:rsidRPr="00E44601">
        <w:t xml:space="preserve">in favour of nivolumab, since investigators would be more inclined to continue with nivolumab therapy and less inclined to continue with everolimus. </w:t>
      </w:r>
    </w:p>
    <w:p w:rsidR="001F667A" w:rsidRDefault="001F667A" w:rsidP="00E44601">
      <w:pPr>
        <w:numPr>
          <w:ilvl w:val="1"/>
          <w:numId w:val="1"/>
        </w:numPr>
        <w:jc w:val="both"/>
      </w:pPr>
      <w:r w:rsidRPr="00E44601">
        <w:t xml:space="preserve">AXIS was used as the basis of the evidence considered by the PBAC for the listing of axitinib in RCC (Axitinib PSD, November 2014). </w:t>
      </w:r>
      <w:r w:rsidR="0078485D" w:rsidRPr="00E44601">
        <w:t xml:space="preserve">This trial did not include everolimus </w:t>
      </w:r>
      <w:r w:rsidR="0078485D" w:rsidRPr="00E44601">
        <w:lastRenderedPageBreak/>
        <w:t xml:space="preserve">and therefore cannot be used to form an indirect comparison with lenvatinib/everolimus. In addition, patients treated with axitinib in AXIS who progressed were able to receive sorafenib at progression, potentially biasing any comparative analysis formed </w:t>
      </w:r>
      <w:r w:rsidR="003002E6" w:rsidRPr="00E44601">
        <w:t xml:space="preserve">between lenvatinib/everolimus and axitinib </w:t>
      </w:r>
      <w:r w:rsidR="0078485D" w:rsidRPr="00E44601">
        <w:t xml:space="preserve">using those data. </w:t>
      </w:r>
    </w:p>
    <w:p w:rsidR="00E44601" w:rsidRPr="00B17639" w:rsidRDefault="00E44601" w:rsidP="00E44601">
      <w:pPr>
        <w:ind w:left="576"/>
        <w:jc w:val="both"/>
      </w:pPr>
    </w:p>
    <w:p w:rsidR="00C317F3" w:rsidRPr="00493936" w:rsidRDefault="00C317F3" w:rsidP="00772501">
      <w:pPr>
        <w:pStyle w:val="Heading2"/>
      </w:pPr>
      <w:bookmarkStart w:id="22" w:name="_Toc413139278"/>
      <w:bookmarkStart w:id="23" w:name="_Toc493002687"/>
      <w:r w:rsidRPr="00493936">
        <w:t>Comparative effectiveness</w:t>
      </w:r>
      <w:bookmarkEnd w:id="22"/>
      <w:bookmarkEnd w:id="23"/>
      <w:r w:rsidRPr="00493936">
        <w:t xml:space="preserve"> </w:t>
      </w:r>
    </w:p>
    <w:p w:rsidR="00C60EA1" w:rsidRPr="00B17639" w:rsidRDefault="00497FB5" w:rsidP="00E44601">
      <w:pPr>
        <w:numPr>
          <w:ilvl w:val="1"/>
          <w:numId w:val="1"/>
        </w:numPr>
        <w:jc w:val="both"/>
      </w:pPr>
      <w:r>
        <w:t>Th</w:t>
      </w:r>
      <w:r w:rsidR="00B427E0" w:rsidRPr="00B17639">
        <w:t>e key outcomes of</w:t>
      </w:r>
      <w:r w:rsidR="00C60EA1" w:rsidRPr="00B17639">
        <w:t xml:space="preserve"> PFS and </w:t>
      </w:r>
      <w:r w:rsidR="00B427E0" w:rsidRPr="00B17639">
        <w:t>OS from Study 205</w:t>
      </w:r>
      <w:r>
        <w:t>,</w:t>
      </w:r>
      <w:r w:rsidR="00B427E0" w:rsidRPr="00B17639">
        <w:t xml:space="preserve"> CheckMate 025 </w:t>
      </w:r>
      <w:r>
        <w:t xml:space="preserve">and AXIS </w:t>
      </w:r>
      <w:r w:rsidR="00B427E0" w:rsidRPr="00B17639">
        <w:t>are presente</w:t>
      </w:r>
      <w:r>
        <w:t>d in the following paragraphs.</w:t>
      </w:r>
      <w:r w:rsidR="00B427E0" w:rsidRPr="00B17639">
        <w:t xml:space="preserve"> The results of the indirect comparison </w:t>
      </w:r>
      <w:r>
        <w:t>of lenvatinib/everolimus with nivolum</w:t>
      </w:r>
      <w:r w:rsidR="009F3B2E">
        <w:t>a</w:t>
      </w:r>
      <w:r>
        <w:t xml:space="preserve">b </w:t>
      </w:r>
      <w:r w:rsidR="00B427E0" w:rsidRPr="00B17639">
        <w:t xml:space="preserve">between the interventions using the common comparator </w:t>
      </w:r>
      <w:r w:rsidR="00F65B65" w:rsidRPr="00B17639">
        <w:t xml:space="preserve">are </w:t>
      </w:r>
      <w:r w:rsidR="00B427E0" w:rsidRPr="00B17639">
        <w:t xml:space="preserve">presented in </w:t>
      </w:r>
      <w:r w:rsidR="00B427E0" w:rsidRPr="001D55A3">
        <w:t>6.</w:t>
      </w:r>
      <w:r w:rsidRPr="001D55A3">
        <w:t>2</w:t>
      </w:r>
      <w:r w:rsidR="00C5741F" w:rsidRPr="001D55A3">
        <w:t>4</w:t>
      </w:r>
      <w:r w:rsidR="00C60EA1" w:rsidRPr="00B17639">
        <w:t>.</w:t>
      </w:r>
      <w:r w:rsidRPr="00E44601">
        <w:t xml:space="preserve"> An indirect comparison with axitinib could not be formed due to the absence of a common reference.</w:t>
      </w:r>
    </w:p>
    <w:p w:rsidR="009E1A4B" w:rsidRPr="00B00EF0" w:rsidRDefault="00C60EA1" w:rsidP="00E44601">
      <w:pPr>
        <w:numPr>
          <w:ilvl w:val="1"/>
          <w:numId w:val="1"/>
        </w:numPr>
        <w:jc w:val="both"/>
      </w:pPr>
      <w:r w:rsidRPr="00B17639">
        <w:t xml:space="preserve">PFS data </w:t>
      </w:r>
      <w:r w:rsidR="00653360">
        <w:t>a</w:t>
      </w:r>
      <w:r w:rsidR="006B18B8" w:rsidRPr="00B17639">
        <w:t xml:space="preserve">re shown in Table </w:t>
      </w:r>
      <w:r w:rsidR="00952C15">
        <w:t>4</w:t>
      </w:r>
      <w:r w:rsidRPr="00B17639">
        <w:t xml:space="preserve">. </w:t>
      </w:r>
      <w:r w:rsidR="009E1A4B">
        <w:t xml:space="preserve">To address potential bias from the </w:t>
      </w:r>
      <w:r w:rsidR="00713ECA">
        <w:t>open</w:t>
      </w:r>
      <w:r w:rsidR="00981A61">
        <w:t>-</w:t>
      </w:r>
      <w:r w:rsidR="00713ECA">
        <w:t>label design</w:t>
      </w:r>
      <w:r w:rsidR="009E1A4B">
        <w:t xml:space="preserve"> of Study 205, a</w:t>
      </w:r>
      <w:r w:rsidRPr="00B17639">
        <w:t xml:space="preserve">t the request of regulatory agencies, a separate analysis of PFS was undertaken by blinded independent radiologic review, and these data are also shown. </w:t>
      </w:r>
      <w:r w:rsidR="000578A2">
        <w:t>The PBAC noted t</w:t>
      </w:r>
      <w:r w:rsidRPr="00B17639">
        <w:t xml:space="preserve">his review showed a reduction in the duration of PFS reported for lenvatinib/everolimus over what had been reported in the primary analysis. </w:t>
      </w:r>
      <w:r w:rsidR="008F103A" w:rsidRPr="00B17639">
        <w:t>The</w:t>
      </w:r>
      <w:r w:rsidRPr="00B17639">
        <w:t xml:space="preserve"> difference in PFS for lenvatinib/everolimus combination compared with everolimus monotherapy</w:t>
      </w:r>
      <w:r w:rsidR="008F103A" w:rsidRPr="00B17639">
        <w:t xml:space="preserve"> was statistically significant</w:t>
      </w:r>
      <w:r w:rsidRPr="00B17639">
        <w:t xml:space="preserve">, whereas the difference in PFS for nivolumab compared with everolimus monotherapy was not </w:t>
      </w:r>
      <w:r w:rsidR="008F103A" w:rsidRPr="00B17639">
        <w:t xml:space="preserve">statistically </w:t>
      </w:r>
      <w:r w:rsidRPr="00B17639">
        <w:t>significant.</w:t>
      </w:r>
      <w:r w:rsidR="003002E6">
        <w:t xml:space="preserve"> </w:t>
      </w:r>
      <w:r w:rsidR="003002E6" w:rsidRPr="00E44601">
        <w:t>The</w:t>
      </w:r>
      <w:r w:rsidR="007B6C68">
        <w:t xml:space="preserve"> PBAC</w:t>
      </w:r>
      <w:r w:rsidR="003002E6" w:rsidRPr="00E44601">
        <w:t xml:space="preserve"> </w:t>
      </w:r>
      <w:r w:rsidR="007B6C68">
        <w:t>noted</w:t>
      </w:r>
      <w:r w:rsidR="003002E6" w:rsidRPr="00E44601">
        <w:t xml:space="preserve"> that the use of RECIST based assessment of progression is known to underestimate the extent of benefit with respect to the use of immunotherapies. Accordingly, the </w:t>
      </w:r>
      <w:r w:rsidR="007B6C68">
        <w:t>PBAC considered</w:t>
      </w:r>
      <w:r w:rsidR="003002E6" w:rsidRPr="00E44601">
        <w:t xml:space="preserve"> that a comparison of RECIST based PFS from Study 205 with that from CheckMate 025 was biased in favour of lenvatinib/everolimus and was not a reasonable basis for the assessment of comparative benefit. </w:t>
      </w:r>
      <w:r w:rsidR="00653360" w:rsidRPr="00E44601">
        <w:t xml:space="preserve">While the results for AXIS indicate axitinib achieved superior PFS when compared with sorafenib, </w:t>
      </w:r>
      <w:r w:rsidR="006913E7" w:rsidRPr="00E44601">
        <w:t xml:space="preserve">the </w:t>
      </w:r>
      <w:r w:rsidR="007B6C68">
        <w:t xml:space="preserve">PBAC considered the </w:t>
      </w:r>
      <w:r w:rsidR="006913E7" w:rsidRPr="00E44601">
        <w:t xml:space="preserve">absence of a common </w:t>
      </w:r>
      <w:r w:rsidR="00653360" w:rsidRPr="00E44601">
        <w:t xml:space="preserve">comparator means </w:t>
      </w:r>
      <w:r w:rsidR="006913E7" w:rsidRPr="00E44601">
        <w:t xml:space="preserve">it is difficult to draw </w:t>
      </w:r>
      <w:r w:rsidR="00653360" w:rsidRPr="00E44601">
        <w:t xml:space="preserve">any </w:t>
      </w:r>
      <w:r w:rsidR="009E1A4B" w:rsidRPr="00E44601">
        <w:t xml:space="preserve">conclusions </w:t>
      </w:r>
      <w:r w:rsidR="006913E7" w:rsidRPr="00E44601">
        <w:t>from</w:t>
      </w:r>
      <w:r w:rsidR="009E1A4B" w:rsidRPr="00E44601">
        <w:t xml:space="preserve"> th</w:t>
      </w:r>
      <w:r w:rsidR="00653360" w:rsidRPr="00E44601">
        <w:t xml:space="preserve">is result for the </w:t>
      </w:r>
      <w:r w:rsidR="009E1A4B" w:rsidRPr="00E44601">
        <w:t xml:space="preserve">comparison </w:t>
      </w:r>
      <w:r w:rsidR="00653360" w:rsidRPr="00E44601">
        <w:t>of axitinib with</w:t>
      </w:r>
      <w:r w:rsidR="009E1A4B" w:rsidRPr="00E44601">
        <w:t xml:space="preserve"> lenvatinib/everolimus.</w:t>
      </w:r>
    </w:p>
    <w:p w:rsidR="003002E6" w:rsidRPr="00B17639" w:rsidRDefault="003002E6" w:rsidP="00B00EF0">
      <w:pPr>
        <w:spacing w:before="0" w:after="0"/>
        <w:contextualSpacing/>
        <w:jc w:val="both"/>
      </w:pPr>
    </w:p>
    <w:p w:rsidR="00C60EA1" w:rsidRPr="00B17639" w:rsidRDefault="00C60EA1" w:rsidP="00C60EA1">
      <w:pPr>
        <w:keepNext/>
        <w:spacing w:after="40"/>
        <w:rPr>
          <w:b/>
          <w:iCs/>
          <w:sz w:val="20"/>
          <w:szCs w:val="18"/>
        </w:rPr>
      </w:pPr>
      <w:r w:rsidRPr="00B17639">
        <w:rPr>
          <w:b/>
          <w:iCs/>
          <w:sz w:val="20"/>
          <w:szCs w:val="18"/>
        </w:rPr>
        <w:lastRenderedPageBreak/>
        <w:t xml:space="preserve">Table </w:t>
      </w:r>
      <w:r w:rsidR="00952C15">
        <w:rPr>
          <w:b/>
          <w:iCs/>
          <w:sz w:val="20"/>
          <w:szCs w:val="18"/>
        </w:rPr>
        <w:t>4</w:t>
      </w:r>
      <w:r w:rsidRPr="00B17639">
        <w:rPr>
          <w:b/>
          <w:iCs/>
          <w:sz w:val="20"/>
          <w:szCs w:val="18"/>
        </w:rPr>
        <w:t>: Results of progression-free survival across trials</w:t>
      </w:r>
    </w:p>
    <w:tbl>
      <w:tblPr>
        <w:tblStyle w:val="TableGrid"/>
        <w:tblW w:w="4966" w:type="pct"/>
        <w:tblLayout w:type="fixed"/>
        <w:tblLook w:val="04A0" w:firstRow="1" w:lastRow="0" w:firstColumn="1" w:lastColumn="0" w:noHBand="0" w:noVBand="1"/>
        <w:tblCaption w:val="Table 4: Results of progression-free survival across trials"/>
      </w:tblPr>
      <w:tblGrid>
        <w:gridCol w:w="1117"/>
        <w:gridCol w:w="1265"/>
        <w:gridCol w:w="1415"/>
        <w:gridCol w:w="1212"/>
        <w:gridCol w:w="1212"/>
        <w:gridCol w:w="1116"/>
        <w:gridCol w:w="808"/>
        <w:gridCol w:w="1034"/>
      </w:tblGrid>
      <w:tr w:rsidR="007252C3" w:rsidRPr="00B17639" w:rsidTr="002119FA">
        <w:trPr>
          <w:cnfStyle w:val="100000000000" w:firstRow="1" w:lastRow="0" w:firstColumn="0" w:lastColumn="0" w:oddVBand="0" w:evenVBand="0" w:oddHBand="0" w:evenHBand="0" w:firstRowFirstColumn="0" w:firstRowLastColumn="0" w:lastRowFirstColumn="0" w:lastRowLastColumn="0"/>
          <w:tblHeader/>
        </w:trPr>
        <w:tc>
          <w:tcPr>
            <w:tcW w:w="608" w:type="pct"/>
            <w:vMerge w:val="restart"/>
            <w:tcBorders>
              <w:top w:val="single" w:sz="4" w:space="0" w:color="auto"/>
              <w:left w:val="single" w:sz="4" w:space="0" w:color="auto"/>
              <w:right w:val="single" w:sz="4" w:space="0" w:color="auto"/>
            </w:tcBorders>
            <w:shd w:val="clear" w:color="auto" w:fill="auto"/>
            <w:vAlign w:val="center"/>
          </w:tcPr>
          <w:p w:rsidR="007252C3" w:rsidRPr="00B17639" w:rsidRDefault="007252C3" w:rsidP="007252C3">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Trial ID</w:t>
            </w:r>
          </w:p>
        </w:tc>
        <w:tc>
          <w:tcPr>
            <w:tcW w:w="1460" w:type="pct"/>
            <w:gridSpan w:val="2"/>
            <w:tcBorders>
              <w:top w:val="single" w:sz="4" w:space="0" w:color="auto"/>
              <w:left w:val="single" w:sz="4" w:space="0" w:color="auto"/>
              <w:bottom w:val="single" w:sz="4" w:space="0" w:color="auto"/>
              <w:right w:val="single" w:sz="4" w:space="0" w:color="auto"/>
            </w:tcBorders>
            <w:shd w:val="clear" w:color="auto" w:fill="auto"/>
          </w:tcPr>
          <w:p w:rsidR="007252C3" w:rsidRPr="00B17639" w:rsidRDefault="007252C3" w:rsidP="007252C3">
            <w:pPr>
              <w:keepNext/>
              <w:spacing w:before="60" w:after="60"/>
              <w:jc w:val="center"/>
              <w:rPr>
                <w:rFonts w:ascii="Arial Narrow" w:eastAsia="Calibri" w:hAnsi="Arial Narrow" w:cs="Times New Roman"/>
                <w:sz w:val="20"/>
                <w:szCs w:val="20"/>
                <w:vertAlign w:val="superscript"/>
                <w:lang w:eastAsia="en-AU"/>
              </w:rPr>
            </w:pPr>
            <w:r w:rsidRPr="00B17639">
              <w:rPr>
                <w:rFonts w:ascii="Arial Narrow" w:eastAsia="Calibri" w:hAnsi="Arial Narrow" w:cs="Times New Roman"/>
                <w:sz w:val="20"/>
                <w:szCs w:val="20"/>
                <w:lang w:eastAsia="en-AU"/>
              </w:rPr>
              <w:t xml:space="preserve">Intervention </w:t>
            </w:r>
            <w:r w:rsidRPr="00B17639">
              <w:rPr>
                <w:rFonts w:ascii="Arial Narrow" w:eastAsia="Calibri" w:hAnsi="Arial Narrow" w:cs="Times New Roman"/>
                <w:sz w:val="20"/>
                <w:szCs w:val="20"/>
                <w:vertAlign w:val="superscript"/>
                <w:lang w:eastAsia="en-AU"/>
              </w:rPr>
              <w:t>a</w:t>
            </w:r>
          </w:p>
        </w:tc>
        <w:tc>
          <w:tcPr>
            <w:tcW w:w="1320" w:type="pct"/>
            <w:gridSpan w:val="2"/>
            <w:tcBorders>
              <w:top w:val="single" w:sz="4" w:space="0" w:color="auto"/>
              <w:left w:val="single" w:sz="4" w:space="0" w:color="auto"/>
              <w:bottom w:val="single" w:sz="4" w:space="0" w:color="auto"/>
              <w:right w:val="single" w:sz="4" w:space="0" w:color="auto"/>
            </w:tcBorders>
            <w:shd w:val="clear" w:color="auto" w:fill="auto"/>
          </w:tcPr>
          <w:p w:rsidR="007252C3" w:rsidRPr="00B17639" w:rsidRDefault="009E1A4B" w:rsidP="007252C3">
            <w:pPr>
              <w:keepNext/>
              <w:spacing w:before="60" w:after="60"/>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Comparator</w:t>
            </w:r>
            <w:r w:rsidR="00B36C93">
              <w:rPr>
                <w:rFonts w:ascii="Arial Narrow" w:eastAsia="Calibri" w:hAnsi="Arial Narrow" w:cs="Times New Roman"/>
                <w:sz w:val="20"/>
                <w:szCs w:val="20"/>
                <w:lang w:eastAsia="en-AU"/>
              </w:rPr>
              <w:t xml:space="preserve"> </w:t>
            </w:r>
            <w:r w:rsidR="00B36C93" w:rsidRPr="00B00EF0">
              <w:rPr>
                <w:rFonts w:ascii="Arial Narrow" w:eastAsia="Calibri" w:hAnsi="Arial Narrow" w:cs="Times New Roman"/>
                <w:sz w:val="20"/>
                <w:szCs w:val="20"/>
                <w:vertAlign w:val="superscript"/>
                <w:lang w:eastAsia="en-AU"/>
              </w:rPr>
              <w:t>b</w:t>
            </w:r>
          </w:p>
        </w:tc>
        <w:tc>
          <w:tcPr>
            <w:tcW w:w="608" w:type="pct"/>
            <w:vMerge w:val="restart"/>
            <w:tcBorders>
              <w:top w:val="single" w:sz="4" w:space="0" w:color="auto"/>
              <w:left w:val="single" w:sz="4" w:space="0" w:color="auto"/>
              <w:right w:val="single" w:sz="4" w:space="0" w:color="auto"/>
            </w:tcBorders>
            <w:shd w:val="clear" w:color="auto" w:fill="auto"/>
            <w:vAlign w:val="center"/>
          </w:tcPr>
          <w:p w:rsidR="007252C3" w:rsidRPr="00B17639" w:rsidRDefault="007252C3" w:rsidP="007252C3">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Difference in Median, months</w:t>
            </w:r>
          </w:p>
        </w:tc>
        <w:tc>
          <w:tcPr>
            <w:tcW w:w="440" w:type="pct"/>
            <w:vMerge w:val="restart"/>
            <w:tcBorders>
              <w:top w:val="single" w:sz="4" w:space="0" w:color="auto"/>
              <w:left w:val="single" w:sz="4" w:space="0" w:color="auto"/>
              <w:right w:val="single" w:sz="4" w:space="0" w:color="auto"/>
            </w:tcBorders>
            <w:shd w:val="clear" w:color="auto" w:fill="auto"/>
            <w:vAlign w:val="center"/>
          </w:tcPr>
          <w:p w:rsidR="007252C3" w:rsidRPr="00B17639" w:rsidRDefault="007252C3" w:rsidP="007252C3">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P-value</w:t>
            </w:r>
          </w:p>
        </w:tc>
        <w:tc>
          <w:tcPr>
            <w:tcW w:w="563" w:type="pct"/>
            <w:vMerge w:val="restart"/>
            <w:tcBorders>
              <w:top w:val="single" w:sz="4" w:space="0" w:color="auto"/>
              <w:left w:val="single" w:sz="4" w:space="0" w:color="auto"/>
              <w:right w:val="single" w:sz="4" w:space="0" w:color="auto"/>
            </w:tcBorders>
            <w:shd w:val="clear" w:color="auto" w:fill="auto"/>
            <w:vAlign w:val="center"/>
          </w:tcPr>
          <w:p w:rsidR="007252C3" w:rsidRPr="00B17639" w:rsidRDefault="007252C3" w:rsidP="007252C3">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 xml:space="preserve">HR </w:t>
            </w:r>
          </w:p>
          <w:p w:rsidR="007252C3" w:rsidRPr="00B17639" w:rsidDel="0097367B" w:rsidRDefault="007252C3" w:rsidP="007252C3">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(95% CI)</w:t>
            </w:r>
          </w:p>
        </w:tc>
      </w:tr>
      <w:tr w:rsidR="007252C3" w:rsidRPr="00B17639" w:rsidTr="002119FA">
        <w:trPr>
          <w:cnfStyle w:val="100000000000" w:firstRow="1" w:lastRow="0" w:firstColumn="0" w:lastColumn="0" w:oddVBand="0" w:evenVBand="0" w:oddHBand="0" w:evenHBand="0" w:firstRowFirstColumn="0" w:firstRowLastColumn="0" w:lastRowFirstColumn="0" w:lastRowLastColumn="0"/>
          <w:tblHeader/>
        </w:trPr>
        <w:tc>
          <w:tcPr>
            <w:tcW w:w="608" w:type="pct"/>
            <w:vMerge/>
            <w:tcBorders>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n/N with event (%)</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Median</w:t>
            </w:r>
            <w:r w:rsidR="00F67989" w:rsidRPr="00B17639">
              <w:rPr>
                <w:rFonts w:ascii="Arial Narrow" w:eastAsia="Calibri" w:hAnsi="Arial Narrow" w:cs="Times New Roman"/>
                <w:sz w:val="20"/>
                <w:szCs w:val="20"/>
                <w:lang w:eastAsia="en-AU"/>
              </w:rPr>
              <w:t xml:space="preserve">, months </w:t>
            </w:r>
            <w:r w:rsidRPr="00B17639">
              <w:rPr>
                <w:rFonts w:ascii="Arial Narrow" w:eastAsia="Calibri" w:hAnsi="Arial Narrow" w:cs="Times New Roman"/>
                <w:sz w:val="20"/>
                <w:szCs w:val="20"/>
                <w:lang w:eastAsia="en-AU"/>
              </w:rPr>
              <w:t>(95% CI)</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n/N with event (%)</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Median</w:t>
            </w:r>
            <w:r w:rsidR="00F67989" w:rsidRPr="00B17639">
              <w:rPr>
                <w:rFonts w:ascii="Arial Narrow" w:eastAsia="Calibri" w:hAnsi="Arial Narrow" w:cs="Times New Roman"/>
                <w:sz w:val="20"/>
                <w:szCs w:val="20"/>
                <w:lang w:eastAsia="en-AU"/>
              </w:rPr>
              <w:t xml:space="preserve">, months </w:t>
            </w:r>
            <w:r w:rsidRPr="00B17639">
              <w:rPr>
                <w:rFonts w:ascii="Arial Narrow" w:eastAsia="Calibri" w:hAnsi="Arial Narrow" w:cs="Times New Roman"/>
                <w:sz w:val="20"/>
                <w:szCs w:val="20"/>
                <w:lang w:eastAsia="en-AU"/>
              </w:rPr>
              <w:t>(95% CI)</w:t>
            </w:r>
          </w:p>
        </w:tc>
        <w:tc>
          <w:tcPr>
            <w:tcW w:w="608" w:type="pct"/>
            <w:vMerge/>
            <w:tcBorders>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p>
        </w:tc>
        <w:tc>
          <w:tcPr>
            <w:tcW w:w="440" w:type="pct"/>
            <w:vMerge/>
            <w:tcBorders>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p>
        </w:tc>
        <w:tc>
          <w:tcPr>
            <w:tcW w:w="563" w:type="pct"/>
            <w:vMerge/>
            <w:tcBorders>
              <w:left w:val="single" w:sz="4" w:space="0" w:color="auto"/>
              <w:bottom w:val="single" w:sz="4" w:space="0" w:color="auto"/>
              <w:right w:val="single" w:sz="4" w:space="0" w:color="auto"/>
            </w:tcBorders>
            <w:shd w:val="clear" w:color="auto" w:fill="auto"/>
          </w:tcPr>
          <w:p w:rsidR="007252C3" w:rsidRPr="00B17639" w:rsidRDefault="007252C3" w:rsidP="00A7717D">
            <w:pPr>
              <w:keepNext/>
              <w:spacing w:before="60" w:after="60"/>
              <w:rPr>
                <w:rFonts w:ascii="Arial Narrow" w:eastAsia="Calibri" w:hAnsi="Arial Narrow" w:cs="Times New Roman"/>
                <w:sz w:val="20"/>
                <w:szCs w:val="20"/>
                <w:lang w:eastAsia="en-AU"/>
              </w:rPr>
            </w:pPr>
          </w:p>
        </w:tc>
      </w:tr>
      <w:tr w:rsidR="0097367B" w:rsidRPr="00B17639" w:rsidTr="002119FA">
        <w:tc>
          <w:tcPr>
            <w:tcW w:w="608"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lang w:eastAsia="en-AU"/>
              </w:rPr>
            </w:pPr>
            <w:r w:rsidRPr="00B17639">
              <w:rPr>
                <w:rFonts w:ascii="Arial Narrow" w:eastAsia="Times New Roman" w:hAnsi="Arial Narrow" w:cs="Times New Roman"/>
                <w:sz w:val="20"/>
                <w:szCs w:val="20"/>
                <w:lang w:eastAsia="en-AU"/>
              </w:rPr>
              <w:t>Study 205 (investigator assessed)</w:t>
            </w:r>
          </w:p>
        </w:tc>
        <w:tc>
          <w:tcPr>
            <w:tcW w:w="689"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26/51 (51%)</w:t>
            </w:r>
          </w:p>
        </w:tc>
        <w:tc>
          <w:tcPr>
            <w:tcW w:w="771"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14.6 (5.9, 20.1)</w:t>
            </w:r>
          </w:p>
        </w:tc>
        <w:tc>
          <w:tcPr>
            <w:tcW w:w="66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37/50 (74%)</w:t>
            </w:r>
          </w:p>
        </w:tc>
        <w:tc>
          <w:tcPr>
            <w:tcW w:w="66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5.5 (3.5, 7.1)</w:t>
            </w:r>
          </w:p>
        </w:tc>
        <w:tc>
          <w:tcPr>
            <w:tcW w:w="608"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9.1</w:t>
            </w:r>
          </w:p>
        </w:tc>
        <w:tc>
          <w:tcPr>
            <w:tcW w:w="44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0.0005</w:t>
            </w:r>
          </w:p>
        </w:tc>
        <w:tc>
          <w:tcPr>
            <w:tcW w:w="563"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0.40 (0.24, 0.68)</w:t>
            </w:r>
          </w:p>
        </w:tc>
      </w:tr>
      <w:tr w:rsidR="0097367B" w:rsidRPr="00B17639" w:rsidTr="002119FA">
        <w:tc>
          <w:tcPr>
            <w:tcW w:w="608"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18"/>
                <w:szCs w:val="20"/>
                <w:lang w:eastAsia="en-AU"/>
              </w:rPr>
            </w:pPr>
            <w:r w:rsidRPr="00B17639">
              <w:rPr>
                <w:rFonts w:ascii="Arial Narrow" w:eastAsia="Times New Roman" w:hAnsi="Arial Narrow" w:cs="Times New Roman"/>
                <w:sz w:val="20"/>
                <w:szCs w:val="20"/>
                <w:lang w:eastAsia="en-AU"/>
              </w:rPr>
              <w:t>Study 205: BIRR assessed</w:t>
            </w:r>
          </w:p>
        </w:tc>
        <w:tc>
          <w:tcPr>
            <w:tcW w:w="689"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24/51 (47%)</w:t>
            </w:r>
          </w:p>
        </w:tc>
        <w:tc>
          <w:tcPr>
            <w:tcW w:w="771"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12.8 (7.4, 17.5)</w:t>
            </w:r>
          </w:p>
        </w:tc>
        <w:tc>
          <w:tcPr>
            <w:tcW w:w="660" w:type="pct"/>
            <w:tcBorders>
              <w:top w:val="single" w:sz="4" w:space="0" w:color="auto"/>
              <w:left w:val="single" w:sz="4" w:space="0" w:color="auto"/>
              <w:bottom w:val="single" w:sz="4" w:space="0" w:color="auto"/>
              <w:right w:val="single" w:sz="4" w:space="0" w:color="auto"/>
            </w:tcBorders>
          </w:tcPr>
          <w:p w:rsidR="00C60EA1" w:rsidRPr="00B17639" w:rsidRDefault="00C60EA1" w:rsidP="00B36C93">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29/</w:t>
            </w:r>
            <w:r w:rsidR="00B36C93" w:rsidRPr="00B17639">
              <w:rPr>
                <w:rFonts w:ascii="Arial Narrow" w:eastAsia="Times New Roman" w:hAnsi="Arial Narrow" w:cs="Times New Roman"/>
                <w:sz w:val="20"/>
                <w:szCs w:val="20"/>
                <w:lang w:eastAsia="en-AU"/>
              </w:rPr>
              <w:t>50</w:t>
            </w:r>
            <w:r w:rsidR="00B36C93">
              <w:rPr>
                <w:rFonts w:ascii="Arial Narrow" w:eastAsia="Times New Roman" w:hAnsi="Arial Narrow" w:cs="Times New Roman"/>
                <w:sz w:val="20"/>
                <w:szCs w:val="20"/>
                <w:vertAlign w:val="superscript"/>
                <w:lang w:eastAsia="en-AU"/>
              </w:rPr>
              <w:t>c</w:t>
            </w:r>
            <w:r w:rsidR="00B36C93" w:rsidRPr="00B17639">
              <w:rPr>
                <w:rFonts w:ascii="Arial Narrow" w:eastAsia="Times New Roman" w:hAnsi="Arial Narrow" w:cs="Times New Roman"/>
                <w:sz w:val="20"/>
                <w:szCs w:val="20"/>
                <w:lang w:eastAsia="en-AU"/>
              </w:rPr>
              <w:t xml:space="preserve"> </w:t>
            </w:r>
            <w:r w:rsidRPr="00B17639">
              <w:rPr>
                <w:rFonts w:ascii="Arial Narrow" w:eastAsia="Times New Roman" w:hAnsi="Arial Narrow" w:cs="Times New Roman"/>
                <w:sz w:val="20"/>
                <w:szCs w:val="20"/>
                <w:lang w:eastAsia="en-AU"/>
              </w:rPr>
              <w:t>(58%)</w:t>
            </w:r>
          </w:p>
        </w:tc>
        <w:tc>
          <w:tcPr>
            <w:tcW w:w="66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5.5 (3.6, 9.3)</w:t>
            </w:r>
          </w:p>
        </w:tc>
        <w:tc>
          <w:tcPr>
            <w:tcW w:w="608"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7.3</w:t>
            </w:r>
          </w:p>
        </w:tc>
        <w:tc>
          <w:tcPr>
            <w:tcW w:w="44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0.0029</w:t>
            </w:r>
          </w:p>
        </w:tc>
        <w:tc>
          <w:tcPr>
            <w:tcW w:w="563"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0.45 (0.27, 0.79)</w:t>
            </w:r>
          </w:p>
        </w:tc>
      </w:tr>
      <w:tr w:rsidR="0097367B" w:rsidRPr="00B17639" w:rsidTr="002119FA">
        <w:tc>
          <w:tcPr>
            <w:tcW w:w="608"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CheckMate 025</w:t>
            </w:r>
          </w:p>
        </w:tc>
        <w:tc>
          <w:tcPr>
            <w:tcW w:w="689"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318/410 (78%)</w:t>
            </w:r>
          </w:p>
        </w:tc>
        <w:tc>
          <w:tcPr>
            <w:tcW w:w="771"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4.6 (3.7, 5.4)</w:t>
            </w:r>
          </w:p>
        </w:tc>
        <w:tc>
          <w:tcPr>
            <w:tcW w:w="66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322/411 (78%)</w:t>
            </w:r>
          </w:p>
        </w:tc>
        <w:tc>
          <w:tcPr>
            <w:tcW w:w="66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4.4 (3.7, 5.5)</w:t>
            </w:r>
          </w:p>
        </w:tc>
        <w:tc>
          <w:tcPr>
            <w:tcW w:w="608"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0.2</w:t>
            </w:r>
          </w:p>
        </w:tc>
        <w:tc>
          <w:tcPr>
            <w:tcW w:w="440"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0.11</w:t>
            </w:r>
          </w:p>
        </w:tc>
        <w:tc>
          <w:tcPr>
            <w:tcW w:w="563" w:type="pct"/>
            <w:tcBorders>
              <w:top w:val="single" w:sz="4" w:space="0" w:color="auto"/>
              <w:left w:val="single" w:sz="4" w:space="0" w:color="auto"/>
              <w:bottom w:val="single" w:sz="4" w:space="0" w:color="auto"/>
              <w:right w:val="single" w:sz="4" w:space="0" w:color="auto"/>
            </w:tcBorders>
          </w:tcPr>
          <w:p w:rsidR="00C60EA1" w:rsidRPr="00B17639" w:rsidRDefault="00C60EA1" w:rsidP="00A7717D">
            <w:pPr>
              <w:keepNext/>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0.88 (0.75, 1.03)</w:t>
            </w:r>
          </w:p>
        </w:tc>
      </w:tr>
      <w:tr w:rsidR="003002E6" w:rsidRPr="000D7C4C" w:rsidTr="002119FA">
        <w:tc>
          <w:tcPr>
            <w:tcW w:w="608"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AXIS</w:t>
            </w:r>
          </w:p>
        </w:tc>
        <w:tc>
          <w:tcPr>
            <w:tcW w:w="689"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NR</w:t>
            </w:r>
          </w:p>
        </w:tc>
        <w:tc>
          <w:tcPr>
            <w:tcW w:w="771"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8.3 (6.7, 9.2)</w:t>
            </w:r>
          </w:p>
        </w:tc>
        <w:tc>
          <w:tcPr>
            <w:tcW w:w="660"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NR</w:t>
            </w:r>
          </w:p>
        </w:tc>
        <w:tc>
          <w:tcPr>
            <w:tcW w:w="660"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5.7 (4.7, 6.5)</w:t>
            </w:r>
          </w:p>
        </w:tc>
        <w:tc>
          <w:tcPr>
            <w:tcW w:w="608"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2.6</w:t>
            </w:r>
          </w:p>
        </w:tc>
        <w:tc>
          <w:tcPr>
            <w:tcW w:w="440"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&lt;0.0001</w:t>
            </w:r>
          </w:p>
        </w:tc>
        <w:tc>
          <w:tcPr>
            <w:tcW w:w="563" w:type="pct"/>
            <w:tcBorders>
              <w:top w:val="single" w:sz="4" w:space="0" w:color="auto"/>
              <w:left w:val="single" w:sz="4" w:space="0" w:color="auto"/>
              <w:bottom w:val="single" w:sz="4" w:space="0" w:color="auto"/>
              <w:right w:val="single" w:sz="4" w:space="0" w:color="auto"/>
            </w:tcBorders>
          </w:tcPr>
          <w:p w:rsidR="003002E6" w:rsidRPr="000D7C4C" w:rsidRDefault="003002E6" w:rsidP="00A7717D">
            <w:pPr>
              <w:keepNext/>
              <w:spacing w:before="0" w:after="160"/>
              <w:rPr>
                <w:rFonts w:ascii="Arial Narrow" w:eastAsia="Times New Roman" w:hAnsi="Arial Narrow" w:cs="Times New Roman"/>
                <w:sz w:val="20"/>
                <w:szCs w:val="20"/>
                <w:lang w:eastAsia="en-AU"/>
              </w:rPr>
            </w:pPr>
            <w:r w:rsidRPr="000D7C4C">
              <w:rPr>
                <w:rFonts w:ascii="Arial Narrow" w:hAnsi="Arial Narrow"/>
                <w:sz w:val="20"/>
                <w:szCs w:val="20"/>
              </w:rPr>
              <w:t>0.67 (0.55, 0.78)</w:t>
            </w:r>
          </w:p>
        </w:tc>
      </w:tr>
    </w:tbl>
    <w:p w:rsidR="00C60EA1" w:rsidRPr="00B17639" w:rsidRDefault="00C60EA1" w:rsidP="00C60EA1">
      <w:pPr>
        <w:spacing w:before="0" w:after="0"/>
        <w:jc w:val="both"/>
        <w:rPr>
          <w:rFonts w:ascii="Arial Narrow" w:eastAsia="Calibri" w:hAnsi="Arial Narrow" w:cs="Times New Roman"/>
          <w:sz w:val="18"/>
          <w:szCs w:val="18"/>
        </w:rPr>
      </w:pPr>
      <w:r w:rsidRPr="00B17639">
        <w:rPr>
          <w:rFonts w:ascii="Arial Narrow" w:eastAsia="Calibri" w:hAnsi="Arial Narrow" w:cs="Times New Roman"/>
          <w:sz w:val="18"/>
          <w:szCs w:val="18"/>
        </w:rPr>
        <w:t>Source: Table 2-22 and table 2-23, pages 74-75 of submission</w:t>
      </w:r>
      <w:r w:rsidR="003002E6">
        <w:rPr>
          <w:rFonts w:ascii="Arial Narrow" w:eastAsia="Calibri" w:hAnsi="Arial Narrow" w:cs="Times New Roman"/>
          <w:sz w:val="18"/>
          <w:szCs w:val="18"/>
        </w:rPr>
        <w:t>;</w:t>
      </w:r>
      <w:r w:rsidR="003002E6" w:rsidRPr="003002E6">
        <w:rPr>
          <w:rFonts w:ascii="Arial Narrow" w:eastAsia="Calibri" w:hAnsi="Arial Narrow" w:cs="Times New Roman"/>
          <w:sz w:val="18"/>
          <w:szCs w:val="18"/>
        </w:rPr>
        <w:t xml:space="preserve"> Table 10, Appendix 1 of the </w:t>
      </w:r>
      <w:r w:rsidR="00B35CAE" w:rsidRPr="003002E6">
        <w:rPr>
          <w:rFonts w:ascii="Arial Narrow" w:eastAsia="Calibri" w:hAnsi="Arial Narrow" w:cs="Times New Roman"/>
          <w:sz w:val="18"/>
          <w:szCs w:val="18"/>
        </w:rPr>
        <w:t>Submission.</w:t>
      </w:r>
    </w:p>
    <w:p w:rsidR="00C60EA1" w:rsidRPr="00B17639" w:rsidRDefault="00C60EA1" w:rsidP="005277B4">
      <w:pPr>
        <w:pStyle w:val="TableFooter"/>
        <w:rPr>
          <w:rFonts w:eastAsia="Calibri"/>
        </w:rPr>
      </w:pPr>
      <w:r w:rsidRPr="00B17639">
        <w:rPr>
          <w:rFonts w:eastAsia="Calibri"/>
        </w:rPr>
        <w:t>Notes: Study 205: Data cut=13</w:t>
      </w:r>
      <w:r w:rsidRPr="00B17639">
        <w:rPr>
          <w:rFonts w:eastAsia="Calibri"/>
          <w:vertAlign w:val="superscript"/>
        </w:rPr>
        <w:t>th</w:t>
      </w:r>
      <w:r w:rsidRPr="00B17639">
        <w:rPr>
          <w:rFonts w:eastAsia="Calibri"/>
        </w:rPr>
        <w:t xml:space="preserve"> June 2014, Length of follow-up=18.5 months (median); CheckMate 025: Data cut=June 2015, Length of follow-up=14 months (minimum)</w:t>
      </w:r>
      <w:r w:rsidR="00385293">
        <w:rPr>
          <w:rFonts w:eastAsia="Calibri"/>
        </w:rPr>
        <w:t>.</w:t>
      </w:r>
    </w:p>
    <w:p w:rsidR="00B36C93" w:rsidRDefault="00B36C93" w:rsidP="00B36C93">
      <w:pPr>
        <w:pStyle w:val="TableFooter"/>
        <w:rPr>
          <w:rFonts w:eastAsia="Calibri"/>
        </w:rPr>
      </w:pPr>
      <w:r w:rsidRPr="00B17639">
        <w:rPr>
          <w:rFonts w:eastAsia="Calibri"/>
          <w:vertAlign w:val="superscript"/>
        </w:rPr>
        <w:t>a</w:t>
      </w:r>
      <w:r w:rsidRPr="00B17639">
        <w:rPr>
          <w:rFonts w:eastAsia="Calibri"/>
        </w:rPr>
        <w:t xml:space="preserve"> Intervention in Study 205 was lenvatinib/everolimus; intervention in CheckMate025 was nivolumab</w:t>
      </w:r>
      <w:r>
        <w:rPr>
          <w:rFonts w:eastAsia="Calibri"/>
        </w:rPr>
        <w:t>; intervention in AXIS was axitinib 5 mg b.d.</w:t>
      </w:r>
    </w:p>
    <w:p w:rsidR="00B36C93" w:rsidRDefault="00B36C93" w:rsidP="005277B4">
      <w:pPr>
        <w:pStyle w:val="TableFooter"/>
        <w:rPr>
          <w:rFonts w:eastAsia="Calibri"/>
        </w:rPr>
      </w:pPr>
      <w:r>
        <w:rPr>
          <w:rFonts w:eastAsia="Calibri"/>
          <w:vertAlign w:val="superscript"/>
        </w:rPr>
        <w:t>b</w:t>
      </w:r>
      <w:r>
        <w:rPr>
          <w:rFonts w:eastAsia="Calibri"/>
        </w:rPr>
        <w:t xml:space="preserve"> Comparator</w:t>
      </w:r>
      <w:r w:rsidRPr="00B17639">
        <w:rPr>
          <w:rFonts w:eastAsia="Calibri"/>
        </w:rPr>
        <w:t xml:space="preserve"> in Study 205 </w:t>
      </w:r>
      <w:r>
        <w:rPr>
          <w:rFonts w:eastAsia="Calibri"/>
        </w:rPr>
        <w:t xml:space="preserve">and </w:t>
      </w:r>
      <w:r w:rsidRPr="00B17639">
        <w:rPr>
          <w:rFonts w:eastAsia="Calibri"/>
        </w:rPr>
        <w:t xml:space="preserve">CheckMate025 was </w:t>
      </w:r>
      <w:r>
        <w:rPr>
          <w:rFonts w:eastAsia="Calibri"/>
        </w:rPr>
        <w:t>everolimus 10 mg; comparator in AXIS was sorafenib 400 mg b.d.</w:t>
      </w:r>
    </w:p>
    <w:p w:rsidR="00C60EA1" w:rsidRPr="00B17639" w:rsidRDefault="00B36C93" w:rsidP="005277B4">
      <w:pPr>
        <w:pStyle w:val="TableFooter"/>
      </w:pPr>
      <w:r>
        <w:rPr>
          <w:vertAlign w:val="superscript"/>
        </w:rPr>
        <w:t>c</w:t>
      </w:r>
      <w:r w:rsidR="00C60EA1" w:rsidRPr="00B17639">
        <w:t xml:space="preserve"> the submission had a typographical error in that this number (50) was written as 58.</w:t>
      </w:r>
    </w:p>
    <w:p w:rsidR="00C60EA1" w:rsidRPr="00B17639" w:rsidRDefault="00C60EA1" w:rsidP="005277B4">
      <w:pPr>
        <w:pStyle w:val="TableFooter"/>
        <w:rPr>
          <w:rFonts w:eastAsia="Calibri"/>
        </w:rPr>
      </w:pPr>
      <w:r w:rsidRPr="00B17639">
        <w:rPr>
          <w:rFonts w:eastAsia="Calibri"/>
        </w:rPr>
        <w:t>Abbreviations: CI, confidence interval; BIRR, blinded independent radiologist review</w:t>
      </w:r>
      <w:r w:rsidR="000C5DFE" w:rsidRPr="00B17639">
        <w:rPr>
          <w:rFonts w:eastAsia="Calibri"/>
        </w:rPr>
        <w:t>; HR, hazard ratio</w:t>
      </w:r>
      <w:r w:rsidR="005B0F37">
        <w:rPr>
          <w:rFonts w:eastAsia="Calibri"/>
        </w:rPr>
        <w:t>; NR, not reported</w:t>
      </w:r>
      <w:r w:rsidRPr="00B17639">
        <w:rPr>
          <w:rFonts w:eastAsia="Calibri"/>
        </w:rPr>
        <w:t>.</w:t>
      </w:r>
    </w:p>
    <w:p w:rsidR="00C60EA1" w:rsidRPr="00B17639" w:rsidRDefault="00C60EA1" w:rsidP="00E44601">
      <w:pPr>
        <w:numPr>
          <w:ilvl w:val="1"/>
          <w:numId w:val="1"/>
        </w:numPr>
        <w:jc w:val="both"/>
      </w:pPr>
      <w:r w:rsidRPr="00B17639">
        <w:t xml:space="preserve">PFS data from the later July 2015 cut-off in Study 205 were used in the economic analysis. These data indicated a </w:t>
      </w:r>
      <w:r w:rsidR="00750EF8" w:rsidRPr="00B17639">
        <w:t xml:space="preserve">numerically </w:t>
      </w:r>
      <w:r w:rsidRPr="00B17639">
        <w:t>less favourable PFS advantage with a HR of 0.5 (95% CI: 0.26, 0.79)</w:t>
      </w:r>
      <w:r w:rsidR="008F103A" w:rsidRPr="00B17639">
        <w:t>.</w:t>
      </w:r>
      <w:r w:rsidR="00750EF8" w:rsidRPr="00B17639">
        <w:t xml:space="preserve"> </w:t>
      </w:r>
      <w:r w:rsidR="008F103A" w:rsidRPr="00B17639">
        <w:t>M</w:t>
      </w:r>
      <w:r w:rsidRPr="00B17639">
        <w:t>edian PFS was not reported</w:t>
      </w:r>
      <w:r w:rsidR="008F103A" w:rsidRPr="00B17639">
        <w:t xml:space="preserve"> for this cut-off</w:t>
      </w:r>
      <w:r w:rsidRPr="00B17639">
        <w:t>.</w:t>
      </w:r>
    </w:p>
    <w:p w:rsidR="00C60EA1" w:rsidRPr="00B17639" w:rsidRDefault="00C60EA1" w:rsidP="00E44601">
      <w:pPr>
        <w:numPr>
          <w:ilvl w:val="1"/>
          <w:numId w:val="1"/>
        </w:numPr>
        <w:jc w:val="both"/>
      </w:pPr>
      <w:r w:rsidRPr="00B17639">
        <w:t xml:space="preserve">The </w:t>
      </w:r>
      <w:r w:rsidR="00C5741F">
        <w:t>Kaplan-Meier (</w:t>
      </w:r>
      <w:r w:rsidRPr="00B17639">
        <w:t>KM</w:t>
      </w:r>
      <w:r w:rsidR="00C5741F">
        <w:t>)</w:t>
      </w:r>
      <w:r w:rsidRPr="00B17639">
        <w:t xml:space="preserve"> plot of PFS in Study 205 (based on the earlier cut-off of June 2014) is shown in Figure 1.</w:t>
      </w:r>
    </w:p>
    <w:p w:rsidR="00C60EA1" w:rsidRPr="00B17639" w:rsidRDefault="00C60EA1" w:rsidP="00C60EA1">
      <w:pPr>
        <w:spacing w:before="0" w:after="0"/>
        <w:contextualSpacing/>
        <w:jc w:val="both"/>
      </w:pPr>
    </w:p>
    <w:p w:rsidR="00C60EA1" w:rsidRPr="00B17639" w:rsidRDefault="00C60EA1" w:rsidP="00426729">
      <w:pPr>
        <w:pStyle w:val="ListParagraph"/>
        <w:keepNext/>
        <w:ind w:hanging="720"/>
        <w:contextualSpacing/>
        <w:jc w:val="both"/>
        <w:rPr>
          <w:rFonts w:ascii="Arial Narrow" w:hAnsi="Arial Narrow"/>
          <w:b/>
          <w:sz w:val="20"/>
          <w:szCs w:val="20"/>
        </w:rPr>
      </w:pPr>
      <w:r w:rsidRPr="00B17639">
        <w:rPr>
          <w:rFonts w:ascii="Arial Narrow" w:hAnsi="Arial Narrow"/>
          <w:b/>
          <w:sz w:val="20"/>
          <w:szCs w:val="20"/>
        </w:rPr>
        <w:t>Figure 1: KM plot of PFS in Study 205</w:t>
      </w:r>
    </w:p>
    <w:p w:rsidR="00C60EA1" w:rsidRPr="00B17639" w:rsidRDefault="00C60EA1" w:rsidP="00C60EA1">
      <w:pPr>
        <w:pStyle w:val="ListParagraph"/>
        <w:ind w:hanging="720"/>
        <w:contextualSpacing/>
        <w:jc w:val="both"/>
      </w:pPr>
      <w:r w:rsidRPr="00B17639">
        <w:rPr>
          <w:noProof/>
          <w:color w:val="5B9BD5" w:themeColor="accent5"/>
          <w:lang w:eastAsia="en-AU"/>
        </w:rPr>
        <w:drawing>
          <wp:inline distT="0" distB="0" distL="0" distR="0" wp14:anchorId="6BAD007E" wp14:editId="797711EA">
            <wp:extent cx="5229225" cy="2466975"/>
            <wp:effectExtent l="0" t="0" r="9525" b="9525"/>
            <wp:docPr id="6" name="Picture 6" title="Figure 1: KM plot of PFS in Study 20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5229225" cy="2466975"/>
                    </a:xfrm>
                    <a:prstGeom prst="rect">
                      <a:avLst/>
                    </a:prstGeom>
                  </pic:spPr>
                </pic:pic>
              </a:graphicData>
            </a:graphic>
          </wp:inline>
        </w:drawing>
      </w:r>
    </w:p>
    <w:p w:rsidR="00C60EA1" w:rsidRPr="00B17639" w:rsidRDefault="00C60EA1" w:rsidP="00C60EA1">
      <w:pPr>
        <w:spacing w:before="0" w:after="0"/>
        <w:rPr>
          <w:rFonts w:ascii="Arial Narrow" w:hAnsi="Arial Narrow"/>
          <w:sz w:val="18"/>
          <w:szCs w:val="18"/>
        </w:rPr>
      </w:pPr>
      <w:r w:rsidRPr="00B17639">
        <w:rPr>
          <w:rFonts w:ascii="Arial Narrow" w:hAnsi="Arial Narrow"/>
          <w:sz w:val="18"/>
          <w:szCs w:val="18"/>
        </w:rPr>
        <w:t>Source: Figure 2-7, page 76 of submission.</w:t>
      </w:r>
    </w:p>
    <w:p w:rsidR="00C60EA1" w:rsidRPr="00B17639" w:rsidRDefault="00C60EA1" w:rsidP="00C60EA1">
      <w:pPr>
        <w:spacing w:before="0" w:after="0"/>
        <w:rPr>
          <w:rFonts w:ascii="Arial Narrow" w:hAnsi="Arial Narrow"/>
          <w:sz w:val="18"/>
          <w:szCs w:val="18"/>
        </w:rPr>
      </w:pPr>
      <w:r w:rsidRPr="00B17639">
        <w:rPr>
          <w:rFonts w:ascii="Arial Narrow" w:hAnsi="Arial Narrow"/>
          <w:sz w:val="18"/>
          <w:szCs w:val="18"/>
        </w:rPr>
        <w:t>Note: Arm B in this figure relates to a third arm in Study 205 (lenvatinib 24 mg orally per day as monotherapy) which has not been discussed in this Commentary.</w:t>
      </w:r>
    </w:p>
    <w:p w:rsidR="00F75B28" w:rsidRPr="00B17639" w:rsidRDefault="00F75B28" w:rsidP="00F75B28">
      <w:pPr>
        <w:pStyle w:val="ListParagraph"/>
        <w:spacing w:before="0" w:after="0"/>
        <w:contextualSpacing/>
        <w:jc w:val="both"/>
        <w:rPr>
          <w:color w:val="5B9BD5" w:themeColor="accent5"/>
        </w:rPr>
      </w:pPr>
    </w:p>
    <w:p w:rsidR="00F75B28" w:rsidRPr="005452C5" w:rsidRDefault="00F65B65" w:rsidP="005452C5">
      <w:pPr>
        <w:numPr>
          <w:ilvl w:val="1"/>
          <w:numId w:val="1"/>
        </w:numPr>
      </w:pPr>
      <w:bookmarkStart w:id="24" w:name="_Hlk489954309"/>
      <w:r w:rsidRPr="005452C5">
        <w:lastRenderedPageBreak/>
        <w:t>OS</w:t>
      </w:r>
      <w:r w:rsidR="00F75B28" w:rsidRPr="005452C5">
        <w:t xml:space="preserve"> from the primary efficacy data cut-off </w:t>
      </w:r>
      <w:r w:rsidR="008F103A" w:rsidRPr="005452C5">
        <w:t>for</w:t>
      </w:r>
      <w:r w:rsidR="00F75B28" w:rsidRPr="005452C5">
        <w:t xml:space="preserve"> </w:t>
      </w:r>
      <w:r w:rsidR="005B0F37" w:rsidRPr="005452C5">
        <w:t xml:space="preserve">Study 205 and CheckMate 025, and the naïve comparison from AXIS </w:t>
      </w:r>
      <w:r w:rsidR="00F75B28" w:rsidRPr="005452C5">
        <w:t xml:space="preserve">is shown in </w:t>
      </w:r>
      <w:r w:rsidRPr="005452C5">
        <w:t xml:space="preserve">Table </w:t>
      </w:r>
      <w:r w:rsidR="00923CA5">
        <w:t>5</w:t>
      </w:r>
      <w:bookmarkEnd w:id="24"/>
      <w:r w:rsidR="00EE0A12" w:rsidRPr="00B17639">
        <w:t>.</w:t>
      </w:r>
      <w:r w:rsidR="005452C5">
        <w:t xml:space="preserve"> </w:t>
      </w:r>
      <w:r w:rsidR="00F75B28" w:rsidRPr="00B17639">
        <w:br/>
      </w:r>
    </w:p>
    <w:p w:rsidR="00F75B28" w:rsidRPr="00B17639" w:rsidRDefault="00F75B28" w:rsidP="00F75B28">
      <w:pPr>
        <w:keepNext/>
        <w:spacing w:before="0" w:after="0"/>
        <w:rPr>
          <w:rFonts w:ascii="Arial Narrow" w:hAnsi="Arial Narrow"/>
          <w:b/>
          <w:iCs/>
          <w:sz w:val="20"/>
          <w:szCs w:val="20"/>
        </w:rPr>
      </w:pPr>
      <w:r w:rsidRPr="00B17639">
        <w:rPr>
          <w:rFonts w:ascii="Arial Narrow" w:hAnsi="Arial Narrow"/>
          <w:b/>
          <w:iCs/>
          <w:sz w:val="20"/>
          <w:szCs w:val="20"/>
        </w:rPr>
        <w:t xml:space="preserve">Table </w:t>
      </w:r>
      <w:r w:rsidR="00923CA5">
        <w:rPr>
          <w:rFonts w:ascii="Arial Narrow" w:hAnsi="Arial Narrow"/>
          <w:b/>
          <w:iCs/>
          <w:sz w:val="20"/>
          <w:szCs w:val="20"/>
        </w:rPr>
        <w:t>5</w:t>
      </w:r>
      <w:r w:rsidRPr="00B17639">
        <w:rPr>
          <w:rFonts w:ascii="Arial Narrow" w:hAnsi="Arial Narrow"/>
          <w:b/>
          <w:iCs/>
          <w:sz w:val="20"/>
          <w:szCs w:val="20"/>
        </w:rPr>
        <w:t>: Results of overall survival across trials</w:t>
      </w:r>
    </w:p>
    <w:tbl>
      <w:tblPr>
        <w:tblStyle w:val="TableGridbeth1"/>
        <w:tblW w:w="5000" w:type="pct"/>
        <w:tblLook w:val="04A0" w:firstRow="1" w:lastRow="0" w:firstColumn="1" w:lastColumn="0" w:noHBand="0" w:noVBand="1"/>
        <w:tblCaption w:val="Table 5: Results of overall survival across trials"/>
      </w:tblPr>
      <w:tblGrid>
        <w:gridCol w:w="1251"/>
        <w:gridCol w:w="1281"/>
        <w:gridCol w:w="1281"/>
        <w:gridCol w:w="1235"/>
        <w:gridCol w:w="1235"/>
        <w:gridCol w:w="1054"/>
        <w:gridCol w:w="718"/>
        <w:gridCol w:w="1187"/>
      </w:tblGrid>
      <w:tr w:rsidR="000D7C4C" w:rsidRPr="00B17639" w:rsidTr="002119FA">
        <w:trPr>
          <w:cnfStyle w:val="100000000000" w:firstRow="1" w:lastRow="0" w:firstColumn="0" w:lastColumn="0" w:oddVBand="0" w:evenVBand="0" w:oddHBand="0" w:evenHBand="0" w:firstRowFirstColumn="0" w:firstRowLastColumn="0" w:lastRowFirstColumn="0" w:lastRowLastColumn="0"/>
          <w:tblHeader/>
        </w:trPr>
        <w:tc>
          <w:tcPr>
            <w:tcW w:w="677" w:type="pct"/>
            <w:vMerge w:val="restart"/>
            <w:tcBorders>
              <w:top w:val="single" w:sz="4" w:space="0" w:color="auto"/>
              <w:left w:val="single" w:sz="4" w:space="0" w:color="auto"/>
              <w:right w:val="single" w:sz="4" w:space="0" w:color="auto"/>
            </w:tcBorders>
            <w:shd w:val="clear" w:color="auto" w:fill="auto"/>
            <w:vAlign w:val="center"/>
          </w:tcPr>
          <w:p w:rsidR="00477E5B" w:rsidRPr="00B17639" w:rsidRDefault="00477E5B" w:rsidP="00477E5B">
            <w:pPr>
              <w:keepNext/>
              <w:spacing w:before="0"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Trial ID</w:t>
            </w:r>
          </w:p>
        </w:tc>
        <w:tc>
          <w:tcPr>
            <w:tcW w:w="1386" w:type="pct"/>
            <w:gridSpan w:val="2"/>
            <w:tcBorders>
              <w:top w:val="single" w:sz="4" w:space="0" w:color="auto"/>
              <w:left w:val="single" w:sz="4" w:space="0" w:color="auto"/>
              <w:bottom w:val="single" w:sz="4" w:space="0" w:color="auto"/>
              <w:right w:val="single" w:sz="4" w:space="0" w:color="auto"/>
            </w:tcBorders>
            <w:shd w:val="clear" w:color="auto" w:fill="auto"/>
          </w:tcPr>
          <w:p w:rsidR="00477E5B" w:rsidRPr="00B17639" w:rsidRDefault="00477E5B" w:rsidP="00234897">
            <w:pPr>
              <w:keepNext/>
              <w:spacing w:before="0"/>
              <w:jc w:val="center"/>
              <w:rPr>
                <w:rFonts w:ascii="Arial Narrow" w:eastAsia="Calibri" w:hAnsi="Arial Narrow" w:cs="Times New Roman"/>
                <w:sz w:val="20"/>
                <w:szCs w:val="20"/>
                <w:vertAlign w:val="superscript"/>
                <w:lang w:eastAsia="en-AU"/>
              </w:rPr>
            </w:pPr>
            <w:r w:rsidRPr="00B17639">
              <w:rPr>
                <w:rFonts w:ascii="Arial Narrow" w:eastAsia="Calibri" w:hAnsi="Arial Narrow" w:cs="Times New Roman"/>
                <w:sz w:val="20"/>
                <w:szCs w:val="20"/>
                <w:lang w:eastAsia="en-AU"/>
              </w:rPr>
              <w:t xml:space="preserve">Intervention </w:t>
            </w:r>
            <w:r w:rsidRPr="00B17639">
              <w:rPr>
                <w:rFonts w:ascii="Arial Narrow" w:eastAsia="Calibri" w:hAnsi="Arial Narrow" w:cs="Times New Roman"/>
                <w:sz w:val="20"/>
                <w:szCs w:val="20"/>
                <w:vertAlign w:val="superscript"/>
                <w:lang w:eastAsia="en-AU"/>
              </w:rPr>
              <w:t>a</w:t>
            </w:r>
          </w:p>
        </w:tc>
        <w:tc>
          <w:tcPr>
            <w:tcW w:w="1336" w:type="pct"/>
            <w:gridSpan w:val="2"/>
            <w:tcBorders>
              <w:top w:val="single" w:sz="4" w:space="0" w:color="auto"/>
              <w:left w:val="single" w:sz="4" w:space="0" w:color="auto"/>
              <w:bottom w:val="single" w:sz="4" w:space="0" w:color="auto"/>
              <w:right w:val="single" w:sz="4" w:space="0" w:color="auto"/>
            </w:tcBorders>
            <w:shd w:val="clear" w:color="auto" w:fill="auto"/>
          </w:tcPr>
          <w:p w:rsidR="00477E5B" w:rsidRPr="00B17639" w:rsidRDefault="005B0F37" w:rsidP="00234897">
            <w:pPr>
              <w:keepNext/>
              <w:spacing w:before="0"/>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Comparator</w:t>
            </w:r>
            <w:r w:rsidR="00B36C93">
              <w:rPr>
                <w:rFonts w:ascii="Arial Narrow" w:eastAsia="Calibri" w:hAnsi="Arial Narrow" w:cs="Times New Roman"/>
                <w:sz w:val="20"/>
                <w:szCs w:val="20"/>
                <w:lang w:eastAsia="en-AU"/>
              </w:rPr>
              <w:t xml:space="preserve"> </w:t>
            </w:r>
            <w:r w:rsidR="00B36C93" w:rsidRPr="00B00EF0">
              <w:rPr>
                <w:rFonts w:ascii="Arial Narrow" w:eastAsia="Calibri" w:hAnsi="Arial Narrow" w:cs="Times New Roman"/>
                <w:sz w:val="20"/>
                <w:szCs w:val="20"/>
                <w:vertAlign w:val="superscript"/>
                <w:lang w:eastAsia="en-AU"/>
              </w:rPr>
              <w:t>b</w:t>
            </w:r>
          </w:p>
        </w:tc>
        <w:tc>
          <w:tcPr>
            <w:tcW w:w="570" w:type="pct"/>
            <w:vMerge w:val="restart"/>
            <w:tcBorders>
              <w:top w:val="single" w:sz="4" w:space="0" w:color="auto"/>
              <w:left w:val="single" w:sz="4" w:space="0" w:color="auto"/>
              <w:right w:val="single" w:sz="4" w:space="0" w:color="auto"/>
            </w:tcBorders>
            <w:shd w:val="clear" w:color="auto" w:fill="auto"/>
            <w:vAlign w:val="center"/>
          </w:tcPr>
          <w:p w:rsidR="00477E5B" w:rsidRPr="00B17639" w:rsidRDefault="00477E5B" w:rsidP="00477E5B">
            <w:pPr>
              <w:keepNext/>
              <w:spacing w:before="0"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Difference in Median, months</w:t>
            </w:r>
          </w:p>
        </w:tc>
        <w:tc>
          <w:tcPr>
            <w:tcW w:w="388" w:type="pct"/>
            <w:vMerge w:val="restart"/>
            <w:tcBorders>
              <w:top w:val="single" w:sz="4" w:space="0" w:color="auto"/>
              <w:left w:val="single" w:sz="4" w:space="0" w:color="auto"/>
              <w:right w:val="single" w:sz="4" w:space="0" w:color="auto"/>
            </w:tcBorders>
            <w:shd w:val="clear" w:color="auto" w:fill="auto"/>
            <w:vAlign w:val="center"/>
          </w:tcPr>
          <w:p w:rsidR="00477E5B" w:rsidRPr="00B17639" w:rsidRDefault="00477E5B" w:rsidP="00477E5B">
            <w:pPr>
              <w:keepNext/>
              <w:spacing w:before="0"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P-value</w:t>
            </w:r>
          </w:p>
        </w:tc>
        <w:tc>
          <w:tcPr>
            <w:tcW w:w="642" w:type="pct"/>
            <w:vMerge w:val="restart"/>
            <w:tcBorders>
              <w:top w:val="single" w:sz="4" w:space="0" w:color="auto"/>
              <w:left w:val="single" w:sz="4" w:space="0" w:color="auto"/>
              <w:right w:val="single" w:sz="4" w:space="0" w:color="auto"/>
            </w:tcBorders>
            <w:shd w:val="clear" w:color="auto" w:fill="auto"/>
            <w:vAlign w:val="center"/>
          </w:tcPr>
          <w:p w:rsidR="00477E5B" w:rsidRPr="00B17639" w:rsidRDefault="00477E5B" w:rsidP="00477E5B">
            <w:pPr>
              <w:keepNext/>
              <w:spacing w:before="0"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Hazard ratio (95% CI)</w:t>
            </w:r>
          </w:p>
        </w:tc>
      </w:tr>
      <w:tr w:rsidR="000D7C4C" w:rsidRPr="00B17639" w:rsidTr="002119FA">
        <w:trPr>
          <w:cnfStyle w:val="100000000000" w:firstRow="1" w:lastRow="0" w:firstColumn="0" w:lastColumn="0" w:oddVBand="0" w:evenVBand="0" w:oddHBand="0" w:evenHBand="0" w:firstRowFirstColumn="0" w:firstRowLastColumn="0" w:lastRowFirstColumn="0" w:lastRowLastColumn="0"/>
          <w:tblHeader/>
        </w:trPr>
        <w:tc>
          <w:tcPr>
            <w:tcW w:w="677" w:type="pct"/>
            <w:vMerge/>
            <w:tcBorders>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r w:rsidRPr="00B17639">
              <w:rPr>
                <w:rFonts w:ascii="Arial Narrow" w:eastAsia="Calibri" w:hAnsi="Arial Narrow" w:cs="Times New Roman"/>
                <w:sz w:val="20"/>
                <w:szCs w:val="20"/>
                <w:lang w:eastAsia="en-AU"/>
              </w:rPr>
              <w:t>n/N with event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r w:rsidRPr="00B17639">
              <w:rPr>
                <w:rFonts w:ascii="Arial Narrow" w:eastAsia="Calibri" w:hAnsi="Arial Narrow" w:cs="Times New Roman"/>
                <w:sz w:val="20"/>
                <w:szCs w:val="20"/>
                <w:lang w:eastAsia="en-AU"/>
              </w:rPr>
              <w:t>Median, months (95% CI)</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r w:rsidRPr="00B17639">
              <w:rPr>
                <w:rFonts w:ascii="Arial Narrow" w:eastAsia="Calibri" w:hAnsi="Arial Narrow" w:cs="Times New Roman"/>
                <w:sz w:val="20"/>
                <w:szCs w:val="20"/>
                <w:lang w:eastAsia="en-AU"/>
              </w:rPr>
              <w:t>n/N with event (%)</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r w:rsidRPr="00B17639">
              <w:rPr>
                <w:rFonts w:ascii="Arial Narrow" w:eastAsia="Calibri" w:hAnsi="Arial Narrow" w:cs="Times New Roman"/>
                <w:sz w:val="20"/>
                <w:szCs w:val="20"/>
                <w:lang w:eastAsia="en-AU"/>
              </w:rPr>
              <w:t>Median, months (95% CI)</w:t>
            </w:r>
          </w:p>
        </w:tc>
        <w:tc>
          <w:tcPr>
            <w:tcW w:w="570" w:type="pct"/>
            <w:vMerge/>
            <w:tcBorders>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p>
        </w:tc>
        <w:tc>
          <w:tcPr>
            <w:tcW w:w="388" w:type="pct"/>
            <w:vMerge/>
            <w:tcBorders>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p>
        </w:tc>
        <w:tc>
          <w:tcPr>
            <w:tcW w:w="642" w:type="pct"/>
            <w:vMerge/>
            <w:tcBorders>
              <w:left w:val="single" w:sz="4" w:space="0" w:color="auto"/>
              <w:bottom w:val="single" w:sz="4" w:space="0" w:color="auto"/>
              <w:right w:val="single" w:sz="4" w:space="0" w:color="auto"/>
            </w:tcBorders>
            <w:shd w:val="clear" w:color="auto" w:fill="auto"/>
          </w:tcPr>
          <w:p w:rsidR="00477E5B" w:rsidRPr="00B17639" w:rsidRDefault="00477E5B" w:rsidP="00F75B28">
            <w:pPr>
              <w:keepNext/>
              <w:spacing w:before="0" w:after="160"/>
              <w:rPr>
                <w:rFonts w:ascii="Arial Narrow" w:eastAsia="Calibri" w:hAnsi="Arial Narrow" w:cs="Times New Roman"/>
                <w:sz w:val="20"/>
                <w:szCs w:val="20"/>
                <w:lang w:val="en-AU" w:eastAsia="en-AU"/>
              </w:rPr>
            </w:pPr>
          </w:p>
        </w:tc>
      </w:tr>
      <w:tr w:rsidR="00F75B28" w:rsidRPr="00B17639" w:rsidTr="000D7C4C">
        <w:tc>
          <w:tcPr>
            <w:tcW w:w="677"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Study 205</w:t>
            </w:r>
          </w:p>
        </w:tc>
        <w:tc>
          <w:tcPr>
            <w:tcW w:w="693"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19/51 (37%)</w:t>
            </w:r>
          </w:p>
        </w:tc>
        <w:tc>
          <w:tcPr>
            <w:tcW w:w="693"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25.5 (20.8, 25.5)</w:t>
            </w:r>
          </w:p>
        </w:tc>
        <w:tc>
          <w:tcPr>
            <w:tcW w:w="668"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26/50 (52%)</w:t>
            </w:r>
          </w:p>
        </w:tc>
        <w:tc>
          <w:tcPr>
            <w:tcW w:w="668"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17.5 (11.8, NE)</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8.0</w:t>
            </w:r>
          </w:p>
        </w:tc>
        <w:tc>
          <w:tcPr>
            <w:tcW w:w="388"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0.062</w:t>
            </w:r>
          </w:p>
        </w:tc>
        <w:tc>
          <w:tcPr>
            <w:tcW w:w="642"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0.55 (0.30, 1.01)</w:t>
            </w:r>
          </w:p>
        </w:tc>
      </w:tr>
      <w:tr w:rsidR="00F75B28" w:rsidRPr="00B17639" w:rsidTr="000D7C4C">
        <w:tc>
          <w:tcPr>
            <w:tcW w:w="677"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CheckMate 025</w:t>
            </w:r>
          </w:p>
        </w:tc>
        <w:tc>
          <w:tcPr>
            <w:tcW w:w="693"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183/410 (45%)</w:t>
            </w:r>
          </w:p>
        </w:tc>
        <w:tc>
          <w:tcPr>
            <w:tcW w:w="693"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25.0 (21.8, NE)</w:t>
            </w:r>
          </w:p>
        </w:tc>
        <w:tc>
          <w:tcPr>
            <w:tcW w:w="668"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215/411 (52%)</w:t>
            </w:r>
          </w:p>
        </w:tc>
        <w:tc>
          <w:tcPr>
            <w:tcW w:w="668"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19.6 (17.6, 23.1)</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5.4</w:t>
            </w:r>
          </w:p>
        </w:tc>
        <w:tc>
          <w:tcPr>
            <w:tcW w:w="388"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0.002</w:t>
            </w:r>
          </w:p>
        </w:tc>
        <w:tc>
          <w:tcPr>
            <w:tcW w:w="642"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0.73 (98.5% CI: 0.57, 0.93)</w:t>
            </w:r>
          </w:p>
        </w:tc>
      </w:tr>
      <w:tr w:rsidR="00B36C93" w:rsidRPr="00586913" w:rsidTr="000D7C4C">
        <w:tc>
          <w:tcPr>
            <w:tcW w:w="677"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AXIS</w:t>
            </w:r>
          </w:p>
        </w:tc>
        <w:tc>
          <w:tcPr>
            <w:tcW w:w="693"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211/359 (59%)</w:t>
            </w:r>
          </w:p>
        </w:tc>
        <w:tc>
          <w:tcPr>
            <w:tcW w:w="693"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20.1 (16.7, 23.4)</w:t>
            </w:r>
          </w:p>
        </w:tc>
        <w:tc>
          <w:tcPr>
            <w:tcW w:w="668"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214/355 (60%)</w:t>
            </w:r>
          </w:p>
        </w:tc>
        <w:tc>
          <w:tcPr>
            <w:tcW w:w="668"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19.2 (17.5, 22.3)</w:t>
            </w:r>
          </w:p>
        </w:tc>
        <w:tc>
          <w:tcPr>
            <w:tcW w:w="570"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0.9</w:t>
            </w:r>
          </w:p>
        </w:tc>
        <w:tc>
          <w:tcPr>
            <w:tcW w:w="388"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0.3744</w:t>
            </w:r>
          </w:p>
        </w:tc>
        <w:tc>
          <w:tcPr>
            <w:tcW w:w="642" w:type="pct"/>
            <w:tcBorders>
              <w:top w:val="single" w:sz="4" w:space="0" w:color="auto"/>
              <w:left w:val="single" w:sz="4" w:space="0" w:color="auto"/>
              <w:bottom w:val="single" w:sz="4" w:space="0" w:color="auto"/>
              <w:right w:val="single" w:sz="4" w:space="0" w:color="auto"/>
            </w:tcBorders>
          </w:tcPr>
          <w:p w:rsidR="00B36C93" w:rsidRPr="000D7C4C" w:rsidRDefault="00B36C93">
            <w:pPr>
              <w:spacing w:before="0"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0.97 (0.80, 1.17)</w:t>
            </w:r>
          </w:p>
        </w:tc>
      </w:tr>
    </w:tbl>
    <w:p w:rsidR="00F75B28" w:rsidRPr="00B17639" w:rsidRDefault="00F75B28" w:rsidP="00426729">
      <w:pPr>
        <w:pStyle w:val="TableFooter"/>
        <w:rPr>
          <w:rFonts w:eastAsia="Calibri"/>
        </w:rPr>
      </w:pPr>
      <w:r w:rsidRPr="00B17639">
        <w:rPr>
          <w:rFonts w:eastAsia="Calibri"/>
        </w:rPr>
        <w:t>Source: Table 2-20, page 70 of submission</w:t>
      </w:r>
      <w:r w:rsidR="00B36C93">
        <w:rPr>
          <w:rFonts w:eastAsia="Calibri" w:cs="Times New Roman"/>
          <w:szCs w:val="18"/>
        </w:rPr>
        <w:t>;</w:t>
      </w:r>
      <w:r w:rsidR="00B36C93" w:rsidRPr="003002E6">
        <w:rPr>
          <w:rFonts w:eastAsia="Calibri" w:cs="Times New Roman"/>
          <w:szCs w:val="18"/>
        </w:rPr>
        <w:t xml:space="preserve"> Table 1</w:t>
      </w:r>
      <w:r w:rsidR="00B36C93">
        <w:rPr>
          <w:rFonts w:eastAsia="Calibri" w:cs="Times New Roman"/>
          <w:szCs w:val="18"/>
        </w:rPr>
        <w:t>2</w:t>
      </w:r>
      <w:r w:rsidR="00B36C93" w:rsidRPr="003002E6">
        <w:rPr>
          <w:rFonts w:eastAsia="Calibri" w:cs="Times New Roman"/>
          <w:szCs w:val="18"/>
        </w:rPr>
        <w:t>, Appendix 1 of the Submission.</w:t>
      </w:r>
      <w:r w:rsidR="00B36C93" w:rsidRPr="00B17639">
        <w:rPr>
          <w:rFonts w:eastAsia="Calibri" w:cs="Times New Roman"/>
          <w:szCs w:val="18"/>
        </w:rPr>
        <w:t>.</w:t>
      </w:r>
      <w:r w:rsidRPr="00B17639">
        <w:rPr>
          <w:rFonts w:eastAsia="Calibri"/>
        </w:rPr>
        <w:t>.</w:t>
      </w:r>
    </w:p>
    <w:p w:rsidR="00F75B28" w:rsidRPr="00B17639" w:rsidRDefault="00F75B28" w:rsidP="00426729">
      <w:pPr>
        <w:pStyle w:val="TableFooter"/>
        <w:rPr>
          <w:rFonts w:eastAsia="Calibri"/>
        </w:rPr>
      </w:pPr>
      <w:bookmarkStart w:id="25" w:name="_Hlk489952766"/>
      <w:r w:rsidRPr="00B17639">
        <w:rPr>
          <w:rFonts w:eastAsia="Calibri"/>
        </w:rPr>
        <w:t>Notes: Study 205: Data cut=13th June 2014, Length of follow-up=18.5 months (median)</w:t>
      </w:r>
      <w:bookmarkEnd w:id="25"/>
      <w:r w:rsidRPr="00B17639">
        <w:rPr>
          <w:rFonts w:eastAsia="Calibri"/>
        </w:rPr>
        <w:t>; CheckMate 025: Data cut=June 2015, Length of follow-up=14 months (minimum)</w:t>
      </w:r>
    </w:p>
    <w:p w:rsidR="00234897" w:rsidRDefault="00234897" w:rsidP="00426729">
      <w:pPr>
        <w:pStyle w:val="TableFooter"/>
        <w:rPr>
          <w:rFonts w:eastAsia="Calibri"/>
        </w:rPr>
      </w:pPr>
      <w:r w:rsidRPr="00B17639">
        <w:rPr>
          <w:rFonts w:eastAsia="Calibri"/>
          <w:vertAlign w:val="superscript"/>
        </w:rPr>
        <w:t>a</w:t>
      </w:r>
      <w:r w:rsidRPr="00B17639">
        <w:rPr>
          <w:rFonts w:eastAsia="Calibri"/>
        </w:rPr>
        <w:t xml:space="preserve"> Intervention in Study 205 was lenvatinib/everolimus; intervention in CheckMate025 was nivolumab</w:t>
      </w:r>
      <w:r w:rsidR="00B36C93">
        <w:rPr>
          <w:rFonts w:eastAsia="Calibri"/>
        </w:rPr>
        <w:t>; intervention in AXIS was axitinib 5 mg b.d.</w:t>
      </w:r>
    </w:p>
    <w:p w:rsidR="005B0F37" w:rsidRDefault="005B0F37" w:rsidP="005B0F37">
      <w:pPr>
        <w:pStyle w:val="TableFooter"/>
        <w:rPr>
          <w:rFonts w:eastAsia="Calibri"/>
        </w:rPr>
      </w:pPr>
      <w:r>
        <w:rPr>
          <w:rFonts w:eastAsia="Calibri"/>
          <w:vertAlign w:val="superscript"/>
        </w:rPr>
        <w:t>b</w:t>
      </w:r>
      <w:r>
        <w:rPr>
          <w:rFonts w:eastAsia="Calibri"/>
        </w:rPr>
        <w:t xml:space="preserve"> Comparator</w:t>
      </w:r>
      <w:r w:rsidRPr="00B17639">
        <w:rPr>
          <w:rFonts w:eastAsia="Calibri"/>
        </w:rPr>
        <w:t xml:space="preserve"> in Study 205 </w:t>
      </w:r>
      <w:r>
        <w:rPr>
          <w:rFonts w:eastAsia="Calibri"/>
        </w:rPr>
        <w:t xml:space="preserve">and </w:t>
      </w:r>
      <w:r w:rsidRPr="00B17639">
        <w:rPr>
          <w:rFonts w:eastAsia="Calibri"/>
        </w:rPr>
        <w:t xml:space="preserve">CheckMate025 was </w:t>
      </w:r>
      <w:r>
        <w:rPr>
          <w:rFonts w:eastAsia="Calibri"/>
        </w:rPr>
        <w:t xml:space="preserve">everolimus 10 mg; comparator in AXIS was sorafenib </w:t>
      </w:r>
      <w:r w:rsidR="00B36C93">
        <w:rPr>
          <w:rFonts w:eastAsia="Calibri"/>
        </w:rPr>
        <w:t>400 mg b.d.</w:t>
      </w:r>
    </w:p>
    <w:p w:rsidR="00F75B28" w:rsidRPr="00B17639" w:rsidRDefault="00F75B28" w:rsidP="00426729">
      <w:pPr>
        <w:pStyle w:val="TableFooter"/>
        <w:rPr>
          <w:rFonts w:eastAsia="Calibri"/>
        </w:rPr>
      </w:pPr>
      <w:r w:rsidRPr="00B17639">
        <w:rPr>
          <w:rFonts w:eastAsia="Calibri"/>
        </w:rPr>
        <w:t>Abbreviations: CI, confidence interval;</w:t>
      </w:r>
      <w:r w:rsidR="0059452B" w:rsidRPr="00B17639">
        <w:rPr>
          <w:rFonts w:eastAsia="Calibri"/>
        </w:rPr>
        <w:t xml:space="preserve"> HR, hazard ratio;</w:t>
      </w:r>
      <w:r w:rsidRPr="00B17639">
        <w:rPr>
          <w:rFonts w:eastAsia="Calibri"/>
        </w:rPr>
        <w:t xml:space="preserve"> </w:t>
      </w:r>
      <w:r w:rsidR="00495235" w:rsidRPr="00B17639">
        <w:t>n number</w:t>
      </w:r>
      <w:r w:rsidR="00495235">
        <w:t xml:space="preserve">; </w:t>
      </w:r>
      <w:r w:rsidRPr="00B17639">
        <w:rPr>
          <w:rFonts w:eastAsia="Calibri"/>
        </w:rPr>
        <w:t>NE, not evaluable</w:t>
      </w:r>
    </w:p>
    <w:p w:rsidR="00F75B28" w:rsidRPr="00B17639" w:rsidRDefault="00F75B28" w:rsidP="00F75B28">
      <w:pPr>
        <w:pStyle w:val="ListParagraph"/>
        <w:spacing w:before="0" w:after="0"/>
        <w:contextualSpacing/>
        <w:jc w:val="both"/>
      </w:pPr>
    </w:p>
    <w:p w:rsidR="00F75B28" w:rsidRPr="00B17639" w:rsidRDefault="00F75B28" w:rsidP="005452C5">
      <w:pPr>
        <w:numPr>
          <w:ilvl w:val="1"/>
          <w:numId w:val="1"/>
        </w:numPr>
        <w:jc w:val="both"/>
      </w:pPr>
      <w:r w:rsidRPr="00B17639">
        <w:t xml:space="preserve">The median OS gain of 8 months in the lenvatinib/everolimus arm over everolimus monotherapy was not statistically significant </w:t>
      </w:r>
      <w:r w:rsidR="00CC0AAF" w:rsidRPr="00B17639">
        <w:t xml:space="preserve">in the primary efficacy analysis. </w:t>
      </w:r>
      <w:r w:rsidRPr="00B17639">
        <w:t xml:space="preserve">At this </w:t>
      </w:r>
      <w:r w:rsidR="00CC0AAF" w:rsidRPr="00B17639">
        <w:t>time</w:t>
      </w:r>
      <w:r w:rsidR="00750EF8" w:rsidRPr="00B17639">
        <w:t xml:space="preserve"> (13</w:t>
      </w:r>
      <w:r w:rsidR="00750EF8" w:rsidRPr="005452C5">
        <w:t>th</w:t>
      </w:r>
      <w:r w:rsidR="00750EF8" w:rsidRPr="00B17639">
        <w:t xml:space="preserve"> June 2014 cut-off)</w:t>
      </w:r>
      <w:r w:rsidRPr="00B17639">
        <w:t xml:space="preserve">, only 37% of patients in the lenvatinib/everolimus arm and 52% of patients in the everolimus monotherapy arm had died. </w:t>
      </w:r>
    </w:p>
    <w:p w:rsidR="00F75B28" w:rsidRPr="0014492C" w:rsidRDefault="00F75B28" w:rsidP="005452C5">
      <w:pPr>
        <w:numPr>
          <w:ilvl w:val="1"/>
          <w:numId w:val="1"/>
        </w:numPr>
        <w:jc w:val="both"/>
      </w:pPr>
      <w:bookmarkStart w:id="26" w:name="_Hlk490130698"/>
      <w:r w:rsidRPr="00681CCB">
        <w:t xml:space="preserve">Additional </w:t>
      </w:r>
      <w:r w:rsidR="00495292" w:rsidRPr="0014492C">
        <w:t>evidence</w:t>
      </w:r>
      <w:r w:rsidRPr="0014492C">
        <w:t xml:space="preserve"> for OS based on later data cut-offs is shown in </w:t>
      </w:r>
      <w:r w:rsidR="00EE0A12" w:rsidRPr="0014492C">
        <w:t xml:space="preserve">Table </w:t>
      </w:r>
      <w:r w:rsidR="008324E7" w:rsidRPr="0014492C">
        <w:t>6</w:t>
      </w:r>
      <w:r w:rsidRPr="0014492C">
        <w:t xml:space="preserve">. </w:t>
      </w:r>
      <w:r w:rsidR="00FB51E5" w:rsidRPr="0014492C">
        <w:t>T</w:t>
      </w:r>
      <w:r w:rsidR="00CD292B" w:rsidRPr="0014492C">
        <w:t xml:space="preserve">hese data indicate that the </w:t>
      </w:r>
      <w:r w:rsidR="00EE0A12" w:rsidRPr="0014492C">
        <w:t xml:space="preserve">numerical </w:t>
      </w:r>
      <w:r w:rsidR="00CD292B" w:rsidRPr="0014492C">
        <w:t xml:space="preserve">survival gains reported from the </w:t>
      </w:r>
      <w:r w:rsidR="00FB51E5" w:rsidRPr="0014492C">
        <w:t>primary efficacy analysis</w:t>
      </w:r>
      <w:r w:rsidR="00CD292B" w:rsidRPr="0014492C">
        <w:t xml:space="preserve"> were maintained</w:t>
      </w:r>
      <w:r w:rsidR="00C7757E" w:rsidRPr="0014492C">
        <w:t xml:space="preserve">, although the </w:t>
      </w:r>
      <w:r w:rsidR="00CD292B" w:rsidRPr="0014492C">
        <w:t xml:space="preserve">differences between the interventions at </w:t>
      </w:r>
      <w:r w:rsidR="00C7757E" w:rsidRPr="0014492C">
        <w:t>each of the</w:t>
      </w:r>
      <w:r w:rsidR="00CD292B" w:rsidRPr="0014492C">
        <w:t xml:space="preserve"> cut-off</w:t>
      </w:r>
      <w:r w:rsidR="00C7757E" w:rsidRPr="0014492C">
        <w:t>s</w:t>
      </w:r>
      <w:r w:rsidR="00CD292B" w:rsidRPr="0014492C">
        <w:t xml:space="preserve"> were not </w:t>
      </w:r>
      <w:r w:rsidR="00B81742">
        <w:t xml:space="preserve">all </w:t>
      </w:r>
      <w:r w:rsidR="00CD292B" w:rsidRPr="0014492C">
        <w:t>statistically significant.</w:t>
      </w:r>
      <w:r w:rsidR="003706E5">
        <w:t xml:space="preserve"> </w:t>
      </w:r>
      <w:r w:rsidR="00C5741F">
        <w:t xml:space="preserve">The pre-PBAC response </w:t>
      </w:r>
      <w:r w:rsidR="00C04D3F">
        <w:t xml:space="preserve">(p3) </w:t>
      </w:r>
      <w:r w:rsidR="00C5741F">
        <w:t xml:space="preserve">argued that across all time points the median OS reported for patients treated with </w:t>
      </w:r>
      <w:r w:rsidR="00C5741F" w:rsidRPr="00B17639">
        <w:t xml:space="preserve">lenvatinib/everolimus </w:t>
      </w:r>
      <w:r w:rsidR="00C5741F">
        <w:t>was at least</w:t>
      </w:r>
      <w:r w:rsidR="00C04D3F">
        <w:t xml:space="preserve"> 8 months longer than </w:t>
      </w:r>
      <w:r w:rsidR="00C5741F">
        <w:t>for patients with everolimus, with improvem</w:t>
      </w:r>
      <w:r w:rsidR="00C04D3F">
        <w:t xml:space="preserve">ents of </w:t>
      </w:r>
      <w:r w:rsidR="0089293C">
        <w:rPr>
          <w:noProof/>
          <w:color w:val="000000"/>
          <w:highlight w:val="black"/>
        </w:rPr>
        <w:t>'''''''''</w:t>
      </w:r>
      <w:r w:rsidR="00C04D3F">
        <w:t xml:space="preserve"> months reported with</w:t>
      </w:r>
      <w:r w:rsidR="00C5741F">
        <w:t xml:space="preserve"> more mature data. </w:t>
      </w:r>
      <w:r w:rsidR="003706E5">
        <w:t xml:space="preserve">The PBAC considered </w:t>
      </w:r>
      <w:r w:rsidR="0028099A">
        <w:t xml:space="preserve">that </w:t>
      </w:r>
      <w:r w:rsidR="003706E5">
        <w:t xml:space="preserve">the </w:t>
      </w:r>
      <w:r w:rsidR="0028099A">
        <w:t xml:space="preserve">magnitude of the </w:t>
      </w:r>
      <w:r w:rsidR="000A7443">
        <w:t>reported OS gain was uncertain</w:t>
      </w:r>
      <w:r w:rsidR="00694676">
        <w:t xml:space="preserve"> </w:t>
      </w:r>
      <w:r w:rsidR="00C5420A">
        <w:t xml:space="preserve">and possibly </w:t>
      </w:r>
      <w:r w:rsidR="009445C1">
        <w:t>due to chance</w:t>
      </w:r>
      <w:r w:rsidR="00C5420A">
        <w:t xml:space="preserve">, </w:t>
      </w:r>
      <w:r w:rsidR="00694676">
        <w:t xml:space="preserve">noted </w:t>
      </w:r>
      <w:r w:rsidR="003706E5">
        <w:t xml:space="preserve">the trial </w:t>
      </w:r>
      <w:r w:rsidR="00C04D3F">
        <w:t xml:space="preserve">was </w:t>
      </w:r>
      <w:r w:rsidR="00C5420A">
        <w:t xml:space="preserve">a randomised phase 2 design with </w:t>
      </w:r>
      <w:r w:rsidR="002851A1">
        <w:t xml:space="preserve">only </w:t>
      </w:r>
      <w:r w:rsidR="00C5420A">
        <w:t xml:space="preserve">153 patients in 3 arms powered for </w:t>
      </w:r>
      <w:r w:rsidR="00561539">
        <w:t>PFS</w:t>
      </w:r>
      <w:r w:rsidR="00C5420A">
        <w:t xml:space="preserve">, and </w:t>
      </w:r>
      <w:r w:rsidR="002851A1">
        <w:t xml:space="preserve">that the trial was </w:t>
      </w:r>
      <w:r w:rsidR="00C04D3F">
        <w:t xml:space="preserve">not </w:t>
      </w:r>
      <w:r w:rsidR="003706E5">
        <w:t>powered to detect differences</w:t>
      </w:r>
      <w:r w:rsidR="00C5420A">
        <w:t xml:space="preserve"> in </w:t>
      </w:r>
      <w:r w:rsidR="00BA0D86">
        <w:t>OS</w:t>
      </w:r>
      <w:r w:rsidR="006913E7" w:rsidRPr="0014492C">
        <w:t xml:space="preserve">. </w:t>
      </w:r>
      <w:r w:rsidR="00CA3CCD" w:rsidRPr="0014492C">
        <w:t xml:space="preserve">Data from the </w:t>
      </w:r>
      <w:r w:rsidR="00A16163" w:rsidRPr="0014492C">
        <w:t xml:space="preserve">latest </w:t>
      </w:r>
      <w:r w:rsidR="00CA3CCD" w:rsidRPr="0014492C">
        <w:t xml:space="preserve">cut-off </w:t>
      </w:r>
      <w:r w:rsidR="00A16163" w:rsidRPr="0014492C">
        <w:t xml:space="preserve">were </w:t>
      </w:r>
      <w:r w:rsidRPr="0014492C">
        <w:t>used in the economic evaluation.</w:t>
      </w:r>
      <w:r w:rsidR="0030425F">
        <w:t xml:space="preserve"> </w:t>
      </w:r>
    </w:p>
    <w:bookmarkEnd w:id="26"/>
    <w:p w:rsidR="00AC2E48" w:rsidRPr="00B17639" w:rsidRDefault="00AC2E48" w:rsidP="00AC2E48">
      <w:pPr>
        <w:pStyle w:val="TableHeading0"/>
      </w:pPr>
    </w:p>
    <w:p w:rsidR="00344602" w:rsidRDefault="00344602">
      <w:pPr>
        <w:spacing w:before="0" w:line="259" w:lineRule="auto"/>
        <w:rPr>
          <w:rFonts w:ascii="Arial Narrow" w:hAnsi="Arial Narrow"/>
          <w:b/>
          <w:sz w:val="20"/>
        </w:rPr>
      </w:pPr>
      <w:r>
        <w:br w:type="page"/>
      </w:r>
    </w:p>
    <w:p w:rsidR="00F75B28" w:rsidRPr="00B17639" w:rsidRDefault="00F75B28" w:rsidP="00D03FCB">
      <w:pPr>
        <w:pStyle w:val="TableHeading0"/>
      </w:pPr>
      <w:r w:rsidRPr="00B17639">
        <w:lastRenderedPageBreak/>
        <w:t xml:space="preserve">Table </w:t>
      </w:r>
      <w:r w:rsidR="008324E7">
        <w:t>6</w:t>
      </w:r>
      <w:r w:rsidRPr="00B17639">
        <w:t>: Results of additional overall survival data from Study 205</w:t>
      </w:r>
    </w:p>
    <w:tbl>
      <w:tblPr>
        <w:tblStyle w:val="TableGridbeth2"/>
        <w:tblW w:w="5000" w:type="pct"/>
        <w:tblLook w:val="04A0" w:firstRow="1" w:lastRow="0" w:firstColumn="1" w:lastColumn="0" w:noHBand="0" w:noVBand="1"/>
        <w:tblCaption w:val="Table 6: Results of additional overall survival data from Study 205"/>
      </w:tblPr>
      <w:tblGrid>
        <w:gridCol w:w="1053"/>
        <w:gridCol w:w="1053"/>
        <w:gridCol w:w="1449"/>
        <w:gridCol w:w="1054"/>
        <w:gridCol w:w="1054"/>
        <w:gridCol w:w="1054"/>
        <w:gridCol w:w="1054"/>
        <w:gridCol w:w="1471"/>
      </w:tblGrid>
      <w:tr w:rsidR="00D823CD" w:rsidRPr="00B17639" w:rsidTr="002119FA">
        <w:trPr>
          <w:cnfStyle w:val="100000000000" w:firstRow="1" w:lastRow="0" w:firstColumn="0" w:lastColumn="0" w:oddVBand="0" w:evenVBand="0" w:oddHBand="0" w:evenHBand="0" w:firstRowFirstColumn="0" w:firstRowLastColumn="0" w:lastRowFirstColumn="0" w:lastRowLastColumn="0"/>
          <w:tblHeader/>
        </w:trPr>
        <w:tc>
          <w:tcPr>
            <w:tcW w:w="570" w:type="pct"/>
            <w:vMerge w:val="restart"/>
            <w:tcBorders>
              <w:top w:val="single" w:sz="4" w:space="0" w:color="auto"/>
              <w:left w:val="single" w:sz="4" w:space="0" w:color="auto"/>
              <w:right w:val="single" w:sz="4" w:space="0" w:color="auto"/>
            </w:tcBorders>
            <w:shd w:val="clear" w:color="auto" w:fill="auto"/>
            <w:vAlign w:val="center"/>
          </w:tcPr>
          <w:p w:rsidR="00D823CD" w:rsidRPr="00B17639" w:rsidRDefault="00D823CD" w:rsidP="00D823CD">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Data cut</w:t>
            </w:r>
          </w:p>
        </w:tc>
        <w:tc>
          <w:tcPr>
            <w:tcW w:w="1354" w:type="pct"/>
            <w:gridSpan w:val="2"/>
            <w:tcBorders>
              <w:top w:val="single" w:sz="4" w:space="0" w:color="auto"/>
              <w:left w:val="single" w:sz="4" w:space="0" w:color="auto"/>
              <w:bottom w:val="single" w:sz="4" w:space="0" w:color="auto"/>
              <w:right w:val="single" w:sz="4" w:space="0" w:color="auto"/>
            </w:tcBorders>
            <w:shd w:val="clear" w:color="auto" w:fill="auto"/>
          </w:tcPr>
          <w:p w:rsidR="00D823CD" w:rsidRPr="00B17639" w:rsidRDefault="00D823CD" w:rsidP="00D823CD">
            <w:pPr>
              <w:spacing w:before="0"/>
              <w:jc w:val="cente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Lenvatinib/everolimus</w:t>
            </w:r>
          </w:p>
        </w:tc>
        <w:tc>
          <w:tcPr>
            <w:tcW w:w="1139" w:type="pct"/>
            <w:gridSpan w:val="2"/>
            <w:tcBorders>
              <w:top w:val="single" w:sz="4" w:space="0" w:color="auto"/>
              <w:left w:val="single" w:sz="4" w:space="0" w:color="auto"/>
              <w:bottom w:val="single" w:sz="4" w:space="0" w:color="auto"/>
              <w:right w:val="single" w:sz="4" w:space="0" w:color="auto"/>
            </w:tcBorders>
            <w:shd w:val="clear" w:color="auto" w:fill="auto"/>
          </w:tcPr>
          <w:p w:rsidR="00D823CD" w:rsidRPr="00B17639" w:rsidRDefault="00D823CD" w:rsidP="00D823CD">
            <w:pPr>
              <w:spacing w:before="0"/>
              <w:jc w:val="cente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Everolimus 10</w:t>
            </w:r>
            <w:r w:rsidR="00FB5440">
              <w:rPr>
                <w:rFonts w:ascii="Arial Narrow" w:eastAsia="Times New Roman" w:hAnsi="Arial Narrow" w:cs="Times New Roman"/>
                <w:sz w:val="20"/>
                <w:szCs w:val="20"/>
                <w:lang w:eastAsia="en-AU"/>
              </w:rPr>
              <w:t xml:space="preserve"> </w:t>
            </w:r>
            <w:r w:rsidRPr="00B17639">
              <w:rPr>
                <w:rFonts w:ascii="Arial Narrow" w:eastAsia="Times New Roman" w:hAnsi="Arial Narrow" w:cs="Times New Roman"/>
                <w:sz w:val="20"/>
                <w:szCs w:val="20"/>
                <w:lang w:eastAsia="en-AU"/>
              </w:rPr>
              <w:t>mg</w:t>
            </w:r>
          </w:p>
        </w:tc>
        <w:tc>
          <w:tcPr>
            <w:tcW w:w="570" w:type="pct"/>
            <w:vMerge w:val="restart"/>
            <w:tcBorders>
              <w:top w:val="single" w:sz="4" w:space="0" w:color="auto"/>
              <w:left w:val="single" w:sz="4" w:space="0" w:color="auto"/>
              <w:right w:val="single" w:sz="4" w:space="0" w:color="auto"/>
            </w:tcBorders>
            <w:shd w:val="clear" w:color="auto" w:fill="auto"/>
            <w:vAlign w:val="center"/>
          </w:tcPr>
          <w:p w:rsidR="00D823CD" w:rsidRPr="00B17639" w:rsidRDefault="00D823CD" w:rsidP="00D823CD">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Difference in Median, months</w:t>
            </w:r>
          </w:p>
        </w:tc>
        <w:tc>
          <w:tcPr>
            <w:tcW w:w="570" w:type="pct"/>
            <w:vMerge w:val="restart"/>
            <w:tcBorders>
              <w:top w:val="single" w:sz="4" w:space="0" w:color="auto"/>
              <w:left w:val="single" w:sz="4" w:space="0" w:color="auto"/>
              <w:right w:val="single" w:sz="4" w:space="0" w:color="auto"/>
            </w:tcBorders>
            <w:shd w:val="clear" w:color="auto" w:fill="auto"/>
            <w:vAlign w:val="center"/>
          </w:tcPr>
          <w:p w:rsidR="00D823CD" w:rsidRPr="00B17639" w:rsidRDefault="00D823CD" w:rsidP="00D823CD">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P-value</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D823CD" w:rsidRPr="00B17639" w:rsidRDefault="00D823CD" w:rsidP="00D823CD">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HR (95% CI)</w:t>
            </w:r>
          </w:p>
        </w:tc>
      </w:tr>
      <w:tr w:rsidR="00D823CD" w:rsidRPr="00B17639" w:rsidTr="002119FA">
        <w:trPr>
          <w:cnfStyle w:val="100000000000" w:firstRow="1" w:lastRow="0" w:firstColumn="0" w:lastColumn="0" w:oddVBand="0" w:evenVBand="0" w:oddHBand="0" w:evenHBand="0" w:firstRowFirstColumn="0" w:firstRowLastColumn="0" w:lastRowFirstColumn="0" w:lastRowLastColumn="0"/>
          <w:tblHeader/>
        </w:trPr>
        <w:tc>
          <w:tcPr>
            <w:tcW w:w="570" w:type="pct"/>
            <w:vMerge/>
            <w:tcBorders>
              <w:left w:val="single" w:sz="4" w:space="0" w:color="auto"/>
              <w:bottom w:val="single" w:sz="4" w:space="0" w:color="auto"/>
              <w:right w:val="single" w:sz="4" w:space="0" w:color="auto"/>
            </w:tcBorders>
            <w:shd w:val="clear" w:color="auto" w:fill="auto"/>
          </w:tcPr>
          <w:p w:rsidR="00D823CD" w:rsidRPr="00B17639" w:rsidRDefault="00D823CD" w:rsidP="00426729">
            <w:pPr>
              <w:spacing w:before="0"/>
              <w:rPr>
                <w:rFonts w:ascii="Arial Narrow" w:eastAsia="Times New Roman" w:hAnsi="Arial Narrow" w:cs="Times New Roman"/>
                <w:sz w:val="20"/>
                <w:szCs w:val="20"/>
                <w:lang w:eastAsia="en-AU"/>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D823CD" w:rsidRPr="00B17639" w:rsidRDefault="00D823CD" w:rsidP="00426729">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n/N with event (%)</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D823CD" w:rsidRPr="00B17639" w:rsidRDefault="00D823CD" w:rsidP="00426729">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Median</w:t>
            </w:r>
            <w:r w:rsidR="00F42FA9" w:rsidRPr="00B17639">
              <w:rPr>
                <w:rFonts w:ascii="Arial Narrow" w:eastAsia="Times New Roman" w:hAnsi="Arial Narrow" w:cs="Times New Roman"/>
                <w:sz w:val="20"/>
                <w:szCs w:val="20"/>
                <w:lang w:eastAsia="en-AU"/>
              </w:rPr>
              <w:t xml:space="preserve">, months </w:t>
            </w:r>
            <w:r w:rsidRPr="00B17639">
              <w:rPr>
                <w:rFonts w:ascii="Arial Narrow" w:eastAsia="Times New Roman" w:hAnsi="Arial Narrow" w:cs="Times New Roman"/>
                <w:sz w:val="20"/>
                <w:szCs w:val="20"/>
                <w:lang w:eastAsia="en-AU"/>
              </w:rPr>
              <w:t>(95% CI)</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D823CD" w:rsidRPr="00B17639" w:rsidRDefault="00D823CD" w:rsidP="00426729">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n/N with event (%)</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D823CD" w:rsidRPr="00B17639" w:rsidRDefault="004C4155" w:rsidP="00426729">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 xml:space="preserve">Median, months </w:t>
            </w:r>
            <w:r w:rsidR="00D823CD" w:rsidRPr="00B17639">
              <w:rPr>
                <w:rFonts w:ascii="Arial Narrow" w:eastAsia="Times New Roman" w:hAnsi="Arial Narrow" w:cs="Times New Roman"/>
                <w:sz w:val="20"/>
                <w:szCs w:val="20"/>
                <w:lang w:eastAsia="en-AU"/>
              </w:rPr>
              <w:t>(95% CI)</w:t>
            </w:r>
          </w:p>
        </w:tc>
        <w:tc>
          <w:tcPr>
            <w:tcW w:w="570" w:type="pct"/>
            <w:vMerge/>
            <w:tcBorders>
              <w:left w:val="single" w:sz="4" w:space="0" w:color="auto"/>
              <w:bottom w:val="single" w:sz="4" w:space="0" w:color="auto"/>
              <w:right w:val="single" w:sz="4" w:space="0" w:color="auto"/>
            </w:tcBorders>
            <w:shd w:val="clear" w:color="auto" w:fill="auto"/>
          </w:tcPr>
          <w:p w:rsidR="00D823CD" w:rsidRPr="00B17639" w:rsidRDefault="00D823CD" w:rsidP="00426729">
            <w:pPr>
              <w:spacing w:before="0"/>
              <w:rPr>
                <w:rFonts w:ascii="Arial Narrow" w:eastAsia="Times New Roman" w:hAnsi="Arial Narrow" w:cs="Times New Roman"/>
                <w:sz w:val="20"/>
                <w:szCs w:val="20"/>
                <w:lang w:eastAsia="en-AU"/>
              </w:rPr>
            </w:pPr>
          </w:p>
        </w:tc>
        <w:tc>
          <w:tcPr>
            <w:tcW w:w="570" w:type="pct"/>
            <w:vMerge/>
            <w:tcBorders>
              <w:left w:val="single" w:sz="4" w:space="0" w:color="auto"/>
              <w:bottom w:val="single" w:sz="4" w:space="0" w:color="auto"/>
              <w:right w:val="single" w:sz="4" w:space="0" w:color="auto"/>
            </w:tcBorders>
            <w:shd w:val="clear" w:color="auto" w:fill="auto"/>
          </w:tcPr>
          <w:p w:rsidR="00D823CD" w:rsidRPr="00B17639" w:rsidRDefault="00D823CD" w:rsidP="00426729">
            <w:pPr>
              <w:spacing w:before="0"/>
              <w:rPr>
                <w:rFonts w:ascii="Arial Narrow" w:eastAsia="Times New Roman" w:hAnsi="Arial Narrow" w:cs="Times New Roman"/>
                <w:sz w:val="20"/>
                <w:szCs w:val="20"/>
                <w:lang w:eastAsia="en-AU"/>
              </w:rPr>
            </w:pPr>
          </w:p>
        </w:tc>
        <w:tc>
          <w:tcPr>
            <w:tcW w:w="796" w:type="pct"/>
            <w:vMerge/>
            <w:tcBorders>
              <w:left w:val="single" w:sz="4" w:space="0" w:color="auto"/>
              <w:bottom w:val="single" w:sz="4" w:space="0" w:color="auto"/>
              <w:right w:val="single" w:sz="4" w:space="0" w:color="auto"/>
            </w:tcBorders>
            <w:shd w:val="clear" w:color="auto" w:fill="auto"/>
          </w:tcPr>
          <w:p w:rsidR="00D823CD" w:rsidRPr="00B17639" w:rsidRDefault="00D823CD" w:rsidP="00426729">
            <w:pPr>
              <w:spacing w:before="0"/>
              <w:rPr>
                <w:rFonts w:ascii="Arial Narrow" w:eastAsia="Times New Roman" w:hAnsi="Arial Narrow" w:cs="Times New Roman"/>
                <w:sz w:val="20"/>
                <w:szCs w:val="20"/>
                <w:lang w:eastAsia="en-AU"/>
              </w:rPr>
            </w:pPr>
          </w:p>
        </w:tc>
      </w:tr>
      <w:tr w:rsidR="00F75B28" w:rsidRPr="00B17639">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lang w:eastAsia="en-AU"/>
              </w:rPr>
            </w:pPr>
            <w:r w:rsidRPr="00B17639">
              <w:rPr>
                <w:rFonts w:ascii="Arial Narrow" w:eastAsia="Times New Roman" w:hAnsi="Arial Narrow" w:cs="Times New Roman"/>
                <w:sz w:val="20"/>
                <w:szCs w:val="20"/>
                <w:lang w:eastAsia="en-AU"/>
              </w:rPr>
              <w:t>13</w:t>
            </w:r>
            <w:r w:rsidRPr="00B17639">
              <w:rPr>
                <w:rFonts w:ascii="Arial Narrow" w:eastAsia="Times New Roman" w:hAnsi="Arial Narrow" w:cs="Times New Roman"/>
                <w:sz w:val="20"/>
                <w:szCs w:val="20"/>
                <w:vertAlign w:val="superscript"/>
                <w:lang w:eastAsia="en-AU"/>
              </w:rPr>
              <w:t>th</w:t>
            </w:r>
            <w:r w:rsidRPr="00B17639">
              <w:rPr>
                <w:rFonts w:ascii="Arial Narrow" w:eastAsia="Times New Roman" w:hAnsi="Arial Narrow" w:cs="Times New Roman"/>
                <w:sz w:val="20"/>
                <w:szCs w:val="20"/>
                <w:lang w:eastAsia="en-AU"/>
              </w:rPr>
              <w:t xml:space="preserve"> June 2014</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19/51 (37%)</w:t>
            </w:r>
          </w:p>
        </w:tc>
        <w:tc>
          <w:tcPr>
            <w:tcW w:w="784"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25.5 (20.8, 25.5)</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26/50 (52%)</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17.5 (11.8, NE)</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8.0</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0.062</w:t>
            </w:r>
          </w:p>
        </w:tc>
        <w:tc>
          <w:tcPr>
            <w:tcW w:w="796"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0.55 (0.30, 1.01)</w:t>
            </w:r>
          </w:p>
        </w:tc>
      </w:tr>
      <w:tr w:rsidR="00F75B28" w:rsidRPr="00B17639">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10</w:t>
            </w:r>
            <w:r w:rsidRPr="00B17639">
              <w:rPr>
                <w:rFonts w:ascii="Arial Narrow" w:eastAsia="Times New Roman" w:hAnsi="Arial Narrow" w:cs="Times New Roman"/>
                <w:sz w:val="20"/>
                <w:szCs w:val="20"/>
                <w:vertAlign w:val="superscript"/>
                <w:lang w:eastAsia="en-AU"/>
              </w:rPr>
              <w:t>th</w:t>
            </w:r>
            <w:r w:rsidRPr="00B17639">
              <w:rPr>
                <w:rFonts w:ascii="Arial Narrow" w:eastAsia="Times New Roman" w:hAnsi="Arial Narrow" w:cs="Times New Roman"/>
                <w:sz w:val="20"/>
                <w:szCs w:val="20"/>
                <w:lang w:eastAsia="en-AU"/>
              </w:rPr>
              <w:t xml:space="preserve"> December 2014</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24/51 (47%)</w:t>
            </w:r>
          </w:p>
        </w:tc>
        <w:tc>
          <w:tcPr>
            <w:tcW w:w="784"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25.5 (16.4, NE)</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33/50 (66%)</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15.4 (11.8, 19.6)</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10.1</w:t>
            </w:r>
          </w:p>
        </w:tc>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0.024</w:t>
            </w:r>
          </w:p>
        </w:tc>
        <w:tc>
          <w:tcPr>
            <w:tcW w:w="796"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0.51 (0.30, 0.88)</w:t>
            </w:r>
          </w:p>
        </w:tc>
      </w:tr>
      <w:tr w:rsidR="00F75B28" w:rsidRPr="00B17639">
        <w:tc>
          <w:tcPr>
            <w:tcW w:w="570" w:type="pct"/>
            <w:tcBorders>
              <w:top w:val="single" w:sz="4" w:space="0" w:color="auto"/>
              <w:left w:val="single" w:sz="4" w:space="0" w:color="auto"/>
              <w:bottom w:val="single" w:sz="4" w:space="0" w:color="auto"/>
              <w:right w:val="single" w:sz="4" w:space="0" w:color="auto"/>
            </w:tcBorders>
          </w:tcPr>
          <w:p w:rsidR="00F75B28" w:rsidRPr="00B17639" w:rsidRDefault="00F75B28" w:rsidP="00F75B28">
            <w:pPr>
              <w:spacing w:before="0"/>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31</w:t>
            </w:r>
            <w:r w:rsidRPr="00B17639">
              <w:rPr>
                <w:rFonts w:ascii="Arial Narrow" w:eastAsia="Times New Roman" w:hAnsi="Arial Narrow" w:cs="Times New Roman"/>
                <w:sz w:val="20"/>
                <w:szCs w:val="20"/>
                <w:vertAlign w:val="superscript"/>
                <w:lang w:eastAsia="en-AU"/>
              </w:rPr>
              <w:t>st</w:t>
            </w:r>
            <w:r w:rsidRPr="00B17639">
              <w:rPr>
                <w:rFonts w:ascii="Arial Narrow" w:eastAsia="Times New Roman" w:hAnsi="Arial Narrow" w:cs="Times New Roman"/>
                <w:sz w:val="20"/>
                <w:szCs w:val="20"/>
                <w:lang w:eastAsia="en-AU"/>
              </w:rPr>
              <w:t xml:space="preserve"> July 2015</w:t>
            </w:r>
          </w:p>
        </w:tc>
        <w:tc>
          <w:tcPr>
            <w:tcW w:w="570" w:type="pct"/>
            <w:tcBorders>
              <w:top w:val="single" w:sz="4" w:space="0" w:color="auto"/>
              <w:left w:val="single" w:sz="4" w:space="0" w:color="auto"/>
              <w:bottom w:val="single" w:sz="4" w:space="0" w:color="auto"/>
              <w:right w:val="single" w:sz="4" w:space="0" w:color="auto"/>
            </w:tcBorders>
          </w:tcPr>
          <w:p w:rsidR="00F75B28" w:rsidRPr="0089293C" w:rsidRDefault="0089293C" w:rsidP="00F75B28">
            <w:pPr>
              <w:spacing w:before="0"/>
              <w:rPr>
                <w:rFonts w:ascii="Arial Narrow" w:eastAsia="Times New Roman" w:hAnsi="Arial Narrow" w:cs="Times New Roman"/>
                <w:sz w:val="20"/>
                <w:szCs w:val="20"/>
                <w:highlight w:val="black"/>
                <w:lang w:eastAsia="en-AU"/>
              </w:rPr>
            </w:pPr>
            <w:r>
              <w:rPr>
                <w:rFonts w:ascii="Arial Narrow" w:eastAsia="Times New Roman" w:hAnsi="Arial Narrow" w:cs="Times New Roman"/>
                <w:noProof/>
                <w:color w:val="000000"/>
                <w:sz w:val="20"/>
                <w:szCs w:val="20"/>
                <w:highlight w:val="black"/>
                <w:lang w:eastAsia="en-AU"/>
              </w:rPr>
              <w:t>''''''''''''''' ''''''''''''''</w:t>
            </w:r>
          </w:p>
        </w:tc>
        <w:tc>
          <w:tcPr>
            <w:tcW w:w="784" w:type="pct"/>
            <w:tcBorders>
              <w:top w:val="single" w:sz="4" w:space="0" w:color="auto"/>
              <w:left w:val="single" w:sz="4" w:space="0" w:color="auto"/>
              <w:bottom w:val="single" w:sz="4" w:space="0" w:color="auto"/>
              <w:right w:val="single" w:sz="4" w:space="0" w:color="auto"/>
            </w:tcBorders>
          </w:tcPr>
          <w:p w:rsidR="00F75B28" w:rsidRPr="0089293C" w:rsidRDefault="0089293C" w:rsidP="00F75B28">
            <w:pPr>
              <w:spacing w:before="0"/>
              <w:rPr>
                <w:rFonts w:ascii="Arial Narrow" w:eastAsia="Times New Roman" w:hAnsi="Arial Narrow" w:cs="Times New Roman"/>
                <w:sz w:val="20"/>
                <w:szCs w:val="20"/>
                <w:highlight w:val="black"/>
                <w:lang w:eastAsia="en-AU"/>
              </w:rPr>
            </w:pPr>
            <w:r>
              <w:rPr>
                <w:rFonts w:ascii="Arial Narrow" w:eastAsia="Times New Roman" w:hAnsi="Arial Narrow" w:cs="Times New Roman"/>
                <w:noProof/>
                <w:color w:val="000000"/>
                <w:sz w:val="20"/>
                <w:szCs w:val="20"/>
                <w:highlight w:val="black"/>
                <w:lang w:eastAsia="en-AU"/>
              </w:rPr>
              <w:t>'''''''''' ''''''''''''''' ''''''''''''</w:t>
            </w:r>
          </w:p>
        </w:tc>
        <w:tc>
          <w:tcPr>
            <w:tcW w:w="570" w:type="pct"/>
            <w:tcBorders>
              <w:top w:val="single" w:sz="4" w:space="0" w:color="auto"/>
              <w:left w:val="single" w:sz="4" w:space="0" w:color="auto"/>
              <w:bottom w:val="single" w:sz="4" w:space="0" w:color="auto"/>
              <w:right w:val="single" w:sz="4" w:space="0" w:color="auto"/>
            </w:tcBorders>
          </w:tcPr>
          <w:p w:rsidR="00F75B28" w:rsidRPr="0089293C" w:rsidRDefault="0089293C" w:rsidP="00F75B28">
            <w:pPr>
              <w:spacing w:before="0"/>
              <w:rPr>
                <w:rFonts w:ascii="Arial Narrow" w:eastAsia="Times New Roman" w:hAnsi="Arial Narrow" w:cs="Times New Roman"/>
                <w:sz w:val="20"/>
                <w:szCs w:val="20"/>
                <w:highlight w:val="black"/>
                <w:lang w:eastAsia="en-AU"/>
              </w:rPr>
            </w:pPr>
            <w:r>
              <w:rPr>
                <w:rFonts w:ascii="Arial Narrow" w:eastAsia="Times New Roman" w:hAnsi="Arial Narrow" w:cs="Times New Roman"/>
                <w:noProof/>
                <w:color w:val="000000"/>
                <w:sz w:val="20"/>
                <w:szCs w:val="20"/>
                <w:highlight w:val="black"/>
                <w:lang w:eastAsia="en-AU"/>
              </w:rPr>
              <w:t>''''''''''''' ''''''''''''''</w:t>
            </w:r>
          </w:p>
        </w:tc>
        <w:tc>
          <w:tcPr>
            <w:tcW w:w="570" w:type="pct"/>
            <w:tcBorders>
              <w:top w:val="single" w:sz="4" w:space="0" w:color="auto"/>
              <w:left w:val="single" w:sz="4" w:space="0" w:color="auto"/>
              <w:bottom w:val="single" w:sz="4" w:space="0" w:color="auto"/>
              <w:right w:val="single" w:sz="4" w:space="0" w:color="auto"/>
            </w:tcBorders>
          </w:tcPr>
          <w:p w:rsidR="00F75B28" w:rsidRPr="0089293C" w:rsidRDefault="0089293C" w:rsidP="00F75B28">
            <w:pPr>
              <w:spacing w:before="0"/>
              <w:rPr>
                <w:rFonts w:ascii="Arial Narrow" w:eastAsia="Times New Roman" w:hAnsi="Arial Narrow" w:cs="Times New Roman"/>
                <w:sz w:val="20"/>
                <w:szCs w:val="20"/>
                <w:highlight w:val="black"/>
                <w:lang w:eastAsia="en-AU"/>
              </w:rPr>
            </w:pPr>
            <w:r>
              <w:rPr>
                <w:rFonts w:ascii="Arial Narrow" w:eastAsia="Times New Roman" w:hAnsi="Arial Narrow" w:cs="Times New Roman"/>
                <w:noProof/>
                <w:color w:val="000000"/>
                <w:sz w:val="20"/>
                <w:szCs w:val="20"/>
                <w:highlight w:val="black"/>
                <w:lang w:eastAsia="en-AU"/>
              </w:rPr>
              <w:t>'''''''''' ''''''''''''''' '''''''''''''</w:t>
            </w:r>
          </w:p>
        </w:tc>
        <w:tc>
          <w:tcPr>
            <w:tcW w:w="570" w:type="pct"/>
            <w:tcBorders>
              <w:top w:val="single" w:sz="4" w:space="0" w:color="auto"/>
              <w:left w:val="single" w:sz="4" w:space="0" w:color="auto"/>
              <w:bottom w:val="single" w:sz="4" w:space="0" w:color="auto"/>
              <w:right w:val="single" w:sz="4" w:space="0" w:color="auto"/>
            </w:tcBorders>
          </w:tcPr>
          <w:p w:rsidR="00F75B28" w:rsidRPr="0089293C" w:rsidRDefault="0089293C" w:rsidP="00F75B28">
            <w:pPr>
              <w:spacing w:before="0"/>
              <w:rPr>
                <w:rFonts w:ascii="Arial Narrow" w:eastAsia="Times New Roman" w:hAnsi="Arial Narrow" w:cs="Times New Roman"/>
                <w:sz w:val="20"/>
                <w:szCs w:val="20"/>
                <w:highlight w:val="black"/>
                <w:lang w:eastAsia="en-AU"/>
              </w:rPr>
            </w:pPr>
            <w:r>
              <w:rPr>
                <w:rFonts w:ascii="Arial Narrow" w:eastAsia="Times New Roman" w:hAnsi="Arial Narrow" w:cs="Times New Roman"/>
                <w:noProof/>
                <w:color w:val="000000"/>
                <w:sz w:val="20"/>
                <w:szCs w:val="20"/>
                <w:highlight w:val="black"/>
                <w:lang w:eastAsia="en-AU"/>
              </w:rPr>
              <w:t>'''''''''''</w:t>
            </w:r>
          </w:p>
        </w:tc>
        <w:tc>
          <w:tcPr>
            <w:tcW w:w="570" w:type="pct"/>
            <w:tcBorders>
              <w:top w:val="single" w:sz="4" w:space="0" w:color="auto"/>
              <w:left w:val="single" w:sz="4" w:space="0" w:color="auto"/>
              <w:bottom w:val="single" w:sz="4" w:space="0" w:color="auto"/>
              <w:right w:val="single" w:sz="4" w:space="0" w:color="auto"/>
            </w:tcBorders>
          </w:tcPr>
          <w:p w:rsidR="00F75B28" w:rsidRPr="0089293C" w:rsidRDefault="0089293C" w:rsidP="00F75B28">
            <w:pPr>
              <w:spacing w:before="0"/>
              <w:rPr>
                <w:rFonts w:ascii="Arial Narrow" w:eastAsia="Times New Roman" w:hAnsi="Arial Narrow" w:cs="Times New Roman"/>
                <w:sz w:val="20"/>
                <w:szCs w:val="20"/>
                <w:highlight w:val="black"/>
                <w:lang w:eastAsia="en-AU"/>
              </w:rPr>
            </w:pPr>
            <w:r>
              <w:rPr>
                <w:rFonts w:ascii="Arial Narrow" w:eastAsia="Times New Roman" w:hAnsi="Arial Narrow" w:cs="Times New Roman"/>
                <w:noProof/>
                <w:color w:val="000000"/>
                <w:sz w:val="20"/>
                <w:szCs w:val="20"/>
                <w:highlight w:val="black"/>
                <w:lang w:eastAsia="en-AU"/>
              </w:rPr>
              <w:t>'''''''''''''</w:t>
            </w:r>
          </w:p>
        </w:tc>
        <w:tc>
          <w:tcPr>
            <w:tcW w:w="796" w:type="pct"/>
            <w:tcBorders>
              <w:top w:val="single" w:sz="4" w:space="0" w:color="auto"/>
              <w:left w:val="single" w:sz="4" w:space="0" w:color="auto"/>
              <w:bottom w:val="single" w:sz="4" w:space="0" w:color="auto"/>
              <w:right w:val="single" w:sz="4" w:space="0" w:color="auto"/>
            </w:tcBorders>
          </w:tcPr>
          <w:p w:rsidR="00F75B28" w:rsidRPr="0089293C" w:rsidRDefault="0089293C" w:rsidP="00F75B28">
            <w:pPr>
              <w:spacing w:before="0"/>
              <w:rPr>
                <w:rFonts w:ascii="Arial Narrow" w:eastAsia="Times New Roman" w:hAnsi="Arial Narrow" w:cs="Times New Roman"/>
                <w:sz w:val="20"/>
                <w:szCs w:val="20"/>
                <w:highlight w:val="black"/>
                <w:lang w:eastAsia="en-AU"/>
              </w:rPr>
            </w:pPr>
            <w:r>
              <w:rPr>
                <w:rFonts w:ascii="Arial Narrow" w:eastAsia="Times New Roman" w:hAnsi="Arial Narrow" w:cs="Times New Roman"/>
                <w:noProof/>
                <w:color w:val="000000"/>
                <w:sz w:val="20"/>
                <w:szCs w:val="20"/>
                <w:highlight w:val="black"/>
                <w:lang w:eastAsia="en-AU"/>
              </w:rPr>
              <w:t>''''''''''' '''''''''''''' ''''''''''''</w:t>
            </w:r>
          </w:p>
        </w:tc>
      </w:tr>
    </w:tbl>
    <w:p w:rsidR="00F75B28" w:rsidRPr="00B17639" w:rsidRDefault="00F75B28" w:rsidP="00147889">
      <w:pPr>
        <w:pStyle w:val="TableFooter"/>
        <w:rPr>
          <w:rFonts w:eastAsia="Calibri"/>
        </w:rPr>
      </w:pPr>
      <w:r w:rsidRPr="00B17639">
        <w:rPr>
          <w:rFonts w:eastAsia="Calibri"/>
        </w:rPr>
        <w:t>Source: Table 2-21, page 71 of submission.</w:t>
      </w:r>
    </w:p>
    <w:p w:rsidR="00F75B28" w:rsidRPr="00B17639" w:rsidRDefault="00F75B28" w:rsidP="00147889">
      <w:pPr>
        <w:pStyle w:val="TableFooter"/>
        <w:rPr>
          <w:rFonts w:eastAsia="Calibri"/>
          <w:szCs w:val="18"/>
        </w:rPr>
      </w:pPr>
      <w:r w:rsidRPr="00B17639">
        <w:rPr>
          <w:rFonts w:eastAsia="Calibri"/>
          <w:szCs w:val="18"/>
        </w:rPr>
        <w:t>Notes: Study 205: Data cut=13</w:t>
      </w:r>
      <w:r w:rsidRPr="00B17639">
        <w:rPr>
          <w:rFonts w:eastAsia="Calibri"/>
          <w:szCs w:val="18"/>
          <w:vertAlign w:val="superscript"/>
        </w:rPr>
        <w:t>th</w:t>
      </w:r>
      <w:r w:rsidRPr="00B17639">
        <w:rPr>
          <w:rFonts w:eastAsia="Calibri"/>
          <w:szCs w:val="18"/>
        </w:rPr>
        <w:t xml:space="preserve"> June 2014, Length of follow-up=18.5 months (median). Data cut = 10</w:t>
      </w:r>
      <w:r w:rsidRPr="00B17639">
        <w:rPr>
          <w:rFonts w:eastAsia="Calibri"/>
          <w:szCs w:val="18"/>
          <w:vertAlign w:val="superscript"/>
        </w:rPr>
        <w:t>th</w:t>
      </w:r>
      <w:r w:rsidRPr="00B17639">
        <w:rPr>
          <w:rFonts w:eastAsia="Calibri"/>
          <w:szCs w:val="18"/>
        </w:rPr>
        <w:t xml:space="preserve"> December 2014, length of follow up = 24.2 months (median). Data cut = 31</w:t>
      </w:r>
      <w:r w:rsidRPr="00B17639">
        <w:rPr>
          <w:rFonts w:eastAsia="Calibri"/>
          <w:szCs w:val="18"/>
          <w:vertAlign w:val="superscript"/>
        </w:rPr>
        <w:t>st</w:t>
      </w:r>
      <w:r w:rsidR="002766D3" w:rsidRPr="00B17639">
        <w:rPr>
          <w:rFonts w:eastAsia="Calibri"/>
          <w:szCs w:val="18"/>
        </w:rPr>
        <w:t xml:space="preserve"> July</w:t>
      </w:r>
      <w:r w:rsidRPr="00B17639">
        <w:rPr>
          <w:rFonts w:eastAsia="Calibri"/>
          <w:szCs w:val="18"/>
        </w:rPr>
        <w:t xml:space="preserve"> 2015, length of follow up -= </w:t>
      </w:r>
      <w:r w:rsidR="0089293C">
        <w:rPr>
          <w:rFonts w:eastAsia="Calibri"/>
          <w:noProof/>
          <w:color w:val="000000"/>
          <w:szCs w:val="18"/>
          <w:highlight w:val="black"/>
        </w:rPr>
        <w:t>''''''''''</w:t>
      </w:r>
      <w:r w:rsidRPr="00B17639">
        <w:rPr>
          <w:rFonts w:eastAsia="Calibri"/>
          <w:szCs w:val="18"/>
        </w:rPr>
        <w:t xml:space="preserve"> months (median)</w:t>
      </w:r>
    </w:p>
    <w:p w:rsidR="00F75B28" w:rsidRPr="00B17639" w:rsidRDefault="00F75B28" w:rsidP="00147889">
      <w:pPr>
        <w:pStyle w:val="TableFooter"/>
        <w:rPr>
          <w:rFonts w:eastAsia="Calibri"/>
        </w:rPr>
      </w:pPr>
      <w:r w:rsidRPr="00B17639">
        <w:rPr>
          <w:rFonts w:eastAsia="Calibri"/>
        </w:rPr>
        <w:t>Abbreviations: CI, confidence interval;</w:t>
      </w:r>
      <w:r w:rsidR="00D823CD" w:rsidRPr="00B17639">
        <w:rPr>
          <w:rFonts w:eastAsia="Calibri"/>
        </w:rPr>
        <w:t xml:space="preserve"> HR, hazard ratio;</w:t>
      </w:r>
      <w:r w:rsidRPr="00B17639">
        <w:rPr>
          <w:rFonts w:eastAsia="Calibri"/>
        </w:rPr>
        <w:t xml:space="preserve"> NE, not evaluable</w:t>
      </w:r>
    </w:p>
    <w:p w:rsidR="00F75B28" w:rsidRPr="00B17639" w:rsidRDefault="00F75B28" w:rsidP="00F75B28">
      <w:pPr>
        <w:pStyle w:val="ListParagraph"/>
        <w:spacing w:before="0" w:after="0"/>
        <w:contextualSpacing/>
        <w:jc w:val="both"/>
      </w:pPr>
    </w:p>
    <w:p w:rsidR="00265FAF" w:rsidRPr="00B17639" w:rsidRDefault="00BA0D86" w:rsidP="005452C5">
      <w:pPr>
        <w:numPr>
          <w:ilvl w:val="1"/>
          <w:numId w:val="1"/>
        </w:numPr>
        <w:jc w:val="both"/>
      </w:pPr>
      <w:bookmarkStart w:id="27" w:name="_Hlk489956103"/>
      <w:r>
        <w:t>The KM plot of OS</w:t>
      </w:r>
      <w:r w:rsidR="00265FAF" w:rsidRPr="00B17639">
        <w:t xml:space="preserve"> in Study 205 (based on the late</w:t>
      </w:r>
      <w:r w:rsidR="006B1EA0" w:rsidRPr="00B17639">
        <w:t>st</w:t>
      </w:r>
      <w:r w:rsidR="00265FAF" w:rsidRPr="00B17639">
        <w:t xml:space="preserve"> cut-off of July 2015) is shown in </w:t>
      </w:r>
      <w:r w:rsidR="00EE0A12" w:rsidRPr="00B17639">
        <w:t xml:space="preserve">Figure </w:t>
      </w:r>
      <w:r w:rsidR="00C60EA1" w:rsidRPr="00B17639">
        <w:t>2</w:t>
      </w:r>
      <w:r w:rsidR="00265FAF" w:rsidRPr="00B17639">
        <w:t xml:space="preserve"> below.</w:t>
      </w:r>
    </w:p>
    <w:bookmarkEnd w:id="27"/>
    <w:p w:rsidR="00CE1B6C" w:rsidRPr="00B17639" w:rsidRDefault="00CE1B6C" w:rsidP="00B00EF0">
      <w:pPr>
        <w:spacing w:before="0" w:after="0"/>
        <w:contextualSpacing/>
        <w:jc w:val="both"/>
      </w:pPr>
    </w:p>
    <w:p w:rsidR="00265FAF" w:rsidRPr="00B17639" w:rsidRDefault="00265FAF" w:rsidP="00F70B8F">
      <w:pPr>
        <w:pStyle w:val="ListParagraph"/>
        <w:keepNext/>
        <w:spacing w:before="0" w:after="0"/>
        <w:ind w:hanging="720"/>
        <w:contextualSpacing/>
        <w:jc w:val="both"/>
        <w:rPr>
          <w:rFonts w:ascii="Arial Narrow" w:hAnsi="Arial Narrow"/>
          <w:b/>
          <w:sz w:val="20"/>
          <w:szCs w:val="20"/>
        </w:rPr>
      </w:pPr>
      <w:r w:rsidRPr="00B17639">
        <w:rPr>
          <w:rFonts w:ascii="Arial Narrow" w:hAnsi="Arial Narrow"/>
          <w:b/>
          <w:sz w:val="20"/>
          <w:szCs w:val="20"/>
        </w:rPr>
        <w:t xml:space="preserve">Figure </w:t>
      </w:r>
      <w:r w:rsidR="00C60EA1" w:rsidRPr="00B17639">
        <w:rPr>
          <w:rFonts w:ascii="Arial Narrow" w:hAnsi="Arial Narrow"/>
          <w:b/>
          <w:sz w:val="20"/>
          <w:szCs w:val="20"/>
        </w:rPr>
        <w:t>2</w:t>
      </w:r>
      <w:r w:rsidRPr="00B17639">
        <w:rPr>
          <w:rFonts w:ascii="Arial Narrow" w:hAnsi="Arial Narrow"/>
          <w:b/>
          <w:sz w:val="20"/>
          <w:szCs w:val="20"/>
        </w:rPr>
        <w:t>: KM plot of OS in Study 205</w:t>
      </w:r>
      <w:r w:rsidR="00AA684F" w:rsidRPr="00B17639">
        <w:rPr>
          <w:rFonts w:ascii="Arial Narrow" w:hAnsi="Arial Narrow"/>
          <w:b/>
          <w:sz w:val="20"/>
          <w:szCs w:val="20"/>
        </w:rPr>
        <w:t xml:space="preserve"> (July 2015 cut-off)</w:t>
      </w:r>
    </w:p>
    <w:p w:rsidR="00265FAF" w:rsidRPr="00B17639" w:rsidRDefault="0089293C" w:rsidP="00265FAF">
      <w:pPr>
        <w:pStyle w:val="ListParagraph"/>
        <w:tabs>
          <w:tab w:val="left" w:pos="90"/>
        </w:tabs>
        <w:spacing w:before="0" w:after="0"/>
        <w:ind w:hanging="720"/>
        <w:contextualSpacing/>
        <w:jc w:val="both"/>
      </w:pPr>
      <w:r>
        <w:rPr>
          <w:noProof/>
          <w:lang w:eastAsia="en-AU"/>
        </w:rPr>
        <w:drawing>
          <wp:inline distT="0" distB="0" distL="0" distR="0">
            <wp:extent cx="5731510" cy="3142615"/>
            <wp:effectExtent l="0" t="0" r="2540" b="63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142615"/>
                    </a:xfrm>
                    <a:prstGeom prst="rect">
                      <a:avLst/>
                    </a:prstGeom>
                  </pic:spPr>
                </pic:pic>
              </a:graphicData>
            </a:graphic>
          </wp:inline>
        </w:drawing>
      </w:r>
    </w:p>
    <w:p w:rsidR="00265FAF" w:rsidRPr="0089293C" w:rsidRDefault="0089293C" w:rsidP="00265FAF">
      <w:pPr>
        <w:spacing w:before="0" w:after="0"/>
        <w:rPr>
          <w:rFonts w:ascii="Arial Narrow" w:hAnsi="Arial Narrow"/>
          <w:sz w:val="18"/>
          <w:szCs w:val="18"/>
          <w:highlight w:val="black"/>
        </w:rPr>
      </w:pPr>
      <w:r>
        <w:rPr>
          <w:rFonts w:ascii="Arial Narrow" w:hAnsi="Arial Narrow"/>
          <w:noProof/>
          <w:color w:val="000000"/>
          <w:sz w:val="18"/>
          <w:szCs w:val="18"/>
          <w:highlight w:val="black"/>
        </w:rPr>
        <w:t>''''''''''''''''''' '''''''''''''' ''''''''' ''''''''''' ''''''' ''''' '''''''''''''''''''''''''''''</w:t>
      </w:r>
    </w:p>
    <w:p w:rsidR="00265FAF" w:rsidRPr="0089293C" w:rsidRDefault="0089293C" w:rsidP="00265FAF">
      <w:pPr>
        <w:spacing w:before="0" w:after="0"/>
        <w:rPr>
          <w:rFonts w:ascii="Arial Narrow" w:hAnsi="Arial Narrow"/>
          <w:sz w:val="18"/>
          <w:szCs w:val="18"/>
          <w:highlight w:val="black"/>
        </w:rPr>
      </w:pPr>
      <w:r>
        <w:rPr>
          <w:rFonts w:ascii="Arial Narrow" w:hAnsi="Arial Narrow"/>
          <w:noProof/>
          <w:color w:val="000000"/>
          <w:sz w:val="18"/>
          <w:szCs w:val="18"/>
          <w:highlight w:val="black"/>
        </w:rPr>
        <w:t>''''''''''''' ''''''''' '''' ''''' ''''''''' ''''''''''''' ''''''''''''''''' ''''' ''' ''''''''''' '''''''''' ''''' '''''''''''''' '''''''''' ''''''''''''''''''''''''''' ''''''' ''''''' ''''''''''''' ''''''' '''''''' ''''' ''''''''''''''''''''''''''''' '''''''''''' '''''''' '''''''' '''''''''''' ''''''''''''''''''''''''' ''''' '''''''' ''''''''''''''''''''''''''''''''</w:t>
      </w:r>
    </w:p>
    <w:p w:rsidR="00571BC9" w:rsidRPr="00B17639" w:rsidRDefault="00571BC9" w:rsidP="00571BC9">
      <w:pPr>
        <w:pStyle w:val="ListParagraph"/>
        <w:ind w:hanging="720"/>
        <w:contextualSpacing/>
        <w:jc w:val="both"/>
      </w:pPr>
    </w:p>
    <w:p w:rsidR="00FB5440" w:rsidRPr="005452C5" w:rsidRDefault="00571BC9" w:rsidP="005452C5">
      <w:pPr>
        <w:numPr>
          <w:ilvl w:val="1"/>
          <w:numId w:val="1"/>
        </w:numPr>
        <w:jc w:val="both"/>
      </w:pPr>
      <w:bookmarkStart w:id="28" w:name="_Hlk489956669"/>
      <w:r w:rsidRPr="002947E6">
        <w:t xml:space="preserve">The </w:t>
      </w:r>
      <w:r w:rsidR="00985C0F" w:rsidRPr="002947E6">
        <w:t xml:space="preserve">results of the indirect comparison between lenvatinib/everolimus and nivolumab are summarised in </w:t>
      </w:r>
      <w:r w:rsidR="008954ED" w:rsidRPr="008F6B22">
        <w:t xml:space="preserve">Table </w:t>
      </w:r>
      <w:r w:rsidR="002A366C">
        <w:t>7</w:t>
      </w:r>
      <w:r w:rsidR="00CE2376" w:rsidRPr="00903A08">
        <w:t xml:space="preserve"> </w:t>
      </w:r>
      <w:r w:rsidR="00985C0F" w:rsidRPr="00903A08">
        <w:t>below. The submission claimed that the resu</w:t>
      </w:r>
      <w:r w:rsidR="00985C0F" w:rsidRPr="002947E6">
        <w:t>lts of this indirect comparison indicated a significantly reduced risk of progression associated with the lenvatinib/everolimus combination compared with nivolumab</w:t>
      </w:r>
      <w:r w:rsidR="00F30B2B" w:rsidRPr="002947E6">
        <w:t xml:space="preserve">. </w:t>
      </w:r>
      <w:r w:rsidR="006913E7" w:rsidRPr="005452C5">
        <w:t xml:space="preserve">The </w:t>
      </w:r>
      <w:r w:rsidR="009F5B42">
        <w:t>PBAC</w:t>
      </w:r>
      <w:r w:rsidR="006913E7" w:rsidRPr="005452C5">
        <w:t xml:space="preserve"> disagreed with this conclusion, noting that such a comparison was biased against nivolumab given that the use of RECIST based assessments of progression are considered to underestimate the impact of immunotherapies on disease progression. </w:t>
      </w:r>
      <w:r w:rsidR="008B2E12" w:rsidRPr="002947E6">
        <w:lastRenderedPageBreak/>
        <w:t xml:space="preserve">The OS </w:t>
      </w:r>
      <w:r w:rsidR="001951B1" w:rsidRPr="002947E6">
        <w:t>difference</w:t>
      </w:r>
      <w:r w:rsidR="008B2E12" w:rsidRPr="002947E6">
        <w:t xml:space="preserve"> for lenvatinib/everolimus</w:t>
      </w:r>
      <w:r w:rsidR="001951B1" w:rsidRPr="00FF53E3">
        <w:t xml:space="preserve"> versus nivolumab in</w:t>
      </w:r>
      <w:r w:rsidR="008B2E12" w:rsidRPr="008F6B22">
        <w:t xml:space="preserve"> the indirect comparison </w:t>
      </w:r>
      <w:r w:rsidR="00173893" w:rsidRPr="002947E6">
        <w:t xml:space="preserve">was </w:t>
      </w:r>
      <w:r w:rsidR="008B2E12" w:rsidRPr="002947E6">
        <w:t>not statistically significant</w:t>
      </w:r>
      <w:r w:rsidR="00173893" w:rsidRPr="002947E6">
        <w:t>.</w:t>
      </w:r>
      <w:r w:rsidR="0085228E" w:rsidRPr="002947E6">
        <w:t xml:space="preserve"> </w:t>
      </w:r>
      <w:r w:rsidR="00195119" w:rsidRPr="002947E6">
        <w:t xml:space="preserve">The </w:t>
      </w:r>
      <w:r w:rsidR="00FF1719" w:rsidRPr="002947E6">
        <w:t>s</w:t>
      </w:r>
      <w:r w:rsidR="00195119" w:rsidRPr="002947E6">
        <w:t xml:space="preserve">ignificance of these results is uncertain given the within </w:t>
      </w:r>
      <w:r w:rsidR="004636CE" w:rsidRPr="002947E6">
        <w:t xml:space="preserve">trial uncertainty as to the </w:t>
      </w:r>
      <w:r w:rsidR="006913E7" w:rsidRPr="002947E6">
        <w:t xml:space="preserve">significance of the </w:t>
      </w:r>
      <w:r w:rsidR="004636CE" w:rsidRPr="002947E6">
        <w:t xml:space="preserve">estimates of </w:t>
      </w:r>
      <w:r w:rsidR="002A595F" w:rsidRPr="002947E6">
        <w:t>OS gain in Study 205.</w:t>
      </w:r>
      <w:r w:rsidR="00D65100" w:rsidRPr="005452C5">
        <w:t xml:space="preserve"> The </w:t>
      </w:r>
      <w:r w:rsidR="009F5B42">
        <w:t>PBAC</w:t>
      </w:r>
      <w:r w:rsidR="00D65100" w:rsidRPr="005452C5">
        <w:t xml:space="preserve"> also noted that while the median survival estimates for lenvatinib/everolimus and nivolumab were of a similar magnitude, those of the common reference, everolimus, differed being more than 2 months higher in CheckMate 025.</w:t>
      </w:r>
    </w:p>
    <w:p w:rsidR="00C27A95" w:rsidRPr="00621246" w:rsidRDefault="00C27A95" w:rsidP="005452C5">
      <w:pPr>
        <w:jc w:val="both"/>
      </w:pPr>
    </w:p>
    <w:bookmarkEnd w:id="28"/>
    <w:p w:rsidR="00516DA4" w:rsidRPr="00B17639" w:rsidRDefault="00F604CD" w:rsidP="006238E3">
      <w:pPr>
        <w:pStyle w:val="TableHeading0"/>
        <w:rPr>
          <w:rFonts w:eastAsia="Calibri" w:cs="Times New Roman"/>
          <w:sz w:val="18"/>
        </w:rPr>
      </w:pPr>
      <w:r w:rsidRPr="00B17639">
        <w:t xml:space="preserve">Table </w:t>
      </w:r>
      <w:r w:rsidR="002A366C">
        <w:t>7</w:t>
      </w:r>
      <w:r w:rsidRPr="00B17639">
        <w:t>: Summary results of the indirect treatment comparison of lenvatinib/everolimus with nivolumab</w:t>
      </w:r>
    </w:p>
    <w:tbl>
      <w:tblPr>
        <w:tblStyle w:val="TableGrid"/>
        <w:tblW w:w="489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Summary results of the indirect treatment comparison of lenvatinib/everolimus with nivolumab"/>
      </w:tblPr>
      <w:tblGrid>
        <w:gridCol w:w="1834"/>
        <w:gridCol w:w="1008"/>
        <w:gridCol w:w="1388"/>
        <w:gridCol w:w="1259"/>
        <w:gridCol w:w="1195"/>
        <w:gridCol w:w="1063"/>
        <w:gridCol w:w="1141"/>
      </w:tblGrid>
      <w:tr w:rsidR="006238E3" w:rsidRPr="00B17639" w:rsidTr="002119FA">
        <w:trPr>
          <w:cnfStyle w:val="100000000000" w:firstRow="1" w:lastRow="0" w:firstColumn="0" w:lastColumn="0" w:oddVBand="0" w:evenVBand="0" w:oddHBand="0" w:evenHBand="0" w:firstRowFirstColumn="0" w:firstRowLastColumn="0" w:lastRowFirstColumn="0" w:lastRowLastColumn="0"/>
          <w:tblHeader/>
        </w:trPr>
        <w:tc>
          <w:tcPr>
            <w:tcW w:w="1032" w:type="pct"/>
            <w:tcBorders>
              <w:bottom w:val="nil"/>
            </w:tcBorders>
            <w:shd w:val="clear" w:color="auto" w:fill="auto"/>
            <w:vAlign w:val="center"/>
          </w:tcPr>
          <w:p w:rsidR="00F604CD" w:rsidRPr="00B17639" w:rsidRDefault="00F604CD" w:rsidP="00B872CF">
            <w:pPr>
              <w:pStyle w:val="TableText"/>
            </w:pPr>
          </w:p>
        </w:tc>
        <w:tc>
          <w:tcPr>
            <w:tcW w:w="1348" w:type="pct"/>
            <w:gridSpan w:val="2"/>
            <w:shd w:val="clear" w:color="auto" w:fill="auto"/>
            <w:vAlign w:val="center"/>
          </w:tcPr>
          <w:p w:rsidR="00F604CD" w:rsidRPr="00B17639" w:rsidRDefault="00F604CD" w:rsidP="00B872CF">
            <w:pPr>
              <w:pStyle w:val="TableText"/>
              <w:jc w:val="center"/>
              <w:rPr>
                <w:b w:val="0"/>
              </w:rPr>
            </w:pPr>
            <w:r w:rsidRPr="00B17639">
              <w:t>Intervention</w:t>
            </w:r>
            <w:r w:rsidRPr="00B17639">
              <w:rPr>
                <w:vertAlign w:val="superscript"/>
              </w:rPr>
              <w:t>a</w:t>
            </w:r>
          </w:p>
        </w:tc>
        <w:tc>
          <w:tcPr>
            <w:tcW w:w="1380" w:type="pct"/>
            <w:gridSpan w:val="2"/>
            <w:shd w:val="clear" w:color="auto" w:fill="auto"/>
            <w:vAlign w:val="center"/>
          </w:tcPr>
          <w:p w:rsidR="00F604CD" w:rsidRPr="00B17639" w:rsidRDefault="00F604CD" w:rsidP="00B872CF">
            <w:pPr>
              <w:pStyle w:val="TableText"/>
              <w:jc w:val="center"/>
              <w:rPr>
                <w:b w:val="0"/>
              </w:rPr>
            </w:pPr>
            <w:r w:rsidRPr="00B17639">
              <w:t>Everolimus</w:t>
            </w:r>
          </w:p>
        </w:tc>
        <w:tc>
          <w:tcPr>
            <w:tcW w:w="598" w:type="pct"/>
            <w:shd w:val="clear" w:color="auto" w:fill="auto"/>
            <w:vAlign w:val="center"/>
          </w:tcPr>
          <w:p w:rsidR="00F604CD" w:rsidRPr="00B17639" w:rsidRDefault="00F604CD" w:rsidP="00B872CF">
            <w:pPr>
              <w:pStyle w:val="TableText"/>
              <w:rPr>
                <w:b w:val="0"/>
              </w:rPr>
            </w:pPr>
          </w:p>
        </w:tc>
        <w:tc>
          <w:tcPr>
            <w:tcW w:w="642" w:type="pct"/>
            <w:vMerge w:val="restart"/>
            <w:shd w:val="clear" w:color="auto" w:fill="auto"/>
            <w:vAlign w:val="center"/>
          </w:tcPr>
          <w:p w:rsidR="00F604CD" w:rsidRPr="00B17639" w:rsidRDefault="00F604CD" w:rsidP="00B872CF">
            <w:pPr>
              <w:pStyle w:val="TableText"/>
              <w:jc w:val="both"/>
              <w:rPr>
                <w:b w:val="0"/>
              </w:rPr>
            </w:pPr>
            <w:r w:rsidRPr="00B17639">
              <w:t>Indirect comparison: HR (95%CI)</w:t>
            </w:r>
          </w:p>
        </w:tc>
      </w:tr>
      <w:tr w:rsidR="006238E3" w:rsidRPr="00B17639" w:rsidTr="002119FA">
        <w:trPr>
          <w:cnfStyle w:val="100000000000" w:firstRow="1" w:lastRow="0" w:firstColumn="0" w:lastColumn="0" w:oddVBand="0" w:evenVBand="0" w:oddHBand="0" w:evenHBand="0" w:firstRowFirstColumn="0" w:firstRowLastColumn="0" w:lastRowFirstColumn="0" w:lastRowLastColumn="0"/>
          <w:tblHeader/>
        </w:trPr>
        <w:tc>
          <w:tcPr>
            <w:tcW w:w="1032" w:type="pct"/>
            <w:tcBorders>
              <w:top w:val="nil"/>
            </w:tcBorders>
            <w:shd w:val="clear" w:color="auto" w:fill="auto"/>
            <w:vAlign w:val="center"/>
          </w:tcPr>
          <w:p w:rsidR="00F604CD" w:rsidRPr="00B17639" w:rsidRDefault="00F604CD" w:rsidP="00B872CF">
            <w:pPr>
              <w:pStyle w:val="TableText"/>
            </w:pPr>
          </w:p>
        </w:tc>
        <w:tc>
          <w:tcPr>
            <w:tcW w:w="567" w:type="pct"/>
            <w:shd w:val="clear" w:color="auto" w:fill="auto"/>
            <w:vAlign w:val="center"/>
          </w:tcPr>
          <w:p w:rsidR="00F604CD" w:rsidRPr="00B17639" w:rsidRDefault="00F604CD" w:rsidP="00B872CF">
            <w:pPr>
              <w:pStyle w:val="TableText"/>
              <w:spacing w:before="0" w:after="0"/>
              <w:rPr>
                <w:b w:val="0"/>
              </w:rPr>
            </w:pPr>
            <w:r w:rsidRPr="00B17639">
              <w:rPr>
                <w:rFonts w:eastAsia="Calibri" w:cs="Times New Roman"/>
                <w:b w:val="0"/>
                <w:szCs w:val="20"/>
                <w:lang w:eastAsia="en-AU"/>
              </w:rPr>
              <w:t>n/N with event (%)</w:t>
            </w:r>
          </w:p>
        </w:tc>
        <w:tc>
          <w:tcPr>
            <w:tcW w:w="781" w:type="pct"/>
            <w:shd w:val="clear" w:color="auto" w:fill="auto"/>
            <w:vAlign w:val="center"/>
          </w:tcPr>
          <w:p w:rsidR="00F604CD" w:rsidRPr="00B17639" w:rsidRDefault="00F604CD" w:rsidP="00B872CF">
            <w:pPr>
              <w:pStyle w:val="TableText"/>
              <w:spacing w:before="0" w:after="0"/>
              <w:rPr>
                <w:rFonts w:eastAsia="Calibri" w:cs="Times New Roman"/>
                <w:b w:val="0"/>
                <w:szCs w:val="20"/>
                <w:lang w:eastAsia="en-AU"/>
              </w:rPr>
            </w:pPr>
            <w:r w:rsidRPr="00B17639">
              <w:rPr>
                <w:rFonts w:eastAsia="Calibri" w:cs="Times New Roman"/>
                <w:b w:val="0"/>
                <w:szCs w:val="20"/>
                <w:lang w:eastAsia="en-AU"/>
              </w:rPr>
              <w:t xml:space="preserve">Median mths </w:t>
            </w:r>
          </w:p>
          <w:p w:rsidR="00F604CD" w:rsidRPr="00B17639" w:rsidRDefault="00F604CD" w:rsidP="00B872CF">
            <w:pPr>
              <w:pStyle w:val="TableText"/>
              <w:spacing w:before="0" w:after="0"/>
              <w:rPr>
                <w:b w:val="0"/>
              </w:rPr>
            </w:pPr>
            <w:r w:rsidRPr="00B17639">
              <w:rPr>
                <w:rFonts w:eastAsia="Calibri" w:cs="Times New Roman"/>
                <w:b w:val="0"/>
                <w:szCs w:val="20"/>
                <w:lang w:eastAsia="en-AU"/>
              </w:rPr>
              <w:t>(95% CI)</w:t>
            </w:r>
          </w:p>
        </w:tc>
        <w:tc>
          <w:tcPr>
            <w:tcW w:w="708" w:type="pct"/>
            <w:shd w:val="clear" w:color="auto" w:fill="auto"/>
            <w:vAlign w:val="center"/>
          </w:tcPr>
          <w:p w:rsidR="00F604CD" w:rsidRPr="00B17639" w:rsidRDefault="00F604CD" w:rsidP="00B872CF">
            <w:pPr>
              <w:pStyle w:val="TableText"/>
              <w:spacing w:before="0" w:after="0"/>
              <w:rPr>
                <w:b w:val="0"/>
              </w:rPr>
            </w:pPr>
            <w:r w:rsidRPr="00B17639">
              <w:rPr>
                <w:rFonts w:eastAsia="Calibri" w:cs="Times New Roman"/>
                <w:b w:val="0"/>
                <w:szCs w:val="20"/>
                <w:lang w:eastAsia="en-AU"/>
              </w:rPr>
              <w:t>n/N with event (%)</w:t>
            </w:r>
          </w:p>
        </w:tc>
        <w:tc>
          <w:tcPr>
            <w:tcW w:w="672" w:type="pct"/>
            <w:shd w:val="clear" w:color="auto" w:fill="auto"/>
            <w:vAlign w:val="center"/>
          </w:tcPr>
          <w:p w:rsidR="00F604CD" w:rsidRPr="00B17639" w:rsidRDefault="00F604CD" w:rsidP="00B872CF">
            <w:pPr>
              <w:pStyle w:val="TableText"/>
              <w:spacing w:before="0" w:after="0"/>
              <w:rPr>
                <w:rFonts w:eastAsia="Calibri" w:cs="Times New Roman"/>
                <w:b w:val="0"/>
                <w:szCs w:val="20"/>
                <w:lang w:eastAsia="en-AU"/>
              </w:rPr>
            </w:pPr>
            <w:r w:rsidRPr="00B17639">
              <w:rPr>
                <w:rFonts w:eastAsia="Calibri" w:cs="Times New Roman"/>
                <w:b w:val="0"/>
                <w:szCs w:val="20"/>
                <w:lang w:eastAsia="en-AU"/>
              </w:rPr>
              <w:t xml:space="preserve">Median mths </w:t>
            </w:r>
          </w:p>
          <w:p w:rsidR="00F604CD" w:rsidRPr="00B17639" w:rsidRDefault="00F604CD" w:rsidP="00B872CF">
            <w:pPr>
              <w:pStyle w:val="TableText"/>
              <w:spacing w:before="0" w:after="0"/>
              <w:rPr>
                <w:b w:val="0"/>
              </w:rPr>
            </w:pPr>
            <w:r w:rsidRPr="00B17639">
              <w:rPr>
                <w:rFonts w:eastAsia="Calibri" w:cs="Times New Roman"/>
                <w:b w:val="0"/>
                <w:szCs w:val="20"/>
                <w:lang w:eastAsia="en-AU"/>
              </w:rPr>
              <w:t>(95% CI)</w:t>
            </w:r>
          </w:p>
        </w:tc>
        <w:tc>
          <w:tcPr>
            <w:tcW w:w="598" w:type="pct"/>
            <w:shd w:val="clear" w:color="auto" w:fill="auto"/>
            <w:vAlign w:val="center"/>
          </w:tcPr>
          <w:p w:rsidR="00F604CD" w:rsidRPr="00B17639" w:rsidRDefault="00F604CD" w:rsidP="00B872CF">
            <w:pPr>
              <w:pStyle w:val="TableText"/>
              <w:rPr>
                <w:b w:val="0"/>
              </w:rPr>
            </w:pPr>
            <w:r w:rsidRPr="00B17639">
              <w:rPr>
                <w:b w:val="0"/>
              </w:rPr>
              <w:t>HR (95% CI)</w:t>
            </w:r>
          </w:p>
        </w:tc>
        <w:tc>
          <w:tcPr>
            <w:tcW w:w="642" w:type="pct"/>
            <w:vMerge/>
            <w:shd w:val="clear" w:color="auto" w:fill="auto"/>
            <w:vAlign w:val="center"/>
          </w:tcPr>
          <w:p w:rsidR="00F604CD" w:rsidRPr="00B17639" w:rsidRDefault="00F604CD" w:rsidP="00B872CF">
            <w:pPr>
              <w:pStyle w:val="TableText"/>
              <w:jc w:val="both"/>
              <w:rPr>
                <w:b w:val="0"/>
              </w:rPr>
            </w:pPr>
          </w:p>
        </w:tc>
      </w:tr>
      <w:tr w:rsidR="00F604CD" w:rsidRPr="00B17639">
        <w:tc>
          <w:tcPr>
            <w:tcW w:w="5000" w:type="pct"/>
            <w:gridSpan w:val="7"/>
            <w:shd w:val="clear" w:color="auto" w:fill="auto"/>
            <w:vAlign w:val="center"/>
          </w:tcPr>
          <w:p w:rsidR="00F604CD" w:rsidRPr="00B17639" w:rsidRDefault="00F604CD" w:rsidP="00B872CF">
            <w:pPr>
              <w:pStyle w:val="TableText"/>
              <w:rPr>
                <w:b/>
              </w:rPr>
            </w:pPr>
            <w:r w:rsidRPr="00B17639">
              <w:rPr>
                <w:b/>
              </w:rPr>
              <w:t>Progression free survival</w:t>
            </w:r>
          </w:p>
        </w:tc>
      </w:tr>
      <w:tr w:rsidR="006238E3" w:rsidRPr="00B17639">
        <w:tc>
          <w:tcPr>
            <w:tcW w:w="1032" w:type="pct"/>
            <w:shd w:val="clear" w:color="auto" w:fill="auto"/>
            <w:vAlign w:val="center"/>
          </w:tcPr>
          <w:p w:rsidR="00F604CD" w:rsidRPr="00B17639" w:rsidRDefault="00F604CD" w:rsidP="00B872CF">
            <w:pPr>
              <w:pStyle w:val="TableText"/>
            </w:pPr>
            <w:r w:rsidRPr="00B17639">
              <w:t>Study 205</w:t>
            </w:r>
          </w:p>
        </w:tc>
        <w:tc>
          <w:tcPr>
            <w:tcW w:w="567" w:type="pct"/>
            <w:shd w:val="clear" w:color="auto" w:fill="auto"/>
            <w:vAlign w:val="center"/>
          </w:tcPr>
          <w:p w:rsidR="00F604CD" w:rsidRPr="00B17639" w:rsidRDefault="00F604CD" w:rsidP="00B872CF">
            <w:pPr>
              <w:pStyle w:val="TableText"/>
              <w:jc w:val="both"/>
            </w:pPr>
            <w:r w:rsidRPr="00B17639">
              <w:t>26/51 (51%)</w:t>
            </w:r>
          </w:p>
        </w:tc>
        <w:tc>
          <w:tcPr>
            <w:tcW w:w="781" w:type="pct"/>
            <w:shd w:val="clear" w:color="auto" w:fill="auto"/>
            <w:vAlign w:val="center"/>
          </w:tcPr>
          <w:p w:rsidR="00F604CD" w:rsidRPr="00B17639" w:rsidRDefault="00F604CD" w:rsidP="00B872CF">
            <w:pPr>
              <w:pStyle w:val="TableText"/>
              <w:jc w:val="both"/>
            </w:pPr>
            <w:r w:rsidRPr="00B17639">
              <w:t>14.6 (5.9, 20.1)</w:t>
            </w:r>
          </w:p>
        </w:tc>
        <w:tc>
          <w:tcPr>
            <w:tcW w:w="708" w:type="pct"/>
            <w:shd w:val="clear" w:color="auto" w:fill="auto"/>
            <w:vAlign w:val="center"/>
          </w:tcPr>
          <w:p w:rsidR="00F604CD" w:rsidRPr="00B17639" w:rsidRDefault="00F604CD" w:rsidP="00B872CF">
            <w:pPr>
              <w:pStyle w:val="TableText"/>
              <w:jc w:val="both"/>
            </w:pPr>
            <w:r w:rsidRPr="00B17639">
              <w:t>37/50 (74%)</w:t>
            </w:r>
          </w:p>
        </w:tc>
        <w:tc>
          <w:tcPr>
            <w:tcW w:w="672" w:type="pct"/>
            <w:shd w:val="clear" w:color="auto" w:fill="auto"/>
            <w:vAlign w:val="center"/>
          </w:tcPr>
          <w:p w:rsidR="00F604CD" w:rsidRPr="00B17639" w:rsidRDefault="00F604CD" w:rsidP="00B872CF">
            <w:pPr>
              <w:pStyle w:val="TableText"/>
            </w:pPr>
            <w:r w:rsidRPr="00B17639">
              <w:t>5.5 (3.5, 7.1)</w:t>
            </w:r>
          </w:p>
        </w:tc>
        <w:tc>
          <w:tcPr>
            <w:tcW w:w="598" w:type="pct"/>
            <w:shd w:val="clear" w:color="auto" w:fill="auto"/>
            <w:vAlign w:val="center"/>
          </w:tcPr>
          <w:p w:rsidR="00F604CD" w:rsidRPr="00B17639" w:rsidRDefault="00F604CD" w:rsidP="00B872CF">
            <w:pPr>
              <w:pStyle w:val="TableText"/>
            </w:pPr>
            <w:r w:rsidRPr="00B17639">
              <w:t>0.4 (0.24, 0.68)</w:t>
            </w:r>
          </w:p>
        </w:tc>
        <w:tc>
          <w:tcPr>
            <w:tcW w:w="642" w:type="pct"/>
            <w:vMerge w:val="restart"/>
            <w:shd w:val="clear" w:color="auto" w:fill="auto"/>
            <w:vAlign w:val="center"/>
          </w:tcPr>
          <w:p w:rsidR="00F604CD" w:rsidRPr="0089293C" w:rsidRDefault="0089293C" w:rsidP="00B872CF">
            <w:pPr>
              <w:pStyle w:val="TableText"/>
              <w:rPr>
                <w:b/>
                <w:highlight w:val="black"/>
              </w:rPr>
            </w:pPr>
            <w:r>
              <w:rPr>
                <w:b/>
                <w:noProof/>
                <w:color w:val="000000"/>
                <w:highlight w:val="black"/>
              </w:rPr>
              <w:t>'''''''' '''''''''''' ''''''''''</w:t>
            </w:r>
          </w:p>
        </w:tc>
      </w:tr>
      <w:tr w:rsidR="006238E3" w:rsidRPr="00B17639">
        <w:tc>
          <w:tcPr>
            <w:tcW w:w="1032" w:type="pct"/>
            <w:shd w:val="clear" w:color="auto" w:fill="auto"/>
            <w:vAlign w:val="center"/>
          </w:tcPr>
          <w:p w:rsidR="00F604CD" w:rsidRPr="00B17639" w:rsidRDefault="00F604CD" w:rsidP="00D65100">
            <w:pPr>
              <w:pStyle w:val="TableText"/>
            </w:pPr>
            <w:r w:rsidRPr="00B17639">
              <w:t>CheckMate 0</w:t>
            </w:r>
            <w:r w:rsidR="00D65100">
              <w:t>2</w:t>
            </w:r>
            <w:r w:rsidRPr="00B17639">
              <w:t>5</w:t>
            </w:r>
          </w:p>
        </w:tc>
        <w:tc>
          <w:tcPr>
            <w:tcW w:w="567" w:type="pct"/>
            <w:shd w:val="clear" w:color="auto" w:fill="auto"/>
            <w:vAlign w:val="center"/>
          </w:tcPr>
          <w:p w:rsidR="00F604CD" w:rsidRPr="00B17639" w:rsidRDefault="00F604CD" w:rsidP="00B872CF">
            <w:pPr>
              <w:pStyle w:val="TableText"/>
              <w:jc w:val="both"/>
            </w:pPr>
            <w:r w:rsidRPr="00B17639">
              <w:t>318/410 (78%</w:t>
            </w:r>
            <w:r w:rsidR="008769E8">
              <w:t>)</w:t>
            </w:r>
          </w:p>
        </w:tc>
        <w:tc>
          <w:tcPr>
            <w:tcW w:w="781" w:type="pct"/>
            <w:shd w:val="clear" w:color="auto" w:fill="auto"/>
            <w:vAlign w:val="center"/>
          </w:tcPr>
          <w:p w:rsidR="00F604CD" w:rsidRPr="00B17639" w:rsidRDefault="00F604CD" w:rsidP="00B872CF">
            <w:pPr>
              <w:pStyle w:val="TableText"/>
              <w:jc w:val="both"/>
            </w:pPr>
            <w:r w:rsidRPr="00B17639">
              <w:t>4.6 (3.7, 5.4)</w:t>
            </w:r>
          </w:p>
        </w:tc>
        <w:tc>
          <w:tcPr>
            <w:tcW w:w="708" w:type="pct"/>
            <w:shd w:val="clear" w:color="auto" w:fill="auto"/>
            <w:vAlign w:val="center"/>
          </w:tcPr>
          <w:p w:rsidR="00F604CD" w:rsidRPr="00B17639" w:rsidRDefault="00F604CD" w:rsidP="00B872CF">
            <w:pPr>
              <w:pStyle w:val="TableText"/>
              <w:jc w:val="both"/>
            </w:pPr>
            <w:r w:rsidRPr="00B17639">
              <w:t>322/411 (78%)</w:t>
            </w:r>
          </w:p>
        </w:tc>
        <w:tc>
          <w:tcPr>
            <w:tcW w:w="672" w:type="pct"/>
            <w:shd w:val="clear" w:color="auto" w:fill="auto"/>
            <w:vAlign w:val="center"/>
          </w:tcPr>
          <w:p w:rsidR="00F604CD" w:rsidRPr="00B17639" w:rsidRDefault="00F604CD" w:rsidP="00B872CF">
            <w:pPr>
              <w:pStyle w:val="TableText"/>
            </w:pPr>
            <w:r w:rsidRPr="00B17639">
              <w:t>4.4 (3.7, 5.5)</w:t>
            </w:r>
          </w:p>
        </w:tc>
        <w:tc>
          <w:tcPr>
            <w:tcW w:w="598" w:type="pct"/>
            <w:shd w:val="clear" w:color="auto" w:fill="auto"/>
            <w:vAlign w:val="center"/>
          </w:tcPr>
          <w:p w:rsidR="00F604CD" w:rsidRPr="00B17639" w:rsidRDefault="00F604CD" w:rsidP="00B872CF">
            <w:pPr>
              <w:pStyle w:val="TableText"/>
            </w:pPr>
            <w:r w:rsidRPr="00B17639">
              <w:t>0.88 (0.75, 1.03)</w:t>
            </w:r>
          </w:p>
        </w:tc>
        <w:tc>
          <w:tcPr>
            <w:tcW w:w="642" w:type="pct"/>
            <w:vMerge/>
            <w:shd w:val="clear" w:color="auto" w:fill="auto"/>
            <w:vAlign w:val="center"/>
          </w:tcPr>
          <w:p w:rsidR="00F604CD" w:rsidRPr="00B17639" w:rsidRDefault="00F604CD" w:rsidP="00B872CF">
            <w:pPr>
              <w:pStyle w:val="TableText"/>
              <w:rPr>
                <w:b/>
              </w:rPr>
            </w:pPr>
          </w:p>
        </w:tc>
      </w:tr>
      <w:tr w:rsidR="00F604CD" w:rsidRPr="00B17639">
        <w:tc>
          <w:tcPr>
            <w:tcW w:w="5000" w:type="pct"/>
            <w:gridSpan w:val="7"/>
            <w:shd w:val="clear" w:color="auto" w:fill="auto"/>
            <w:vAlign w:val="center"/>
          </w:tcPr>
          <w:p w:rsidR="00F604CD" w:rsidRPr="00B17639" w:rsidRDefault="00F604CD" w:rsidP="00B872CF">
            <w:pPr>
              <w:pStyle w:val="TableText"/>
              <w:jc w:val="both"/>
              <w:rPr>
                <w:b/>
              </w:rPr>
            </w:pPr>
            <w:r w:rsidRPr="00B17639">
              <w:rPr>
                <w:b/>
              </w:rPr>
              <w:t>Overall survival</w:t>
            </w:r>
          </w:p>
        </w:tc>
      </w:tr>
      <w:tr w:rsidR="006238E3" w:rsidRPr="00B17639">
        <w:tc>
          <w:tcPr>
            <w:tcW w:w="1032" w:type="pct"/>
            <w:shd w:val="clear" w:color="auto" w:fill="auto"/>
            <w:vAlign w:val="center"/>
          </w:tcPr>
          <w:p w:rsidR="00F604CD" w:rsidRPr="00B17639" w:rsidRDefault="00F604CD" w:rsidP="00B872CF">
            <w:pPr>
              <w:pStyle w:val="TableText"/>
            </w:pPr>
            <w:r w:rsidRPr="00B17639">
              <w:t>Study 205</w:t>
            </w:r>
          </w:p>
        </w:tc>
        <w:tc>
          <w:tcPr>
            <w:tcW w:w="567" w:type="pct"/>
            <w:shd w:val="clear" w:color="auto" w:fill="auto"/>
            <w:vAlign w:val="center"/>
          </w:tcPr>
          <w:p w:rsidR="00F604CD" w:rsidRPr="00B17639" w:rsidRDefault="00F604CD" w:rsidP="00B872CF">
            <w:pPr>
              <w:pStyle w:val="TableText"/>
            </w:pPr>
            <w:r w:rsidRPr="00B17639">
              <w:t>19/51 (37%)</w:t>
            </w:r>
          </w:p>
        </w:tc>
        <w:tc>
          <w:tcPr>
            <w:tcW w:w="781" w:type="pct"/>
            <w:shd w:val="clear" w:color="auto" w:fill="auto"/>
            <w:vAlign w:val="center"/>
          </w:tcPr>
          <w:p w:rsidR="00F604CD" w:rsidRPr="00B17639" w:rsidRDefault="00F604CD" w:rsidP="00B872CF">
            <w:pPr>
              <w:pStyle w:val="TableText"/>
            </w:pPr>
            <w:r w:rsidRPr="00B17639">
              <w:t>25.5 (20.8, 25.5)</w:t>
            </w:r>
          </w:p>
        </w:tc>
        <w:tc>
          <w:tcPr>
            <w:tcW w:w="708" w:type="pct"/>
            <w:shd w:val="clear" w:color="auto" w:fill="auto"/>
            <w:vAlign w:val="center"/>
          </w:tcPr>
          <w:p w:rsidR="00F604CD" w:rsidRPr="00B17639" w:rsidRDefault="00F604CD" w:rsidP="00B872CF">
            <w:pPr>
              <w:pStyle w:val="TableText"/>
              <w:rPr>
                <w:vertAlign w:val="superscript"/>
              </w:rPr>
            </w:pPr>
            <w:r w:rsidRPr="00B17639">
              <w:t>26/50 (52%)</w:t>
            </w:r>
            <w:r w:rsidR="006238E3" w:rsidRPr="00B17639">
              <w:rPr>
                <w:vertAlign w:val="superscript"/>
              </w:rPr>
              <w:t>b</w:t>
            </w:r>
          </w:p>
        </w:tc>
        <w:tc>
          <w:tcPr>
            <w:tcW w:w="672" w:type="pct"/>
            <w:shd w:val="clear" w:color="auto" w:fill="auto"/>
            <w:vAlign w:val="center"/>
          </w:tcPr>
          <w:p w:rsidR="00F604CD" w:rsidRPr="00B17639" w:rsidRDefault="00F604CD" w:rsidP="00B872CF">
            <w:pPr>
              <w:pStyle w:val="TableText"/>
            </w:pPr>
            <w:r w:rsidRPr="00B17639">
              <w:t>17.5 (11.8, NE)</w:t>
            </w:r>
          </w:p>
        </w:tc>
        <w:tc>
          <w:tcPr>
            <w:tcW w:w="598" w:type="pct"/>
            <w:shd w:val="clear" w:color="auto" w:fill="auto"/>
            <w:vAlign w:val="center"/>
          </w:tcPr>
          <w:p w:rsidR="00F604CD" w:rsidRPr="00B17639" w:rsidRDefault="00F604CD" w:rsidP="00B872CF">
            <w:pPr>
              <w:pStyle w:val="TableText"/>
            </w:pPr>
            <w:r w:rsidRPr="00B17639">
              <w:t>0.55 (0.3, 1.01)</w:t>
            </w:r>
          </w:p>
        </w:tc>
        <w:tc>
          <w:tcPr>
            <w:tcW w:w="642" w:type="pct"/>
            <w:vMerge w:val="restart"/>
            <w:shd w:val="clear" w:color="auto" w:fill="auto"/>
            <w:vAlign w:val="center"/>
          </w:tcPr>
          <w:p w:rsidR="00F604CD" w:rsidRPr="0089293C" w:rsidRDefault="0089293C" w:rsidP="00B872CF">
            <w:pPr>
              <w:pStyle w:val="TableText"/>
              <w:rPr>
                <w:b/>
                <w:highlight w:val="black"/>
              </w:rPr>
            </w:pPr>
            <w:r>
              <w:rPr>
                <w:b/>
                <w:noProof/>
                <w:color w:val="000000"/>
                <w:highlight w:val="black"/>
              </w:rPr>
              <w:t>''''''''' ''''''''''' '''''''''''</w:t>
            </w:r>
          </w:p>
        </w:tc>
      </w:tr>
      <w:tr w:rsidR="006238E3" w:rsidRPr="00B17639">
        <w:tc>
          <w:tcPr>
            <w:tcW w:w="1032" w:type="pct"/>
            <w:shd w:val="clear" w:color="auto" w:fill="auto"/>
            <w:vAlign w:val="center"/>
          </w:tcPr>
          <w:p w:rsidR="00F604CD" w:rsidRPr="00B17639" w:rsidRDefault="00F604CD" w:rsidP="00D65100">
            <w:pPr>
              <w:pStyle w:val="TableText"/>
            </w:pPr>
            <w:r w:rsidRPr="00B17639">
              <w:t>CheckMate 0</w:t>
            </w:r>
            <w:r w:rsidR="00D65100">
              <w:t>2</w:t>
            </w:r>
            <w:r w:rsidRPr="00B17639">
              <w:t>5</w:t>
            </w:r>
          </w:p>
        </w:tc>
        <w:tc>
          <w:tcPr>
            <w:tcW w:w="567" w:type="pct"/>
            <w:shd w:val="clear" w:color="auto" w:fill="auto"/>
            <w:vAlign w:val="center"/>
          </w:tcPr>
          <w:p w:rsidR="00F604CD" w:rsidRPr="00B17639" w:rsidRDefault="00F604CD" w:rsidP="00B872CF">
            <w:pPr>
              <w:pStyle w:val="TableText"/>
            </w:pPr>
            <w:r w:rsidRPr="00B17639">
              <w:t>183/410 (45%)</w:t>
            </w:r>
          </w:p>
        </w:tc>
        <w:tc>
          <w:tcPr>
            <w:tcW w:w="781" w:type="pct"/>
            <w:shd w:val="clear" w:color="auto" w:fill="auto"/>
            <w:vAlign w:val="center"/>
          </w:tcPr>
          <w:p w:rsidR="00F604CD" w:rsidRPr="00B17639" w:rsidRDefault="00F604CD" w:rsidP="00B872CF">
            <w:pPr>
              <w:pStyle w:val="TableText"/>
            </w:pPr>
            <w:r w:rsidRPr="00B17639">
              <w:t>25.0 (21.8, NE)</w:t>
            </w:r>
          </w:p>
        </w:tc>
        <w:tc>
          <w:tcPr>
            <w:tcW w:w="708" w:type="pct"/>
            <w:shd w:val="clear" w:color="auto" w:fill="auto"/>
            <w:vAlign w:val="center"/>
          </w:tcPr>
          <w:p w:rsidR="00F604CD" w:rsidRPr="00B17639" w:rsidRDefault="00F604CD" w:rsidP="00B872CF">
            <w:pPr>
              <w:pStyle w:val="TableText"/>
            </w:pPr>
            <w:r w:rsidRPr="00B17639">
              <w:t>215/411 (52%)</w:t>
            </w:r>
          </w:p>
        </w:tc>
        <w:tc>
          <w:tcPr>
            <w:tcW w:w="672" w:type="pct"/>
            <w:shd w:val="clear" w:color="auto" w:fill="auto"/>
            <w:vAlign w:val="center"/>
          </w:tcPr>
          <w:p w:rsidR="00F604CD" w:rsidRPr="00B17639" w:rsidRDefault="00F604CD" w:rsidP="00B872CF">
            <w:pPr>
              <w:pStyle w:val="TableText"/>
            </w:pPr>
            <w:r w:rsidRPr="00B17639">
              <w:t>19.6 (17.6, 23.1)</w:t>
            </w:r>
          </w:p>
        </w:tc>
        <w:tc>
          <w:tcPr>
            <w:tcW w:w="598" w:type="pct"/>
            <w:shd w:val="clear" w:color="auto" w:fill="auto"/>
            <w:vAlign w:val="center"/>
          </w:tcPr>
          <w:p w:rsidR="00F604CD" w:rsidRPr="00B17639" w:rsidRDefault="00F604CD" w:rsidP="00B872CF">
            <w:pPr>
              <w:pStyle w:val="TableText"/>
            </w:pPr>
            <w:r w:rsidRPr="00B17639">
              <w:t>0.73 (98.5% CI 0.57, 0.93)</w:t>
            </w:r>
          </w:p>
        </w:tc>
        <w:tc>
          <w:tcPr>
            <w:tcW w:w="642" w:type="pct"/>
            <w:vMerge/>
            <w:shd w:val="clear" w:color="auto" w:fill="auto"/>
            <w:vAlign w:val="center"/>
          </w:tcPr>
          <w:p w:rsidR="00F604CD" w:rsidRPr="00B17639" w:rsidRDefault="00F604CD" w:rsidP="00B872CF">
            <w:pPr>
              <w:pStyle w:val="TableText"/>
            </w:pPr>
          </w:p>
        </w:tc>
      </w:tr>
    </w:tbl>
    <w:p w:rsidR="006238E3" w:rsidRPr="00B17639" w:rsidRDefault="006238E3" w:rsidP="006238E3">
      <w:pPr>
        <w:pStyle w:val="TableFooter"/>
        <w:rPr>
          <w:rFonts w:eastAsia="Calibri"/>
        </w:rPr>
      </w:pPr>
      <w:r w:rsidRPr="00B17639">
        <w:rPr>
          <w:rFonts w:eastAsia="Calibri"/>
        </w:rPr>
        <w:t xml:space="preserve">Source: </w:t>
      </w:r>
      <w:bookmarkStart w:id="29" w:name="_Hlk491854564"/>
      <w:r w:rsidRPr="00B17639">
        <w:rPr>
          <w:rFonts w:eastAsia="Calibri"/>
        </w:rPr>
        <w:t>Table 2-35, page 95 of submission.</w:t>
      </w:r>
      <w:bookmarkEnd w:id="29"/>
    </w:p>
    <w:p w:rsidR="006238E3" w:rsidRPr="00B17639" w:rsidRDefault="006238E3" w:rsidP="006238E3">
      <w:pPr>
        <w:pStyle w:val="TableFooter"/>
        <w:rPr>
          <w:rFonts w:eastAsia="Calibri"/>
        </w:rPr>
      </w:pPr>
      <w:r w:rsidRPr="00B17639">
        <w:rPr>
          <w:rFonts w:eastAsia="Calibri"/>
        </w:rPr>
        <w:t>Notes</w:t>
      </w:r>
      <w:r w:rsidRPr="00B17639">
        <w:rPr>
          <w:rFonts w:eastAsia="Calibri"/>
          <w:vertAlign w:val="superscript"/>
        </w:rPr>
        <w:t>: a</w:t>
      </w:r>
      <w:r w:rsidRPr="00B17639">
        <w:rPr>
          <w:rFonts w:eastAsia="Calibri"/>
        </w:rPr>
        <w:t xml:space="preserve"> </w:t>
      </w:r>
      <w:bookmarkStart w:id="30" w:name="_Hlk491854723"/>
      <w:r w:rsidRPr="00B17639">
        <w:rPr>
          <w:rFonts w:eastAsia="Calibri"/>
        </w:rPr>
        <w:t>In Study 205, intervention is lenvatinib/everolimus. In CheckMate 025 intervention is nivolumab.</w:t>
      </w:r>
    </w:p>
    <w:bookmarkEnd w:id="30"/>
    <w:p w:rsidR="006238E3" w:rsidRPr="00B17639" w:rsidRDefault="006238E3" w:rsidP="006238E3">
      <w:pPr>
        <w:pStyle w:val="TableFooter"/>
        <w:rPr>
          <w:rFonts w:eastAsia="Calibri"/>
        </w:rPr>
      </w:pPr>
      <w:r w:rsidRPr="00B17639">
        <w:rPr>
          <w:rFonts w:eastAsia="Calibri"/>
          <w:vertAlign w:val="superscript"/>
        </w:rPr>
        <w:t xml:space="preserve">b </w:t>
      </w:r>
      <w:r w:rsidRPr="00B17639">
        <w:rPr>
          <w:rFonts w:eastAsia="Calibri"/>
        </w:rPr>
        <w:t>This is incorrectly written</w:t>
      </w:r>
      <w:r w:rsidR="00BD5DCE" w:rsidRPr="00B17639">
        <w:rPr>
          <w:rFonts w:eastAsia="Calibri"/>
        </w:rPr>
        <w:t xml:space="preserve"> in submission as 183/410 (45%).</w:t>
      </w:r>
    </w:p>
    <w:p w:rsidR="006238E3" w:rsidRPr="00B17639" w:rsidRDefault="006238E3" w:rsidP="006238E3">
      <w:pPr>
        <w:pStyle w:val="TableFooter"/>
      </w:pPr>
      <w:r w:rsidRPr="00B17639">
        <w:t>Abbreviations: CI, confidence interval; HR, hazard ratio; n number.</w:t>
      </w:r>
    </w:p>
    <w:p w:rsidR="00F604CD" w:rsidRPr="00B17639" w:rsidRDefault="00F604CD" w:rsidP="00BC3ABD">
      <w:pPr>
        <w:spacing w:before="0" w:after="0"/>
        <w:jc w:val="both"/>
        <w:rPr>
          <w:rFonts w:ascii="Arial Narrow" w:eastAsia="Calibri" w:hAnsi="Arial Narrow" w:cs="Times New Roman"/>
          <w:sz w:val="18"/>
        </w:rPr>
      </w:pPr>
    </w:p>
    <w:p w:rsidR="00E32C9A" w:rsidRPr="00B17639" w:rsidRDefault="00516DA4" w:rsidP="005452C5">
      <w:pPr>
        <w:numPr>
          <w:ilvl w:val="1"/>
          <w:numId w:val="1"/>
        </w:numPr>
        <w:jc w:val="both"/>
      </w:pPr>
      <w:r w:rsidRPr="00B17639">
        <w:t>The</w:t>
      </w:r>
      <w:r w:rsidR="00961440">
        <w:t xml:space="preserve"> PBAC considered the</w:t>
      </w:r>
      <w:r w:rsidRPr="00B17639">
        <w:t xml:space="preserve"> overall applicability of </w:t>
      </w:r>
      <w:r w:rsidR="0066376E" w:rsidRPr="00B17639">
        <w:t xml:space="preserve">evidence from </w:t>
      </w:r>
      <w:r w:rsidR="00CA3CCD" w:rsidRPr="00B17639">
        <w:t>Study 205</w:t>
      </w:r>
      <w:r w:rsidRPr="00B17639">
        <w:t xml:space="preserve"> to the intended </w:t>
      </w:r>
      <w:r w:rsidR="008675AB" w:rsidRPr="00B17639">
        <w:t xml:space="preserve">Australian population </w:t>
      </w:r>
      <w:r w:rsidR="00961440">
        <w:t>to be</w:t>
      </w:r>
      <w:r w:rsidR="008675AB" w:rsidRPr="00B17639">
        <w:t xml:space="preserve"> uncertain. In the clinical trial, the mean age of participants enrolling </w:t>
      </w:r>
      <w:r w:rsidR="00545D59" w:rsidRPr="00B17639">
        <w:t>i</w:t>
      </w:r>
      <w:r w:rsidR="008675AB" w:rsidRPr="00B17639">
        <w:t xml:space="preserve">n the trial was </w:t>
      </w:r>
      <w:r w:rsidR="00196BE2" w:rsidRPr="00B17639">
        <w:t>60.3 years</w:t>
      </w:r>
      <w:r w:rsidR="0066376E" w:rsidRPr="00B17639">
        <w:t xml:space="preserve">. </w:t>
      </w:r>
      <w:r w:rsidR="004F5BE7" w:rsidRPr="00B17639">
        <w:t xml:space="preserve">The mean age of Australians diagnosed with kidney cancer is </w:t>
      </w:r>
      <w:r w:rsidR="00E32C9A" w:rsidRPr="00B17639">
        <w:t>63.7 years</w:t>
      </w:r>
      <w:r w:rsidR="00E32C9A" w:rsidRPr="0014492C">
        <w:rPr>
          <w:vertAlign w:val="superscript"/>
        </w:rPr>
        <w:footnoteReference w:id="1"/>
      </w:r>
      <w:r w:rsidR="00E32C9A" w:rsidRPr="00B17639">
        <w:t xml:space="preserve">. Applying the 3.8 year lag time between first diagnosis and treatment with second line therapy as seen in Study 205 would suggest that the mean age of patients commencing therapy with second line agents would be 67.5 years. </w:t>
      </w:r>
      <w:r w:rsidR="00A72B12" w:rsidRPr="00B17639">
        <w:t>A pre-specified sub-group analysis of the primary efficacy endpoint in Study 205 (PFS) was undertaken in the subgroups age</w:t>
      </w:r>
      <w:r w:rsidR="00BD5DCE" w:rsidRPr="00B17639">
        <w:t xml:space="preserve"> </w:t>
      </w:r>
      <w:r w:rsidR="00210D6F" w:rsidRPr="005452C5">
        <w:t xml:space="preserve">≤ </w:t>
      </w:r>
      <w:r w:rsidR="00A72B12" w:rsidRPr="00B17639">
        <w:t>65 years and &gt;</w:t>
      </w:r>
      <w:r w:rsidR="00210D6F" w:rsidRPr="00B17639">
        <w:t xml:space="preserve"> </w:t>
      </w:r>
      <w:r w:rsidR="00A72B12" w:rsidRPr="00B17639">
        <w:t>65</w:t>
      </w:r>
      <w:r w:rsidR="00146072">
        <w:t xml:space="preserve"> </w:t>
      </w:r>
      <w:r w:rsidR="00A72B12" w:rsidRPr="00B17639">
        <w:t>years. The</w:t>
      </w:r>
      <w:r w:rsidR="00146072">
        <w:t xml:space="preserve"> results of that analysis </w:t>
      </w:r>
      <w:r w:rsidR="00A72B12" w:rsidRPr="00B17639">
        <w:t xml:space="preserve">indicated that the median duration of PFS was reduced to </w:t>
      </w:r>
      <w:r w:rsidR="0089293C">
        <w:rPr>
          <w:noProof/>
          <w:color w:val="000000"/>
          <w:highlight w:val="black"/>
        </w:rPr>
        <w:t>''''''</w:t>
      </w:r>
      <w:r w:rsidR="00A72B12" w:rsidRPr="00B17639">
        <w:t xml:space="preserve"> months</w:t>
      </w:r>
      <w:r w:rsidR="00D22F0A" w:rsidRPr="00B17639">
        <w:t xml:space="preserve"> in patients </w:t>
      </w:r>
      <w:r w:rsidR="00E745A9" w:rsidRPr="00ED49C8">
        <w:t>&gt;</w:t>
      </w:r>
      <w:r w:rsidR="00E745A9" w:rsidRPr="002947E6">
        <w:t xml:space="preserve"> </w:t>
      </w:r>
      <w:r w:rsidR="00A1096C" w:rsidRPr="00B17639">
        <w:t>65 years</w:t>
      </w:r>
      <w:r w:rsidR="00A72B12" w:rsidRPr="005452C5">
        <w:t xml:space="preserve"> (HR </w:t>
      </w:r>
      <w:r w:rsidR="0089293C">
        <w:rPr>
          <w:noProof/>
          <w:color w:val="000000"/>
          <w:highlight w:val="black"/>
        </w:rPr>
        <w:t>''''''''</w:t>
      </w:r>
      <w:r w:rsidR="00A72B12" w:rsidRPr="005452C5">
        <w:t>, 95% CI</w:t>
      </w:r>
      <w:r w:rsidR="00E745A9" w:rsidRPr="005452C5">
        <w:t>:</w:t>
      </w:r>
      <w:r w:rsidR="00A72B12" w:rsidRPr="005452C5">
        <w:t xml:space="preserve"> </w:t>
      </w:r>
      <w:r w:rsidR="0089293C">
        <w:rPr>
          <w:noProof/>
          <w:color w:val="000000"/>
          <w:highlight w:val="black"/>
        </w:rPr>
        <w:t>''''''''' ''''''''</w:t>
      </w:r>
      <w:r w:rsidR="00A72B12" w:rsidRPr="005452C5">
        <w:t>, p=</w:t>
      </w:r>
      <w:r w:rsidR="0089293C">
        <w:rPr>
          <w:noProof/>
          <w:color w:val="000000"/>
          <w:highlight w:val="black"/>
        </w:rPr>
        <w:t>''''''''''''''</w:t>
      </w:r>
      <w:r w:rsidR="00A72B12" w:rsidRPr="005452C5">
        <w:t>)</w:t>
      </w:r>
      <w:r w:rsidR="00BB7AF2">
        <w:t>,</w:t>
      </w:r>
      <w:r w:rsidR="0066376E" w:rsidRPr="005452C5">
        <w:t xml:space="preserve"> </w:t>
      </w:r>
      <w:r w:rsidR="00016F7D" w:rsidRPr="005452C5">
        <w:t xml:space="preserve">versus 9.1 months in the full analysis set </w:t>
      </w:r>
      <w:r w:rsidR="00487D58" w:rsidRPr="005452C5">
        <w:t>(HR 0.4, 95% CI: 0.24, 0.68; p=0.0005)</w:t>
      </w:r>
      <w:r w:rsidR="00BB7AF2">
        <w:t>,</w:t>
      </w:r>
      <w:r w:rsidR="00487D58" w:rsidRPr="005452C5">
        <w:t xml:space="preserve"> </w:t>
      </w:r>
      <w:r w:rsidR="00016F7D" w:rsidRPr="005452C5">
        <w:t xml:space="preserve">and </w:t>
      </w:r>
      <w:r w:rsidR="0089293C">
        <w:rPr>
          <w:noProof/>
          <w:color w:val="000000"/>
          <w:highlight w:val="black"/>
        </w:rPr>
        <w:t>''''''</w:t>
      </w:r>
      <w:r w:rsidR="00016F7D" w:rsidRPr="005452C5">
        <w:t xml:space="preserve"> months in the patients </w:t>
      </w:r>
      <w:r w:rsidR="00210D6F" w:rsidRPr="005452C5">
        <w:t xml:space="preserve">≤ </w:t>
      </w:r>
      <w:r w:rsidR="004E44CC" w:rsidRPr="005452C5">
        <w:t>65 years</w:t>
      </w:r>
      <w:r w:rsidR="00487D58" w:rsidRPr="005452C5">
        <w:t xml:space="preserve"> (HR</w:t>
      </w:r>
      <w:r w:rsidR="00E948AD" w:rsidRPr="005452C5">
        <w:t xml:space="preserve"> </w:t>
      </w:r>
      <w:r w:rsidR="0089293C">
        <w:rPr>
          <w:noProof/>
          <w:color w:val="000000"/>
          <w:highlight w:val="black"/>
        </w:rPr>
        <w:t>'''''''''</w:t>
      </w:r>
      <w:r w:rsidR="00E948AD" w:rsidRPr="005452C5">
        <w:t xml:space="preserve">, 95% CI: </w:t>
      </w:r>
      <w:r w:rsidR="0089293C">
        <w:rPr>
          <w:noProof/>
          <w:color w:val="000000"/>
          <w:highlight w:val="black"/>
        </w:rPr>
        <w:t>'''''''''' ''''''''</w:t>
      </w:r>
      <w:r w:rsidR="00E948AD" w:rsidRPr="005452C5">
        <w:t>; p=</w:t>
      </w:r>
      <w:r w:rsidR="0089293C">
        <w:rPr>
          <w:noProof/>
          <w:color w:val="000000"/>
          <w:highlight w:val="black"/>
        </w:rPr>
        <w:t>''''''''''''</w:t>
      </w:r>
      <w:r w:rsidR="00E948AD" w:rsidRPr="005452C5">
        <w:t>)</w:t>
      </w:r>
      <w:r w:rsidR="00A72B12" w:rsidRPr="00B17639">
        <w:t>. The submission noted that this subgroup analysis was exploratory in nature only and that Study 205 was not designed or powered to detect a difference in treatment efficacy by age.</w:t>
      </w:r>
      <w:r w:rsidR="003F299E" w:rsidRPr="00B17639">
        <w:t xml:space="preserve"> </w:t>
      </w:r>
      <w:bookmarkStart w:id="31" w:name="_Hlk490131756"/>
      <w:r w:rsidR="007C6C9C" w:rsidRPr="005452C5">
        <w:t>The</w:t>
      </w:r>
      <w:r w:rsidR="00961440">
        <w:t xml:space="preserve"> PBAC</w:t>
      </w:r>
      <w:r w:rsidR="00E745A9" w:rsidRPr="005452C5">
        <w:t xml:space="preserve"> noted the caveats associated with the conduct of such a subgroup analysis. Nonetheless it</w:t>
      </w:r>
      <w:r w:rsidR="007C6C9C" w:rsidRPr="005452C5">
        <w:t xml:space="preserve"> felt that </w:t>
      </w:r>
      <w:r w:rsidR="00E745A9" w:rsidRPr="005452C5">
        <w:t>the results</w:t>
      </w:r>
      <w:r w:rsidR="007C6C9C" w:rsidRPr="005452C5">
        <w:t xml:space="preserve"> </w:t>
      </w:r>
      <w:r w:rsidR="00E745A9" w:rsidRPr="005452C5">
        <w:t>indicated</w:t>
      </w:r>
      <w:r w:rsidR="007C6C9C" w:rsidRPr="005452C5">
        <w:t xml:space="preserve"> that the efficacy of lenvatinib/everolimus may be diminished in Australian clinical practice relative to Study 205 on the basis that patients are likely to be older at the time of receiving </w:t>
      </w:r>
      <w:r w:rsidR="007C6C9C" w:rsidRPr="005452C5">
        <w:lastRenderedPageBreak/>
        <w:t>second and subsequent lines of treatment for RCC than they were in the study.</w:t>
      </w:r>
      <w:r w:rsidR="007C6C9C">
        <w:t xml:space="preserve"> </w:t>
      </w:r>
      <w:r w:rsidR="00B66E2E" w:rsidRPr="005452C5">
        <w:t>This would have implications for the comparative efficacy and cost-effectiveness of lenvatinib/everolimus in clinical practice.</w:t>
      </w:r>
    </w:p>
    <w:p w:rsidR="003F299E" w:rsidRPr="00B17639" w:rsidRDefault="00E30C7D" w:rsidP="005452C5">
      <w:pPr>
        <w:numPr>
          <w:ilvl w:val="1"/>
          <w:numId w:val="1"/>
        </w:numPr>
        <w:jc w:val="both"/>
      </w:pPr>
      <w:r>
        <w:t xml:space="preserve">The PBAC noted that </w:t>
      </w:r>
      <w:r w:rsidR="003F299E" w:rsidRPr="00B17639">
        <w:t xml:space="preserve">Study 205 only enrolled patients with an ECOG performance status of </w:t>
      </w:r>
      <w:r w:rsidR="00210D6F" w:rsidRPr="005452C5">
        <w:t>≤</w:t>
      </w:r>
      <w:r w:rsidR="003F299E" w:rsidRPr="00B17639">
        <w:t xml:space="preserve">1. It is unknown whether </w:t>
      </w:r>
      <w:r w:rsidR="00D77D68" w:rsidRPr="00B17639">
        <w:t>this criterion biased the recruitment in favour of younger patients</w:t>
      </w:r>
      <w:r w:rsidR="00BB7AF2">
        <w:t>,</w:t>
      </w:r>
      <w:r w:rsidR="00D77D68" w:rsidRPr="00B17639">
        <w:t xml:space="preserve"> and it is also unknown whether </w:t>
      </w:r>
      <w:r w:rsidR="003F299E" w:rsidRPr="00B17639">
        <w:t xml:space="preserve">lenvatinib/everolimus would be equally efficacious and safe in patients with a performance status of &gt;1 and &lt;2 as it is in patients with a performance status of &lt;1. </w:t>
      </w:r>
      <w:r w:rsidR="003668E3" w:rsidRPr="00B17639">
        <w:t xml:space="preserve">Based on </w:t>
      </w:r>
      <w:r w:rsidR="003F299E" w:rsidRPr="00B17639">
        <w:t xml:space="preserve">the proposed </w:t>
      </w:r>
      <w:r w:rsidR="0066376E" w:rsidRPr="00B17639">
        <w:t xml:space="preserve">PBS </w:t>
      </w:r>
      <w:r w:rsidR="003F299E" w:rsidRPr="00B17639">
        <w:t xml:space="preserve">listing, patients with a performance status of </w:t>
      </w:r>
      <w:r w:rsidR="00210D6F" w:rsidRPr="005452C5">
        <w:t>≤</w:t>
      </w:r>
      <w:r w:rsidR="003F299E" w:rsidRPr="00B17639">
        <w:t>2 would be eligible for treatment.</w:t>
      </w:r>
      <w:r w:rsidR="00821C45" w:rsidRPr="00B17639">
        <w:t xml:space="preserve"> </w:t>
      </w:r>
      <w:r w:rsidR="00CB5745" w:rsidRPr="005452C5">
        <w:t xml:space="preserve">In light of the toxicity of lenvatinib/everolimus, the ESC was concerned </w:t>
      </w:r>
      <w:r w:rsidR="00D40BA0" w:rsidRPr="005452C5">
        <w:t xml:space="preserve">by </w:t>
      </w:r>
      <w:r w:rsidR="00CB5745" w:rsidRPr="005452C5">
        <w:t>the</w:t>
      </w:r>
      <w:r w:rsidR="00D40BA0" w:rsidRPr="005452C5">
        <w:t xml:space="preserve"> proposed</w:t>
      </w:r>
      <w:r w:rsidR="00CB5745" w:rsidRPr="005452C5">
        <w:t xml:space="preserve"> inclusion of patients with </w:t>
      </w:r>
      <w:r w:rsidR="00827F90" w:rsidRPr="005452C5">
        <w:t>poorer performance status</w:t>
      </w:r>
      <w:r w:rsidR="00D40BA0" w:rsidRPr="005452C5">
        <w:t>, who may be more</w:t>
      </w:r>
      <w:r w:rsidR="00827F90" w:rsidRPr="005452C5">
        <w:t xml:space="preserve"> susceptible to toxicity.</w:t>
      </w:r>
      <w:r w:rsidR="00827F90">
        <w:t xml:space="preserve"> </w:t>
      </w:r>
      <w:r w:rsidR="00226F55">
        <w:t>The PBAC considered that in practice toxicity concerns would likely restrict use to patients with a performance status ≤ 1.</w:t>
      </w:r>
    </w:p>
    <w:p w:rsidR="00C317F3" w:rsidRPr="00493936" w:rsidRDefault="00C317F3" w:rsidP="00772501">
      <w:pPr>
        <w:pStyle w:val="Heading2"/>
      </w:pPr>
      <w:bookmarkStart w:id="32" w:name="_Toc413139279"/>
      <w:bookmarkStart w:id="33" w:name="_Toc493002688"/>
      <w:bookmarkEnd w:id="31"/>
      <w:r w:rsidRPr="00493936">
        <w:t>Comparative harms</w:t>
      </w:r>
      <w:bookmarkEnd w:id="32"/>
      <w:bookmarkEnd w:id="33"/>
    </w:p>
    <w:p w:rsidR="001D6DD3" w:rsidRPr="00B17639" w:rsidRDefault="001D6DD3" w:rsidP="005452C5">
      <w:pPr>
        <w:numPr>
          <w:ilvl w:val="1"/>
          <w:numId w:val="1"/>
        </w:numPr>
        <w:jc w:val="both"/>
      </w:pPr>
      <w:bookmarkStart w:id="34" w:name="_Hlk490039613"/>
      <w:r w:rsidRPr="00B17639">
        <w:t>A</w:t>
      </w:r>
      <w:r w:rsidR="00D77D68" w:rsidRPr="00B17639">
        <w:t xml:space="preserve"> summary of </w:t>
      </w:r>
      <w:r w:rsidRPr="00B17639">
        <w:t xml:space="preserve">the </w:t>
      </w:r>
      <w:r w:rsidR="00D77D68" w:rsidRPr="00B17639">
        <w:t>adverse events reported in Study 205 and CheckMate 025</w:t>
      </w:r>
      <w:r w:rsidRPr="00B17639">
        <w:t xml:space="preserve"> is provided in Table </w:t>
      </w:r>
      <w:r w:rsidR="007605F9">
        <w:t>8</w:t>
      </w:r>
      <w:r w:rsidR="00D77D68" w:rsidRPr="00B17639">
        <w:t xml:space="preserve">. In Study 205, the occurrence of adverse events was higher in the lenvatinib/everolimus group compared with everolimus monotherapy. This included serious adverse events and adverse events leading to treatment discontinuation, dose delay or dose reduction. </w:t>
      </w:r>
      <w:r w:rsidR="003668E3" w:rsidRPr="00B17639">
        <w:t>O</w:t>
      </w:r>
      <w:r w:rsidR="00D77D68" w:rsidRPr="00B17639">
        <w:t>ne patient in the lenvatinib/everolimus arm had an adverse event resulting in death compared with two patients in the everolimus monotherapy group.</w:t>
      </w:r>
    </w:p>
    <w:p w:rsidR="00D77D68" w:rsidRPr="00B17639" w:rsidRDefault="00D77D68" w:rsidP="005452C5">
      <w:pPr>
        <w:numPr>
          <w:ilvl w:val="1"/>
          <w:numId w:val="1"/>
        </w:numPr>
        <w:jc w:val="both"/>
      </w:pPr>
      <w:r w:rsidRPr="00B17639">
        <w:t>Adverse event rate</w:t>
      </w:r>
      <w:r w:rsidR="003668E3" w:rsidRPr="00B17639">
        <w:t>s</w:t>
      </w:r>
      <w:r w:rsidRPr="00B17639">
        <w:t xml:space="preserve"> associated with everolimus monotherapy were broadly similar in both trials, while nivolumab administered in CheckMate 025 had a lower rate of events (any grade, or serious adverse events) than either the lenvatinib/everolimus combination or everolimus monotherapy.</w:t>
      </w:r>
    </w:p>
    <w:bookmarkEnd w:id="34"/>
    <w:p w:rsidR="00D77D68" w:rsidRPr="00B17639" w:rsidRDefault="00D77D68" w:rsidP="002B66C3">
      <w:pPr>
        <w:pStyle w:val="TableHeading0"/>
        <w:ind w:firstLine="540"/>
      </w:pPr>
      <w:r w:rsidRPr="00B17639">
        <w:lastRenderedPageBreak/>
        <w:t>Table</w:t>
      </w:r>
      <w:r w:rsidR="00415866" w:rsidRPr="00B17639">
        <w:t xml:space="preserve"> </w:t>
      </w:r>
      <w:r w:rsidR="007605F9">
        <w:t>8</w:t>
      </w:r>
      <w:r w:rsidR="00415866" w:rsidRPr="00B17639">
        <w:t xml:space="preserve">: </w:t>
      </w:r>
      <w:r w:rsidRPr="00B17639">
        <w:t>Adverse events by category in Study 205 and CheckMate 025</w:t>
      </w:r>
    </w:p>
    <w:tbl>
      <w:tblPr>
        <w:tblStyle w:val="TableGrid9"/>
        <w:tblW w:w="8460" w:type="dxa"/>
        <w:tblInd w:w="625" w:type="dxa"/>
        <w:tblLook w:val="04A0" w:firstRow="1" w:lastRow="0" w:firstColumn="1" w:lastColumn="0" w:noHBand="0" w:noVBand="1"/>
        <w:tblCaption w:val="Table 8: Adverse events by category in Study 205 and CheckMate 025"/>
      </w:tblPr>
      <w:tblGrid>
        <w:gridCol w:w="2735"/>
        <w:gridCol w:w="1791"/>
        <w:gridCol w:w="1901"/>
        <w:gridCol w:w="2033"/>
      </w:tblGrid>
      <w:tr w:rsidR="00D77D68" w:rsidRPr="00B17639" w:rsidTr="002119FA">
        <w:trPr>
          <w:tblHeader/>
        </w:trPr>
        <w:tc>
          <w:tcPr>
            <w:tcW w:w="0" w:type="auto"/>
            <w:tcBorders>
              <w:bottom w:val="single" w:sz="4" w:space="0" w:color="auto"/>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Trial ID</w:t>
            </w:r>
          </w:p>
        </w:tc>
        <w:tc>
          <w:tcPr>
            <w:tcW w:w="0" w:type="auto"/>
            <w:tcBorders>
              <w:bottom w:val="single" w:sz="4" w:space="0" w:color="auto"/>
            </w:tcBorders>
            <w:shd w:val="clear" w:color="auto" w:fill="auto"/>
          </w:tcPr>
          <w:p w:rsidR="00D77D68" w:rsidRPr="00B17639" w:rsidRDefault="00D77D68" w:rsidP="00D77D68">
            <w:pPr>
              <w:keepNext/>
              <w:spacing w:before="60" w:after="60"/>
              <w:rPr>
                <w:rFonts w:ascii="Arial Narrow" w:hAnsi="Arial Narrow"/>
                <w:b/>
                <w:sz w:val="20"/>
                <w:vertAlign w:val="superscript"/>
              </w:rPr>
            </w:pPr>
            <w:r w:rsidRPr="00B17639">
              <w:rPr>
                <w:rFonts w:ascii="Arial Narrow" w:hAnsi="Arial Narrow"/>
                <w:b/>
                <w:sz w:val="20"/>
              </w:rPr>
              <w:t>Intervention</w:t>
            </w:r>
            <w:r w:rsidRPr="00B17639">
              <w:rPr>
                <w:rFonts w:ascii="Arial Narrow" w:hAnsi="Arial Narrow"/>
                <w:b/>
                <w:sz w:val="20"/>
                <w:vertAlign w:val="superscript"/>
              </w:rPr>
              <w:t>a</w:t>
            </w:r>
          </w:p>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n/N with event (%)</w:t>
            </w:r>
          </w:p>
        </w:tc>
        <w:tc>
          <w:tcPr>
            <w:tcW w:w="0" w:type="auto"/>
            <w:tcBorders>
              <w:bottom w:val="single" w:sz="4" w:space="0" w:color="auto"/>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Everolimus (10 mg)</w:t>
            </w:r>
          </w:p>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n/N with event (%)</w:t>
            </w:r>
          </w:p>
        </w:tc>
        <w:tc>
          <w:tcPr>
            <w:tcW w:w="1849" w:type="dxa"/>
            <w:tcBorders>
              <w:bottom w:val="single" w:sz="4" w:space="0" w:color="auto"/>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Relative risk (95% CI)</w:t>
            </w:r>
          </w:p>
        </w:tc>
      </w:tr>
      <w:tr w:rsidR="00D77D68" w:rsidRPr="00B17639">
        <w:tc>
          <w:tcPr>
            <w:tcW w:w="0" w:type="auto"/>
            <w:tcBorders>
              <w:right w:val="nil"/>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Any AE</w:t>
            </w: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1849" w:type="dxa"/>
            <w:tcBorders>
              <w:left w:val="nil"/>
            </w:tcBorders>
            <w:shd w:val="clear" w:color="auto" w:fill="auto"/>
          </w:tcPr>
          <w:p w:rsidR="00D77D68" w:rsidRPr="00B17639" w:rsidRDefault="00D77D68" w:rsidP="00D77D68">
            <w:pPr>
              <w:keepNext/>
              <w:spacing w:before="60" w:after="60"/>
              <w:rPr>
                <w:rFonts w:ascii="Arial Narrow" w:hAnsi="Arial Narrow"/>
                <w:b/>
                <w:sz w:val="20"/>
              </w:rPr>
            </w:pPr>
          </w:p>
        </w:tc>
      </w:tr>
      <w:tr w:rsidR="00D77D68" w:rsidRPr="00B17639">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Study 205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51/51 (100%)</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50/50 (100%)</w:t>
            </w:r>
          </w:p>
        </w:tc>
        <w:tc>
          <w:tcPr>
            <w:tcW w:w="1849" w:type="dxa"/>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CheckMate 025</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319/406 (79%)</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349/397 (88%)</w:t>
            </w:r>
            <w:r w:rsidRPr="00B17639">
              <w:rPr>
                <w:rFonts w:ascii="Arial Narrow" w:hAnsi="Arial Narrow"/>
                <w:sz w:val="20"/>
                <w:vertAlign w:val="superscript"/>
              </w:rPr>
              <w:t>b</w:t>
            </w:r>
          </w:p>
        </w:tc>
        <w:tc>
          <w:tcPr>
            <w:tcW w:w="1849" w:type="dxa"/>
            <w:tcBorders>
              <w:bottom w:val="single" w:sz="4" w:space="0" w:color="auto"/>
            </w:tcBorders>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right w:val="nil"/>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Any SAE (≥ Grade 3)</w:t>
            </w: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1849" w:type="dxa"/>
            <w:tcBorders>
              <w:left w:val="nil"/>
            </w:tcBorders>
            <w:shd w:val="clear" w:color="auto" w:fill="auto"/>
          </w:tcPr>
          <w:p w:rsidR="00D77D68" w:rsidRPr="00B17639" w:rsidRDefault="00D77D68" w:rsidP="00D77D68">
            <w:pPr>
              <w:keepNext/>
              <w:spacing w:before="60" w:after="60"/>
              <w:rPr>
                <w:rFonts w:ascii="Arial Narrow" w:hAnsi="Arial Narrow"/>
                <w:b/>
                <w:sz w:val="20"/>
              </w:rPr>
            </w:pPr>
          </w:p>
        </w:tc>
      </w:tr>
      <w:tr w:rsidR="00D77D68" w:rsidRPr="00B17639">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Study 205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28/51 (55%)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21/50 (42%)</w:t>
            </w:r>
          </w:p>
        </w:tc>
        <w:tc>
          <w:tcPr>
            <w:tcW w:w="1849" w:type="dxa"/>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CheckMate 025</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76/406 (19%)</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145/397 (37%)</w:t>
            </w:r>
          </w:p>
        </w:tc>
        <w:tc>
          <w:tcPr>
            <w:tcW w:w="1849" w:type="dxa"/>
            <w:tcBorders>
              <w:bottom w:val="single" w:sz="4" w:space="0" w:color="auto"/>
            </w:tcBorders>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3668E3" w:rsidRPr="00B17639">
        <w:tc>
          <w:tcPr>
            <w:tcW w:w="8460" w:type="dxa"/>
            <w:gridSpan w:val="4"/>
            <w:shd w:val="clear" w:color="auto" w:fill="auto"/>
          </w:tcPr>
          <w:p w:rsidR="003668E3" w:rsidRPr="00B17639" w:rsidRDefault="003668E3" w:rsidP="00D77D68">
            <w:pPr>
              <w:keepNext/>
              <w:spacing w:before="60" w:after="60"/>
              <w:rPr>
                <w:rFonts w:ascii="Arial Narrow" w:hAnsi="Arial Narrow"/>
                <w:b/>
                <w:sz w:val="20"/>
              </w:rPr>
            </w:pPr>
            <w:r w:rsidRPr="00B17639">
              <w:rPr>
                <w:rFonts w:ascii="Arial Narrow" w:hAnsi="Arial Narrow"/>
                <w:b/>
                <w:sz w:val="20"/>
              </w:rPr>
              <w:t>AE leading to discontinuation of treatment</w:t>
            </w:r>
          </w:p>
        </w:tc>
      </w:tr>
      <w:tr w:rsidR="00D77D68" w:rsidRPr="00B17639">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Study 205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12/51 (24%)</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6/50 (12%)</w:t>
            </w:r>
          </w:p>
        </w:tc>
        <w:tc>
          <w:tcPr>
            <w:tcW w:w="1849" w:type="dxa"/>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CheckMate 025</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31/406 (8%)</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52/397 (13%)</w:t>
            </w:r>
          </w:p>
        </w:tc>
        <w:tc>
          <w:tcPr>
            <w:tcW w:w="1849" w:type="dxa"/>
            <w:tcBorders>
              <w:bottom w:val="single" w:sz="4" w:space="0" w:color="auto"/>
            </w:tcBorders>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right w:val="nil"/>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AE leading to dose delay</w:t>
            </w: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1849" w:type="dxa"/>
            <w:tcBorders>
              <w:left w:val="nil"/>
            </w:tcBorders>
            <w:shd w:val="clear" w:color="auto" w:fill="auto"/>
          </w:tcPr>
          <w:p w:rsidR="00D77D68" w:rsidRPr="00B17639" w:rsidRDefault="00D77D68" w:rsidP="00D77D68">
            <w:pPr>
              <w:keepNext/>
              <w:spacing w:before="60" w:after="60"/>
              <w:rPr>
                <w:rFonts w:ascii="Arial Narrow" w:hAnsi="Arial Narrow"/>
                <w:b/>
                <w:sz w:val="20"/>
              </w:rPr>
            </w:pPr>
          </w:p>
        </w:tc>
      </w:tr>
      <w:tr w:rsidR="00D77D68" w:rsidRPr="00B17639">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Study 205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35/51 (69%)</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25/50 (50%)</w:t>
            </w:r>
          </w:p>
        </w:tc>
        <w:tc>
          <w:tcPr>
            <w:tcW w:w="1849" w:type="dxa"/>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CheckMate 025</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207/406 (51%)</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266/397 (66%)</w:t>
            </w:r>
          </w:p>
        </w:tc>
        <w:tc>
          <w:tcPr>
            <w:tcW w:w="1849" w:type="dxa"/>
            <w:tcBorders>
              <w:bottom w:val="single" w:sz="4" w:space="0" w:color="auto"/>
            </w:tcBorders>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right w:val="nil"/>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AE leading to dose reduction</w:t>
            </w: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1849" w:type="dxa"/>
            <w:tcBorders>
              <w:left w:val="nil"/>
            </w:tcBorders>
            <w:shd w:val="clear" w:color="auto" w:fill="auto"/>
          </w:tcPr>
          <w:p w:rsidR="00D77D68" w:rsidRPr="00B17639" w:rsidRDefault="00D77D68" w:rsidP="00D77D68">
            <w:pPr>
              <w:keepNext/>
              <w:spacing w:before="60" w:after="60"/>
              <w:rPr>
                <w:rFonts w:ascii="Arial Narrow" w:hAnsi="Arial Narrow"/>
                <w:b/>
                <w:sz w:val="20"/>
              </w:rPr>
            </w:pPr>
          </w:p>
        </w:tc>
      </w:tr>
      <w:tr w:rsidR="00D77D68" w:rsidRPr="00B17639">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Study 205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34/51 (67%)</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8/50 (16%)</w:t>
            </w:r>
          </w:p>
        </w:tc>
        <w:tc>
          <w:tcPr>
            <w:tcW w:w="1849" w:type="dxa"/>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CheckMate 025</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Not permitted</w:t>
            </w:r>
          </w:p>
        </w:tc>
        <w:tc>
          <w:tcPr>
            <w:tcW w:w="0" w:type="auto"/>
            <w:tcBorders>
              <w:bottom w:val="single" w:sz="4" w:space="0" w:color="auto"/>
            </w:tcBorders>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102/397 (26%)</w:t>
            </w:r>
          </w:p>
        </w:tc>
        <w:tc>
          <w:tcPr>
            <w:tcW w:w="1849" w:type="dxa"/>
            <w:tcBorders>
              <w:bottom w:val="single" w:sz="4" w:space="0" w:color="auto"/>
            </w:tcBorders>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w:t>
            </w:r>
          </w:p>
        </w:tc>
      </w:tr>
      <w:tr w:rsidR="00D77D68" w:rsidRPr="00B17639">
        <w:tc>
          <w:tcPr>
            <w:tcW w:w="0" w:type="auto"/>
            <w:tcBorders>
              <w:right w:val="nil"/>
            </w:tcBorders>
            <w:shd w:val="clear" w:color="auto" w:fill="auto"/>
          </w:tcPr>
          <w:p w:rsidR="00D77D68" w:rsidRPr="00B17639" w:rsidRDefault="00D77D68" w:rsidP="00D77D68">
            <w:pPr>
              <w:keepNext/>
              <w:spacing w:before="60" w:after="60"/>
              <w:rPr>
                <w:rFonts w:ascii="Arial Narrow" w:hAnsi="Arial Narrow"/>
                <w:b/>
                <w:sz w:val="20"/>
              </w:rPr>
            </w:pPr>
            <w:r w:rsidRPr="00B17639">
              <w:rPr>
                <w:rFonts w:ascii="Arial Narrow" w:hAnsi="Arial Narrow"/>
                <w:b/>
                <w:sz w:val="20"/>
              </w:rPr>
              <w:t>AE resulting in death</w:t>
            </w: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0" w:type="auto"/>
            <w:tcBorders>
              <w:left w:val="nil"/>
              <w:right w:val="nil"/>
            </w:tcBorders>
            <w:shd w:val="clear" w:color="auto" w:fill="auto"/>
          </w:tcPr>
          <w:p w:rsidR="00D77D68" w:rsidRPr="00B17639" w:rsidRDefault="00D77D68" w:rsidP="00D77D68">
            <w:pPr>
              <w:keepNext/>
              <w:spacing w:before="60" w:after="60"/>
              <w:rPr>
                <w:rFonts w:ascii="Arial Narrow" w:hAnsi="Arial Narrow"/>
                <w:b/>
                <w:sz w:val="20"/>
              </w:rPr>
            </w:pPr>
          </w:p>
        </w:tc>
        <w:tc>
          <w:tcPr>
            <w:tcW w:w="1849" w:type="dxa"/>
            <w:tcBorders>
              <w:left w:val="nil"/>
            </w:tcBorders>
            <w:shd w:val="clear" w:color="auto" w:fill="auto"/>
          </w:tcPr>
          <w:p w:rsidR="00D77D68" w:rsidRPr="00B17639" w:rsidRDefault="00D77D68" w:rsidP="00D77D68">
            <w:pPr>
              <w:keepNext/>
              <w:spacing w:before="60" w:after="60"/>
              <w:rPr>
                <w:rFonts w:ascii="Arial Narrow" w:hAnsi="Arial Narrow"/>
                <w:b/>
                <w:sz w:val="20"/>
              </w:rPr>
            </w:pPr>
          </w:p>
        </w:tc>
      </w:tr>
      <w:tr w:rsidR="00D77D68" w:rsidRPr="00B17639">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Study 205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1/51 (2%)</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2/50 (4%)</w:t>
            </w:r>
          </w:p>
        </w:tc>
        <w:tc>
          <w:tcPr>
            <w:tcW w:w="1849" w:type="dxa"/>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r w:rsidR="00D77D68" w:rsidRPr="00B17639">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CheckMate 025</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0</w:t>
            </w:r>
          </w:p>
        </w:tc>
        <w:tc>
          <w:tcPr>
            <w:tcW w:w="0" w:type="auto"/>
          </w:tcPr>
          <w:p w:rsidR="00D77D68" w:rsidRPr="00B17639" w:rsidRDefault="00D77D68" w:rsidP="00D77D68">
            <w:pPr>
              <w:keepNext/>
              <w:spacing w:before="60" w:after="60"/>
              <w:rPr>
                <w:rFonts w:ascii="Arial Narrow" w:hAnsi="Arial Narrow"/>
                <w:sz w:val="20"/>
              </w:rPr>
            </w:pPr>
            <w:r w:rsidRPr="00B17639">
              <w:rPr>
                <w:rFonts w:ascii="Arial Narrow" w:hAnsi="Arial Narrow"/>
                <w:sz w:val="20"/>
              </w:rPr>
              <w:t>2/397 (0.5%)</w:t>
            </w:r>
          </w:p>
        </w:tc>
        <w:tc>
          <w:tcPr>
            <w:tcW w:w="1849" w:type="dxa"/>
          </w:tcPr>
          <w:p w:rsidR="00D77D68" w:rsidRPr="0089293C" w:rsidRDefault="0089293C" w:rsidP="00D77D68">
            <w:pPr>
              <w:keepNext/>
              <w:spacing w:before="60" w:after="60"/>
              <w:rPr>
                <w:rFonts w:ascii="Arial Narrow" w:hAnsi="Arial Narrow"/>
                <w:sz w:val="20"/>
                <w:highlight w:val="black"/>
              </w:rPr>
            </w:pPr>
            <w:r>
              <w:rPr>
                <w:rFonts w:ascii="Arial Narrow" w:hAnsi="Arial Narrow"/>
                <w:noProof/>
                <w:color w:val="000000"/>
                <w:sz w:val="20"/>
                <w:highlight w:val="black"/>
              </w:rPr>
              <w:t>'''''''''' '''''''''''''''' '''''''''''''</w:t>
            </w:r>
          </w:p>
        </w:tc>
      </w:tr>
    </w:tbl>
    <w:p w:rsidR="00D77D68" w:rsidRPr="00B17639" w:rsidRDefault="00D77D68" w:rsidP="002B66C3">
      <w:pPr>
        <w:pStyle w:val="TableFooter"/>
        <w:ind w:left="540"/>
        <w:rPr>
          <w:rFonts w:eastAsia="Calibri"/>
        </w:rPr>
      </w:pPr>
      <w:r w:rsidRPr="00B17639">
        <w:rPr>
          <w:rFonts w:eastAsia="Calibri"/>
        </w:rPr>
        <w:t>Source: Table 2-27, page 82 of submission.</w:t>
      </w:r>
    </w:p>
    <w:p w:rsidR="00D77D68" w:rsidRPr="00B17639" w:rsidRDefault="00D77D68" w:rsidP="002B66C3">
      <w:pPr>
        <w:pStyle w:val="TableFooter"/>
        <w:ind w:left="540"/>
        <w:rPr>
          <w:rFonts w:eastAsia="Calibri"/>
        </w:rPr>
      </w:pPr>
      <w:r w:rsidRPr="00B17639">
        <w:rPr>
          <w:rFonts w:eastAsia="Calibri"/>
        </w:rPr>
        <w:t xml:space="preserve">Notes: </w:t>
      </w:r>
      <w:r w:rsidRPr="00B17639">
        <w:rPr>
          <w:rFonts w:eastAsia="Calibri"/>
          <w:vertAlign w:val="superscript"/>
        </w:rPr>
        <w:t>a</w:t>
      </w:r>
      <w:r w:rsidRPr="00B17639">
        <w:rPr>
          <w:rFonts w:eastAsia="Calibri"/>
        </w:rPr>
        <w:t xml:space="preserve"> Study 205 intervention: lenvatinib</w:t>
      </w:r>
      <w:r w:rsidR="009E295E">
        <w:rPr>
          <w:rFonts w:eastAsia="Calibri"/>
        </w:rPr>
        <w:t>/</w:t>
      </w:r>
      <w:r w:rsidRPr="00B17639">
        <w:rPr>
          <w:rFonts w:eastAsia="Calibri"/>
        </w:rPr>
        <w:t>everolimus; CheckMate 025 intervention: nivolumab</w:t>
      </w:r>
      <w:r w:rsidR="00210D6F" w:rsidRPr="00B17639">
        <w:rPr>
          <w:rFonts w:eastAsia="Calibri"/>
        </w:rPr>
        <w:t>;</w:t>
      </w:r>
      <w:r w:rsidRPr="00B17639">
        <w:rPr>
          <w:rFonts w:eastAsia="Calibri"/>
        </w:rPr>
        <w:t xml:space="preserve"> </w:t>
      </w:r>
      <w:r w:rsidRPr="00B17639">
        <w:rPr>
          <w:rFonts w:eastAsia="Calibri"/>
          <w:vertAlign w:val="superscript"/>
        </w:rPr>
        <w:t>b</w:t>
      </w:r>
      <w:r w:rsidRPr="00B17639">
        <w:t xml:space="preserve"> Reported as 249 events in submission.</w:t>
      </w:r>
    </w:p>
    <w:p w:rsidR="00D77D68" w:rsidRPr="00B17639" w:rsidRDefault="00D77D68" w:rsidP="002B66C3">
      <w:pPr>
        <w:pStyle w:val="TableFooter"/>
        <w:ind w:left="540"/>
        <w:rPr>
          <w:rFonts w:eastAsia="Calibri"/>
        </w:rPr>
      </w:pPr>
      <w:r w:rsidRPr="00B17639">
        <w:rPr>
          <w:rFonts w:eastAsia="Calibri"/>
        </w:rPr>
        <w:t>Abbreviations: AE</w:t>
      </w:r>
      <w:r w:rsidR="00495235">
        <w:rPr>
          <w:rFonts w:eastAsia="Calibri"/>
        </w:rPr>
        <w:t xml:space="preserve">, </w:t>
      </w:r>
      <w:r w:rsidRPr="00B17639">
        <w:rPr>
          <w:rFonts w:eastAsia="Calibri"/>
        </w:rPr>
        <w:t>adverse event; SAE</w:t>
      </w:r>
      <w:r w:rsidR="00495235">
        <w:rPr>
          <w:rFonts w:eastAsia="Calibri"/>
        </w:rPr>
        <w:t xml:space="preserve">, </w:t>
      </w:r>
      <w:r w:rsidRPr="00B17639">
        <w:rPr>
          <w:rFonts w:eastAsia="Calibri"/>
        </w:rPr>
        <w:t>serious adverse event</w:t>
      </w:r>
    </w:p>
    <w:p w:rsidR="002F59A4" w:rsidRPr="00B17639" w:rsidRDefault="002F59A4" w:rsidP="00E32C9A">
      <w:pPr>
        <w:spacing w:before="0" w:after="120"/>
        <w:jc w:val="both"/>
      </w:pPr>
      <w:bookmarkStart w:id="35" w:name="_Hlk490042735"/>
    </w:p>
    <w:p w:rsidR="00D77D68" w:rsidRPr="00B17639" w:rsidRDefault="001D6DD3" w:rsidP="005452C5">
      <w:pPr>
        <w:numPr>
          <w:ilvl w:val="1"/>
          <w:numId w:val="1"/>
        </w:numPr>
        <w:jc w:val="both"/>
      </w:pPr>
      <w:r w:rsidRPr="00B17639">
        <w:t xml:space="preserve">A </w:t>
      </w:r>
      <w:r w:rsidR="00F53A2D" w:rsidRPr="00B17639">
        <w:t>summary of the most frequently reported adverse event</w:t>
      </w:r>
      <w:r w:rsidRPr="00B17639">
        <w:t xml:space="preserve">s is presented in Table </w:t>
      </w:r>
      <w:r w:rsidR="007605F9">
        <w:t>9</w:t>
      </w:r>
      <w:r w:rsidR="00F53A2D" w:rsidRPr="00B17639">
        <w:t>. In all cases these adverse events occur</w:t>
      </w:r>
      <w:r w:rsidRPr="00B17639">
        <w:t>red</w:t>
      </w:r>
      <w:r w:rsidR="00F53A2D" w:rsidRPr="00B17639">
        <w:t xml:space="preserve"> more frequently for the lenvatinib/everolimus arm than for everolimus monotherapy or for nivolumab</w:t>
      </w:r>
      <w:r w:rsidR="00484761" w:rsidRPr="00B17639">
        <w:t>.</w:t>
      </w:r>
    </w:p>
    <w:bookmarkEnd w:id="35"/>
    <w:p w:rsidR="00076673" w:rsidRPr="00B17639" w:rsidRDefault="00076673" w:rsidP="00C677E5">
      <w:pPr>
        <w:pStyle w:val="TableHeading0"/>
      </w:pPr>
      <w:r w:rsidRPr="00B17639">
        <w:t xml:space="preserve">Table </w:t>
      </w:r>
      <w:r w:rsidR="007605F9">
        <w:t>9</w:t>
      </w:r>
      <w:r w:rsidRPr="00B17639">
        <w:rPr>
          <w:noProof/>
        </w:rPr>
        <w:t xml:space="preserve">: </w:t>
      </w:r>
      <w:r w:rsidRPr="00B17639">
        <w:t>Treatment-emergent adverse events reported in at least 10% of patients in Study 205</w:t>
      </w:r>
      <w:r w:rsidR="00E20730" w:rsidRPr="00B17639">
        <w:t xml:space="preserve"> and CheckMate 025</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383"/>
        <w:gridCol w:w="1414"/>
        <w:gridCol w:w="1450"/>
        <w:gridCol w:w="1537"/>
      </w:tblGrid>
      <w:tr w:rsidR="00BB0082" w:rsidRPr="00B17639">
        <w:trPr>
          <w:tblHeader/>
        </w:trPr>
        <w:tc>
          <w:tcPr>
            <w:tcW w:w="1239" w:type="pct"/>
            <w:tcBorders>
              <w:top w:val="single" w:sz="4" w:space="0" w:color="auto"/>
              <w:left w:val="single" w:sz="4" w:space="0" w:color="auto"/>
              <w:bottom w:val="nil"/>
              <w:right w:val="single" w:sz="4" w:space="0" w:color="auto"/>
            </w:tcBorders>
            <w:shd w:val="clear" w:color="auto" w:fill="auto"/>
          </w:tcPr>
          <w:p w:rsidR="00076673" w:rsidRPr="00B17639" w:rsidRDefault="00076673" w:rsidP="00484761">
            <w:pPr>
              <w:keepNext/>
              <w:spacing w:before="60" w:after="60"/>
              <w:rPr>
                <w:rFonts w:ascii="Arial Narrow" w:eastAsia="Calibri" w:hAnsi="Arial Narrow" w:cs="Times New Roman"/>
                <w:b/>
                <w:sz w:val="20"/>
                <w:szCs w:val="20"/>
              </w:rPr>
            </w:pPr>
            <w:r w:rsidRPr="00B17639">
              <w:rPr>
                <w:rFonts w:ascii="Arial Narrow" w:eastAsia="Calibri" w:hAnsi="Arial Narrow" w:cs="Times New Roman"/>
                <w:b/>
                <w:sz w:val="20"/>
                <w:szCs w:val="20"/>
              </w:rPr>
              <w:t>Preferred term, n (%)</w:t>
            </w:r>
          </w:p>
        </w:tc>
        <w:tc>
          <w:tcPr>
            <w:tcW w:w="2105" w:type="pct"/>
            <w:gridSpan w:val="2"/>
            <w:tcBorders>
              <w:top w:val="single" w:sz="4" w:space="0" w:color="auto"/>
              <w:left w:val="single" w:sz="4" w:space="0" w:color="auto"/>
              <w:bottom w:val="single" w:sz="4" w:space="0" w:color="auto"/>
              <w:right w:val="single" w:sz="4" w:space="0" w:color="auto"/>
            </w:tcBorders>
            <w:shd w:val="clear" w:color="auto" w:fill="auto"/>
          </w:tcPr>
          <w:p w:rsidR="00076673" w:rsidRPr="00B17639" w:rsidRDefault="00076673" w:rsidP="00484761">
            <w:pPr>
              <w:keepNext/>
              <w:spacing w:before="60" w:after="60"/>
              <w:jc w:val="center"/>
              <w:rPr>
                <w:rFonts w:ascii="Arial Narrow" w:eastAsia="Calibri" w:hAnsi="Arial Narrow" w:cs="Times New Roman"/>
                <w:b/>
                <w:sz w:val="20"/>
                <w:szCs w:val="20"/>
              </w:rPr>
            </w:pPr>
            <w:r w:rsidRPr="00B17639">
              <w:rPr>
                <w:rFonts w:ascii="Arial Narrow" w:eastAsia="Calibri" w:hAnsi="Arial Narrow" w:cs="Times New Roman"/>
                <w:b/>
                <w:sz w:val="20"/>
                <w:szCs w:val="20"/>
              </w:rPr>
              <w:t>Study 205</w:t>
            </w:r>
          </w:p>
        </w:tc>
        <w:tc>
          <w:tcPr>
            <w:tcW w:w="1656" w:type="pct"/>
            <w:gridSpan w:val="2"/>
            <w:tcBorders>
              <w:top w:val="single" w:sz="4" w:space="0" w:color="auto"/>
              <w:left w:val="single" w:sz="4" w:space="0" w:color="auto"/>
              <w:bottom w:val="single" w:sz="4" w:space="0" w:color="auto"/>
              <w:right w:val="single" w:sz="4" w:space="0" w:color="auto"/>
            </w:tcBorders>
            <w:shd w:val="clear" w:color="auto" w:fill="auto"/>
          </w:tcPr>
          <w:p w:rsidR="00076673" w:rsidRPr="00B17639" w:rsidRDefault="00076673" w:rsidP="00484761">
            <w:pPr>
              <w:keepNext/>
              <w:spacing w:before="60" w:after="60"/>
              <w:jc w:val="center"/>
              <w:rPr>
                <w:rFonts w:ascii="Arial Narrow" w:eastAsia="Calibri" w:hAnsi="Arial Narrow" w:cs="Times New Roman"/>
                <w:b/>
                <w:sz w:val="20"/>
                <w:szCs w:val="20"/>
              </w:rPr>
            </w:pPr>
            <w:r w:rsidRPr="00B17639">
              <w:rPr>
                <w:rFonts w:ascii="Arial Narrow" w:eastAsia="Calibri" w:hAnsi="Arial Narrow" w:cs="Times New Roman"/>
                <w:b/>
                <w:sz w:val="20"/>
                <w:szCs w:val="20"/>
              </w:rPr>
              <w:t>CheckMate 025</w:t>
            </w:r>
          </w:p>
        </w:tc>
      </w:tr>
      <w:tr w:rsidR="00BB0082" w:rsidRPr="00B17639">
        <w:trPr>
          <w:tblHeader/>
        </w:trPr>
        <w:tc>
          <w:tcPr>
            <w:tcW w:w="1239" w:type="pct"/>
            <w:tcBorders>
              <w:top w:val="nil"/>
              <w:left w:val="single" w:sz="4" w:space="0" w:color="auto"/>
              <w:bottom w:val="single" w:sz="4" w:space="0" w:color="auto"/>
              <w:right w:val="single" w:sz="4" w:space="0" w:color="auto"/>
            </w:tcBorders>
            <w:shd w:val="clear" w:color="auto" w:fill="auto"/>
          </w:tcPr>
          <w:p w:rsidR="00076673" w:rsidRPr="00B17639" w:rsidRDefault="00076673" w:rsidP="00484761">
            <w:pPr>
              <w:keepNext/>
              <w:spacing w:before="60" w:after="60"/>
              <w:rPr>
                <w:rFonts w:ascii="Arial Narrow" w:eastAsia="Calibri" w:hAnsi="Arial Narrow" w:cs="Times New Roman"/>
                <w:b/>
                <w:sz w:val="20"/>
                <w:szCs w:val="20"/>
              </w:rPr>
            </w:pP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076673" w:rsidRPr="00B17639" w:rsidRDefault="00076673" w:rsidP="00484761">
            <w:pPr>
              <w:keepNext/>
              <w:spacing w:before="60" w:after="60"/>
              <w:rPr>
                <w:rFonts w:ascii="Arial Narrow" w:eastAsia="Calibri" w:hAnsi="Arial Narrow" w:cs="Times New Roman"/>
                <w:b/>
                <w:sz w:val="20"/>
                <w:szCs w:val="20"/>
              </w:rPr>
            </w:pPr>
            <w:r w:rsidRPr="00B17639">
              <w:rPr>
                <w:rFonts w:ascii="Arial Narrow" w:eastAsia="Calibri" w:hAnsi="Arial Narrow" w:cs="Times New Roman"/>
                <w:b/>
                <w:sz w:val="20"/>
                <w:szCs w:val="20"/>
              </w:rPr>
              <w:t>Lenvatinib 18 mg + Everolimus 5 mg (N=51)</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076673" w:rsidRPr="00B17639" w:rsidRDefault="00076673" w:rsidP="00484761">
            <w:pPr>
              <w:keepNext/>
              <w:spacing w:before="60" w:after="60"/>
              <w:rPr>
                <w:rFonts w:ascii="Arial Narrow" w:eastAsia="Calibri" w:hAnsi="Arial Narrow" w:cs="Times New Roman"/>
                <w:b/>
                <w:sz w:val="20"/>
                <w:szCs w:val="20"/>
              </w:rPr>
            </w:pPr>
            <w:r w:rsidRPr="00B17639">
              <w:rPr>
                <w:rFonts w:ascii="Arial Narrow" w:eastAsia="Calibri" w:hAnsi="Arial Narrow" w:cs="Times New Roman"/>
                <w:b/>
                <w:sz w:val="20"/>
                <w:szCs w:val="20"/>
              </w:rPr>
              <w:t>Everolimus 10 mg (N=50)</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076673" w:rsidRPr="00B17639" w:rsidRDefault="00076673" w:rsidP="00484761">
            <w:pPr>
              <w:keepNext/>
              <w:spacing w:before="60" w:after="60"/>
              <w:rPr>
                <w:rFonts w:ascii="Arial Narrow" w:eastAsia="Calibri" w:hAnsi="Arial Narrow" w:cs="Times New Roman"/>
                <w:b/>
                <w:sz w:val="20"/>
                <w:szCs w:val="20"/>
              </w:rPr>
            </w:pPr>
            <w:r w:rsidRPr="00B17639">
              <w:rPr>
                <w:rFonts w:ascii="Arial Narrow" w:eastAsia="Calibri" w:hAnsi="Arial Narrow" w:cs="Times New Roman"/>
                <w:b/>
                <w:sz w:val="20"/>
                <w:szCs w:val="20"/>
              </w:rPr>
              <w:t>Nivolumab (N=406)</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076673" w:rsidRPr="00B17639" w:rsidRDefault="00076673" w:rsidP="00484761">
            <w:pPr>
              <w:keepNext/>
              <w:spacing w:before="60" w:after="60"/>
              <w:rPr>
                <w:rFonts w:ascii="Arial Narrow" w:eastAsia="Calibri" w:hAnsi="Arial Narrow" w:cs="Times New Roman"/>
                <w:b/>
                <w:sz w:val="20"/>
                <w:szCs w:val="20"/>
              </w:rPr>
            </w:pPr>
            <w:r w:rsidRPr="00B17639">
              <w:rPr>
                <w:rFonts w:ascii="Arial Narrow" w:eastAsia="Calibri" w:hAnsi="Arial Narrow" w:cs="Times New Roman"/>
                <w:b/>
                <w:sz w:val="20"/>
                <w:szCs w:val="20"/>
              </w:rPr>
              <w:t>Everolimus (N=397)</w:t>
            </w:r>
          </w:p>
        </w:tc>
      </w:tr>
      <w:tr w:rsidR="00BB0082" w:rsidRPr="00B17639">
        <w:tc>
          <w:tcPr>
            <w:tcW w:w="1239"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Diarrhoea</w:t>
            </w:r>
          </w:p>
        </w:tc>
        <w:tc>
          <w:tcPr>
            <w:tcW w:w="1321"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43 (84%)</w:t>
            </w:r>
          </w:p>
        </w:tc>
        <w:tc>
          <w:tcPr>
            <w:tcW w:w="78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17 (34%)</w:t>
            </w:r>
          </w:p>
        </w:tc>
        <w:tc>
          <w:tcPr>
            <w:tcW w:w="80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50 (12%)</w:t>
            </w:r>
          </w:p>
        </w:tc>
        <w:tc>
          <w:tcPr>
            <w:tcW w:w="852"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84 (21%)</w:t>
            </w:r>
          </w:p>
        </w:tc>
      </w:tr>
      <w:tr w:rsidR="00BB0082" w:rsidRPr="00B17639">
        <w:tc>
          <w:tcPr>
            <w:tcW w:w="1239"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Decreased appetite</w:t>
            </w:r>
          </w:p>
        </w:tc>
        <w:tc>
          <w:tcPr>
            <w:tcW w:w="1321"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26 (51%)</w:t>
            </w:r>
          </w:p>
        </w:tc>
        <w:tc>
          <w:tcPr>
            <w:tcW w:w="78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9 (18%)</w:t>
            </w:r>
          </w:p>
        </w:tc>
        <w:tc>
          <w:tcPr>
            <w:tcW w:w="80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48 (12%)</w:t>
            </w:r>
          </w:p>
        </w:tc>
        <w:tc>
          <w:tcPr>
            <w:tcW w:w="852"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82 (21%)</w:t>
            </w:r>
          </w:p>
        </w:tc>
      </w:tr>
      <w:tr w:rsidR="00BB0082" w:rsidRPr="00B17639">
        <w:tc>
          <w:tcPr>
            <w:tcW w:w="1239"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Fatigue</w:t>
            </w:r>
          </w:p>
        </w:tc>
        <w:tc>
          <w:tcPr>
            <w:tcW w:w="1321"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24 (47%)</w:t>
            </w:r>
          </w:p>
        </w:tc>
        <w:tc>
          <w:tcPr>
            <w:tcW w:w="78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16 (32%)</w:t>
            </w:r>
          </w:p>
        </w:tc>
        <w:tc>
          <w:tcPr>
            <w:tcW w:w="80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134 (33%)</w:t>
            </w:r>
          </w:p>
        </w:tc>
        <w:tc>
          <w:tcPr>
            <w:tcW w:w="852"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134 (34%)</w:t>
            </w:r>
          </w:p>
        </w:tc>
      </w:tr>
      <w:tr w:rsidR="00BB0082" w:rsidRPr="00B17639">
        <w:tc>
          <w:tcPr>
            <w:tcW w:w="1239"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Vomiting</w:t>
            </w:r>
          </w:p>
        </w:tc>
        <w:tc>
          <w:tcPr>
            <w:tcW w:w="1321"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23 (45%)</w:t>
            </w:r>
          </w:p>
        </w:tc>
        <w:tc>
          <w:tcPr>
            <w:tcW w:w="78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5 (10%)</w:t>
            </w:r>
          </w:p>
        </w:tc>
        <w:tc>
          <w:tcPr>
            <w:tcW w:w="80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w:t>
            </w:r>
          </w:p>
        </w:tc>
        <w:tc>
          <w:tcPr>
            <w:tcW w:w="852"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w:t>
            </w:r>
          </w:p>
        </w:tc>
      </w:tr>
      <w:tr w:rsidR="00BB0082" w:rsidRPr="00B17639">
        <w:tc>
          <w:tcPr>
            <w:tcW w:w="1239"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Nausea</w:t>
            </w:r>
          </w:p>
        </w:tc>
        <w:tc>
          <w:tcPr>
            <w:tcW w:w="1321"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21 (41%)</w:t>
            </w:r>
          </w:p>
        </w:tc>
        <w:tc>
          <w:tcPr>
            <w:tcW w:w="78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8 (16%)</w:t>
            </w:r>
          </w:p>
        </w:tc>
        <w:tc>
          <w:tcPr>
            <w:tcW w:w="80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57 (14%)</w:t>
            </w:r>
          </w:p>
        </w:tc>
        <w:tc>
          <w:tcPr>
            <w:tcW w:w="852"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66 (17%)</w:t>
            </w:r>
          </w:p>
        </w:tc>
      </w:tr>
      <w:tr w:rsidR="00BB0082" w:rsidRPr="00B17639">
        <w:tc>
          <w:tcPr>
            <w:tcW w:w="1239"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Hypertension</w:t>
            </w:r>
          </w:p>
        </w:tc>
        <w:tc>
          <w:tcPr>
            <w:tcW w:w="1321"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21 (41%)</w:t>
            </w:r>
          </w:p>
        </w:tc>
        <w:tc>
          <w:tcPr>
            <w:tcW w:w="78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5 (10%)</w:t>
            </w:r>
          </w:p>
        </w:tc>
        <w:tc>
          <w:tcPr>
            <w:tcW w:w="804"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w:t>
            </w:r>
          </w:p>
        </w:tc>
        <w:tc>
          <w:tcPr>
            <w:tcW w:w="852" w:type="pct"/>
            <w:tcBorders>
              <w:top w:val="single" w:sz="4" w:space="0" w:color="auto"/>
              <w:left w:val="single" w:sz="4" w:space="0" w:color="auto"/>
              <w:bottom w:val="single" w:sz="4" w:space="0" w:color="auto"/>
              <w:right w:val="single" w:sz="4" w:space="0" w:color="auto"/>
            </w:tcBorders>
          </w:tcPr>
          <w:p w:rsidR="00076673" w:rsidRPr="00B17639" w:rsidRDefault="00076673" w:rsidP="00484761">
            <w:pPr>
              <w:keepNext/>
              <w:spacing w:before="60" w:after="60"/>
              <w:rPr>
                <w:rFonts w:ascii="Arial Narrow" w:eastAsia="Calibri" w:hAnsi="Arial Narrow" w:cs="Times New Roman"/>
                <w:sz w:val="20"/>
                <w:szCs w:val="20"/>
              </w:rPr>
            </w:pPr>
            <w:r w:rsidRPr="00B17639">
              <w:rPr>
                <w:rFonts w:ascii="Arial Narrow" w:eastAsia="Calibri" w:hAnsi="Arial Narrow" w:cs="Times New Roman"/>
                <w:sz w:val="20"/>
                <w:szCs w:val="20"/>
              </w:rPr>
              <w:t>-</w:t>
            </w:r>
          </w:p>
        </w:tc>
      </w:tr>
    </w:tbl>
    <w:p w:rsidR="00076673" w:rsidRPr="00B17639" w:rsidRDefault="00076673" w:rsidP="0043418C">
      <w:pPr>
        <w:pStyle w:val="TableFooter"/>
        <w:rPr>
          <w:rFonts w:eastAsia="Calibri"/>
        </w:rPr>
      </w:pPr>
      <w:r w:rsidRPr="00B17639">
        <w:rPr>
          <w:rFonts w:eastAsia="Calibri"/>
        </w:rPr>
        <w:t>Source: Table 2-29, page 85-86 of submission.</w:t>
      </w:r>
    </w:p>
    <w:p w:rsidR="0065605D" w:rsidRPr="00B17639" w:rsidRDefault="0065605D" w:rsidP="00076673">
      <w:pPr>
        <w:spacing w:before="0" w:after="0"/>
        <w:jc w:val="both"/>
        <w:rPr>
          <w:rFonts w:ascii="Verdana" w:eastAsia="Calibri" w:hAnsi="Verdana" w:cs="Times New Roman"/>
          <w:sz w:val="18"/>
        </w:rPr>
      </w:pPr>
    </w:p>
    <w:p w:rsidR="0065605D" w:rsidRDefault="00976BAD" w:rsidP="005452C5">
      <w:pPr>
        <w:numPr>
          <w:ilvl w:val="1"/>
          <w:numId w:val="1"/>
        </w:numPr>
        <w:jc w:val="both"/>
      </w:pPr>
      <w:r>
        <w:lastRenderedPageBreak/>
        <w:t>The PBAC noted that s</w:t>
      </w:r>
      <w:r w:rsidR="0065605D" w:rsidRPr="00B17639">
        <w:t>erious adverse events of Grade 3 or 4 occurring more frequently in the combination arm included diarrhoea (19.2% vs 2%); fatigue/asthenia (9.8% vs 0%); vomiting (7.8% vs 0%); nausea (5.9% vs 0%) and hypertension (13.7% vs 2%).</w:t>
      </w:r>
      <w:r w:rsidR="008C58CD">
        <w:t xml:space="preserve"> </w:t>
      </w:r>
      <w:r w:rsidR="008C58CD" w:rsidRPr="005452C5">
        <w:t xml:space="preserve">The </w:t>
      </w:r>
      <w:r w:rsidR="007605F9">
        <w:t>PBAC</w:t>
      </w:r>
      <w:r w:rsidR="008C58CD" w:rsidRPr="005452C5">
        <w:t xml:space="preserve"> considered that the toxicity associated with the combination of lenvatinib/everolimus was not insignificant, particularly in the context of its use in a Phase II study </w:t>
      </w:r>
      <w:r w:rsidR="00DF46A5" w:rsidRPr="005452C5">
        <w:t xml:space="preserve">(which typically </w:t>
      </w:r>
      <w:r w:rsidR="00472537" w:rsidRPr="005452C5">
        <w:t>enrols</w:t>
      </w:r>
      <w:r w:rsidR="008C58CD" w:rsidRPr="005452C5">
        <w:t xml:space="preserve"> healthier patients than would be treated in clinical practice</w:t>
      </w:r>
      <w:r w:rsidR="00DF46A5" w:rsidRPr="005452C5">
        <w:t>)</w:t>
      </w:r>
      <w:r w:rsidR="008C58CD" w:rsidRPr="005452C5">
        <w:t>. There is thus the potential for greater toxicity to occur in clinical practice, resulting in poorer quality of life and increased health care use, or for there to be more dose reductions/interruptions due to associated toxicity events</w:t>
      </w:r>
      <w:r w:rsidR="00DF46A5" w:rsidRPr="005452C5">
        <w:t>, than occurred in Study 205</w:t>
      </w:r>
      <w:r w:rsidR="008C58CD" w:rsidRPr="005452C5">
        <w:t xml:space="preserve">. </w:t>
      </w:r>
    </w:p>
    <w:p w:rsidR="00621246" w:rsidRPr="00B17639" w:rsidRDefault="00621246" w:rsidP="005452C5">
      <w:pPr>
        <w:numPr>
          <w:ilvl w:val="1"/>
          <w:numId w:val="1"/>
        </w:numPr>
        <w:jc w:val="both"/>
      </w:pPr>
      <w:r w:rsidRPr="005452C5">
        <w:t>The naïve comparison of safety for lenvatinib/everolimus with axitinib presented in the submission concluded that the two therapies had a different safety profile. This comparison was largely uninformative given the absence of a common reference</w:t>
      </w:r>
      <w:r w:rsidR="00995D54" w:rsidRPr="005452C5">
        <w:t>.</w:t>
      </w:r>
      <w:r w:rsidR="008C58CD" w:rsidRPr="005452C5">
        <w:t xml:space="preserve"> Moreover, the </w:t>
      </w:r>
      <w:r w:rsidR="00C04D3F">
        <w:t>PBAC</w:t>
      </w:r>
      <w:r w:rsidR="008C58CD" w:rsidRPr="005452C5">
        <w:t xml:space="preserve"> considered that axitinib is </w:t>
      </w:r>
      <w:r w:rsidR="00373B71" w:rsidRPr="005452C5">
        <w:t xml:space="preserve">generally </w:t>
      </w:r>
      <w:r w:rsidR="008C58CD" w:rsidRPr="005452C5">
        <w:t xml:space="preserve">a well tolerated therapy which would favour it </w:t>
      </w:r>
      <w:r w:rsidR="00946CD7" w:rsidRPr="005452C5">
        <w:t xml:space="preserve">instead of </w:t>
      </w:r>
      <w:r w:rsidR="008C58CD" w:rsidRPr="005452C5">
        <w:t xml:space="preserve">lenvatinib/everolimus in any comparison of safety. </w:t>
      </w:r>
    </w:p>
    <w:p w:rsidR="00624315" w:rsidRPr="00493936" w:rsidRDefault="00624315" w:rsidP="00772501">
      <w:pPr>
        <w:pStyle w:val="Heading2"/>
      </w:pPr>
      <w:bookmarkStart w:id="36" w:name="_Toc493002689"/>
      <w:bookmarkStart w:id="37" w:name="_Toc413139281"/>
      <w:r w:rsidRPr="00493936">
        <w:t>Benefits and harms</w:t>
      </w:r>
      <w:bookmarkEnd w:id="36"/>
    </w:p>
    <w:p w:rsidR="00357657" w:rsidRPr="00B17639" w:rsidRDefault="001D6DD3" w:rsidP="005452C5">
      <w:pPr>
        <w:numPr>
          <w:ilvl w:val="1"/>
          <w:numId w:val="1"/>
        </w:numPr>
        <w:jc w:val="both"/>
      </w:pPr>
      <w:bookmarkStart w:id="38" w:name="_Hlk490054675"/>
      <w:r w:rsidRPr="00B17639">
        <w:t xml:space="preserve">A </w:t>
      </w:r>
      <w:r w:rsidR="00034404" w:rsidRPr="00B17639">
        <w:t xml:space="preserve">summary of the comparative benefits and harms for </w:t>
      </w:r>
      <w:r w:rsidR="001D39F1" w:rsidRPr="00B17639">
        <w:t>the lenvatinib/everolimus combination</w:t>
      </w:r>
      <w:r w:rsidR="00034404" w:rsidRPr="00B17639">
        <w:t xml:space="preserve"> versus </w:t>
      </w:r>
      <w:r w:rsidR="001D39F1" w:rsidRPr="00B17639">
        <w:t>everolimus monotherapy</w:t>
      </w:r>
      <w:r w:rsidRPr="00B17639">
        <w:t xml:space="preserve"> is presented in Table 1</w:t>
      </w:r>
      <w:r w:rsidR="00480BB0">
        <w:t>0</w:t>
      </w:r>
      <w:r w:rsidR="00C52857" w:rsidRPr="00B17639">
        <w:t xml:space="preserve">. </w:t>
      </w:r>
    </w:p>
    <w:bookmarkEnd w:id="38"/>
    <w:p w:rsidR="00034404" w:rsidRPr="00B17639" w:rsidRDefault="00034404" w:rsidP="00772501">
      <w:pPr>
        <w:pStyle w:val="TableHeading0"/>
      </w:pPr>
      <w:r w:rsidRPr="00B17639">
        <w:t xml:space="preserve">Table </w:t>
      </w:r>
      <w:r w:rsidR="006D492C" w:rsidRPr="00B17639">
        <w:t>1</w:t>
      </w:r>
      <w:r w:rsidR="00480BB0">
        <w:t>0</w:t>
      </w:r>
      <w:r w:rsidRPr="00B17639">
        <w:t xml:space="preserve">: Summary of comparative benefits and harms for </w:t>
      </w:r>
      <w:r w:rsidR="006D492C" w:rsidRPr="00B17639">
        <w:t xml:space="preserve">lenvatinib/everolimus versus everolimus monotherapy </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Summary of comparative benefits and harms for lenvatinib/everolimus versus everolimus monotherapy "/>
      </w:tblPr>
      <w:tblGrid>
        <w:gridCol w:w="2462"/>
        <w:gridCol w:w="44"/>
        <w:gridCol w:w="1359"/>
        <w:gridCol w:w="40"/>
        <w:gridCol w:w="1555"/>
        <w:gridCol w:w="40"/>
        <w:gridCol w:w="1049"/>
        <w:gridCol w:w="661"/>
        <w:gridCol w:w="519"/>
        <w:gridCol w:w="1319"/>
        <w:gridCol w:w="25"/>
      </w:tblGrid>
      <w:tr w:rsidR="00FE2431" w:rsidRPr="00B17639" w:rsidTr="002119FA">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1"/>
            <w:shd w:val="clear" w:color="auto" w:fill="auto"/>
            <w:vAlign w:val="center"/>
          </w:tcPr>
          <w:p w:rsidR="00FE2431" w:rsidRPr="00B17639" w:rsidRDefault="00FE2431" w:rsidP="00772501">
            <w:pPr>
              <w:pStyle w:val="TableText"/>
              <w:rPr>
                <w:u w:val="single"/>
              </w:rPr>
            </w:pPr>
            <w:r w:rsidRPr="00B17639">
              <w:rPr>
                <w:u w:val="single"/>
              </w:rPr>
              <w:t>Benefits</w:t>
            </w:r>
          </w:p>
        </w:tc>
      </w:tr>
      <w:tr w:rsidR="00357657" w:rsidRPr="00B17639">
        <w:tc>
          <w:tcPr>
            <w:tcW w:w="5000" w:type="pct"/>
            <w:gridSpan w:val="11"/>
            <w:shd w:val="clear" w:color="auto" w:fill="auto"/>
            <w:vAlign w:val="center"/>
          </w:tcPr>
          <w:p w:rsidR="00034404" w:rsidRPr="00B17639" w:rsidRDefault="00B51D51" w:rsidP="00772501">
            <w:pPr>
              <w:pStyle w:val="TableText"/>
              <w:rPr>
                <w:b/>
              </w:rPr>
            </w:pPr>
            <w:r w:rsidRPr="00B17639">
              <w:rPr>
                <w:b/>
              </w:rPr>
              <w:t>Progression free survival</w:t>
            </w:r>
            <w:r w:rsidR="003D69EF" w:rsidRPr="00B17639">
              <w:rPr>
                <w:b/>
              </w:rPr>
              <w:t xml:space="preserve"> (median</w:t>
            </w:r>
            <w:r w:rsidRPr="00B17639">
              <w:rPr>
                <w:b/>
              </w:rPr>
              <w:t xml:space="preserve"> duration of follow up 18.5 months)</w:t>
            </w:r>
          </w:p>
        </w:tc>
      </w:tr>
      <w:tr w:rsidR="00DD3049" w:rsidRPr="00B17639">
        <w:tc>
          <w:tcPr>
            <w:tcW w:w="1357" w:type="pct"/>
            <w:shd w:val="clear" w:color="auto" w:fill="auto"/>
            <w:vAlign w:val="center"/>
          </w:tcPr>
          <w:p w:rsidR="00034404" w:rsidRPr="00B17639" w:rsidRDefault="00FE2431" w:rsidP="00772501">
            <w:pPr>
              <w:pStyle w:val="TableText"/>
              <w:rPr>
                <w:b/>
              </w:rPr>
            </w:pPr>
            <w:r w:rsidRPr="00B17639">
              <w:rPr>
                <w:b/>
              </w:rPr>
              <w:t>Event</w:t>
            </w:r>
          </w:p>
        </w:tc>
        <w:tc>
          <w:tcPr>
            <w:tcW w:w="795" w:type="pct"/>
            <w:gridSpan w:val="3"/>
            <w:shd w:val="clear" w:color="auto" w:fill="auto"/>
            <w:vAlign w:val="center"/>
          </w:tcPr>
          <w:p w:rsidR="00034404" w:rsidRPr="00B17639" w:rsidRDefault="006D492C" w:rsidP="00772501">
            <w:pPr>
              <w:pStyle w:val="TableText"/>
              <w:rPr>
                <w:b/>
              </w:rPr>
            </w:pPr>
            <w:r w:rsidRPr="00B17639">
              <w:rPr>
                <w:b/>
              </w:rPr>
              <w:t>Lenvatinib/ everolimus</w:t>
            </w:r>
          </w:p>
        </w:tc>
        <w:tc>
          <w:tcPr>
            <w:tcW w:w="879" w:type="pct"/>
            <w:gridSpan w:val="2"/>
            <w:shd w:val="clear" w:color="auto" w:fill="auto"/>
            <w:vAlign w:val="center"/>
          </w:tcPr>
          <w:p w:rsidR="00034404" w:rsidRPr="00B17639" w:rsidRDefault="006D492C" w:rsidP="00772501">
            <w:pPr>
              <w:pStyle w:val="TableText"/>
              <w:rPr>
                <w:b/>
              </w:rPr>
            </w:pPr>
            <w:r w:rsidRPr="00B17639">
              <w:rPr>
                <w:b/>
              </w:rPr>
              <w:t>Evero</w:t>
            </w:r>
            <w:r w:rsidR="00B51D51" w:rsidRPr="00B17639">
              <w:rPr>
                <w:b/>
              </w:rPr>
              <w:t>limus</w:t>
            </w:r>
          </w:p>
        </w:tc>
        <w:tc>
          <w:tcPr>
            <w:tcW w:w="942" w:type="pct"/>
            <w:gridSpan w:val="2"/>
            <w:shd w:val="clear" w:color="auto" w:fill="auto"/>
            <w:vAlign w:val="center"/>
          </w:tcPr>
          <w:p w:rsidR="00034404" w:rsidRPr="00B17639" w:rsidRDefault="00034404" w:rsidP="00772501">
            <w:pPr>
              <w:pStyle w:val="TableText"/>
              <w:jc w:val="both"/>
              <w:rPr>
                <w:rFonts w:asciiTheme="minorHAnsi" w:hAnsiTheme="minorHAnsi"/>
                <w:b/>
              </w:rPr>
            </w:pPr>
            <w:r w:rsidRPr="00B17639">
              <w:rPr>
                <w:b/>
              </w:rPr>
              <w:t>Absolute Difference</w:t>
            </w:r>
          </w:p>
        </w:tc>
        <w:tc>
          <w:tcPr>
            <w:tcW w:w="1027" w:type="pct"/>
            <w:gridSpan w:val="3"/>
            <w:shd w:val="clear" w:color="auto" w:fill="auto"/>
            <w:vAlign w:val="center"/>
          </w:tcPr>
          <w:p w:rsidR="00034404" w:rsidRPr="00B17639" w:rsidRDefault="00034404" w:rsidP="00772501">
            <w:pPr>
              <w:pStyle w:val="TableText"/>
              <w:rPr>
                <w:b/>
              </w:rPr>
            </w:pPr>
            <w:r w:rsidRPr="00B17639">
              <w:rPr>
                <w:b/>
              </w:rPr>
              <w:t>HR (95% CI)</w:t>
            </w:r>
          </w:p>
        </w:tc>
      </w:tr>
      <w:tr w:rsidR="000A2EF1" w:rsidRPr="00B17639">
        <w:tc>
          <w:tcPr>
            <w:tcW w:w="1357" w:type="pct"/>
            <w:tcBorders>
              <w:bottom w:val="double" w:sz="4" w:space="0" w:color="auto"/>
            </w:tcBorders>
            <w:shd w:val="clear" w:color="auto" w:fill="auto"/>
            <w:vAlign w:val="center"/>
          </w:tcPr>
          <w:p w:rsidR="000A2EF1" w:rsidRPr="00B17639" w:rsidRDefault="000A2EF1" w:rsidP="00772501">
            <w:pPr>
              <w:pStyle w:val="TableText"/>
            </w:pPr>
            <w:r w:rsidRPr="00B17639">
              <w:t>Progressed, n (%)</w:t>
            </w:r>
          </w:p>
        </w:tc>
        <w:tc>
          <w:tcPr>
            <w:tcW w:w="795" w:type="pct"/>
            <w:gridSpan w:val="3"/>
            <w:tcBorders>
              <w:bottom w:val="double" w:sz="4" w:space="0" w:color="auto"/>
            </w:tcBorders>
            <w:shd w:val="clear" w:color="auto" w:fill="auto"/>
          </w:tcPr>
          <w:p w:rsidR="000A2EF1" w:rsidRPr="00B17639" w:rsidRDefault="00C67D61" w:rsidP="00772501">
            <w:pPr>
              <w:pStyle w:val="TableText"/>
            </w:pPr>
            <w:r w:rsidRPr="00B17639">
              <w:t>26/51</w:t>
            </w:r>
            <w:r w:rsidR="00EF164C" w:rsidRPr="00B17639">
              <w:t xml:space="preserve"> (</w:t>
            </w:r>
            <w:r w:rsidR="00850B96" w:rsidRPr="00B17639">
              <w:t>51%)</w:t>
            </w:r>
          </w:p>
        </w:tc>
        <w:tc>
          <w:tcPr>
            <w:tcW w:w="879" w:type="pct"/>
            <w:gridSpan w:val="2"/>
            <w:tcBorders>
              <w:bottom w:val="double" w:sz="4" w:space="0" w:color="auto"/>
            </w:tcBorders>
            <w:shd w:val="clear" w:color="auto" w:fill="auto"/>
          </w:tcPr>
          <w:p w:rsidR="000A2EF1" w:rsidRPr="00B17639" w:rsidRDefault="00C67D61" w:rsidP="00772501">
            <w:pPr>
              <w:pStyle w:val="TableText"/>
            </w:pPr>
            <w:r w:rsidRPr="00B17639">
              <w:t>37/50</w:t>
            </w:r>
            <w:r w:rsidR="00850B96" w:rsidRPr="00B17639">
              <w:t xml:space="preserve"> (74%)</w:t>
            </w:r>
          </w:p>
        </w:tc>
        <w:tc>
          <w:tcPr>
            <w:tcW w:w="942" w:type="pct"/>
            <w:gridSpan w:val="2"/>
            <w:tcBorders>
              <w:bottom w:val="double" w:sz="4" w:space="0" w:color="auto"/>
            </w:tcBorders>
            <w:shd w:val="clear" w:color="auto" w:fill="auto"/>
            <w:vAlign w:val="center"/>
          </w:tcPr>
          <w:p w:rsidR="000A2EF1" w:rsidRPr="00B17639" w:rsidRDefault="000A2EF1" w:rsidP="00772501">
            <w:pPr>
              <w:pStyle w:val="TableText"/>
            </w:pPr>
          </w:p>
        </w:tc>
        <w:tc>
          <w:tcPr>
            <w:tcW w:w="1027" w:type="pct"/>
            <w:gridSpan w:val="3"/>
            <w:tcBorders>
              <w:bottom w:val="double" w:sz="4" w:space="0" w:color="auto"/>
            </w:tcBorders>
            <w:shd w:val="clear" w:color="auto" w:fill="auto"/>
            <w:vAlign w:val="center"/>
          </w:tcPr>
          <w:p w:rsidR="000A2EF1" w:rsidRPr="00B17639" w:rsidRDefault="000A2EF1" w:rsidP="00772501">
            <w:pPr>
              <w:pStyle w:val="TableText"/>
            </w:pPr>
          </w:p>
        </w:tc>
      </w:tr>
      <w:tr w:rsidR="00B51D51" w:rsidRPr="00B17639">
        <w:tc>
          <w:tcPr>
            <w:tcW w:w="1357" w:type="pct"/>
            <w:tcBorders>
              <w:bottom w:val="double" w:sz="4" w:space="0" w:color="auto"/>
            </w:tcBorders>
            <w:shd w:val="clear" w:color="auto" w:fill="auto"/>
            <w:vAlign w:val="center"/>
          </w:tcPr>
          <w:p w:rsidR="00B51D51" w:rsidRPr="00B17639" w:rsidRDefault="00DF2395" w:rsidP="00C67D61">
            <w:pPr>
              <w:pStyle w:val="TableText"/>
            </w:pPr>
            <w:r>
              <w:t xml:space="preserve">Investigator </w:t>
            </w:r>
            <w:r w:rsidR="00FA2611">
              <w:t xml:space="preserve">assessed </w:t>
            </w:r>
            <w:r w:rsidR="00B51D51" w:rsidRPr="00B17639">
              <w:t>PFS median months (95% CI)</w:t>
            </w:r>
          </w:p>
        </w:tc>
        <w:tc>
          <w:tcPr>
            <w:tcW w:w="795" w:type="pct"/>
            <w:gridSpan w:val="3"/>
            <w:tcBorders>
              <w:bottom w:val="double" w:sz="4" w:space="0" w:color="auto"/>
            </w:tcBorders>
            <w:shd w:val="clear" w:color="auto" w:fill="auto"/>
            <w:vAlign w:val="center"/>
          </w:tcPr>
          <w:p w:rsidR="00B51D51" w:rsidRPr="00B17639" w:rsidRDefault="00C67D61" w:rsidP="00C67D61">
            <w:pPr>
              <w:pStyle w:val="TableText"/>
            </w:pPr>
            <w:r w:rsidRPr="00B17639">
              <w:t>14.6 (5.9, 20.1)</w:t>
            </w:r>
          </w:p>
        </w:tc>
        <w:tc>
          <w:tcPr>
            <w:tcW w:w="879" w:type="pct"/>
            <w:gridSpan w:val="2"/>
            <w:tcBorders>
              <w:bottom w:val="double" w:sz="4" w:space="0" w:color="auto"/>
            </w:tcBorders>
            <w:shd w:val="clear" w:color="auto" w:fill="auto"/>
            <w:vAlign w:val="center"/>
          </w:tcPr>
          <w:p w:rsidR="00B51D51" w:rsidRPr="00B17639" w:rsidRDefault="00C67D61" w:rsidP="00C67D61">
            <w:pPr>
              <w:pStyle w:val="TableText"/>
            </w:pPr>
            <w:r w:rsidRPr="00B17639">
              <w:t>5.5 (3.5, 7.1)</w:t>
            </w:r>
          </w:p>
        </w:tc>
        <w:tc>
          <w:tcPr>
            <w:tcW w:w="942" w:type="pct"/>
            <w:gridSpan w:val="2"/>
            <w:tcBorders>
              <w:bottom w:val="double" w:sz="4" w:space="0" w:color="auto"/>
            </w:tcBorders>
            <w:shd w:val="clear" w:color="auto" w:fill="auto"/>
            <w:vAlign w:val="center"/>
          </w:tcPr>
          <w:p w:rsidR="00B51D51" w:rsidRPr="00B17639" w:rsidRDefault="00C67D61" w:rsidP="00C67D61">
            <w:pPr>
              <w:pStyle w:val="TableText"/>
            </w:pPr>
            <w:r w:rsidRPr="00B17639">
              <w:t>9.1</w:t>
            </w:r>
          </w:p>
        </w:tc>
        <w:tc>
          <w:tcPr>
            <w:tcW w:w="1027" w:type="pct"/>
            <w:gridSpan w:val="3"/>
            <w:tcBorders>
              <w:bottom w:val="double" w:sz="4" w:space="0" w:color="auto"/>
            </w:tcBorders>
            <w:shd w:val="clear" w:color="auto" w:fill="auto"/>
            <w:vAlign w:val="center"/>
          </w:tcPr>
          <w:p w:rsidR="00B51D51" w:rsidRPr="00B17639" w:rsidRDefault="00C67D61" w:rsidP="00C67D61">
            <w:pPr>
              <w:pStyle w:val="TableText"/>
            </w:pPr>
            <w:r w:rsidRPr="00B17639">
              <w:t>0.4</w:t>
            </w:r>
            <w:r w:rsidR="009F7A92" w:rsidRPr="00B17639">
              <w:t>0</w:t>
            </w:r>
            <w:r w:rsidRPr="00B17639">
              <w:t xml:space="preserve"> (0.24, 0.68) p=0.0005</w:t>
            </w:r>
          </w:p>
        </w:tc>
      </w:tr>
      <w:tr w:rsidR="001D39F1" w:rsidRPr="00B17639">
        <w:tc>
          <w:tcPr>
            <w:tcW w:w="5000" w:type="pct"/>
            <w:gridSpan w:val="11"/>
            <w:tcBorders>
              <w:bottom w:val="double" w:sz="4" w:space="0" w:color="auto"/>
            </w:tcBorders>
            <w:shd w:val="clear" w:color="auto" w:fill="auto"/>
            <w:vAlign w:val="center"/>
          </w:tcPr>
          <w:p w:rsidR="001D39F1" w:rsidRPr="00B17639" w:rsidRDefault="001D39F1" w:rsidP="001D39F1">
            <w:pPr>
              <w:pStyle w:val="TableText"/>
            </w:pPr>
            <w:r w:rsidRPr="00B17639">
              <w:rPr>
                <w:b/>
              </w:rPr>
              <w:t xml:space="preserve">Overall survival (median duration of follow up </w:t>
            </w:r>
            <w:r w:rsidR="0089293C">
              <w:rPr>
                <w:b/>
                <w:noProof/>
                <w:color w:val="000000"/>
                <w:highlight w:val="black"/>
              </w:rPr>
              <w:t>''''' ''''''''''''''</w:t>
            </w:r>
            <w:r w:rsidRPr="00B17639">
              <w:rPr>
                <w:b/>
              </w:rPr>
              <w:t>)</w:t>
            </w:r>
          </w:p>
        </w:tc>
      </w:tr>
      <w:tr w:rsidR="001D39F1" w:rsidRPr="00B17639">
        <w:tc>
          <w:tcPr>
            <w:tcW w:w="1357" w:type="pct"/>
            <w:tcBorders>
              <w:bottom w:val="double" w:sz="4" w:space="0" w:color="auto"/>
            </w:tcBorders>
            <w:shd w:val="clear" w:color="auto" w:fill="auto"/>
            <w:vAlign w:val="center"/>
          </w:tcPr>
          <w:p w:rsidR="001D39F1" w:rsidRPr="00B17639" w:rsidRDefault="001D39F1" w:rsidP="001D39F1">
            <w:pPr>
              <w:pStyle w:val="TableText"/>
            </w:pPr>
            <w:r w:rsidRPr="00B17639">
              <w:t xml:space="preserve">Deaths, n (%) </w:t>
            </w:r>
          </w:p>
        </w:tc>
        <w:tc>
          <w:tcPr>
            <w:tcW w:w="795" w:type="pct"/>
            <w:gridSpan w:val="3"/>
            <w:tcBorders>
              <w:bottom w:val="double" w:sz="4" w:space="0" w:color="auto"/>
            </w:tcBorders>
            <w:shd w:val="clear" w:color="auto" w:fill="auto"/>
          </w:tcPr>
          <w:p w:rsidR="001D39F1" w:rsidRPr="00B17639" w:rsidRDefault="001D39F1" w:rsidP="001D39F1">
            <w:pPr>
              <w:pStyle w:val="TableText"/>
            </w:pPr>
            <w:r w:rsidRPr="00B17639">
              <w:t>32/51 (63%)</w:t>
            </w:r>
          </w:p>
        </w:tc>
        <w:tc>
          <w:tcPr>
            <w:tcW w:w="879" w:type="pct"/>
            <w:gridSpan w:val="2"/>
            <w:tcBorders>
              <w:bottom w:val="double" w:sz="4" w:space="0" w:color="auto"/>
            </w:tcBorders>
            <w:shd w:val="clear" w:color="auto" w:fill="auto"/>
          </w:tcPr>
          <w:p w:rsidR="001D39F1" w:rsidRPr="00B17639" w:rsidRDefault="001D39F1" w:rsidP="001D39F1">
            <w:pPr>
              <w:pStyle w:val="TableText"/>
            </w:pPr>
            <w:r w:rsidRPr="00B17639">
              <w:t>37/50 (74%)</w:t>
            </w:r>
          </w:p>
        </w:tc>
        <w:tc>
          <w:tcPr>
            <w:tcW w:w="942" w:type="pct"/>
            <w:gridSpan w:val="2"/>
            <w:tcBorders>
              <w:bottom w:val="double" w:sz="4" w:space="0" w:color="auto"/>
            </w:tcBorders>
            <w:shd w:val="clear" w:color="auto" w:fill="auto"/>
            <w:vAlign w:val="center"/>
          </w:tcPr>
          <w:p w:rsidR="001D39F1" w:rsidRPr="00B17639" w:rsidRDefault="001D39F1" w:rsidP="001D39F1">
            <w:pPr>
              <w:pStyle w:val="TableText"/>
            </w:pPr>
          </w:p>
        </w:tc>
        <w:tc>
          <w:tcPr>
            <w:tcW w:w="1027" w:type="pct"/>
            <w:gridSpan w:val="3"/>
            <w:tcBorders>
              <w:bottom w:val="double" w:sz="4" w:space="0" w:color="auto"/>
            </w:tcBorders>
            <w:shd w:val="clear" w:color="auto" w:fill="auto"/>
            <w:vAlign w:val="center"/>
          </w:tcPr>
          <w:p w:rsidR="001D39F1" w:rsidRPr="00B17639" w:rsidRDefault="001D39F1" w:rsidP="001D39F1">
            <w:pPr>
              <w:pStyle w:val="TableText"/>
            </w:pPr>
          </w:p>
        </w:tc>
      </w:tr>
      <w:tr w:rsidR="001D39F1" w:rsidRPr="00B17639">
        <w:tc>
          <w:tcPr>
            <w:tcW w:w="1357" w:type="pct"/>
            <w:tcBorders>
              <w:bottom w:val="double" w:sz="4" w:space="0" w:color="auto"/>
            </w:tcBorders>
            <w:shd w:val="clear" w:color="auto" w:fill="auto"/>
            <w:vAlign w:val="center"/>
          </w:tcPr>
          <w:p w:rsidR="001D39F1" w:rsidRPr="00B17639" w:rsidRDefault="001D39F1" w:rsidP="001D39F1">
            <w:pPr>
              <w:pStyle w:val="TableText"/>
            </w:pPr>
            <w:r w:rsidRPr="00B17639">
              <w:t xml:space="preserve">OS median months (95% CI) </w:t>
            </w:r>
          </w:p>
        </w:tc>
        <w:tc>
          <w:tcPr>
            <w:tcW w:w="795" w:type="pct"/>
            <w:gridSpan w:val="3"/>
            <w:tcBorders>
              <w:bottom w:val="double" w:sz="4" w:space="0" w:color="auto"/>
            </w:tcBorders>
            <w:shd w:val="clear" w:color="auto" w:fill="auto"/>
            <w:vAlign w:val="center"/>
          </w:tcPr>
          <w:p w:rsidR="001D39F1" w:rsidRPr="0089293C" w:rsidRDefault="0089293C" w:rsidP="00C67D61">
            <w:pPr>
              <w:pStyle w:val="TableText"/>
              <w:rPr>
                <w:highlight w:val="black"/>
              </w:rPr>
            </w:pPr>
            <w:r>
              <w:rPr>
                <w:noProof/>
                <w:color w:val="000000"/>
                <w:highlight w:val="black"/>
              </w:rPr>
              <w:t>'''''''''' ''''''''''''''' '''''''''''''</w:t>
            </w:r>
          </w:p>
        </w:tc>
        <w:tc>
          <w:tcPr>
            <w:tcW w:w="879" w:type="pct"/>
            <w:gridSpan w:val="2"/>
            <w:tcBorders>
              <w:bottom w:val="double" w:sz="4" w:space="0" w:color="auto"/>
            </w:tcBorders>
            <w:shd w:val="clear" w:color="auto" w:fill="auto"/>
            <w:vAlign w:val="center"/>
          </w:tcPr>
          <w:p w:rsidR="001D39F1" w:rsidRPr="0089293C" w:rsidRDefault="0089293C" w:rsidP="00C67D61">
            <w:pPr>
              <w:pStyle w:val="TableText"/>
              <w:rPr>
                <w:highlight w:val="black"/>
              </w:rPr>
            </w:pPr>
            <w:r>
              <w:rPr>
                <w:noProof/>
                <w:color w:val="000000"/>
                <w:highlight w:val="black"/>
              </w:rPr>
              <w:t>''''''''''' '''''''''''''' ''''''''''''</w:t>
            </w:r>
          </w:p>
        </w:tc>
        <w:tc>
          <w:tcPr>
            <w:tcW w:w="942" w:type="pct"/>
            <w:gridSpan w:val="2"/>
            <w:tcBorders>
              <w:bottom w:val="double" w:sz="4" w:space="0" w:color="auto"/>
            </w:tcBorders>
            <w:shd w:val="clear" w:color="auto" w:fill="auto"/>
            <w:vAlign w:val="center"/>
          </w:tcPr>
          <w:p w:rsidR="001D39F1" w:rsidRPr="0089293C" w:rsidRDefault="0089293C" w:rsidP="00C67D61">
            <w:pPr>
              <w:pStyle w:val="TableText"/>
              <w:rPr>
                <w:highlight w:val="black"/>
              </w:rPr>
            </w:pPr>
            <w:r>
              <w:rPr>
                <w:noProof/>
                <w:color w:val="000000"/>
                <w:highlight w:val="black"/>
              </w:rPr>
              <w:t>'''''''''''</w:t>
            </w:r>
          </w:p>
        </w:tc>
        <w:tc>
          <w:tcPr>
            <w:tcW w:w="1027" w:type="pct"/>
            <w:gridSpan w:val="3"/>
            <w:tcBorders>
              <w:bottom w:val="double" w:sz="4" w:space="0" w:color="auto"/>
            </w:tcBorders>
            <w:shd w:val="clear" w:color="auto" w:fill="auto"/>
            <w:vAlign w:val="center"/>
          </w:tcPr>
          <w:p w:rsidR="001D39F1" w:rsidRPr="0089293C" w:rsidRDefault="0089293C" w:rsidP="00C67D61">
            <w:pPr>
              <w:pStyle w:val="TableText"/>
              <w:rPr>
                <w:highlight w:val="black"/>
              </w:rPr>
            </w:pPr>
            <w:r>
              <w:rPr>
                <w:noProof/>
                <w:color w:val="000000"/>
                <w:highlight w:val="black"/>
              </w:rPr>
              <w:t>''''''''''' ''''''''''''''''''''''' '''''''''''''''''</w:t>
            </w:r>
          </w:p>
        </w:tc>
      </w:tr>
      <w:tr w:rsidR="001D39F1" w:rsidRPr="00B17639">
        <w:tc>
          <w:tcPr>
            <w:tcW w:w="5000" w:type="pct"/>
            <w:gridSpan w:val="11"/>
            <w:tcBorders>
              <w:top w:val="double" w:sz="4" w:space="0" w:color="auto"/>
            </w:tcBorders>
            <w:shd w:val="clear" w:color="auto" w:fill="auto"/>
            <w:vAlign w:val="center"/>
          </w:tcPr>
          <w:p w:rsidR="001D39F1" w:rsidRPr="00B17639" w:rsidRDefault="001D39F1" w:rsidP="001D39F1">
            <w:pPr>
              <w:pStyle w:val="TableText"/>
              <w:rPr>
                <w:b/>
              </w:rPr>
            </w:pPr>
            <w:r w:rsidRPr="00B17639">
              <w:rPr>
                <w:b/>
              </w:rPr>
              <w:t>Harms</w:t>
            </w:r>
            <w:r w:rsidR="00345ADC" w:rsidRPr="00B17639">
              <w:rPr>
                <w:b/>
              </w:rPr>
              <w:t xml:space="preserve"> (median duration of follow up 18.5 months)</w:t>
            </w:r>
          </w:p>
        </w:tc>
      </w:tr>
      <w:tr w:rsidR="00F25018" w:rsidRPr="00B17639">
        <w:trPr>
          <w:gridAfter w:val="1"/>
          <w:wAfter w:w="14" w:type="pct"/>
          <w:trHeight w:val="70"/>
        </w:trPr>
        <w:tc>
          <w:tcPr>
            <w:tcW w:w="1381" w:type="pct"/>
            <w:gridSpan w:val="2"/>
            <w:vMerge w:val="restart"/>
            <w:shd w:val="clear" w:color="auto" w:fill="auto"/>
            <w:vAlign w:val="center"/>
          </w:tcPr>
          <w:p w:rsidR="005C2346" w:rsidRPr="00B17639" w:rsidRDefault="005C2346" w:rsidP="001D39F1">
            <w:pPr>
              <w:pStyle w:val="TableText"/>
            </w:pPr>
            <w:r w:rsidRPr="00B17639">
              <w:rPr>
                <w:b/>
              </w:rPr>
              <w:t>Adverse event</w:t>
            </w:r>
          </w:p>
        </w:tc>
        <w:tc>
          <w:tcPr>
            <w:tcW w:w="749" w:type="pct"/>
            <w:vMerge w:val="restart"/>
            <w:shd w:val="clear" w:color="auto" w:fill="auto"/>
            <w:vAlign w:val="center"/>
          </w:tcPr>
          <w:p w:rsidR="005C2346" w:rsidRPr="00B17639" w:rsidRDefault="005C2346" w:rsidP="001D39F1">
            <w:pPr>
              <w:pStyle w:val="TableText"/>
              <w:rPr>
                <w:b/>
              </w:rPr>
            </w:pPr>
            <w:r w:rsidRPr="00B17639">
              <w:rPr>
                <w:b/>
              </w:rPr>
              <w:t>Lenvatinib/ everolimus (n=51)</w:t>
            </w:r>
          </w:p>
        </w:tc>
        <w:tc>
          <w:tcPr>
            <w:tcW w:w="879" w:type="pct"/>
            <w:gridSpan w:val="2"/>
            <w:vMerge w:val="restart"/>
            <w:shd w:val="clear" w:color="auto" w:fill="auto"/>
            <w:vAlign w:val="center"/>
          </w:tcPr>
          <w:p w:rsidR="005C2346" w:rsidRPr="00B17639" w:rsidRDefault="005C2346" w:rsidP="001D39F1">
            <w:pPr>
              <w:pStyle w:val="TableText"/>
              <w:rPr>
                <w:b/>
              </w:rPr>
            </w:pPr>
            <w:r w:rsidRPr="00B17639">
              <w:rPr>
                <w:b/>
              </w:rPr>
              <w:t>Everolimus (n=50)</w:t>
            </w:r>
          </w:p>
        </w:tc>
        <w:tc>
          <w:tcPr>
            <w:tcW w:w="1250" w:type="pct"/>
            <w:gridSpan w:val="4"/>
            <w:shd w:val="clear" w:color="auto" w:fill="auto"/>
            <w:vAlign w:val="center"/>
          </w:tcPr>
          <w:p w:rsidR="005C2346" w:rsidRPr="00B17639" w:rsidRDefault="005C2346" w:rsidP="001D39F1">
            <w:pPr>
              <w:pStyle w:val="TableText"/>
              <w:rPr>
                <w:b/>
              </w:rPr>
            </w:pPr>
            <w:r w:rsidRPr="00B17639">
              <w:rPr>
                <w:b/>
              </w:rPr>
              <w:t xml:space="preserve">Events/100 patients* </w:t>
            </w:r>
          </w:p>
        </w:tc>
        <w:tc>
          <w:tcPr>
            <w:tcW w:w="727" w:type="pct"/>
            <w:shd w:val="clear" w:color="auto" w:fill="auto"/>
            <w:vAlign w:val="center"/>
          </w:tcPr>
          <w:p w:rsidR="005C2346" w:rsidRPr="00B17639" w:rsidRDefault="005C2346" w:rsidP="001D39F1">
            <w:pPr>
              <w:pStyle w:val="TableText"/>
              <w:rPr>
                <w:b/>
              </w:rPr>
            </w:pPr>
            <w:r w:rsidRPr="00B17639">
              <w:rPr>
                <w:b/>
              </w:rPr>
              <w:t>RD</w:t>
            </w:r>
            <w:r w:rsidR="00F25018" w:rsidRPr="00B17639">
              <w:rPr>
                <w:b/>
              </w:rPr>
              <w:t xml:space="preserve"> %</w:t>
            </w:r>
          </w:p>
          <w:p w:rsidR="005C2346" w:rsidRPr="00B17639" w:rsidRDefault="005C2346" w:rsidP="001D39F1">
            <w:pPr>
              <w:pStyle w:val="TableText"/>
              <w:rPr>
                <w:b/>
              </w:rPr>
            </w:pPr>
            <w:r w:rsidRPr="00B17639">
              <w:rPr>
                <w:b/>
              </w:rPr>
              <w:t>(95% CI)</w:t>
            </w:r>
          </w:p>
        </w:tc>
      </w:tr>
      <w:tr w:rsidR="00F25018" w:rsidRPr="00B17639">
        <w:trPr>
          <w:gridAfter w:val="1"/>
          <w:wAfter w:w="14" w:type="pct"/>
          <w:trHeight w:val="390"/>
        </w:trPr>
        <w:tc>
          <w:tcPr>
            <w:tcW w:w="1381" w:type="pct"/>
            <w:gridSpan w:val="2"/>
            <w:vMerge/>
            <w:shd w:val="clear" w:color="auto" w:fill="auto"/>
            <w:vAlign w:val="center"/>
          </w:tcPr>
          <w:p w:rsidR="005C2346" w:rsidRPr="00B17639" w:rsidRDefault="005C2346" w:rsidP="001D39F1">
            <w:pPr>
              <w:pStyle w:val="TableText"/>
            </w:pPr>
          </w:p>
        </w:tc>
        <w:tc>
          <w:tcPr>
            <w:tcW w:w="749" w:type="pct"/>
            <w:vMerge/>
            <w:shd w:val="clear" w:color="auto" w:fill="auto"/>
            <w:vAlign w:val="center"/>
          </w:tcPr>
          <w:p w:rsidR="005C2346" w:rsidRPr="00B17639" w:rsidRDefault="005C2346" w:rsidP="001D39F1">
            <w:pPr>
              <w:pStyle w:val="TableText"/>
            </w:pPr>
          </w:p>
        </w:tc>
        <w:tc>
          <w:tcPr>
            <w:tcW w:w="879" w:type="pct"/>
            <w:gridSpan w:val="2"/>
            <w:vMerge/>
            <w:shd w:val="clear" w:color="auto" w:fill="auto"/>
            <w:vAlign w:val="center"/>
          </w:tcPr>
          <w:p w:rsidR="005C2346" w:rsidRPr="00B17639" w:rsidRDefault="005C2346" w:rsidP="001D39F1">
            <w:pPr>
              <w:pStyle w:val="TableText"/>
            </w:pPr>
          </w:p>
        </w:tc>
        <w:tc>
          <w:tcPr>
            <w:tcW w:w="600" w:type="pct"/>
            <w:gridSpan w:val="2"/>
            <w:shd w:val="clear" w:color="auto" w:fill="auto"/>
            <w:vAlign w:val="center"/>
          </w:tcPr>
          <w:p w:rsidR="005C2346" w:rsidRPr="00B17639" w:rsidRDefault="005C2346" w:rsidP="001D39F1">
            <w:pPr>
              <w:pStyle w:val="TableText"/>
              <w:rPr>
                <w:b/>
              </w:rPr>
            </w:pPr>
            <w:r w:rsidRPr="00B17639">
              <w:rPr>
                <w:b/>
              </w:rPr>
              <w:t>Lenvatinib/ everolimus</w:t>
            </w:r>
          </w:p>
        </w:tc>
        <w:tc>
          <w:tcPr>
            <w:tcW w:w="650" w:type="pct"/>
            <w:gridSpan w:val="2"/>
            <w:shd w:val="clear" w:color="auto" w:fill="auto"/>
            <w:vAlign w:val="center"/>
          </w:tcPr>
          <w:p w:rsidR="005C2346" w:rsidRPr="00B17639" w:rsidRDefault="005C2346" w:rsidP="001D39F1">
            <w:pPr>
              <w:pStyle w:val="TableText"/>
              <w:rPr>
                <w:b/>
              </w:rPr>
            </w:pPr>
            <w:r w:rsidRPr="00B17639">
              <w:rPr>
                <w:b/>
              </w:rPr>
              <w:t>Everolimus</w:t>
            </w:r>
          </w:p>
        </w:tc>
        <w:tc>
          <w:tcPr>
            <w:tcW w:w="727" w:type="pct"/>
            <w:shd w:val="clear" w:color="auto" w:fill="auto"/>
            <w:vAlign w:val="center"/>
          </w:tcPr>
          <w:p w:rsidR="005C2346" w:rsidRPr="00B17639" w:rsidRDefault="005C2346" w:rsidP="001D39F1">
            <w:pPr>
              <w:pStyle w:val="TableText"/>
            </w:pPr>
          </w:p>
        </w:tc>
      </w:tr>
      <w:tr w:rsidR="00F25018" w:rsidRPr="00B17639">
        <w:trPr>
          <w:gridAfter w:val="1"/>
          <w:wAfter w:w="14" w:type="pct"/>
        </w:trPr>
        <w:tc>
          <w:tcPr>
            <w:tcW w:w="1381" w:type="pct"/>
            <w:gridSpan w:val="2"/>
            <w:tcBorders>
              <w:top w:val="single" w:sz="4" w:space="0" w:color="auto"/>
              <w:left w:val="single" w:sz="4" w:space="0" w:color="auto"/>
              <w:bottom w:val="single" w:sz="4" w:space="0" w:color="auto"/>
              <w:right w:val="single" w:sz="4" w:space="0" w:color="auto"/>
            </w:tcBorders>
          </w:tcPr>
          <w:p w:rsidR="005C2346" w:rsidRPr="00B17639" w:rsidRDefault="005C2346" w:rsidP="00C67D61">
            <w:pPr>
              <w:pStyle w:val="TableText"/>
            </w:pPr>
            <w:r w:rsidRPr="00B17639">
              <w:rPr>
                <w:rFonts w:eastAsia="Calibri" w:cs="Times New Roman"/>
                <w:szCs w:val="20"/>
              </w:rPr>
              <w:t>Diarrhoea</w:t>
            </w:r>
          </w:p>
        </w:tc>
        <w:tc>
          <w:tcPr>
            <w:tcW w:w="749" w:type="pct"/>
            <w:tcBorders>
              <w:top w:val="single" w:sz="4" w:space="0" w:color="auto"/>
              <w:left w:val="single" w:sz="4" w:space="0" w:color="auto"/>
              <w:bottom w:val="single" w:sz="4" w:space="0" w:color="auto"/>
              <w:right w:val="single" w:sz="4" w:space="0" w:color="auto"/>
            </w:tcBorders>
            <w:vAlign w:val="center"/>
          </w:tcPr>
          <w:p w:rsidR="005C2346" w:rsidRPr="00B17639" w:rsidRDefault="00C720C1" w:rsidP="00C720C1">
            <w:pPr>
              <w:pStyle w:val="TableText"/>
              <w:jc w:val="center"/>
            </w:pPr>
            <w:r w:rsidRPr="00B17639">
              <w:rPr>
                <w:rFonts w:eastAsia="Calibri" w:cs="Times New Roman"/>
                <w:szCs w:val="20"/>
              </w:rPr>
              <w:t>43</w:t>
            </w: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17</w:t>
            </w:r>
          </w:p>
        </w:tc>
        <w:tc>
          <w:tcPr>
            <w:tcW w:w="600" w:type="pct"/>
            <w:gridSpan w:val="2"/>
            <w:shd w:val="clear" w:color="auto" w:fill="auto"/>
            <w:vAlign w:val="center"/>
          </w:tcPr>
          <w:p w:rsidR="005C2346" w:rsidRPr="00B17639" w:rsidRDefault="00C720C1" w:rsidP="00C720C1">
            <w:pPr>
              <w:pStyle w:val="TableText"/>
              <w:jc w:val="center"/>
            </w:pPr>
            <w:r w:rsidRPr="00B17639">
              <w:t>84</w:t>
            </w:r>
          </w:p>
        </w:tc>
        <w:tc>
          <w:tcPr>
            <w:tcW w:w="650" w:type="pct"/>
            <w:gridSpan w:val="2"/>
            <w:shd w:val="clear" w:color="auto" w:fill="auto"/>
            <w:vAlign w:val="center"/>
          </w:tcPr>
          <w:p w:rsidR="005C2346" w:rsidRPr="00B17639" w:rsidRDefault="00C720C1" w:rsidP="00C720C1">
            <w:pPr>
              <w:pStyle w:val="TableText"/>
              <w:jc w:val="center"/>
            </w:pPr>
            <w:r w:rsidRPr="00B17639">
              <w:t>34</w:t>
            </w:r>
          </w:p>
        </w:tc>
        <w:tc>
          <w:tcPr>
            <w:tcW w:w="727" w:type="pct"/>
            <w:shd w:val="clear" w:color="auto" w:fill="auto"/>
            <w:vAlign w:val="center"/>
          </w:tcPr>
          <w:p w:rsidR="005C2346" w:rsidRPr="00B17639" w:rsidRDefault="00F25018" w:rsidP="00C67D61">
            <w:pPr>
              <w:pStyle w:val="TableText"/>
            </w:pPr>
            <w:r w:rsidRPr="00B17639">
              <w:t>50.3 (33.8, 66.8)</w:t>
            </w:r>
          </w:p>
        </w:tc>
      </w:tr>
      <w:tr w:rsidR="00F25018" w:rsidRPr="00B17639">
        <w:trPr>
          <w:gridAfter w:val="1"/>
          <w:wAfter w:w="14" w:type="pct"/>
        </w:trPr>
        <w:tc>
          <w:tcPr>
            <w:tcW w:w="1381" w:type="pct"/>
            <w:gridSpan w:val="2"/>
            <w:tcBorders>
              <w:top w:val="single" w:sz="4" w:space="0" w:color="auto"/>
              <w:left w:val="single" w:sz="4" w:space="0" w:color="auto"/>
              <w:bottom w:val="single" w:sz="4" w:space="0" w:color="auto"/>
              <w:right w:val="single" w:sz="4" w:space="0" w:color="auto"/>
            </w:tcBorders>
          </w:tcPr>
          <w:p w:rsidR="005C2346" w:rsidRPr="00B17639" w:rsidRDefault="005C2346" w:rsidP="00C67D61">
            <w:pPr>
              <w:pStyle w:val="TableText"/>
            </w:pPr>
            <w:r w:rsidRPr="00B17639">
              <w:rPr>
                <w:rFonts w:eastAsia="Calibri" w:cs="Times New Roman"/>
                <w:szCs w:val="20"/>
              </w:rPr>
              <w:t>Decreased appetite</w:t>
            </w:r>
          </w:p>
        </w:tc>
        <w:tc>
          <w:tcPr>
            <w:tcW w:w="749" w:type="pct"/>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26</w:t>
            </w: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C2346" w:rsidRPr="00B17639" w:rsidRDefault="00C720C1" w:rsidP="00C720C1">
            <w:pPr>
              <w:pStyle w:val="TableText"/>
              <w:jc w:val="center"/>
            </w:pPr>
            <w:r w:rsidRPr="00B17639">
              <w:rPr>
                <w:rFonts w:eastAsia="Calibri" w:cs="Times New Roman"/>
                <w:szCs w:val="20"/>
              </w:rPr>
              <w:t>9</w:t>
            </w:r>
          </w:p>
        </w:tc>
        <w:tc>
          <w:tcPr>
            <w:tcW w:w="600" w:type="pct"/>
            <w:gridSpan w:val="2"/>
            <w:shd w:val="clear" w:color="auto" w:fill="auto"/>
            <w:vAlign w:val="center"/>
          </w:tcPr>
          <w:p w:rsidR="005C2346" w:rsidRPr="00B17639" w:rsidRDefault="00C720C1" w:rsidP="00C720C1">
            <w:pPr>
              <w:pStyle w:val="TableText"/>
              <w:jc w:val="center"/>
            </w:pPr>
            <w:r w:rsidRPr="00B17639">
              <w:t>51</w:t>
            </w:r>
          </w:p>
        </w:tc>
        <w:tc>
          <w:tcPr>
            <w:tcW w:w="650" w:type="pct"/>
            <w:gridSpan w:val="2"/>
            <w:shd w:val="clear" w:color="auto" w:fill="auto"/>
            <w:vAlign w:val="center"/>
          </w:tcPr>
          <w:p w:rsidR="005C2346" w:rsidRPr="00B17639" w:rsidRDefault="00C720C1" w:rsidP="00C720C1">
            <w:pPr>
              <w:pStyle w:val="TableText"/>
              <w:jc w:val="center"/>
            </w:pPr>
            <w:r w:rsidRPr="00B17639">
              <w:t>18</w:t>
            </w:r>
          </w:p>
        </w:tc>
        <w:tc>
          <w:tcPr>
            <w:tcW w:w="727" w:type="pct"/>
            <w:shd w:val="clear" w:color="auto" w:fill="auto"/>
            <w:vAlign w:val="center"/>
          </w:tcPr>
          <w:p w:rsidR="005C2346" w:rsidRPr="00B17639" w:rsidRDefault="00F25018" w:rsidP="00C67D61">
            <w:pPr>
              <w:pStyle w:val="TableText"/>
            </w:pPr>
            <w:r w:rsidRPr="00B17639">
              <w:t>33.0 (15.6, 50.3)</w:t>
            </w:r>
          </w:p>
        </w:tc>
      </w:tr>
      <w:tr w:rsidR="00F25018" w:rsidRPr="00B17639">
        <w:trPr>
          <w:gridAfter w:val="1"/>
          <w:wAfter w:w="14" w:type="pct"/>
        </w:trPr>
        <w:tc>
          <w:tcPr>
            <w:tcW w:w="1381" w:type="pct"/>
            <w:gridSpan w:val="2"/>
            <w:tcBorders>
              <w:top w:val="single" w:sz="4" w:space="0" w:color="auto"/>
              <w:left w:val="single" w:sz="4" w:space="0" w:color="auto"/>
              <w:bottom w:val="single" w:sz="4" w:space="0" w:color="auto"/>
              <w:right w:val="single" w:sz="4" w:space="0" w:color="auto"/>
            </w:tcBorders>
          </w:tcPr>
          <w:p w:rsidR="005C2346" w:rsidRPr="00B17639" w:rsidRDefault="005C2346" w:rsidP="00C67D61">
            <w:pPr>
              <w:pStyle w:val="TableText"/>
            </w:pPr>
            <w:r w:rsidRPr="00B17639">
              <w:rPr>
                <w:rFonts w:eastAsia="Calibri" w:cs="Times New Roman"/>
                <w:szCs w:val="20"/>
              </w:rPr>
              <w:t>Fatigue</w:t>
            </w:r>
          </w:p>
        </w:tc>
        <w:tc>
          <w:tcPr>
            <w:tcW w:w="749" w:type="pct"/>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24</w:t>
            </w: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16</w:t>
            </w:r>
          </w:p>
        </w:tc>
        <w:tc>
          <w:tcPr>
            <w:tcW w:w="600" w:type="pct"/>
            <w:gridSpan w:val="2"/>
            <w:shd w:val="clear" w:color="auto" w:fill="auto"/>
            <w:vAlign w:val="center"/>
          </w:tcPr>
          <w:p w:rsidR="005C2346" w:rsidRPr="00B17639" w:rsidRDefault="00C720C1" w:rsidP="00C720C1">
            <w:pPr>
              <w:pStyle w:val="TableText"/>
              <w:jc w:val="center"/>
            </w:pPr>
            <w:r w:rsidRPr="00B17639">
              <w:t>47</w:t>
            </w:r>
          </w:p>
        </w:tc>
        <w:tc>
          <w:tcPr>
            <w:tcW w:w="650" w:type="pct"/>
            <w:gridSpan w:val="2"/>
            <w:shd w:val="clear" w:color="auto" w:fill="auto"/>
            <w:vAlign w:val="center"/>
          </w:tcPr>
          <w:p w:rsidR="005C2346" w:rsidRPr="00B17639" w:rsidRDefault="00C720C1" w:rsidP="00C720C1">
            <w:pPr>
              <w:pStyle w:val="TableText"/>
              <w:jc w:val="center"/>
            </w:pPr>
            <w:r w:rsidRPr="00B17639">
              <w:t>32</w:t>
            </w:r>
          </w:p>
        </w:tc>
        <w:tc>
          <w:tcPr>
            <w:tcW w:w="727" w:type="pct"/>
            <w:shd w:val="clear" w:color="auto" w:fill="auto"/>
            <w:vAlign w:val="center"/>
          </w:tcPr>
          <w:p w:rsidR="005C2346" w:rsidRPr="00B17639" w:rsidRDefault="00F25018" w:rsidP="00C67D61">
            <w:pPr>
              <w:pStyle w:val="TableText"/>
            </w:pPr>
            <w:r w:rsidRPr="00B17639">
              <w:t>15.1 (-3.8, 33.9)</w:t>
            </w:r>
          </w:p>
        </w:tc>
      </w:tr>
      <w:tr w:rsidR="00F25018" w:rsidRPr="00B17639">
        <w:trPr>
          <w:gridAfter w:val="1"/>
          <w:wAfter w:w="14" w:type="pct"/>
        </w:trPr>
        <w:tc>
          <w:tcPr>
            <w:tcW w:w="1381" w:type="pct"/>
            <w:gridSpan w:val="2"/>
            <w:tcBorders>
              <w:top w:val="single" w:sz="4" w:space="0" w:color="auto"/>
              <w:left w:val="single" w:sz="4" w:space="0" w:color="auto"/>
              <w:bottom w:val="single" w:sz="4" w:space="0" w:color="auto"/>
              <w:right w:val="single" w:sz="4" w:space="0" w:color="auto"/>
            </w:tcBorders>
          </w:tcPr>
          <w:p w:rsidR="005C2346" w:rsidRPr="00B17639" w:rsidRDefault="005C2346" w:rsidP="00C67D61">
            <w:pPr>
              <w:pStyle w:val="TableText"/>
            </w:pPr>
            <w:r w:rsidRPr="00B17639">
              <w:rPr>
                <w:rFonts w:eastAsia="Calibri" w:cs="Times New Roman"/>
                <w:szCs w:val="20"/>
              </w:rPr>
              <w:t>Vomiting</w:t>
            </w:r>
          </w:p>
        </w:tc>
        <w:tc>
          <w:tcPr>
            <w:tcW w:w="749" w:type="pct"/>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23</w:t>
            </w: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5</w:t>
            </w:r>
          </w:p>
        </w:tc>
        <w:tc>
          <w:tcPr>
            <w:tcW w:w="600" w:type="pct"/>
            <w:gridSpan w:val="2"/>
            <w:shd w:val="clear" w:color="auto" w:fill="auto"/>
            <w:vAlign w:val="center"/>
          </w:tcPr>
          <w:p w:rsidR="005C2346" w:rsidRPr="00B17639" w:rsidRDefault="00C720C1" w:rsidP="00C720C1">
            <w:pPr>
              <w:pStyle w:val="TableText"/>
              <w:jc w:val="center"/>
            </w:pPr>
            <w:r w:rsidRPr="00B17639">
              <w:t>45</w:t>
            </w:r>
          </w:p>
        </w:tc>
        <w:tc>
          <w:tcPr>
            <w:tcW w:w="650" w:type="pct"/>
            <w:gridSpan w:val="2"/>
            <w:shd w:val="clear" w:color="auto" w:fill="auto"/>
            <w:vAlign w:val="center"/>
          </w:tcPr>
          <w:p w:rsidR="005C2346" w:rsidRPr="00B17639" w:rsidRDefault="00C720C1" w:rsidP="00C720C1">
            <w:pPr>
              <w:pStyle w:val="TableText"/>
              <w:jc w:val="center"/>
            </w:pPr>
            <w:r w:rsidRPr="00B17639">
              <w:t>10</w:t>
            </w:r>
          </w:p>
        </w:tc>
        <w:tc>
          <w:tcPr>
            <w:tcW w:w="727" w:type="pct"/>
            <w:shd w:val="clear" w:color="auto" w:fill="auto"/>
            <w:vAlign w:val="center"/>
          </w:tcPr>
          <w:p w:rsidR="005C2346" w:rsidRPr="00B17639" w:rsidRDefault="00F25018" w:rsidP="00C67D61">
            <w:pPr>
              <w:pStyle w:val="TableText"/>
            </w:pPr>
            <w:r w:rsidRPr="00B17639">
              <w:t>35.1 (19.1, 51.1)</w:t>
            </w:r>
          </w:p>
        </w:tc>
      </w:tr>
      <w:tr w:rsidR="00F25018" w:rsidRPr="00B17639">
        <w:trPr>
          <w:gridAfter w:val="1"/>
          <w:wAfter w:w="14" w:type="pct"/>
        </w:trPr>
        <w:tc>
          <w:tcPr>
            <w:tcW w:w="1381" w:type="pct"/>
            <w:gridSpan w:val="2"/>
            <w:tcBorders>
              <w:top w:val="single" w:sz="4" w:space="0" w:color="auto"/>
              <w:left w:val="single" w:sz="4" w:space="0" w:color="auto"/>
              <w:bottom w:val="single" w:sz="4" w:space="0" w:color="auto"/>
              <w:right w:val="single" w:sz="4" w:space="0" w:color="auto"/>
            </w:tcBorders>
          </w:tcPr>
          <w:p w:rsidR="005C2346" w:rsidRPr="00B17639" w:rsidRDefault="005C2346" w:rsidP="00C67D61">
            <w:pPr>
              <w:pStyle w:val="TableText"/>
            </w:pPr>
            <w:r w:rsidRPr="00B17639">
              <w:rPr>
                <w:rFonts w:eastAsia="Calibri" w:cs="Times New Roman"/>
                <w:szCs w:val="20"/>
              </w:rPr>
              <w:t>Nausea</w:t>
            </w:r>
          </w:p>
        </w:tc>
        <w:tc>
          <w:tcPr>
            <w:tcW w:w="749" w:type="pct"/>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21</w:t>
            </w: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C2346" w:rsidRPr="00B17639" w:rsidRDefault="00C720C1" w:rsidP="00C720C1">
            <w:pPr>
              <w:pStyle w:val="TableText"/>
              <w:jc w:val="center"/>
            </w:pPr>
            <w:r w:rsidRPr="00B17639">
              <w:rPr>
                <w:rFonts w:eastAsia="Calibri" w:cs="Times New Roman"/>
                <w:szCs w:val="20"/>
              </w:rPr>
              <w:t>8</w:t>
            </w:r>
          </w:p>
        </w:tc>
        <w:tc>
          <w:tcPr>
            <w:tcW w:w="600" w:type="pct"/>
            <w:gridSpan w:val="2"/>
            <w:shd w:val="clear" w:color="auto" w:fill="auto"/>
            <w:vAlign w:val="center"/>
          </w:tcPr>
          <w:p w:rsidR="005C2346" w:rsidRPr="00B17639" w:rsidRDefault="00C720C1" w:rsidP="00C720C1">
            <w:pPr>
              <w:pStyle w:val="TableText"/>
              <w:jc w:val="center"/>
            </w:pPr>
            <w:r w:rsidRPr="00B17639">
              <w:t>41</w:t>
            </w:r>
          </w:p>
        </w:tc>
        <w:tc>
          <w:tcPr>
            <w:tcW w:w="650" w:type="pct"/>
            <w:gridSpan w:val="2"/>
            <w:shd w:val="clear" w:color="auto" w:fill="auto"/>
            <w:vAlign w:val="center"/>
          </w:tcPr>
          <w:p w:rsidR="005C2346" w:rsidRPr="00B17639" w:rsidRDefault="00C720C1" w:rsidP="00C720C1">
            <w:pPr>
              <w:pStyle w:val="TableText"/>
              <w:jc w:val="center"/>
            </w:pPr>
            <w:r w:rsidRPr="00B17639">
              <w:t>16</w:t>
            </w:r>
          </w:p>
        </w:tc>
        <w:tc>
          <w:tcPr>
            <w:tcW w:w="727" w:type="pct"/>
            <w:shd w:val="clear" w:color="auto" w:fill="auto"/>
            <w:vAlign w:val="center"/>
          </w:tcPr>
          <w:p w:rsidR="005C2346" w:rsidRPr="00B17639" w:rsidRDefault="00F25018" w:rsidP="00C67D61">
            <w:pPr>
              <w:pStyle w:val="TableText"/>
            </w:pPr>
            <w:r w:rsidRPr="00B17639">
              <w:t>25.2 (8.3, 42.1)</w:t>
            </w:r>
          </w:p>
        </w:tc>
      </w:tr>
      <w:tr w:rsidR="00F25018" w:rsidRPr="00B17639">
        <w:trPr>
          <w:gridAfter w:val="1"/>
          <w:wAfter w:w="14" w:type="pct"/>
        </w:trPr>
        <w:tc>
          <w:tcPr>
            <w:tcW w:w="1381" w:type="pct"/>
            <w:gridSpan w:val="2"/>
            <w:tcBorders>
              <w:top w:val="single" w:sz="4" w:space="0" w:color="auto"/>
              <w:left w:val="single" w:sz="4" w:space="0" w:color="auto"/>
              <w:bottom w:val="single" w:sz="4" w:space="0" w:color="auto"/>
              <w:right w:val="single" w:sz="4" w:space="0" w:color="auto"/>
            </w:tcBorders>
          </w:tcPr>
          <w:p w:rsidR="005C2346" w:rsidRPr="00B17639" w:rsidRDefault="005C2346" w:rsidP="00C67D61">
            <w:pPr>
              <w:pStyle w:val="TableText"/>
            </w:pPr>
            <w:r w:rsidRPr="00B17639">
              <w:rPr>
                <w:rFonts w:eastAsia="Calibri" w:cs="Times New Roman"/>
                <w:szCs w:val="20"/>
              </w:rPr>
              <w:t>Hypertension</w:t>
            </w:r>
          </w:p>
        </w:tc>
        <w:tc>
          <w:tcPr>
            <w:tcW w:w="749" w:type="pct"/>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21</w:t>
            </w: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C2346" w:rsidRPr="00B17639" w:rsidRDefault="005C2346" w:rsidP="00C720C1">
            <w:pPr>
              <w:pStyle w:val="TableText"/>
              <w:jc w:val="center"/>
            </w:pPr>
            <w:r w:rsidRPr="00B17639">
              <w:rPr>
                <w:rFonts w:eastAsia="Calibri" w:cs="Times New Roman"/>
                <w:szCs w:val="20"/>
              </w:rPr>
              <w:t>5</w:t>
            </w:r>
          </w:p>
        </w:tc>
        <w:tc>
          <w:tcPr>
            <w:tcW w:w="600" w:type="pct"/>
            <w:gridSpan w:val="2"/>
            <w:shd w:val="clear" w:color="auto" w:fill="auto"/>
            <w:vAlign w:val="center"/>
          </w:tcPr>
          <w:p w:rsidR="005C2346" w:rsidRPr="00B17639" w:rsidRDefault="00C720C1" w:rsidP="00C720C1">
            <w:pPr>
              <w:pStyle w:val="TableText"/>
              <w:jc w:val="center"/>
            </w:pPr>
            <w:r w:rsidRPr="00B17639">
              <w:t>41</w:t>
            </w:r>
          </w:p>
        </w:tc>
        <w:tc>
          <w:tcPr>
            <w:tcW w:w="650" w:type="pct"/>
            <w:gridSpan w:val="2"/>
            <w:shd w:val="clear" w:color="auto" w:fill="auto"/>
            <w:vAlign w:val="center"/>
          </w:tcPr>
          <w:p w:rsidR="005C2346" w:rsidRPr="00B17639" w:rsidRDefault="00C720C1" w:rsidP="00C720C1">
            <w:pPr>
              <w:pStyle w:val="TableText"/>
              <w:jc w:val="center"/>
            </w:pPr>
            <w:r w:rsidRPr="00B17639">
              <w:t>10</w:t>
            </w:r>
          </w:p>
        </w:tc>
        <w:tc>
          <w:tcPr>
            <w:tcW w:w="727" w:type="pct"/>
            <w:shd w:val="clear" w:color="auto" w:fill="auto"/>
            <w:vAlign w:val="center"/>
          </w:tcPr>
          <w:p w:rsidR="005C2346" w:rsidRPr="00B17639" w:rsidRDefault="00C720C1" w:rsidP="00C67D61">
            <w:pPr>
              <w:pStyle w:val="TableText"/>
            </w:pPr>
            <w:r w:rsidRPr="00B17639">
              <w:t>31.2 (15.3, 47.0)</w:t>
            </w:r>
          </w:p>
        </w:tc>
      </w:tr>
    </w:tbl>
    <w:p w:rsidR="00345ADC" w:rsidRPr="00B17639" w:rsidRDefault="00345ADC" w:rsidP="00345ADC">
      <w:pPr>
        <w:pStyle w:val="TableFooter"/>
      </w:pPr>
      <w:r w:rsidRPr="00B17639">
        <w:t>Source: Compiled during the evaluation/using tables 2-21, page 71, 2-23, page 75, 2-29, page 85</w:t>
      </w:r>
    </w:p>
    <w:p w:rsidR="00034404" w:rsidRPr="00B17639" w:rsidRDefault="00034404" w:rsidP="00772501">
      <w:pPr>
        <w:pStyle w:val="TableFooter"/>
      </w:pPr>
      <w:r w:rsidRPr="00B17639">
        <w:t xml:space="preserve">Abbreviations: </w:t>
      </w:r>
      <w:r w:rsidR="00345ADC" w:rsidRPr="00B17639">
        <w:t xml:space="preserve">CI, confidence interval; </w:t>
      </w:r>
      <w:r w:rsidR="00495235" w:rsidRPr="00B17639">
        <w:t>n</w:t>
      </w:r>
      <w:r w:rsidR="00495235">
        <w:t xml:space="preserve">, </w:t>
      </w:r>
      <w:r w:rsidR="00495235" w:rsidRPr="00B17639">
        <w:t xml:space="preserve">number; </w:t>
      </w:r>
      <w:r w:rsidRPr="00B17639">
        <w:t>RD</w:t>
      </w:r>
      <w:r w:rsidR="00495235">
        <w:t xml:space="preserve">, </w:t>
      </w:r>
      <w:r w:rsidRPr="00B17639">
        <w:t>risk difference; RR</w:t>
      </w:r>
      <w:r w:rsidR="00495235">
        <w:t xml:space="preserve">, </w:t>
      </w:r>
      <w:r w:rsidRPr="00B17639">
        <w:t>risk ratio</w:t>
      </w:r>
    </w:p>
    <w:p w:rsidR="00345ADC" w:rsidRPr="00B17639" w:rsidRDefault="00345ADC" w:rsidP="00772501">
      <w:pPr>
        <w:pStyle w:val="TableFooter"/>
      </w:pPr>
    </w:p>
    <w:p w:rsidR="00345ADC" w:rsidRPr="005452C5" w:rsidRDefault="00345ADC" w:rsidP="005452C5">
      <w:pPr>
        <w:numPr>
          <w:ilvl w:val="1"/>
          <w:numId w:val="1"/>
        </w:numPr>
        <w:jc w:val="both"/>
      </w:pPr>
      <w:bookmarkStart w:id="39" w:name="_Hlk490055357"/>
      <w:r w:rsidRPr="005452C5">
        <w:lastRenderedPageBreak/>
        <w:t xml:space="preserve">On the basis of the direct evidence presented by the submission, the comparison of lenvatinib/everolimus and everolimus </w:t>
      </w:r>
      <w:r w:rsidR="00484761" w:rsidRPr="005452C5">
        <w:t>indicated that</w:t>
      </w:r>
      <w:r w:rsidRPr="005452C5">
        <w:t>:</w:t>
      </w:r>
    </w:p>
    <w:p w:rsidR="009F65A6" w:rsidRPr="00B17639" w:rsidRDefault="008F3E00" w:rsidP="00345ADC">
      <w:pPr>
        <w:pStyle w:val="ListParagraph"/>
        <w:numPr>
          <w:ilvl w:val="0"/>
          <w:numId w:val="8"/>
        </w:numPr>
        <w:spacing w:before="0" w:after="120"/>
        <w:jc w:val="both"/>
        <w:rPr>
          <w:lang w:val="en-US"/>
        </w:rPr>
      </w:pPr>
      <w:r w:rsidRPr="00B17639">
        <w:rPr>
          <w:lang w:val="en-US"/>
        </w:rPr>
        <w:t xml:space="preserve">Of all patients treated with lenvatinib/everolimus, half would progress within 14.6 months of commencing treatment, whereas the corresponding period for everolimus would be 5.5 months. </w:t>
      </w:r>
    </w:p>
    <w:p w:rsidR="00513528" w:rsidRPr="00B17639" w:rsidRDefault="00542D88" w:rsidP="00345ADC">
      <w:pPr>
        <w:pStyle w:val="ListParagraph"/>
        <w:numPr>
          <w:ilvl w:val="0"/>
          <w:numId w:val="8"/>
        </w:numPr>
        <w:spacing w:before="0" w:after="120"/>
        <w:jc w:val="both"/>
        <w:rPr>
          <w:lang w:val="en-US"/>
        </w:rPr>
      </w:pPr>
      <w:r w:rsidRPr="00B17639">
        <w:rPr>
          <w:lang w:val="en-US"/>
        </w:rPr>
        <w:t>It is not possible to state the potential benefit associated with survival because the estimates of the survival advantage were not statistically significant.</w:t>
      </w:r>
    </w:p>
    <w:bookmarkEnd w:id="39"/>
    <w:p w:rsidR="00513528" w:rsidRPr="00B17639" w:rsidRDefault="00513528" w:rsidP="00345ADC">
      <w:pPr>
        <w:pStyle w:val="ListParagraph"/>
        <w:numPr>
          <w:ilvl w:val="0"/>
          <w:numId w:val="8"/>
        </w:numPr>
        <w:spacing w:before="0" w:after="120"/>
        <w:jc w:val="both"/>
        <w:rPr>
          <w:lang w:val="en-US"/>
        </w:rPr>
      </w:pPr>
      <w:r w:rsidRPr="00B17639">
        <w:rPr>
          <w:lang w:val="en-US"/>
        </w:rPr>
        <w:t xml:space="preserve">For every 100 patients treated with lenvatinib/everolimus in comparison to everolimus monotherapy </w:t>
      </w:r>
      <w:r w:rsidR="00542D88" w:rsidRPr="00B17639">
        <w:rPr>
          <w:lang w:val="en-US"/>
        </w:rPr>
        <w:t>over</w:t>
      </w:r>
      <w:r w:rsidRPr="00B17639">
        <w:rPr>
          <w:lang w:val="en-US"/>
        </w:rPr>
        <w:t xml:space="preserve"> 18.5 months</w:t>
      </w:r>
      <w:r w:rsidR="00542D88" w:rsidRPr="00B17639">
        <w:rPr>
          <w:lang w:val="en-US"/>
        </w:rPr>
        <w:t>:</w:t>
      </w:r>
      <w:r w:rsidRPr="00B17639">
        <w:rPr>
          <w:lang w:val="en-US"/>
        </w:rPr>
        <w:t xml:space="preserve"> </w:t>
      </w:r>
    </w:p>
    <w:p w:rsidR="00513528" w:rsidRPr="00B17639" w:rsidRDefault="00513528" w:rsidP="00513528">
      <w:pPr>
        <w:pStyle w:val="ListParagraph"/>
        <w:numPr>
          <w:ilvl w:val="1"/>
          <w:numId w:val="8"/>
        </w:numPr>
        <w:spacing w:before="0" w:after="120"/>
        <w:jc w:val="both"/>
        <w:rPr>
          <w:lang w:val="en-US"/>
        </w:rPr>
      </w:pPr>
      <w:r w:rsidRPr="00B17639">
        <w:rPr>
          <w:lang w:val="en-US"/>
        </w:rPr>
        <w:t>50 more patients will experience diarrh</w:t>
      </w:r>
      <w:r w:rsidR="00484761" w:rsidRPr="00B17639">
        <w:rPr>
          <w:lang w:val="en-US"/>
        </w:rPr>
        <w:t>o</w:t>
      </w:r>
      <w:r w:rsidRPr="00B17639">
        <w:rPr>
          <w:lang w:val="en-US"/>
        </w:rPr>
        <w:t>ea</w:t>
      </w:r>
    </w:p>
    <w:p w:rsidR="00AC1C0C" w:rsidRPr="00B17639" w:rsidRDefault="00AC1C0C" w:rsidP="00513528">
      <w:pPr>
        <w:pStyle w:val="ListParagraph"/>
        <w:numPr>
          <w:ilvl w:val="1"/>
          <w:numId w:val="8"/>
        </w:numPr>
        <w:spacing w:before="0" w:after="120"/>
        <w:jc w:val="both"/>
        <w:rPr>
          <w:lang w:val="en-US"/>
        </w:rPr>
      </w:pPr>
      <w:r w:rsidRPr="00B17639">
        <w:rPr>
          <w:lang w:val="en-US"/>
        </w:rPr>
        <w:t>33 more patients will have a decreased appetite</w:t>
      </w:r>
    </w:p>
    <w:p w:rsidR="00542D88" w:rsidRPr="00B17639" w:rsidRDefault="00542D88" w:rsidP="00513528">
      <w:pPr>
        <w:pStyle w:val="ListParagraph"/>
        <w:numPr>
          <w:ilvl w:val="1"/>
          <w:numId w:val="8"/>
        </w:numPr>
        <w:spacing w:before="0" w:after="120"/>
        <w:jc w:val="both"/>
        <w:rPr>
          <w:lang w:val="en-US"/>
        </w:rPr>
      </w:pPr>
      <w:r w:rsidRPr="00B17639">
        <w:rPr>
          <w:lang w:val="en-US"/>
        </w:rPr>
        <w:t>35 more patients will experience vomiting</w:t>
      </w:r>
    </w:p>
    <w:p w:rsidR="00542D88" w:rsidRPr="00B17639" w:rsidRDefault="00542D88" w:rsidP="00513528">
      <w:pPr>
        <w:pStyle w:val="ListParagraph"/>
        <w:numPr>
          <w:ilvl w:val="1"/>
          <w:numId w:val="8"/>
        </w:numPr>
        <w:spacing w:before="0" w:after="120"/>
        <w:jc w:val="both"/>
        <w:rPr>
          <w:lang w:val="en-US"/>
        </w:rPr>
      </w:pPr>
      <w:r w:rsidRPr="00B17639">
        <w:rPr>
          <w:lang w:val="en-US"/>
        </w:rPr>
        <w:t>25 more patients will experience nausea</w:t>
      </w:r>
    </w:p>
    <w:p w:rsidR="00BB7037" w:rsidRPr="00B17639" w:rsidRDefault="00AC1C0C" w:rsidP="00513528">
      <w:pPr>
        <w:pStyle w:val="ListParagraph"/>
        <w:numPr>
          <w:ilvl w:val="1"/>
          <w:numId w:val="8"/>
        </w:numPr>
        <w:spacing w:before="0" w:after="120"/>
        <w:jc w:val="both"/>
        <w:rPr>
          <w:lang w:val="en-US"/>
        </w:rPr>
      </w:pPr>
      <w:r w:rsidRPr="00B17639">
        <w:rPr>
          <w:lang w:val="en-US"/>
        </w:rPr>
        <w:t xml:space="preserve">31 more patients will experience hypertension. </w:t>
      </w:r>
    </w:p>
    <w:p w:rsidR="00AC1C0C" w:rsidRPr="00B17639" w:rsidRDefault="00542D88" w:rsidP="005452C5">
      <w:pPr>
        <w:numPr>
          <w:ilvl w:val="1"/>
          <w:numId w:val="1"/>
        </w:numPr>
        <w:jc w:val="both"/>
      </w:pPr>
      <w:r w:rsidRPr="00B17639">
        <w:t>A</w:t>
      </w:r>
      <w:r w:rsidR="00AC1C0C" w:rsidRPr="00B17639">
        <w:t xml:space="preserve"> summary of the comparative benefits for the lenvatinib/everolimus combination versus nivolumab generated through </w:t>
      </w:r>
      <w:r w:rsidRPr="00B17639">
        <w:t xml:space="preserve">the </w:t>
      </w:r>
      <w:r w:rsidR="00AC1C0C" w:rsidRPr="00B17639">
        <w:t>indirect comparison</w:t>
      </w:r>
      <w:r w:rsidRPr="00B17639">
        <w:t xml:space="preserve"> is presented in Table 1</w:t>
      </w:r>
      <w:r w:rsidR="00480BB0">
        <w:t>1</w:t>
      </w:r>
      <w:r w:rsidR="00AC1C0C" w:rsidRPr="00B17639">
        <w:t xml:space="preserve">. </w:t>
      </w:r>
    </w:p>
    <w:p w:rsidR="00C73328" w:rsidRPr="00B17639" w:rsidRDefault="00C73328" w:rsidP="000F1F6E">
      <w:pPr>
        <w:pStyle w:val="TableHeading0"/>
      </w:pPr>
      <w:bookmarkStart w:id="40" w:name="_Hlk490054562"/>
      <w:r w:rsidRPr="00B17639">
        <w:lastRenderedPageBreak/>
        <w:t>Table 1</w:t>
      </w:r>
      <w:r w:rsidR="00480BB0">
        <w:t>1</w:t>
      </w:r>
      <w:r w:rsidRPr="00B17639">
        <w:t xml:space="preserve">: Summary of comparative benefits and harms for lenvatinib/everolimus versus nivolumab </w:t>
      </w:r>
    </w:p>
    <w:tbl>
      <w:tblPr>
        <w:tblStyle w:val="TableGrid"/>
        <w:tblW w:w="48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Summary of comparative benefits and harms for lenvatinib/everolimus versus nivolumab "/>
      </w:tblPr>
      <w:tblGrid>
        <w:gridCol w:w="1804"/>
        <w:gridCol w:w="30"/>
        <w:gridCol w:w="1008"/>
        <w:gridCol w:w="379"/>
        <w:gridCol w:w="894"/>
        <w:gridCol w:w="523"/>
        <w:gridCol w:w="752"/>
        <w:gridCol w:w="667"/>
        <w:gridCol w:w="626"/>
        <w:gridCol w:w="791"/>
        <w:gridCol w:w="272"/>
        <w:gridCol w:w="1143"/>
      </w:tblGrid>
      <w:tr w:rsidR="00C73328" w:rsidRPr="00B17639" w:rsidTr="002119FA">
        <w:trPr>
          <w:cnfStyle w:val="100000000000" w:firstRow="1" w:lastRow="0" w:firstColumn="0" w:lastColumn="0" w:oddVBand="0" w:evenVBand="0" w:oddHBand="0" w:evenHBand="0" w:firstRowFirstColumn="0" w:firstRowLastColumn="0" w:lastRowFirstColumn="0" w:lastRowLastColumn="0"/>
          <w:tblHeader/>
        </w:trPr>
        <w:tc>
          <w:tcPr>
            <w:tcW w:w="5000" w:type="pct"/>
            <w:gridSpan w:val="12"/>
            <w:shd w:val="clear" w:color="auto" w:fill="auto"/>
            <w:vAlign w:val="center"/>
          </w:tcPr>
          <w:p w:rsidR="00C73328" w:rsidRPr="00B17639" w:rsidRDefault="00C73328" w:rsidP="000F1F6E">
            <w:pPr>
              <w:pStyle w:val="TableText"/>
              <w:rPr>
                <w:b w:val="0"/>
              </w:rPr>
            </w:pPr>
            <w:bookmarkStart w:id="41" w:name="_Hlk491851285"/>
            <w:r w:rsidRPr="00B17639">
              <w:t>Progression free survival</w:t>
            </w:r>
          </w:p>
        </w:tc>
      </w:tr>
      <w:tr w:rsidR="00C73328" w:rsidRPr="00B17639">
        <w:tc>
          <w:tcPr>
            <w:tcW w:w="1032" w:type="pct"/>
            <w:gridSpan w:val="2"/>
            <w:shd w:val="clear" w:color="auto" w:fill="auto"/>
            <w:vAlign w:val="center"/>
          </w:tcPr>
          <w:p w:rsidR="00C73328" w:rsidRPr="00B17639" w:rsidRDefault="00C73328" w:rsidP="000F1F6E">
            <w:pPr>
              <w:pStyle w:val="TableText"/>
            </w:pPr>
          </w:p>
        </w:tc>
        <w:tc>
          <w:tcPr>
            <w:tcW w:w="1283" w:type="pct"/>
            <w:gridSpan w:val="3"/>
            <w:shd w:val="clear" w:color="auto" w:fill="auto"/>
            <w:vAlign w:val="center"/>
          </w:tcPr>
          <w:p w:rsidR="00C73328" w:rsidRPr="00B17639" w:rsidRDefault="00C73328" w:rsidP="000F1F6E">
            <w:pPr>
              <w:pStyle w:val="TableText"/>
              <w:rPr>
                <w:b/>
              </w:rPr>
            </w:pPr>
            <w:r w:rsidRPr="00B17639">
              <w:rPr>
                <w:b/>
              </w:rPr>
              <w:t>Intervention</w:t>
            </w:r>
            <w:r w:rsidRPr="00B17639">
              <w:rPr>
                <w:b/>
                <w:vertAlign w:val="superscript"/>
              </w:rPr>
              <w:t>a</w:t>
            </w:r>
          </w:p>
        </w:tc>
        <w:tc>
          <w:tcPr>
            <w:tcW w:w="1444" w:type="pct"/>
            <w:gridSpan w:val="4"/>
            <w:shd w:val="clear" w:color="auto" w:fill="auto"/>
            <w:vAlign w:val="center"/>
          </w:tcPr>
          <w:p w:rsidR="00C73328" w:rsidRPr="00B17639" w:rsidRDefault="00C73328" w:rsidP="000F1F6E">
            <w:pPr>
              <w:pStyle w:val="TableText"/>
              <w:rPr>
                <w:b/>
              </w:rPr>
            </w:pPr>
            <w:r w:rsidRPr="00B17639">
              <w:rPr>
                <w:b/>
              </w:rPr>
              <w:t>Everolimus</w:t>
            </w:r>
          </w:p>
        </w:tc>
        <w:tc>
          <w:tcPr>
            <w:tcW w:w="598" w:type="pct"/>
            <w:gridSpan w:val="2"/>
            <w:shd w:val="clear" w:color="auto" w:fill="auto"/>
            <w:vAlign w:val="center"/>
          </w:tcPr>
          <w:p w:rsidR="00C73328" w:rsidRPr="00B17639" w:rsidRDefault="00C73328" w:rsidP="000F1F6E">
            <w:pPr>
              <w:pStyle w:val="TableText"/>
              <w:rPr>
                <w:b/>
              </w:rPr>
            </w:pPr>
          </w:p>
        </w:tc>
        <w:tc>
          <w:tcPr>
            <w:tcW w:w="643" w:type="pct"/>
            <w:vMerge w:val="restart"/>
            <w:shd w:val="clear" w:color="auto" w:fill="auto"/>
            <w:vAlign w:val="center"/>
          </w:tcPr>
          <w:p w:rsidR="00C73328" w:rsidRPr="00B17639" w:rsidRDefault="00C73328" w:rsidP="000F1F6E">
            <w:pPr>
              <w:pStyle w:val="TableText"/>
              <w:rPr>
                <w:b/>
              </w:rPr>
            </w:pPr>
            <w:r w:rsidRPr="00B17639">
              <w:rPr>
                <w:b/>
              </w:rPr>
              <w:t>Indirect comparison: HR (95%CI)</w:t>
            </w:r>
          </w:p>
        </w:tc>
      </w:tr>
      <w:tr w:rsidR="00C73328" w:rsidRPr="00B17639">
        <w:tc>
          <w:tcPr>
            <w:tcW w:w="1032" w:type="pct"/>
            <w:gridSpan w:val="2"/>
            <w:shd w:val="clear" w:color="auto" w:fill="auto"/>
            <w:vAlign w:val="center"/>
          </w:tcPr>
          <w:p w:rsidR="00C73328" w:rsidRPr="00B17639" w:rsidRDefault="00C73328" w:rsidP="000F1F6E">
            <w:pPr>
              <w:pStyle w:val="TableText"/>
            </w:pPr>
          </w:p>
        </w:tc>
        <w:tc>
          <w:tcPr>
            <w:tcW w:w="567" w:type="pct"/>
            <w:shd w:val="clear" w:color="auto" w:fill="auto"/>
            <w:vAlign w:val="center"/>
          </w:tcPr>
          <w:p w:rsidR="00C73328" w:rsidRPr="00B17639" w:rsidRDefault="00C73328" w:rsidP="000F1F6E">
            <w:pPr>
              <w:pStyle w:val="TableText"/>
              <w:spacing w:before="0" w:after="0"/>
              <w:rPr>
                <w:b/>
              </w:rPr>
            </w:pPr>
            <w:r w:rsidRPr="00B17639">
              <w:rPr>
                <w:rFonts w:eastAsia="Calibri" w:cs="Times New Roman"/>
                <w:b/>
                <w:szCs w:val="20"/>
                <w:lang w:eastAsia="en-AU"/>
              </w:rPr>
              <w:t>n/N with event (%)</w:t>
            </w:r>
          </w:p>
        </w:tc>
        <w:tc>
          <w:tcPr>
            <w:tcW w:w="716" w:type="pct"/>
            <w:gridSpan w:val="2"/>
            <w:shd w:val="clear" w:color="auto" w:fill="auto"/>
            <w:vAlign w:val="center"/>
          </w:tcPr>
          <w:p w:rsidR="00C73328" w:rsidRPr="00B17639" w:rsidRDefault="00C73328" w:rsidP="000F1F6E">
            <w:pPr>
              <w:pStyle w:val="TableText"/>
              <w:spacing w:before="0" w:after="0"/>
              <w:rPr>
                <w:rFonts w:eastAsia="Calibri" w:cs="Times New Roman"/>
                <w:b/>
                <w:szCs w:val="20"/>
                <w:lang w:eastAsia="en-AU"/>
              </w:rPr>
            </w:pPr>
            <w:r w:rsidRPr="00B17639">
              <w:rPr>
                <w:rFonts w:eastAsia="Calibri" w:cs="Times New Roman"/>
                <w:b/>
                <w:szCs w:val="20"/>
                <w:lang w:eastAsia="en-AU"/>
              </w:rPr>
              <w:t xml:space="preserve">Median months </w:t>
            </w:r>
          </w:p>
          <w:p w:rsidR="00C73328" w:rsidRPr="00B17639" w:rsidRDefault="00C73328" w:rsidP="000F1F6E">
            <w:pPr>
              <w:pStyle w:val="TableText"/>
              <w:spacing w:before="0" w:after="0"/>
              <w:rPr>
                <w:b/>
              </w:rPr>
            </w:pPr>
            <w:r w:rsidRPr="00B17639">
              <w:rPr>
                <w:rFonts w:eastAsia="Calibri" w:cs="Times New Roman"/>
                <w:b/>
                <w:szCs w:val="20"/>
                <w:lang w:eastAsia="en-AU"/>
              </w:rPr>
              <w:t>(95% CI)</w:t>
            </w:r>
          </w:p>
        </w:tc>
        <w:tc>
          <w:tcPr>
            <w:tcW w:w="717" w:type="pct"/>
            <w:gridSpan w:val="2"/>
            <w:shd w:val="clear" w:color="auto" w:fill="auto"/>
            <w:vAlign w:val="center"/>
          </w:tcPr>
          <w:p w:rsidR="00C73328" w:rsidRPr="00B17639" w:rsidRDefault="00C73328" w:rsidP="000F1F6E">
            <w:pPr>
              <w:pStyle w:val="TableText"/>
              <w:spacing w:before="0" w:after="0"/>
              <w:rPr>
                <w:b/>
              </w:rPr>
            </w:pPr>
            <w:r w:rsidRPr="00B17639">
              <w:rPr>
                <w:rFonts w:eastAsia="Calibri" w:cs="Times New Roman"/>
                <w:b/>
                <w:szCs w:val="20"/>
                <w:lang w:eastAsia="en-AU"/>
              </w:rPr>
              <w:t>n/N with event (%)</w:t>
            </w:r>
          </w:p>
        </w:tc>
        <w:tc>
          <w:tcPr>
            <w:tcW w:w="727" w:type="pct"/>
            <w:gridSpan w:val="2"/>
            <w:shd w:val="clear" w:color="auto" w:fill="auto"/>
            <w:vAlign w:val="center"/>
          </w:tcPr>
          <w:p w:rsidR="00C73328" w:rsidRPr="00B17639" w:rsidRDefault="00C73328" w:rsidP="000F1F6E">
            <w:pPr>
              <w:pStyle w:val="TableText"/>
              <w:spacing w:before="0" w:after="0"/>
              <w:rPr>
                <w:rFonts w:eastAsia="Calibri" w:cs="Times New Roman"/>
                <w:b/>
                <w:szCs w:val="20"/>
                <w:lang w:eastAsia="en-AU"/>
              </w:rPr>
            </w:pPr>
            <w:r w:rsidRPr="00B17639">
              <w:rPr>
                <w:rFonts w:eastAsia="Calibri" w:cs="Times New Roman"/>
                <w:b/>
                <w:szCs w:val="20"/>
                <w:lang w:eastAsia="en-AU"/>
              </w:rPr>
              <w:t xml:space="preserve">Median months </w:t>
            </w:r>
          </w:p>
          <w:p w:rsidR="00C73328" w:rsidRPr="00B17639" w:rsidRDefault="00C73328" w:rsidP="000F1F6E">
            <w:pPr>
              <w:pStyle w:val="TableText"/>
              <w:spacing w:before="0" w:after="0"/>
              <w:rPr>
                <w:b/>
              </w:rPr>
            </w:pPr>
            <w:r w:rsidRPr="00B17639">
              <w:rPr>
                <w:rFonts w:eastAsia="Calibri" w:cs="Times New Roman"/>
                <w:b/>
                <w:szCs w:val="20"/>
                <w:lang w:eastAsia="en-AU"/>
              </w:rPr>
              <w:t>(95% CI)</w:t>
            </w:r>
          </w:p>
        </w:tc>
        <w:tc>
          <w:tcPr>
            <w:tcW w:w="598" w:type="pct"/>
            <w:gridSpan w:val="2"/>
            <w:shd w:val="clear" w:color="auto" w:fill="auto"/>
            <w:vAlign w:val="center"/>
          </w:tcPr>
          <w:p w:rsidR="00C73328" w:rsidRPr="00B17639" w:rsidRDefault="00C73328" w:rsidP="000F1F6E">
            <w:pPr>
              <w:pStyle w:val="TableText"/>
              <w:rPr>
                <w:b/>
              </w:rPr>
            </w:pPr>
            <w:r w:rsidRPr="00B17639">
              <w:rPr>
                <w:b/>
              </w:rPr>
              <w:t>HR (95% CI)</w:t>
            </w:r>
          </w:p>
        </w:tc>
        <w:tc>
          <w:tcPr>
            <w:tcW w:w="643" w:type="pct"/>
            <w:vMerge/>
            <w:shd w:val="clear" w:color="auto" w:fill="auto"/>
            <w:vAlign w:val="center"/>
          </w:tcPr>
          <w:p w:rsidR="00C73328" w:rsidRPr="00B17639" w:rsidRDefault="00C73328" w:rsidP="000F1F6E">
            <w:pPr>
              <w:pStyle w:val="TableText"/>
              <w:rPr>
                <w:b/>
              </w:rPr>
            </w:pPr>
          </w:p>
        </w:tc>
      </w:tr>
      <w:tr w:rsidR="00C73328" w:rsidRPr="00B17639">
        <w:tc>
          <w:tcPr>
            <w:tcW w:w="1032" w:type="pct"/>
            <w:gridSpan w:val="2"/>
            <w:shd w:val="clear" w:color="auto" w:fill="auto"/>
            <w:vAlign w:val="center"/>
          </w:tcPr>
          <w:p w:rsidR="00C73328" w:rsidRPr="00B17639" w:rsidRDefault="00C73328" w:rsidP="000F1F6E">
            <w:pPr>
              <w:pStyle w:val="TableText"/>
            </w:pPr>
            <w:r w:rsidRPr="00B17639">
              <w:t>Study 205</w:t>
            </w:r>
          </w:p>
        </w:tc>
        <w:tc>
          <w:tcPr>
            <w:tcW w:w="567" w:type="pct"/>
            <w:shd w:val="clear" w:color="auto" w:fill="auto"/>
            <w:vAlign w:val="center"/>
          </w:tcPr>
          <w:p w:rsidR="00C73328" w:rsidRPr="00B17639" w:rsidRDefault="00C73328" w:rsidP="000F1F6E">
            <w:pPr>
              <w:pStyle w:val="TableText"/>
            </w:pPr>
            <w:r w:rsidRPr="00B17639">
              <w:t>26/51 (51%)</w:t>
            </w:r>
          </w:p>
        </w:tc>
        <w:tc>
          <w:tcPr>
            <w:tcW w:w="716" w:type="pct"/>
            <w:gridSpan w:val="2"/>
            <w:shd w:val="clear" w:color="auto" w:fill="auto"/>
            <w:vAlign w:val="center"/>
          </w:tcPr>
          <w:p w:rsidR="00C73328" w:rsidRPr="00B17639" w:rsidRDefault="00C73328" w:rsidP="000F1F6E">
            <w:pPr>
              <w:pStyle w:val="TableText"/>
            </w:pPr>
            <w:r w:rsidRPr="00B17639">
              <w:t>14.6 (5.9, 20.1)</w:t>
            </w:r>
          </w:p>
        </w:tc>
        <w:tc>
          <w:tcPr>
            <w:tcW w:w="717" w:type="pct"/>
            <w:gridSpan w:val="2"/>
            <w:shd w:val="clear" w:color="auto" w:fill="auto"/>
            <w:vAlign w:val="center"/>
          </w:tcPr>
          <w:p w:rsidR="00C73328" w:rsidRPr="00B17639" w:rsidRDefault="00C73328" w:rsidP="000F1F6E">
            <w:pPr>
              <w:pStyle w:val="TableText"/>
            </w:pPr>
            <w:r w:rsidRPr="00B17639">
              <w:t>37/50 (74%)</w:t>
            </w:r>
          </w:p>
        </w:tc>
        <w:tc>
          <w:tcPr>
            <w:tcW w:w="727" w:type="pct"/>
            <w:gridSpan w:val="2"/>
            <w:shd w:val="clear" w:color="auto" w:fill="auto"/>
            <w:vAlign w:val="center"/>
          </w:tcPr>
          <w:p w:rsidR="00C73328" w:rsidRPr="00B17639" w:rsidRDefault="00C73328" w:rsidP="000F1F6E">
            <w:pPr>
              <w:pStyle w:val="TableText"/>
            </w:pPr>
            <w:r w:rsidRPr="00B17639">
              <w:t>5.5 (3.5, 7.1)</w:t>
            </w:r>
          </w:p>
        </w:tc>
        <w:tc>
          <w:tcPr>
            <w:tcW w:w="598" w:type="pct"/>
            <w:gridSpan w:val="2"/>
            <w:shd w:val="clear" w:color="auto" w:fill="auto"/>
            <w:vAlign w:val="center"/>
          </w:tcPr>
          <w:p w:rsidR="00C73328" w:rsidRPr="00B17639" w:rsidRDefault="00C73328" w:rsidP="000F1F6E">
            <w:pPr>
              <w:pStyle w:val="TableText"/>
            </w:pPr>
            <w:r w:rsidRPr="00B17639">
              <w:t>0.4</w:t>
            </w:r>
            <w:r w:rsidR="00BD5DCE" w:rsidRPr="00B17639">
              <w:t>0</w:t>
            </w:r>
            <w:r w:rsidRPr="00B17639">
              <w:t xml:space="preserve"> (0.24, 0.68)</w:t>
            </w:r>
          </w:p>
        </w:tc>
        <w:tc>
          <w:tcPr>
            <w:tcW w:w="643" w:type="pct"/>
            <w:vMerge w:val="restart"/>
            <w:shd w:val="clear" w:color="auto" w:fill="auto"/>
            <w:vAlign w:val="center"/>
          </w:tcPr>
          <w:p w:rsidR="00C73328" w:rsidRPr="0089293C" w:rsidRDefault="0089293C" w:rsidP="000F1F6E">
            <w:pPr>
              <w:pStyle w:val="TableText"/>
              <w:rPr>
                <w:b/>
                <w:highlight w:val="black"/>
              </w:rPr>
            </w:pPr>
            <w:r>
              <w:rPr>
                <w:b/>
                <w:noProof/>
                <w:color w:val="000000"/>
                <w:highlight w:val="black"/>
              </w:rPr>
              <w:t>'''''''' '''''''''''' '''''''''</w:t>
            </w:r>
          </w:p>
        </w:tc>
      </w:tr>
      <w:tr w:rsidR="00C73328" w:rsidRPr="00B17639">
        <w:tc>
          <w:tcPr>
            <w:tcW w:w="1032" w:type="pct"/>
            <w:gridSpan w:val="2"/>
            <w:shd w:val="clear" w:color="auto" w:fill="auto"/>
            <w:vAlign w:val="center"/>
          </w:tcPr>
          <w:p w:rsidR="00C73328" w:rsidRPr="00B17639" w:rsidRDefault="00C73328" w:rsidP="000F1F6E">
            <w:pPr>
              <w:pStyle w:val="TableText"/>
            </w:pPr>
            <w:r w:rsidRPr="00B17639">
              <w:t>CheckMate 0</w:t>
            </w:r>
            <w:r w:rsidR="00DF46A5">
              <w:t>2</w:t>
            </w:r>
            <w:r w:rsidRPr="00B17639">
              <w:t>5</w:t>
            </w:r>
          </w:p>
        </w:tc>
        <w:tc>
          <w:tcPr>
            <w:tcW w:w="567" w:type="pct"/>
            <w:shd w:val="clear" w:color="auto" w:fill="auto"/>
            <w:vAlign w:val="center"/>
          </w:tcPr>
          <w:p w:rsidR="00C73328" w:rsidRPr="00B17639" w:rsidRDefault="00BD5DCE" w:rsidP="000F1F6E">
            <w:pPr>
              <w:pStyle w:val="TableText"/>
            </w:pPr>
            <w:r w:rsidRPr="00B17639">
              <w:t>318/410 (78%)</w:t>
            </w:r>
          </w:p>
        </w:tc>
        <w:tc>
          <w:tcPr>
            <w:tcW w:w="716" w:type="pct"/>
            <w:gridSpan w:val="2"/>
            <w:shd w:val="clear" w:color="auto" w:fill="auto"/>
            <w:vAlign w:val="center"/>
          </w:tcPr>
          <w:p w:rsidR="00C73328" w:rsidRPr="00B17639" w:rsidRDefault="00C73328" w:rsidP="000F1F6E">
            <w:pPr>
              <w:pStyle w:val="TableText"/>
            </w:pPr>
            <w:r w:rsidRPr="00B17639">
              <w:t>4.6 (3.7, 5.4)</w:t>
            </w:r>
          </w:p>
        </w:tc>
        <w:tc>
          <w:tcPr>
            <w:tcW w:w="717" w:type="pct"/>
            <w:gridSpan w:val="2"/>
            <w:shd w:val="clear" w:color="auto" w:fill="auto"/>
            <w:vAlign w:val="center"/>
          </w:tcPr>
          <w:p w:rsidR="00C73328" w:rsidRPr="00B17639" w:rsidRDefault="00C73328" w:rsidP="000F1F6E">
            <w:pPr>
              <w:pStyle w:val="TableText"/>
            </w:pPr>
            <w:r w:rsidRPr="00B17639">
              <w:t>322/411 (78%)</w:t>
            </w:r>
          </w:p>
        </w:tc>
        <w:tc>
          <w:tcPr>
            <w:tcW w:w="727" w:type="pct"/>
            <w:gridSpan w:val="2"/>
            <w:shd w:val="clear" w:color="auto" w:fill="auto"/>
            <w:vAlign w:val="center"/>
          </w:tcPr>
          <w:p w:rsidR="00C73328" w:rsidRPr="00B17639" w:rsidRDefault="00C73328" w:rsidP="000F1F6E">
            <w:pPr>
              <w:pStyle w:val="TableText"/>
            </w:pPr>
            <w:r w:rsidRPr="00B17639">
              <w:t>4.4 (3.7, 5.5)</w:t>
            </w:r>
          </w:p>
        </w:tc>
        <w:tc>
          <w:tcPr>
            <w:tcW w:w="598" w:type="pct"/>
            <w:gridSpan w:val="2"/>
            <w:shd w:val="clear" w:color="auto" w:fill="auto"/>
            <w:vAlign w:val="center"/>
          </w:tcPr>
          <w:p w:rsidR="00C73328" w:rsidRPr="00B17639" w:rsidRDefault="00C73328" w:rsidP="000F1F6E">
            <w:pPr>
              <w:pStyle w:val="TableText"/>
            </w:pPr>
            <w:r w:rsidRPr="00B17639">
              <w:t>0.88 (0.75, 1.03)</w:t>
            </w:r>
          </w:p>
        </w:tc>
        <w:tc>
          <w:tcPr>
            <w:tcW w:w="643" w:type="pct"/>
            <w:vMerge/>
            <w:shd w:val="clear" w:color="auto" w:fill="auto"/>
            <w:vAlign w:val="center"/>
          </w:tcPr>
          <w:p w:rsidR="00C73328" w:rsidRPr="00B17639" w:rsidRDefault="00C73328" w:rsidP="000F1F6E">
            <w:pPr>
              <w:pStyle w:val="TableText"/>
              <w:rPr>
                <w:b/>
              </w:rPr>
            </w:pPr>
          </w:p>
        </w:tc>
      </w:tr>
      <w:tr w:rsidR="00C73328" w:rsidRPr="00B17639">
        <w:tc>
          <w:tcPr>
            <w:tcW w:w="5000" w:type="pct"/>
            <w:gridSpan w:val="12"/>
            <w:shd w:val="clear" w:color="auto" w:fill="auto"/>
            <w:vAlign w:val="center"/>
          </w:tcPr>
          <w:p w:rsidR="00C73328" w:rsidRPr="00B17639" w:rsidRDefault="00C73328" w:rsidP="000F1F6E">
            <w:pPr>
              <w:pStyle w:val="TableText"/>
              <w:rPr>
                <w:b/>
              </w:rPr>
            </w:pPr>
            <w:r w:rsidRPr="00B17639">
              <w:rPr>
                <w:b/>
              </w:rPr>
              <w:t>Overall survival</w:t>
            </w:r>
          </w:p>
        </w:tc>
      </w:tr>
      <w:tr w:rsidR="00C73328" w:rsidRPr="00B17639">
        <w:tc>
          <w:tcPr>
            <w:tcW w:w="1032" w:type="pct"/>
            <w:gridSpan w:val="2"/>
            <w:shd w:val="clear" w:color="auto" w:fill="auto"/>
            <w:vAlign w:val="center"/>
          </w:tcPr>
          <w:p w:rsidR="00C73328" w:rsidRPr="00B17639" w:rsidRDefault="00C73328" w:rsidP="000F1F6E">
            <w:pPr>
              <w:pStyle w:val="TableText"/>
            </w:pPr>
            <w:r w:rsidRPr="00B17639">
              <w:t>Study 205</w:t>
            </w:r>
          </w:p>
        </w:tc>
        <w:tc>
          <w:tcPr>
            <w:tcW w:w="567" w:type="pct"/>
            <w:shd w:val="clear" w:color="auto" w:fill="auto"/>
            <w:vAlign w:val="center"/>
          </w:tcPr>
          <w:p w:rsidR="00C73328" w:rsidRPr="00B17639" w:rsidRDefault="00C73328" w:rsidP="000F1F6E">
            <w:pPr>
              <w:pStyle w:val="TableText"/>
            </w:pPr>
            <w:r w:rsidRPr="00B17639">
              <w:t>19/51 (37%)</w:t>
            </w:r>
          </w:p>
        </w:tc>
        <w:tc>
          <w:tcPr>
            <w:tcW w:w="716" w:type="pct"/>
            <w:gridSpan w:val="2"/>
            <w:shd w:val="clear" w:color="auto" w:fill="auto"/>
            <w:vAlign w:val="center"/>
          </w:tcPr>
          <w:p w:rsidR="00C73328" w:rsidRPr="00B17639" w:rsidRDefault="00C73328" w:rsidP="000F1F6E">
            <w:pPr>
              <w:pStyle w:val="TableText"/>
            </w:pPr>
            <w:r w:rsidRPr="00B17639">
              <w:t>25.5 (20.8, 25.5)</w:t>
            </w:r>
          </w:p>
        </w:tc>
        <w:tc>
          <w:tcPr>
            <w:tcW w:w="717" w:type="pct"/>
            <w:gridSpan w:val="2"/>
            <w:shd w:val="clear" w:color="auto" w:fill="auto"/>
            <w:vAlign w:val="center"/>
          </w:tcPr>
          <w:p w:rsidR="00C73328" w:rsidRPr="00B17639" w:rsidRDefault="00C73328" w:rsidP="000F1F6E">
            <w:pPr>
              <w:pStyle w:val="TableText"/>
            </w:pPr>
            <w:r w:rsidRPr="00B17639">
              <w:t>26/50 (52%)</w:t>
            </w:r>
          </w:p>
        </w:tc>
        <w:tc>
          <w:tcPr>
            <w:tcW w:w="727" w:type="pct"/>
            <w:gridSpan w:val="2"/>
            <w:shd w:val="clear" w:color="auto" w:fill="auto"/>
            <w:vAlign w:val="center"/>
          </w:tcPr>
          <w:p w:rsidR="00C73328" w:rsidRPr="00B17639" w:rsidRDefault="00C73328" w:rsidP="000F1F6E">
            <w:pPr>
              <w:pStyle w:val="TableText"/>
            </w:pPr>
            <w:r w:rsidRPr="00B17639">
              <w:t>17.5 (11.8, NE)</w:t>
            </w:r>
          </w:p>
        </w:tc>
        <w:tc>
          <w:tcPr>
            <w:tcW w:w="598" w:type="pct"/>
            <w:gridSpan w:val="2"/>
            <w:shd w:val="clear" w:color="auto" w:fill="auto"/>
            <w:vAlign w:val="center"/>
          </w:tcPr>
          <w:p w:rsidR="00C73328" w:rsidRPr="00B17639" w:rsidRDefault="00C73328" w:rsidP="000F1F6E">
            <w:pPr>
              <w:pStyle w:val="TableText"/>
            </w:pPr>
            <w:r w:rsidRPr="00B17639">
              <w:t>0.55 (0.3, 1.01)</w:t>
            </w:r>
          </w:p>
        </w:tc>
        <w:tc>
          <w:tcPr>
            <w:tcW w:w="643" w:type="pct"/>
            <w:vMerge w:val="restart"/>
            <w:shd w:val="clear" w:color="auto" w:fill="auto"/>
            <w:vAlign w:val="center"/>
          </w:tcPr>
          <w:p w:rsidR="00C73328" w:rsidRPr="0089293C" w:rsidRDefault="0089293C" w:rsidP="000F1F6E">
            <w:pPr>
              <w:pStyle w:val="TableText"/>
              <w:rPr>
                <w:b/>
                <w:highlight w:val="black"/>
              </w:rPr>
            </w:pPr>
            <w:r>
              <w:rPr>
                <w:b/>
                <w:noProof/>
                <w:color w:val="000000"/>
                <w:highlight w:val="black"/>
              </w:rPr>
              <w:t>'''''''' '''''''''' '''''''''</w:t>
            </w:r>
          </w:p>
        </w:tc>
      </w:tr>
      <w:tr w:rsidR="00C73328" w:rsidRPr="00B17639">
        <w:tc>
          <w:tcPr>
            <w:tcW w:w="1032" w:type="pct"/>
            <w:gridSpan w:val="2"/>
            <w:shd w:val="clear" w:color="auto" w:fill="auto"/>
            <w:vAlign w:val="center"/>
          </w:tcPr>
          <w:p w:rsidR="00C73328" w:rsidRPr="00B17639" w:rsidRDefault="00C73328" w:rsidP="000F1F6E">
            <w:pPr>
              <w:pStyle w:val="TableText"/>
            </w:pPr>
            <w:r w:rsidRPr="00B17639">
              <w:t>CheckMate 0</w:t>
            </w:r>
            <w:r w:rsidR="00DF46A5">
              <w:t>2</w:t>
            </w:r>
            <w:r w:rsidRPr="00B17639">
              <w:t>5</w:t>
            </w:r>
          </w:p>
        </w:tc>
        <w:tc>
          <w:tcPr>
            <w:tcW w:w="567" w:type="pct"/>
            <w:shd w:val="clear" w:color="auto" w:fill="auto"/>
            <w:vAlign w:val="center"/>
          </w:tcPr>
          <w:p w:rsidR="00C73328" w:rsidRPr="00B17639" w:rsidRDefault="00C73328" w:rsidP="000F1F6E">
            <w:pPr>
              <w:pStyle w:val="TableText"/>
            </w:pPr>
            <w:r w:rsidRPr="00B17639">
              <w:t>183/410 (45%)</w:t>
            </w:r>
          </w:p>
        </w:tc>
        <w:tc>
          <w:tcPr>
            <w:tcW w:w="716" w:type="pct"/>
            <w:gridSpan w:val="2"/>
            <w:shd w:val="clear" w:color="auto" w:fill="auto"/>
            <w:vAlign w:val="center"/>
          </w:tcPr>
          <w:p w:rsidR="00C73328" w:rsidRPr="00B17639" w:rsidRDefault="00C73328" w:rsidP="000F1F6E">
            <w:pPr>
              <w:pStyle w:val="TableText"/>
            </w:pPr>
            <w:r w:rsidRPr="00B17639">
              <w:t>25.0 (21.8, NE)</w:t>
            </w:r>
          </w:p>
        </w:tc>
        <w:tc>
          <w:tcPr>
            <w:tcW w:w="717" w:type="pct"/>
            <w:gridSpan w:val="2"/>
            <w:shd w:val="clear" w:color="auto" w:fill="auto"/>
            <w:vAlign w:val="center"/>
          </w:tcPr>
          <w:p w:rsidR="00C73328" w:rsidRPr="00B17639" w:rsidRDefault="00C73328" w:rsidP="000F1F6E">
            <w:pPr>
              <w:pStyle w:val="TableText"/>
            </w:pPr>
            <w:r w:rsidRPr="00B17639">
              <w:t>215/411 (52%)</w:t>
            </w:r>
          </w:p>
        </w:tc>
        <w:tc>
          <w:tcPr>
            <w:tcW w:w="727" w:type="pct"/>
            <w:gridSpan w:val="2"/>
            <w:shd w:val="clear" w:color="auto" w:fill="auto"/>
            <w:vAlign w:val="center"/>
          </w:tcPr>
          <w:p w:rsidR="00C73328" w:rsidRPr="00B17639" w:rsidRDefault="00C73328" w:rsidP="000F1F6E">
            <w:pPr>
              <w:pStyle w:val="TableText"/>
            </w:pPr>
            <w:r w:rsidRPr="00B17639">
              <w:t>19.6 (17.6, 23.1)</w:t>
            </w:r>
          </w:p>
        </w:tc>
        <w:tc>
          <w:tcPr>
            <w:tcW w:w="598" w:type="pct"/>
            <w:gridSpan w:val="2"/>
            <w:shd w:val="clear" w:color="auto" w:fill="auto"/>
            <w:vAlign w:val="center"/>
          </w:tcPr>
          <w:p w:rsidR="00C73328" w:rsidRPr="00B17639" w:rsidRDefault="00C73328" w:rsidP="000F1F6E">
            <w:pPr>
              <w:pStyle w:val="TableText"/>
            </w:pPr>
            <w:r w:rsidRPr="00B17639">
              <w:t>0.73 (98.5% CI 0.57, 0.93)</w:t>
            </w:r>
          </w:p>
        </w:tc>
        <w:tc>
          <w:tcPr>
            <w:tcW w:w="643" w:type="pct"/>
            <w:vMerge/>
            <w:shd w:val="clear" w:color="auto" w:fill="auto"/>
            <w:vAlign w:val="center"/>
          </w:tcPr>
          <w:p w:rsidR="00C73328" w:rsidRPr="00B17639" w:rsidRDefault="00C73328" w:rsidP="000F1F6E">
            <w:pPr>
              <w:pStyle w:val="TableText"/>
            </w:pPr>
          </w:p>
        </w:tc>
      </w:tr>
      <w:tr w:rsidR="00C73328" w:rsidRPr="00B17639">
        <w:tc>
          <w:tcPr>
            <w:tcW w:w="5000" w:type="pct"/>
            <w:gridSpan w:val="12"/>
            <w:shd w:val="clear" w:color="auto" w:fill="auto"/>
            <w:vAlign w:val="center"/>
          </w:tcPr>
          <w:p w:rsidR="00C73328" w:rsidRPr="00B17639" w:rsidRDefault="00C73328" w:rsidP="000F1F6E">
            <w:pPr>
              <w:pStyle w:val="TableText"/>
              <w:rPr>
                <w:b/>
              </w:rPr>
            </w:pPr>
            <w:r w:rsidRPr="00B17639">
              <w:rPr>
                <w:b/>
              </w:rPr>
              <w:t>Harms</w:t>
            </w:r>
          </w:p>
        </w:tc>
      </w:tr>
      <w:tr w:rsidR="00C73328" w:rsidRPr="00B17639">
        <w:tc>
          <w:tcPr>
            <w:tcW w:w="1015" w:type="pct"/>
            <w:shd w:val="clear" w:color="auto" w:fill="auto"/>
            <w:vAlign w:val="center"/>
          </w:tcPr>
          <w:p w:rsidR="00C73328" w:rsidRPr="00B17639" w:rsidRDefault="00C73328" w:rsidP="000F1F6E">
            <w:pPr>
              <w:pStyle w:val="TableText"/>
              <w:rPr>
                <w:b/>
              </w:rPr>
            </w:pPr>
          </w:p>
        </w:tc>
        <w:tc>
          <w:tcPr>
            <w:tcW w:w="797" w:type="pct"/>
            <w:gridSpan w:val="3"/>
            <w:shd w:val="clear" w:color="auto" w:fill="auto"/>
            <w:vAlign w:val="center"/>
          </w:tcPr>
          <w:p w:rsidR="00C73328" w:rsidRPr="00B17639" w:rsidRDefault="00C73328" w:rsidP="000F1F6E">
            <w:pPr>
              <w:pStyle w:val="TableText"/>
              <w:rPr>
                <w:b/>
                <w:vertAlign w:val="superscript"/>
              </w:rPr>
            </w:pPr>
            <w:r w:rsidRPr="00B17639">
              <w:rPr>
                <w:b/>
              </w:rPr>
              <w:t>Intervention n/N (%)</w:t>
            </w:r>
          </w:p>
        </w:tc>
        <w:tc>
          <w:tcPr>
            <w:tcW w:w="797" w:type="pct"/>
            <w:gridSpan w:val="2"/>
            <w:shd w:val="clear" w:color="auto" w:fill="auto"/>
            <w:vAlign w:val="center"/>
          </w:tcPr>
          <w:p w:rsidR="00C73328" w:rsidRPr="00B17639" w:rsidRDefault="00C73328" w:rsidP="000F1F6E">
            <w:pPr>
              <w:pStyle w:val="TableText"/>
              <w:rPr>
                <w:b/>
              </w:rPr>
            </w:pPr>
            <w:r w:rsidRPr="00B17639">
              <w:rPr>
                <w:b/>
              </w:rPr>
              <w:t>Everolimus n/N (%)</w:t>
            </w:r>
          </w:p>
        </w:tc>
        <w:tc>
          <w:tcPr>
            <w:tcW w:w="798" w:type="pct"/>
            <w:gridSpan w:val="2"/>
            <w:shd w:val="clear" w:color="auto" w:fill="auto"/>
            <w:vAlign w:val="center"/>
          </w:tcPr>
          <w:p w:rsidR="00C73328" w:rsidRPr="00B17639" w:rsidRDefault="00C73328" w:rsidP="000F1F6E">
            <w:pPr>
              <w:pStyle w:val="TableText"/>
              <w:rPr>
                <w:b/>
              </w:rPr>
            </w:pPr>
            <w:r w:rsidRPr="00B17639">
              <w:rPr>
                <w:b/>
              </w:rPr>
              <w:t>Odds Ratio (95% CI)</w:t>
            </w:r>
          </w:p>
        </w:tc>
        <w:tc>
          <w:tcPr>
            <w:tcW w:w="797" w:type="pct"/>
            <w:gridSpan w:val="2"/>
            <w:shd w:val="clear" w:color="auto" w:fill="auto"/>
            <w:vAlign w:val="center"/>
          </w:tcPr>
          <w:p w:rsidR="00C73328" w:rsidRPr="00B17639" w:rsidRDefault="00C73328" w:rsidP="000F1F6E">
            <w:pPr>
              <w:pStyle w:val="TableText"/>
              <w:rPr>
                <w:b/>
              </w:rPr>
            </w:pPr>
            <w:r w:rsidRPr="00B17639">
              <w:rPr>
                <w:b/>
              </w:rPr>
              <w:t>Relative Risk (95% CI)</w:t>
            </w:r>
          </w:p>
        </w:tc>
        <w:tc>
          <w:tcPr>
            <w:tcW w:w="796" w:type="pct"/>
            <w:gridSpan w:val="2"/>
            <w:shd w:val="clear" w:color="auto" w:fill="auto"/>
            <w:vAlign w:val="center"/>
          </w:tcPr>
          <w:p w:rsidR="00C73328" w:rsidRPr="00B17639" w:rsidRDefault="00C73328" w:rsidP="000F1F6E">
            <w:pPr>
              <w:pStyle w:val="TableText"/>
              <w:rPr>
                <w:b/>
              </w:rPr>
            </w:pPr>
            <w:r w:rsidRPr="00B17639">
              <w:rPr>
                <w:b/>
              </w:rPr>
              <w:t>Risk Difference (95% CI)</w:t>
            </w:r>
          </w:p>
        </w:tc>
      </w:tr>
      <w:tr w:rsidR="00C73328" w:rsidRPr="00B17639">
        <w:tc>
          <w:tcPr>
            <w:tcW w:w="5000" w:type="pct"/>
            <w:gridSpan w:val="12"/>
            <w:shd w:val="clear" w:color="auto" w:fill="auto"/>
            <w:vAlign w:val="center"/>
          </w:tcPr>
          <w:p w:rsidR="00C73328" w:rsidRPr="00B17639" w:rsidRDefault="00C73328" w:rsidP="000F1F6E">
            <w:pPr>
              <w:pStyle w:val="TableText"/>
              <w:rPr>
                <w:b/>
              </w:rPr>
            </w:pPr>
            <w:r w:rsidRPr="00B17639">
              <w:rPr>
                <w:b/>
              </w:rPr>
              <w:t>At least one treatment grade 3 or 4 AE</w:t>
            </w:r>
          </w:p>
        </w:tc>
      </w:tr>
      <w:tr w:rsidR="00C73328" w:rsidRPr="00B17639">
        <w:tc>
          <w:tcPr>
            <w:tcW w:w="1015" w:type="pct"/>
            <w:shd w:val="clear" w:color="auto" w:fill="auto"/>
            <w:vAlign w:val="center"/>
          </w:tcPr>
          <w:p w:rsidR="00C73328" w:rsidRPr="00B17639" w:rsidRDefault="00C73328" w:rsidP="000F1F6E">
            <w:pPr>
              <w:pStyle w:val="TableText"/>
            </w:pPr>
            <w:r w:rsidRPr="00B17639">
              <w:t>Study 205</w:t>
            </w:r>
          </w:p>
        </w:tc>
        <w:tc>
          <w:tcPr>
            <w:tcW w:w="797" w:type="pct"/>
            <w:gridSpan w:val="3"/>
            <w:shd w:val="clear" w:color="auto" w:fill="auto"/>
            <w:vAlign w:val="center"/>
          </w:tcPr>
          <w:p w:rsidR="00C73328" w:rsidRPr="00B17639" w:rsidRDefault="00C73328" w:rsidP="000F1F6E">
            <w:pPr>
              <w:pStyle w:val="Default"/>
              <w:keepNext/>
              <w:rPr>
                <w:sz w:val="18"/>
                <w:szCs w:val="18"/>
              </w:rPr>
            </w:pPr>
            <w:r w:rsidRPr="00B17639">
              <w:rPr>
                <w:sz w:val="18"/>
                <w:szCs w:val="18"/>
              </w:rPr>
              <w:t xml:space="preserve">32/51 </w:t>
            </w:r>
          </w:p>
          <w:p w:rsidR="00C73328" w:rsidRPr="00B17639" w:rsidRDefault="00C73328" w:rsidP="000F1F6E">
            <w:pPr>
              <w:pStyle w:val="TableText"/>
              <w:rPr>
                <w:b/>
              </w:rPr>
            </w:pPr>
            <w:r w:rsidRPr="00B17639">
              <w:rPr>
                <w:sz w:val="18"/>
                <w:szCs w:val="18"/>
              </w:rPr>
              <w:t xml:space="preserve">(62.7%) </w:t>
            </w:r>
          </w:p>
        </w:tc>
        <w:tc>
          <w:tcPr>
            <w:tcW w:w="797" w:type="pct"/>
            <w:gridSpan w:val="2"/>
            <w:shd w:val="clear" w:color="auto" w:fill="auto"/>
            <w:vAlign w:val="center"/>
          </w:tcPr>
          <w:p w:rsidR="00C73328" w:rsidRPr="00B17639" w:rsidRDefault="00C73328" w:rsidP="000F1F6E">
            <w:pPr>
              <w:pStyle w:val="Default"/>
              <w:keepNext/>
              <w:rPr>
                <w:sz w:val="18"/>
                <w:szCs w:val="18"/>
              </w:rPr>
            </w:pPr>
            <w:r w:rsidRPr="00B17639">
              <w:rPr>
                <w:sz w:val="18"/>
                <w:szCs w:val="18"/>
              </w:rPr>
              <w:t xml:space="preserve">21/50 </w:t>
            </w:r>
          </w:p>
          <w:p w:rsidR="00C73328" w:rsidRPr="00B17639" w:rsidRDefault="00C73328" w:rsidP="000F1F6E">
            <w:pPr>
              <w:pStyle w:val="TableText"/>
              <w:rPr>
                <w:b/>
              </w:rPr>
            </w:pPr>
            <w:r w:rsidRPr="00B17639">
              <w:rPr>
                <w:sz w:val="18"/>
                <w:szCs w:val="18"/>
              </w:rPr>
              <w:t xml:space="preserve">(42.0%) </w:t>
            </w:r>
          </w:p>
        </w:tc>
        <w:tc>
          <w:tcPr>
            <w:tcW w:w="798"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c>
          <w:tcPr>
            <w:tcW w:w="797"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c>
          <w:tcPr>
            <w:tcW w:w="796"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r>
      <w:tr w:rsidR="00C73328" w:rsidRPr="00B17639">
        <w:tc>
          <w:tcPr>
            <w:tcW w:w="1015" w:type="pct"/>
            <w:shd w:val="clear" w:color="auto" w:fill="auto"/>
            <w:vAlign w:val="center"/>
          </w:tcPr>
          <w:p w:rsidR="00C73328" w:rsidRPr="00B17639" w:rsidRDefault="00C73328" w:rsidP="000F1F6E">
            <w:pPr>
              <w:pStyle w:val="TableText"/>
            </w:pPr>
            <w:r w:rsidRPr="00B17639">
              <w:t>CheckMate 025</w:t>
            </w:r>
          </w:p>
        </w:tc>
        <w:tc>
          <w:tcPr>
            <w:tcW w:w="797" w:type="pct"/>
            <w:gridSpan w:val="3"/>
            <w:shd w:val="clear" w:color="auto" w:fill="auto"/>
            <w:vAlign w:val="center"/>
          </w:tcPr>
          <w:p w:rsidR="00C73328" w:rsidRPr="00B17639" w:rsidRDefault="00C73328" w:rsidP="000F1F6E">
            <w:pPr>
              <w:pStyle w:val="Default"/>
              <w:keepNext/>
              <w:rPr>
                <w:sz w:val="18"/>
                <w:szCs w:val="18"/>
              </w:rPr>
            </w:pPr>
            <w:r w:rsidRPr="00B17639">
              <w:rPr>
                <w:sz w:val="18"/>
                <w:szCs w:val="18"/>
              </w:rPr>
              <w:t xml:space="preserve">76/406 </w:t>
            </w:r>
          </w:p>
          <w:p w:rsidR="00C73328" w:rsidRPr="00B17639" w:rsidRDefault="00C73328" w:rsidP="000F1F6E">
            <w:pPr>
              <w:pStyle w:val="TableText"/>
              <w:rPr>
                <w:b/>
              </w:rPr>
            </w:pPr>
            <w:r w:rsidRPr="00B17639">
              <w:rPr>
                <w:sz w:val="18"/>
                <w:szCs w:val="18"/>
              </w:rPr>
              <w:t xml:space="preserve">(18.7%) </w:t>
            </w:r>
          </w:p>
        </w:tc>
        <w:tc>
          <w:tcPr>
            <w:tcW w:w="797" w:type="pct"/>
            <w:gridSpan w:val="2"/>
            <w:shd w:val="clear" w:color="auto" w:fill="auto"/>
            <w:vAlign w:val="center"/>
          </w:tcPr>
          <w:p w:rsidR="00C73328" w:rsidRPr="00B17639" w:rsidRDefault="00C73328" w:rsidP="000F1F6E">
            <w:pPr>
              <w:pStyle w:val="Default"/>
              <w:keepNext/>
              <w:rPr>
                <w:sz w:val="18"/>
                <w:szCs w:val="18"/>
              </w:rPr>
            </w:pPr>
            <w:r w:rsidRPr="00B17639">
              <w:rPr>
                <w:sz w:val="18"/>
                <w:szCs w:val="18"/>
              </w:rPr>
              <w:t xml:space="preserve">145/397 </w:t>
            </w:r>
          </w:p>
          <w:p w:rsidR="00C73328" w:rsidRPr="00B17639" w:rsidRDefault="00C73328" w:rsidP="000F1F6E">
            <w:pPr>
              <w:pStyle w:val="TableText"/>
              <w:rPr>
                <w:b/>
              </w:rPr>
            </w:pPr>
            <w:r w:rsidRPr="00B17639">
              <w:rPr>
                <w:sz w:val="18"/>
                <w:szCs w:val="18"/>
              </w:rPr>
              <w:t xml:space="preserve">(36.5%) </w:t>
            </w:r>
          </w:p>
        </w:tc>
        <w:tc>
          <w:tcPr>
            <w:tcW w:w="798"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c>
          <w:tcPr>
            <w:tcW w:w="797"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c>
          <w:tcPr>
            <w:tcW w:w="796"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r>
      <w:tr w:rsidR="00C73328" w:rsidRPr="00B17639">
        <w:tc>
          <w:tcPr>
            <w:tcW w:w="2609" w:type="pct"/>
            <w:gridSpan w:val="6"/>
            <w:shd w:val="clear" w:color="auto" w:fill="auto"/>
            <w:vAlign w:val="center"/>
          </w:tcPr>
          <w:p w:rsidR="00C73328" w:rsidRPr="00B17639" w:rsidRDefault="00C73328" w:rsidP="000F1F6E">
            <w:pPr>
              <w:pStyle w:val="Default"/>
              <w:keepNext/>
              <w:rPr>
                <w:sz w:val="18"/>
                <w:szCs w:val="18"/>
              </w:rPr>
            </w:pPr>
            <w:r w:rsidRPr="00B17639">
              <w:rPr>
                <w:iCs/>
                <w:sz w:val="18"/>
                <w:szCs w:val="18"/>
              </w:rPr>
              <w:t xml:space="preserve">Lenvatinib plus everolimus vs </w:t>
            </w:r>
            <w:r w:rsidR="00442A30" w:rsidRPr="00B17639">
              <w:rPr>
                <w:iCs/>
                <w:sz w:val="18"/>
                <w:szCs w:val="18"/>
              </w:rPr>
              <w:t>n</w:t>
            </w:r>
            <w:r w:rsidRPr="00B17639">
              <w:rPr>
                <w:iCs/>
                <w:sz w:val="18"/>
                <w:szCs w:val="18"/>
              </w:rPr>
              <w:t xml:space="preserve">ivolumab </w:t>
            </w:r>
          </w:p>
        </w:tc>
        <w:tc>
          <w:tcPr>
            <w:tcW w:w="798" w:type="pct"/>
            <w:gridSpan w:val="2"/>
            <w:shd w:val="clear" w:color="auto" w:fill="auto"/>
            <w:vAlign w:val="center"/>
          </w:tcPr>
          <w:p w:rsidR="00C73328" w:rsidRPr="0089293C" w:rsidRDefault="0089293C" w:rsidP="000F1F6E">
            <w:pPr>
              <w:pStyle w:val="Default"/>
              <w:keepNext/>
              <w:rPr>
                <w:sz w:val="18"/>
                <w:szCs w:val="18"/>
                <w:highlight w:val="black"/>
              </w:rPr>
            </w:pPr>
            <w:r>
              <w:rPr>
                <w:iCs/>
                <w:noProof/>
                <w:sz w:val="18"/>
                <w:szCs w:val="18"/>
                <w:highlight w:val="black"/>
              </w:rPr>
              <w:t xml:space="preserve">'''''''''''' </w:t>
            </w:r>
          </w:p>
          <w:p w:rsidR="00C73328" w:rsidRPr="0089293C" w:rsidRDefault="0089293C" w:rsidP="000F1F6E">
            <w:pPr>
              <w:pStyle w:val="TableText"/>
              <w:rPr>
                <w:b/>
                <w:highlight w:val="black"/>
              </w:rPr>
            </w:pPr>
            <w:r>
              <w:rPr>
                <w:iCs/>
                <w:noProof/>
                <w:color w:val="000000"/>
                <w:sz w:val="18"/>
                <w:szCs w:val="18"/>
                <w:highlight w:val="black"/>
              </w:rPr>
              <w:t xml:space="preserve">''''''''''''''' ''''''''''''''' </w:t>
            </w:r>
          </w:p>
        </w:tc>
        <w:tc>
          <w:tcPr>
            <w:tcW w:w="797" w:type="pct"/>
            <w:gridSpan w:val="2"/>
            <w:shd w:val="clear" w:color="auto" w:fill="auto"/>
            <w:vAlign w:val="center"/>
          </w:tcPr>
          <w:p w:rsidR="00C73328" w:rsidRPr="0089293C" w:rsidRDefault="0089293C" w:rsidP="000F1F6E">
            <w:pPr>
              <w:pStyle w:val="Default"/>
              <w:keepNext/>
              <w:rPr>
                <w:sz w:val="18"/>
                <w:szCs w:val="18"/>
                <w:highlight w:val="black"/>
              </w:rPr>
            </w:pPr>
            <w:r>
              <w:rPr>
                <w:iCs/>
                <w:noProof/>
                <w:sz w:val="18"/>
                <w:szCs w:val="18"/>
                <w:highlight w:val="black"/>
              </w:rPr>
              <w:t xml:space="preserve">'''''''''''' </w:t>
            </w:r>
          </w:p>
          <w:p w:rsidR="00C73328" w:rsidRPr="0089293C" w:rsidRDefault="0089293C" w:rsidP="000F1F6E">
            <w:pPr>
              <w:pStyle w:val="TableText"/>
              <w:rPr>
                <w:b/>
                <w:highlight w:val="black"/>
              </w:rPr>
            </w:pPr>
            <w:r>
              <w:rPr>
                <w:iCs/>
                <w:noProof/>
                <w:color w:val="000000"/>
                <w:sz w:val="18"/>
                <w:szCs w:val="18"/>
                <w:highlight w:val="black"/>
              </w:rPr>
              <w:t xml:space="preserve">''''''''''''' ''''''''''''' </w:t>
            </w:r>
          </w:p>
        </w:tc>
        <w:tc>
          <w:tcPr>
            <w:tcW w:w="796" w:type="pct"/>
            <w:gridSpan w:val="2"/>
            <w:shd w:val="clear" w:color="auto" w:fill="auto"/>
            <w:vAlign w:val="center"/>
          </w:tcPr>
          <w:p w:rsidR="00C73328" w:rsidRPr="0089293C" w:rsidRDefault="0089293C" w:rsidP="000F1F6E">
            <w:pPr>
              <w:pStyle w:val="Default"/>
              <w:keepNext/>
              <w:rPr>
                <w:sz w:val="18"/>
                <w:szCs w:val="18"/>
                <w:highlight w:val="black"/>
              </w:rPr>
            </w:pPr>
            <w:r>
              <w:rPr>
                <w:iCs/>
                <w:noProof/>
                <w:sz w:val="18"/>
                <w:szCs w:val="18"/>
                <w:highlight w:val="black"/>
              </w:rPr>
              <w:t xml:space="preserve">'''''''''''''' </w:t>
            </w:r>
          </w:p>
          <w:p w:rsidR="00C73328" w:rsidRPr="0089293C" w:rsidRDefault="0089293C" w:rsidP="000F1F6E">
            <w:pPr>
              <w:pStyle w:val="TableText"/>
              <w:rPr>
                <w:b/>
                <w:highlight w:val="black"/>
              </w:rPr>
            </w:pPr>
            <w:r>
              <w:rPr>
                <w:iCs/>
                <w:noProof/>
                <w:color w:val="000000"/>
                <w:sz w:val="18"/>
                <w:szCs w:val="18"/>
                <w:highlight w:val="black"/>
              </w:rPr>
              <w:t xml:space="preserve">'''''''''''''''''''' ''''''''''''''''' </w:t>
            </w:r>
          </w:p>
        </w:tc>
      </w:tr>
      <w:tr w:rsidR="00C73328" w:rsidRPr="00B17639">
        <w:tc>
          <w:tcPr>
            <w:tcW w:w="5000" w:type="pct"/>
            <w:gridSpan w:val="12"/>
            <w:shd w:val="clear" w:color="auto" w:fill="auto"/>
            <w:vAlign w:val="center"/>
          </w:tcPr>
          <w:p w:rsidR="00C73328" w:rsidRPr="00B17639" w:rsidRDefault="00C73328" w:rsidP="000F1F6E">
            <w:pPr>
              <w:pStyle w:val="TableText"/>
              <w:rPr>
                <w:b/>
              </w:rPr>
            </w:pPr>
            <w:r w:rsidRPr="00B17639">
              <w:rPr>
                <w:b/>
              </w:rPr>
              <w:t>Discontinuation due to AE</w:t>
            </w:r>
          </w:p>
        </w:tc>
      </w:tr>
      <w:tr w:rsidR="00C73328" w:rsidRPr="00B17639">
        <w:tc>
          <w:tcPr>
            <w:tcW w:w="1015" w:type="pct"/>
            <w:shd w:val="clear" w:color="auto" w:fill="auto"/>
            <w:vAlign w:val="center"/>
          </w:tcPr>
          <w:p w:rsidR="00C73328" w:rsidRPr="00B17639" w:rsidRDefault="00C73328" w:rsidP="000F1F6E">
            <w:pPr>
              <w:pStyle w:val="TableText"/>
            </w:pPr>
            <w:r w:rsidRPr="00B17639">
              <w:t>Study 205</w:t>
            </w:r>
          </w:p>
        </w:tc>
        <w:tc>
          <w:tcPr>
            <w:tcW w:w="797" w:type="pct"/>
            <w:gridSpan w:val="3"/>
            <w:shd w:val="clear" w:color="auto" w:fill="auto"/>
            <w:vAlign w:val="center"/>
          </w:tcPr>
          <w:p w:rsidR="00C73328" w:rsidRPr="00B17639" w:rsidRDefault="00C73328" w:rsidP="000F1F6E">
            <w:pPr>
              <w:pStyle w:val="Default"/>
              <w:keepNext/>
              <w:rPr>
                <w:sz w:val="18"/>
                <w:szCs w:val="18"/>
              </w:rPr>
            </w:pPr>
            <w:r w:rsidRPr="00B17639">
              <w:rPr>
                <w:sz w:val="18"/>
                <w:szCs w:val="18"/>
              </w:rPr>
              <w:t xml:space="preserve">12/51 </w:t>
            </w:r>
          </w:p>
          <w:p w:rsidR="00C73328" w:rsidRPr="00B17639" w:rsidRDefault="00C73328" w:rsidP="000F1F6E">
            <w:pPr>
              <w:pStyle w:val="TableText"/>
              <w:rPr>
                <w:b/>
              </w:rPr>
            </w:pPr>
            <w:r w:rsidRPr="00B17639">
              <w:rPr>
                <w:sz w:val="18"/>
                <w:szCs w:val="18"/>
              </w:rPr>
              <w:t xml:space="preserve">(23.5%) </w:t>
            </w:r>
          </w:p>
        </w:tc>
        <w:tc>
          <w:tcPr>
            <w:tcW w:w="797" w:type="pct"/>
            <w:gridSpan w:val="2"/>
            <w:shd w:val="clear" w:color="auto" w:fill="auto"/>
            <w:vAlign w:val="center"/>
          </w:tcPr>
          <w:p w:rsidR="00C73328" w:rsidRPr="00B17639" w:rsidRDefault="00C73328" w:rsidP="000F1F6E">
            <w:pPr>
              <w:pStyle w:val="Default"/>
              <w:keepNext/>
              <w:rPr>
                <w:sz w:val="18"/>
                <w:szCs w:val="18"/>
              </w:rPr>
            </w:pPr>
            <w:r w:rsidRPr="00B17639">
              <w:rPr>
                <w:sz w:val="18"/>
                <w:szCs w:val="18"/>
              </w:rPr>
              <w:t xml:space="preserve">6/50 </w:t>
            </w:r>
          </w:p>
          <w:p w:rsidR="00C73328" w:rsidRPr="00B17639" w:rsidRDefault="00C73328" w:rsidP="000F1F6E">
            <w:pPr>
              <w:pStyle w:val="TableText"/>
              <w:rPr>
                <w:b/>
              </w:rPr>
            </w:pPr>
            <w:r w:rsidRPr="00B17639">
              <w:rPr>
                <w:sz w:val="18"/>
                <w:szCs w:val="18"/>
              </w:rPr>
              <w:t xml:space="preserve">(12.0%) </w:t>
            </w:r>
          </w:p>
        </w:tc>
        <w:tc>
          <w:tcPr>
            <w:tcW w:w="798"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c>
          <w:tcPr>
            <w:tcW w:w="797"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c>
          <w:tcPr>
            <w:tcW w:w="796" w:type="pct"/>
            <w:gridSpan w:val="2"/>
            <w:shd w:val="clear" w:color="auto" w:fill="auto"/>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TableText"/>
              <w:rPr>
                <w:b/>
                <w:highlight w:val="black"/>
              </w:rPr>
            </w:pPr>
            <w:r>
              <w:rPr>
                <w:noProof/>
                <w:color w:val="000000"/>
                <w:sz w:val="18"/>
                <w:szCs w:val="18"/>
                <w:highlight w:val="black"/>
              </w:rPr>
              <w:t xml:space="preserve">'''''''''''''''' ''''''''''''''''' </w:t>
            </w:r>
          </w:p>
        </w:tc>
      </w:tr>
      <w:tr w:rsidR="00C73328" w:rsidRPr="00B17639">
        <w:tc>
          <w:tcPr>
            <w:tcW w:w="1015" w:type="pct"/>
            <w:shd w:val="clear" w:color="auto" w:fill="auto"/>
            <w:vAlign w:val="center"/>
          </w:tcPr>
          <w:p w:rsidR="00C73328" w:rsidRPr="00B17639" w:rsidRDefault="00C73328" w:rsidP="000F1F6E">
            <w:pPr>
              <w:pStyle w:val="TableText"/>
              <w:rPr>
                <w:vertAlign w:val="superscript"/>
              </w:rPr>
            </w:pPr>
            <w:r w:rsidRPr="00B17639">
              <w:t>CheckMate 025</w:t>
            </w:r>
            <w:r w:rsidRPr="00B17639">
              <w:rPr>
                <w:vertAlign w:val="superscript"/>
              </w:rPr>
              <w:t>b</w:t>
            </w:r>
          </w:p>
        </w:tc>
        <w:tc>
          <w:tcPr>
            <w:tcW w:w="797" w:type="pct"/>
            <w:gridSpan w:val="3"/>
            <w:vAlign w:val="center"/>
          </w:tcPr>
          <w:p w:rsidR="00C73328" w:rsidRPr="00B17639" w:rsidRDefault="00C73328" w:rsidP="000F1F6E">
            <w:pPr>
              <w:pStyle w:val="Default"/>
              <w:keepNext/>
              <w:rPr>
                <w:sz w:val="18"/>
                <w:szCs w:val="18"/>
              </w:rPr>
            </w:pPr>
            <w:r w:rsidRPr="00B17639">
              <w:rPr>
                <w:sz w:val="18"/>
                <w:szCs w:val="18"/>
              </w:rPr>
              <w:t xml:space="preserve">31/406 </w:t>
            </w:r>
          </w:p>
          <w:p w:rsidR="00C73328" w:rsidRPr="00B17639" w:rsidRDefault="00C73328" w:rsidP="000F1F6E">
            <w:pPr>
              <w:pStyle w:val="Default"/>
              <w:keepNext/>
              <w:rPr>
                <w:sz w:val="18"/>
                <w:szCs w:val="18"/>
              </w:rPr>
            </w:pPr>
            <w:r w:rsidRPr="00B17639">
              <w:rPr>
                <w:sz w:val="18"/>
                <w:szCs w:val="18"/>
              </w:rPr>
              <w:t xml:space="preserve">(7.6%) </w:t>
            </w:r>
          </w:p>
        </w:tc>
        <w:tc>
          <w:tcPr>
            <w:tcW w:w="797" w:type="pct"/>
            <w:gridSpan w:val="2"/>
            <w:vAlign w:val="center"/>
          </w:tcPr>
          <w:p w:rsidR="00C73328" w:rsidRPr="00B17639" w:rsidRDefault="00C73328" w:rsidP="000F1F6E">
            <w:pPr>
              <w:pStyle w:val="Default"/>
              <w:keepNext/>
              <w:rPr>
                <w:sz w:val="18"/>
                <w:szCs w:val="18"/>
              </w:rPr>
            </w:pPr>
            <w:r w:rsidRPr="00B17639">
              <w:rPr>
                <w:sz w:val="18"/>
                <w:szCs w:val="18"/>
              </w:rPr>
              <w:t xml:space="preserve">52/397 </w:t>
            </w:r>
          </w:p>
          <w:p w:rsidR="00C73328" w:rsidRPr="00B17639" w:rsidRDefault="00C73328" w:rsidP="000F1F6E">
            <w:pPr>
              <w:pStyle w:val="Default"/>
              <w:keepNext/>
              <w:rPr>
                <w:sz w:val="18"/>
                <w:szCs w:val="18"/>
              </w:rPr>
            </w:pPr>
            <w:r w:rsidRPr="00B17639">
              <w:rPr>
                <w:sz w:val="18"/>
                <w:szCs w:val="18"/>
              </w:rPr>
              <w:t xml:space="preserve">(13.1%) </w:t>
            </w:r>
          </w:p>
        </w:tc>
        <w:tc>
          <w:tcPr>
            <w:tcW w:w="798" w:type="pct"/>
            <w:gridSpan w:val="2"/>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Default"/>
              <w:keepNext/>
              <w:rPr>
                <w:sz w:val="18"/>
                <w:szCs w:val="18"/>
                <w:highlight w:val="black"/>
              </w:rPr>
            </w:pPr>
            <w:r>
              <w:rPr>
                <w:noProof/>
                <w:sz w:val="18"/>
                <w:szCs w:val="18"/>
                <w:highlight w:val="black"/>
              </w:rPr>
              <w:t xml:space="preserve">''''''''''''' '''''''''''' </w:t>
            </w:r>
          </w:p>
        </w:tc>
        <w:tc>
          <w:tcPr>
            <w:tcW w:w="797" w:type="pct"/>
            <w:gridSpan w:val="2"/>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Default"/>
              <w:keepNext/>
              <w:rPr>
                <w:sz w:val="18"/>
                <w:szCs w:val="18"/>
                <w:highlight w:val="black"/>
              </w:rPr>
            </w:pPr>
            <w:r>
              <w:rPr>
                <w:noProof/>
                <w:sz w:val="18"/>
                <w:szCs w:val="18"/>
                <w:highlight w:val="black"/>
              </w:rPr>
              <w:t xml:space="preserve">''''''''''''''' '''''''''''''' </w:t>
            </w:r>
          </w:p>
        </w:tc>
        <w:tc>
          <w:tcPr>
            <w:tcW w:w="796" w:type="pct"/>
            <w:gridSpan w:val="2"/>
            <w:vAlign w:val="center"/>
          </w:tcPr>
          <w:p w:rsidR="00C73328" w:rsidRPr="0089293C" w:rsidRDefault="0089293C" w:rsidP="000F1F6E">
            <w:pPr>
              <w:pStyle w:val="Default"/>
              <w:keepNext/>
              <w:rPr>
                <w:sz w:val="18"/>
                <w:szCs w:val="18"/>
                <w:highlight w:val="black"/>
              </w:rPr>
            </w:pPr>
            <w:r>
              <w:rPr>
                <w:noProof/>
                <w:sz w:val="18"/>
                <w:szCs w:val="18"/>
                <w:highlight w:val="black"/>
              </w:rPr>
              <w:t xml:space="preserve">''''''''''''''' </w:t>
            </w:r>
          </w:p>
          <w:p w:rsidR="00C73328" w:rsidRPr="0089293C" w:rsidRDefault="0089293C" w:rsidP="000F1F6E">
            <w:pPr>
              <w:pStyle w:val="Default"/>
              <w:keepNext/>
              <w:rPr>
                <w:sz w:val="18"/>
                <w:szCs w:val="18"/>
                <w:highlight w:val="black"/>
              </w:rPr>
            </w:pPr>
            <w:r>
              <w:rPr>
                <w:noProof/>
                <w:sz w:val="18"/>
                <w:szCs w:val="18"/>
                <w:highlight w:val="black"/>
              </w:rPr>
              <w:t xml:space="preserve">''''''''''''''''' '''''''''''''' </w:t>
            </w:r>
          </w:p>
        </w:tc>
      </w:tr>
      <w:tr w:rsidR="00C73328" w:rsidRPr="00B17639">
        <w:tc>
          <w:tcPr>
            <w:tcW w:w="2609" w:type="pct"/>
            <w:gridSpan w:val="6"/>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9060"/>
            </w:tblGrid>
            <w:tr w:rsidR="00C73328" w:rsidRPr="00B17639">
              <w:trPr>
                <w:trHeight w:val="119"/>
              </w:trPr>
              <w:tc>
                <w:tcPr>
                  <w:tcW w:w="9060" w:type="dxa"/>
                </w:tcPr>
                <w:p w:rsidR="00C73328" w:rsidRPr="00B17639" w:rsidRDefault="00C73328" w:rsidP="000F1F6E">
                  <w:pPr>
                    <w:keepNext/>
                    <w:autoSpaceDE w:val="0"/>
                    <w:autoSpaceDN w:val="0"/>
                    <w:adjustRightInd w:val="0"/>
                    <w:spacing w:before="0" w:after="0"/>
                    <w:rPr>
                      <w:rFonts w:ascii="Arial" w:hAnsi="Arial" w:cs="Arial"/>
                      <w:color w:val="000000"/>
                      <w:sz w:val="18"/>
                      <w:szCs w:val="18"/>
                      <w:lang w:val="en-US"/>
                    </w:rPr>
                  </w:pPr>
                  <w:r w:rsidRPr="00B17639">
                    <w:rPr>
                      <w:rFonts w:ascii="Arial" w:hAnsi="Arial" w:cs="Arial"/>
                      <w:iCs/>
                      <w:color w:val="000000"/>
                      <w:sz w:val="18"/>
                      <w:szCs w:val="18"/>
                      <w:lang w:val="en-US"/>
                    </w:rPr>
                    <w:t xml:space="preserve">Lenvatinib plus everolimus vs </w:t>
                  </w:r>
                  <w:r w:rsidR="00442A30" w:rsidRPr="00B17639">
                    <w:rPr>
                      <w:rFonts w:ascii="Arial" w:hAnsi="Arial" w:cs="Arial"/>
                      <w:iCs/>
                      <w:color w:val="000000"/>
                      <w:sz w:val="18"/>
                      <w:szCs w:val="18"/>
                      <w:lang w:val="en-US"/>
                    </w:rPr>
                    <w:t>n</w:t>
                  </w:r>
                  <w:r w:rsidRPr="00B17639">
                    <w:rPr>
                      <w:rFonts w:ascii="Arial" w:hAnsi="Arial" w:cs="Arial"/>
                      <w:iCs/>
                      <w:color w:val="000000"/>
                      <w:sz w:val="18"/>
                      <w:szCs w:val="18"/>
                      <w:lang w:val="en-US"/>
                    </w:rPr>
                    <w:t xml:space="preserve">ivolumab </w:t>
                  </w:r>
                </w:p>
              </w:tc>
            </w:tr>
          </w:tbl>
          <w:p w:rsidR="00C73328" w:rsidRPr="00B17639" w:rsidRDefault="00C73328" w:rsidP="000F1F6E">
            <w:pPr>
              <w:pStyle w:val="TableText"/>
              <w:rPr>
                <w:b/>
              </w:rPr>
            </w:pPr>
          </w:p>
        </w:tc>
        <w:tc>
          <w:tcPr>
            <w:tcW w:w="798" w:type="pct"/>
            <w:gridSpan w:val="2"/>
            <w:vAlign w:val="center"/>
          </w:tcPr>
          <w:p w:rsidR="00C73328" w:rsidRPr="0089293C" w:rsidRDefault="0089293C" w:rsidP="000F1F6E">
            <w:pPr>
              <w:pStyle w:val="Default"/>
              <w:keepNext/>
              <w:rPr>
                <w:sz w:val="18"/>
                <w:szCs w:val="18"/>
                <w:highlight w:val="black"/>
              </w:rPr>
            </w:pPr>
            <w:r>
              <w:rPr>
                <w:iCs/>
                <w:noProof/>
                <w:sz w:val="18"/>
                <w:szCs w:val="18"/>
                <w:highlight w:val="black"/>
              </w:rPr>
              <w:t xml:space="preserve">'''''''''''' </w:t>
            </w:r>
          </w:p>
          <w:p w:rsidR="00C73328" w:rsidRPr="0089293C" w:rsidRDefault="0089293C" w:rsidP="000F1F6E">
            <w:pPr>
              <w:pStyle w:val="Default"/>
              <w:keepNext/>
              <w:rPr>
                <w:sz w:val="18"/>
                <w:szCs w:val="18"/>
                <w:highlight w:val="black"/>
              </w:rPr>
            </w:pPr>
            <w:r>
              <w:rPr>
                <w:iCs/>
                <w:noProof/>
                <w:sz w:val="18"/>
                <w:szCs w:val="18"/>
                <w:highlight w:val="black"/>
              </w:rPr>
              <w:t xml:space="preserve">''''''''''''''' ''''''''''''''''' </w:t>
            </w:r>
          </w:p>
        </w:tc>
        <w:tc>
          <w:tcPr>
            <w:tcW w:w="797" w:type="pct"/>
            <w:gridSpan w:val="2"/>
            <w:vAlign w:val="center"/>
          </w:tcPr>
          <w:p w:rsidR="00C73328" w:rsidRPr="0089293C" w:rsidRDefault="0089293C" w:rsidP="000F1F6E">
            <w:pPr>
              <w:pStyle w:val="Default"/>
              <w:keepNext/>
              <w:rPr>
                <w:sz w:val="18"/>
                <w:szCs w:val="18"/>
                <w:highlight w:val="black"/>
              </w:rPr>
            </w:pPr>
            <w:r>
              <w:rPr>
                <w:iCs/>
                <w:noProof/>
                <w:sz w:val="18"/>
                <w:szCs w:val="18"/>
                <w:highlight w:val="black"/>
              </w:rPr>
              <w:t xml:space="preserve">'''''''''''' </w:t>
            </w:r>
          </w:p>
          <w:p w:rsidR="00C73328" w:rsidRPr="0089293C" w:rsidRDefault="0089293C" w:rsidP="000F1F6E">
            <w:pPr>
              <w:pStyle w:val="Default"/>
              <w:keepNext/>
              <w:rPr>
                <w:sz w:val="18"/>
                <w:szCs w:val="18"/>
                <w:highlight w:val="black"/>
              </w:rPr>
            </w:pPr>
            <w:r>
              <w:rPr>
                <w:iCs/>
                <w:noProof/>
                <w:sz w:val="18"/>
                <w:szCs w:val="18"/>
                <w:highlight w:val="black"/>
              </w:rPr>
              <w:t xml:space="preserve">''''''''''''''' '''''''''''' </w:t>
            </w:r>
          </w:p>
        </w:tc>
        <w:tc>
          <w:tcPr>
            <w:tcW w:w="796" w:type="pct"/>
            <w:gridSpan w:val="2"/>
            <w:vAlign w:val="center"/>
          </w:tcPr>
          <w:p w:rsidR="00C73328" w:rsidRPr="0089293C" w:rsidRDefault="0089293C" w:rsidP="000F1F6E">
            <w:pPr>
              <w:pStyle w:val="Default"/>
              <w:keepNext/>
              <w:rPr>
                <w:sz w:val="18"/>
                <w:szCs w:val="18"/>
                <w:highlight w:val="black"/>
              </w:rPr>
            </w:pPr>
            <w:r>
              <w:rPr>
                <w:iCs/>
                <w:noProof/>
                <w:sz w:val="18"/>
                <w:szCs w:val="18"/>
                <w:highlight w:val="black"/>
              </w:rPr>
              <w:t xml:space="preserve">''''''''''''''''' </w:t>
            </w:r>
          </w:p>
          <w:p w:rsidR="00C73328" w:rsidRPr="0089293C" w:rsidRDefault="0089293C" w:rsidP="000F1F6E">
            <w:pPr>
              <w:pStyle w:val="Default"/>
              <w:keepNext/>
              <w:rPr>
                <w:sz w:val="18"/>
                <w:szCs w:val="18"/>
                <w:highlight w:val="black"/>
              </w:rPr>
            </w:pPr>
            <w:r>
              <w:rPr>
                <w:iCs/>
                <w:noProof/>
                <w:sz w:val="18"/>
                <w:szCs w:val="18"/>
                <w:highlight w:val="black"/>
              </w:rPr>
              <w:t xml:space="preserve">''''''''''''''''' ''''''''''''''''''' </w:t>
            </w:r>
          </w:p>
        </w:tc>
      </w:tr>
    </w:tbl>
    <w:bookmarkEnd w:id="41"/>
    <w:p w:rsidR="00C73328" w:rsidRPr="00B17639" w:rsidRDefault="00C73328" w:rsidP="000F1F6E">
      <w:pPr>
        <w:pStyle w:val="TableFooter"/>
        <w:keepNext/>
      </w:pPr>
      <w:r w:rsidRPr="00B17639">
        <w:t xml:space="preserve">Source: </w:t>
      </w:r>
      <w:r w:rsidRPr="00B17639">
        <w:rPr>
          <w:rFonts w:eastAsia="Calibri"/>
        </w:rPr>
        <w:t>Table 2-35, page 95 of submission, and Table 3.5.2, page 19 of Attachment 2 indirect treatment comparison report supplied with the submission.</w:t>
      </w:r>
    </w:p>
    <w:p w:rsidR="00C73328" w:rsidRPr="00B17639" w:rsidRDefault="00C73328" w:rsidP="000F1F6E">
      <w:pPr>
        <w:pStyle w:val="TableFooter"/>
        <w:keepNext/>
        <w:rPr>
          <w:rFonts w:eastAsia="Calibri"/>
        </w:rPr>
      </w:pPr>
      <w:r w:rsidRPr="00B17639">
        <w:t xml:space="preserve">Notes: </w:t>
      </w:r>
      <w:r w:rsidRPr="00B17639">
        <w:rPr>
          <w:vertAlign w:val="superscript"/>
        </w:rPr>
        <w:t xml:space="preserve">a </w:t>
      </w:r>
      <w:r w:rsidRPr="00B17639">
        <w:rPr>
          <w:rFonts w:eastAsia="Calibri"/>
        </w:rPr>
        <w:t>In Study 205, intervention is lenvatinib/everolimus. In CheckMate 025 intervention is nivolumab.</w:t>
      </w:r>
    </w:p>
    <w:p w:rsidR="00C73328" w:rsidRPr="00B17639" w:rsidRDefault="00C73328" w:rsidP="000F1F6E">
      <w:pPr>
        <w:pStyle w:val="TableFooter"/>
        <w:keepNext/>
        <w:rPr>
          <w:rFonts w:eastAsia="Calibri"/>
        </w:rPr>
      </w:pPr>
      <w:r w:rsidRPr="00B17639">
        <w:rPr>
          <w:rFonts w:eastAsia="Calibri"/>
          <w:vertAlign w:val="superscript"/>
        </w:rPr>
        <w:t xml:space="preserve">b </w:t>
      </w:r>
      <w:r w:rsidRPr="00B17639">
        <w:rPr>
          <w:sz w:val="16"/>
          <w:szCs w:val="16"/>
        </w:rPr>
        <w:t>CHECKMATE-025 reported discontinuation due to treatment-related AE.</w:t>
      </w:r>
    </w:p>
    <w:p w:rsidR="00C73328" w:rsidRPr="00B17639" w:rsidRDefault="00C73328" w:rsidP="000F1F6E">
      <w:pPr>
        <w:pStyle w:val="TableFooter"/>
        <w:keepNext/>
      </w:pPr>
      <w:r w:rsidRPr="00B17639">
        <w:t>Abbreviations</w:t>
      </w:r>
      <w:r w:rsidR="00442A30" w:rsidRPr="00B17639">
        <w:t xml:space="preserve">: </w:t>
      </w:r>
      <w:r w:rsidRPr="00B17639">
        <w:t xml:space="preserve">AE, adverse event; CI, confidence interval; HR, hazard ratio; NE, not evaluable; n/N, number; </w:t>
      </w:r>
    </w:p>
    <w:p w:rsidR="00C73328" w:rsidRPr="00B17639" w:rsidRDefault="00C73328" w:rsidP="000F1F6E">
      <w:pPr>
        <w:pStyle w:val="TableFooter"/>
        <w:keepNext/>
      </w:pPr>
    </w:p>
    <w:bookmarkEnd w:id="40"/>
    <w:p w:rsidR="00DE4B0B" w:rsidRPr="005452C5" w:rsidRDefault="00DE4B0B" w:rsidP="005452C5">
      <w:pPr>
        <w:numPr>
          <w:ilvl w:val="1"/>
          <w:numId w:val="1"/>
        </w:numPr>
        <w:jc w:val="both"/>
      </w:pPr>
      <w:r w:rsidRPr="005452C5">
        <w:t xml:space="preserve">On the basis of the indirect evidence presented by the submission, the comparison of lenvatinib/everolimus and nivolumab </w:t>
      </w:r>
      <w:r w:rsidR="00484761" w:rsidRPr="005452C5">
        <w:t>indicated that</w:t>
      </w:r>
      <w:r w:rsidRPr="005452C5">
        <w:t>:</w:t>
      </w:r>
    </w:p>
    <w:p w:rsidR="0030425F" w:rsidRPr="0030425F" w:rsidRDefault="0030425F" w:rsidP="00DE4B0B">
      <w:pPr>
        <w:pStyle w:val="ListParagraph"/>
        <w:numPr>
          <w:ilvl w:val="0"/>
          <w:numId w:val="8"/>
        </w:numPr>
        <w:spacing w:before="0" w:after="120"/>
        <w:jc w:val="both"/>
        <w:rPr>
          <w:lang w:val="en-US"/>
        </w:rPr>
      </w:pPr>
      <w:r>
        <w:t>The difficulty with interpretation of RECIST based PFS in the context of immunotherapies makes the potential benefit associated with PFS uncertain.</w:t>
      </w:r>
    </w:p>
    <w:p w:rsidR="00DE4B0B" w:rsidRPr="005452C5" w:rsidRDefault="00DF7B0E" w:rsidP="00DE4B0B">
      <w:pPr>
        <w:pStyle w:val="ListParagraph"/>
        <w:numPr>
          <w:ilvl w:val="0"/>
          <w:numId w:val="8"/>
        </w:numPr>
        <w:spacing w:before="0" w:after="120"/>
        <w:jc w:val="both"/>
        <w:rPr>
          <w:lang w:val="en-US"/>
        </w:rPr>
      </w:pPr>
      <w:r w:rsidRPr="005452C5">
        <w:rPr>
          <w:lang w:val="en-US"/>
        </w:rPr>
        <w:t>There was no evidence of a difference in OS between lenvatinib/everolimus and nivolumab</w:t>
      </w:r>
      <w:r w:rsidR="00542D88" w:rsidRPr="005452C5">
        <w:rPr>
          <w:lang w:val="en-US"/>
        </w:rPr>
        <w:t>.</w:t>
      </w:r>
    </w:p>
    <w:p w:rsidR="009E2CE1" w:rsidRPr="005452C5" w:rsidRDefault="00442A30" w:rsidP="00621246">
      <w:pPr>
        <w:pStyle w:val="ListParagraph"/>
        <w:numPr>
          <w:ilvl w:val="0"/>
          <w:numId w:val="8"/>
        </w:numPr>
        <w:jc w:val="both"/>
      </w:pPr>
      <w:r w:rsidRPr="005452C5">
        <w:t>For every 100 patients treated with lenvatinib/everolimus compared with nivolumab with a median follow up of 18 months, approximately 39 more patients would have an adverse event of Grade 3 or 4, and approximately 17 more patients would discontinue treatment due to an adverse event.</w:t>
      </w:r>
    </w:p>
    <w:p w:rsidR="00C317F3" w:rsidRPr="00493936" w:rsidRDefault="008058E8" w:rsidP="00772501">
      <w:pPr>
        <w:pStyle w:val="Heading2"/>
      </w:pPr>
      <w:bookmarkStart w:id="42" w:name="_Toc493002690"/>
      <w:bookmarkEnd w:id="37"/>
      <w:r w:rsidRPr="00493936">
        <w:lastRenderedPageBreak/>
        <w:t>Interpretation of clinical evidence</w:t>
      </w:r>
      <w:bookmarkEnd w:id="42"/>
    </w:p>
    <w:p w:rsidR="00DD0B70" w:rsidRPr="00B17639" w:rsidRDefault="00DD0B70" w:rsidP="005452C5">
      <w:pPr>
        <w:numPr>
          <w:ilvl w:val="1"/>
          <w:numId w:val="1"/>
        </w:numPr>
        <w:jc w:val="both"/>
      </w:pPr>
      <w:r w:rsidRPr="00B17639">
        <w:t xml:space="preserve">The submission claimed that lenvatinib/everolimus therapy when compared with everolimus monotherapy </w:t>
      </w:r>
      <w:r w:rsidR="004B2F3C" w:rsidRPr="00B17639">
        <w:t>wa</w:t>
      </w:r>
      <w:r w:rsidRPr="00B17639">
        <w:t xml:space="preserve">s superior in terms of effectiveness for both the outcomes of OS and PFS, although inferior in terms of safety. It </w:t>
      </w:r>
      <w:r w:rsidR="004B2F3C" w:rsidRPr="00B17639">
        <w:t>wa</w:t>
      </w:r>
      <w:r w:rsidRPr="00B17639">
        <w:t xml:space="preserve">s claimed that the overall safety profile of the lenvatinib/everolimus combination </w:t>
      </w:r>
      <w:r w:rsidR="004B2F3C" w:rsidRPr="00B17639">
        <w:t>wa</w:t>
      </w:r>
      <w:r w:rsidRPr="00B17639">
        <w:t xml:space="preserve">s acceptable taking into account the improvements in the key </w:t>
      </w:r>
      <w:r w:rsidR="004B2F3C" w:rsidRPr="00B17639">
        <w:t xml:space="preserve">efficacy </w:t>
      </w:r>
      <w:r w:rsidRPr="00B17639">
        <w:t>outcomes.</w:t>
      </w:r>
    </w:p>
    <w:p w:rsidR="004B2F3C" w:rsidRPr="005452C5" w:rsidRDefault="00944053" w:rsidP="005452C5">
      <w:pPr>
        <w:numPr>
          <w:ilvl w:val="1"/>
          <w:numId w:val="1"/>
        </w:numPr>
        <w:jc w:val="both"/>
      </w:pPr>
      <w:r w:rsidRPr="005452C5">
        <w:t>Th</w:t>
      </w:r>
      <w:r w:rsidR="004B2F3C" w:rsidRPr="005452C5">
        <w:t>e</w:t>
      </w:r>
      <w:r w:rsidR="00FA5119" w:rsidRPr="005452C5">
        <w:t xml:space="preserve"> </w:t>
      </w:r>
      <w:r w:rsidR="00417E6D">
        <w:t>PBAC considered</w:t>
      </w:r>
      <w:r w:rsidR="00FA5119" w:rsidRPr="005452C5">
        <w:t xml:space="preserve"> that the</w:t>
      </w:r>
      <w:r w:rsidRPr="005452C5">
        <w:t>s</w:t>
      </w:r>
      <w:r w:rsidR="004B2F3C" w:rsidRPr="005452C5">
        <w:t>e</w:t>
      </w:r>
      <w:r w:rsidRPr="005452C5">
        <w:t xml:space="preserve"> claim</w:t>
      </w:r>
      <w:r w:rsidR="004B2F3C" w:rsidRPr="005452C5">
        <w:t>s</w:t>
      </w:r>
      <w:r w:rsidRPr="005452C5">
        <w:t xml:space="preserve"> </w:t>
      </w:r>
      <w:r w:rsidR="004B2F3C" w:rsidRPr="005452C5">
        <w:t xml:space="preserve">are </w:t>
      </w:r>
      <w:r w:rsidR="000449DD" w:rsidRPr="005452C5">
        <w:t xml:space="preserve">not strongly supported </w:t>
      </w:r>
      <w:r w:rsidR="004B2F3C" w:rsidRPr="005452C5">
        <w:t>for the following reasons:</w:t>
      </w:r>
    </w:p>
    <w:p w:rsidR="004B2F3C" w:rsidRDefault="00944053" w:rsidP="00921338">
      <w:pPr>
        <w:pStyle w:val="ListParagraph"/>
        <w:numPr>
          <w:ilvl w:val="3"/>
          <w:numId w:val="14"/>
        </w:numPr>
        <w:spacing w:after="120"/>
        <w:ind w:left="1134"/>
        <w:jc w:val="both"/>
      </w:pPr>
      <w:r w:rsidRPr="005452C5">
        <w:t xml:space="preserve">There were relatively </w:t>
      </w:r>
      <w:r w:rsidR="004B2F3C" w:rsidRPr="005452C5">
        <w:t xml:space="preserve">few </w:t>
      </w:r>
      <w:r w:rsidRPr="005452C5">
        <w:t xml:space="preserve">patients </w:t>
      </w:r>
      <w:r w:rsidR="004B2F3C" w:rsidRPr="005452C5">
        <w:t xml:space="preserve">(small sample size) </w:t>
      </w:r>
      <w:r w:rsidRPr="005452C5">
        <w:t>enrolled in the key clinical trial</w:t>
      </w:r>
      <w:r w:rsidR="00176D1E">
        <w:t>,</w:t>
      </w:r>
      <w:r w:rsidRPr="005452C5">
        <w:t xml:space="preserve"> </w:t>
      </w:r>
      <w:r w:rsidR="004B2F3C" w:rsidRPr="005452C5">
        <w:t xml:space="preserve">and </w:t>
      </w:r>
      <w:r w:rsidRPr="005452C5">
        <w:t xml:space="preserve">the </w:t>
      </w:r>
      <w:r w:rsidR="004B2F3C" w:rsidRPr="005452C5">
        <w:t xml:space="preserve">open-label </w:t>
      </w:r>
      <w:r w:rsidRPr="005452C5">
        <w:t xml:space="preserve">design </w:t>
      </w:r>
      <w:r w:rsidR="004B2F3C" w:rsidRPr="005452C5">
        <w:t xml:space="preserve">with investigator assessed outcomes </w:t>
      </w:r>
      <w:r w:rsidR="00176D1E">
        <w:t xml:space="preserve">for PFS </w:t>
      </w:r>
      <w:r w:rsidR="004B2F3C" w:rsidRPr="005452C5">
        <w:t xml:space="preserve">resulted in </w:t>
      </w:r>
      <w:r w:rsidRPr="005452C5">
        <w:t>a high degree of bias.</w:t>
      </w:r>
      <w:r w:rsidR="00162484" w:rsidRPr="005452C5">
        <w:t xml:space="preserve"> </w:t>
      </w:r>
    </w:p>
    <w:p w:rsidR="00FF1265" w:rsidRDefault="00FF1265" w:rsidP="00921338">
      <w:pPr>
        <w:pStyle w:val="ListParagraph"/>
        <w:numPr>
          <w:ilvl w:val="3"/>
          <w:numId w:val="14"/>
        </w:numPr>
        <w:spacing w:after="120"/>
        <w:ind w:left="1134"/>
        <w:jc w:val="both"/>
      </w:pPr>
      <w:r>
        <w:t>The difference between the trial based assessment of PFS and the independent review creates some uncertainty in the magnitude of PFS gain.</w:t>
      </w:r>
    </w:p>
    <w:p w:rsidR="00530B4A" w:rsidRPr="0014492C" w:rsidRDefault="00530B4A" w:rsidP="00530B4A">
      <w:pPr>
        <w:pStyle w:val="ListParagraph"/>
        <w:numPr>
          <w:ilvl w:val="3"/>
          <w:numId w:val="14"/>
        </w:numPr>
        <w:spacing w:after="120"/>
        <w:ind w:left="1134"/>
        <w:jc w:val="both"/>
      </w:pPr>
      <w:r w:rsidRPr="0014492C">
        <w:t>There was no statistically significant difference in OS between lenvatinib/everolimus and everolimus monotherapy at the initial and latest data cut-offs. Moreover, the trial was not powered to detect a difference in OS.</w:t>
      </w:r>
    </w:p>
    <w:p w:rsidR="006E6E84" w:rsidRPr="005452C5" w:rsidRDefault="00611D53" w:rsidP="00921338">
      <w:pPr>
        <w:pStyle w:val="ListParagraph"/>
        <w:numPr>
          <w:ilvl w:val="3"/>
          <w:numId w:val="14"/>
        </w:numPr>
        <w:spacing w:after="120"/>
        <w:ind w:left="1134"/>
        <w:jc w:val="both"/>
      </w:pPr>
      <w:r w:rsidRPr="005452C5">
        <w:t>Adverse events were more common in the lenvatinib/everolimus group, as were dose delays</w:t>
      </w:r>
      <w:r w:rsidR="000B70E6" w:rsidRPr="005452C5">
        <w:t xml:space="preserve">, </w:t>
      </w:r>
      <w:r w:rsidRPr="005452C5">
        <w:t>dose reductions and discontinuations</w:t>
      </w:r>
      <w:r w:rsidR="00DA3604" w:rsidRPr="005452C5">
        <w:t>.</w:t>
      </w:r>
      <w:r w:rsidR="00BB79AA" w:rsidRPr="005452C5">
        <w:t xml:space="preserve"> </w:t>
      </w:r>
      <w:r w:rsidR="00162484" w:rsidRPr="005452C5">
        <w:t xml:space="preserve">As a </w:t>
      </w:r>
      <w:r w:rsidR="00556ACC" w:rsidRPr="005452C5">
        <w:t>P</w:t>
      </w:r>
      <w:r w:rsidR="00162484" w:rsidRPr="005452C5">
        <w:t xml:space="preserve">hase II study, which generally enrols patients of a better performance status, </w:t>
      </w:r>
      <w:r w:rsidR="00556ACC" w:rsidRPr="005452C5">
        <w:t>it may be expect</w:t>
      </w:r>
      <w:r w:rsidR="00D40BA0" w:rsidRPr="005452C5">
        <w:t>ed</w:t>
      </w:r>
      <w:r w:rsidR="00556ACC" w:rsidRPr="005452C5">
        <w:t xml:space="preserve"> </w:t>
      </w:r>
      <w:r w:rsidR="006C57B1" w:rsidRPr="005452C5">
        <w:t xml:space="preserve">that Study 205 would demonstrate </w:t>
      </w:r>
      <w:r w:rsidR="00162484" w:rsidRPr="005452C5">
        <w:t>a higher benefit to harm ratio</w:t>
      </w:r>
      <w:r w:rsidR="006C57B1" w:rsidRPr="005452C5">
        <w:t xml:space="preserve"> than</w:t>
      </w:r>
      <w:r w:rsidR="00D40BA0" w:rsidRPr="005452C5">
        <w:t xml:space="preserve"> that</w:t>
      </w:r>
      <w:r w:rsidR="006C57B1" w:rsidRPr="005452C5">
        <w:t xml:space="preserve"> </w:t>
      </w:r>
      <w:r w:rsidR="00ED49C8" w:rsidRPr="005452C5">
        <w:t>expected in clinical practice</w:t>
      </w:r>
      <w:r w:rsidR="00162484" w:rsidRPr="005452C5">
        <w:t>.</w:t>
      </w:r>
    </w:p>
    <w:p w:rsidR="00A9408D" w:rsidRPr="00B17639" w:rsidRDefault="00A9408D" w:rsidP="005452C5">
      <w:pPr>
        <w:numPr>
          <w:ilvl w:val="1"/>
          <w:numId w:val="1"/>
        </w:numPr>
        <w:jc w:val="both"/>
      </w:pPr>
      <w:r w:rsidRPr="00B17639">
        <w:t xml:space="preserve">For the comparison of lenvatinib/everolimus with nivolumab, it </w:t>
      </w:r>
      <w:r w:rsidR="00AE7059" w:rsidRPr="00B17639">
        <w:t>was</w:t>
      </w:r>
      <w:r w:rsidRPr="00B17639">
        <w:t xml:space="preserve"> claimed that:</w:t>
      </w:r>
    </w:p>
    <w:p w:rsidR="00A9408D" w:rsidRPr="00B17639" w:rsidRDefault="00A9408D" w:rsidP="00921338">
      <w:pPr>
        <w:numPr>
          <w:ilvl w:val="0"/>
          <w:numId w:val="6"/>
        </w:numPr>
        <w:spacing w:before="0" w:after="0"/>
        <w:ind w:left="1134" w:hanging="357"/>
        <w:jc w:val="both"/>
      </w:pPr>
      <w:r w:rsidRPr="00B17639">
        <w:t xml:space="preserve">Lenvatinib/everolimus </w:t>
      </w:r>
      <w:r w:rsidR="00DA3604" w:rsidRPr="00B17639">
        <w:t>wa</w:t>
      </w:r>
      <w:r w:rsidRPr="00B17639">
        <w:t>s superior in terms of effectiveness for the outcome of PFS compared with nivolumab.</w:t>
      </w:r>
    </w:p>
    <w:p w:rsidR="00A9408D" w:rsidRPr="00B17639" w:rsidRDefault="00A9408D" w:rsidP="00921338">
      <w:pPr>
        <w:numPr>
          <w:ilvl w:val="0"/>
          <w:numId w:val="6"/>
        </w:numPr>
        <w:spacing w:before="0" w:after="0"/>
        <w:ind w:left="1134" w:hanging="357"/>
        <w:jc w:val="both"/>
      </w:pPr>
      <w:r w:rsidRPr="00B17639">
        <w:t xml:space="preserve">Lenvatinib/everolimus </w:t>
      </w:r>
      <w:r w:rsidR="00DA3604" w:rsidRPr="00B17639">
        <w:t>wa</w:t>
      </w:r>
      <w:r w:rsidRPr="00B17639">
        <w:t>s non-inferior in terms of effectiveness for the outcome of OS compared with nivolumab.</w:t>
      </w:r>
    </w:p>
    <w:p w:rsidR="00A9408D" w:rsidRPr="00B17639" w:rsidRDefault="00A9408D" w:rsidP="00921338">
      <w:pPr>
        <w:numPr>
          <w:ilvl w:val="0"/>
          <w:numId w:val="6"/>
        </w:numPr>
        <w:spacing w:before="0" w:after="0"/>
        <w:ind w:left="1134" w:hanging="357"/>
        <w:jc w:val="both"/>
      </w:pPr>
      <w:r w:rsidRPr="00B17639">
        <w:t xml:space="preserve">Lenvatinib/everolimus </w:t>
      </w:r>
      <w:r w:rsidR="00DA3604" w:rsidRPr="00B17639">
        <w:t>wa</w:t>
      </w:r>
      <w:r w:rsidRPr="00B17639">
        <w:t>s inferior in terms of safety compared with nivolumab</w:t>
      </w:r>
      <w:r w:rsidR="005A7531" w:rsidRPr="00B17639">
        <w:t>.</w:t>
      </w:r>
    </w:p>
    <w:p w:rsidR="007240AD" w:rsidRPr="005452C5" w:rsidRDefault="00E21380" w:rsidP="005452C5">
      <w:pPr>
        <w:numPr>
          <w:ilvl w:val="1"/>
          <w:numId w:val="1"/>
        </w:numPr>
        <w:jc w:val="both"/>
      </w:pPr>
      <w:r w:rsidRPr="005452C5">
        <w:t xml:space="preserve">The </w:t>
      </w:r>
      <w:r w:rsidR="00523C41">
        <w:t>PBAC</w:t>
      </w:r>
      <w:r w:rsidR="00162484" w:rsidRPr="005452C5">
        <w:t xml:space="preserve"> did not agree with the claim in the submission that lenvatinib/everolimus was superior to nivolumab in relation to RECIST defined PFS</w:t>
      </w:r>
      <w:r w:rsidR="004D0818">
        <w:t>,</w:t>
      </w:r>
      <w:r w:rsidR="00162484" w:rsidRPr="005452C5">
        <w:t xml:space="preserve"> given that the use of this outcome measure may not </w:t>
      </w:r>
      <w:r w:rsidR="00921338" w:rsidRPr="005452C5">
        <w:t xml:space="preserve">be </w:t>
      </w:r>
      <w:r w:rsidR="004D0818">
        <w:t xml:space="preserve">reliably </w:t>
      </w:r>
      <w:r w:rsidR="00162484" w:rsidRPr="005452C5">
        <w:t>associated with delay</w:t>
      </w:r>
      <w:r w:rsidR="004D0818">
        <w:t xml:space="preserve"> </w:t>
      </w:r>
      <w:r w:rsidR="00162484" w:rsidRPr="005452C5">
        <w:t xml:space="preserve">in disease progression with immunotherapies. The </w:t>
      </w:r>
      <w:r w:rsidR="00523C41">
        <w:t>PBAC</w:t>
      </w:r>
      <w:r w:rsidR="00162484" w:rsidRPr="005452C5">
        <w:t xml:space="preserve"> </w:t>
      </w:r>
      <w:r w:rsidR="00523C41">
        <w:t xml:space="preserve">considered </w:t>
      </w:r>
      <w:r w:rsidR="00162484" w:rsidRPr="005452C5">
        <w:t xml:space="preserve">that there </w:t>
      </w:r>
      <w:r w:rsidR="004D0818">
        <w:t xml:space="preserve">was high uncertainty regarding </w:t>
      </w:r>
      <w:r w:rsidR="00162484" w:rsidRPr="005452C5">
        <w:t>difference</w:t>
      </w:r>
      <w:r w:rsidR="004D0818">
        <w:t>s</w:t>
      </w:r>
      <w:r w:rsidR="00162484" w:rsidRPr="005452C5">
        <w:t xml:space="preserve"> from</w:t>
      </w:r>
      <w:r w:rsidRPr="005452C5">
        <w:t xml:space="preserve"> nivolumab </w:t>
      </w:r>
      <w:r w:rsidR="00162484" w:rsidRPr="005452C5">
        <w:t xml:space="preserve">in relation to </w:t>
      </w:r>
      <w:r w:rsidRPr="005452C5">
        <w:t>OS</w:t>
      </w:r>
      <w:r w:rsidR="00523C41">
        <w:t xml:space="preserve">, </w:t>
      </w:r>
      <w:r w:rsidR="00162484" w:rsidRPr="005452C5">
        <w:t xml:space="preserve">noting the small size of </w:t>
      </w:r>
      <w:r w:rsidR="00995BD4" w:rsidRPr="005452C5">
        <w:t>Study 205</w:t>
      </w:r>
      <w:r w:rsidRPr="005452C5">
        <w:t xml:space="preserve">. The claim that lenvatinib/everolimus is inferior to nivolumab in terms of safety </w:t>
      </w:r>
      <w:r w:rsidR="00162484" w:rsidRPr="005452C5">
        <w:t xml:space="preserve">was </w:t>
      </w:r>
      <w:r w:rsidRPr="005452C5">
        <w:t xml:space="preserve">well supported. </w:t>
      </w:r>
      <w:r w:rsidR="00C04D3F">
        <w:t xml:space="preserve"> </w:t>
      </w:r>
    </w:p>
    <w:p w:rsidR="00621246" w:rsidRDefault="00162484" w:rsidP="005452C5">
      <w:pPr>
        <w:numPr>
          <w:ilvl w:val="1"/>
          <w:numId w:val="1"/>
        </w:numPr>
        <w:jc w:val="both"/>
      </w:pPr>
      <w:r w:rsidRPr="005452C5">
        <w:t>In a supplementary comparison, t</w:t>
      </w:r>
      <w:r w:rsidR="00621246" w:rsidRPr="005452C5">
        <w:t xml:space="preserve">he submission claimed that lenvatinib/everolimus was superior in clinical effectiveness (PFS and OS) when compared to axitinib. </w:t>
      </w:r>
      <w:r w:rsidR="00C04D3F">
        <w:t>The PBAC considered that t</w:t>
      </w:r>
      <w:r w:rsidR="00621246" w:rsidRPr="005452C5">
        <w:t xml:space="preserve">his claim was not supported by the naïve comparison that lacked a common reference and formal indirect comparison. </w:t>
      </w:r>
      <w:r w:rsidR="00995D54" w:rsidRPr="005452C5">
        <w:t xml:space="preserve">In the absence of any studies comparing axitinib with everolimus (see axitinib PSD, November 2014), any claim of superiority or non-inferiority between lenvatinib/everolimus and axitinib would rely on acceptance of (a) the transitivity of Study 205 and AXIS, or (b) sorafenib being non-inferior to everolimus. </w:t>
      </w:r>
      <w:r w:rsidR="00495235" w:rsidRPr="005452C5">
        <w:t>S</w:t>
      </w:r>
      <w:r w:rsidR="00995D54" w:rsidRPr="005452C5">
        <w:t xml:space="preserve">orafenib (400 mg b.d.) was recommended for </w:t>
      </w:r>
      <w:r w:rsidR="00995D54" w:rsidRPr="005452C5">
        <w:lastRenderedPageBreak/>
        <w:t>listing for the treatment of RCC on a cost-minimisation basis against everolimus 10 mg (PBAC Therapeutic Relativity Sheets). Similarly, axitinib 5 mg b.d. was recommended for listing on the basis of a cost-minimisation analysis with everolimus 10 mg (axitinib PSD, November 2014). For consistency therefore, acceptance of a claim of superiority of lenvatinib/everolimus to everolimus would thus suggest that any comparison formed against axitinib would necessarily also need to show superiority.</w:t>
      </w:r>
    </w:p>
    <w:p w:rsidR="005A0400" w:rsidRPr="0014492C" w:rsidRDefault="005A0400" w:rsidP="005A0400">
      <w:pPr>
        <w:pStyle w:val="ListParagraph"/>
        <w:numPr>
          <w:ilvl w:val="1"/>
          <w:numId w:val="1"/>
        </w:numPr>
        <w:spacing w:before="0" w:after="120"/>
        <w:ind w:left="567" w:hanging="578"/>
        <w:jc w:val="both"/>
      </w:pPr>
      <w:r w:rsidRPr="0014492C">
        <w:t xml:space="preserve">The PBAC considered </w:t>
      </w:r>
      <w:r w:rsidR="004D0818">
        <w:t xml:space="preserve">on balance </w:t>
      </w:r>
      <w:r w:rsidRPr="0014492C">
        <w:t xml:space="preserve">that the claim of superior comparative effectiveness </w:t>
      </w:r>
      <w:r w:rsidR="003F2F73">
        <w:t xml:space="preserve">versus </w:t>
      </w:r>
      <w:r w:rsidR="003F2F73" w:rsidRPr="005452C5">
        <w:t>everolimus</w:t>
      </w:r>
      <w:r w:rsidR="003F2F73" w:rsidRPr="0014492C" w:rsidDel="00523C41">
        <w:t xml:space="preserve"> </w:t>
      </w:r>
      <w:r w:rsidRPr="0014492C">
        <w:t xml:space="preserve">was not adequately supported by the data. </w:t>
      </w:r>
    </w:p>
    <w:p w:rsidR="005A0400" w:rsidRPr="0014492C" w:rsidRDefault="005A0400" w:rsidP="005A0400">
      <w:pPr>
        <w:pStyle w:val="ListParagraph"/>
        <w:numPr>
          <w:ilvl w:val="1"/>
          <w:numId w:val="1"/>
        </w:numPr>
        <w:spacing w:before="0" w:after="120"/>
        <w:ind w:left="567" w:hanging="578"/>
        <w:jc w:val="both"/>
      </w:pPr>
      <w:r w:rsidRPr="0014492C">
        <w:t xml:space="preserve">The PBAC considered that the claim of inferior comparative safety </w:t>
      </w:r>
      <w:r w:rsidR="007E56B8">
        <w:t xml:space="preserve">versus </w:t>
      </w:r>
      <w:r w:rsidR="007E56B8" w:rsidRPr="005452C5">
        <w:t>everolimus</w:t>
      </w:r>
      <w:r w:rsidR="007E56B8">
        <w:rPr>
          <w:rStyle w:val="CommentReference"/>
        </w:rPr>
        <w:t xml:space="preserve"> </w:t>
      </w:r>
      <w:r w:rsidRPr="0014492C">
        <w:t>was reasonable.</w:t>
      </w:r>
    </w:p>
    <w:p w:rsidR="00C317F3" w:rsidRPr="00493936" w:rsidRDefault="00C317F3" w:rsidP="00772501">
      <w:pPr>
        <w:pStyle w:val="Heading2"/>
      </w:pPr>
      <w:bookmarkStart w:id="43" w:name="_Toc413139282"/>
      <w:bookmarkStart w:id="44" w:name="_Toc493002691"/>
      <w:r w:rsidRPr="00493936">
        <w:t>Economic analysis</w:t>
      </w:r>
      <w:bookmarkEnd w:id="43"/>
      <w:bookmarkEnd w:id="44"/>
    </w:p>
    <w:p w:rsidR="00F33A7F" w:rsidRDefault="00AD6EE2" w:rsidP="005452C5">
      <w:pPr>
        <w:numPr>
          <w:ilvl w:val="1"/>
          <w:numId w:val="1"/>
        </w:numPr>
        <w:jc w:val="both"/>
      </w:pPr>
      <w:r w:rsidRPr="00B17639">
        <w:t>The submission presented a cost-utility analysis to demonstrate the cost-effectiveness of the lenvatinib/everolimus combination</w:t>
      </w:r>
      <w:r w:rsidR="005824F1" w:rsidRPr="00B17639">
        <w:t xml:space="preserve"> compared with e</w:t>
      </w:r>
      <w:r w:rsidRPr="00B17639">
        <w:t xml:space="preserve">verolimus monotherapy. </w:t>
      </w:r>
      <w:r w:rsidR="00DA3604" w:rsidRPr="00B17639">
        <w:t>A</w:t>
      </w:r>
      <w:r w:rsidR="004254E6" w:rsidRPr="00B17639">
        <w:t>n overview of the model structure</w:t>
      </w:r>
      <w:r w:rsidR="00DA3604" w:rsidRPr="00B17639">
        <w:t xml:space="preserve"> is presented in Table 1</w:t>
      </w:r>
      <w:r w:rsidR="00D233D8">
        <w:t>2</w:t>
      </w:r>
      <w:r w:rsidR="004254E6" w:rsidRPr="00B17639">
        <w:t xml:space="preserve">. </w:t>
      </w:r>
    </w:p>
    <w:p w:rsidR="00AD6EE2" w:rsidRPr="005452C5" w:rsidRDefault="00F33A7F" w:rsidP="00681CCB">
      <w:pPr>
        <w:numPr>
          <w:ilvl w:val="1"/>
          <w:numId w:val="1"/>
        </w:numPr>
        <w:jc w:val="both"/>
      </w:pPr>
      <w:r w:rsidRPr="005452C5">
        <w:t>The ESC considered that given the suggested place in therapy of lenvatinib/everolimus, nivolumab or axitinib would be more appropriate comparators. The submission did not contain a</w:t>
      </w:r>
      <w:r w:rsidR="00AD6EE2" w:rsidRPr="005452C5">
        <w:t xml:space="preserve">n economic evaluation comparing the lenvatinib/everolimus combination with </w:t>
      </w:r>
      <w:r w:rsidRPr="005452C5">
        <w:t xml:space="preserve">either of these therapies. However, the ESC noted that the </w:t>
      </w:r>
      <w:r w:rsidR="008C36E5">
        <w:t>Pre-Sub</w:t>
      </w:r>
      <w:r w:rsidR="00EB5012">
        <w:t>-</w:t>
      </w:r>
      <w:r w:rsidR="008C36E5">
        <w:t>Committee Response (</w:t>
      </w:r>
      <w:r w:rsidRPr="005452C5">
        <w:t>PSCR</w:t>
      </w:r>
      <w:r w:rsidR="008C36E5">
        <w:t>)</w:t>
      </w:r>
      <w:r w:rsidRPr="005452C5">
        <w:t xml:space="preserve"> </w:t>
      </w:r>
      <w:r w:rsidR="004D233A">
        <w:t xml:space="preserve">(p1) </w:t>
      </w:r>
      <w:r w:rsidRPr="005452C5">
        <w:t xml:space="preserve">included a brief </w:t>
      </w:r>
      <w:r w:rsidR="00D22B66" w:rsidRPr="005452C5">
        <w:t xml:space="preserve">analysis </w:t>
      </w:r>
      <w:r w:rsidRPr="005452C5">
        <w:t xml:space="preserve">which suggested that lenvatinib/everolimus dominated nivolumab in terms of the costs </w:t>
      </w:r>
      <w:r w:rsidR="00597458" w:rsidRPr="005452C5">
        <w:t>and</w:t>
      </w:r>
      <w:r w:rsidRPr="005452C5">
        <w:t xml:space="preserve"> outcomes of therapy (when restricted to OS). </w:t>
      </w:r>
      <w:r w:rsidR="00173AF7">
        <w:t>T</w:t>
      </w:r>
      <w:r w:rsidR="00173AF7" w:rsidRPr="00681CCB">
        <w:t>his analysis</w:t>
      </w:r>
      <w:r w:rsidR="00173AF7" w:rsidRPr="0014492C">
        <w:t xml:space="preserve"> was again included in the pre-PBAC response (p2)</w:t>
      </w:r>
      <w:r w:rsidR="00E827E3">
        <w:t>,</w:t>
      </w:r>
      <w:r w:rsidR="00173AF7" w:rsidRPr="0014492C">
        <w:t xml:space="preserve"> as the sponsor argued that a robust economic evaluation of lenvatinib/everolimus versus nivolumab was not possible due to the confidentiality of critical data inputs required for the model. </w:t>
      </w:r>
      <w:r w:rsidR="006C79A4">
        <w:t>The PBAC noted that the analysis was not evaluated</w:t>
      </w:r>
      <w:r w:rsidR="00E827E3">
        <w:t>,</w:t>
      </w:r>
      <w:r w:rsidR="006C79A4">
        <w:t xml:space="preserve"> and considered </w:t>
      </w:r>
      <w:r w:rsidR="00C04D3F">
        <w:t xml:space="preserve">that </w:t>
      </w:r>
      <w:r w:rsidRPr="005452C5">
        <w:t xml:space="preserve">inadequate data were presented </w:t>
      </w:r>
      <w:r w:rsidR="00EF2022" w:rsidRPr="005452C5">
        <w:t xml:space="preserve">upon which </w:t>
      </w:r>
      <w:r w:rsidRPr="005452C5">
        <w:t xml:space="preserve">to draw conclusions </w:t>
      </w:r>
      <w:r w:rsidR="00D22B66" w:rsidRPr="005452C5">
        <w:t xml:space="preserve">about </w:t>
      </w:r>
      <w:r w:rsidRPr="005452C5">
        <w:t>this comparison</w:t>
      </w:r>
      <w:r w:rsidR="00597458" w:rsidRPr="005452C5">
        <w:t>. Any such conclusions would more reliably depend on an assessment of all the comparative costs and outcomes of nivolumab compared with lenvatinib/everolimus.</w:t>
      </w:r>
      <w:r w:rsidRPr="005452C5">
        <w:t xml:space="preserve"> </w:t>
      </w:r>
      <w:r w:rsidR="00513515">
        <w:t xml:space="preserve">The PBAC noted </w:t>
      </w:r>
      <w:r w:rsidR="00624713">
        <w:t xml:space="preserve">that </w:t>
      </w:r>
      <w:r w:rsidR="00513515">
        <w:t>th</w:t>
      </w:r>
      <w:r w:rsidR="006252C4">
        <w:t>e pre-PBAC r</w:t>
      </w:r>
      <w:r w:rsidR="00624713">
        <w:t>esponse (p2) argue</w:t>
      </w:r>
      <w:r w:rsidR="006109B7">
        <w:t>d</w:t>
      </w:r>
      <w:r w:rsidR="00624713">
        <w:t xml:space="preserve"> an economic evaluation of </w:t>
      </w:r>
      <w:r w:rsidR="00624713" w:rsidRPr="005452C5">
        <w:t>lenvatinib/everolimus</w:t>
      </w:r>
      <w:r w:rsidR="00624713">
        <w:t xml:space="preserve"> against axitinib would lead to a significant increase in uncertainty compared to the comparison with everolimus due to the lack of a common reference. </w:t>
      </w:r>
      <w:r w:rsidR="006252C4">
        <w:t xml:space="preserve"> </w:t>
      </w:r>
    </w:p>
    <w:p w:rsidR="00DA3604" w:rsidRPr="00B17639" w:rsidRDefault="00DA3604" w:rsidP="005452C5">
      <w:pPr>
        <w:numPr>
          <w:ilvl w:val="1"/>
          <w:numId w:val="1"/>
        </w:numPr>
        <w:jc w:val="both"/>
      </w:pPr>
      <w:r w:rsidRPr="00B17639">
        <w:t xml:space="preserve">Presentation of a </w:t>
      </w:r>
      <w:r w:rsidR="00C04D3F">
        <w:t>cost-utility analysis</w:t>
      </w:r>
      <w:r w:rsidR="003C2CF3">
        <w:t xml:space="preserve"> for the l</w:t>
      </w:r>
      <w:r w:rsidR="00946CD7">
        <w:t>e</w:t>
      </w:r>
      <w:r w:rsidR="003C2CF3">
        <w:t>nvatinib/everolimus combination relative to everolimus monotherapy</w:t>
      </w:r>
      <w:r w:rsidRPr="00B17639">
        <w:t xml:space="preserve"> </w:t>
      </w:r>
      <w:r w:rsidR="000449DD" w:rsidRPr="00B17639">
        <w:t xml:space="preserve">rested </w:t>
      </w:r>
      <w:r w:rsidRPr="00B17639">
        <w:t xml:space="preserve">on the assumption of a difference in one or all of OS, PFS, or quality of life in favour of lenvatinib/everolimus. The submission did not demonstrate an unequivocal difference in OS in favour of lenvatinib/everolimus, and </w:t>
      </w:r>
      <w:r w:rsidR="008503BD" w:rsidRPr="00B17639">
        <w:t>the trial did not measure</w:t>
      </w:r>
      <w:r w:rsidRPr="00B17639">
        <w:t xml:space="preserve"> health related quality of life (HRQoL) data for that treatment combination.</w:t>
      </w:r>
    </w:p>
    <w:p w:rsidR="00BC24FC" w:rsidRPr="00B17639" w:rsidRDefault="00BC24FC" w:rsidP="00BC24FC">
      <w:pPr>
        <w:spacing w:after="120"/>
        <w:jc w:val="both"/>
      </w:pPr>
    </w:p>
    <w:p w:rsidR="004254E6" w:rsidRPr="00B17639" w:rsidRDefault="004254E6" w:rsidP="0069101E">
      <w:pPr>
        <w:pStyle w:val="TableHeading0"/>
      </w:pPr>
      <w:r w:rsidRPr="00B17639">
        <w:lastRenderedPageBreak/>
        <w:t xml:space="preserve">Table </w:t>
      </w:r>
      <w:r w:rsidR="00B22300" w:rsidRPr="00B17639">
        <w:t>1</w:t>
      </w:r>
      <w:r w:rsidR="00D233D8">
        <w:t>2</w:t>
      </w:r>
      <w:r w:rsidRPr="00B17639">
        <w:rPr>
          <w:noProof/>
        </w:rPr>
        <w:t xml:space="preserve">: </w:t>
      </w:r>
      <w:r w:rsidRPr="00B17639">
        <w:t>Summary of model structure and rationale</w:t>
      </w:r>
    </w:p>
    <w:tbl>
      <w:tblPr>
        <w:tblStyle w:val="TableGrid12"/>
        <w:tblW w:w="0" w:type="auto"/>
        <w:tblLook w:val="04A0" w:firstRow="1" w:lastRow="0" w:firstColumn="1" w:lastColumn="0" w:noHBand="0" w:noVBand="1"/>
        <w:tblCaption w:val="Table 12: Summary of model structure and rationale"/>
      </w:tblPr>
      <w:tblGrid>
        <w:gridCol w:w="1914"/>
        <w:gridCol w:w="7328"/>
      </w:tblGrid>
      <w:tr w:rsidR="004254E6" w:rsidRPr="00B17639" w:rsidTr="002119FA">
        <w:trPr>
          <w:tblHeader/>
        </w:trPr>
        <w:tc>
          <w:tcPr>
            <w:tcW w:w="0" w:type="auto"/>
            <w:shd w:val="clear" w:color="auto" w:fill="auto"/>
          </w:tcPr>
          <w:p w:rsidR="004254E6" w:rsidRPr="00B17639" w:rsidRDefault="004254E6" w:rsidP="004254E6">
            <w:pPr>
              <w:keepNext/>
              <w:spacing w:before="0"/>
              <w:rPr>
                <w:rFonts w:ascii="Arial Narrow" w:hAnsi="Arial Narrow"/>
                <w:b/>
                <w:sz w:val="20"/>
              </w:rPr>
            </w:pPr>
            <w:r w:rsidRPr="00B17639">
              <w:rPr>
                <w:rFonts w:ascii="Arial Narrow" w:hAnsi="Arial Narrow"/>
                <w:b/>
                <w:sz w:val="20"/>
              </w:rPr>
              <w:t>Component</w:t>
            </w:r>
          </w:p>
        </w:tc>
        <w:tc>
          <w:tcPr>
            <w:tcW w:w="0" w:type="auto"/>
            <w:shd w:val="clear" w:color="auto" w:fill="auto"/>
          </w:tcPr>
          <w:p w:rsidR="004254E6" w:rsidRPr="00B17639" w:rsidRDefault="004254E6" w:rsidP="004254E6">
            <w:pPr>
              <w:keepNext/>
              <w:spacing w:before="0"/>
              <w:rPr>
                <w:rFonts w:ascii="Arial Narrow" w:hAnsi="Arial Narrow"/>
                <w:b/>
                <w:sz w:val="20"/>
              </w:rPr>
            </w:pPr>
            <w:r w:rsidRPr="00B17639">
              <w:rPr>
                <w:rFonts w:ascii="Arial Narrow" w:hAnsi="Arial Narrow"/>
                <w:b/>
                <w:sz w:val="20"/>
              </w:rPr>
              <w:t>Description</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Type of analysis</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Cost-utility analysis</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Outcomes</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Quality adjusted life years (QALYs)</w:t>
            </w:r>
          </w:p>
          <w:p w:rsidR="004254E6" w:rsidRPr="00B17639" w:rsidRDefault="004254E6" w:rsidP="004254E6">
            <w:pPr>
              <w:keepNext/>
              <w:spacing w:before="0"/>
              <w:rPr>
                <w:rFonts w:ascii="Arial Narrow" w:hAnsi="Arial Narrow"/>
                <w:sz w:val="20"/>
              </w:rPr>
            </w:pPr>
            <w:r w:rsidRPr="00B17639">
              <w:rPr>
                <w:rFonts w:ascii="Arial Narrow" w:hAnsi="Arial Narrow"/>
                <w:sz w:val="20"/>
              </w:rPr>
              <w:t>Life years</w:t>
            </w:r>
          </w:p>
          <w:p w:rsidR="004254E6" w:rsidRPr="00B17639" w:rsidRDefault="004254E6" w:rsidP="004254E6">
            <w:pPr>
              <w:keepNext/>
              <w:spacing w:before="0"/>
              <w:rPr>
                <w:rFonts w:ascii="Arial Narrow" w:hAnsi="Arial Narrow"/>
                <w:sz w:val="20"/>
              </w:rPr>
            </w:pPr>
            <w:r w:rsidRPr="00B17639">
              <w:rPr>
                <w:rFonts w:ascii="Arial Narrow" w:hAnsi="Arial Narrow"/>
                <w:sz w:val="20"/>
              </w:rPr>
              <w:t>Progression-free life years</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Time horizon</w:t>
            </w:r>
          </w:p>
        </w:tc>
        <w:tc>
          <w:tcPr>
            <w:tcW w:w="0" w:type="auto"/>
            <w:shd w:val="clear" w:color="auto" w:fill="auto"/>
          </w:tcPr>
          <w:p w:rsidR="004254E6" w:rsidRPr="00B17639" w:rsidRDefault="004254E6" w:rsidP="009D12EA">
            <w:pPr>
              <w:keepNext/>
              <w:spacing w:before="0"/>
              <w:rPr>
                <w:rFonts w:ascii="Arial Narrow" w:hAnsi="Arial Narrow"/>
                <w:sz w:val="20"/>
              </w:rPr>
            </w:pPr>
            <w:r w:rsidRPr="00B17639">
              <w:rPr>
                <w:rFonts w:ascii="Arial Narrow" w:hAnsi="Arial Narrow"/>
                <w:sz w:val="20"/>
              </w:rPr>
              <w:t>Lifetime (base case), scenario analyses of 5 year</w:t>
            </w:r>
            <w:r w:rsidR="00940A97" w:rsidRPr="00B17639">
              <w:rPr>
                <w:rFonts w:ascii="Arial Narrow" w:hAnsi="Arial Narrow"/>
                <w:sz w:val="20"/>
              </w:rPr>
              <w:t>s</w:t>
            </w:r>
            <w:r w:rsidRPr="00B17639">
              <w:rPr>
                <w:rFonts w:ascii="Arial Narrow" w:hAnsi="Arial Narrow"/>
                <w:sz w:val="20"/>
              </w:rPr>
              <w:t>, 10 year</w:t>
            </w:r>
            <w:r w:rsidR="00940A97" w:rsidRPr="00B17639">
              <w:rPr>
                <w:rFonts w:ascii="Arial Narrow" w:hAnsi="Arial Narrow"/>
                <w:sz w:val="20"/>
              </w:rPr>
              <w:t>s</w:t>
            </w:r>
            <w:r w:rsidRPr="00B17639">
              <w:rPr>
                <w:rFonts w:ascii="Arial Narrow" w:hAnsi="Arial Narrow"/>
                <w:sz w:val="20"/>
              </w:rPr>
              <w:t xml:space="preserve"> and trial based (with extrapolation)</w:t>
            </w:r>
            <w:r w:rsidR="009D12EA" w:rsidRPr="00B17639">
              <w:rPr>
                <w:rFonts w:ascii="Arial Narrow" w:hAnsi="Arial Narrow"/>
                <w:sz w:val="20"/>
              </w:rPr>
              <w:t>.</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Discount rate</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5%</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Methods used to generate results</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Partitioned survival model</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Health states</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 xml:space="preserve">Pre-progression: Patients enter the model in this health state and receive treatment with either lenvatinib/everolimus or everolimus monotherapy until disease progression. </w:t>
            </w:r>
          </w:p>
          <w:p w:rsidR="004254E6" w:rsidRPr="00B17639" w:rsidRDefault="004254E6" w:rsidP="004254E6">
            <w:pPr>
              <w:keepNext/>
              <w:spacing w:before="0"/>
              <w:rPr>
                <w:rFonts w:ascii="Arial Narrow" w:hAnsi="Arial Narrow"/>
                <w:sz w:val="20"/>
              </w:rPr>
            </w:pPr>
          </w:p>
          <w:p w:rsidR="004254E6" w:rsidRPr="00B17639" w:rsidRDefault="004254E6" w:rsidP="004254E6">
            <w:pPr>
              <w:keepNext/>
              <w:spacing w:before="0"/>
              <w:rPr>
                <w:rFonts w:ascii="Arial Narrow" w:hAnsi="Arial Narrow"/>
                <w:sz w:val="20"/>
              </w:rPr>
            </w:pPr>
            <w:r w:rsidRPr="00B17639">
              <w:rPr>
                <w:rFonts w:ascii="Arial Narrow" w:hAnsi="Arial Narrow"/>
                <w:sz w:val="20"/>
              </w:rPr>
              <w:t>Post-progression: Patients transition from the ‘Pre-progression’ health state into this health state upon disease progression.</w:t>
            </w:r>
          </w:p>
          <w:p w:rsidR="004254E6" w:rsidRPr="00B17639" w:rsidRDefault="004254E6" w:rsidP="004254E6">
            <w:pPr>
              <w:keepNext/>
              <w:spacing w:before="0"/>
              <w:rPr>
                <w:rFonts w:ascii="Arial Narrow" w:hAnsi="Arial Narrow"/>
                <w:sz w:val="20"/>
              </w:rPr>
            </w:pPr>
          </w:p>
          <w:p w:rsidR="004254E6" w:rsidRPr="00B17639" w:rsidRDefault="004254E6" w:rsidP="004254E6">
            <w:pPr>
              <w:keepNext/>
              <w:spacing w:before="0"/>
              <w:rPr>
                <w:rFonts w:ascii="Arial Narrow" w:hAnsi="Arial Narrow"/>
                <w:sz w:val="20"/>
              </w:rPr>
            </w:pPr>
            <w:r w:rsidRPr="00B17639">
              <w:rPr>
                <w:rFonts w:ascii="Arial Narrow" w:hAnsi="Arial Narrow"/>
                <w:sz w:val="20"/>
              </w:rPr>
              <w:t>Dead: This is an absorbing health state. Patients can enter this state from either the ‘Pre-progression’ or ‘Post-progression’ health states.</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Cycle length</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1 month (30.43 days), with half cycle correction.</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Transition probabilities</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The transitioning of patients is based on PFS and OS data reported in Study 205</w:t>
            </w:r>
            <w:r w:rsidR="00940A97" w:rsidRPr="00B17639">
              <w:rPr>
                <w:rFonts w:ascii="Arial Narrow" w:hAnsi="Arial Narrow"/>
                <w:sz w:val="20"/>
              </w:rPr>
              <w:t>,</w:t>
            </w:r>
            <w:r w:rsidRPr="00B17639">
              <w:rPr>
                <w:rFonts w:ascii="Arial Narrow" w:hAnsi="Arial Narrow"/>
                <w:sz w:val="20"/>
              </w:rPr>
              <w:t xml:space="preserve"> up to data cut off, and extrapolated survival data thereafter.</w:t>
            </w:r>
          </w:p>
        </w:tc>
      </w:tr>
      <w:tr w:rsidR="004254E6" w:rsidRPr="00B17639">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Software</w:t>
            </w:r>
          </w:p>
        </w:tc>
        <w:tc>
          <w:tcPr>
            <w:tcW w:w="0" w:type="auto"/>
            <w:shd w:val="clear" w:color="auto" w:fill="auto"/>
          </w:tcPr>
          <w:p w:rsidR="004254E6" w:rsidRPr="00B17639" w:rsidRDefault="004254E6" w:rsidP="004254E6">
            <w:pPr>
              <w:keepNext/>
              <w:spacing w:before="0"/>
              <w:rPr>
                <w:rFonts w:ascii="Arial Narrow" w:hAnsi="Arial Narrow"/>
                <w:sz w:val="20"/>
              </w:rPr>
            </w:pPr>
            <w:r w:rsidRPr="00B17639">
              <w:rPr>
                <w:rFonts w:ascii="Arial Narrow" w:hAnsi="Arial Narrow"/>
                <w:sz w:val="20"/>
              </w:rPr>
              <w:t>Microsoft Excel 2016</w:t>
            </w:r>
          </w:p>
        </w:tc>
      </w:tr>
    </w:tbl>
    <w:p w:rsidR="004254E6" w:rsidRPr="00B17639" w:rsidRDefault="004254E6" w:rsidP="0069101E">
      <w:pPr>
        <w:pStyle w:val="TableFooter"/>
        <w:rPr>
          <w:sz w:val="20"/>
        </w:rPr>
      </w:pPr>
      <w:r w:rsidRPr="00B17639">
        <w:t>Source: Table 3-1, page 112 of submission</w:t>
      </w:r>
      <w:r w:rsidRPr="00B17639">
        <w:rPr>
          <w:sz w:val="20"/>
        </w:rPr>
        <w:t>.</w:t>
      </w:r>
    </w:p>
    <w:p w:rsidR="009D12EA" w:rsidRPr="00B17639" w:rsidRDefault="009D12EA" w:rsidP="004254E6">
      <w:pPr>
        <w:spacing w:before="0" w:after="0"/>
        <w:rPr>
          <w:rFonts w:ascii="Arial Narrow" w:hAnsi="Arial Narrow"/>
          <w:sz w:val="20"/>
          <w:szCs w:val="20"/>
        </w:rPr>
      </w:pPr>
    </w:p>
    <w:p w:rsidR="00E37424" w:rsidRPr="00B17639" w:rsidRDefault="00940A97" w:rsidP="005452C5">
      <w:pPr>
        <w:numPr>
          <w:ilvl w:val="1"/>
          <w:numId w:val="1"/>
        </w:numPr>
        <w:jc w:val="both"/>
      </w:pPr>
      <w:r w:rsidRPr="00B17639">
        <w:t>A</w:t>
      </w:r>
      <w:r w:rsidR="00A76381" w:rsidRPr="00B17639">
        <w:t xml:space="preserve"> summary of the key drivers of the model</w:t>
      </w:r>
      <w:r w:rsidRPr="00B17639">
        <w:t xml:space="preserve"> is presented in Table 1</w:t>
      </w:r>
      <w:r w:rsidR="00D233D8">
        <w:t>3</w:t>
      </w:r>
      <w:r w:rsidRPr="00B17639">
        <w:t xml:space="preserve">. </w:t>
      </w:r>
    </w:p>
    <w:p w:rsidR="00E37424" w:rsidRPr="00B17639" w:rsidRDefault="00E37424" w:rsidP="00772501">
      <w:pPr>
        <w:pStyle w:val="TableHeading0"/>
      </w:pPr>
      <w:r w:rsidRPr="00B17639">
        <w:t xml:space="preserve">Table </w:t>
      </w:r>
      <w:r w:rsidR="00B22300" w:rsidRPr="00B17639">
        <w:t>1</w:t>
      </w:r>
      <w:r w:rsidR="00D233D8">
        <w:t>3</w:t>
      </w:r>
      <w:r w:rsidR="00A76381" w:rsidRPr="00B17639">
        <w:t>:</w:t>
      </w:r>
      <w:r w:rsidRPr="00B17639">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7"/>
        <w:gridCol w:w="2779"/>
        <w:gridCol w:w="3526"/>
      </w:tblGrid>
      <w:tr w:rsidR="00E37424" w:rsidRPr="00B17639">
        <w:trPr>
          <w:tblHeader/>
        </w:trPr>
        <w:tc>
          <w:tcPr>
            <w:tcW w:w="1529" w:type="pct"/>
            <w:shd w:val="clear" w:color="auto" w:fill="auto"/>
            <w:vAlign w:val="center"/>
          </w:tcPr>
          <w:p w:rsidR="00E37424" w:rsidRPr="00B17639" w:rsidRDefault="00E37424" w:rsidP="00772501">
            <w:pPr>
              <w:pStyle w:val="TableText"/>
              <w:rPr>
                <w:b/>
              </w:rPr>
            </w:pPr>
            <w:r w:rsidRPr="00B17639">
              <w:rPr>
                <w:b/>
              </w:rPr>
              <w:t>Description</w:t>
            </w:r>
          </w:p>
        </w:tc>
        <w:tc>
          <w:tcPr>
            <w:tcW w:w="1530" w:type="pct"/>
            <w:shd w:val="clear" w:color="auto" w:fill="auto"/>
            <w:vAlign w:val="center"/>
          </w:tcPr>
          <w:p w:rsidR="00E37424" w:rsidRPr="00B17639" w:rsidRDefault="00E37424" w:rsidP="00772501">
            <w:pPr>
              <w:pStyle w:val="TableText"/>
              <w:rPr>
                <w:b/>
              </w:rPr>
            </w:pPr>
            <w:r w:rsidRPr="00B17639">
              <w:rPr>
                <w:b/>
              </w:rPr>
              <w:t>Method/Value</w:t>
            </w:r>
          </w:p>
        </w:tc>
        <w:tc>
          <w:tcPr>
            <w:tcW w:w="1941" w:type="pct"/>
            <w:shd w:val="clear" w:color="auto" w:fill="auto"/>
            <w:vAlign w:val="center"/>
          </w:tcPr>
          <w:p w:rsidR="00E37424" w:rsidRPr="00B17639" w:rsidRDefault="00E37424" w:rsidP="00772501">
            <w:pPr>
              <w:pStyle w:val="TableText"/>
              <w:rPr>
                <w:b/>
              </w:rPr>
            </w:pPr>
            <w:r w:rsidRPr="00B17639">
              <w:rPr>
                <w:b/>
              </w:rPr>
              <w:t>Impact</w:t>
            </w:r>
          </w:p>
        </w:tc>
      </w:tr>
      <w:tr w:rsidR="00A0438E" w:rsidRPr="00B17639">
        <w:tc>
          <w:tcPr>
            <w:tcW w:w="1529" w:type="pct"/>
            <w:shd w:val="clear" w:color="auto" w:fill="auto"/>
            <w:vAlign w:val="center"/>
          </w:tcPr>
          <w:p w:rsidR="00A0438E" w:rsidRPr="00B17639" w:rsidRDefault="00A716EA" w:rsidP="00772501">
            <w:pPr>
              <w:pStyle w:val="TableText"/>
            </w:pPr>
            <w:r w:rsidRPr="00B17639">
              <w:t>HR</w:t>
            </w:r>
            <w:r w:rsidR="00260F3A" w:rsidRPr="00B17639">
              <w:t xml:space="preserve"> for </w:t>
            </w:r>
            <w:r w:rsidR="00A0438E" w:rsidRPr="00B17639">
              <w:t>OS</w:t>
            </w:r>
          </w:p>
        </w:tc>
        <w:tc>
          <w:tcPr>
            <w:tcW w:w="1530" w:type="pct"/>
            <w:shd w:val="clear" w:color="auto" w:fill="auto"/>
            <w:vAlign w:val="center"/>
          </w:tcPr>
          <w:p w:rsidR="00A0438E" w:rsidRPr="00B17639" w:rsidRDefault="00A716EA" w:rsidP="00A716EA">
            <w:pPr>
              <w:pStyle w:val="TableText"/>
            </w:pPr>
            <w:r w:rsidRPr="00B17639">
              <w:t>0.59 in base case.</w:t>
            </w:r>
          </w:p>
        </w:tc>
        <w:tc>
          <w:tcPr>
            <w:tcW w:w="1941" w:type="pct"/>
            <w:shd w:val="clear" w:color="auto" w:fill="auto"/>
            <w:vAlign w:val="center"/>
          </w:tcPr>
          <w:p w:rsidR="00A0438E" w:rsidRPr="00B17639" w:rsidRDefault="00A716EA" w:rsidP="005824F1">
            <w:pPr>
              <w:pStyle w:val="TableText"/>
            </w:pPr>
            <w:r w:rsidRPr="00B17639">
              <w:t>High</w:t>
            </w:r>
            <w:r w:rsidR="00524226" w:rsidRPr="00B17639">
              <w:t>, favour</w:t>
            </w:r>
            <w:r w:rsidR="00E02B0C" w:rsidRPr="00B17639">
              <w:t>ed</w:t>
            </w:r>
            <w:r w:rsidR="00524226" w:rsidRPr="00B17639">
              <w:t xml:space="preserve"> lenvatinib/everolimus</w:t>
            </w:r>
            <w:r w:rsidRPr="00B17639">
              <w:t xml:space="preserve">. </w:t>
            </w:r>
          </w:p>
        </w:tc>
      </w:tr>
      <w:tr w:rsidR="00A0438E" w:rsidRPr="00B17639">
        <w:tc>
          <w:tcPr>
            <w:tcW w:w="1529" w:type="pct"/>
            <w:shd w:val="clear" w:color="auto" w:fill="auto"/>
            <w:vAlign w:val="center"/>
          </w:tcPr>
          <w:p w:rsidR="00A0438E" w:rsidRPr="00B17639" w:rsidRDefault="00A716EA" w:rsidP="00772501">
            <w:pPr>
              <w:pStyle w:val="TableText"/>
            </w:pPr>
            <w:r w:rsidRPr="00B17639">
              <w:t>HR for PFS</w:t>
            </w:r>
          </w:p>
        </w:tc>
        <w:tc>
          <w:tcPr>
            <w:tcW w:w="1530" w:type="pct"/>
            <w:shd w:val="clear" w:color="auto" w:fill="auto"/>
            <w:vAlign w:val="center"/>
          </w:tcPr>
          <w:p w:rsidR="00A0438E" w:rsidRPr="00B17639" w:rsidRDefault="00A716EA" w:rsidP="00772501">
            <w:pPr>
              <w:pStyle w:val="TableText"/>
            </w:pPr>
            <w:r w:rsidRPr="00B17639">
              <w:t>0.5 in base case.</w:t>
            </w:r>
          </w:p>
        </w:tc>
        <w:tc>
          <w:tcPr>
            <w:tcW w:w="1941" w:type="pct"/>
            <w:shd w:val="clear" w:color="auto" w:fill="auto"/>
            <w:vAlign w:val="center"/>
          </w:tcPr>
          <w:p w:rsidR="00A0438E" w:rsidRPr="00B17639" w:rsidRDefault="00524226" w:rsidP="005824F1">
            <w:pPr>
              <w:pStyle w:val="TableText"/>
            </w:pPr>
            <w:r w:rsidRPr="00B17639">
              <w:t>Moderate, favour</w:t>
            </w:r>
            <w:r w:rsidR="00E02B0C" w:rsidRPr="00B17639">
              <w:t>ed</w:t>
            </w:r>
            <w:r w:rsidRPr="00B17639">
              <w:t xml:space="preserve"> lenvatinib/everolimus. </w:t>
            </w:r>
          </w:p>
        </w:tc>
      </w:tr>
      <w:tr w:rsidR="00A0438E" w:rsidRPr="00B17639">
        <w:tc>
          <w:tcPr>
            <w:tcW w:w="1529" w:type="pct"/>
            <w:shd w:val="clear" w:color="auto" w:fill="auto"/>
            <w:vAlign w:val="center"/>
          </w:tcPr>
          <w:p w:rsidR="00A0438E" w:rsidRPr="00B17639" w:rsidRDefault="00C07B38" w:rsidP="00772501">
            <w:pPr>
              <w:pStyle w:val="TableText"/>
            </w:pPr>
            <w:r w:rsidRPr="00B17639">
              <w:t>Mean daily dose</w:t>
            </w:r>
            <w:r w:rsidR="002F4E42" w:rsidRPr="00B17639">
              <w:t xml:space="preserve"> </w:t>
            </w:r>
            <w:r w:rsidR="003E3C1B" w:rsidRPr="00B17639">
              <w:t>of lenvatinib/everolimus</w:t>
            </w:r>
          </w:p>
        </w:tc>
        <w:tc>
          <w:tcPr>
            <w:tcW w:w="1530" w:type="pct"/>
            <w:shd w:val="clear" w:color="auto" w:fill="auto"/>
            <w:vAlign w:val="center"/>
          </w:tcPr>
          <w:p w:rsidR="00A0438E" w:rsidRPr="00B17639" w:rsidRDefault="00C07B38" w:rsidP="00412E85">
            <w:pPr>
              <w:pStyle w:val="TableText"/>
            </w:pPr>
            <w:r w:rsidRPr="00B17639">
              <w:t>14</w:t>
            </w:r>
            <w:r w:rsidR="00940A97" w:rsidRPr="00B17639">
              <w:t xml:space="preserve"> </w:t>
            </w:r>
            <w:r w:rsidRPr="00B17639">
              <w:t xml:space="preserve">mg (taking into account impact of wastage). </w:t>
            </w:r>
          </w:p>
        </w:tc>
        <w:tc>
          <w:tcPr>
            <w:tcW w:w="1941" w:type="pct"/>
            <w:shd w:val="clear" w:color="auto" w:fill="auto"/>
            <w:vAlign w:val="center"/>
          </w:tcPr>
          <w:p w:rsidR="00A0438E" w:rsidRPr="00B17639" w:rsidRDefault="00C07B38" w:rsidP="00772501">
            <w:pPr>
              <w:pStyle w:val="TableText"/>
            </w:pPr>
            <w:r w:rsidRPr="00B17639">
              <w:t>High,</w:t>
            </w:r>
            <w:r w:rsidR="00D129F2" w:rsidRPr="00B17639">
              <w:t xml:space="preserve"> would </w:t>
            </w:r>
            <w:r w:rsidR="002F4E42" w:rsidRPr="00B17639">
              <w:t>favour lenvatinib/everolimus</w:t>
            </w:r>
            <w:r w:rsidR="00D129F2" w:rsidRPr="00B17639">
              <w:t xml:space="preserve"> if a </w:t>
            </w:r>
            <w:r w:rsidR="00FF79F8" w:rsidRPr="00B17639">
              <w:t>higher mean dose in the trial</w:t>
            </w:r>
            <w:r w:rsidR="00D129F2" w:rsidRPr="00B17639">
              <w:t xml:space="preserve"> had been observed</w:t>
            </w:r>
            <w:r w:rsidR="00E255E2" w:rsidRPr="00B17639">
              <w:t xml:space="preserve"> (see 6.40 below)</w:t>
            </w:r>
            <w:r w:rsidR="00D129F2" w:rsidRPr="00B17639">
              <w:t xml:space="preserve">. </w:t>
            </w:r>
          </w:p>
        </w:tc>
      </w:tr>
      <w:tr w:rsidR="00A0438E" w:rsidRPr="00B17639">
        <w:tc>
          <w:tcPr>
            <w:tcW w:w="1529" w:type="pct"/>
            <w:shd w:val="clear" w:color="auto" w:fill="auto"/>
            <w:vAlign w:val="center"/>
          </w:tcPr>
          <w:p w:rsidR="00A0438E" w:rsidRPr="00B17639" w:rsidRDefault="00EA6268" w:rsidP="00772501">
            <w:pPr>
              <w:pStyle w:val="TableText"/>
            </w:pPr>
            <w:r w:rsidRPr="00B17639">
              <w:t>Time horizon</w:t>
            </w:r>
          </w:p>
        </w:tc>
        <w:tc>
          <w:tcPr>
            <w:tcW w:w="1530" w:type="pct"/>
            <w:shd w:val="clear" w:color="auto" w:fill="auto"/>
            <w:vAlign w:val="center"/>
          </w:tcPr>
          <w:p w:rsidR="00A0438E" w:rsidRPr="00B17639" w:rsidRDefault="00EA6268" w:rsidP="00772501">
            <w:pPr>
              <w:pStyle w:val="TableText"/>
            </w:pPr>
            <w:r w:rsidRPr="00B17639">
              <w:t>An extrapolated (8.2 years) lifetime horizon was applied</w:t>
            </w:r>
            <w:r w:rsidR="00940A97" w:rsidRPr="00B17639">
              <w:t>.</w:t>
            </w:r>
          </w:p>
        </w:tc>
        <w:tc>
          <w:tcPr>
            <w:tcW w:w="1941" w:type="pct"/>
            <w:shd w:val="clear" w:color="auto" w:fill="auto"/>
            <w:vAlign w:val="center"/>
          </w:tcPr>
          <w:p w:rsidR="00A0438E" w:rsidRPr="00B17639" w:rsidRDefault="00D129F2" w:rsidP="00772501">
            <w:pPr>
              <w:pStyle w:val="TableText"/>
            </w:pPr>
            <w:r w:rsidRPr="00B17639">
              <w:t>Moderate</w:t>
            </w:r>
            <w:r w:rsidR="00EA6268" w:rsidRPr="00B17639">
              <w:t xml:space="preserve">, </w:t>
            </w:r>
            <w:r w:rsidRPr="00B17639">
              <w:t xml:space="preserve">a time horizon greater than the trial horizon or greater than 5 years previously preferred by the PBAC favoured </w:t>
            </w:r>
            <w:r w:rsidR="00E255E2" w:rsidRPr="00B17639">
              <w:t>l</w:t>
            </w:r>
            <w:r w:rsidR="00EA6268" w:rsidRPr="00B17639">
              <w:t>envatinib/everolimus.</w:t>
            </w:r>
          </w:p>
        </w:tc>
      </w:tr>
      <w:tr w:rsidR="00A0438E" w:rsidRPr="00B17639">
        <w:tc>
          <w:tcPr>
            <w:tcW w:w="1529" w:type="pct"/>
            <w:shd w:val="clear" w:color="auto" w:fill="auto"/>
            <w:vAlign w:val="center"/>
          </w:tcPr>
          <w:p w:rsidR="00A0438E" w:rsidRPr="00B17639" w:rsidRDefault="00FF79F8" w:rsidP="00772501">
            <w:pPr>
              <w:pStyle w:val="TableText"/>
            </w:pPr>
            <w:r w:rsidRPr="00B17639">
              <w:t>Treatment duration</w:t>
            </w:r>
          </w:p>
        </w:tc>
        <w:tc>
          <w:tcPr>
            <w:tcW w:w="1530" w:type="pct"/>
            <w:shd w:val="clear" w:color="auto" w:fill="auto"/>
            <w:vAlign w:val="center"/>
          </w:tcPr>
          <w:p w:rsidR="00A0438E" w:rsidRPr="00B17639" w:rsidRDefault="00D17614" w:rsidP="00772501">
            <w:pPr>
              <w:pStyle w:val="TableText"/>
            </w:pPr>
            <w:r w:rsidRPr="00B17639">
              <w:t>7.6 months, the d</w:t>
            </w:r>
            <w:r w:rsidR="00FF79F8" w:rsidRPr="00B17639">
              <w:t xml:space="preserve">uration of treatment in Study 205. </w:t>
            </w:r>
          </w:p>
        </w:tc>
        <w:tc>
          <w:tcPr>
            <w:tcW w:w="1941" w:type="pct"/>
            <w:shd w:val="clear" w:color="auto" w:fill="auto"/>
            <w:vAlign w:val="center"/>
          </w:tcPr>
          <w:p w:rsidR="00A0438E" w:rsidRPr="00B17639" w:rsidRDefault="00FF79F8" w:rsidP="00940A97">
            <w:pPr>
              <w:pStyle w:val="TableText"/>
            </w:pPr>
            <w:r w:rsidRPr="00B17639">
              <w:t xml:space="preserve">Moderate, </w:t>
            </w:r>
            <w:r w:rsidR="00F175F4" w:rsidRPr="00B17639">
              <w:t>using</w:t>
            </w:r>
            <w:r w:rsidRPr="00B17639">
              <w:t xml:space="preserve"> duration of therapy</w:t>
            </w:r>
            <w:r w:rsidR="00D17614" w:rsidRPr="00B17639">
              <w:t xml:space="preserve"> </w:t>
            </w:r>
            <w:r w:rsidRPr="00B17639">
              <w:t>rather than time to progression favour</w:t>
            </w:r>
            <w:r w:rsidR="008C0C28" w:rsidRPr="00B17639">
              <w:t>ed</w:t>
            </w:r>
            <w:r w:rsidRPr="00B17639">
              <w:t xml:space="preserve"> lenvatinib/everolimus.</w:t>
            </w:r>
          </w:p>
        </w:tc>
      </w:tr>
      <w:tr w:rsidR="00E37424" w:rsidRPr="00B17639">
        <w:tc>
          <w:tcPr>
            <w:tcW w:w="1529" w:type="pct"/>
            <w:shd w:val="clear" w:color="auto" w:fill="auto"/>
            <w:vAlign w:val="center"/>
          </w:tcPr>
          <w:p w:rsidR="00E37424" w:rsidRPr="00B17639" w:rsidRDefault="00200296" w:rsidP="00772501">
            <w:pPr>
              <w:pStyle w:val="TableText"/>
            </w:pPr>
            <w:r w:rsidRPr="00B17639">
              <w:t>Extrapolation</w:t>
            </w:r>
            <w:r w:rsidR="00FF79F8" w:rsidRPr="00B17639">
              <w:t xml:space="preserve"> </w:t>
            </w:r>
            <w:r w:rsidR="00D17614" w:rsidRPr="00B17639">
              <w:t>method</w:t>
            </w:r>
          </w:p>
        </w:tc>
        <w:tc>
          <w:tcPr>
            <w:tcW w:w="1530" w:type="pct"/>
            <w:shd w:val="clear" w:color="auto" w:fill="auto"/>
            <w:vAlign w:val="center"/>
          </w:tcPr>
          <w:p w:rsidR="00200296" w:rsidRPr="00B17639" w:rsidRDefault="00D17614" w:rsidP="00772501">
            <w:pPr>
              <w:pStyle w:val="TableText"/>
            </w:pPr>
            <w:r w:rsidRPr="00B17639">
              <w:t>Extrapolation (KM and tail) used Weibull for OS and log-logistic for PFS.</w:t>
            </w:r>
          </w:p>
        </w:tc>
        <w:tc>
          <w:tcPr>
            <w:tcW w:w="1941" w:type="pct"/>
            <w:shd w:val="clear" w:color="auto" w:fill="auto"/>
            <w:vAlign w:val="center"/>
          </w:tcPr>
          <w:p w:rsidR="00E37424" w:rsidRPr="00B17639" w:rsidRDefault="00D17614" w:rsidP="00F96334">
            <w:pPr>
              <w:pStyle w:val="TableText"/>
            </w:pPr>
            <w:r w:rsidRPr="00B17639">
              <w:t>Moderate</w:t>
            </w:r>
            <w:r w:rsidR="00F96334" w:rsidRPr="00B17639">
              <w:t>, favour</w:t>
            </w:r>
            <w:r w:rsidR="004366B3" w:rsidRPr="00B17639">
              <w:t>ed</w:t>
            </w:r>
            <w:r w:rsidR="00F96334" w:rsidRPr="00B17639">
              <w:t xml:space="preserve"> lenvatinib/everolimus. </w:t>
            </w:r>
            <w:r w:rsidRPr="00B17639">
              <w:t>Extrapolation with shortest tail (Gompertz) increased the ICER.</w:t>
            </w:r>
          </w:p>
        </w:tc>
      </w:tr>
      <w:tr w:rsidR="00200296" w:rsidRPr="00B17639">
        <w:tc>
          <w:tcPr>
            <w:tcW w:w="1529" w:type="pct"/>
            <w:shd w:val="clear" w:color="auto" w:fill="auto"/>
            <w:vAlign w:val="center"/>
          </w:tcPr>
          <w:p w:rsidR="00200296" w:rsidRPr="00B17639" w:rsidRDefault="00200296" w:rsidP="00772501">
            <w:pPr>
              <w:pStyle w:val="TableText"/>
            </w:pPr>
            <w:r w:rsidRPr="00B17639">
              <w:t>Utilities</w:t>
            </w:r>
          </w:p>
        </w:tc>
        <w:tc>
          <w:tcPr>
            <w:tcW w:w="1530" w:type="pct"/>
            <w:shd w:val="clear" w:color="auto" w:fill="auto"/>
            <w:vAlign w:val="center"/>
          </w:tcPr>
          <w:p w:rsidR="00200296" w:rsidRPr="00B17639" w:rsidRDefault="0089293C" w:rsidP="00772501">
            <w:pPr>
              <w:pStyle w:val="TableText"/>
            </w:pPr>
            <w:r>
              <w:rPr>
                <w:noProof/>
                <w:color w:val="000000"/>
                <w:highlight w:val="black"/>
              </w:rPr>
              <w:t>'''''''''''</w:t>
            </w:r>
            <w:r w:rsidR="00D17614" w:rsidRPr="00B17639">
              <w:t xml:space="preserve"> for pre-progression and </w:t>
            </w:r>
            <w:r>
              <w:rPr>
                <w:noProof/>
                <w:color w:val="000000"/>
                <w:highlight w:val="black"/>
              </w:rPr>
              <w:t>''''''''''</w:t>
            </w:r>
            <w:r w:rsidR="00D17614" w:rsidRPr="00B17639">
              <w:t xml:space="preserve"> for progression, derived from literature and disutility applied for AEs.</w:t>
            </w:r>
          </w:p>
        </w:tc>
        <w:tc>
          <w:tcPr>
            <w:tcW w:w="1941" w:type="pct"/>
            <w:shd w:val="clear" w:color="auto" w:fill="auto"/>
            <w:vAlign w:val="center"/>
          </w:tcPr>
          <w:p w:rsidR="00200296" w:rsidRPr="00B17639" w:rsidRDefault="00D17614" w:rsidP="00C51373">
            <w:pPr>
              <w:pStyle w:val="TableText"/>
            </w:pPr>
            <w:r w:rsidRPr="00B17639">
              <w:t xml:space="preserve">Moderate, </w:t>
            </w:r>
            <w:r w:rsidR="00F43C68" w:rsidRPr="00B17639">
              <w:t>fav</w:t>
            </w:r>
            <w:r w:rsidR="004366B3" w:rsidRPr="00B17639">
              <w:t>oured lenvatinib/everolimus. A</w:t>
            </w:r>
            <w:r w:rsidRPr="00B17639">
              <w:t xml:space="preserve"> decrease in pre-progression utility value </w:t>
            </w:r>
            <w:r w:rsidR="004366B3" w:rsidRPr="00B17639">
              <w:t>increased the ICER.</w:t>
            </w:r>
          </w:p>
        </w:tc>
      </w:tr>
    </w:tbl>
    <w:p w:rsidR="00E37424" w:rsidRPr="00B17639" w:rsidRDefault="00E37424" w:rsidP="00772501">
      <w:pPr>
        <w:pStyle w:val="TableFooter"/>
      </w:pPr>
      <w:r w:rsidRPr="00B17639">
        <w:t>Source: compiled during the evaluation</w:t>
      </w:r>
      <w:r w:rsidR="00D17614" w:rsidRPr="00B17639">
        <w:t>, reference section 3.8-3.9 of submission.</w:t>
      </w:r>
    </w:p>
    <w:p w:rsidR="00D17614" w:rsidRDefault="00D17614" w:rsidP="00772501">
      <w:pPr>
        <w:pStyle w:val="TableFooter"/>
      </w:pPr>
      <w:r w:rsidRPr="00B17639">
        <w:t xml:space="preserve">Abbreviations: </w:t>
      </w:r>
      <w:r w:rsidR="00495235">
        <w:t xml:space="preserve">AE, adverse event; </w:t>
      </w:r>
      <w:r w:rsidR="00495235" w:rsidRPr="00B17639">
        <w:t xml:space="preserve">CI, confidence interval; </w:t>
      </w:r>
      <w:r w:rsidRPr="00B17639">
        <w:t>HR</w:t>
      </w:r>
      <w:r w:rsidR="00495235">
        <w:t>,</w:t>
      </w:r>
      <w:r w:rsidRPr="00B17639">
        <w:t xml:space="preserve">hazard ratio; </w:t>
      </w:r>
      <w:r w:rsidR="00495235" w:rsidRPr="00B17639">
        <w:t>KM, Kaplan Meier;</w:t>
      </w:r>
      <w:r w:rsidR="00495235">
        <w:t xml:space="preserve"> </w:t>
      </w:r>
      <w:r w:rsidRPr="00B17639">
        <w:t>OS, overall survival; PFS, progression free survival</w:t>
      </w:r>
      <w:r w:rsidR="00495235">
        <w:t>.</w:t>
      </w:r>
    </w:p>
    <w:p w:rsidR="00495235" w:rsidRPr="00B17639" w:rsidRDefault="00495235" w:rsidP="00772501">
      <w:pPr>
        <w:pStyle w:val="TableFooter"/>
      </w:pPr>
    </w:p>
    <w:p w:rsidR="00747C48" w:rsidRPr="005452C5" w:rsidRDefault="00747C48" w:rsidP="005452C5">
      <w:pPr>
        <w:numPr>
          <w:ilvl w:val="1"/>
          <w:numId w:val="1"/>
        </w:numPr>
        <w:jc w:val="both"/>
      </w:pPr>
      <w:r w:rsidRPr="005452C5">
        <w:t xml:space="preserve">The ESC noted that the model </w:t>
      </w:r>
      <w:r w:rsidR="009179FC" w:rsidRPr="005452C5">
        <w:t>applied</w:t>
      </w:r>
      <w:r w:rsidRPr="005452C5">
        <w:t xml:space="preserve"> wastage </w:t>
      </w:r>
      <w:r w:rsidR="00277652" w:rsidRPr="005452C5">
        <w:t>to drug use whe</w:t>
      </w:r>
      <w:r w:rsidRPr="005452C5">
        <w:t xml:space="preserve">n estimating resource use and costs. However, the method </w:t>
      </w:r>
      <w:r w:rsidR="009179FC" w:rsidRPr="005452C5">
        <w:t xml:space="preserve">used </w:t>
      </w:r>
      <w:r w:rsidR="00495235" w:rsidRPr="005452C5">
        <w:t>applied</w:t>
      </w:r>
      <w:r w:rsidRPr="005452C5">
        <w:t xml:space="preserve"> wastage </w:t>
      </w:r>
      <w:r w:rsidR="009179FC" w:rsidRPr="005452C5">
        <w:t>to the estimated</w:t>
      </w:r>
      <w:r w:rsidR="00277652" w:rsidRPr="005452C5">
        <w:t xml:space="preserve"> mean doses of </w:t>
      </w:r>
      <w:r w:rsidRPr="005452C5">
        <w:t>lenvatinib</w:t>
      </w:r>
      <w:r w:rsidR="00277652" w:rsidRPr="005452C5">
        <w:t xml:space="preserve"> and </w:t>
      </w:r>
      <w:r w:rsidRPr="005452C5">
        <w:t>everolimus</w:t>
      </w:r>
      <w:r w:rsidR="008232C3" w:rsidRPr="005452C5">
        <w:t xml:space="preserve"> from Study 205. It was unclear if the mean dose already incorporated wastage as may have occurred in the trial</w:t>
      </w:r>
      <w:r w:rsidR="000A26EF" w:rsidRPr="005452C5">
        <w:t xml:space="preserve">; applying wastage to </w:t>
      </w:r>
      <w:r w:rsidR="000A26EF" w:rsidRPr="005452C5">
        <w:lastRenderedPageBreak/>
        <w:t xml:space="preserve">that mean dose for the purposes of the model may thus </w:t>
      </w:r>
      <w:r w:rsidR="00277652" w:rsidRPr="005452C5">
        <w:t>have overestimated the extent of wastage</w:t>
      </w:r>
      <w:r w:rsidR="00495235" w:rsidRPr="005452C5">
        <w:t>,</w:t>
      </w:r>
      <w:r w:rsidR="00277652" w:rsidRPr="005452C5">
        <w:t xml:space="preserve"> </w:t>
      </w:r>
      <w:r w:rsidR="000A26EF" w:rsidRPr="005452C5">
        <w:t>which</w:t>
      </w:r>
      <w:r w:rsidR="00277652" w:rsidRPr="005452C5">
        <w:t xml:space="preserve"> is likely to have favoured lenvatinib/everolimus</w:t>
      </w:r>
      <w:r w:rsidRPr="005452C5">
        <w:t xml:space="preserve">. </w:t>
      </w:r>
    </w:p>
    <w:p w:rsidR="006C0210" w:rsidRPr="005452C5" w:rsidRDefault="006C0210" w:rsidP="005452C5">
      <w:pPr>
        <w:numPr>
          <w:ilvl w:val="1"/>
          <w:numId w:val="1"/>
        </w:numPr>
        <w:jc w:val="both"/>
      </w:pPr>
      <w:r w:rsidRPr="005452C5">
        <w:t>The ESC also noted that lenvatinib is flat priced across the 10 mg and 4 mg strengths. This has the perverse effect that a dose of 18 mg per day (achieved with 1 x 10 mg and 2 x 4 mg capsules) costs 50% more than 20 mg per day (2 x 10 mg capsules).</w:t>
      </w:r>
    </w:p>
    <w:p w:rsidR="00C60EA1" w:rsidRPr="005452C5" w:rsidRDefault="00940A97" w:rsidP="005452C5">
      <w:pPr>
        <w:numPr>
          <w:ilvl w:val="1"/>
          <w:numId w:val="1"/>
        </w:numPr>
        <w:jc w:val="both"/>
      </w:pPr>
      <w:r w:rsidRPr="00B17639">
        <w:t>A</w:t>
      </w:r>
      <w:r w:rsidR="00B22300" w:rsidRPr="00B17639">
        <w:t>n overview of the results of the economic evaluation, taking into account each of the time horizons assessed</w:t>
      </w:r>
      <w:r w:rsidRPr="00B17639">
        <w:t xml:space="preserve"> is provided in Table 1</w:t>
      </w:r>
      <w:r w:rsidR="00D233D8">
        <w:t>4</w:t>
      </w:r>
      <w:r w:rsidR="00B22300" w:rsidRPr="00B17639">
        <w:t>.</w:t>
      </w:r>
      <w:r w:rsidRPr="00B17639">
        <w:t xml:space="preserve"> </w:t>
      </w:r>
      <w:bookmarkStart w:id="45" w:name="_Hlk490466963"/>
      <w:r w:rsidR="00F43006">
        <w:t>T</w:t>
      </w:r>
      <w:r w:rsidRPr="00B17639">
        <w:t>he</w:t>
      </w:r>
      <w:r w:rsidR="00C710DD" w:rsidRPr="00B17639">
        <w:t xml:space="preserve"> submission’s</w:t>
      </w:r>
      <w:r w:rsidRPr="00B17639">
        <w:t xml:space="preserve"> </w:t>
      </w:r>
      <w:r w:rsidR="00A7717D" w:rsidRPr="00B17639">
        <w:t xml:space="preserve">within </w:t>
      </w:r>
      <w:r w:rsidRPr="00B17639">
        <w:t xml:space="preserve">trial </w:t>
      </w:r>
      <w:r w:rsidR="00A7717D" w:rsidRPr="00B17639">
        <w:t xml:space="preserve">analysis </w:t>
      </w:r>
      <w:r w:rsidRPr="00B17639">
        <w:t xml:space="preserve">inappropriately included a period of extrapolation. </w:t>
      </w:r>
      <w:r w:rsidR="00C60EA1" w:rsidRPr="005452C5">
        <w:t xml:space="preserve">Excluding the extrapolated data reduced the ICER for the within trial analysis from </w:t>
      </w:r>
      <w:r w:rsidR="0021757E">
        <w:t>$75,000/QALY - $105,000/QALY</w:t>
      </w:r>
      <w:r w:rsidR="00C60EA1" w:rsidRPr="005452C5">
        <w:t xml:space="preserve"> to </w:t>
      </w:r>
      <w:r w:rsidR="0021757E">
        <w:t>$75,000/QALY - $105,000/QALY</w:t>
      </w:r>
      <w:r w:rsidR="00C60EA1" w:rsidRPr="005452C5">
        <w:t>.</w:t>
      </w:r>
    </w:p>
    <w:bookmarkEnd w:id="45"/>
    <w:p w:rsidR="00B22300" w:rsidRPr="00B17639" w:rsidRDefault="00B22300" w:rsidP="00703B00">
      <w:pPr>
        <w:pStyle w:val="TableHeading0"/>
      </w:pPr>
      <w:r w:rsidRPr="00B17639">
        <w:t>Table 1</w:t>
      </w:r>
      <w:r w:rsidR="00D233D8">
        <w:t>4</w:t>
      </w:r>
      <w:r w:rsidRPr="00B17639">
        <w:t xml:space="preserve">: Results of the economic evaluation </w:t>
      </w:r>
    </w:p>
    <w:tbl>
      <w:tblPr>
        <w:tblStyle w:val="TableGridbeth3"/>
        <w:tblW w:w="503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14: Results of the economic evaluation "/>
      </w:tblPr>
      <w:tblGrid>
        <w:gridCol w:w="1137"/>
        <w:gridCol w:w="1083"/>
        <w:gridCol w:w="1255"/>
        <w:gridCol w:w="1137"/>
        <w:gridCol w:w="1083"/>
        <w:gridCol w:w="1255"/>
        <w:gridCol w:w="1137"/>
        <w:gridCol w:w="1256"/>
      </w:tblGrid>
      <w:tr w:rsidR="0091797E" w:rsidRPr="00B17639" w:rsidTr="002119FA">
        <w:trPr>
          <w:cnfStyle w:val="100000000000" w:firstRow="1" w:lastRow="0" w:firstColumn="0" w:lastColumn="0" w:oddVBand="0" w:evenVBand="0" w:oddHBand="0" w:evenHBand="0" w:firstRowFirstColumn="0" w:firstRowLastColumn="0" w:lastRowFirstColumn="0" w:lastRowLastColumn="0"/>
          <w:tblHeader/>
        </w:trPr>
        <w:tc>
          <w:tcPr>
            <w:tcW w:w="603" w:type="pct"/>
            <w:shd w:val="clear" w:color="auto" w:fill="auto"/>
          </w:tcPr>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lang w:val="en-AU"/>
              </w:rPr>
              <w:t>Steps</w:t>
            </w:r>
          </w:p>
        </w:tc>
        <w:tc>
          <w:tcPr>
            <w:tcW w:w="614" w:type="pct"/>
            <w:shd w:val="clear" w:color="auto" w:fill="auto"/>
          </w:tcPr>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lang w:val="en-AU"/>
              </w:rPr>
              <w:t>Lenvatinib/</w:t>
            </w:r>
          </w:p>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lang w:val="en-AU"/>
              </w:rPr>
              <w:t>everolimus arm costs</w:t>
            </w:r>
          </w:p>
        </w:tc>
        <w:tc>
          <w:tcPr>
            <w:tcW w:w="666" w:type="pct"/>
            <w:shd w:val="clear" w:color="auto" w:fill="auto"/>
          </w:tcPr>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lang w:val="en-AU"/>
              </w:rPr>
              <w:t>Everolimus monotherapy arm costs</w:t>
            </w:r>
          </w:p>
        </w:tc>
        <w:tc>
          <w:tcPr>
            <w:tcW w:w="604" w:type="pct"/>
            <w:shd w:val="clear" w:color="auto" w:fill="auto"/>
          </w:tcPr>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rPr>
              <w:t>Incremental costs</w:t>
            </w:r>
          </w:p>
        </w:tc>
        <w:tc>
          <w:tcPr>
            <w:tcW w:w="575" w:type="pct"/>
            <w:shd w:val="clear" w:color="auto" w:fill="auto"/>
          </w:tcPr>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lang w:val="en-AU"/>
              </w:rPr>
              <w:t>Lenvatinib/</w:t>
            </w:r>
          </w:p>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lang w:val="en-AU"/>
              </w:rPr>
              <w:t xml:space="preserve">everolimus </w:t>
            </w:r>
            <w:r w:rsidR="006726E4" w:rsidRPr="00B17639">
              <w:rPr>
                <w:rFonts w:ascii="Arial Narrow" w:eastAsia="Calibri" w:hAnsi="Arial Narrow" w:cs="Times New Roman"/>
                <w:sz w:val="20"/>
                <w:szCs w:val="20"/>
                <w:lang w:val="en-AU"/>
              </w:rPr>
              <w:t>QALYs gained</w:t>
            </w:r>
          </w:p>
        </w:tc>
        <w:tc>
          <w:tcPr>
            <w:tcW w:w="666" w:type="pct"/>
            <w:shd w:val="clear" w:color="auto" w:fill="auto"/>
          </w:tcPr>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lang w:val="en-AU"/>
              </w:rPr>
              <w:t xml:space="preserve">Everolimus monotherapy </w:t>
            </w:r>
            <w:r w:rsidR="006726E4" w:rsidRPr="00B17639">
              <w:rPr>
                <w:rFonts w:ascii="Arial Narrow" w:eastAsia="Calibri" w:hAnsi="Arial Narrow" w:cs="Times New Roman"/>
                <w:sz w:val="20"/>
                <w:szCs w:val="20"/>
                <w:lang w:val="en-AU"/>
              </w:rPr>
              <w:t>QALYs gained</w:t>
            </w:r>
          </w:p>
        </w:tc>
        <w:tc>
          <w:tcPr>
            <w:tcW w:w="604" w:type="pct"/>
            <w:shd w:val="clear" w:color="auto" w:fill="auto"/>
          </w:tcPr>
          <w:p w:rsidR="00B22300" w:rsidRPr="00B17639" w:rsidRDefault="00B22300" w:rsidP="006726E4">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rPr>
              <w:t xml:space="preserve">Incremental </w:t>
            </w:r>
            <w:r w:rsidR="006726E4" w:rsidRPr="00B17639">
              <w:rPr>
                <w:rFonts w:ascii="Arial Narrow" w:eastAsia="Calibri" w:hAnsi="Arial Narrow" w:cs="Times New Roman"/>
                <w:sz w:val="20"/>
                <w:szCs w:val="20"/>
              </w:rPr>
              <w:t>QALYs</w:t>
            </w:r>
          </w:p>
        </w:tc>
        <w:tc>
          <w:tcPr>
            <w:tcW w:w="667" w:type="pct"/>
            <w:shd w:val="clear" w:color="auto" w:fill="auto"/>
          </w:tcPr>
          <w:p w:rsidR="00B22300" w:rsidRPr="00B17639" w:rsidRDefault="00B22300" w:rsidP="00B22300">
            <w:pPr>
              <w:keepNext/>
              <w:spacing w:before="60" w:after="60"/>
              <w:rPr>
                <w:rFonts w:ascii="Arial Narrow" w:eastAsia="Calibri" w:hAnsi="Arial Narrow" w:cs="Times New Roman"/>
                <w:sz w:val="20"/>
                <w:szCs w:val="20"/>
                <w:lang w:val="en-AU"/>
              </w:rPr>
            </w:pPr>
            <w:r w:rsidRPr="00B17639">
              <w:rPr>
                <w:rFonts w:ascii="Arial Narrow" w:eastAsia="Calibri" w:hAnsi="Arial Narrow" w:cs="Times New Roman"/>
                <w:sz w:val="20"/>
                <w:szCs w:val="20"/>
              </w:rPr>
              <w:t>Incremental cost-effectiveness ratio</w:t>
            </w:r>
            <w:r w:rsidR="006726E4" w:rsidRPr="00B17639">
              <w:rPr>
                <w:rFonts w:ascii="Arial Narrow" w:eastAsia="Calibri" w:hAnsi="Arial Narrow" w:cs="Times New Roman"/>
                <w:sz w:val="20"/>
                <w:szCs w:val="20"/>
              </w:rPr>
              <w:t xml:space="preserve"> ($/QALY)</w:t>
            </w:r>
          </w:p>
        </w:tc>
      </w:tr>
      <w:tr w:rsidR="0091797E" w:rsidRPr="00B17639">
        <w:tc>
          <w:tcPr>
            <w:tcW w:w="603"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Trial Horizon</w:t>
            </w:r>
          </w:p>
        </w:tc>
        <w:tc>
          <w:tcPr>
            <w:tcW w:w="614"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666" w:type="pct"/>
            <w:shd w:val="clear" w:color="auto" w:fill="auto"/>
          </w:tcPr>
          <w:p w:rsidR="00B22300" w:rsidRPr="0089293C" w:rsidRDefault="0089293C" w:rsidP="00B22300">
            <w:pPr>
              <w:spacing w:before="0"/>
              <w:rPr>
                <w:rFonts w:ascii="Arial Narrow" w:eastAsia="Times New Roman" w:hAnsi="Arial Narrow" w:cs="Calibri"/>
                <w:color w:val="000000"/>
                <w:sz w:val="20"/>
                <w:szCs w:val="20"/>
                <w:highlight w:val="black"/>
                <w:lang w:val="en-AU" w:eastAsia="en-AU"/>
              </w:rPr>
            </w:pPr>
            <w:r>
              <w:rPr>
                <w:rFonts w:ascii="Arial Narrow" w:eastAsia="Times New Roman" w:hAnsi="Arial Narrow" w:cs="Times New Roman"/>
                <w:noProof/>
                <w:color w:val="000000"/>
                <w:sz w:val="20"/>
                <w:szCs w:val="20"/>
                <w:highlight w:val="black"/>
                <w:lang w:val="en-AU"/>
              </w:rPr>
              <w:t>'''''''''''''''''''</w:t>
            </w:r>
          </w:p>
        </w:tc>
        <w:tc>
          <w:tcPr>
            <w:tcW w:w="604"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575"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1.24</w:t>
            </w:r>
          </w:p>
        </w:tc>
        <w:tc>
          <w:tcPr>
            <w:tcW w:w="666"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0.99</w:t>
            </w:r>
          </w:p>
        </w:tc>
        <w:tc>
          <w:tcPr>
            <w:tcW w:w="604"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0.25</w:t>
            </w:r>
          </w:p>
        </w:tc>
        <w:tc>
          <w:tcPr>
            <w:tcW w:w="667"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r>
      <w:tr w:rsidR="0091797E" w:rsidRPr="00B17639">
        <w:tc>
          <w:tcPr>
            <w:tcW w:w="603"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Extrapolated survival data: 5-year time horizon</w:t>
            </w:r>
          </w:p>
        </w:tc>
        <w:tc>
          <w:tcPr>
            <w:tcW w:w="614"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666"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604"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575"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1.40</w:t>
            </w:r>
          </w:p>
        </w:tc>
        <w:tc>
          <w:tcPr>
            <w:tcW w:w="666"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1.09</w:t>
            </w:r>
          </w:p>
        </w:tc>
        <w:tc>
          <w:tcPr>
            <w:tcW w:w="604"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0.31</w:t>
            </w:r>
          </w:p>
        </w:tc>
        <w:tc>
          <w:tcPr>
            <w:tcW w:w="667"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r>
      <w:tr w:rsidR="0091797E" w:rsidRPr="00B17639">
        <w:tc>
          <w:tcPr>
            <w:tcW w:w="603"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Extrapolated survival data: Lifetime time horizon</w:t>
            </w:r>
          </w:p>
        </w:tc>
        <w:tc>
          <w:tcPr>
            <w:tcW w:w="614"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666"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604"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c>
          <w:tcPr>
            <w:tcW w:w="575"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1.43</w:t>
            </w:r>
          </w:p>
        </w:tc>
        <w:tc>
          <w:tcPr>
            <w:tcW w:w="666"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1.10</w:t>
            </w:r>
          </w:p>
        </w:tc>
        <w:tc>
          <w:tcPr>
            <w:tcW w:w="604" w:type="pct"/>
            <w:shd w:val="clear" w:color="auto" w:fill="auto"/>
          </w:tcPr>
          <w:p w:rsidR="00B22300" w:rsidRPr="00B17639" w:rsidRDefault="00B22300" w:rsidP="00B22300">
            <w:pPr>
              <w:spacing w:before="0"/>
              <w:rPr>
                <w:rFonts w:ascii="Arial Narrow" w:eastAsia="Times New Roman" w:hAnsi="Arial Narrow" w:cs="Times New Roman"/>
                <w:sz w:val="20"/>
                <w:szCs w:val="20"/>
                <w:lang w:val="en-AU"/>
              </w:rPr>
            </w:pPr>
            <w:r w:rsidRPr="00B17639">
              <w:rPr>
                <w:rFonts w:ascii="Arial Narrow" w:eastAsia="Times New Roman" w:hAnsi="Arial Narrow" w:cs="Times New Roman"/>
                <w:sz w:val="20"/>
                <w:szCs w:val="20"/>
                <w:lang w:val="en-AU"/>
              </w:rPr>
              <w:t>0.33</w:t>
            </w:r>
          </w:p>
        </w:tc>
        <w:tc>
          <w:tcPr>
            <w:tcW w:w="667" w:type="pct"/>
            <w:shd w:val="clear" w:color="auto" w:fill="auto"/>
          </w:tcPr>
          <w:p w:rsidR="00B22300" w:rsidRPr="0089293C" w:rsidRDefault="0089293C" w:rsidP="00B22300">
            <w:pPr>
              <w:spacing w:before="0"/>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w:t>
            </w:r>
          </w:p>
        </w:tc>
      </w:tr>
    </w:tbl>
    <w:p w:rsidR="00B22300" w:rsidRPr="00B17639" w:rsidRDefault="00B22300" w:rsidP="004C62CE">
      <w:pPr>
        <w:pStyle w:val="TableFooter"/>
      </w:pPr>
      <w:r w:rsidRPr="00B17639">
        <w:t>Source: Table 3-25, page 158 of submission.</w:t>
      </w:r>
    </w:p>
    <w:p w:rsidR="008126C2" w:rsidRPr="00B17639" w:rsidRDefault="00C710DD" w:rsidP="005452C5">
      <w:pPr>
        <w:numPr>
          <w:ilvl w:val="1"/>
          <w:numId w:val="1"/>
        </w:numPr>
        <w:jc w:val="both"/>
      </w:pPr>
      <w:r w:rsidRPr="00B17639">
        <w:t>The</w:t>
      </w:r>
      <w:r w:rsidR="00AF11BC" w:rsidRPr="00B17639">
        <w:t xml:space="preserve"> ICER </w:t>
      </w:r>
      <w:r w:rsidR="00940A97" w:rsidRPr="00B17639">
        <w:t>wa</w:t>
      </w:r>
      <w:r w:rsidR="00AF11BC" w:rsidRPr="00B17639">
        <w:t>s sensitive to the time horizon applied in the economic model</w:t>
      </w:r>
      <w:r w:rsidR="00E827E3">
        <w:t>,</w:t>
      </w:r>
      <w:r w:rsidR="00AF11BC" w:rsidRPr="00B17639">
        <w:t xml:space="preserve"> reducing from </w:t>
      </w:r>
      <w:r w:rsidR="0021757E">
        <w:t>$75,000/QALY - $105,000/QALY</w:t>
      </w:r>
      <w:r w:rsidR="00AF11BC" w:rsidRPr="00B17639">
        <w:t xml:space="preserve"> in the trial based horizon to </w:t>
      </w:r>
      <w:r w:rsidR="0021757E">
        <w:t>$45,000/QALY - $75,000/QALY</w:t>
      </w:r>
      <w:r w:rsidR="00AF11BC" w:rsidRPr="00B17639">
        <w:t xml:space="preserve"> in the extrapolated lifetime horizon </w:t>
      </w:r>
      <w:r w:rsidR="00940A97" w:rsidRPr="00B17639">
        <w:t xml:space="preserve">of </w:t>
      </w:r>
      <w:r w:rsidR="00AF11BC" w:rsidRPr="00B17639">
        <w:t>8.2 years.</w:t>
      </w:r>
      <w:r w:rsidR="00262260" w:rsidRPr="00B17639">
        <w:t xml:space="preserve"> </w:t>
      </w:r>
      <w:r w:rsidR="00940A97" w:rsidRPr="00B17639">
        <w:t xml:space="preserve">Previously, the PBAC has considered that a time horizon of five years is appropriate in the context of </w:t>
      </w:r>
      <w:r w:rsidR="007C434F" w:rsidRPr="00B17639">
        <w:t xml:space="preserve">second line therapies for </w:t>
      </w:r>
      <w:r w:rsidR="00940A97" w:rsidRPr="00B17639">
        <w:t>RCC (</w:t>
      </w:r>
      <w:r w:rsidR="007C434F" w:rsidRPr="00B17639">
        <w:t xml:space="preserve">paragraph 7.9, nivolumab </w:t>
      </w:r>
      <w:r w:rsidR="009B649A" w:rsidRPr="00B17639">
        <w:t>PSD</w:t>
      </w:r>
      <w:r w:rsidR="007C434F" w:rsidRPr="00B17639">
        <w:t>, July 2016</w:t>
      </w:r>
      <w:r w:rsidR="00940A97" w:rsidRPr="00B17639">
        <w:t>).</w:t>
      </w:r>
      <w:r w:rsidR="00262260" w:rsidRPr="00B17639">
        <w:t xml:space="preserve"> </w:t>
      </w:r>
      <w:r w:rsidR="00490CAE" w:rsidRPr="00B17639">
        <w:t>With a</w:t>
      </w:r>
      <w:r w:rsidR="00262260" w:rsidRPr="00B17639">
        <w:t xml:space="preserve"> 5-year time horizon the </w:t>
      </w:r>
      <w:r w:rsidR="003D080C" w:rsidRPr="00B17639">
        <w:t>I</w:t>
      </w:r>
      <w:r w:rsidR="00262260" w:rsidRPr="00B17639">
        <w:t xml:space="preserve">CER </w:t>
      </w:r>
      <w:r w:rsidR="00490CAE" w:rsidRPr="00B17639">
        <w:t>is</w:t>
      </w:r>
      <w:r w:rsidR="00262260" w:rsidRPr="00B17639">
        <w:t xml:space="preserve"> </w:t>
      </w:r>
      <w:r w:rsidR="0021757E">
        <w:t>$75,000/QALY - $105,000/QALY</w:t>
      </w:r>
      <w:r w:rsidR="00262260" w:rsidRPr="00B17639">
        <w:t>.</w:t>
      </w:r>
      <w:r w:rsidR="00162484">
        <w:t xml:space="preserve"> </w:t>
      </w:r>
      <w:r w:rsidR="00162484" w:rsidRPr="005452C5">
        <w:t>The ESC considered that the reduction in the time horizon to five years had a moderate effect on the ICER.</w:t>
      </w:r>
      <w:r w:rsidR="000C3DE8">
        <w:t xml:space="preserve"> The PBAC reaffirmed its previous advice that it considers a 5-year time horizon appropriate.</w:t>
      </w:r>
    </w:p>
    <w:p w:rsidR="008126C2" w:rsidRPr="00B17639" w:rsidRDefault="008126C2" w:rsidP="005452C5">
      <w:pPr>
        <w:numPr>
          <w:ilvl w:val="1"/>
          <w:numId w:val="1"/>
        </w:numPr>
        <w:jc w:val="both"/>
      </w:pPr>
      <w:r w:rsidRPr="00B17639">
        <w:t xml:space="preserve">Sensitivity </w:t>
      </w:r>
      <w:r w:rsidR="007C434F" w:rsidRPr="00B17639">
        <w:t>analyses</w:t>
      </w:r>
      <w:r w:rsidRPr="00B17639">
        <w:t xml:space="preserve"> indicated that the ICER was most sensitive to the estimate of OS</w:t>
      </w:r>
      <w:r w:rsidR="00955995" w:rsidRPr="00B17639">
        <w:t xml:space="preserve"> improvement with the comb</w:t>
      </w:r>
      <w:r w:rsidR="00372030" w:rsidRPr="00B17639">
        <w:t>ination</w:t>
      </w:r>
      <w:r w:rsidRPr="00B17639">
        <w:t xml:space="preserve">. A 20% increase in the base case </w:t>
      </w:r>
      <w:r w:rsidR="003F4F33" w:rsidRPr="00B17639">
        <w:t xml:space="preserve">HR </w:t>
      </w:r>
      <w:r w:rsidRPr="00B17639">
        <w:t xml:space="preserve">estimate (from 0.59 to 0.7) increased the ICER from </w:t>
      </w:r>
      <w:r w:rsidR="0021757E">
        <w:t>$45,000/QALY - $75,000/QALY</w:t>
      </w:r>
      <w:r w:rsidR="0021757E" w:rsidRPr="00B17639">
        <w:t xml:space="preserve"> </w:t>
      </w:r>
      <w:r w:rsidRPr="00B17639">
        <w:t xml:space="preserve">to </w:t>
      </w:r>
      <w:r w:rsidR="0021757E">
        <w:t>$</w:t>
      </w:r>
      <w:r w:rsidR="00D16956">
        <w:t>105,000/QALY - $200,000/QALY</w:t>
      </w:r>
      <w:r w:rsidRPr="00B17639">
        <w:t xml:space="preserve">. </w:t>
      </w:r>
      <w:bookmarkStart w:id="46" w:name="_Hlk490478527"/>
      <w:r w:rsidR="007C434F" w:rsidRPr="00B17639">
        <w:t xml:space="preserve">The economic model </w:t>
      </w:r>
      <w:r w:rsidR="00F24459">
        <w:t xml:space="preserve">provided a series of prespecified sensitivity analyses and for the testing of the impact of some model inputs. However, for the comparison of lenvatinib with everolimus, it relied on the results of prespecified extrapolations for OS and PFS, variations in which could not be tested. This meant that the impact on the ICER of varying OS within the full range of the 95% confidence limit (0.36, 0.96) could not be tested in sensitivity analyses. </w:t>
      </w:r>
      <w:r w:rsidR="000C3DE8">
        <w:t xml:space="preserve"> </w:t>
      </w:r>
    </w:p>
    <w:bookmarkEnd w:id="46"/>
    <w:p w:rsidR="0030664D" w:rsidRPr="00B17639" w:rsidRDefault="008126C2" w:rsidP="005452C5">
      <w:pPr>
        <w:numPr>
          <w:ilvl w:val="1"/>
          <w:numId w:val="1"/>
        </w:numPr>
        <w:jc w:val="both"/>
      </w:pPr>
      <w:r w:rsidRPr="00B17639">
        <w:lastRenderedPageBreak/>
        <w:t xml:space="preserve">The model was also sensitive to the adopted method of treatment costing per cycle. The submission had used an approach of estimating the cost of treatment per </w:t>
      </w:r>
      <w:r w:rsidR="00472537" w:rsidRPr="00B17639">
        <w:t>cycle</w:t>
      </w:r>
      <w:r w:rsidR="00472537">
        <w:t>,</w:t>
      </w:r>
      <w:r w:rsidR="00472537" w:rsidRPr="00B17639">
        <w:t xml:space="preserve"> which</w:t>
      </w:r>
      <w:r w:rsidRPr="00B17639">
        <w:t xml:space="preserve"> was based on the mean daily dose administered in the trial and the requested prices.</w:t>
      </w:r>
      <w:r w:rsidR="00443765" w:rsidRPr="00B17639">
        <w:t xml:space="preserve"> Given that patients continued on study treatment </w:t>
      </w:r>
      <w:r w:rsidR="00EE3A6B" w:rsidRPr="00B17639">
        <w:t xml:space="preserve">after the </w:t>
      </w:r>
      <w:r w:rsidR="00EF2022">
        <w:t xml:space="preserve">data cut-off from which the </w:t>
      </w:r>
      <w:r w:rsidR="00EE3A6B" w:rsidRPr="00B17639">
        <w:t xml:space="preserve">mean dose had been calculated, and given that some patients had prematurely discontinued from the trial, it was uncertain whether the mean dose reported </w:t>
      </w:r>
      <w:r w:rsidR="009B649A" w:rsidRPr="00B17639">
        <w:t xml:space="preserve">from the </w:t>
      </w:r>
      <w:r w:rsidR="006726E4" w:rsidRPr="00B17639">
        <w:t xml:space="preserve">trial </w:t>
      </w:r>
      <w:r w:rsidR="00EE3A6B" w:rsidRPr="00B17639">
        <w:t>was a reliable estimate</w:t>
      </w:r>
      <w:r w:rsidR="009B649A" w:rsidRPr="00B17639">
        <w:t xml:space="preserve"> of what might be observed in practice</w:t>
      </w:r>
      <w:r w:rsidR="00EE3A6B" w:rsidRPr="00B17639">
        <w:t xml:space="preserve">. </w:t>
      </w:r>
      <w:r w:rsidR="00B174F9" w:rsidRPr="00B17639">
        <w:t>T</w:t>
      </w:r>
      <w:r w:rsidRPr="00B17639">
        <w:t xml:space="preserve">he </w:t>
      </w:r>
      <w:r w:rsidR="007C434F" w:rsidRPr="00B17639">
        <w:t xml:space="preserve">submission </w:t>
      </w:r>
      <w:r w:rsidR="00B174F9" w:rsidRPr="00B17639">
        <w:t xml:space="preserve">did however </w:t>
      </w:r>
      <w:r w:rsidR="007C434F" w:rsidRPr="00B17639">
        <w:t xml:space="preserve">include a sensitivity analysis which increased the </w:t>
      </w:r>
      <w:r w:rsidR="0030664D" w:rsidRPr="00B17639">
        <w:t xml:space="preserve">treatment </w:t>
      </w:r>
      <w:r w:rsidRPr="00B17639">
        <w:t>cost</w:t>
      </w:r>
      <w:r w:rsidR="0030664D" w:rsidRPr="00B17639">
        <w:t xml:space="preserve"> per cycle by 20%</w:t>
      </w:r>
      <w:r w:rsidR="00EB7B9B" w:rsidRPr="00B17639">
        <w:t>.</w:t>
      </w:r>
      <w:r w:rsidR="00D129F2" w:rsidRPr="00B17639">
        <w:t xml:space="preserve"> </w:t>
      </w:r>
      <w:r w:rsidR="00EB7B9B" w:rsidRPr="00B17639">
        <w:t xml:space="preserve">This </w:t>
      </w:r>
      <w:r w:rsidR="007C434F" w:rsidRPr="00B17639">
        <w:t>increased</w:t>
      </w:r>
      <w:r w:rsidR="000D4EA4" w:rsidRPr="00B17639">
        <w:t xml:space="preserve"> </w:t>
      </w:r>
      <w:r w:rsidR="0030664D" w:rsidRPr="00B17639">
        <w:t xml:space="preserve">the ICER from </w:t>
      </w:r>
      <w:r w:rsidR="00D16956">
        <w:t>$45,000/QALY - $75,000/QALY</w:t>
      </w:r>
      <w:r w:rsidR="00D16956" w:rsidRPr="00B17639">
        <w:t xml:space="preserve"> </w:t>
      </w:r>
      <w:r w:rsidR="0030664D" w:rsidRPr="00B17639">
        <w:t xml:space="preserve">to </w:t>
      </w:r>
      <w:r w:rsidR="00D16956">
        <w:t>$75,000/QALY - $105,000/QALY</w:t>
      </w:r>
      <w:r w:rsidR="0030664D" w:rsidRPr="00B17639">
        <w:t>.</w:t>
      </w:r>
    </w:p>
    <w:p w:rsidR="00C317F3" w:rsidRDefault="00140F08" w:rsidP="005452C5">
      <w:pPr>
        <w:numPr>
          <w:ilvl w:val="1"/>
          <w:numId w:val="1"/>
        </w:numPr>
        <w:jc w:val="both"/>
      </w:pPr>
      <w:r w:rsidRPr="00B17639">
        <w:t xml:space="preserve">Sensitivity </w:t>
      </w:r>
      <w:r w:rsidR="007C434F" w:rsidRPr="00B17639">
        <w:t xml:space="preserve">analyses </w:t>
      </w:r>
      <w:r w:rsidRPr="00B17639">
        <w:t xml:space="preserve">undertaken with extrapolations that appended the shortest tails to the KM curves (Gompertz) for both the PFS and OS outcomes also had a moderate impact on the ICER. With this distribution, the ICER increased from </w:t>
      </w:r>
      <w:r w:rsidR="00D16956" w:rsidRPr="00B17639">
        <w:t xml:space="preserve"> </w:t>
      </w:r>
      <w:r w:rsidR="00D16956">
        <w:t>$45,000/QALY - $75,000/QALY</w:t>
      </w:r>
      <w:r w:rsidR="00D16956" w:rsidRPr="00B17639" w:rsidDel="00D16956">
        <w:t xml:space="preserve"> </w:t>
      </w:r>
      <w:r w:rsidRPr="00B17639">
        <w:t xml:space="preserve">to </w:t>
      </w:r>
      <w:r w:rsidR="00D16956">
        <w:t>$75,000/QALY - $105,000/QALY</w:t>
      </w:r>
      <w:r w:rsidRPr="00B17639">
        <w:t>.</w:t>
      </w:r>
      <w:r w:rsidR="007C434F" w:rsidRPr="00B17639">
        <w:t xml:space="preserve"> </w:t>
      </w:r>
      <w:bookmarkStart w:id="47" w:name="_Hlk490467077"/>
    </w:p>
    <w:p w:rsidR="00785235" w:rsidRDefault="00785235" w:rsidP="00785235">
      <w:pPr>
        <w:numPr>
          <w:ilvl w:val="1"/>
          <w:numId w:val="1"/>
        </w:numPr>
        <w:jc w:val="both"/>
      </w:pPr>
      <w:r w:rsidRPr="002765DA">
        <w:t xml:space="preserve">In the economic model, the cost of treatment per cycle was estimated based on the published DPMQ for everolimus. </w:t>
      </w:r>
      <w:r w:rsidR="002A6E7B">
        <w:t>The impact of a</w:t>
      </w:r>
      <w:r w:rsidRPr="00D726B3">
        <w:t xml:space="preserve">pplying the costs </w:t>
      </w:r>
      <w:r>
        <w:t>of the</w:t>
      </w:r>
      <w:r w:rsidRPr="00D726B3">
        <w:t xml:space="preserve"> everolimus</w:t>
      </w:r>
      <w:r w:rsidR="006A0025">
        <w:t>, based on the effective DPMQ,</w:t>
      </w:r>
      <w:r w:rsidRPr="00D726B3">
        <w:t xml:space="preserve"> </w:t>
      </w:r>
      <w:r w:rsidR="002A6E7B">
        <w:t>was assessed during the evaluation</w:t>
      </w:r>
      <w:r>
        <w:t xml:space="preserve">. </w:t>
      </w:r>
      <w:r w:rsidRPr="00D726B3">
        <w:t xml:space="preserve"> </w:t>
      </w:r>
    </w:p>
    <w:p w:rsidR="00515B1F" w:rsidRPr="00B17639" w:rsidRDefault="00515B1F" w:rsidP="00681CCB">
      <w:pPr>
        <w:numPr>
          <w:ilvl w:val="1"/>
          <w:numId w:val="1"/>
        </w:numPr>
        <w:jc w:val="both"/>
      </w:pPr>
      <w:r>
        <w:t>The PBAC considered the base case ICER to be high and uncertain at the effective requested price.</w:t>
      </w:r>
    </w:p>
    <w:p w:rsidR="00C317F3" w:rsidRPr="00493936" w:rsidRDefault="00C317F3" w:rsidP="00772501">
      <w:pPr>
        <w:pStyle w:val="Heading2"/>
      </w:pPr>
      <w:bookmarkStart w:id="48" w:name="_Toc413139283"/>
      <w:bookmarkStart w:id="49" w:name="_Toc493002692"/>
      <w:bookmarkEnd w:id="47"/>
      <w:r w:rsidRPr="00493936">
        <w:t>Drug cost/patient/</w:t>
      </w:r>
      <w:r w:rsidR="000D4EA4" w:rsidRPr="00493936">
        <w:t>course $</w:t>
      </w:r>
      <w:bookmarkEnd w:id="48"/>
      <w:bookmarkEnd w:id="49"/>
      <w:r w:rsidR="0089293C">
        <w:rPr>
          <w:noProof/>
          <w:color w:val="000000"/>
          <w:highlight w:val="black"/>
        </w:rPr>
        <w:t>''''''''''''</w:t>
      </w:r>
    </w:p>
    <w:p w:rsidR="000D4EA4" w:rsidRPr="00B17639" w:rsidRDefault="000D4EA4" w:rsidP="005452C5">
      <w:pPr>
        <w:numPr>
          <w:ilvl w:val="1"/>
          <w:numId w:val="1"/>
        </w:numPr>
        <w:jc w:val="both"/>
      </w:pPr>
      <w:r w:rsidRPr="00B17639">
        <w:t>The submission provided an estimate of the average total treatment cost per patient per course of lenvatinib/everolimus of $</w:t>
      </w:r>
      <w:r w:rsidR="0089293C">
        <w:rPr>
          <w:noProof/>
          <w:color w:val="000000"/>
          <w:highlight w:val="black"/>
        </w:rPr>
        <w:t>''''''''''''''</w:t>
      </w:r>
      <w:r w:rsidRPr="00B17639">
        <w:t>. This estimate was derived from the economic model that follow</w:t>
      </w:r>
      <w:r w:rsidR="005013C4" w:rsidRPr="00B17639">
        <w:t>ed</w:t>
      </w:r>
      <w:r w:rsidRPr="00B17639">
        <w:t xml:space="preserve"> patients and their discounted costs through the lifetime of the disease on a per cycle basis. </w:t>
      </w:r>
    </w:p>
    <w:p w:rsidR="00092A41" w:rsidRPr="00B17639" w:rsidRDefault="005013C4" w:rsidP="005452C5">
      <w:pPr>
        <w:numPr>
          <w:ilvl w:val="1"/>
          <w:numId w:val="1"/>
        </w:numPr>
        <w:jc w:val="both"/>
      </w:pPr>
      <w:r w:rsidRPr="00B17639">
        <w:t>A</w:t>
      </w:r>
      <w:r w:rsidR="000D4EA4" w:rsidRPr="00B17639">
        <w:t xml:space="preserve">ssuming a mean treatment dose per patient per day of 14 mg, a mean duration of treatment of </w:t>
      </w:r>
      <w:r w:rsidR="0089293C">
        <w:rPr>
          <w:noProof/>
          <w:color w:val="000000"/>
          <w:highlight w:val="black"/>
        </w:rPr>
        <w:t>'''''''</w:t>
      </w:r>
      <w:r w:rsidR="000D4EA4" w:rsidRPr="00B17639">
        <w:t xml:space="preserve"> days (page 101 of Study 205 CSR), and </w:t>
      </w:r>
      <w:r w:rsidR="00452501" w:rsidRPr="00B17639">
        <w:t xml:space="preserve">the </w:t>
      </w:r>
      <w:r w:rsidR="000D4EA4" w:rsidRPr="00B17639">
        <w:t>cost of $</w:t>
      </w:r>
      <w:r w:rsidR="0089293C">
        <w:rPr>
          <w:noProof/>
          <w:color w:val="000000"/>
          <w:highlight w:val="black"/>
        </w:rPr>
        <w:t>'''''''''''''</w:t>
      </w:r>
      <w:r w:rsidR="000D4EA4" w:rsidRPr="00B17639">
        <w:t xml:space="preserve"> per day</w:t>
      </w:r>
      <w:r w:rsidRPr="00B17639">
        <w:t xml:space="preserve"> </w:t>
      </w:r>
      <w:r w:rsidR="00452501" w:rsidRPr="00B17639">
        <w:t xml:space="preserve">that was </w:t>
      </w:r>
      <w:r w:rsidR="002A2110" w:rsidRPr="00B17639">
        <w:t xml:space="preserve">estimated in the submission </w:t>
      </w:r>
      <w:r w:rsidR="00452501" w:rsidRPr="00B17639">
        <w:t xml:space="preserve">provided </w:t>
      </w:r>
      <w:r w:rsidR="00045DA1" w:rsidRPr="00B17639">
        <w:t xml:space="preserve">a similar cost per </w:t>
      </w:r>
      <w:r w:rsidR="000D4EA4" w:rsidRPr="00B17639">
        <w:t xml:space="preserve">patient </w:t>
      </w:r>
      <w:r w:rsidR="00296260" w:rsidRPr="00B17639">
        <w:t xml:space="preserve">per </w:t>
      </w:r>
      <w:r w:rsidR="000D4EA4" w:rsidRPr="00B17639">
        <w:t>course of $</w:t>
      </w:r>
      <w:r w:rsidR="0089293C">
        <w:rPr>
          <w:noProof/>
          <w:color w:val="000000"/>
          <w:highlight w:val="black"/>
        </w:rPr>
        <w:t>''''''''''''</w:t>
      </w:r>
      <w:r w:rsidR="000D4EA4" w:rsidRPr="00B17639">
        <w:t xml:space="preserve">. </w:t>
      </w:r>
    </w:p>
    <w:p w:rsidR="00EB3091" w:rsidRPr="00B17639" w:rsidRDefault="00A5508F" w:rsidP="005452C5">
      <w:pPr>
        <w:numPr>
          <w:ilvl w:val="1"/>
          <w:numId w:val="1"/>
        </w:numPr>
        <w:jc w:val="both"/>
      </w:pPr>
      <w:r w:rsidRPr="00B17639">
        <w:t>The</w:t>
      </w:r>
      <w:r w:rsidR="00EB3091" w:rsidRPr="00B17639">
        <w:t xml:space="preserve"> mean time to progression of disease (when therapy would stop)</w:t>
      </w:r>
      <w:r w:rsidR="00260046" w:rsidRPr="00B17639">
        <w:t xml:space="preserve"> was assessed in a sensitivity analysis as an </w:t>
      </w:r>
      <w:r w:rsidR="00EB3091" w:rsidRPr="00B17639">
        <w:t xml:space="preserve">alternative way of </w:t>
      </w:r>
      <w:r w:rsidR="00FE6B55" w:rsidRPr="00B17639">
        <w:t xml:space="preserve">estimating </w:t>
      </w:r>
      <w:r w:rsidR="00EB3091" w:rsidRPr="00B17639">
        <w:t>the intervention costs per patient</w:t>
      </w:r>
      <w:r w:rsidR="00FE6B55" w:rsidRPr="00B17639">
        <w:t xml:space="preserve">. </w:t>
      </w:r>
      <w:r w:rsidR="00EB3091" w:rsidRPr="00B17639">
        <w:t>In the clinical trial, median time to progression</w:t>
      </w:r>
      <w:r w:rsidR="00EB3091" w:rsidRPr="0014492C">
        <w:rPr>
          <w:vertAlign w:val="superscript"/>
        </w:rPr>
        <w:footnoteReference w:id="2"/>
      </w:r>
      <w:r w:rsidR="00EB3091" w:rsidRPr="00B17639">
        <w:t xml:space="preserve"> was 14.6 months, and adopting this approach would increase the cost per patient per course to $</w:t>
      </w:r>
      <w:r w:rsidR="0089293C">
        <w:rPr>
          <w:noProof/>
          <w:color w:val="000000"/>
          <w:highlight w:val="black"/>
        </w:rPr>
        <w:t>''''''''''''''</w:t>
      </w:r>
      <w:r w:rsidR="00EB3091" w:rsidRPr="00B17639">
        <w:t>. This estimate is also uncertain</w:t>
      </w:r>
      <w:r w:rsidR="00E827E3">
        <w:t>,</w:t>
      </w:r>
      <w:r w:rsidR="00EB3091" w:rsidRPr="00B17639">
        <w:t xml:space="preserve"> as it can reasonably be </w:t>
      </w:r>
      <w:r w:rsidR="00495235">
        <w:t>expected</w:t>
      </w:r>
      <w:r w:rsidR="00495235" w:rsidRPr="00B17639">
        <w:t xml:space="preserve"> </w:t>
      </w:r>
      <w:r w:rsidR="00EB3091" w:rsidRPr="00B17639">
        <w:t>that treatment interruptions and delays will occur during treatment with the combination.</w:t>
      </w:r>
    </w:p>
    <w:p w:rsidR="00C317F3" w:rsidRPr="00493936" w:rsidRDefault="00C317F3" w:rsidP="00772501">
      <w:pPr>
        <w:pStyle w:val="Heading2"/>
      </w:pPr>
      <w:bookmarkStart w:id="50" w:name="_Toc413139284"/>
      <w:bookmarkStart w:id="51" w:name="_Toc493002693"/>
      <w:r w:rsidRPr="00493936">
        <w:t>Estimated PBS usage &amp; financial implications</w:t>
      </w:r>
      <w:bookmarkEnd w:id="50"/>
      <w:bookmarkEnd w:id="51"/>
    </w:p>
    <w:p w:rsidR="005131E1" w:rsidRPr="00B17639" w:rsidRDefault="00C317F3" w:rsidP="005452C5">
      <w:pPr>
        <w:numPr>
          <w:ilvl w:val="1"/>
          <w:numId w:val="1"/>
        </w:numPr>
        <w:jc w:val="both"/>
      </w:pPr>
      <w:r w:rsidRPr="00B17639">
        <w:t xml:space="preserve">This submission </w:t>
      </w:r>
      <w:r w:rsidR="00454493" w:rsidRPr="00B17639">
        <w:t>w</w:t>
      </w:r>
      <w:r w:rsidR="00B17639" w:rsidRPr="00B17639">
        <w:t>as</w:t>
      </w:r>
      <w:r w:rsidR="00454493" w:rsidRPr="00B17639">
        <w:t xml:space="preserve"> </w:t>
      </w:r>
      <w:r w:rsidR="006C2E33" w:rsidRPr="00B17639">
        <w:t>not</w:t>
      </w:r>
      <w:r w:rsidRPr="00B17639">
        <w:t xml:space="preserve"> considered by DUSC. </w:t>
      </w:r>
    </w:p>
    <w:p w:rsidR="002C231A" w:rsidRPr="00B17639" w:rsidRDefault="0088640A" w:rsidP="005452C5">
      <w:pPr>
        <w:numPr>
          <w:ilvl w:val="1"/>
          <w:numId w:val="1"/>
        </w:numPr>
        <w:jc w:val="both"/>
      </w:pPr>
      <w:r w:rsidRPr="00B17639">
        <w:t xml:space="preserve">The submission described an epidemiological approach used for the estimation of the total number of patients likely to be diagnosed with advanced clear cell RCC each year, and pharmaco-epidemiological data and expert opinion </w:t>
      </w:r>
      <w:r w:rsidR="00296260" w:rsidRPr="00B17639">
        <w:t xml:space="preserve">were used to estimate </w:t>
      </w:r>
      <w:r w:rsidRPr="00B17639">
        <w:lastRenderedPageBreak/>
        <w:t xml:space="preserve">the proportion of these patients likely to be treated with first and second line agents. </w:t>
      </w:r>
      <w:r w:rsidR="00296260" w:rsidRPr="00B17639">
        <w:t>T</w:t>
      </w:r>
      <w:r w:rsidR="000C15C8" w:rsidRPr="00B17639">
        <w:t xml:space="preserve">he </w:t>
      </w:r>
      <w:r w:rsidR="000956CF" w:rsidRPr="00B17639">
        <w:t xml:space="preserve">estimated use and financial implications for the PBS/RPBS </w:t>
      </w:r>
      <w:r w:rsidR="000C15C8" w:rsidRPr="00B17639">
        <w:t xml:space="preserve">over </w:t>
      </w:r>
      <w:r w:rsidR="00296260" w:rsidRPr="00B17639">
        <w:t xml:space="preserve">the first </w:t>
      </w:r>
      <w:r w:rsidR="000C15C8" w:rsidRPr="00B17639">
        <w:t>six years of listing</w:t>
      </w:r>
      <w:r w:rsidR="00296260" w:rsidRPr="00B17639">
        <w:t xml:space="preserve"> are summarised in Table 1</w:t>
      </w:r>
      <w:r w:rsidR="00D233D8">
        <w:t>5</w:t>
      </w:r>
      <w:r w:rsidR="000C15C8" w:rsidRPr="00B17639">
        <w:t>.</w:t>
      </w:r>
      <w:r w:rsidR="00652153" w:rsidRPr="00B17639">
        <w:t xml:space="preserve"> </w:t>
      </w:r>
      <w:r w:rsidR="001D21B3" w:rsidRPr="00B17639">
        <w:t xml:space="preserve">Analysis of </w:t>
      </w:r>
      <w:r w:rsidR="002D13C4" w:rsidRPr="00B17639">
        <w:t xml:space="preserve">2016 </w:t>
      </w:r>
      <w:r w:rsidR="005131E1" w:rsidRPr="00B17639">
        <w:t xml:space="preserve">PBS </w:t>
      </w:r>
      <w:r w:rsidR="00DF094B" w:rsidRPr="00B17639">
        <w:t>d</w:t>
      </w:r>
      <w:r w:rsidR="005131E1" w:rsidRPr="00B17639">
        <w:t>ata</w:t>
      </w:r>
      <w:r w:rsidR="00DF094B" w:rsidRPr="00B17639">
        <w:t xml:space="preserve"> of items processed for second line therapy in RCC</w:t>
      </w:r>
      <w:r w:rsidR="00F932DE" w:rsidRPr="00B17639">
        <w:t xml:space="preserve"> indicated that the numbers </w:t>
      </w:r>
      <w:r w:rsidR="009930A6" w:rsidRPr="00B17639">
        <w:t xml:space="preserve">presented may have been over-estimated. </w:t>
      </w:r>
    </w:p>
    <w:p w:rsidR="00C317F3" w:rsidRPr="00B17639" w:rsidRDefault="00150593" w:rsidP="00772501">
      <w:pPr>
        <w:pStyle w:val="TableHeading0"/>
      </w:pPr>
      <w:r w:rsidRPr="00B17639">
        <w:t>Table 1</w:t>
      </w:r>
      <w:r w:rsidR="00D233D8">
        <w:t>5</w:t>
      </w:r>
      <w:r w:rsidRPr="00B17639">
        <w:t xml:space="preserve">: </w:t>
      </w:r>
      <w:r w:rsidR="00C317F3" w:rsidRPr="00B17639">
        <w:t>Estimated use and financial implications</w:t>
      </w:r>
      <w:r w:rsidRPr="00B17639">
        <w:t xml:space="preserve"> for PBS/RPBS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15"/>
        <w:gridCol w:w="1163"/>
        <w:gridCol w:w="1163"/>
        <w:gridCol w:w="1165"/>
        <w:gridCol w:w="1165"/>
        <w:gridCol w:w="1165"/>
        <w:gridCol w:w="1268"/>
      </w:tblGrid>
      <w:tr w:rsidR="00E37424" w:rsidRPr="00B17639">
        <w:trPr>
          <w:tblHeader/>
        </w:trPr>
        <w:tc>
          <w:tcPr>
            <w:tcW w:w="1063" w:type="pct"/>
            <w:shd w:val="clear" w:color="auto" w:fill="auto"/>
            <w:vAlign w:val="center"/>
          </w:tcPr>
          <w:p w:rsidR="00E37424" w:rsidRPr="00B17639" w:rsidRDefault="00E37424" w:rsidP="00772501">
            <w:pPr>
              <w:pStyle w:val="TableText"/>
            </w:pPr>
          </w:p>
        </w:tc>
        <w:tc>
          <w:tcPr>
            <w:tcW w:w="646" w:type="pct"/>
            <w:shd w:val="clear" w:color="auto" w:fill="auto"/>
            <w:vAlign w:val="center"/>
          </w:tcPr>
          <w:p w:rsidR="00E37424" w:rsidRPr="00B17639" w:rsidRDefault="00E37424" w:rsidP="00772501">
            <w:pPr>
              <w:pStyle w:val="TableText"/>
              <w:jc w:val="center"/>
              <w:rPr>
                <w:b/>
              </w:rPr>
            </w:pPr>
            <w:r w:rsidRPr="00B17639">
              <w:rPr>
                <w:b/>
              </w:rPr>
              <w:t>Year 1</w:t>
            </w:r>
          </w:p>
          <w:p w:rsidR="00D16302" w:rsidRPr="00B17639" w:rsidRDefault="00D16302" w:rsidP="00772501">
            <w:pPr>
              <w:pStyle w:val="TableText"/>
              <w:jc w:val="center"/>
              <w:rPr>
                <w:b/>
              </w:rPr>
            </w:pPr>
            <w:r w:rsidRPr="00B17639">
              <w:rPr>
                <w:b/>
              </w:rPr>
              <w:t>2018</w:t>
            </w:r>
          </w:p>
        </w:tc>
        <w:tc>
          <w:tcPr>
            <w:tcW w:w="646" w:type="pct"/>
            <w:shd w:val="clear" w:color="auto" w:fill="auto"/>
            <w:vAlign w:val="center"/>
          </w:tcPr>
          <w:p w:rsidR="00E37424" w:rsidRPr="00B17639" w:rsidRDefault="00E37424" w:rsidP="00772501">
            <w:pPr>
              <w:pStyle w:val="TableText"/>
              <w:jc w:val="center"/>
              <w:rPr>
                <w:b/>
              </w:rPr>
            </w:pPr>
            <w:r w:rsidRPr="00B17639">
              <w:rPr>
                <w:b/>
              </w:rPr>
              <w:t>Year 2</w:t>
            </w:r>
          </w:p>
          <w:p w:rsidR="00D16302" w:rsidRPr="00B17639" w:rsidRDefault="00D16302" w:rsidP="00772501">
            <w:pPr>
              <w:pStyle w:val="TableText"/>
              <w:jc w:val="center"/>
              <w:rPr>
                <w:b/>
              </w:rPr>
            </w:pPr>
            <w:r w:rsidRPr="00B17639">
              <w:rPr>
                <w:b/>
              </w:rPr>
              <w:t>2019</w:t>
            </w:r>
          </w:p>
        </w:tc>
        <w:tc>
          <w:tcPr>
            <w:tcW w:w="647" w:type="pct"/>
            <w:shd w:val="clear" w:color="auto" w:fill="auto"/>
            <w:vAlign w:val="center"/>
          </w:tcPr>
          <w:p w:rsidR="00E37424" w:rsidRPr="00B17639" w:rsidRDefault="00E37424" w:rsidP="00772501">
            <w:pPr>
              <w:pStyle w:val="TableText"/>
              <w:jc w:val="center"/>
              <w:rPr>
                <w:b/>
              </w:rPr>
            </w:pPr>
            <w:r w:rsidRPr="00B17639">
              <w:rPr>
                <w:b/>
              </w:rPr>
              <w:t>Year 3</w:t>
            </w:r>
          </w:p>
          <w:p w:rsidR="00D16302" w:rsidRPr="00B17639" w:rsidRDefault="00D16302" w:rsidP="00772501">
            <w:pPr>
              <w:pStyle w:val="TableText"/>
              <w:jc w:val="center"/>
              <w:rPr>
                <w:b/>
              </w:rPr>
            </w:pPr>
            <w:r w:rsidRPr="00B17639">
              <w:rPr>
                <w:b/>
              </w:rPr>
              <w:t>2020</w:t>
            </w:r>
          </w:p>
        </w:tc>
        <w:tc>
          <w:tcPr>
            <w:tcW w:w="647" w:type="pct"/>
            <w:shd w:val="clear" w:color="auto" w:fill="auto"/>
            <w:vAlign w:val="center"/>
          </w:tcPr>
          <w:p w:rsidR="00E37424" w:rsidRPr="00B17639" w:rsidRDefault="00E37424" w:rsidP="00772501">
            <w:pPr>
              <w:pStyle w:val="TableText"/>
              <w:jc w:val="center"/>
              <w:rPr>
                <w:b/>
              </w:rPr>
            </w:pPr>
            <w:r w:rsidRPr="00B17639">
              <w:rPr>
                <w:b/>
              </w:rPr>
              <w:t>Year 4</w:t>
            </w:r>
          </w:p>
          <w:p w:rsidR="00D16302" w:rsidRPr="00B17639" w:rsidRDefault="00D16302" w:rsidP="00772501">
            <w:pPr>
              <w:pStyle w:val="TableText"/>
              <w:jc w:val="center"/>
              <w:rPr>
                <w:b/>
              </w:rPr>
            </w:pPr>
            <w:r w:rsidRPr="00B17639">
              <w:rPr>
                <w:b/>
              </w:rPr>
              <w:t>2021</w:t>
            </w:r>
          </w:p>
        </w:tc>
        <w:tc>
          <w:tcPr>
            <w:tcW w:w="647" w:type="pct"/>
            <w:shd w:val="clear" w:color="auto" w:fill="auto"/>
            <w:vAlign w:val="center"/>
          </w:tcPr>
          <w:p w:rsidR="00E37424" w:rsidRPr="00B17639" w:rsidRDefault="00E37424" w:rsidP="00772501">
            <w:pPr>
              <w:pStyle w:val="TableText"/>
              <w:jc w:val="center"/>
              <w:rPr>
                <w:b/>
              </w:rPr>
            </w:pPr>
            <w:r w:rsidRPr="00B17639">
              <w:rPr>
                <w:b/>
              </w:rPr>
              <w:t>Year 5</w:t>
            </w:r>
          </w:p>
          <w:p w:rsidR="00D16302" w:rsidRPr="00B17639" w:rsidRDefault="00D16302" w:rsidP="00772501">
            <w:pPr>
              <w:pStyle w:val="TableText"/>
              <w:jc w:val="center"/>
              <w:rPr>
                <w:b/>
              </w:rPr>
            </w:pPr>
            <w:r w:rsidRPr="00B17639">
              <w:rPr>
                <w:b/>
              </w:rPr>
              <w:t>2022</w:t>
            </w:r>
          </w:p>
        </w:tc>
        <w:tc>
          <w:tcPr>
            <w:tcW w:w="704" w:type="pct"/>
          </w:tcPr>
          <w:p w:rsidR="00E37424" w:rsidRPr="00B17639" w:rsidRDefault="00E37424" w:rsidP="00772501">
            <w:pPr>
              <w:pStyle w:val="TableText"/>
              <w:jc w:val="center"/>
              <w:rPr>
                <w:b/>
              </w:rPr>
            </w:pPr>
            <w:r w:rsidRPr="00B17639">
              <w:rPr>
                <w:b/>
              </w:rPr>
              <w:t>Year 6</w:t>
            </w:r>
          </w:p>
          <w:p w:rsidR="00D16302" w:rsidRPr="00B17639" w:rsidRDefault="00D16302" w:rsidP="00772501">
            <w:pPr>
              <w:pStyle w:val="TableText"/>
              <w:jc w:val="center"/>
              <w:rPr>
                <w:b/>
              </w:rPr>
            </w:pPr>
            <w:r w:rsidRPr="00B17639">
              <w:rPr>
                <w:b/>
              </w:rPr>
              <w:t>2023</w:t>
            </w:r>
          </w:p>
        </w:tc>
      </w:tr>
      <w:tr w:rsidR="00E37424" w:rsidRPr="00B17639">
        <w:tc>
          <w:tcPr>
            <w:tcW w:w="5000" w:type="pct"/>
            <w:gridSpan w:val="7"/>
            <w:shd w:val="clear" w:color="auto" w:fill="auto"/>
            <w:vAlign w:val="center"/>
          </w:tcPr>
          <w:p w:rsidR="00E37424" w:rsidRPr="00B17639" w:rsidRDefault="00E37424" w:rsidP="00772501">
            <w:pPr>
              <w:pStyle w:val="TableText"/>
              <w:rPr>
                <w:b/>
                <w:bCs/>
                <w:color w:val="000000"/>
              </w:rPr>
            </w:pPr>
            <w:r w:rsidRPr="00B17639">
              <w:rPr>
                <w:b/>
                <w:bCs/>
                <w:color w:val="000000"/>
              </w:rPr>
              <w:t>Estimated extent of use</w:t>
            </w:r>
          </w:p>
        </w:tc>
      </w:tr>
      <w:tr w:rsidR="00CF1311" w:rsidRPr="00B17639">
        <w:tc>
          <w:tcPr>
            <w:tcW w:w="1063" w:type="pct"/>
            <w:shd w:val="clear" w:color="auto" w:fill="auto"/>
            <w:vAlign w:val="center"/>
          </w:tcPr>
          <w:p w:rsidR="00CF1311" w:rsidRPr="00B17639" w:rsidRDefault="00CF1311" w:rsidP="00CF1311">
            <w:pPr>
              <w:pStyle w:val="TableText"/>
              <w:rPr>
                <w:rFonts w:ascii="Times" w:eastAsia="Times New Roman" w:hAnsi="Times" w:cs="Times New Roman"/>
              </w:rPr>
            </w:pPr>
            <w:r w:rsidRPr="00B17639">
              <w:t>Number of patients treated</w:t>
            </w:r>
          </w:p>
        </w:tc>
        <w:tc>
          <w:tcPr>
            <w:tcW w:w="646" w:type="pct"/>
          </w:tcPr>
          <w:p w:rsidR="00CF1311" w:rsidRPr="0089293C" w:rsidRDefault="0089293C" w:rsidP="00CF1311">
            <w:pPr>
              <w:pStyle w:val="TableText"/>
              <w:rPr>
                <w:bCs/>
                <w:color w:val="000000"/>
                <w:highlight w:val="black"/>
              </w:rPr>
            </w:pPr>
            <w:r>
              <w:rPr>
                <w:noProof/>
                <w:color w:val="000000"/>
                <w:highlight w:val="black"/>
              </w:rPr>
              <w:t>''''''''''</w:t>
            </w:r>
          </w:p>
        </w:tc>
        <w:tc>
          <w:tcPr>
            <w:tcW w:w="646" w:type="pct"/>
          </w:tcPr>
          <w:p w:rsidR="00CF1311" w:rsidRPr="0089293C" w:rsidRDefault="0089293C" w:rsidP="00CF1311">
            <w:pPr>
              <w:pStyle w:val="TableText"/>
              <w:rPr>
                <w:bCs/>
                <w:color w:val="000000"/>
                <w:highlight w:val="black"/>
              </w:rPr>
            </w:pPr>
            <w:r>
              <w:rPr>
                <w:noProof/>
                <w:color w:val="000000"/>
                <w:highlight w:val="black"/>
              </w:rPr>
              <w:t>'''''''''</w:t>
            </w:r>
          </w:p>
        </w:tc>
        <w:tc>
          <w:tcPr>
            <w:tcW w:w="647" w:type="pct"/>
          </w:tcPr>
          <w:p w:rsidR="00CF1311" w:rsidRPr="0089293C" w:rsidRDefault="0089293C" w:rsidP="00CF1311">
            <w:pPr>
              <w:pStyle w:val="TableText"/>
              <w:rPr>
                <w:bCs/>
                <w:color w:val="000000"/>
                <w:highlight w:val="black"/>
              </w:rPr>
            </w:pPr>
            <w:r>
              <w:rPr>
                <w:noProof/>
                <w:color w:val="000000"/>
                <w:highlight w:val="black"/>
              </w:rPr>
              <w:t>''''''''</w:t>
            </w:r>
          </w:p>
        </w:tc>
        <w:tc>
          <w:tcPr>
            <w:tcW w:w="647" w:type="pct"/>
          </w:tcPr>
          <w:p w:rsidR="00CF1311" w:rsidRPr="0089293C" w:rsidRDefault="0089293C" w:rsidP="00CF1311">
            <w:pPr>
              <w:pStyle w:val="TableText"/>
              <w:rPr>
                <w:bCs/>
                <w:color w:val="000000"/>
                <w:highlight w:val="black"/>
              </w:rPr>
            </w:pPr>
            <w:r>
              <w:rPr>
                <w:noProof/>
                <w:color w:val="000000"/>
                <w:highlight w:val="black"/>
              </w:rPr>
              <w:t>'''''''''</w:t>
            </w:r>
          </w:p>
        </w:tc>
        <w:tc>
          <w:tcPr>
            <w:tcW w:w="647" w:type="pct"/>
          </w:tcPr>
          <w:p w:rsidR="00CF1311" w:rsidRPr="0089293C" w:rsidRDefault="0089293C" w:rsidP="00CF1311">
            <w:pPr>
              <w:pStyle w:val="TableText"/>
              <w:rPr>
                <w:bCs/>
                <w:color w:val="000000"/>
                <w:highlight w:val="black"/>
              </w:rPr>
            </w:pPr>
            <w:r>
              <w:rPr>
                <w:noProof/>
                <w:color w:val="000000"/>
                <w:highlight w:val="black"/>
              </w:rPr>
              <w:t>''''''''''</w:t>
            </w:r>
          </w:p>
        </w:tc>
        <w:tc>
          <w:tcPr>
            <w:tcW w:w="704" w:type="pct"/>
          </w:tcPr>
          <w:p w:rsidR="00CF1311" w:rsidRPr="0089293C" w:rsidRDefault="0089293C" w:rsidP="00CF1311">
            <w:pPr>
              <w:pStyle w:val="TableText"/>
              <w:rPr>
                <w:bCs/>
                <w:color w:val="000000"/>
                <w:highlight w:val="black"/>
              </w:rPr>
            </w:pPr>
            <w:r>
              <w:rPr>
                <w:noProof/>
                <w:color w:val="000000"/>
                <w:highlight w:val="black"/>
              </w:rPr>
              <w:t>''''''''''</w:t>
            </w:r>
          </w:p>
        </w:tc>
      </w:tr>
      <w:tr w:rsidR="00CF1311" w:rsidRPr="00B17639">
        <w:tc>
          <w:tcPr>
            <w:tcW w:w="1063" w:type="pct"/>
            <w:shd w:val="clear" w:color="auto" w:fill="auto"/>
            <w:vAlign w:val="center"/>
          </w:tcPr>
          <w:p w:rsidR="00CF1311" w:rsidRPr="00B17639" w:rsidRDefault="00CF1311" w:rsidP="00CF1311">
            <w:pPr>
              <w:pStyle w:val="TableText"/>
              <w:rPr>
                <w:rFonts w:ascii="Times" w:eastAsia="Times New Roman" w:hAnsi="Times" w:cs="Times New Roman"/>
              </w:rPr>
            </w:pPr>
            <w:r w:rsidRPr="00B17639">
              <w:t>Number of scripts dispensed</w:t>
            </w:r>
            <w:r w:rsidRPr="00B17639">
              <w:rPr>
                <w:vertAlign w:val="superscript"/>
              </w:rPr>
              <w:t>a</w:t>
            </w:r>
            <w:r w:rsidR="00C00E35" w:rsidRPr="00B17639">
              <w:rPr>
                <w:vertAlign w:val="superscript"/>
              </w:rPr>
              <w:t xml:space="preserve"> b</w:t>
            </w:r>
          </w:p>
        </w:tc>
        <w:tc>
          <w:tcPr>
            <w:tcW w:w="646" w:type="pct"/>
          </w:tcPr>
          <w:p w:rsidR="00CF1311" w:rsidRPr="0089293C" w:rsidRDefault="0089293C" w:rsidP="00CF1311">
            <w:pPr>
              <w:pStyle w:val="TableText"/>
              <w:rPr>
                <w:bCs/>
                <w:color w:val="000000"/>
                <w:highlight w:val="black"/>
              </w:rPr>
            </w:pPr>
            <w:r>
              <w:rPr>
                <w:noProof/>
                <w:color w:val="000000"/>
                <w:highlight w:val="black"/>
              </w:rPr>
              <w:t>'''''''''''''</w:t>
            </w:r>
          </w:p>
        </w:tc>
        <w:tc>
          <w:tcPr>
            <w:tcW w:w="646" w:type="pct"/>
          </w:tcPr>
          <w:p w:rsidR="00CF1311" w:rsidRPr="0089293C" w:rsidRDefault="0089293C" w:rsidP="00CF1311">
            <w:pPr>
              <w:pStyle w:val="TableText"/>
              <w:rPr>
                <w:bCs/>
                <w:color w:val="000000"/>
                <w:highlight w:val="black"/>
              </w:rPr>
            </w:pPr>
            <w:r>
              <w:rPr>
                <w:noProof/>
                <w:color w:val="000000"/>
                <w:highlight w:val="black"/>
              </w:rPr>
              <w:t>''''''''''''</w:t>
            </w:r>
          </w:p>
        </w:tc>
        <w:tc>
          <w:tcPr>
            <w:tcW w:w="647" w:type="pct"/>
          </w:tcPr>
          <w:p w:rsidR="00CF1311" w:rsidRPr="0089293C" w:rsidRDefault="0089293C" w:rsidP="00CF1311">
            <w:pPr>
              <w:pStyle w:val="TableText"/>
              <w:rPr>
                <w:bCs/>
                <w:color w:val="000000"/>
                <w:highlight w:val="black"/>
              </w:rPr>
            </w:pPr>
            <w:r>
              <w:rPr>
                <w:noProof/>
                <w:color w:val="000000"/>
                <w:highlight w:val="black"/>
              </w:rPr>
              <w:t>'''''''''''''</w:t>
            </w:r>
          </w:p>
        </w:tc>
        <w:tc>
          <w:tcPr>
            <w:tcW w:w="647" w:type="pct"/>
          </w:tcPr>
          <w:p w:rsidR="00CF1311" w:rsidRPr="0089293C" w:rsidRDefault="0089293C" w:rsidP="00CF1311">
            <w:pPr>
              <w:pStyle w:val="TableText"/>
              <w:rPr>
                <w:bCs/>
                <w:color w:val="000000"/>
                <w:highlight w:val="black"/>
              </w:rPr>
            </w:pPr>
            <w:r>
              <w:rPr>
                <w:noProof/>
                <w:color w:val="000000"/>
                <w:highlight w:val="black"/>
              </w:rPr>
              <w:t>'''''''''''''''</w:t>
            </w:r>
          </w:p>
        </w:tc>
        <w:tc>
          <w:tcPr>
            <w:tcW w:w="647" w:type="pct"/>
          </w:tcPr>
          <w:p w:rsidR="00CF1311" w:rsidRPr="0089293C" w:rsidRDefault="0089293C" w:rsidP="00CF1311">
            <w:pPr>
              <w:pStyle w:val="TableText"/>
              <w:rPr>
                <w:bCs/>
                <w:color w:val="000000"/>
                <w:highlight w:val="black"/>
              </w:rPr>
            </w:pPr>
            <w:r>
              <w:rPr>
                <w:noProof/>
                <w:color w:val="000000"/>
                <w:highlight w:val="black"/>
              </w:rPr>
              <w:t>''''''''''''''</w:t>
            </w:r>
          </w:p>
        </w:tc>
        <w:tc>
          <w:tcPr>
            <w:tcW w:w="704" w:type="pct"/>
          </w:tcPr>
          <w:p w:rsidR="00CF1311" w:rsidRPr="0089293C" w:rsidRDefault="0089293C" w:rsidP="00CF1311">
            <w:pPr>
              <w:pStyle w:val="TableText"/>
              <w:rPr>
                <w:bCs/>
                <w:color w:val="000000"/>
                <w:highlight w:val="black"/>
              </w:rPr>
            </w:pPr>
            <w:r>
              <w:rPr>
                <w:noProof/>
                <w:color w:val="000000"/>
                <w:highlight w:val="black"/>
              </w:rPr>
              <w:t>'''''''''''''</w:t>
            </w:r>
          </w:p>
        </w:tc>
      </w:tr>
      <w:tr w:rsidR="00CF1311" w:rsidRPr="00B17639">
        <w:tc>
          <w:tcPr>
            <w:tcW w:w="5000" w:type="pct"/>
            <w:gridSpan w:val="7"/>
            <w:shd w:val="clear" w:color="auto" w:fill="auto"/>
            <w:vAlign w:val="center"/>
          </w:tcPr>
          <w:p w:rsidR="00CF1311" w:rsidRPr="00B17639" w:rsidRDefault="00CF1311" w:rsidP="00CF1311">
            <w:pPr>
              <w:pStyle w:val="TableText"/>
              <w:rPr>
                <w:b/>
                <w:bCs/>
                <w:color w:val="000000"/>
              </w:rPr>
            </w:pPr>
            <w:r w:rsidRPr="00B17639">
              <w:rPr>
                <w:b/>
                <w:bCs/>
                <w:color w:val="000000"/>
              </w:rPr>
              <w:t xml:space="preserve">Estimated financial implications of </w:t>
            </w:r>
            <w:r w:rsidR="00F8017D" w:rsidRPr="00B17639">
              <w:rPr>
                <w:b/>
                <w:bCs/>
                <w:color w:val="000000"/>
              </w:rPr>
              <w:t>lenvatinib/everolimus therapy</w:t>
            </w:r>
          </w:p>
        </w:tc>
      </w:tr>
      <w:tr w:rsidR="004614D4" w:rsidRPr="00B17639">
        <w:tc>
          <w:tcPr>
            <w:tcW w:w="1063" w:type="pct"/>
            <w:shd w:val="clear" w:color="auto" w:fill="auto"/>
            <w:vAlign w:val="center"/>
          </w:tcPr>
          <w:p w:rsidR="004614D4" w:rsidRPr="00B17639" w:rsidRDefault="004614D4" w:rsidP="004614D4">
            <w:pPr>
              <w:pStyle w:val="TableText"/>
              <w:rPr>
                <w:rFonts w:ascii="Times" w:eastAsia="Times New Roman" w:hAnsi="Times" w:cs="Times New Roman"/>
              </w:rPr>
            </w:pPr>
            <w:r w:rsidRPr="00B17639">
              <w:rPr>
                <w:sz w:val="19"/>
                <w:szCs w:val="19"/>
              </w:rPr>
              <w:t xml:space="preserve">Cost to PBS/RPBS </w:t>
            </w:r>
          </w:p>
        </w:tc>
        <w:tc>
          <w:tcPr>
            <w:tcW w:w="646" w:type="pct"/>
            <w:tcBorders>
              <w:top w:val="single" w:sz="4" w:space="0" w:color="auto"/>
              <w:left w:val="nil"/>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r>
      <w:tr w:rsidR="004614D4" w:rsidRPr="00B17639">
        <w:tc>
          <w:tcPr>
            <w:tcW w:w="1063" w:type="pct"/>
            <w:shd w:val="clear" w:color="auto" w:fill="auto"/>
            <w:vAlign w:val="center"/>
          </w:tcPr>
          <w:p w:rsidR="004614D4" w:rsidRPr="00B17639" w:rsidRDefault="004614D4" w:rsidP="004614D4">
            <w:pPr>
              <w:pStyle w:val="TableText"/>
              <w:rPr>
                <w:sz w:val="19"/>
                <w:szCs w:val="19"/>
              </w:rPr>
            </w:pPr>
            <w:r w:rsidRPr="00B17639">
              <w:rPr>
                <w:sz w:val="19"/>
                <w:szCs w:val="19"/>
              </w:rPr>
              <w:t>Co</w:t>
            </w:r>
            <w:r w:rsidR="006C439E" w:rsidRPr="00B17639">
              <w:rPr>
                <w:sz w:val="19"/>
                <w:szCs w:val="19"/>
              </w:rPr>
              <w:t>-</w:t>
            </w:r>
            <w:r w:rsidRPr="00B17639">
              <w:rPr>
                <w:sz w:val="19"/>
                <w:szCs w:val="19"/>
              </w:rPr>
              <w:t>payments</w:t>
            </w:r>
          </w:p>
        </w:tc>
        <w:tc>
          <w:tcPr>
            <w:tcW w:w="646" w:type="pct"/>
            <w:tcBorders>
              <w:top w:val="single" w:sz="4" w:space="0" w:color="auto"/>
              <w:left w:val="nil"/>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w:t>
            </w:r>
          </w:p>
        </w:tc>
      </w:tr>
      <w:tr w:rsidR="004614D4" w:rsidRPr="00B17639">
        <w:tc>
          <w:tcPr>
            <w:tcW w:w="1063" w:type="pct"/>
            <w:shd w:val="clear" w:color="auto" w:fill="auto"/>
            <w:vAlign w:val="center"/>
          </w:tcPr>
          <w:p w:rsidR="004614D4" w:rsidRPr="00B17639" w:rsidRDefault="004614D4" w:rsidP="004614D4">
            <w:pPr>
              <w:pStyle w:val="TableText"/>
              <w:rPr>
                <w:sz w:val="19"/>
                <w:szCs w:val="19"/>
              </w:rPr>
            </w:pPr>
            <w:r w:rsidRPr="00B17639">
              <w:rPr>
                <w:sz w:val="19"/>
                <w:szCs w:val="19"/>
              </w:rPr>
              <w:t>Cost to PBS/</w:t>
            </w:r>
            <w:r w:rsidR="00C00E35" w:rsidRPr="00B17639">
              <w:rPr>
                <w:sz w:val="19"/>
                <w:szCs w:val="19"/>
              </w:rPr>
              <w:t>RPBS less co</w:t>
            </w:r>
            <w:r w:rsidR="006C439E" w:rsidRPr="00B17639">
              <w:rPr>
                <w:sz w:val="19"/>
                <w:szCs w:val="19"/>
              </w:rPr>
              <w:t>-</w:t>
            </w:r>
            <w:r w:rsidR="00C00E35" w:rsidRPr="00B17639">
              <w:rPr>
                <w:sz w:val="19"/>
                <w:szCs w:val="19"/>
              </w:rPr>
              <w:t>payments</w:t>
            </w:r>
          </w:p>
        </w:tc>
        <w:tc>
          <w:tcPr>
            <w:tcW w:w="646" w:type="pct"/>
            <w:tcBorders>
              <w:top w:val="single" w:sz="4" w:space="0" w:color="auto"/>
              <w:left w:val="nil"/>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rsidR="004614D4" w:rsidRPr="0089293C" w:rsidRDefault="0089293C" w:rsidP="004614D4">
            <w:pPr>
              <w:pStyle w:val="TableText"/>
              <w:rPr>
                <w:highlight w:val="black"/>
              </w:rPr>
            </w:pPr>
            <w:r>
              <w:rPr>
                <w:noProof/>
                <w:color w:val="000000"/>
                <w:highlight w:val="black"/>
              </w:rPr>
              <w:t xml:space="preserve">'''''''''''''''''''''''' </w:t>
            </w:r>
          </w:p>
        </w:tc>
      </w:tr>
      <w:tr w:rsidR="004614D4" w:rsidRPr="00B17639">
        <w:tc>
          <w:tcPr>
            <w:tcW w:w="5000" w:type="pct"/>
            <w:gridSpan w:val="7"/>
            <w:shd w:val="clear" w:color="auto" w:fill="auto"/>
            <w:vAlign w:val="center"/>
          </w:tcPr>
          <w:p w:rsidR="004614D4" w:rsidRPr="00B17639" w:rsidRDefault="004614D4" w:rsidP="004614D4">
            <w:pPr>
              <w:pStyle w:val="TableText"/>
              <w:rPr>
                <w:bCs/>
                <w:color w:val="000000"/>
              </w:rPr>
            </w:pPr>
            <w:r w:rsidRPr="00B17639">
              <w:rPr>
                <w:b/>
                <w:bCs/>
                <w:color w:val="000000"/>
              </w:rPr>
              <w:t xml:space="preserve">Estimated financial implications for </w:t>
            </w:r>
            <w:r w:rsidR="001A1B46" w:rsidRPr="00B17639">
              <w:rPr>
                <w:b/>
                <w:bCs/>
                <w:color w:val="000000"/>
              </w:rPr>
              <w:t>everolimus 10</w:t>
            </w:r>
            <w:r w:rsidR="002C231A" w:rsidRPr="00B17639">
              <w:rPr>
                <w:b/>
                <w:bCs/>
                <w:color w:val="000000"/>
              </w:rPr>
              <w:t xml:space="preserve"> </w:t>
            </w:r>
            <w:r w:rsidR="001A1B46" w:rsidRPr="00B17639">
              <w:rPr>
                <w:b/>
                <w:bCs/>
                <w:color w:val="000000"/>
              </w:rPr>
              <w:t>mg tablets (offset)</w:t>
            </w:r>
          </w:p>
        </w:tc>
      </w:tr>
      <w:tr w:rsidR="00331890" w:rsidRPr="00B17639">
        <w:tc>
          <w:tcPr>
            <w:tcW w:w="1063" w:type="pct"/>
            <w:shd w:val="clear" w:color="auto" w:fill="auto"/>
            <w:vAlign w:val="center"/>
          </w:tcPr>
          <w:p w:rsidR="00331890" w:rsidRPr="00B17639" w:rsidRDefault="00331890" w:rsidP="001A1B46">
            <w:pPr>
              <w:pStyle w:val="TableText"/>
              <w:rPr>
                <w:sz w:val="19"/>
                <w:szCs w:val="19"/>
              </w:rPr>
            </w:pPr>
            <w:r w:rsidRPr="00B17639">
              <w:rPr>
                <w:sz w:val="19"/>
                <w:szCs w:val="19"/>
              </w:rPr>
              <w:t>Cost to PBS/RPBS</w:t>
            </w:r>
            <w:r w:rsidR="00133110" w:rsidRPr="00B17639">
              <w:rPr>
                <w:sz w:val="19"/>
                <w:szCs w:val="19"/>
                <w:vertAlign w:val="superscript"/>
              </w:rPr>
              <w:t>c</w:t>
            </w:r>
            <w:r w:rsidRPr="00B17639">
              <w:rPr>
                <w:sz w:val="19"/>
                <w:szCs w:val="19"/>
              </w:rPr>
              <w:t xml:space="preserve"> </w:t>
            </w:r>
          </w:p>
        </w:tc>
        <w:tc>
          <w:tcPr>
            <w:tcW w:w="646" w:type="pct"/>
            <w:tcBorders>
              <w:top w:val="single" w:sz="4" w:space="0" w:color="auto"/>
              <w:left w:val="nil"/>
              <w:bottom w:val="single" w:sz="4" w:space="0" w:color="auto"/>
              <w:right w:val="single" w:sz="4" w:space="0" w:color="auto"/>
            </w:tcBorders>
            <w:shd w:val="clear" w:color="auto" w:fill="auto"/>
            <w:vAlign w:val="bottom"/>
          </w:tcPr>
          <w:p w:rsidR="00331890" w:rsidRPr="0089293C" w:rsidRDefault="0089293C" w:rsidP="001A1B46">
            <w:pPr>
              <w:pStyle w:val="TableText"/>
              <w:rPr>
                <w:highlight w:val="black"/>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rsidR="00331890" w:rsidRPr="0089293C" w:rsidRDefault="0089293C" w:rsidP="001A1B46">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331890" w:rsidRPr="0089293C" w:rsidRDefault="0089293C" w:rsidP="001A1B46">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331890" w:rsidRPr="0089293C" w:rsidRDefault="0089293C" w:rsidP="001A1B46">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331890" w:rsidRPr="0089293C" w:rsidRDefault="0089293C" w:rsidP="001A1B46">
            <w:pPr>
              <w:pStyle w:val="TableText"/>
              <w:rPr>
                <w:highlight w:val="black"/>
              </w:rPr>
            </w:pPr>
            <w:r>
              <w:rPr>
                <w:noProof/>
                <w:color w:val="000000"/>
                <w:highlight w:val="black"/>
              </w:rPr>
              <w: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rsidR="00331890" w:rsidRPr="0089293C" w:rsidRDefault="0089293C" w:rsidP="001A1B46">
            <w:pPr>
              <w:pStyle w:val="TableText"/>
              <w:rPr>
                <w:highlight w:val="black"/>
              </w:rPr>
            </w:pPr>
            <w:r>
              <w:rPr>
                <w:noProof/>
                <w:color w:val="000000"/>
                <w:highlight w:val="black"/>
              </w:rPr>
              <w:t>''''''''''''''''''''''''</w:t>
            </w:r>
          </w:p>
        </w:tc>
      </w:tr>
      <w:tr w:rsidR="00AA5D85" w:rsidRPr="00B17639">
        <w:tc>
          <w:tcPr>
            <w:tcW w:w="1063" w:type="pct"/>
            <w:shd w:val="clear" w:color="auto" w:fill="auto"/>
            <w:vAlign w:val="center"/>
          </w:tcPr>
          <w:p w:rsidR="00AA5D85" w:rsidRPr="00B17639" w:rsidRDefault="00AA5D85" w:rsidP="00384851">
            <w:pPr>
              <w:pStyle w:val="TableText"/>
              <w:rPr>
                <w:sz w:val="19"/>
                <w:szCs w:val="19"/>
              </w:rPr>
            </w:pPr>
            <w:r w:rsidRPr="00B17639">
              <w:rPr>
                <w:sz w:val="19"/>
                <w:szCs w:val="19"/>
              </w:rPr>
              <w:t>Co-payments</w:t>
            </w:r>
            <w:r w:rsidR="00133110" w:rsidRPr="00B17639">
              <w:rPr>
                <w:sz w:val="19"/>
                <w:szCs w:val="19"/>
                <w:vertAlign w:val="superscript"/>
              </w:rPr>
              <w:t>c</w:t>
            </w:r>
          </w:p>
        </w:tc>
        <w:tc>
          <w:tcPr>
            <w:tcW w:w="646" w:type="pct"/>
            <w:tcBorders>
              <w:top w:val="single" w:sz="4" w:space="0" w:color="auto"/>
              <w:left w:val="nil"/>
              <w:bottom w:val="single" w:sz="4" w:space="0" w:color="auto"/>
              <w:right w:val="single" w:sz="4" w:space="0" w:color="auto"/>
            </w:tcBorders>
            <w:shd w:val="clear" w:color="auto" w:fill="auto"/>
            <w:vAlign w:val="bottom"/>
          </w:tcPr>
          <w:p w:rsidR="00AA5D85" w:rsidRPr="0089293C" w:rsidRDefault="0089293C" w:rsidP="00384851">
            <w:pPr>
              <w:pStyle w:val="TableText"/>
              <w:rPr>
                <w:highlight w:val="black"/>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AA5D85" w:rsidRPr="0089293C" w:rsidRDefault="0089293C" w:rsidP="00384851">
            <w:pPr>
              <w:pStyle w:val="TableText"/>
              <w:rPr>
                <w:highlight w:val="black"/>
              </w:rPr>
            </w:pPr>
            <w:r>
              <w:rPr>
                <w:noProof/>
                <w:color w:val="000000"/>
                <w:highlight w:val="black"/>
              </w:rPr>
              <w: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rsidR="00AA5D85" w:rsidRPr="0089293C" w:rsidRDefault="0089293C" w:rsidP="00384851">
            <w:pPr>
              <w:pStyle w:val="TableText"/>
              <w:rPr>
                <w:highlight w:val="black"/>
              </w:rPr>
            </w:pPr>
            <w:r>
              <w:rPr>
                <w:noProof/>
                <w:color w:val="000000"/>
                <w:highlight w:val="black"/>
              </w:rPr>
              <w:t>'''''''''''''''''''''</w:t>
            </w:r>
          </w:p>
        </w:tc>
      </w:tr>
      <w:tr w:rsidR="00AA5D85" w:rsidRPr="00B17639">
        <w:trPr>
          <w:trHeight w:val="576"/>
        </w:trPr>
        <w:tc>
          <w:tcPr>
            <w:tcW w:w="1063" w:type="pct"/>
            <w:shd w:val="clear" w:color="auto" w:fill="auto"/>
          </w:tcPr>
          <w:p w:rsidR="00AA5D85" w:rsidRPr="00B17639" w:rsidRDefault="00AA5D85" w:rsidP="00707CBE">
            <w:pPr>
              <w:pStyle w:val="TableText"/>
              <w:rPr>
                <w:sz w:val="19"/>
                <w:szCs w:val="19"/>
                <w:highlight w:val="yellow"/>
              </w:rPr>
            </w:pPr>
            <w:r w:rsidRPr="00B17639">
              <w:t>Cost to PBS/RPBS less co-payments</w:t>
            </w:r>
            <w:r w:rsidR="00133110" w:rsidRPr="00B17639">
              <w:rPr>
                <w:vertAlign w:val="superscript"/>
              </w:rPr>
              <w:t xml:space="preserve">c </w:t>
            </w:r>
          </w:p>
        </w:tc>
        <w:tc>
          <w:tcPr>
            <w:tcW w:w="646" w:type="pct"/>
            <w:tcBorders>
              <w:top w:val="single" w:sz="4" w:space="0" w:color="auto"/>
              <w:left w:val="nil"/>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r>
      <w:tr w:rsidR="00AA5D85" w:rsidRPr="00B17639">
        <w:tc>
          <w:tcPr>
            <w:tcW w:w="5000" w:type="pct"/>
            <w:gridSpan w:val="7"/>
            <w:shd w:val="clear" w:color="auto" w:fill="auto"/>
            <w:vAlign w:val="center"/>
          </w:tcPr>
          <w:p w:rsidR="00AA5D85" w:rsidRPr="00B17639" w:rsidRDefault="00AA5D85" w:rsidP="00384851">
            <w:pPr>
              <w:pStyle w:val="TableText"/>
              <w:rPr>
                <w:b/>
                <w:bCs/>
                <w:color w:val="000000"/>
              </w:rPr>
            </w:pPr>
            <w:r w:rsidRPr="00B17639">
              <w:rPr>
                <w:b/>
                <w:bCs/>
                <w:color w:val="000000"/>
              </w:rPr>
              <w:t>Net financial implications</w:t>
            </w:r>
            <w:r w:rsidRPr="00B17639">
              <w:rPr>
                <w:b/>
                <w:bCs/>
                <w:color w:val="5B9BD5" w:themeColor="accent5"/>
              </w:rPr>
              <w:t xml:space="preserve"> </w:t>
            </w:r>
            <w:r w:rsidRPr="00B17639">
              <w:rPr>
                <w:b/>
                <w:bCs/>
              </w:rPr>
              <w:t>to PBS/RPBS</w:t>
            </w:r>
          </w:p>
        </w:tc>
      </w:tr>
      <w:tr w:rsidR="00AA5D85" w:rsidRPr="00B17639">
        <w:tc>
          <w:tcPr>
            <w:tcW w:w="1063" w:type="pct"/>
            <w:shd w:val="clear" w:color="auto" w:fill="auto"/>
          </w:tcPr>
          <w:p w:rsidR="00AA5D85" w:rsidRPr="00B17639" w:rsidRDefault="00AA5D85" w:rsidP="00384851">
            <w:pPr>
              <w:pStyle w:val="TableText"/>
              <w:rPr>
                <w:sz w:val="19"/>
                <w:szCs w:val="19"/>
              </w:rPr>
            </w:pPr>
            <w:r w:rsidRPr="00B17639">
              <w:t>Net cost to PBS/RPBS</w:t>
            </w:r>
            <w:r w:rsidR="00133110" w:rsidRPr="00B17639">
              <w:rPr>
                <w:vertAlign w:val="superscript"/>
              </w:rPr>
              <w:t>c</w:t>
            </w:r>
            <w:r w:rsidRPr="00B17639">
              <w:t xml:space="preserve"> </w:t>
            </w:r>
          </w:p>
        </w:tc>
        <w:tc>
          <w:tcPr>
            <w:tcW w:w="646" w:type="pct"/>
            <w:tcBorders>
              <w:top w:val="single" w:sz="4" w:space="0" w:color="auto"/>
              <w:left w:val="nil"/>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AA5D85" w:rsidRPr="0089293C" w:rsidRDefault="0089293C" w:rsidP="00384851">
            <w:pPr>
              <w:pStyle w:val="TableText"/>
              <w:rPr>
                <w:highlight w:val="black"/>
              </w:rPr>
            </w:pPr>
            <w:r>
              <w:rPr>
                <w:noProof/>
                <w:color w:val="000000"/>
                <w:highlight w:val="black"/>
              </w:rPr>
              <w:t xml:space="preserve">''''''''''''''''''''''''''''' </w:t>
            </w:r>
          </w:p>
        </w:tc>
      </w:tr>
    </w:tbl>
    <w:p w:rsidR="00C317F3" w:rsidRPr="00B17639" w:rsidRDefault="00C317F3" w:rsidP="00CE1B6C">
      <w:pPr>
        <w:pStyle w:val="TableFooter"/>
      </w:pPr>
      <w:r w:rsidRPr="00B17639">
        <w:t xml:space="preserve">Source: </w:t>
      </w:r>
      <w:r w:rsidR="00150593" w:rsidRPr="00B17639">
        <w:t>developed for the commentary, using data from tables 4-5, 4-9, 4-12, 4-13, 4-17 and 4-19, pages 176-184 of submission.</w:t>
      </w:r>
    </w:p>
    <w:p w:rsidR="00F8017D" w:rsidRPr="00B17639" w:rsidRDefault="00F8017D" w:rsidP="00CE1B6C">
      <w:pPr>
        <w:pStyle w:val="TableFooter"/>
      </w:pPr>
      <w:r w:rsidRPr="00B17639">
        <w:t>Notes:</w:t>
      </w:r>
      <w:r w:rsidR="00CE1B6C" w:rsidRPr="00B17639">
        <w:t xml:space="preserve"> </w:t>
      </w:r>
      <w:r w:rsidRPr="00B17639">
        <w:t xml:space="preserve"> </w:t>
      </w:r>
      <w:r w:rsidRPr="00B17639">
        <w:rPr>
          <w:vertAlign w:val="superscript"/>
        </w:rPr>
        <w:t>a</w:t>
      </w:r>
      <w:r w:rsidRPr="00B17639">
        <w:t xml:space="preserve"> Each script is assumed to require the dispensing of 30 lenvatinib 4</w:t>
      </w:r>
      <w:r w:rsidR="00C57D65" w:rsidRPr="00B17639">
        <w:t xml:space="preserve"> </w:t>
      </w:r>
      <w:r w:rsidRPr="00B17639">
        <w:t>mg capsules, 30 lenvatinib 10</w:t>
      </w:r>
      <w:r w:rsidR="00C57D65" w:rsidRPr="00B17639">
        <w:t xml:space="preserve"> </w:t>
      </w:r>
      <w:r w:rsidRPr="00B17639">
        <w:t>mg capsules and 30 everolimus 5</w:t>
      </w:r>
      <w:r w:rsidR="00C57D65" w:rsidRPr="00B17639">
        <w:t xml:space="preserve"> </w:t>
      </w:r>
      <w:r w:rsidRPr="00B17639">
        <w:t>mg tablets.</w:t>
      </w:r>
    </w:p>
    <w:p w:rsidR="00C00E35" w:rsidRPr="00B17639" w:rsidRDefault="00C00E35" w:rsidP="00CE1B6C">
      <w:pPr>
        <w:pStyle w:val="TableFooter"/>
        <w:rPr>
          <w:rFonts w:eastAsia="Calibri" w:cs="Times New Roman"/>
          <w:szCs w:val="18"/>
        </w:rPr>
      </w:pPr>
      <w:r w:rsidRPr="00B17639">
        <w:rPr>
          <w:rFonts w:eastAsia="Calibri" w:cs="Times New Roman"/>
          <w:szCs w:val="18"/>
          <w:vertAlign w:val="superscript"/>
        </w:rPr>
        <w:t>b</w:t>
      </w:r>
      <w:r w:rsidRPr="00B17639">
        <w:rPr>
          <w:rFonts w:eastAsia="Calibri" w:cs="Times New Roman"/>
          <w:szCs w:val="18"/>
        </w:rPr>
        <w:t xml:space="preserve"> </w:t>
      </w:r>
      <w:r w:rsidR="00BE3AA5" w:rsidRPr="00B17639">
        <w:rPr>
          <w:rFonts w:eastAsia="Calibri" w:cs="Times New Roman"/>
          <w:szCs w:val="18"/>
        </w:rPr>
        <w:t xml:space="preserve">There was a typographical error in Table 4-9 of submission with the figure </w:t>
      </w:r>
      <w:r w:rsidR="0089293C">
        <w:rPr>
          <w:rFonts w:eastAsia="Calibri" w:cs="Times New Roman"/>
          <w:noProof/>
          <w:color w:val="000000"/>
          <w:szCs w:val="18"/>
          <w:highlight w:val="black"/>
        </w:rPr>
        <w:t>'''''''''''''''</w:t>
      </w:r>
      <w:r w:rsidR="00F01BF1" w:rsidRPr="00B17639">
        <w:rPr>
          <w:rFonts w:eastAsia="Calibri" w:cs="Times New Roman"/>
          <w:szCs w:val="18"/>
        </w:rPr>
        <w:t xml:space="preserve"> repeated for each of the years.</w:t>
      </w:r>
    </w:p>
    <w:p w:rsidR="005D3821" w:rsidRDefault="00133110" w:rsidP="00CE1B6C">
      <w:pPr>
        <w:pStyle w:val="TableFooter"/>
      </w:pPr>
      <w:r w:rsidRPr="00B17639">
        <w:rPr>
          <w:rFonts w:eastAsia="Calibri" w:cs="Times New Roman"/>
          <w:szCs w:val="18"/>
          <w:vertAlign w:val="superscript"/>
        </w:rPr>
        <w:t xml:space="preserve">c </w:t>
      </w:r>
      <w:r w:rsidRPr="00B17639">
        <w:rPr>
          <w:rFonts w:eastAsia="Calibri" w:cs="Times New Roman"/>
          <w:szCs w:val="18"/>
        </w:rPr>
        <w:t xml:space="preserve">These values were corrected during the evaluation as </w:t>
      </w:r>
      <w:r w:rsidRPr="00B17639">
        <w:t xml:space="preserve">alternative estimate of everolimus PBS utilisation shown in an attachment were used in calculation but not used in the submission. </w:t>
      </w:r>
    </w:p>
    <w:p w:rsidR="0049446A" w:rsidRDefault="005D3821" w:rsidP="00CE1B6C">
      <w:pPr>
        <w:pStyle w:val="TableFooter"/>
      </w:pPr>
      <w:r>
        <w:t>Abbreviations</w:t>
      </w:r>
      <w:r w:rsidR="00E50E48">
        <w:t xml:space="preserve">: </w:t>
      </w:r>
      <w:r>
        <w:t xml:space="preserve">PBS, Pharmaceutical Benefits Scheme; RPBS, Repatriation Pharmaceutical Benefits Scheme. </w:t>
      </w:r>
    </w:p>
    <w:p w:rsidR="00133110" w:rsidRPr="00B17639" w:rsidRDefault="00133110" w:rsidP="00CE1B6C">
      <w:pPr>
        <w:pStyle w:val="TableFooter"/>
      </w:pPr>
    </w:p>
    <w:p w:rsidR="005F5C71" w:rsidRDefault="005F5C71" w:rsidP="005452C5">
      <w:pPr>
        <w:numPr>
          <w:ilvl w:val="1"/>
          <w:numId w:val="1"/>
        </w:numPr>
        <w:jc w:val="both"/>
      </w:pPr>
      <w:r>
        <w:t xml:space="preserve">At year 6, the estimated number of patients was </w:t>
      </w:r>
      <w:r w:rsidR="00D16956">
        <w:t xml:space="preserve">less than 10,000 per year </w:t>
      </w:r>
      <w:r>
        <w:t xml:space="preserve">and the net cost to the PBS would be </w:t>
      </w:r>
      <w:r w:rsidR="00D16956">
        <w:t>less than $10 million</w:t>
      </w:r>
      <w:r w:rsidR="00E827E3">
        <w:t xml:space="preserve"> per annum</w:t>
      </w:r>
      <w:r>
        <w:t>.</w:t>
      </w:r>
    </w:p>
    <w:p w:rsidR="00150593" w:rsidRPr="00ED49C8" w:rsidRDefault="002A6E7B" w:rsidP="005452C5">
      <w:pPr>
        <w:numPr>
          <w:ilvl w:val="1"/>
          <w:numId w:val="1"/>
        </w:numPr>
        <w:jc w:val="both"/>
      </w:pPr>
      <w:r>
        <w:t xml:space="preserve">This cost is based on the published price for everolimus. The </w:t>
      </w:r>
      <w:r w:rsidR="00C57D65" w:rsidRPr="00663E5A">
        <w:t xml:space="preserve">net </w:t>
      </w:r>
      <w:r w:rsidR="00D53324" w:rsidRPr="00663E5A">
        <w:t xml:space="preserve">cost </w:t>
      </w:r>
      <w:r w:rsidR="00C57D65" w:rsidRPr="00663E5A">
        <w:t xml:space="preserve">to Government </w:t>
      </w:r>
      <w:r>
        <w:t>using</w:t>
      </w:r>
      <w:r w:rsidR="00C57D65" w:rsidRPr="00663E5A">
        <w:t xml:space="preserve"> the everolimus effective price </w:t>
      </w:r>
      <w:r w:rsidR="00D12751">
        <w:t>was assessed during the evaluation</w:t>
      </w:r>
      <w:r w:rsidR="005131E1" w:rsidRPr="00663E5A">
        <w:t xml:space="preserve">. </w:t>
      </w:r>
    </w:p>
    <w:p w:rsidR="00CF1311" w:rsidRPr="00B17639" w:rsidRDefault="00150593" w:rsidP="005452C5">
      <w:pPr>
        <w:numPr>
          <w:ilvl w:val="1"/>
          <w:numId w:val="1"/>
        </w:numPr>
        <w:jc w:val="both"/>
      </w:pPr>
      <w:r w:rsidRPr="00B17639">
        <w:t xml:space="preserve">The submission made a claim that there </w:t>
      </w:r>
      <w:r w:rsidR="00A81837" w:rsidRPr="00B17639">
        <w:t xml:space="preserve">was </w:t>
      </w:r>
      <w:r w:rsidRPr="00B17639">
        <w:t>no additional or reduced use of MBS items anticipated with the PBS listing of lenvatinib as a treatment for RCC. This claim is not reasonable. In the economic model direct medical costs associated with oncologist examination</w:t>
      </w:r>
      <w:r w:rsidR="00A81837" w:rsidRPr="00B17639">
        <w:t>s</w:t>
      </w:r>
      <w:r w:rsidRPr="00B17639">
        <w:t xml:space="preserve">, CT scans, GP visits and blood tests </w:t>
      </w:r>
      <w:r w:rsidR="00A81837" w:rsidRPr="00B17639">
        <w:t>were</w:t>
      </w:r>
      <w:r w:rsidRPr="00B17639">
        <w:t xml:space="preserve"> applied on a per cycle basis in both treatment arms. On the basis of assumed longer survival, these costs would therefore be greater for lenvatinib/everolimus than for everolimus monotherapy.</w:t>
      </w:r>
      <w:r w:rsidR="009953AF" w:rsidRPr="00B17639">
        <w:t xml:space="preserve"> </w:t>
      </w:r>
    </w:p>
    <w:p w:rsidR="005C500C" w:rsidRDefault="009953AF" w:rsidP="00B71B83">
      <w:pPr>
        <w:numPr>
          <w:ilvl w:val="1"/>
          <w:numId w:val="1"/>
        </w:numPr>
        <w:jc w:val="both"/>
      </w:pPr>
      <w:r w:rsidRPr="00B17639">
        <w:t>A significant contributor to uncertainty in the</w:t>
      </w:r>
      <w:r w:rsidR="00A81837" w:rsidRPr="00B17639">
        <w:t xml:space="preserve"> financial </w:t>
      </w:r>
      <w:r w:rsidRPr="00B17639">
        <w:t xml:space="preserve">estimates was the manner in which duration of therapy </w:t>
      </w:r>
      <w:r w:rsidR="00A81837" w:rsidRPr="00B17639">
        <w:t xml:space="preserve">was </w:t>
      </w:r>
      <w:r w:rsidRPr="00B17639">
        <w:t>estimated.</w:t>
      </w:r>
      <w:r w:rsidR="00B71B83">
        <w:t xml:space="preserve"> </w:t>
      </w:r>
      <w:r w:rsidR="001D586C" w:rsidRPr="00B17639">
        <w:t xml:space="preserve">The derived estimates took into account the mean dose of drug administered in the trial and the median reported duration of therapy. The mean duration of treatment reported in the trial was longer than the </w:t>
      </w:r>
      <w:r w:rsidR="001D586C" w:rsidRPr="00B17639">
        <w:lastRenderedPageBreak/>
        <w:t>median (</w:t>
      </w:r>
      <w:r w:rsidR="0089293C">
        <w:rPr>
          <w:noProof/>
          <w:color w:val="000000"/>
          <w:highlight w:val="black"/>
        </w:rPr>
        <w:t>''''''''</w:t>
      </w:r>
      <w:r w:rsidR="001D586C" w:rsidRPr="00B17639">
        <w:t xml:space="preserve"> days versus 235 days) and it is likely that the mean time to progression would be longer than the median. </w:t>
      </w:r>
      <w:r w:rsidR="00065290" w:rsidRPr="00B17639">
        <w:t>Consequently t</w:t>
      </w:r>
      <w:r w:rsidR="00A81837" w:rsidRPr="00B17639">
        <w:t>he approach taken in the submission may ha</w:t>
      </w:r>
      <w:r w:rsidR="002220A6">
        <w:t>ve underestimated the financial impac</w:t>
      </w:r>
      <w:r w:rsidR="005C500C">
        <w:t>t.</w:t>
      </w:r>
    </w:p>
    <w:p w:rsidR="005C500C" w:rsidRPr="00493936" w:rsidRDefault="00CD50C7" w:rsidP="00A178F2">
      <w:pPr>
        <w:pStyle w:val="Heading2"/>
      </w:pPr>
      <w:r w:rsidRPr="00493936">
        <w:t>Risk Sharing Arrangement</w:t>
      </w:r>
    </w:p>
    <w:p w:rsidR="00CD50C7" w:rsidRDefault="003745CF" w:rsidP="005452C5">
      <w:pPr>
        <w:numPr>
          <w:ilvl w:val="1"/>
          <w:numId w:val="1"/>
        </w:numPr>
        <w:jc w:val="both"/>
      </w:pPr>
      <w:r w:rsidRPr="00143691">
        <w:t>T</w:t>
      </w:r>
      <w:r w:rsidR="00CD50C7" w:rsidRPr="00143691">
        <w:t xml:space="preserve">he </w:t>
      </w:r>
      <w:r w:rsidR="00694676">
        <w:t xml:space="preserve">PBAC noted the </w:t>
      </w:r>
      <w:r w:rsidR="00CD50C7" w:rsidRPr="00143691">
        <w:t>PSCR</w:t>
      </w:r>
      <w:r w:rsidR="003C5B89">
        <w:t xml:space="preserve"> (p4)</w:t>
      </w:r>
      <w:r w:rsidR="00CD50C7" w:rsidRPr="00143691">
        <w:t xml:space="preserve"> proposed a risk sharing arrangement</w:t>
      </w:r>
      <w:r w:rsidRPr="00143691">
        <w:t xml:space="preserve"> (RSA)</w:t>
      </w:r>
      <w:r w:rsidR="00CD50C7" w:rsidRPr="00143691">
        <w:t xml:space="preserve"> to mitigate the financial risk to Government </w:t>
      </w:r>
      <w:r w:rsidRPr="00143691">
        <w:t xml:space="preserve">from uncertainty due to the dosing and the duration of treatment with lenvatinib/everolimus in clinical practice. The proposed RSA contained caps on expenditure beyond which </w:t>
      </w:r>
      <w:r w:rsidR="00CD50C7" w:rsidRPr="00143691">
        <w:t xml:space="preserve">an agreed percentage of expenditure on lenvatinib </w:t>
      </w:r>
      <w:r w:rsidRPr="00143691">
        <w:t>would be rebated</w:t>
      </w:r>
      <w:r w:rsidR="00CD50C7" w:rsidRPr="00143691">
        <w:t xml:space="preserve">. </w:t>
      </w:r>
    </w:p>
    <w:p w:rsidR="00D233D8" w:rsidRPr="005452C5" w:rsidRDefault="00D233D8" w:rsidP="00D233D8">
      <w:pPr>
        <w:ind w:firstLine="576"/>
        <w:rPr>
          <w:i/>
        </w:rPr>
      </w:pPr>
      <w:r w:rsidRPr="005D2C96">
        <w:rPr>
          <w:i/>
        </w:rPr>
        <w:t>For more detail on PBAC’s view, see section 7 “PBAC outcome”</w:t>
      </w:r>
    </w:p>
    <w:p w:rsidR="00D233D8" w:rsidRDefault="00D233D8" w:rsidP="002765DA">
      <w:pPr>
        <w:jc w:val="center"/>
        <w:rPr>
          <w:b/>
          <w:u w:val="single"/>
        </w:rPr>
      </w:pPr>
    </w:p>
    <w:p w:rsidR="005452C5" w:rsidRPr="00006812" w:rsidRDefault="005452C5" w:rsidP="005452C5">
      <w:pPr>
        <w:pStyle w:val="Heading1"/>
        <w:ind w:left="709" w:hanging="709"/>
        <w:rPr>
          <w:rFonts w:cs="Arial"/>
          <w:b w:val="0"/>
          <w:bCs/>
          <w:snapToGrid w:val="0"/>
        </w:rPr>
      </w:pPr>
      <w:r w:rsidRPr="00006812">
        <w:t>PBAC</w:t>
      </w:r>
      <w:r w:rsidRPr="00006812">
        <w:rPr>
          <w:rFonts w:cs="Arial"/>
          <w:bCs/>
          <w:snapToGrid w:val="0"/>
        </w:rPr>
        <w:t xml:space="preserve"> Outcome</w:t>
      </w:r>
    </w:p>
    <w:p w:rsidR="00006812" w:rsidRDefault="000E77B8" w:rsidP="005452C5">
      <w:pPr>
        <w:pStyle w:val="ListParagraph"/>
        <w:numPr>
          <w:ilvl w:val="1"/>
          <w:numId w:val="1"/>
        </w:numPr>
        <w:spacing w:before="0" w:after="120"/>
        <w:jc w:val="both"/>
        <w:rPr>
          <w:rFonts w:cs="Arial"/>
          <w:bCs/>
          <w:snapToGrid w:val="0"/>
          <w:lang w:val="en-GB"/>
        </w:rPr>
      </w:pPr>
      <w:r>
        <w:rPr>
          <w:rFonts w:cs="Arial"/>
          <w:bCs/>
          <w:snapToGrid w:val="0"/>
          <w:lang w:val="en-GB"/>
        </w:rPr>
        <w:t>The PBAC did not recommend the listing of lenvatinib f</w:t>
      </w:r>
      <w:r w:rsidR="0033157F">
        <w:rPr>
          <w:rFonts w:cs="Arial"/>
          <w:bCs/>
          <w:snapToGrid w:val="0"/>
          <w:lang w:val="en-GB"/>
        </w:rPr>
        <w:t>or advanced RCC</w:t>
      </w:r>
      <w:r>
        <w:rPr>
          <w:rFonts w:cs="Arial"/>
          <w:bCs/>
          <w:snapToGrid w:val="0"/>
          <w:lang w:val="en-GB"/>
        </w:rPr>
        <w:t xml:space="preserve"> </w:t>
      </w:r>
      <w:r w:rsidR="00DD2977">
        <w:rPr>
          <w:rFonts w:cs="Arial"/>
          <w:bCs/>
          <w:snapToGrid w:val="0"/>
          <w:lang w:val="en-GB"/>
        </w:rPr>
        <w:t xml:space="preserve">on the basis that the clinical need and the clinical place in therapy were not adequately established. </w:t>
      </w:r>
      <w:r w:rsidR="00834D43">
        <w:rPr>
          <w:rFonts w:cs="Arial"/>
          <w:bCs/>
          <w:snapToGrid w:val="0"/>
          <w:lang w:val="en-GB"/>
        </w:rPr>
        <w:t>In addition, t</w:t>
      </w:r>
      <w:r w:rsidR="00DD2977">
        <w:rPr>
          <w:rFonts w:cs="Arial"/>
          <w:bCs/>
          <w:snapToGrid w:val="0"/>
          <w:lang w:val="en-GB"/>
        </w:rPr>
        <w:t>he PBAC considered that the magnitude of the</w:t>
      </w:r>
      <w:r w:rsidR="00834D43">
        <w:rPr>
          <w:rFonts w:cs="Arial"/>
          <w:bCs/>
          <w:snapToGrid w:val="0"/>
          <w:lang w:val="en-GB"/>
        </w:rPr>
        <w:t xml:space="preserve"> clinical benefit was uncertain</w:t>
      </w:r>
      <w:r w:rsidR="00183FAF">
        <w:rPr>
          <w:rFonts w:cs="Arial"/>
          <w:bCs/>
          <w:snapToGrid w:val="0"/>
          <w:lang w:val="en-GB"/>
        </w:rPr>
        <w:t xml:space="preserve"> due to the small sample size of the key clinical trial</w:t>
      </w:r>
      <w:r w:rsidR="003613EB">
        <w:rPr>
          <w:rFonts w:cs="Arial"/>
          <w:bCs/>
          <w:snapToGrid w:val="0"/>
          <w:lang w:val="en-GB"/>
        </w:rPr>
        <w:t xml:space="preserve"> (Study 205)</w:t>
      </w:r>
      <w:r w:rsidR="00834D43">
        <w:rPr>
          <w:rFonts w:cs="Arial"/>
          <w:bCs/>
          <w:snapToGrid w:val="0"/>
          <w:lang w:val="en-GB"/>
        </w:rPr>
        <w:t xml:space="preserve">. The </w:t>
      </w:r>
      <w:r w:rsidR="00926519">
        <w:rPr>
          <w:rFonts w:cs="Arial"/>
          <w:bCs/>
          <w:snapToGrid w:val="0"/>
          <w:lang w:val="en-GB"/>
        </w:rPr>
        <w:t>PBAC considered the cost-effectiveness of lenvat</w:t>
      </w:r>
      <w:r w:rsidR="00FD49E6">
        <w:rPr>
          <w:rFonts w:cs="Arial"/>
          <w:bCs/>
          <w:snapToGrid w:val="0"/>
          <w:lang w:val="en-GB"/>
        </w:rPr>
        <w:t>inib was unable to be established</w:t>
      </w:r>
      <w:r w:rsidR="00EE315D">
        <w:rPr>
          <w:rFonts w:cs="Arial"/>
          <w:bCs/>
          <w:snapToGrid w:val="0"/>
          <w:lang w:val="en-GB"/>
        </w:rPr>
        <w:t>,</w:t>
      </w:r>
      <w:r w:rsidR="008432C4">
        <w:rPr>
          <w:rFonts w:cs="Arial"/>
          <w:bCs/>
          <w:snapToGrid w:val="0"/>
          <w:lang w:val="en-GB"/>
        </w:rPr>
        <w:t xml:space="preserve"> as the clinical place in therapy and hence the appropriate comparator for the evaluation, were uncertain</w:t>
      </w:r>
      <w:r w:rsidR="00926519">
        <w:rPr>
          <w:rFonts w:cs="Arial"/>
          <w:bCs/>
          <w:snapToGrid w:val="0"/>
          <w:lang w:val="en-GB"/>
        </w:rPr>
        <w:t>.</w:t>
      </w:r>
      <w:r w:rsidR="00834D43">
        <w:rPr>
          <w:rFonts w:cs="Arial"/>
          <w:bCs/>
          <w:snapToGrid w:val="0"/>
          <w:lang w:val="en-GB"/>
        </w:rPr>
        <w:t xml:space="preserve"> </w:t>
      </w:r>
    </w:p>
    <w:p w:rsidR="00570FFD" w:rsidRDefault="00570FFD" w:rsidP="006E27AD">
      <w:pPr>
        <w:pStyle w:val="ListParagraph"/>
        <w:numPr>
          <w:ilvl w:val="1"/>
          <w:numId w:val="1"/>
        </w:numPr>
        <w:jc w:val="both"/>
      </w:pPr>
      <w:r>
        <w:t>The PBAC noted that there are many established therapies for advanced RCC with two f</w:t>
      </w:r>
      <w:r w:rsidRPr="00BE42A7">
        <w:t xml:space="preserve">irst line </w:t>
      </w:r>
      <w:r>
        <w:t>and four second line therapy</w:t>
      </w:r>
      <w:r w:rsidRPr="00BE42A7">
        <w:t xml:space="preserve"> options </w:t>
      </w:r>
      <w:r>
        <w:t xml:space="preserve">currently PBS listed. The PBAC </w:t>
      </w:r>
      <w:r w:rsidR="00517040">
        <w:t xml:space="preserve">considered that concerns regarding the magnitude of clinical benefit and the toxicity profile of lenvatinib/everolimus when compared with </w:t>
      </w:r>
      <w:r w:rsidR="00C22F79">
        <w:t>two existing treatments (</w:t>
      </w:r>
      <w:r w:rsidR="00517040">
        <w:t>everolimus</w:t>
      </w:r>
      <w:r>
        <w:t xml:space="preserve"> </w:t>
      </w:r>
      <w:r w:rsidR="00517040">
        <w:t>and nivolumab</w:t>
      </w:r>
      <w:r w:rsidR="00C22F79">
        <w:t>)</w:t>
      </w:r>
      <w:r w:rsidR="00517040">
        <w:t xml:space="preserve"> meant that its clinical place in therapy was unclear. </w:t>
      </w:r>
    </w:p>
    <w:p w:rsidR="00AD4890" w:rsidRDefault="00EE08AD" w:rsidP="006E27AD">
      <w:pPr>
        <w:pStyle w:val="ListParagraph"/>
        <w:numPr>
          <w:ilvl w:val="1"/>
          <w:numId w:val="1"/>
        </w:numPr>
        <w:jc w:val="both"/>
      </w:pPr>
      <w:r>
        <w:t xml:space="preserve">The PBAC </w:t>
      </w:r>
      <w:r w:rsidR="00F60C78">
        <w:t xml:space="preserve">noted </w:t>
      </w:r>
      <w:r w:rsidR="00AD4890">
        <w:t>that</w:t>
      </w:r>
      <w:r w:rsidR="00E57E3D">
        <w:t xml:space="preserve"> Study 205 only enrolled patients with an </w:t>
      </w:r>
      <w:r w:rsidR="00AD4890">
        <w:t>ECOG performance status</w:t>
      </w:r>
      <w:r w:rsidR="00E57E3D">
        <w:t xml:space="preserve"> </w:t>
      </w:r>
      <w:r w:rsidR="00A45C6B">
        <w:t xml:space="preserve">≤ </w:t>
      </w:r>
      <w:r w:rsidR="00E57E3D">
        <w:t>1</w:t>
      </w:r>
      <w:r w:rsidR="00EE315D">
        <w:t>,</w:t>
      </w:r>
      <w:r w:rsidR="00E57E3D">
        <w:t xml:space="preserve"> while the proposed PBS restriction </w:t>
      </w:r>
      <w:r w:rsidR="000E6913">
        <w:t>would allow</w:t>
      </w:r>
      <w:r w:rsidR="00E57E3D">
        <w:t xml:space="preserve"> access to treatment for those with a poorer ECOG performance status of ≤ 2</w:t>
      </w:r>
      <w:r w:rsidR="00AD4890">
        <w:t xml:space="preserve">. The PBAC considered </w:t>
      </w:r>
      <w:r w:rsidR="00226F55">
        <w:t xml:space="preserve">that </w:t>
      </w:r>
      <w:r w:rsidR="00AD4890">
        <w:t xml:space="preserve">in practice </w:t>
      </w:r>
      <w:r w:rsidR="00CD458C">
        <w:t>lenvatinib/everolimus</w:t>
      </w:r>
      <w:r>
        <w:t xml:space="preserve"> </w:t>
      </w:r>
      <w:r w:rsidR="00AD4890">
        <w:t xml:space="preserve">toxicity concerns would likely restrict use to patients with a performance status </w:t>
      </w:r>
      <w:r w:rsidR="00E55F2C">
        <w:t xml:space="preserve">of </w:t>
      </w:r>
      <w:r w:rsidR="00226F55">
        <w:t xml:space="preserve">≤ 1. </w:t>
      </w:r>
      <w:r w:rsidR="003613EB">
        <w:t xml:space="preserve"> </w:t>
      </w:r>
    </w:p>
    <w:p w:rsidR="00CE6DA6" w:rsidRDefault="00BF203D" w:rsidP="00EE08AD">
      <w:pPr>
        <w:pStyle w:val="ListParagraph"/>
        <w:numPr>
          <w:ilvl w:val="1"/>
          <w:numId w:val="1"/>
        </w:numPr>
        <w:jc w:val="both"/>
      </w:pPr>
      <w:r>
        <w:t>The PBAC noted that the submission nominated e</w:t>
      </w:r>
      <w:r w:rsidR="00155920">
        <w:t>verolimus as the main</w:t>
      </w:r>
      <w:r w:rsidR="00CE6DA6">
        <w:t xml:space="preserve"> and </w:t>
      </w:r>
      <w:r w:rsidR="00155920">
        <w:t>nivolumab as a secondary</w:t>
      </w:r>
      <w:r w:rsidR="00CE6DA6">
        <w:t xml:space="preserve"> comparator</w:t>
      </w:r>
      <w:r w:rsidR="00D134D7">
        <w:t xml:space="preserve"> with axitinib and cabozantinib as supplementary comparators. </w:t>
      </w:r>
      <w:r w:rsidR="00733E56">
        <w:t xml:space="preserve">The PBAC reiterated that the clinical place in therapy of lenvatinib/everolimus was unclear given the treatments currently available. The PBAC considered that until the clinical place in therapy is established an appropriate comparator for lenvatinib/everolimus cannot be determined. </w:t>
      </w:r>
    </w:p>
    <w:p w:rsidR="000A3346" w:rsidRDefault="006129E2" w:rsidP="00EE08AD">
      <w:pPr>
        <w:pStyle w:val="ListParagraph"/>
        <w:numPr>
          <w:ilvl w:val="1"/>
          <w:numId w:val="1"/>
        </w:numPr>
        <w:jc w:val="both"/>
      </w:pPr>
      <w:r>
        <w:t>The PBAC noted the submission claimed super</w:t>
      </w:r>
      <w:r w:rsidR="00CD458C">
        <w:t>ior efficacy for lenvatinib/</w:t>
      </w:r>
      <w:r>
        <w:t>everolimus over everolimus monotherapy in terms of PFS and OS. The PBAC considered these claims were not well supported by the data</w:t>
      </w:r>
      <w:r w:rsidR="008801A7">
        <w:t>,</w:t>
      </w:r>
      <w:r>
        <w:t xml:space="preserve"> as Study 205 was a small phase II trial which was subject to bias due to its open-label design and use of investigator assessment for progression. </w:t>
      </w:r>
      <w:r w:rsidR="00746EA1">
        <w:t>T</w:t>
      </w:r>
      <w:r w:rsidR="00983F61">
        <w:t xml:space="preserve">he PBAC </w:t>
      </w:r>
      <w:r w:rsidR="00746EA1">
        <w:t>considered some uncertainty in the magnitude of PFS gain remains</w:t>
      </w:r>
      <w:r w:rsidR="008801A7">
        <w:t>,</w:t>
      </w:r>
      <w:r w:rsidR="00746EA1">
        <w:t xml:space="preserve"> given the difference between the trial based assessment and the </w:t>
      </w:r>
      <w:r w:rsidR="00746EA1">
        <w:lastRenderedPageBreak/>
        <w:t xml:space="preserve">independent review. </w:t>
      </w:r>
      <w:r w:rsidR="00AB3A67">
        <w:t xml:space="preserve">In addition, the PBAC did not accept the claim of superior effectiveness for the outcome of OS. </w:t>
      </w:r>
      <w:r w:rsidR="006A128D">
        <w:t xml:space="preserve">The PBAC </w:t>
      </w:r>
      <w:r w:rsidR="00DA392F">
        <w:t>was concerned that the magnitude of the reported OS gain was uncertain</w:t>
      </w:r>
      <w:r w:rsidR="00CD458C">
        <w:t xml:space="preserve"> and noted </w:t>
      </w:r>
      <w:r w:rsidR="0040000E">
        <w:t xml:space="preserve">the trial </w:t>
      </w:r>
      <w:r w:rsidR="00CD458C">
        <w:t xml:space="preserve">was </w:t>
      </w:r>
      <w:r w:rsidR="0040000E">
        <w:t>not powered to detect such a difference.</w:t>
      </w:r>
    </w:p>
    <w:p w:rsidR="00E378BC" w:rsidRDefault="001067D4" w:rsidP="00EE08AD">
      <w:pPr>
        <w:pStyle w:val="ListParagraph"/>
        <w:numPr>
          <w:ilvl w:val="1"/>
          <w:numId w:val="1"/>
        </w:numPr>
        <w:jc w:val="both"/>
      </w:pPr>
      <w:r>
        <w:t xml:space="preserve">The PBAC </w:t>
      </w:r>
      <w:r w:rsidR="00CD458C">
        <w:t>was</w:t>
      </w:r>
      <w:r w:rsidR="00F22EBC">
        <w:t xml:space="preserve"> concerned </w:t>
      </w:r>
      <w:r w:rsidR="009F184C">
        <w:t xml:space="preserve">regarding the generalisability of </w:t>
      </w:r>
      <w:r w:rsidR="00F22EBC">
        <w:t xml:space="preserve">the Study 205 </w:t>
      </w:r>
      <w:r w:rsidR="009F184C">
        <w:t>results</w:t>
      </w:r>
      <w:r w:rsidR="00F22EBC">
        <w:t xml:space="preserve"> to the intended Australian population.  </w:t>
      </w:r>
      <w:r w:rsidR="0020756D">
        <w:t>The PBAC considered that the trial represented a selected patient population who are likely to be younger with a better clinical status (ECOG 0–1) than patients who would be eligible for PBS subsidised treatment.</w:t>
      </w:r>
    </w:p>
    <w:p w:rsidR="00802B70" w:rsidRDefault="007B2923" w:rsidP="00EE08AD">
      <w:pPr>
        <w:pStyle w:val="ListParagraph"/>
        <w:numPr>
          <w:ilvl w:val="1"/>
          <w:numId w:val="1"/>
        </w:numPr>
        <w:jc w:val="both"/>
      </w:pPr>
      <w:r>
        <w:t xml:space="preserve">The PBAC noted </w:t>
      </w:r>
      <w:r w:rsidR="001D0C57">
        <w:t xml:space="preserve">the submission claimed </w:t>
      </w:r>
      <w:r w:rsidR="00EF01D0">
        <w:t xml:space="preserve">the results of an indirect comparison indicated a significantly reduced risk of progression associated with </w:t>
      </w:r>
      <w:r w:rsidR="00CD458C">
        <w:t>lenvatinib/</w:t>
      </w:r>
      <w:r w:rsidR="00EF01D0">
        <w:t>everolimus over nivolumab. The PBAC disagreed</w:t>
      </w:r>
      <w:r w:rsidR="001D0C57">
        <w:t xml:space="preserve"> with this claim</w:t>
      </w:r>
      <w:r w:rsidR="00EF01D0">
        <w:t xml:space="preserve">, noting that such a comparison was biased against nivolumab given that the use of RECIST based assessments of progression are considered to underestimate the impact of immunotherapies on disease progression. </w:t>
      </w:r>
      <w:r w:rsidR="00657318">
        <w:t>The PBAC noted the OS difference for this comparison was not statistically significant.</w:t>
      </w:r>
    </w:p>
    <w:p w:rsidR="001D0C57" w:rsidRDefault="001D0C57" w:rsidP="00EE08AD">
      <w:pPr>
        <w:pStyle w:val="ListParagraph"/>
        <w:numPr>
          <w:ilvl w:val="1"/>
          <w:numId w:val="1"/>
        </w:numPr>
        <w:jc w:val="both"/>
      </w:pPr>
      <w:r>
        <w:t xml:space="preserve">The PBAC </w:t>
      </w:r>
      <w:r w:rsidR="00B63F86">
        <w:t xml:space="preserve">considered the </w:t>
      </w:r>
      <w:r w:rsidR="00BA1210">
        <w:t xml:space="preserve">naïve </w:t>
      </w:r>
      <w:r w:rsidR="00B63F86">
        <w:t>comparison with axitinib provided in the sub</w:t>
      </w:r>
      <w:r w:rsidR="00324794">
        <w:t>missi</w:t>
      </w:r>
      <w:r w:rsidR="00BA1210">
        <w:t>on was uninformative</w:t>
      </w:r>
      <w:r w:rsidR="008801A7">
        <w:t>,</w:t>
      </w:r>
      <w:r w:rsidR="00BA1210">
        <w:t xml:space="preserve"> due to the lack of</w:t>
      </w:r>
      <w:r w:rsidR="00324794">
        <w:t xml:space="preserve"> </w:t>
      </w:r>
      <w:r w:rsidR="00B63F86">
        <w:t xml:space="preserve">a common </w:t>
      </w:r>
      <w:r w:rsidR="00324794">
        <w:t>reference</w:t>
      </w:r>
      <w:r w:rsidR="00611D72">
        <w:t xml:space="preserve"> and differences across</w:t>
      </w:r>
      <w:r w:rsidR="00953F66">
        <w:t xml:space="preserve"> the clinical trials included in the comparison</w:t>
      </w:r>
      <w:r w:rsidR="00324794">
        <w:t>.</w:t>
      </w:r>
    </w:p>
    <w:p w:rsidR="00BA1210" w:rsidRDefault="00843EDE" w:rsidP="00EE08AD">
      <w:pPr>
        <w:pStyle w:val="ListParagraph"/>
        <w:numPr>
          <w:ilvl w:val="1"/>
          <w:numId w:val="1"/>
        </w:numPr>
        <w:jc w:val="both"/>
      </w:pPr>
      <w:r>
        <w:t xml:space="preserve">The PBAC accepted the data showed </w:t>
      </w:r>
      <w:r w:rsidR="00CD458C">
        <w:t>lenvatinib/everolimus</w:t>
      </w:r>
      <w:r>
        <w:t xml:space="preserve"> was inferior in safety in </w:t>
      </w:r>
      <w:r w:rsidR="0012790E">
        <w:t xml:space="preserve">the </w:t>
      </w:r>
      <w:r>
        <w:t xml:space="preserve">comparisons with </w:t>
      </w:r>
      <w:r w:rsidR="0012790E">
        <w:t xml:space="preserve">both </w:t>
      </w:r>
      <w:r>
        <w:t>everolim</w:t>
      </w:r>
      <w:r w:rsidR="000D0EE0">
        <w:t>us and nivolumab. The PBAC considered</w:t>
      </w:r>
      <w:r>
        <w:t xml:space="preserve"> that </w:t>
      </w:r>
      <w:r w:rsidR="000D0EE0">
        <w:t>the toxicity associated with the combination of lenvatinib plus everolimus was not insignificant</w:t>
      </w:r>
      <w:r w:rsidR="008801A7">
        <w:t>,</w:t>
      </w:r>
      <w:r w:rsidR="000D0EE0">
        <w:t xml:space="preserve"> with serious adverse events of Grade 3 or 4 occurring more frequently in patients receiving this treatment regimen.</w:t>
      </w:r>
    </w:p>
    <w:p w:rsidR="00E4661F" w:rsidRDefault="007C14BB" w:rsidP="00E4661F">
      <w:pPr>
        <w:pStyle w:val="ListParagraph"/>
        <w:numPr>
          <w:ilvl w:val="1"/>
          <w:numId w:val="1"/>
        </w:numPr>
        <w:spacing w:before="0" w:after="120"/>
        <w:jc w:val="both"/>
        <w:rPr>
          <w:rFonts w:cs="Arial"/>
          <w:bCs/>
          <w:snapToGrid w:val="0"/>
          <w:lang w:val="en-GB"/>
        </w:rPr>
      </w:pPr>
      <w:r>
        <w:t>The PBAC considered that it was unclear as to whether the clinical positioning for</w:t>
      </w:r>
      <w:r w:rsidR="00AB3002">
        <w:t xml:space="preserve"> lenvatinib/everolimus</w:t>
      </w:r>
      <w:r w:rsidR="003D49FE">
        <w:t xml:space="preserve"> would</w:t>
      </w:r>
      <w:r w:rsidR="00AB3002">
        <w:t xml:space="preserve"> be the same as that of everolimus. As a result, the</w:t>
      </w:r>
      <w:r w:rsidR="00E4661F">
        <w:t xml:space="preserve"> PBAC considered the cost-utility analysis presented against everolimus </w:t>
      </w:r>
      <w:r w:rsidR="00AB3002">
        <w:t>may not be</w:t>
      </w:r>
      <w:r w:rsidR="00E4661F">
        <w:t xml:space="preserve"> informative</w:t>
      </w:r>
      <w:r w:rsidR="00AB3002">
        <w:t>.</w:t>
      </w:r>
      <w:r w:rsidR="00E4661F">
        <w:t xml:space="preserve"> In addition, the PBAC </w:t>
      </w:r>
      <w:r w:rsidR="00E4661F">
        <w:rPr>
          <w:rFonts w:cs="Arial"/>
          <w:bCs/>
          <w:snapToGrid w:val="0"/>
          <w:lang w:val="en-GB"/>
        </w:rPr>
        <w:t>considered the resulting ICER to be high and uncertain at the requested effective price</w:t>
      </w:r>
      <w:r w:rsidR="000F32CC">
        <w:rPr>
          <w:rFonts w:cs="Arial"/>
          <w:bCs/>
          <w:snapToGrid w:val="0"/>
          <w:lang w:val="en-GB"/>
        </w:rPr>
        <w:t xml:space="preserve"> for lenvatinib and using the current effective price for everolimus</w:t>
      </w:r>
      <w:r w:rsidR="00E4661F">
        <w:rPr>
          <w:rFonts w:cs="Arial"/>
          <w:bCs/>
          <w:snapToGrid w:val="0"/>
          <w:lang w:val="en-GB"/>
        </w:rPr>
        <w:t>.</w:t>
      </w:r>
      <w:r w:rsidR="00237C0A">
        <w:rPr>
          <w:rFonts w:cs="Arial"/>
          <w:bCs/>
          <w:snapToGrid w:val="0"/>
          <w:lang w:val="en-GB"/>
        </w:rPr>
        <w:t xml:space="preserve"> </w:t>
      </w:r>
      <w:r w:rsidR="009407B6">
        <w:rPr>
          <w:rFonts w:cs="Arial"/>
          <w:bCs/>
          <w:snapToGrid w:val="0"/>
          <w:lang w:val="en-GB"/>
        </w:rPr>
        <w:t>The PBAC noted th</w:t>
      </w:r>
      <w:r w:rsidR="00EF02A6">
        <w:rPr>
          <w:rFonts w:cs="Arial"/>
          <w:bCs/>
          <w:snapToGrid w:val="0"/>
          <w:lang w:val="en-GB"/>
        </w:rPr>
        <w:t xml:space="preserve">at sensitivity analyses indicated that the ICER was most sensitive to the estimate of OS improvement with </w:t>
      </w:r>
      <w:r w:rsidR="00EF02A6">
        <w:t>lenvatinib/everolimus. The PBAC also noted the ICER was sensitive to the time horizon. The</w:t>
      </w:r>
      <w:r w:rsidR="00910C27">
        <w:t xml:space="preserve"> PBAC advised that</w:t>
      </w:r>
      <w:r w:rsidR="0037623C">
        <w:t xml:space="preserve">, consistent with </w:t>
      </w:r>
      <w:r w:rsidR="000631BC">
        <w:t>the Committee’s previous preference for a 5-year time horizon with second line treatment of metastatic RCC (paragraph 7.9, nivolumab PSD, July 2016),</w:t>
      </w:r>
      <w:r w:rsidR="00910C27">
        <w:t xml:space="preserve"> the model should be restricted to a 5-year time horizon</w:t>
      </w:r>
      <w:r w:rsidR="000631BC">
        <w:t xml:space="preserve">. The PBAC considered that, given the uncertainty in the magnitude of PFS and OS gains, the assumptions around these outcomes should be more conservative. </w:t>
      </w:r>
    </w:p>
    <w:p w:rsidR="0039680A" w:rsidRDefault="00C87B39" w:rsidP="00EE08AD">
      <w:pPr>
        <w:pStyle w:val="ListParagraph"/>
        <w:numPr>
          <w:ilvl w:val="1"/>
          <w:numId w:val="1"/>
        </w:numPr>
        <w:jc w:val="both"/>
      </w:pPr>
      <w:r>
        <w:t>The PBAC considered that an economic e</w:t>
      </w:r>
      <w:r w:rsidR="00F102F1">
        <w:t xml:space="preserve">valuation against nivolumab </w:t>
      </w:r>
      <w:r>
        <w:t>or axitinib would be more informative</w:t>
      </w:r>
      <w:r w:rsidR="00F102F1">
        <w:t xml:space="preserve">. </w:t>
      </w:r>
      <w:r w:rsidR="005C7BE0">
        <w:t>The PBAC noted a limited economic analysis compared with nivolumab was provided in the PSCR (p</w:t>
      </w:r>
      <w:r w:rsidR="003C5B89" w:rsidRPr="0014492C">
        <w:t>1</w:t>
      </w:r>
      <w:r w:rsidR="005C7BE0">
        <w:t xml:space="preserve">) </w:t>
      </w:r>
      <w:r w:rsidR="003C5B89">
        <w:t>and again in the pre-PBAC response (p2)</w:t>
      </w:r>
      <w:r w:rsidR="008801A7">
        <w:t>,</w:t>
      </w:r>
      <w:r w:rsidR="003C5B89">
        <w:t xml:space="preserve"> </w:t>
      </w:r>
      <w:r w:rsidR="005C7BE0">
        <w:t xml:space="preserve">but considered the data presented were </w:t>
      </w:r>
      <w:r w:rsidR="000F7C6B">
        <w:t>in</w:t>
      </w:r>
      <w:r w:rsidR="005C7BE0">
        <w:t xml:space="preserve">sufficient to draw </w:t>
      </w:r>
      <w:r w:rsidR="000F7C6B">
        <w:t>conclusions.</w:t>
      </w:r>
    </w:p>
    <w:p w:rsidR="006C49A2" w:rsidRDefault="003147F3" w:rsidP="0022504B">
      <w:pPr>
        <w:pStyle w:val="ListParagraph"/>
        <w:numPr>
          <w:ilvl w:val="1"/>
          <w:numId w:val="1"/>
        </w:numPr>
        <w:tabs>
          <w:tab w:val="left" w:pos="4820"/>
        </w:tabs>
        <w:spacing w:before="0" w:after="120"/>
        <w:jc w:val="both"/>
        <w:rPr>
          <w:rFonts w:cs="Arial"/>
          <w:bCs/>
          <w:snapToGrid w:val="0"/>
          <w:lang w:val="en-GB"/>
        </w:rPr>
      </w:pPr>
      <w:r>
        <w:rPr>
          <w:rFonts w:cs="Arial"/>
          <w:bCs/>
          <w:snapToGrid w:val="0"/>
          <w:lang w:val="en-GB"/>
        </w:rPr>
        <w:t>The PBAC considered the financial estimates uncertain</w:t>
      </w:r>
      <w:r w:rsidR="00483842">
        <w:rPr>
          <w:rFonts w:cs="Arial"/>
          <w:bCs/>
          <w:snapToGrid w:val="0"/>
          <w:lang w:val="en-GB"/>
        </w:rPr>
        <w:t>,</w:t>
      </w:r>
      <w:r>
        <w:rPr>
          <w:rFonts w:cs="Arial"/>
          <w:bCs/>
          <w:snapToGrid w:val="0"/>
          <w:lang w:val="en-GB"/>
        </w:rPr>
        <w:t xml:space="preserve"> </w:t>
      </w:r>
      <w:r w:rsidR="009E220C">
        <w:rPr>
          <w:rFonts w:cs="Arial"/>
          <w:bCs/>
          <w:snapToGrid w:val="0"/>
          <w:lang w:val="en-GB"/>
        </w:rPr>
        <w:t>although</w:t>
      </w:r>
      <w:r w:rsidR="00EF5183">
        <w:rPr>
          <w:rFonts w:cs="Arial"/>
          <w:bCs/>
          <w:snapToGrid w:val="0"/>
          <w:lang w:val="en-GB"/>
        </w:rPr>
        <w:t xml:space="preserve"> noted that </w:t>
      </w:r>
      <w:r>
        <w:rPr>
          <w:rFonts w:cs="Arial"/>
          <w:bCs/>
          <w:snapToGrid w:val="0"/>
          <w:lang w:val="en-GB"/>
        </w:rPr>
        <w:t xml:space="preserve">partial protection </w:t>
      </w:r>
      <w:r w:rsidR="00EF5183">
        <w:rPr>
          <w:rFonts w:cs="Arial"/>
          <w:bCs/>
          <w:snapToGrid w:val="0"/>
          <w:lang w:val="en-GB"/>
        </w:rPr>
        <w:t xml:space="preserve">would be </w:t>
      </w:r>
      <w:r>
        <w:rPr>
          <w:rFonts w:cs="Arial"/>
          <w:bCs/>
          <w:snapToGrid w:val="0"/>
          <w:lang w:val="en-GB"/>
        </w:rPr>
        <w:t xml:space="preserve">provided by the proposal of a risk-share agreement. </w:t>
      </w:r>
    </w:p>
    <w:p w:rsidR="00A12C43" w:rsidRDefault="00D54E2B" w:rsidP="005452C5">
      <w:pPr>
        <w:pStyle w:val="ListParagraph"/>
        <w:numPr>
          <w:ilvl w:val="1"/>
          <w:numId w:val="1"/>
        </w:numPr>
        <w:spacing w:before="0" w:after="120"/>
        <w:jc w:val="both"/>
        <w:rPr>
          <w:rFonts w:cs="Arial"/>
          <w:bCs/>
          <w:snapToGrid w:val="0"/>
          <w:lang w:val="en-GB"/>
        </w:rPr>
      </w:pPr>
      <w:r>
        <w:rPr>
          <w:rFonts w:cs="Arial"/>
          <w:bCs/>
          <w:snapToGrid w:val="0"/>
          <w:lang w:val="en-GB"/>
        </w:rPr>
        <w:t xml:space="preserve">The PBAC proposed that any future submission </w:t>
      </w:r>
      <w:r w:rsidR="00E5255B">
        <w:rPr>
          <w:rFonts w:cs="Arial"/>
          <w:bCs/>
          <w:snapToGrid w:val="0"/>
          <w:lang w:val="en-GB"/>
        </w:rPr>
        <w:t xml:space="preserve">should </w:t>
      </w:r>
      <w:r w:rsidR="00783EF8">
        <w:rPr>
          <w:rFonts w:cs="Arial"/>
          <w:bCs/>
          <w:snapToGrid w:val="0"/>
          <w:lang w:val="en-GB"/>
        </w:rPr>
        <w:t xml:space="preserve">clearly establish the clinical need and clinical place of </w:t>
      </w:r>
      <w:r w:rsidR="00783EF8">
        <w:t>lenvatinib/everolimus in the context of its clinical benefit and toxicity profile and in relation to established therapies for advanced RCC</w:t>
      </w:r>
      <w:r w:rsidR="00E5255B">
        <w:rPr>
          <w:rFonts w:cs="Arial"/>
          <w:bCs/>
          <w:snapToGrid w:val="0"/>
          <w:lang w:val="en-GB"/>
        </w:rPr>
        <w:t xml:space="preserve">. </w:t>
      </w:r>
    </w:p>
    <w:p w:rsidR="005452C5" w:rsidRPr="0014492C" w:rsidRDefault="005452C5" w:rsidP="005452C5">
      <w:pPr>
        <w:pStyle w:val="ListParagraph"/>
        <w:numPr>
          <w:ilvl w:val="1"/>
          <w:numId w:val="1"/>
        </w:numPr>
        <w:spacing w:before="0" w:after="120"/>
        <w:jc w:val="both"/>
        <w:rPr>
          <w:rFonts w:cs="Arial"/>
          <w:bCs/>
          <w:snapToGrid w:val="0"/>
          <w:lang w:val="en-GB"/>
        </w:rPr>
      </w:pPr>
      <w:r w:rsidRPr="0014492C">
        <w:rPr>
          <w:rFonts w:cs="Arial"/>
          <w:bCs/>
          <w:snapToGrid w:val="0"/>
          <w:lang w:val="en-GB"/>
        </w:rPr>
        <w:t xml:space="preserve">The PBAC noted that this submission is eligible for an Independent Review. </w:t>
      </w:r>
    </w:p>
    <w:p w:rsidR="005452C5" w:rsidRPr="005B484D" w:rsidRDefault="005452C5" w:rsidP="005452C5">
      <w:pPr>
        <w:spacing w:before="240"/>
        <w:jc w:val="both"/>
        <w:rPr>
          <w:rFonts w:cs="Arial"/>
          <w:b/>
          <w:bCs/>
          <w:snapToGrid w:val="0"/>
          <w:lang w:val="en-GB"/>
        </w:rPr>
      </w:pPr>
      <w:r w:rsidRPr="005B484D">
        <w:rPr>
          <w:rFonts w:cs="Arial"/>
          <w:b/>
          <w:bCs/>
          <w:snapToGrid w:val="0"/>
          <w:lang w:val="en-GB"/>
        </w:rPr>
        <w:t>Outcome:</w:t>
      </w:r>
    </w:p>
    <w:p w:rsidR="00CD458C" w:rsidRPr="0014492C" w:rsidRDefault="005452C5" w:rsidP="00DE2104">
      <w:pPr>
        <w:jc w:val="both"/>
        <w:rPr>
          <w:rFonts w:cs="Arial"/>
          <w:bCs/>
          <w:snapToGrid w:val="0"/>
          <w:lang w:val="en-GB"/>
        </w:rPr>
      </w:pPr>
      <w:r w:rsidRPr="005B484D">
        <w:rPr>
          <w:rFonts w:cs="Arial"/>
          <w:bCs/>
          <w:snapToGrid w:val="0"/>
          <w:lang w:val="en-GB"/>
        </w:rPr>
        <w:t>Reje</w:t>
      </w:r>
      <w:r w:rsidR="005B484D">
        <w:rPr>
          <w:rFonts w:cs="Arial"/>
          <w:bCs/>
          <w:snapToGrid w:val="0"/>
          <w:lang w:val="en-GB"/>
        </w:rPr>
        <w:t>cted</w:t>
      </w:r>
      <w:r w:rsidR="00CD458C" w:rsidRPr="0014492C">
        <w:rPr>
          <w:rFonts w:cs="Arial"/>
          <w:bCs/>
          <w:snapToGrid w:val="0"/>
          <w:lang w:val="en-GB"/>
        </w:rPr>
        <w:t xml:space="preserve"> </w:t>
      </w:r>
    </w:p>
    <w:p w:rsidR="000257ED" w:rsidRPr="000257ED" w:rsidRDefault="000257ED" w:rsidP="000257ED">
      <w:pPr>
        <w:keepNext/>
        <w:keepLines/>
        <w:numPr>
          <w:ilvl w:val="0"/>
          <w:numId w:val="1"/>
        </w:numPr>
        <w:spacing w:before="240" w:after="120"/>
        <w:jc w:val="both"/>
        <w:outlineLvl w:val="0"/>
        <w:rPr>
          <w:rFonts w:ascii="Calibri" w:eastAsia="SimSun" w:hAnsi="Calibri" w:cs="Times New Roman"/>
          <w:b/>
          <w:sz w:val="32"/>
          <w:szCs w:val="28"/>
        </w:rPr>
      </w:pPr>
      <w:r w:rsidRPr="000257ED">
        <w:rPr>
          <w:rFonts w:ascii="Calibri" w:eastAsia="SimSun" w:hAnsi="Calibri" w:cs="Times New Roman"/>
          <w:b/>
          <w:sz w:val="32"/>
          <w:szCs w:val="28"/>
        </w:rPr>
        <w:t>Context for Decision</w:t>
      </w:r>
    </w:p>
    <w:p w:rsidR="000257ED" w:rsidRPr="000257ED" w:rsidRDefault="000257ED" w:rsidP="000257ED">
      <w:pPr>
        <w:spacing w:after="120"/>
        <w:jc w:val="both"/>
        <w:rPr>
          <w:rFonts w:ascii="Calibri" w:eastAsia="Calibri" w:hAnsi="Calibri" w:cs="Arial"/>
        </w:rPr>
      </w:pPr>
      <w:r w:rsidRPr="000257ED">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257ED" w:rsidRPr="000257ED" w:rsidRDefault="000257ED" w:rsidP="000257ED">
      <w:pPr>
        <w:keepNext/>
        <w:keepLines/>
        <w:numPr>
          <w:ilvl w:val="0"/>
          <w:numId w:val="1"/>
        </w:numPr>
        <w:spacing w:before="240" w:after="120"/>
        <w:ind w:left="709" w:hanging="709"/>
        <w:jc w:val="both"/>
        <w:outlineLvl w:val="0"/>
        <w:rPr>
          <w:rFonts w:ascii="Calibri" w:eastAsia="SimSun" w:hAnsi="Calibri" w:cs="Times New Roman"/>
          <w:b/>
          <w:sz w:val="32"/>
          <w:szCs w:val="32"/>
        </w:rPr>
      </w:pPr>
      <w:r w:rsidRPr="000257ED">
        <w:rPr>
          <w:rFonts w:ascii="Calibri" w:eastAsia="SimSun" w:hAnsi="Calibri" w:cs="Times New Roman"/>
          <w:b/>
          <w:sz w:val="32"/>
          <w:szCs w:val="32"/>
        </w:rPr>
        <w:t>Sponsor’s Comment</w:t>
      </w:r>
    </w:p>
    <w:p w:rsidR="000257ED" w:rsidRPr="000257ED" w:rsidRDefault="000257ED" w:rsidP="000257ED">
      <w:pPr>
        <w:jc w:val="both"/>
        <w:rPr>
          <w:rFonts w:ascii="Calibri" w:eastAsia="Calibri" w:hAnsi="Calibri" w:cs="Arial"/>
          <w:snapToGrid w:val="0"/>
          <w:szCs w:val="20"/>
        </w:rPr>
      </w:pPr>
      <w:r w:rsidRPr="000257ED">
        <w:rPr>
          <w:rFonts w:ascii="Calibri" w:eastAsia="Calibri" w:hAnsi="Calibri" w:cs="Arial"/>
          <w:snapToGrid w:val="0"/>
          <w:szCs w:val="20"/>
        </w:rPr>
        <w:t>The sponsor had no comment.</w:t>
      </w:r>
    </w:p>
    <w:p w:rsidR="005452C5" w:rsidRPr="005A48A5" w:rsidRDefault="005452C5" w:rsidP="005452C5">
      <w:pPr>
        <w:widowControl w:val="0"/>
        <w:jc w:val="both"/>
        <w:rPr>
          <w:rFonts w:cs="Arial"/>
          <w:bCs/>
          <w:snapToGrid w:val="0"/>
          <w:highlight w:val="yellow"/>
        </w:rPr>
      </w:pPr>
    </w:p>
    <w:sectPr w:rsidR="005452C5" w:rsidRPr="005A48A5" w:rsidSect="009211F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69F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3C" w:rsidRDefault="0089293C" w:rsidP="00BA3306">
      <w:pPr>
        <w:spacing w:before="0" w:after="0"/>
      </w:pPr>
      <w:r>
        <w:separator/>
      </w:r>
    </w:p>
  </w:endnote>
  <w:endnote w:type="continuationSeparator" w:id="0">
    <w:p w:rsidR="0089293C" w:rsidRDefault="0089293C"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EA" w:rsidRDefault="00F560EA" w:rsidP="006E76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60EA" w:rsidRDefault="00F56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EA" w:rsidRPr="004A18AA" w:rsidRDefault="00F560EA" w:rsidP="006E76DD">
    <w:pPr>
      <w:pStyle w:val="Footer"/>
      <w:framePr w:wrap="none" w:vAnchor="text" w:hAnchor="margin" w:xAlign="center" w:y="1"/>
      <w:rPr>
        <w:rStyle w:val="PageNumber"/>
      </w:rPr>
    </w:pPr>
    <w:r w:rsidRPr="004A18AA">
      <w:rPr>
        <w:rStyle w:val="PageNumber"/>
      </w:rPr>
      <w:fldChar w:fldCharType="begin"/>
    </w:r>
    <w:r w:rsidRPr="004A18AA">
      <w:rPr>
        <w:rStyle w:val="PageNumber"/>
      </w:rPr>
      <w:instrText xml:space="preserve">PAGE  </w:instrText>
    </w:r>
    <w:r w:rsidRPr="004A18AA">
      <w:rPr>
        <w:rStyle w:val="PageNumber"/>
      </w:rPr>
      <w:fldChar w:fldCharType="separate"/>
    </w:r>
    <w:r w:rsidR="0089293C">
      <w:rPr>
        <w:rStyle w:val="PageNumber"/>
        <w:noProof/>
      </w:rPr>
      <w:t>1</w:t>
    </w:r>
    <w:r w:rsidRPr="004A18AA">
      <w:rPr>
        <w:rStyle w:val="PageNumber"/>
      </w:rPr>
      <w:fldChar w:fldCharType="end"/>
    </w:r>
  </w:p>
  <w:p w:rsidR="00F560EA" w:rsidRPr="00F84D3C" w:rsidRDefault="00F560EA" w:rsidP="006E50DD">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C" w:rsidRDefault="00892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3C" w:rsidRDefault="0089293C" w:rsidP="00BA3306">
      <w:pPr>
        <w:spacing w:before="0" w:after="0"/>
      </w:pPr>
      <w:r>
        <w:separator/>
      </w:r>
    </w:p>
  </w:footnote>
  <w:footnote w:type="continuationSeparator" w:id="0">
    <w:p w:rsidR="0089293C" w:rsidRDefault="0089293C" w:rsidP="00BA3306">
      <w:pPr>
        <w:spacing w:before="0" w:after="0"/>
      </w:pPr>
      <w:r>
        <w:continuationSeparator/>
      </w:r>
    </w:p>
  </w:footnote>
  <w:footnote w:id="1">
    <w:p w:rsidR="00F560EA" w:rsidRPr="003E1661" w:rsidRDefault="00F560EA" w:rsidP="00E32C9A">
      <w:pPr>
        <w:spacing w:before="0" w:after="0"/>
        <w:jc w:val="both"/>
        <w:rPr>
          <w:rFonts w:ascii="Arial Narrow" w:eastAsia="Calibri" w:hAnsi="Arial Narrow" w:cs="Times New Roman"/>
          <w:sz w:val="20"/>
          <w:szCs w:val="20"/>
        </w:rPr>
      </w:pPr>
      <w:r>
        <w:rPr>
          <w:rStyle w:val="FootnoteReference"/>
        </w:rPr>
        <w:footnoteRef/>
      </w:r>
      <w:r>
        <w:t xml:space="preserve"> </w:t>
      </w:r>
      <w:r w:rsidRPr="00983E77">
        <w:rPr>
          <w:rFonts w:ascii="Arial Narrow" w:eastAsia="Calibri" w:hAnsi="Arial Narrow" w:cs="Times New Roman"/>
          <w:sz w:val="20"/>
          <w:szCs w:val="20"/>
        </w:rPr>
        <w:t xml:space="preserve">Cancer in Australia 2017. Australian Institute for Health and Welfare. </w:t>
      </w:r>
    </w:p>
    <w:p w:rsidR="00F560EA" w:rsidRDefault="00F560EA">
      <w:pPr>
        <w:pStyle w:val="FootnoteText"/>
      </w:pPr>
    </w:p>
  </w:footnote>
  <w:footnote w:id="2">
    <w:p w:rsidR="00F560EA" w:rsidRDefault="00F560EA">
      <w:pPr>
        <w:pStyle w:val="FootnoteText"/>
      </w:pPr>
      <w:r>
        <w:rPr>
          <w:rStyle w:val="FootnoteReference"/>
        </w:rPr>
        <w:footnoteRef/>
      </w:r>
      <w:r>
        <w:t xml:space="preserve"> Mean time to progression was not reported.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C" w:rsidRDefault="00892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EA" w:rsidRDefault="00F560EA" w:rsidP="00F74617">
    <w:pPr>
      <w:pStyle w:val="Header"/>
      <w:tabs>
        <w:tab w:val="clear" w:pos="9026"/>
        <w:tab w:val="left" w:pos="1725"/>
        <w:tab w:val="right" w:pos="13892"/>
      </w:tabs>
      <w:jc w:val="center"/>
      <w:rPr>
        <w:i/>
      </w:rPr>
    </w:pPr>
    <w:r>
      <w:rPr>
        <w:i/>
      </w:rPr>
      <w:t>Public Summary Document – November 2017 PBAC Meeting</w:t>
    </w:r>
  </w:p>
  <w:p w:rsidR="00F560EA" w:rsidRDefault="00F560EA" w:rsidP="000257ED">
    <w:pPr>
      <w:pStyle w:val="Header"/>
      <w:tabs>
        <w:tab w:val="clear" w:pos="9026"/>
        <w:tab w:val="left" w:pos="1725"/>
        <w:tab w:val="right" w:pos="1389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C" w:rsidRDefault="00892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80C70"/>
    <w:multiLevelType w:val="multilevel"/>
    <w:tmpl w:val="8AB4C15E"/>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3D7D08"/>
    <w:multiLevelType w:val="hybridMultilevel"/>
    <w:tmpl w:val="FDBCB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0749E6"/>
    <w:multiLevelType w:val="multilevel"/>
    <w:tmpl w:val="7996FEEC"/>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0B51E8"/>
    <w:multiLevelType w:val="hybridMultilevel"/>
    <w:tmpl w:val="E2AE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27ECB"/>
    <w:multiLevelType w:val="multilevel"/>
    <w:tmpl w:val="23060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DD078D"/>
    <w:multiLevelType w:val="hybridMultilevel"/>
    <w:tmpl w:val="AC98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C64D25"/>
    <w:multiLevelType w:val="multilevel"/>
    <w:tmpl w:val="7996FEEC"/>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1C5579"/>
    <w:multiLevelType w:val="multilevel"/>
    <w:tmpl w:val="50A411B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C6834EB"/>
    <w:multiLevelType w:val="hybridMultilevel"/>
    <w:tmpl w:val="BE60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5734C"/>
    <w:multiLevelType w:val="multilevel"/>
    <w:tmpl w:val="52DC31FA"/>
    <w:lvl w:ilvl="0">
      <w:start w:val="1"/>
      <w:numFmt w:val="decimal"/>
      <w:pStyle w:val="PBACHeading1"/>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05944F9"/>
    <w:multiLevelType w:val="hybridMultilevel"/>
    <w:tmpl w:val="A63E0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1F3A03"/>
    <w:multiLevelType w:val="hybridMultilevel"/>
    <w:tmpl w:val="99EA4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7B7E37"/>
    <w:multiLevelType w:val="hybridMultilevel"/>
    <w:tmpl w:val="BD643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FF4534"/>
    <w:multiLevelType w:val="multilevel"/>
    <w:tmpl w:val="7996FEEC"/>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41A3B29"/>
    <w:multiLevelType w:val="hybridMultilevel"/>
    <w:tmpl w:val="88FC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2003DE"/>
    <w:multiLevelType w:val="hybridMultilevel"/>
    <w:tmpl w:val="74123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904563"/>
    <w:multiLevelType w:val="hybridMultilevel"/>
    <w:tmpl w:val="B07E85CA"/>
    <w:lvl w:ilvl="0" w:tplc="04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271B99"/>
    <w:multiLevelType w:val="multilevel"/>
    <w:tmpl w:val="2FEE216E"/>
    <w:lvl w:ilvl="0">
      <w:start w:val="1"/>
      <w:numFmt w:val="decimal"/>
      <w:lvlText w:val="%1"/>
      <w:lvlJc w:val="left"/>
      <w:pPr>
        <w:ind w:left="720" w:hanging="720"/>
      </w:pPr>
      <w:rPr>
        <w:rFonts w:hint="default"/>
        <w:b/>
      </w:rPr>
    </w:lvl>
    <w:lvl w:ilvl="1">
      <w:start w:val="1"/>
      <w:numFmt w:val="decimal"/>
      <w:lvlText w:val="5.%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42157DC"/>
    <w:multiLevelType w:val="hybridMultilevel"/>
    <w:tmpl w:val="1D081664"/>
    <w:lvl w:ilvl="0" w:tplc="45925FF8">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04662D"/>
    <w:multiLevelType w:val="hybridMultilevel"/>
    <w:tmpl w:val="0888C306"/>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hint="default"/>
      </w:rPr>
    </w:lvl>
    <w:lvl w:ilvl="6" w:tplc="04090001">
      <w:start w:val="1"/>
      <w:numFmt w:val="bullet"/>
      <w:lvlText w:val=""/>
      <w:lvlJc w:val="left"/>
      <w:pPr>
        <w:ind w:left="5153" w:hanging="360"/>
      </w:pPr>
      <w:rPr>
        <w:rFonts w:ascii="Symbol" w:hAnsi="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hint="default"/>
      </w:rPr>
    </w:lvl>
  </w:abstractNum>
  <w:abstractNum w:abstractNumId="28">
    <w:nsid w:val="769E5A9B"/>
    <w:multiLevelType w:val="hybridMultilevel"/>
    <w:tmpl w:val="5D5C0B8E"/>
    <w:lvl w:ilvl="0" w:tplc="28580EA4">
      <w:start w:val="1"/>
      <w:numFmt w:val="bullet"/>
      <w:pStyle w:val="Tablebullets"/>
      <w:lvlText w:val=""/>
      <w:lvlJc w:val="left"/>
      <w:pPr>
        <w:ind w:left="360" w:hanging="360"/>
      </w:pPr>
      <w:rPr>
        <w:rFonts w:ascii="Symbol" w:hAnsi="Symbol" w:hint="default"/>
      </w:rPr>
    </w:lvl>
    <w:lvl w:ilvl="1" w:tplc="FE466306" w:tentative="1">
      <w:start w:val="1"/>
      <w:numFmt w:val="bullet"/>
      <w:lvlText w:val="o"/>
      <w:lvlJc w:val="left"/>
      <w:pPr>
        <w:ind w:left="1080" w:hanging="360"/>
      </w:pPr>
      <w:rPr>
        <w:rFonts w:ascii="Courier New" w:hAnsi="Courier New" w:hint="default"/>
      </w:rPr>
    </w:lvl>
    <w:lvl w:ilvl="2" w:tplc="39084632" w:tentative="1">
      <w:start w:val="1"/>
      <w:numFmt w:val="bullet"/>
      <w:lvlText w:val=""/>
      <w:lvlJc w:val="left"/>
      <w:pPr>
        <w:ind w:left="1800" w:hanging="360"/>
      </w:pPr>
      <w:rPr>
        <w:rFonts w:ascii="Wingdings" w:hAnsi="Wingdings" w:hint="default"/>
      </w:rPr>
    </w:lvl>
    <w:lvl w:ilvl="3" w:tplc="57EC5608" w:tentative="1">
      <w:start w:val="1"/>
      <w:numFmt w:val="bullet"/>
      <w:lvlText w:val=""/>
      <w:lvlJc w:val="left"/>
      <w:pPr>
        <w:ind w:left="2520" w:hanging="360"/>
      </w:pPr>
      <w:rPr>
        <w:rFonts w:ascii="Symbol" w:hAnsi="Symbol" w:hint="default"/>
      </w:rPr>
    </w:lvl>
    <w:lvl w:ilvl="4" w:tplc="C17E873A" w:tentative="1">
      <w:start w:val="1"/>
      <w:numFmt w:val="bullet"/>
      <w:lvlText w:val="o"/>
      <w:lvlJc w:val="left"/>
      <w:pPr>
        <w:ind w:left="3240" w:hanging="360"/>
      </w:pPr>
      <w:rPr>
        <w:rFonts w:ascii="Courier New" w:hAnsi="Courier New" w:hint="default"/>
      </w:rPr>
    </w:lvl>
    <w:lvl w:ilvl="5" w:tplc="4954A2FA" w:tentative="1">
      <w:start w:val="1"/>
      <w:numFmt w:val="bullet"/>
      <w:lvlText w:val=""/>
      <w:lvlJc w:val="left"/>
      <w:pPr>
        <w:ind w:left="3960" w:hanging="360"/>
      </w:pPr>
      <w:rPr>
        <w:rFonts w:ascii="Wingdings" w:hAnsi="Wingdings" w:hint="default"/>
      </w:rPr>
    </w:lvl>
    <w:lvl w:ilvl="6" w:tplc="C680C8EC" w:tentative="1">
      <w:start w:val="1"/>
      <w:numFmt w:val="bullet"/>
      <w:lvlText w:val=""/>
      <w:lvlJc w:val="left"/>
      <w:pPr>
        <w:ind w:left="4680" w:hanging="360"/>
      </w:pPr>
      <w:rPr>
        <w:rFonts w:ascii="Symbol" w:hAnsi="Symbol" w:hint="default"/>
      </w:rPr>
    </w:lvl>
    <w:lvl w:ilvl="7" w:tplc="794E0DC4" w:tentative="1">
      <w:start w:val="1"/>
      <w:numFmt w:val="bullet"/>
      <w:lvlText w:val="o"/>
      <w:lvlJc w:val="left"/>
      <w:pPr>
        <w:ind w:left="5400" w:hanging="360"/>
      </w:pPr>
      <w:rPr>
        <w:rFonts w:ascii="Courier New" w:hAnsi="Courier New" w:hint="default"/>
      </w:rPr>
    </w:lvl>
    <w:lvl w:ilvl="8" w:tplc="55F0577E" w:tentative="1">
      <w:start w:val="1"/>
      <w:numFmt w:val="bullet"/>
      <w:lvlText w:val=""/>
      <w:lvlJc w:val="left"/>
      <w:pPr>
        <w:ind w:left="6120" w:hanging="360"/>
      </w:pPr>
      <w:rPr>
        <w:rFonts w:ascii="Wingdings" w:hAnsi="Wingdings" w:hint="default"/>
      </w:rPr>
    </w:lvl>
  </w:abstractNum>
  <w:abstractNum w:abstractNumId="29">
    <w:nsid w:val="784D033C"/>
    <w:multiLevelType w:val="multilevel"/>
    <w:tmpl w:val="0772FEB6"/>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1"/>
  </w:num>
  <w:num w:numId="4">
    <w:abstractNumId w:val="23"/>
  </w:num>
  <w:num w:numId="5">
    <w:abstractNumId w:val="16"/>
  </w:num>
  <w:num w:numId="6">
    <w:abstractNumId w:val="18"/>
  </w:num>
  <w:num w:numId="7">
    <w:abstractNumId w:val="28"/>
  </w:num>
  <w:num w:numId="8">
    <w:abstractNumId w:val="24"/>
  </w:num>
  <w:num w:numId="9">
    <w:abstractNumId w:val="29"/>
  </w:num>
  <w:num w:numId="10">
    <w:abstractNumId w:val="14"/>
  </w:num>
  <w:num w:numId="11">
    <w:abstractNumId w:val="1"/>
  </w:num>
  <w:num w:numId="12">
    <w:abstractNumId w:val="25"/>
  </w:num>
  <w:num w:numId="13">
    <w:abstractNumId w:val="19"/>
  </w:num>
  <w:num w:numId="14">
    <w:abstractNumId w:val="15"/>
  </w:num>
  <w:num w:numId="15">
    <w:abstractNumId w:val="13"/>
  </w:num>
  <w:num w:numId="16">
    <w:abstractNumId w:val="20"/>
  </w:num>
  <w:num w:numId="17">
    <w:abstractNumId w:val="5"/>
  </w:num>
  <w:num w:numId="18">
    <w:abstractNumId w:val="1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4"/>
  </w:num>
  <w:num w:numId="27">
    <w:abstractNumId w:val="8"/>
  </w:num>
  <w:num w:numId="28">
    <w:abstractNumId w:val="21"/>
  </w:num>
  <w:num w:numId="29">
    <w:abstractNumId w:val="2"/>
  </w:num>
  <w:num w:numId="30">
    <w:abstractNumId w:val="0"/>
  </w:num>
  <w:num w:numId="31">
    <w:abstractNumId w:val="9"/>
  </w:num>
  <w:num w:numId="32">
    <w:abstractNumId w:val="10"/>
  </w:num>
  <w:num w:numId="33">
    <w:abstractNumId w:val="26"/>
  </w:num>
  <w:num w:numId="34">
    <w:abstractNumId w:val="7"/>
  </w:num>
  <w:num w:numId="35">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21A29"/>
    <w:rsid w:val="00001AB4"/>
    <w:rsid w:val="000030C7"/>
    <w:rsid w:val="00003A3A"/>
    <w:rsid w:val="00003ADB"/>
    <w:rsid w:val="00004A58"/>
    <w:rsid w:val="00005F40"/>
    <w:rsid w:val="00006812"/>
    <w:rsid w:val="0000687F"/>
    <w:rsid w:val="00006FD1"/>
    <w:rsid w:val="0001066F"/>
    <w:rsid w:val="000107DE"/>
    <w:rsid w:val="0001208F"/>
    <w:rsid w:val="000121A1"/>
    <w:rsid w:val="00012ED8"/>
    <w:rsid w:val="00013222"/>
    <w:rsid w:val="00014731"/>
    <w:rsid w:val="000159F8"/>
    <w:rsid w:val="00016F08"/>
    <w:rsid w:val="00016F7D"/>
    <w:rsid w:val="00017A55"/>
    <w:rsid w:val="00020035"/>
    <w:rsid w:val="000206D7"/>
    <w:rsid w:val="0002095B"/>
    <w:rsid w:val="00020A1C"/>
    <w:rsid w:val="0002319D"/>
    <w:rsid w:val="00023D8A"/>
    <w:rsid w:val="000243B4"/>
    <w:rsid w:val="000257ED"/>
    <w:rsid w:val="00025B90"/>
    <w:rsid w:val="00026146"/>
    <w:rsid w:val="000269BC"/>
    <w:rsid w:val="000272E9"/>
    <w:rsid w:val="0002778F"/>
    <w:rsid w:val="000320EE"/>
    <w:rsid w:val="000336F1"/>
    <w:rsid w:val="00034404"/>
    <w:rsid w:val="00035532"/>
    <w:rsid w:val="0003688B"/>
    <w:rsid w:val="000371E6"/>
    <w:rsid w:val="00041180"/>
    <w:rsid w:val="00043527"/>
    <w:rsid w:val="0004487A"/>
    <w:rsid w:val="000449DD"/>
    <w:rsid w:val="00044E6D"/>
    <w:rsid w:val="00045DA1"/>
    <w:rsid w:val="000460BB"/>
    <w:rsid w:val="000461CF"/>
    <w:rsid w:val="00047287"/>
    <w:rsid w:val="00050053"/>
    <w:rsid w:val="00051B19"/>
    <w:rsid w:val="000536A9"/>
    <w:rsid w:val="00054670"/>
    <w:rsid w:val="000549D8"/>
    <w:rsid w:val="000578A2"/>
    <w:rsid w:val="00057F26"/>
    <w:rsid w:val="00057F71"/>
    <w:rsid w:val="00060972"/>
    <w:rsid w:val="000612CD"/>
    <w:rsid w:val="00061888"/>
    <w:rsid w:val="00062067"/>
    <w:rsid w:val="0006294B"/>
    <w:rsid w:val="000631BC"/>
    <w:rsid w:val="00063244"/>
    <w:rsid w:val="00063CB3"/>
    <w:rsid w:val="00065290"/>
    <w:rsid w:val="00065C62"/>
    <w:rsid w:val="00065CDE"/>
    <w:rsid w:val="00065F4A"/>
    <w:rsid w:val="00066873"/>
    <w:rsid w:val="00067B83"/>
    <w:rsid w:val="00071763"/>
    <w:rsid w:val="000719E4"/>
    <w:rsid w:val="00071ABA"/>
    <w:rsid w:val="000724E3"/>
    <w:rsid w:val="00072661"/>
    <w:rsid w:val="00072EB6"/>
    <w:rsid w:val="00073C47"/>
    <w:rsid w:val="000742C6"/>
    <w:rsid w:val="00074A08"/>
    <w:rsid w:val="0007626E"/>
    <w:rsid w:val="00076673"/>
    <w:rsid w:val="00080FF3"/>
    <w:rsid w:val="00081052"/>
    <w:rsid w:val="000820C8"/>
    <w:rsid w:val="000831CF"/>
    <w:rsid w:val="000847FE"/>
    <w:rsid w:val="00085CC2"/>
    <w:rsid w:val="00085E79"/>
    <w:rsid w:val="00086133"/>
    <w:rsid w:val="0008756C"/>
    <w:rsid w:val="00087736"/>
    <w:rsid w:val="0009256B"/>
    <w:rsid w:val="000926A4"/>
    <w:rsid w:val="00092A41"/>
    <w:rsid w:val="00093D64"/>
    <w:rsid w:val="000942B5"/>
    <w:rsid w:val="000947AD"/>
    <w:rsid w:val="0009481D"/>
    <w:rsid w:val="000956AF"/>
    <w:rsid w:val="000956CF"/>
    <w:rsid w:val="000A0B3F"/>
    <w:rsid w:val="000A0DDD"/>
    <w:rsid w:val="000A1168"/>
    <w:rsid w:val="000A12B5"/>
    <w:rsid w:val="000A2694"/>
    <w:rsid w:val="000A26EF"/>
    <w:rsid w:val="000A2EF1"/>
    <w:rsid w:val="000A3346"/>
    <w:rsid w:val="000A464A"/>
    <w:rsid w:val="000A464D"/>
    <w:rsid w:val="000A5222"/>
    <w:rsid w:val="000A6885"/>
    <w:rsid w:val="000A6FBD"/>
    <w:rsid w:val="000A7443"/>
    <w:rsid w:val="000A7E7E"/>
    <w:rsid w:val="000B0966"/>
    <w:rsid w:val="000B0C70"/>
    <w:rsid w:val="000B13ED"/>
    <w:rsid w:val="000B1661"/>
    <w:rsid w:val="000B2A7A"/>
    <w:rsid w:val="000B4664"/>
    <w:rsid w:val="000B5087"/>
    <w:rsid w:val="000B56CD"/>
    <w:rsid w:val="000B6B69"/>
    <w:rsid w:val="000B70E6"/>
    <w:rsid w:val="000C0142"/>
    <w:rsid w:val="000C11CE"/>
    <w:rsid w:val="000C15C8"/>
    <w:rsid w:val="000C379A"/>
    <w:rsid w:val="000C3DE8"/>
    <w:rsid w:val="000C4D74"/>
    <w:rsid w:val="000C5539"/>
    <w:rsid w:val="000C5DFE"/>
    <w:rsid w:val="000C6A40"/>
    <w:rsid w:val="000C6A75"/>
    <w:rsid w:val="000C70E0"/>
    <w:rsid w:val="000C739C"/>
    <w:rsid w:val="000C78E3"/>
    <w:rsid w:val="000C7EBA"/>
    <w:rsid w:val="000D0023"/>
    <w:rsid w:val="000D061D"/>
    <w:rsid w:val="000D0EE0"/>
    <w:rsid w:val="000D15FD"/>
    <w:rsid w:val="000D2E92"/>
    <w:rsid w:val="000D34DA"/>
    <w:rsid w:val="000D3DF8"/>
    <w:rsid w:val="000D4D6A"/>
    <w:rsid w:val="000D4EA4"/>
    <w:rsid w:val="000D50E9"/>
    <w:rsid w:val="000D70E2"/>
    <w:rsid w:val="000D7C4C"/>
    <w:rsid w:val="000E1100"/>
    <w:rsid w:val="000E192D"/>
    <w:rsid w:val="000E1C94"/>
    <w:rsid w:val="000E4190"/>
    <w:rsid w:val="000E6913"/>
    <w:rsid w:val="000E70FC"/>
    <w:rsid w:val="000E724C"/>
    <w:rsid w:val="000E77B8"/>
    <w:rsid w:val="000F1F6E"/>
    <w:rsid w:val="000F1F7C"/>
    <w:rsid w:val="000F2146"/>
    <w:rsid w:val="000F2534"/>
    <w:rsid w:val="000F2BAE"/>
    <w:rsid w:val="000F2F0C"/>
    <w:rsid w:val="000F32CC"/>
    <w:rsid w:val="000F3652"/>
    <w:rsid w:val="000F42CD"/>
    <w:rsid w:val="000F5D15"/>
    <w:rsid w:val="000F740F"/>
    <w:rsid w:val="000F789D"/>
    <w:rsid w:val="000F7C6B"/>
    <w:rsid w:val="00100327"/>
    <w:rsid w:val="0010436E"/>
    <w:rsid w:val="001050DA"/>
    <w:rsid w:val="0010575A"/>
    <w:rsid w:val="001067D4"/>
    <w:rsid w:val="001109E5"/>
    <w:rsid w:val="00110DEA"/>
    <w:rsid w:val="001118C6"/>
    <w:rsid w:val="00112259"/>
    <w:rsid w:val="00112B0C"/>
    <w:rsid w:val="0011379E"/>
    <w:rsid w:val="00114201"/>
    <w:rsid w:val="001146C9"/>
    <w:rsid w:val="001150CE"/>
    <w:rsid w:val="0011513C"/>
    <w:rsid w:val="00115E2F"/>
    <w:rsid w:val="00122B70"/>
    <w:rsid w:val="001242AA"/>
    <w:rsid w:val="001250BA"/>
    <w:rsid w:val="001250E9"/>
    <w:rsid w:val="001259C4"/>
    <w:rsid w:val="0012701F"/>
    <w:rsid w:val="0012790E"/>
    <w:rsid w:val="001279AE"/>
    <w:rsid w:val="0013092C"/>
    <w:rsid w:val="00130BF3"/>
    <w:rsid w:val="001316DA"/>
    <w:rsid w:val="00131A30"/>
    <w:rsid w:val="00133110"/>
    <w:rsid w:val="001333CA"/>
    <w:rsid w:val="00133759"/>
    <w:rsid w:val="00134C42"/>
    <w:rsid w:val="00134E92"/>
    <w:rsid w:val="00135BDC"/>
    <w:rsid w:val="001367E2"/>
    <w:rsid w:val="00136E76"/>
    <w:rsid w:val="001371D8"/>
    <w:rsid w:val="001375F3"/>
    <w:rsid w:val="001403F6"/>
    <w:rsid w:val="00140F08"/>
    <w:rsid w:val="00142C88"/>
    <w:rsid w:val="00143691"/>
    <w:rsid w:val="0014492C"/>
    <w:rsid w:val="00144B10"/>
    <w:rsid w:val="00145679"/>
    <w:rsid w:val="00145D63"/>
    <w:rsid w:val="00146057"/>
    <w:rsid w:val="00146072"/>
    <w:rsid w:val="001468C6"/>
    <w:rsid w:val="00146C47"/>
    <w:rsid w:val="00147889"/>
    <w:rsid w:val="0014793F"/>
    <w:rsid w:val="00150593"/>
    <w:rsid w:val="00150D41"/>
    <w:rsid w:val="00151E09"/>
    <w:rsid w:val="00155920"/>
    <w:rsid w:val="001575B5"/>
    <w:rsid w:val="00161632"/>
    <w:rsid w:val="00161C8B"/>
    <w:rsid w:val="00162484"/>
    <w:rsid w:val="0016521A"/>
    <w:rsid w:val="00165A49"/>
    <w:rsid w:val="00166536"/>
    <w:rsid w:val="00167D66"/>
    <w:rsid w:val="00170BF4"/>
    <w:rsid w:val="001716C5"/>
    <w:rsid w:val="001722AD"/>
    <w:rsid w:val="00173577"/>
    <w:rsid w:val="00173893"/>
    <w:rsid w:val="00173AF7"/>
    <w:rsid w:val="00173CF5"/>
    <w:rsid w:val="00173D48"/>
    <w:rsid w:val="00174DC1"/>
    <w:rsid w:val="0017638E"/>
    <w:rsid w:val="001764D4"/>
    <w:rsid w:val="00176AA5"/>
    <w:rsid w:val="00176D1E"/>
    <w:rsid w:val="0017720E"/>
    <w:rsid w:val="00177893"/>
    <w:rsid w:val="00180C22"/>
    <w:rsid w:val="00180F36"/>
    <w:rsid w:val="00181828"/>
    <w:rsid w:val="00181F70"/>
    <w:rsid w:val="00182860"/>
    <w:rsid w:val="00183FAF"/>
    <w:rsid w:val="00184221"/>
    <w:rsid w:val="001843C8"/>
    <w:rsid w:val="001848BC"/>
    <w:rsid w:val="00184CD0"/>
    <w:rsid w:val="0018537D"/>
    <w:rsid w:val="00186307"/>
    <w:rsid w:val="001869ED"/>
    <w:rsid w:val="00186EBC"/>
    <w:rsid w:val="00187740"/>
    <w:rsid w:val="00190783"/>
    <w:rsid w:val="00191580"/>
    <w:rsid w:val="00192FC2"/>
    <w:rsid w:val="0019390E"/>
    <w:rsid w:val="00195119"/>
    <w:rsid w:val="001951B1"/>
    <w:rsid w:val="001953DC"/>
    <w:rsid w:val="00195722"/>
    <w:rsid w:val="00195D06"/>
    <w:rsid w:val="00195DA4"/>
    <w:rsid w:val="00196403"/>
    <w:rsid w:val="00196BE2"/>
    <w:rsid w:val="00197A49"/>
    <w:rsid w:val="001A0142"/>
    <w:rsid w:val="001A01AB"/>
    <w:rsid w:val="001A02B2"/>
    <w:rsid w:val="001A1B46"/>
    <w:rsid w:val="001A1E3F"/>
    <w:rsid w:val="001A320E"/>
    <w:rsid w:val="001A383F"/>
    <w:rsid w:val="001A4DFB"/>
    <w:rsid w:val="001A5D55"/>
    <w:rsid w:val="001B00CE"/>
    <w:rsid w:val="001B1ABF"/>
    <w:rsid w:val="001B20BE"/>
    <w:rsid w:val="001B52A3"/>
    <w:rsid w:val="001B5CD0"/>
    <w:rsid w:val="001B6389"/>
    <w:rsid w:val="001B7425"/>
    <w:rsid w:val="001C039A"/>
    <w:rsid w:val="001C04CC"/>
    <w:rsid w:val="001C051E"/>
    <w:rsid w:val="001C0FCA"/>
    <w:rsid w:val="001C1C0A"/>
    <w:rsid w:val="001C1CEC"/>
    <w:rsid w:val="001C6221"/>
    <w:rsid w:val="001C6AA3"/>
    <w:rsid w:val="001C7B73"/>
    <w:rsid w:val="001D0C57"/>
    <w:rsid w:val="001D1BD7"/>
    <w:rsid w:val="001D21B3"/>
    <w:rsid w:val="001D2F52"/>
    <w:rsid w:val="001D39F1"/>
    <w:rsid w:val="001D5505"/>
    <w:rsid w:val="001D551B"/>
    <w:rsid w:val="001D55A3"/>
    <w:rsid w:val="001D586C"/>
    <w:rsid w:val="001D5DE3"/>
    <w:rsid w:val="001D5F75"/>
    <w:rsid w:val="001D6867"/>
    <w:rsid w:val="001D6934"/>
    <w:rsid w:val="001D6DD3"/>
    <w:rsid w:val="001D6EB6"/>
    <w:rsid w:val="001D7BD0"/>
    <w:rsid w:val="001E017F"/>
    <w:rsid w:val="001E1402"/>
    <w:rsid w:val="001E1701"/>
    <w:rsid w:val="001E4361"/>
    <w:rsid w:val="001E44DF"/>
    <w:rsid w:val="001E51D8"/>
    <w:rsid w:val="001E56F1"/>
    <w:rsid w:val="001E5805"/>
    <w:rsid w:val="001E5918"/>
    <w:rsid w:val="001E5F33"/>
    <w:rsid w:val="001E616A"/>
    <w:rsid w:val="001E6D12"/>
    <w:rsid w:val="001E6E03"/>
    <w:rsid w:val="001E6FE0"/>
    <w:rsid w:val="001E7B14"/>
    <w:rsid w:val="001E7E18"/>
    <w:rsid w:val="001F073C"/>
    <w:rsid w:val="001F2912"/>
    <w:rsid w:val="001F341E"/>
    <w:rsid w:val="001F4033"/>
    <w:rsid w:val="001F4F87"/>
    <w:rsid w:val="001F52E2"/>
    <w:rsid w:val="001F667A"/>
    <w:rsid w:val="001F6EC0"/>
    <w:rsid w:val="002001C6"/>
    <w:rsid w:val="00200296"/>
    <w:rsid w:val="00200A27"/>
    <w:rsid w:val="002011C0"/>
    <w:rsid w:val="00201ADB"/>
    <w:rsid w:val="0020349A"/>
    <w:rsid w:val="00204293"/>
    <w:rsid w:val="00204586"/>
    <w:rsid w:val="00204A21"/>
    <w:rsid w:val="00205009"/>
    <w:rsid w:val="002050B6"/>
    <w:rsid w:val="002052D3"/>
    <w:rsid w:val="002058E5"/>
    <w:rsid w:val="00205904"/>
    <w:rsid w:val="0020756D"/>
    <w:rsid w:val="00207EF1"/>
    <w:rsid w:val="00210D6F"/>
    <w:rsid w:val="00210FAA"/>
    <w:rsid w:val="002119FA"/>
    <w:rsid w:val="00211ECC"/>
    <w:rsid w:val="002128A2"/>
    <w:rsid w:val="002130B2"/>
    <w:rsid w:val="00213105"/>
    <w:rsid w:val="0021348A"/>
    <w:rsid w:val="002140DF"/>
    <w:rsid w:val="00214603"/>
    <w:rsid w:val="0021757E"/>
    <w:rsid w:val="00217AF4"/>
    <w:rsid w:val="00220C79"/>
    <w:rsid w:val="00220D6E"/>
    <w:rsid w:val="00221DEC"/>
    <w:rsid w:val="002220A6"/>
    <w:rsid w:val="00222F50"/>
    <w:rsid w:val="002234A6"/>
    <w:rsid w:val="0022399B"/>
    <w:rsid w:val="0022504B"/>
    <w:rsid w:val="002262C6"/>
    <w:rsid w:val="00226581"/>
    <w:rsid w:val="002268A5"/>
    <w:rsid w:val="00226F55"/>
    <w:rsid w:val="002279D7"/>
    <w:rsid w:val="002319FC"/>
    <w:rsid w:val="0023272C"/>
    <w:rsid w:val="002327E1"/>
    <w:rsid w:val="0023327E"/>
    <w:rsid w:val="00233DAA"/>
    <w:rsid w:val="00234068"/>
    <w:rsid w:val="00234897"/>
    <w:rsid w:val="0023535E"/>
    <w:rsid w:val="00235C0F"/>
    <w:rsid w:val="00237C0A"/>
    <w:rsid w:val="00240264"/>
    <w:rsid w:val="002408EA"/>
    <w:rsid w:val="002424CF"/>
    <w:rsid w:val="002425EA"/>
    <w:rsid w:val="00242EA0"/>
    <w:rsid w:val="002435E2"/>
    <w:rsid w:val="00243685"/>
    <w:rsid w:val="00245AE6"/>
    <w:rsid w:val="002465F9"/>
    <w:rsid w:val="00253B64"/>
    <w:rsid w:val="00254C27"/>
    <w:rsid w:val="00255E7A"/>
    <w:rsid w:val="0025613F"/>
    <w:rsid w:val="002564AF"/>
    <w:rsid w:val="00257D5A"/>
    <w:rsid w:val="00257F36"/>
    <w:rsid w:val="00260046"/>
    <w:rsid w:val="00260E0C"/>
    <w:rsid w:val="00260ECE"/>
    <w:rsid w:val="00260F3A"/>
    <w:rsid w:val="00261DC6"/>
    <w:rsid w:val="00262260"/>
    <w:rsid w:val="0026226E"/>
    <w:rsid w:val="00262CE1"/>
    <w:rsid w:val="0026368A"/>
    <w:rsid w:val="00263BB3"/>
    <w:rsid w:val="00264623"/>
    <w:rsid w:val="002646BB"/>
    <w:rsid w:val="0026520C"/>
    <w:rsid w:val="002659C8"/>
    <w:rsid w:val="00265FAF"/>
    <w:rsid w:val="00266EDB"/>
    <w:rsid w:val="00267541"/>
    <w:rsid w:val="0026770D"/>
    <w:rsid w:val="00267CB7"/>
    <w:rsid w:val="00267FFE"/>
    <w:rsid w:val="00271186"/>
    <w:rsid w:val="00272FA5"/>
    <w:rsid w:val="00273132"/>
    <w:rsid w:val="00273C92"/>
    <w:rsid w:val="0027449F"/>
    <w:rsid w:val="00275708"/>
    <w:rsid w:val="00276197"/>
    <w:rsid w:val="002765DA"/>
    <w:rsid w:val="002766D3"/>
    <w:rsid w:val="00276880"/>
    <w:rsid w:val="00277652"/>
    <w:rsid w:val="0028099A"/>
    <w:rsid w:val="00280A31"/>
    <w:rsid w:val="00280B5B"/>
    <w:rsid w:val="00280CBF"/>
    <w:rsid w:val="00282D1F"/>
    <w:rsid w:val="002836DF"/>
    <w:rsid w:val="002851A1"/>
    <w:rsid w:val="002874C1"/>
    <w:rsid w:val="00287A38"/>
    <w:rsid w:val="00287B4F"/>
    <w:rsid w:val="002924C8"/>
    <w:rsid w:val="00292805"/>
    <w:rsid w:val="002928F4"/>
    <w:rsid w:val="002947E6"/>
    <w:rsid w:val="00296260"/>
    <w:rsid w:val="00296399"/>
    <w:rsid w:val="0029649F"/>
    <w:rsid w:val="002965B4"/>
    <w:rsid w:val="00297598"/>
    <w:rsid w:val="00297639"/>
    <w:rsid w:val="002A1449"/>
    <w:rsid w:val="002A1B25"/>
    <w:rsid w:val="002A2110"/>
    <w:rsid w:val="002A2200"/>
    <w:rsid w:val="002A2A80"/>
    <w:rsid w:val="002A366C"/>
    <w:rsid w:val="002A4503"/>
    <w:rsid w:val="002A459E"/>
    <w:rsid w:val="002A595F"/>
    <w:rsid w:val="002A5E00"/>
    <w:rsid w:val="002A6E7B"/>
    <w:rsid w:val="002A7376"/>
    <w:rsid w:val="002B10C5"/>
    <w:rsid w:val="002B1FDF"/>
    <w:rsid w:val="002B20A3"/>
    <w:rsid w:val="002B21F2"/>
    <w:rsid w:val="002B251E"/>
    <w:rsid w:val="002B25AE"/>
    <w:rsid w:val="002B2E4B"/>
    <w:rsid w:val="002B4941"/>
    <w:rsid w:val="002B5D74"/>
    <w:rsid w:val="002B65D7"/>
    <w:rsid w:val="002B66C3"/>
    <w:rsid w:val="002B7ADB"/>
    <w:rsid w:val="002C1D2F"/>
    <w:rsid w:val="002C231A"/>
    <w:rsid w:val="002C34CA"/>
    <w:rsid w:val="002C4D8D"/>
    <w:rsid w:val="002C60B2"/>
    <w:rsid w:val="002C6ECB"/>
    <w:rsid w:val="002D04D9"/>
    <w:rsid w:val="002D0C27"/>
    <w:rsid w:val="002D13C4"/>
    <w:rsid w:val="002D1F26"/>
    <w:rsid w:val="002D2FCA"/>
    <w:rsid w:val="002D34C2"/>
    <w:rsid w:val="002D5E12"/>
    <w:rsid w:val="002D7823"/>
    <w:rsid w:val="002D7F5F"/>
    <w:rsid w:val="002E01CF"/>
    <w:rsid w:val="002E12B2"/>
    <w:rsid w:val="002E3EE9"/>
    <w:rsid w:val="002E41A7"/>
    <w:rsid w:val="002E42FD"/>
    <w:rsid w:val="002E45C3"/>
    <w:rsid w:val="002E4C2D"/>
    <w:rsid w:val="002E4DDA"/>
    <w:rsid w:val="002E571E"/>
    <w:rsid w:val="002E5DEA"/>
    <w:rsid w:val="002E5EB0"/>
    <w:rsid w:val="002E66BD"/>
    <w:rsid w:val="002E724A"/>
    <w:rsid w:val="002F0CC4"/>
    <w:rsid w:val="002F311E"/>
    <w:rsid w:val="002F337E"/>
    <w:rsid w:val="002F4775"/>
    <w:rsid w:val="002F4E42"/>
    <w:rsid w:val="002F59A4"/>
    <w:rsid w:val="002F5F92"/>
    <w:rsid w:val="002F5FF8"/>
    <w:rsid w:val="002F6CCA"/>
    <w:rsid w:val="002F71B8"/>
    <w:rsid w:val="003002E6"/>
    <w:rsid w:val="0030057F"/>
    <w:rsid w:val="00300A0F"/>
    <w:rsid w:val="003019C6"/>
    <w:rsid w:val="00301EA1"/>
    <w:rsid w:val="00302B1C"/>
    <w:rsid w:val="00302FCC"/>
    <w:rsid w:val="0030425F"/>
    <w:rsid w:val="003062AE"/>
    <w:rsid w:val="0030664D"/>
    <w:rsid w:val="003066C1"/>
    <w:rsid w:val="00310134"/>
    <w:rsid w:val="003101A1"/>
    <w:rsid w:val="0031260A"/>
    <w:rsid w:val="00313F36"/>
    <w:rsid w:val="003145A2"/>
    <w:rsid w:val="003145A9"/>
    <w:rsid w:val="003147F3"/>
    <w:rsid w:val="00314D24"/>
    <w:rsid w:val="00315514"/>
    <w:rsid w:val="00316114"/>
    <w:rsid w:val="00316DEA"/>
    <w:rsid w:val="00317850"/>
    <w:rsid w:val="00323375"/>
    <w:rsid w:val="00324794"/>
    <w:rsid w:val="003253DF"/>
    <w:rsid w:val="00325921"/>
    <w:rsid w:val="00325A54"/>
    <w:rsid w:val="00326596"/>
    <w:rsid w:val="0032688E"/>
    <w:rsid w:val="00326A98"/>
    <w:rsid w:val="0032730A"/>
    <w:rsid w:val="003276A5"/>
    <w:rsid w:val="00331339"/>
    <w:rsid w:val="0033157F"/>
    <w:rsid w:val="00331890"/>
    <w:rsid w:val="00331D9E"/>
    <w:rsid w:val="0033342F"/>
    <w:rsid w:val="0033363A"/>
    <w:rsid w:val="00334464"/>
    <w:rsid w:val="00334A06"/>
    <w:rsid w:val="00334ACF"/>
    <w:rsid w:val="00334B21"/>
    <w:rsid w:val="00335E49"/>
    <w:rsid w:val="0033729F"/>
    <w:rsid w:val="0034144E"/>
    <w:rsid w:val="00341A14"/>
    <w:rsid w:val="00342F0F"/>
    <w:rsid w:val="0034314A"/>
    <w:rsid w:val="00343171"/>
    <w:rsid w:val="0034373A"/>
    <w:rsid w:val="00343745"/>
    <w:rsid w:val="00343D70"/>
    <w:rsid w:val="00344602"/>
    <w:rsid w:val="00344D6D"/>
    <w:rsid w:val="0034548F"/>
    <w:rsid w:val="00345ADC"/>
    <w:rsid w:val="0035016A"/>
    <w:rsid w:val="00351381"/>
    <w:rsid w:val="003514D5"/>
    <w:rsid w:val="003530A6"/>
    <w:rsid w:val="00353627"/>
    <w:rsid w:val="00353B2A"/>
    <w:rsid w:val="003545F1"/>
    <w:rsid w:val="00355B15"/>
    <w:rsid w:val="00355F72"/>
    <w:rsid w:val="0035639B"/>
    <w:rsid w:val="00357657"/>
    <w:rsid w:val="003611A3"/>
    <w:rsid w:val="003613EB"/>
    <w:rsid w:val="003616F0"/>
    <w:rsid w:val="00361FF7"/>
    <w:rsid w:val="003639A6"/>
    <w:rsid w:val="0036412B"/>
    <w:rsid w:val="003644B2"/>
    <w:rsid w:val="00365CD6"/>
    <w:rsid w:val="00365E98"/>
    <w:rsid w:val="00365EF7"/>
    <w:rsid w:val="003668E3"/>
    <w:rsid w:val="003679AE"/>
    <w:rsid w:val="003705D9"/>
    <w:rsid w:val="003706E5"/>
    <w:rsid w:val="00372030"/>
    <w:rsid w:val="00373774"/>
    <w:rsid w:val="00373B71"/>
    <w:rsid w:val="003745CF"/>
    <w:rsid w:val="0037623C"/>
    <w:rsid w:val="00376713"/>
    <w:rsid w:val="003769BC"/>
    <w:rsid w:val="00381918"/>
    <w:rsid w:val="00382138"/>
    <w:rsid w:val="0038281C"/>
    <w:rsid w:val="00383320"/>
    <w:rsid w:val="0038449E"/>
    <w:rsid w:val="00384851"/>
    <w:rsid w:val="0038493E"/>
    <w:rsid w:val="00385142"/>
    <w:rsid w:val="003851FE"/>
    <w:rsid w:val="00385293"/>
    <w:rsid w:val="00385A64"/>
    <w:rsid w:val="00385D34"/>
    <w:rsid w:val="00385FAF"/>
    <w:rsid w:val="003864C0"/>
    <w:rsid w:val="00386D1A"/>
    <w:rsid w:val="00390462"/>
    <w:rsid w:val="00391DA2"/>
    <w:rsid w:val="00392766"/>
    <w:rsid w:val="003939EA"/>
    <w:rsid w:val="00395FC8"/>
    <w:rsid w:val="0039680A"/>
    <w:rsid w:val="00397170"/>
    <w:rsid w:val="0039726C"/>
    <w:rsid w:val="003A09FB"/>
    <w:rsid w:val="003A0F03"/>
    <w:rsid w:val="003A2DD6"/>
    <w:rsid w:val="003A3433"/>
    <w:rsid w:val="003A537E"/>
    <w:rsid w:val="003A63AE"/>
    <w:rsid w:val="003A660F"/>
    <w:rsid w:val="003A76AD"/>
    <w:rsid w:val="003B095E"/>
    <w:rsid w:val="003B0EC0"/>
    <w:rsid w:val="003B306B"/>
    <w:rsid w:val="003B7A7C"/>
    <w:rsid w:val="003B7B29"/>
    <w:rsid w:val="003B7F54"/>
    <w:rsid w:val="003C0BF9"/>
    <w:rsid w:val="003C0EAF"/>
    <w:rsid w:val="003C1A9F"/>
    <w:rsid w:val="003C2303"/>
    <w:rsid w:val="003C2B08"/>
    <w:rsid w:val="003C2CF3"/>
    <w:rsid w:val="003C2D50"/>
    <w:rsid w:val="003C30A6"/>
    <w:rsid w:val="003C3A75"/>
    <w:rsid w:val="003C48DA"/>
    <w:rsid w:val="003C4A3A"/>
    <w:rsid w:val="003C4D84"/>
    <w:rsid w:val="003C5A3F"/>
    <w:rsid w:val="003C5B89"/>
    <w:rsid w:val="003C5F28"/>
    <w:rsid w:val="003C7589"/>
    <w:rsid w:val="003D0781"/>
    <w:rsid w:val="003D080C"/>
    <w:rsid w:val="003D09E4"/>
    <w:rsid w:val="003D0A01"/>
    <w:rsid w:val="003D11A9"/>
    <w:rsid w:val="003D1595"/>
    <w:rsid w:val="003D1C4C"/>
    <w:rsid w:val="003D2A37"/>
    <w:rsid w:val="003D2EE1"/>
    <w:rsid w:val="003D31CB"/>
    <w:rsid w:val="003D3F46"/>
    <w:rsid w:val="003D49FE"/>
    <w:rsid w:val="003D54DD"/>
    <w:rsid w:val="003D69EF"/>
    <w:rsid w:val="003D72E0"/>
    <w:rsid w:val="003D7F8C"/>
    <w:rsid w:val="003E0EDB"/>
    <w:rsid w:val="003E1661"/>
    <w:rsid w:val="003E303E"/>
    <w:rsid w:val="003E344E"/>
    <w:rsid w:val="003E3C1B"/>
    <w:rsid w:val="003E6475"/>
    <w:rsid w:val="003F019F"/>
    <w:rsid w:val="003F081F"/>
    <w:rsid w:val="003F092D"/>
    <w:rsid w:val="003F105A"/>
    <w:rsid w:val="003F115E"/>
    <w:rsid w:val="003F26D0"/>
    <w:rsid w:val="003F283D"/>
    <w:rsid w:val="003F299E"/>
    <w:rsid w:val="003F2F73"/>
    <w:rsid w:val="003F2FB0"/>
    <w:rsid w:val="003F4F33"/>
    <w:rsid w:val="003F6199"/>
    <w:rsid w:val="003F784F"/>
    <w:rsid w:val="0040000E"/>
    <w:rsid w:val="00401AB8"/>
    <w:rsid w:val="00402BF4"/>
    <w:rsid w:val="004033BF"/>
    <w:rsid w:val="004076B7"/>
    <w:rsid w:val="00411F40"/>
    <w:rsid w:val="00412E85"/>
    <w:rsid w:val="00413A3F"/>
    <w:rsid w:val="00414057"/>
    <w:rsid w:val="00415866"/>
    <w:rsid w:val="00416925"/>
    <w:rsid w:val="004169E6"/>
    <w:rsid w:val="00417E6D"/>
    <w:rsid w:val="00421450"/>
    <w:rsid w:val="00423EFA"/>
    <w:rsid w:val="00424190"/>
    <w:rsid w:val="004254E6"/>
    <w:rsid w:val="00425A4C"/>
    <w:rsid w:val="00425DB4"/>
    <w:rsid w:val="00426729"/>
    <w:rsid w:val="00426A17"/>
    <w:rsid w:val="00426FFA"/>
    <w:rsid w:val="00427E55"/>
    <w:rsid w:val="00427EB6"/>
    <w:rsid w:val="004335D1"/>
    <w:rsid w:val="00433856"/>
    <w:rsid w:val="00433988"/>
    <w:rsid w:val="0043418C"/>
    <w:rsid w:val="004359B2"/>
    <w:rsid w:val="004366B3"/>
    <w:rsid w:val="00436873"/>
    <w:rsid w:val="0043691A"/>
    <w:rsid w:val="00437238"/>
    <w:rsid w:val="00437BB5"/>
    <w:rsid w:val="004406B4"/>
    <w:rsid w:val="00442A30"/>
    <w:rsid w:val="00443765"/>
    <w:rsid w:val="00443819"/>
    <w:rsid w:val="00443A32"/>
    <w:rsid w:val="00443F9A"/>
    <w:rsid w:val="00447A1F"/>
    <w:rsid w:val="00450614"/>
    <w:rsid w:val="00451521"/>
    <w:rsid w:val="00452501"/>
    <w:rsid w:val="00452B3F"/>
    <w:rsid w:val="00453170"/>
    <w:rsid w:val="00453BAE"/>
    <w:rsid w:val="00453D59"/>
    <w:rsid w:val="00453F0B"/>
    <w:rsid w:val="00454493"/>
    <w:rsid w:val="00455A8A"/>
    <w:rsid w:val="00455BE1"/>
    <w:rsid w:val="0045669B"/>
    <w:rsid w:val="004603A6"/>
    <w:rsid w:val="00460830"/>
    <w:rsid w:val="004614D4"/>
    <w:rsid w:val="00461800"/>
    <w:rsid w:val="004619BB"/>
    <w:rsid w:val="004636CE"/>
    <w:rsid w:val="00463DDA"/>
    <w:rsid w:val="004645B3"/>
    <w:rsid w:val="00464AD0"/>
    <w:rsid w:val="00465411"/>
    <w:rsid w:val="0046560E"/>
    <w:rsid w:val="00465D3F"/>
    <w:rsid w:val="00465D5E"/>
    <w:rsid w:val="0046621E"/>
    <w:rsid w:val="00472537"/>
    <w:rsid w:val="00472D4D"/>
    <w:rsid w:val="004730C4"/>
    <w:rsid w:val="0047390F"/>
    <w:rsid w:val="004742C6"/>
    <w:rsid w:val="00474429"/>
    <w:rsid w:val="004764A1"/>
    <w:rsid w:val="0047746A"/>
    <w:rsid w:val="00477E5B"/>
    <w:rsid w:val="00480BB0"/>
    <w:rsid w:val="00482528"/>
    <w:rsid w:val="0048301F"/>
    <w:rsid w:val="00483842"/>
    <w:rsid w:val="00484761"/>
    <w:rsid w:val="00485257"/>
    <w:rsid w:val="0048688F"/>
    <w:rsid w:val="004871CB"/>
    <w:rsid w:val="00487299"/>
    <w:rsid w:val="004873F8"/>
    <w:rsid w:val="00487662"/>
    <w:rsid w:val="00487D58"/>
    <w:rsid w:val="00490CAE"/>
    <w:rsid w:val="00490CB5"/>
    <w:rsid w:val="0049137E"/>
    <w:rsid w:val="00491872"/>
    <w:rsid w:val="004919DD"/>
    <w:rsid w:val="00493936"/>
    <w:rsid w:val="0049446A"/>
    <w:rsid w:val="004949A6"/>
    <w:rsid w:val="00494D4B"/>
    <w:rsid w:val="00494F7C"/>
    <w:rsid w:val="00495235"/>
    <w:rsid w:val="00495292"/>
    <w:rsid w:val="00495646"/>
    <w:rsid w:val="004956CA"/>
    <w:rsid w:val="004962EE"/>
    <w:rsid w:val="00497FB5"/>
    <w:rsid w:val="004A18AA"/>
    <w:rsid w:val="004A2DF5"/>
    <w:rsid w:val="004A304A"/>
    <w:rsid w:val="004A4AEC"/>
    <w:rsid w:val="004A4B4C"/>
    <w:rsid w:val="004A4EF3"/>
    <w:rsid w:val="004A5596"/>
    <w:rsid w:val="004A63D9"/>
    <w:rsid w:val="004A6D72"/>
    <w:rsid w:val="004A74E2"/>
    <w:rsid w:val="004B0002"/>
    <w:rsid w:val="004B09A4"/>
    <w:rsid w:val="004B0EB4"/>
    <w:rsid w:val="004B250A"/>
    <w:rsid w:val="004B2F3C"/>
    <w:rsid w:val="004B38C6"/>
    <w:rsid w:val="004B3901"/>
    <w:rsid w:val="004B3C00"/>
    <w:rsid w:val="004B7CAE"/>
    <w:rsid w:val="004C0D99"/>
    <w:rsid w:val="004C3DBD"/>
    <w:rsid w:val="004C4155"/>
    <w:rsid w:val="004C4958"/>
    <w:rsid w:val="004C5010"/>
    <w:rsid w:val="004C6101"/>
    <w:rsid w:val="004C62CE"/>
    <w:rsid w:val="004C777B"/>
    <w:rsid w:val="004C7B92"/>
    <w:rsid w:val="004D04BA"/>
    <w:rsid w:val="004D0818"/>
    <w:rsid w:val="004D0CBD"/>
    <w:rsid w:val="004D1006"/>
    <w:rsid w:val="004D18CE"/>
    <w:rsid w:val="004D233A"/>
    <w:rsid w:val="004D3D92"/>
    <w:rsid w:val="004D3EC2"/>
    <w:rsid w:val="004D45DF"/>
    <w:rsid w:val="004D488F"/>
    <w:rsid w:val="004D6390"/>
    <w:rsid w:val="004D6526"/>
    <w:rsid w:val="004D76B4"/>
    <w:rsid w:val="004E0C0B"/>
    <w:rsid w:val="004E1571"/>
    <w:rsid w:val="004E1B85"/>
    <w:rsid w:val="004E2125"/>
    <w:rsid w:val="004E382D"/>
    <w:rsid w:val="004E40D7"/>
    <w:rsid w:val="004E44CC"/>
    <w:rsid w:val="004E60B9"/>
    <w:rsid w:val="004E61B8"/>
    <w:rsid w:val="004F27ED"/>
    <w:rsid w:val="004F2ABC"/>
    <w:rsid w:val="004F3688"/>
    <w:rsid w:val="004F3AAE"/>
    <w:rsid w:val="004F4415"/>
    <w:rsid w:val="004F44AD"/>
    <w:rsid w:val="004F4BDE"/>
    <w:rsid w:val="004F5BE7"/>
    <w:rsid w:val="004F6163"/>
    <w:rsid w:val="004F6316"/>
    <w:rsid w:val="004F6B88"/>
    <w:rsid w:val="004F7CAC"/>
    <w:rsid w:val="004F7D86"/>
    <w:rsid w:val="00500D68"/>
    <w:rsid w:val="00500F2B"/>
    <w:rsid w:val="005013C4"/>
    <w:rsid w:val="00503847"/>
    <w:rsid w:val="005046CB"/>
    <w:rsid w:val="00507300"/>
    <w:rsid w:val="00507695"/>
    <w:rsid w:val="00507713"/>
    <w:rsid w:val="0051007E"/>
    <w:rsid w:val="00511320"/>
    <w:rsid w:val="005128AD"/>
    <w:rsid w:val="005131E1"/>
    <w:rsid w:val="00513515"/>
    <w:rsid w:val="00513528"/>
    <w:rsid w:val="0051407F"/>
    <w:rsid w:val="005143F9"/>
    <w:rsid w:val="00514B55"/>
    <w:rsid w:val="00515B1F"/>
    <w:rsid w:val="00516566"/>
    <w:rsid w:val="00516DA4"/>
    <w:rsid w:val="00517040"/>
    <w:rsid w:val="0052050F"/>
    <w:rsid w:val="00520AAB"/>
    <w:rsid w:val="005218C3"/>
    <w:rsid w:val="00522624"/>
    <w:rsid w:val="005234C2"/>
    <w:rsid w:val="00523BF5"/>
    <w:rsid w:val="00523C41"/>
    <w:rsid w:val="00524226"/>
    <w:rsid w:val="00524880"/>
    <w:rsid w:val="00525468"/>
    <w:rsid w:val="005277B4"/>
    <w:rsid w:val="00530B4A"/>
    <w:rsid w:val="00530C94"/>
    <w:rsid w:val="00531C11"/>
    <w:rsid w:val="0053277A"/>
    <w:rsid w:val="0053284D"/>
    <w:rsid w:val="00533377"/>
    <w:rsid w:val="00534E9E"/>
    <w:rsid w:val="0053514B"/>
    <w:rsid w:val="00535B5A"/>
    <w:rsid w:val="00535C74"/>
    <w:rsid w:val="005361AB"/>
    <w:rsid w:val="00537A52"/>
    <w:rsid w:val="00537EB3"/>
    <w:rsid w:val="00540DEB"/>
    <w:rsid w:val="00541D43"/>
    <w:rsid w:val="00542068"/>
    <w:rsid w:val="00542D88"/>
    <w:rsid w:val="00543AF9"/>
    <w:rsid w:val="005452C5"/>
    <w:rsid w:val="00545D59"/>
    <w:rsid w:val="00546882"/>
    <w:rsid w:val="00546A53"/>
    <w:rsid w:val="00551348"/>
    <w:rsid w:val="00551540"/>
    <w:rsid w:val="0055181C"/>
    <w:rsid w:val="005523B6"/>
    <w:rsid w:val="005535D6"/>
    <w:rsid w:val="005544C7"/>
    <w:rsid w:val="0055532F"/>
    <w:rsid w:val="005558A9"/>
    <w:rsid w:val="005564DF"/>
    <w:rsid w:val="00556ACC"/>
    <w:rsid w:val="005577EE"/>
    <w:rsid w:val="005606C0"/>
    <w:rsid w:val="00561539"/>
    <w:rsid w:val="00561845"/>
    <w:rsid w:val="00561B60"/>
    <w:rsid w:val="00561D24"/>
    <w:rsid w:val="00562471"/>
    <w:rsid w:val="005634E3"/>
    <w:rsid w:val="00563550"/>
    <w:rsid w:val="00565012"/>
    <w:rsid w:val="0056588C"/>
    <w:rsid w:val="00565F6E"/>
    <w:rsid w:val="00566921"/>
    <w:rsid w:val="00570332"/>
    <w:rsid w:val="00570865"/>
    <w:rsid w:val="005708E9"/>
    <w:rsid w:val="00570D39"/>
    <w:rsid w:val="00570F9C"/>
    <w:rsid w:val="00570FFD"/>
    <w:rsid w:val="00571BC9"/>
    <w:rsid w:val="005730B1"/>
    <w:rsid w:val="005737B5"/>
    <w:rsid w:val="00575AC9"/>
    <w:rsid w:val="00576ADE"/>
    <w:rsid w:val="00577405"/>
    <w:rsid w:val="005778C6"/>
    <w:rsid w:val="00577CFD"/>
    <w:rsid w:val="00577DEF"/>
    <w:rsid w:val="00577F18"/>
    <w:rsid w:val="00580BFB"/>
    <w:rsid w:val="0058129B"/>
    <w:rsid w:val="005824F1"/>
    <w:rsid w:val="0058274F"/>
    <w:rsid w:val="005840FE"/>
    <w:rsid w:val="00584F21"/>
    <w:rsid w:val="00585144"/>
    <w:rsid w:val="00586913"/>
    <w:rsid w:val="00586D0A"/>
    <w:rsid w:val="00587023"/>
    <w:rsid w:val="005908A4"/>
    <w:rsid w:val="00591E72"/>
    <w:rsid w:val="005924A7"/>
    <w:rsid w:val="00592F6F"/>
    <w:rsid w:val="005935C6"/>
    <w:rsid w:val="0059452B"/>
    <w:rsid w:val="005948F6"/>
    <w:rsid w:val="00595851"/>
    <w:rsid w:val="00597458"/>
    <w:rsid w:val="0059754E"/>
    <w:rsid w:val="00597972"/>
    <w:rsid w:val="005A0400"/>
    <w:rsid w:val="005A0562"/>
    <w:rsid w:val="005A0A3B"/>
    <w:rsid w:val="005A15E9"/>
    <w:rsid w:val="005A1B4B"/>
    <w:rsid w:val="005A291D"/>
    <w:rsid w:val="005A3DEA"/>
    <w:rsid w:val="005A4DD6"/>
    <w:rsid w:val="005A5233"/>
    <w:rsid w:val="005A5F86"/>
    <w:rsid w:val="005A7464"/>
    <w:rsid w:val="005A7531"/>
    <w:rsid w:val="005B0008"/>
    <w:rsid w:val="005B0C82"/>
    <w:rsid w:val="005B0F37"/>
    <w:rsid w:val="005B1B32"/>
    <w:rsid w:val="005B24E0"/>
    <w:rsid w:val="005B3837"/>
    <w:rsid w:val="005B3BA9"/>
    <w:rsid w:val="005B484D"/>
    <w:rsid w:val="005C0E7A"/>
    <w:rsid w:val="005C1170"/>
    <w:rsid w:val="005C2346"/>
    <w:rsid w:val="005C23A1"/>
    <w:rsid w:val="005C398F"/>
    <w:rsid w:val="005C3BD2"/>
    <w:rsid w:val="005C3CFD"/>
    <w:rsid w:val="005C40F6"/>
    <w:rsid w:val="005C4565"/>
    <w:rsid w:val="005C4645"/>
    <w:rsid w:val="005C500C"/>
    <w:rsid w:val="005C50D3"/>
    <w:rsid w:val="005C5211"/>
    <w:rsid w:val="005C6285"/>
    <w:rsid w:val="005C7AD7"/>
    <w:rsid w:val="005C7BE0"/>
    <w:rsid w:val="005C7F63"/>
    <w:rsid w:val="005D01CF"/>
    <w:rsid w:val="005D0AAF"/>
    <w:rsid w:val="005D0D31"/>
    <w:rsid w:val="005D1190"/>
    <w:rsid w:val="005D16B1"/>
    <w:rsid w:val="005D1707"/>
    <w:rsid w:val="005D27BF"/>
    <w:rsid w:val="005D2A1E"/>
    <w:rsid w:val="005D2C96"/>
    <w:rsid w:val="005D37B7"/>
    <w:rsid w:val="005D3821"/>
    <w:rsid w:val="005D3D93"/>
    <w:rsid w:val="005D5BA1"/>
    <w:rsid w:val="005D622E"/>
    <w:rsid w:val="005E08FE"/>
    <w:rsid w:val="005E1033"/>
    <w:rsid w:val="005E24B9"/>
    <w:rsid w:val="005E2F47"/>
    <w:rsid w:val="005E33E2"/>
    <w:rsid w:val="005E49B2"/>
    <w:rsid w:val="005E4A13"/>
    <w:rsid w:val="005E4FA2"/>
    <w:rsid w:val="005E5008"/>
    <w:rsid w:val="005E5086"/>
    <w:rsid w:val="005E6460"/>
    <w:rsid w:val="005F07D6"/>
    <w:rsid w:val="005F0AE8"/>
    <w:rsid w:val="005F2A6B"/>
    <w:rsid w:val="005F2B62"/>
    <w:rsid w:val="005F30B2"/>
    <w:rsid w:val="005F3B60"/>
    <w:rsid w:val="005F40C1"/>
    <w:rsid w:val="005F5C71"/>
    <w:rsid w:val="005F64E4"/>
    <w:rsid w:val="005F67BF"/>
    <w:rsid w:val="005F7866"/>
    <w:rsid w:val="00600372"/>
    <w:rsid w:val="006005A1"/>
    <w:rsid w:val="006024D3"/>
    <w:rsid w:val="006037E0"/>
    <w:rsid w:val="00604104"/>
    <w:rsid w:val="00605362"/>
    <w:rsid w:val="00605AA8"/>
    <w:rsid w:val="00606BEF"/>
    <w:rsid w:val="00606EF9"/>
    <w:rsid w:val="0060706A"/>
    <w:rsid w:val="006070C4"/>
    <w:rsid w:val="00607758"/>
    <w:rsid w:val="006109B7"/>
    <w:rsid w:val="00610D5E"/>
    <w:rsid w:val="006110E8"/>
    <w:rsid w:val="00611501"/>
    <w:rsid w:val="00611D53"/>
    <w:rsid w:val="00611D72"/>
    <w:rsid w:val="006129E2"/>
    <w:rsid w:val="00613467"/>
    <w:rsid w:val="00614A2E"/>
    <w:rsid w:val="00614C3B"/>
    <w:rsid w:val="006152C3"/>
    <w:rsid w:val="00616E2A"/>
    <w:rsid w:val="00616EF4"/>
    <w:rsid w:val="00621246"/>
    <w:rsid w:val="006238E3"/>
    <w:rsid w:val="00623F4E"/>
    <w:rsid w:val="00624315"/>
    <w:rsid w:val="00624713"/>
    <w:rsid w:val="006252C4"/>
    <w:rsid w:val="0062545B"/>
    <w:rsid w:val="0062552A"/>
    <w:rsid w:val="006262D6"/>
    <w:rsid w:val="00630212"/>
    <w:rsid w:val="00630958"/>
    <w:rsid w:val="006313C1"/>
    <w:rsid w:val="0063248D"/>
    <w:rsid w:val="00632964"/>
    <w:rsid w:val="006332BE"/>
    <w:rsid w:val="00634553"/>
    <w:rsid w:val="00634CBF"/>
    <w:rsid w:val="00636DC1"/>
    <w:rsid w:val="0064060C"/>
    <w:rsid w:val="006408C3"/>
    <w:rsid w:val="006408D6"/>
    <w:rsid w:val="00641873"/>
    <w:rsid w:val="00641AD8"/>
    <w:rsid w:val="00642072"/>
    <w:rsid w:val="006423ED"/>
    <w:rsid w:val="00642FC1"/>
    <w:rsid w:val="0064340A"/>
    <w:rsid w:val="00643788"/>
    <w:rsid w:val="00644B97"/>
    <w:rsid w:val="0064620D"/>
    <w:rsid w:val="00652153"/>
    <w:rsid w:val="0065284E"/>
    <w:rsid w:val="00653059"/>
    <w:rsid w:val="00653360"/>
    <w:rsid w:val="006536B4"/>
    <w:rsid w:val="00654E15"/>
    <w:rsid w:val="0065605D"/>
    <w:rsid w:val="00656A9F"/>
    <w:rsid w:val="00657318"/>
    <w:rsid w:val="0065762D"/>
    <w:rsid w:val="00657754"/>
    <w:rsid w:val="00661286"/>
    <w:rsid w:val="0066145F"/>
    <w:rsid w:val="00662DFF"/>
    <w:rsid w:val="00662E1D"/>
    <w:rsid w:val="0066376E"/>
    <w:rsid w:val="00663C8D"/>
    <w:rsid w:val="00663E5A"/>
    <w:rsid w:val="00664356"/>
    <w:rsid w:val="00665926"/>
    <w:rsid w:val="00665B03"/>
    <w:rsid w:val="0066774C"/>
    <w:rsid w:val="00670704"/>
    <w:rsid w:val="00671B10"/>
    <w:rsid w:val="00672120"/>
    <w:rsid w:val="006725A7"/>
    <w:rsid w:val="006726E4"/>
    <w:rsid w:val="0067492E"/>
    <w:rsid w:val="00674E7F"/>
    <w:rsid w:val="0067658D"/>
    <w:rsid w:val="00680AC1"/>
    <w:rsid w:val="00681CCB"/>
    <w:rsid w:val="006832D3"/>
    <w:rsid w:val="00683327"/>
    <w:rsid w:val="00683641"/>
    <w:rsid w:val="00683B76"/>
    <w:rsid w:val="00684A85"/>
    <w:rsid w:val="00684E6E"/>
    <w:rsid w:val="00685797"/>
    <w:rsid w:val="00685931"/>
    <w:rsid w:val="0068611E"/>
    <w:rsid w:val="00686BD6"/>
    <w:rsid w:val="006878B3"/>
    <w:rsid w:val="0069101E"/>
    <w:rsid w:val="00691223"/>
    <w:rsid w:val="00691322"/>
    <w:rsid w:val="006913E7"/>
    <w:rsid w:val="00691913"/>
    <w:rsid w:val="00692FB3"/>
    <w:rsid w:val="00693750"/>
    <w:rsid w:val="006942FD"/>
    <w:rsid w:val="00694676"/>
    <w:rsid w:val="00694FA2"/>
    <w:rsid w:val="00695728"/>
    <w:rsid w:val="00695A4E"/>
    <w:rsid w:val="00696EF6"/>
    <w:rsid w:val="00697522"/>
    <w:rsid w:val="006A0025"/>
    <w:rsid w:val="006A0780"/>
    <w:rsid w:val="006A07DD"/>
    <w:rsid w:val="006A11E4"/>
    <w:rsid w:val="006A128D"/>
    <w:rsid w:val="006A138B"/>
    <w:rsid w:val="006A13D3"/>
    <w:rsid w:val="006A18FB"/>
    <w:rsid w:val="006A3A38"/>
    <w:rsid w:val="006A3DB3"/>
    <w:rsid w:val="006A48A4"/>
    <w:rsid w:val="006A5640"/>
    <w:rsid w:val="006B06A2"/>
    <w:rsid w:val="006B1054"/>
    <w:rsid w:val="006B140A"/>
    <w:rsid w:val="006B18B8"/>
    <w:rsid w:val="006B1EA0"/>
    <w:rsid w:val="006B3737"/>
    <w:rsid w:val="006B414B"/>
    <w:rsid w:val="006B7432"/>
    <w:rsid w:val="006C0210"/>
    <w:rsid w:val="006C20FF"/>
    <w:rsid w:val="006C2176"/>
    <w:rsid w:val="006C276F"/>
    <w:rsid w:val="006C2E33"/>
    <w:rsid w:val="006C42AB"/>
    <w:rsid w:val="006C439E"/>
    <w:rsid w:val="006C459A"/>
    <w:rsid w:val="006C4906"/>
    <w:rsid w:val="006C49A2"/>
    <w:rsid w:val="006C5779"/>
    <w:rsid w:val="006C57B1"/>
    <w:rsid w:val="006C760E"/>
    <w:rsid w:val="006C79A4"/>
    <w:rsid w:val="006C7C1F"/>
    <w:rsid w:val="006D130F"/>
    <w:rsid w:val="006D1D88"/>
    <w:rsid w:val="006D29AF"/>
    <w:rsid w:val="006D3271"/>
    <w:rsid w:val="006D492C"/>
    <w:rsid w:val="006D5F68"/>
    <w:rsid w:val="006E0F1F"/>
    <w:rsid w:val="006E12E8"/>
    <w:rsid w:val="006E26CB"/>
    <w:rsid w:val="006E27AD"/>
    <w:rsid w:val="006E3501"/>
    <w:rsid w:val="006E3E48"/>
    <w:rsid w:val="006E480C"/>
    <w:rsid w:val="006E50DD"/>
    <w:rsid w:val="006E6472"/>
    <w:rsid w:val="006E6519"/>
    <w:rsid w:val="006E6E84"/>
    <w:rsid w:val="006E7302"/>
    <w:rsid w:val="006E76DD"/>
    <w:rsid w:val="006F0F1F"/>
    <w:rsid w:val="006F161E"/>
    <w:rsid w:val="006F21CC"/>
    <w:rsid w:val="006F3308"/>
    <w:rsid w:val="006F459E"/>
    <w:rsid w:val="006F466D"/>
    <w:rsid w:val="006F4677"/>
    <w:rsid w:val="006F52B5"/>
    <w:rsid w:val="006F5F8E"/>
    <w:rsid w:val="006F6E88"/>
    <w:rsid w:val="006F7B43"/>
    <w:rsid w:val="0070022A"/>
    <w:rsid w:val="00700B8F"/>
    <w:rsid w:val="00703B00"/>
    <w:rsid w:val="007045C9"/>
    <w:rsid w:val="007048DC"/>
    <w:rsid w:val="00704E54"/>
    <w:rsid w:val="0070504D"/>
    <w:rsid w:val="007059CE"/>
    <w:rsid w:val="00707082"/>
    <w:rsid w:val="00707CBE"/>
    <w:rsid w:val="00711F7F"/>
    <w:rsid w:val="00712C73"/>
    <w:rsid w:val="00713D04"/>
    <w:rsid w:val="00713ECA"/>
    <w:rsid w:val="00714101"/>
    <w:rsid w:val="00714BC5"/>
    <w:rsid w:val="0071621B"/>
    <w:rsid w:val="007164AA"/>
    <w:rsid w:val="0071771F"/>
    <w:rsid w:val="00717739"/>
    <w:rsid w:val="0072020B"/>
    <w:rsid w:val="00720872"/>
    <w:rsid w:val="0072337A"/>
    <w:rsid w:val="007234B8"/>
    <w:rsid w:val="007238B3"/>
    <w:rsid w:val="00723AB1"/>
    <w:rsid w:val="00723E1E"/>
    <w:rsid w:val="00724071"/>
    <w:rsid w:val="007240AD"/>
    <w:rsid w:val="007252C3"/>
    <w:rsid w:val="00725595"/>
    <w:rsid w:val="00725C6A"/>
    <w:rsid w:val="007274A2"/>
    <w:rsid w:val="007275DE"/>
    <w:rsid w:val="007319D8"/>
    <w:rsid w:val="00731A59"/>
    <w:rsid w:val="00733E56"/>
    <w:rsid w:val="00734E24"/>
    <w:rsid w:val="00734EA0"/>
    <w:rsid w:val="00737CF3"/>
    <w:rsid w:val="00740274"/>
    <w:rsid w:val="00741C2A"/>
    <w:rsid w:val="00741FE6"/>
    <w:rsid w:val="00744E7B"/>
    <w:rsid w:val="00744FFB"/>
    <w:rsid w:val="00745DC9"/>
    <w:rsid w:val="00746EA1"/>
    <w:rsid w:val="00747333"/>
    <w:rsid w:val="00747C48"/>
    <w:rsid w:val="0075005F"/>
    <w:rsid w:val="007509A6"/>
    <w:rsid w:val="00750B5A"/>
    <w:rsid w:val="00750EF8"/>
    <w:rsid w:val="007518E2"/>
    <w:rsid w:val="00751984"/>
    <w:rsid w:val="00751CAC"/>
    <w:rsid w:val="00752264"/>
    <w:rsid w:val="00753934"/>
    <w:rsid w:val="00753B80"/>
    <w:rsid w:val="007550BC"/>
    <w:rsid w:val="00756259"/>
    <w:rsid w:val="00756A5A"/>
    <w:rsid w:val="00757BEB"/>
    <w:rsid w:val="007605F9"/>
    <w:rsid w:val="00762872"/>
    <w:rsid w:val="007633B0"/>
    <w:rsid w:val="00764B77"/>
    <w:rsid w:val="00767B1D"/>
    <w:rsid w:val="00770B86"/>
    <w:rsid w:val="007715D2"/>
    <w:rsid w:val="00772501"/>
    <w:rsid w:val="00772C70"/>
    <w:rsid w:val="00773495"/>
    <w:rsid w:val="00774052"/>
    <w:rsid w:val="007748C4"/>
    <w:rsid w:val="00776183"/>
    <w:rsid w:val="007762EE"/>
    <w:rsid w:val="007771AE"/>
    <w:rsid w:val="00780BC3"/>
    <w:rsid w:val="0078290A"/>
    <w:rsid w:val="00783EF8"/>
    <w:rsid w:val="007843BE"/>
    <w:rsid w:val="007847FA"/>
    <w:rsid w:val="0078485D"/>
    <w:rsid w:val="00785235"/>
    <w:rsid w:val="007869A4"/>
    <w:rsid w:val="007878FD"/>
    <w:rsid w:val="00790910"/>
    <w:rsid w:val="00790BC1"/>
    <w:rsid w:val="00791DE1"/>
    <w:rsid w:val="0079537C"/>
    <w:rsid w:val="007958C0"/>
    <w:rsid w:val="00795CA0"/>
    <w:rsid w:val="00797B43"/>
    <w:rsid w:val="007A1247"/>
    <w:rsid w:val="007A3A8C"/>
    <w:rsid w:val="007A5D7C"/>
    <w:rsid w:val="007A644F"/>
    <w:rsid w:val="007A72FC"/>
    <w:rsid w:val="007B081F"/>
    <w:rsid w:val="007B0E0C"/>
    <w:rsid w:val="007B20C6"/>
    <w:rsid w:val="007B2923"/>
    <w:rsid w:val="007B33C5"/>
    <w:rsid w:val="007B4439"/>
    <w:rsid w:val="007B456D"/>
    <w:rsid w:val="007B4990"/>
    <w:rsid w:val="007B5590"/>
    <w:rsid w:val="007B5E60"/>
    <w:rsid w:val="007B6C68"/>
    <w:rsid w:val="007B6F34"/>
    <w:rsid w:val="007C0074"/>
    <w:rsid w:val="007C0E34"/>
    <w:rsid w:val="007C1213"/>
    <w:rsid w:val="007C14BB"/>
    <w:rsid w:val="007C1734"/>
    <w:rsid w:val="007C1C31"/>
    <w:rsid w:val="007C26E5"/>
    <w:rsid w:val="007C41C0"/>
    <w:rsid w:val="007C434F"/>
    <w:rsid w:val="007C49F7"/>
    <w:rsid w:val="007C5996"/>
    <w:rsid w:val="007C6539"/>
    <w:rsid w:val="007C6AC8"/>
    <w:rsid w:val="007C6B04"/>
    <w:rsid w:val="007C6C9C"/>
    <w:rsid w:val="007C720A"/>
    <w:rsid w:val="007D1092"/>
    <w:rsid w:val="007D16F0"/>
    <w:rsid w:val="007D2621"/>
    <w:rsid w:val="007D293A"/>
    <w:rsid w:val="007D7E5C"/>
    <w:rsid w:val="007E11E1"/>
    <w:rsid w:val="007E1F0B"/>
    <w:rsid w:val="007E1F31"/>
    <w:rsid w:val="007E1FEF"/>
    <w:rsid w:val="007E251D"/>
    <w:rsid w:val="007E305A"/>
    <w:rsid w:val="007E3562"/>
    <w:rsid w:val="007E4816"/>
    <w:rsid w:val="007E5038"/>
    <w:rsid w:val="007E56B8"/>
    <w:rsid w:val="007E58B0"/>
    <w:rsid w:val="007E6BC3"/>
    <w:rsid w:val="007F005E"/>
    <w:rsid w:val="007F077E"/>
    <w:rsid w:val="007F08CA"/>
    <w:rsid w:val="007F0BA4"/>
    <w:rsid w:val="007F0F3F"/>
    <w:rsid w:val="007F1425"/>
    <w:rsid w:val="007F189D"/>
    <w:rsid w:val="007F1C2A"/>
    <w:rsid w:val="007F2209"/>
    <w:rsid w:val="007F231D"/>
    <w:rsid w:val="007F3B6E"/>
    <w:rsid w:val="007F47FE"/>
    <w:rsid w:val="007F5181"/>
    <w:rsid w:val="007F64E1"/>
    <w:rsid w:val="00801CE4"/>
    <w:rsid w:val="00801F51"/>
    <w:rsid w:val="00802B70"/>
    <w:rsid w:val="008055C6"/>
    <w:rsid w:val="008058E8"/>
    <w:rsid w:val="00806434"/>
    <w:rsid w:val="00807712"/>
    <w:rsid w:val="00810C45"/>
    <w:rsid w:val="008116FD"/>
    <w:rsid w:val="008126C2"/>
    <w:rsid w:val="00812AD1"/>
    <w:rsid w:val="00813258"/>
    <w:rsid w:val="00813288"/>
    <w:rsid w:val="00815E46"/>
    <w:rsid w:val="00816092"/>
    <w:rsid w:val="00816C13"/>
    <w:rsid w:val="008204EC"/>
    <w:rsid w:val="00821A29"/>
    <w:rsid w:val="00821C45"/>
    <w:rsid w:val="00822D97"/>
    <w:rsid w:val="00823233"/>
    <w:rsid w:val="008232C3"/>
    <w:rsid w:val="00824426"/>
    <w:rsid w:val="00824D08"/>
    <w:rsid w:val="00825D5E"/>
    <w:rsid w:val="008262A7"/>
    <w:rsid w:val="00826438"/>
    <w:rsid w:val="00827316"/>
    <w:rsid w:val="00827A8B"/>
    <w:rsid w:val="00827F90"/>
    <w:rsid w:val="00830E52"/>
    <w:rsid w:val="008324E3"/>
    <w:rsid w:val="008324E7"/>
    <w:rsid w:val="008340BA"/>
    <w:rsid w:val="008342E1"/>
    <w:rsid w:val="0083471F"/>
    <w:rsid w:val="00834D43"/>
    <w:rsid w:val="00834DD9"/>
    <w:rsid w:val="00835292"/>
    <w:rsid w:val="00836DC2"/>
    <w:rsid w:val="00836E8D"/>
    <w:rsid w:val="00837EAA"/>
    <w:rsid w:val="008405F7"/>
    <w:rsid w:val="00840846"/>
    <w:rsid w:val="0084277D"/>
    <w:rsid w:val="008432C4"/>
    <w:rsid w:val="00843EDE"/>
    <w:rsid w:val="0084444E"/>
    <w:rsid w:val="008445FF"/>
    <w:rsid w:val="00844D36"/>
    <w:rsid w:val="00845946"/>
    <w:rsid w:val="0084700E"/>
    <w:rsid w:val="008476A0"/>
    <w:rsid w:val="008503BD"/>
    <w:rsid w:val="00850783"/>
    <w:rsid w:val="00850B96"/>
    <w:rsid w:val="0085228E"/>
    <w:rsid w:val="00852F30"/>
    <w:rsid w:val="00852F38"/>
    <w:rsid w:val="00853751"/>
    <w:rsid w:val="00854C36"/>
    <w:rsid w:val="00855924"/>
    <w:rsid w:val="00856645"/>
    <w:rsid w:val="00856C34"/>
    <w:rsid w:val="00857117"/>
    <w:rsid w:val="00861568"/>
    <w:rsid w:val="00861B15"/>
    <w:rsid w:val="008638C4"/>
    <w:rsid w:val="00863E45"/>
    <w:rsid w:val="00864BCC"/>
    <w:rsid w:val="00865B60"/>
    <w:rsid w:val="00865DC1"/>
    <w:rsid w:val="0086654A"/>
    <w:rsid w:val="008675AB"/>
    <w:rsid w:val="00870089"/>
    <w:rsid w:val="00871332"/>
    <w:rsid w:val="00871BE4"/>
    <w:rsid w:val="00871F79"/>
    <w:rsid w:val="00872DFD"/>
    <w:rsid w:val="00873134"/>
    <w:rsid w:val="00873A1B"/>
    <w:rsid w:val="008750F9"/>
    <w:rsid w:val="00875341"/>
    <w:rsid w:val="0087536F"/>
    <w:rsid w:val="00876279"/>
    <w:rsid w:val="008769E8"/>
    <w:rsid w:val="008801A7"/>
    <w:rsid w:val="00880A40"/>
    <w:rsid w:val="00880B1D"/>
    <w:rsid w:val="00880E3A"/>
    <w:rsid w:val="008815DF"/>
    <w:rsid w:val="00881956"/>
    <w:rsid w:val="00884472"/>
    <w:rsid w:val="00886180"/>
    <w:rsid w:val="00886232"/>
    <w:rsid w:val="0088640A"/>
    <w:rsid w:val="008869F4"/>
    <w:rsid w:val="0089091D"/>
    <w:rsid w:val="00890AD1"/>
    <w:rsid w:val="0089293C"/>
    <w:rsid w:val="00892AFA"/>
    <w:rsid w:val="00893EEF"/>
    <w:rsid w:val="008954ED"/>
    <w:rsid w:val="00897B98"/>
    <w:rsid w:val="008A1CB6"/>
    <w:rsid w:val="008A1D9D"/>
    <w:rsid w:val="008A3C58"/>
    <w:rsid w:val="008A4182"/>
    <w:rsid w:val="008A4880"/>
    <w:rsid w:val="008A4E07"/>
    <w:rsid w:val="008A52B1"/>
    <w:rsid w:val="008A6132"/>
    <w:rsid w:val="008A63CA"/>
    <w:rsid w:val="008A65CE"/>
    <w:rsid w:val="008A7D34"/>
    <w:rsid w:val="008B0190"/>
    <w:rsid w:val="008B01AA"/>
    <w:rsid w:val="008B2143"/>
    <w:rsid w:val="008B218C"/>
    <w:rsid w:val="008B2E12"/>
    <w:rsid w:val="008B2E37"/>
    <w:rsid w:val="008B31E6"/>
    <w:rsid w:val="008B4638"/>
    <w:rsid w:val="008B5B32"/>
    <w:rsid w:val="008B790D"/>
    <w:rsid w:val="008B7A7C"/>
    <w:rsid w:val="008C0017"/>
    <w:rsid w:val="008C027B"/>
    <w:rsid w:val="008C0C28"/>
    <w:rsid w:val="008C0DC1"/>
    <w:rsid w:val="008C1E2D"/>
    <w:rsid w:val="008C2618"/>
    <w:rsid w:val="008C36E5"/>
    <w:rsid w:val="008C58CD"/>
    <w:rsid w:val="008C6B19"/>
    <w:rsid w:val="008C6F96"/>
    <w:rsid w:val="008D2BCC"/>
    <w:rsid w:val="008D3E9F"/>
    <w:rsid w:val="008D4DDB"/>
    <w:rsid w:val="008D5C2C"/>
    <w:rsid w:val="008D6167"/>
    <w:rsid w:val="008D6355"/>
    <w:rsid w:val="008D6C18"/>
    <w:rsid w:val="008D78FF"/>
    <w:rsid w:val="008E005B"/>
    <w:rsid w:val="008E03AC"/>
    <w:rsid w:val="008E0C35"/>
    <w:rsid w:val="008E1C5B"/>
    <w:rsid w:val="008E2DF6"/>
    <w:rsid w:val="008E2E2E"/>
    <w:rsid w:val="008E6194"/>
    <w:rsid w:val="008E71CE"/>
    <w:rsid w:val="008F098A"/>
    <w:rsid w:val="008F103A"/>
    <w:rsid w:val="008F187B"/>
    <w:rsid w:val="008F1A31"/>
    <w:rsid w:val="008F3E00"/>
    <w:rsid w:val="008F3F0B"/>
    <w:rsid w:val="008F4033"/>
    <w:rsid w:val="008F4CB9"/>
    <w:rsid w:val="008F680A"/>
    <w:rsid w:val="008F68DD"/>
    <w:rsid w:val="008F6B22"/>
    <w:rsid w:val="008F6B4A"/>
    <w:rsid w:val="009005A0"/>
    <w:rsid w:val="00900D9F"/>
    <w:rsid w:val="00900E4F"/>
    <w:rsid w:val="0090141A"/>
    <w:rsid w:val="00902596"/>
    <w:rsid w:val="00903A08"/>
    <w:rsid w:val="009049F0"/>
    <w:rsid w:val="00905AC2"/>
    <w:rsid w:val="0090661B"/>
    <w:rsid w:val="00910C27"/>
    <w:rsid w:val="00914439"/>
    <w:rsid w:val="00914DA7"/>
    <w:rsid w:val="00915634"/>
    <w:rsid w:val="00915F63"/>
    <w:rsid w:val="009177E9"/>
    <w:rsid w:val="0091797E"/>
    <w:rsid w:val="009179FC"/>
    <w:rsid w:val="009211FF"/>
    <w:rsid w:val="00921338"/>
    <w:rsid w:val="00923CA5"/>
    <w:rsid w:val="00924308"/>
    <w:rsid w:val="009253D0"/>
    <w:rsid w:val="0092606A"/>
    <w:rsid w:val="00926519"/>
    <w:rsid w:val="009269F7"/>
    <w:rsid w:val="00931053"/>
    <w:rsid w:val="009310D1"/>
    <w:rsid w:val="0093116A"/>
    <w:rsid w:val="009318F7"/>
    <w:rsid w:val="00931FAB"/>
    <w:rsid w:val="00932076"/>
    <w:rsid w:val="009331CF"/>
    <w:rsid w:val="009334AC"/>
    <w:rsid w:val="009338BC"/>
    <w:rsid w:val="00933AA5"/>
    <w:rsid w:val="00935CD6"/>
    <w:rsid w:val="00936CE9"/>
    <w:rsid w:val="00936E9E"/>
    <w:rsid w:val="009370BB"/>
    <w:rsid w:val="009407B6"/>
    <w:rsid w:val="00940A97"/>
    <w:rsid w:val="00940FF1"/>
    <w:rsid w:val="00941E32"/>
    <w:rsid w:val="00942010"/>
    <w:rsid w:val="0094320A"/>
    <w:rsid w:val="00944053"/>
    <w:rsid w:val="009445C1"/>
    <w:rsid w:val="00945ACB"/>
    <w:rsid w:val="0094648F"/>
    <w:rsid w:val="00946CD7"/>
    <w:rsid w:val="009476DA"/>
    <w:rsid w:val="00947870"/>
    <w:rsid w:val="00947F3A"/>
    <w:rsid w:val="00950076"/>
    <w:rsid w:val="0095170D"/>
    <w:rsid w:val="009526C8"/>
    <w:rsid w:val="00952C15"/>
    <w:rsid w:val="0095307F"/>
    <w:rsid w:val="00953838"/>
    <w:rsid w:val="0095396F"/>
    <w:rsid w:val="00953F66"/>
    <w:rsid w:val="0095546B"/>
    <w:rsid w:val="00955526"/>
    <w:rsid w:val="00955995"/>
    <w:rsid w:val="0095658B"/>
    <w:rsid w:val="00956782"/>
    <w:rsid w:val="009569DB"/>
    <w:rsid w:val="00956BC6"/>
    <w:rsid w:val="00960828"/>
    <w:rsid w:val="00960C5E"/>
    <w:rsid w:val="00961440"/>
    <w:rsid w:val="009617A6"/>
    <w:rsid w:val="00962E3F"/>
    <w:rsid w:val="009648D2"/>
    <w:rsid w:val="009651EB"/>
    <w:rsid w:val="00966402"/>
    <w:rsid w:val="00966679"/>
    <w:rsid w:val="00966790"/>
    <w:rsid w:val="00966C09"/>
    <w:rsid w:val="0096771D"/>
    <w:rsid w:val="00967FF3"/>
    <w:rsid w:val="00971B0E"/>
    <w:rsid w:val="00971C92"/>
    <w:rsid w:val="0097367B"/>
    <w:rsid w:val="00974460"/>
    <w:rsid w:val="00975A80"/>
    <w:rsid w:val="00976BAD"/>
    <w:rsid w:val="00977639"/>
    <w:rsid w:val="00977D39"/>
    <w:rsid w:val="0098057D"/>
    <w:rsid w:val="009813A5"/>
    <w:rsid w:val="00981858"/>
    <w:rsid w:val="00981A61"/>
    <w:rsid w:val="00981EB9"/>
    <w:rsid w:val="0098324E"/>
    <w:rsid w:val="00983E77"/>
    <w:rsid w:val="00983F61"/>
    <w:rsid w:val="00984441"/>
    <w:rsid w:val="009844CF"/>
    <w:rsid w:val="00984DD8"/>
    <w:rsid w:val="009850D1"/>
    <w:rsid w:val="00985C0F"/>
    <w:rsid w:val="00986A24"/>
    <w:rsid w:val="0099019C"/>
    <w:rsid w:val="0099085F"/>
    <w:rsid w:val="0099122D"/>
    <w:rsid w:val="00991B44"/>
    <w:rsid w:val="00992485"/>
    <w:rsid w:val="009925DB"/>
    <w:rsid w:val="009930A6"/>
    <w:rsid w:val="00993C24"/>
    <w:rsid w:val="00993CC9"/>
    <w:rsid w:val="009953AF"/>
    <w:rsid w:val="00995628"/>
    <w:rsid w:val="00995BD4"/>
    <w:rsid w:val="00995D54"/>
    <w:rsid w:val="0099729D"/>
    <w:rsid w:val="009A11E3"/>
    <w:rsid w:val="009A538C"/>
    <w:rsid w:val="009A678A"/>
    <w:rsid w:val="009A6F73"/>
    <w:rsid w:val="009A6F74"/>
    <w:rsid w:val="009A7042"/>
    <w:rsid w:val="009A7C38"/>
    <w:rsid w:val="009B1BD2"/>
    <w:rsid w:val="009B2D72"/>
    <w:rsid w:val="009B376D"/>
    <w:rsid w:val="009B3A9C"/>
    <w:rsid w:val="009B3FA6"/>
    <w:rsid w:val="009B6220"/>
    <w:rsid w:val="009B649A"/>
    <w:rsid w:val="009B6F2F"/>
    <w:rsid w:val="009B6F3C"/>
    <w:rsid w:val="009B73E1"/>
    <w:rsid w:val="009C034F"/>
    <w:rsid w:val="009C0FC2"/>
    <w:rsid w:val="009C2281"/>
    <w:rsid w:val="009C2DE5"/>
    <w:rsid w:val="009C2F13"/>
    <w:rsid w:val="009C2FAF"/>
    <w:rsid w:val="009C3449"/>
    <w:rsid w:val="009C3489"/>
    <w:rsid w:val="009C35EC"/>
    <w:rsid w:val="009C4199"/>
    <w:rsid w:val="009C6B2D"/>
    <w:rsid w:val="009D12EA"/>
    <w:rsid w:val="009D2849"/>
    <w:rsid w:val="009D3129"/>
    <w:rsid w:val="009D3628"/>
    <w:rsid w:val="009D3D54"/>
    <w:rsid w:val="009D4404"/>
    <w:rsid w:val="009D4C2A"/>
    <w:rsid w:val="009D6914"/>
    <w:rsid w:val="009D69CF"/>
    <w:rsid w:val="009E1A4B"/>
    <w:rsid w:val="009E1B2F"/>
    <w:rsid w:val="009E1C22"/>
    <w:rsid w:val="009E220C"/>
    <w:rsid w:val="009E2481"/>
    <w:rsid w:val="009E295E"/>
    <w:rsid w:val="009E2CE1"/>
    <w:rsid w:val="009E2FBC"/>
    <w:rsid w:val="009E319B"/>
    <w:rsid w:val="009E390F"/>
    <w:rsid w:val="009E546C"/>
    <w:rsid w:val="009E5755"/>
    <w:rsid w:val="009E6AB4"/>
    <w:rsid w:val="009E6C94"/>
    <w:rsid w:val="009E749D"/>
    <w:rsid w:val="009F184C"/>
    <w:rsid w:val="009F1DD4"/>
    <w:rsid w:val="009F28A7"/>
    <w:rsid w:val="009F2FEE"/>
    <w:rsid w:val="009F3631"/>
    <w:rsid w:val="009F3790"/>
    <w:rsid w:val="009F3B2E"/>
    <w:rsid w:val="009F5B42"/>
    <w:rsid w:val="009F65A6"/>
    <w:rsid w:val="009F6CC1"/>
    <w:rsid w:val="009F7A92"/>
    <w:rsid w:val="009F7AFC"/>
    <w:rsid w:val="009F7CEB"/>
    <w:rsid w:val="00A00E94"/>
    <w:rsid w:val="00A032BF"/>
    <w:rsid w:val="00A040FD"/>
    <w:rsid w:val="00A0426A"/>
    <w:rsid w:val="00A0438E"/>
    <w:rsid w:val="00A04C0D"/>
    <w:rsid w:val="00A05D04"/>
    <w:rsid w:val="00A0702E"/>
    <w:rsid w:val="00A07040"/>
    <w:rsid w:val="00A07A7F"/>
    <w:rsid w:val="00A1096C"/>
    <w:rsid w:val="00A12983"/>
    <w:rsid w:val="00A12C43"/>
    <w:rsid w:val="00A139C7"/>
    <w:rsid w:val="00A144C4"/>
    <w:rsid w:val="00A16163"/>
    <w:rsid w:val="00A17113"/>
    <w:rsid w:val="00A176D6"/>
    <w:rsid w:val="00A178F2"/>
    <w:rsid w:val="00A20105"/>
    <w:rsid w:val="00A209CD"/>
    <w:rsid w:val="00A20A3B"/>
    <w:rsid w:val="00A20B1A"/>
    <w:rsid w:val="00A20CBA"/>
    <w:rsid w:val="00A21B31"/>
    <w:rsid w:val="00A229B1"/>
    <w:rsid w:val="00A22A39"/>
    <w:rsid w:val="00A23A37"/>
    <w:rsid w:val="00A27DC8"/>
    <w:rsid w:val="00A30081"/>
    <w:rsid w:val="00A319FC"/>
    <w:rsid w:val="00A32818"/>
    <w:rsid w:val="00A33A3C"/>
    <w:rsid w:val="00A34012"/>
    <w:rsid w:val="00A341D8"/>
    <w:rsid w:val="00A3452E"/>
    <w:rsid w:val="00A36F17"/>
    <w:rsid w:val="00A374B5"/>
    <w:rsid w:val="00A37D32"/>
    <w:rsid w:val="00A40853"/>
    <w:rsid w:val="00A41773"/>
    <w:rsid w:val="00A41E5D"/>
    <w:rsid w:val="00A422B4"/>
    <w:rsid w:val="00A43082"/>
    <w:rsid w:val="00A43136"/>
    <w:rsid w:val="00A442E8"/>
    <w:rsid w:val="00A44633"/>
    <w:rsid w:val="00A4479A"/>
    <w:rsid w:val="00A45C6B"/>
    <w:rsid w:val="00A46D05"/>
    <w:rsid w:val="00A46D5C"/>
    <w:rsid w:val="00A46D80"/>
    <w:rsid w:val="00A47293"/>
    <w:rsid w:val="00A51B61"/>
    <w:rsid w:val="00A535FB"/>
    <w:rsid w:val="00A5508F"/>
    <w:rsid w:val="00A56427"/>
    <w:rsid w:val="00A573D8"/>
    <w:rsid w:val="00A57457"/>
    <w:rsid w:val="00A60788"/>
    <w:rsid w:val="00A6173F"/>
    <w:rsid w:val="00A63112"/>
    <w:rsid w:val="00A634D0"/>
    <w:rsid w:val="00A6374D"/>
    <w:rsid w:val="00A64A07"/>
    <w:rsid w:val="00A64E30"/>
    <w:rsid w:val="00A655C0"/>
    <w:rsid w:val="00A668A2"/>
    <w:rsid w:val="00A67614"/>
    <w:rsid w:val="00A67DEA"/>
    <w:rsid w:val="00A7018D"/>
    <w:rsid w:val="00A716EA"/>
    <w:rsid w:val="00A72944"/>
    <w:rsid w:val="00A72B12"/>
    <w:rsid w:val="00A72E8D"/>
    <w:rsid w:val="00A73900"/>
    <w:rsid w:val="00A76381"/>
    <w:rsid w:val="00A7717D"/>
    <w:rsid w:val="00A80465"/>
    <w:rsid w:val="00A80BC8"/>
    <w:rsid w:val="00A81837"/>
    <w:rsid w:val="00A81F82"/>
    <w:rsid w:val="00A831BB"/>
    <w:rsid w:val="00A83868"/>
    <w:rsid w:val="00A83936"/>
    <w:rsid w:val="00A841B0"/>
    <w:rsid w:val="00A847C8"/>
    <w:rsid w:val="00A85067"/>
    <w:rsid w:val="00A854CB"/>
    <w:rsid w:val="00A85645"/>
    <w:rsid w:val="00A85A2B"/>
    <w:rsid w:val="00A87D4D"/>
    <w:rsid w:val="00A9064D"/>
    <w:rsid w:val="00A91644"/>
    <w:rsid w:val="00A93543"/>
    <w:rsid w:val="00A9408D"/>
    <w:rsid w:val="00A94669"/>
    <w:rsid w:val="00A94EFC"/>
    <w:rsid w:val="00A9659E"/>
    <w:rsid w:val="00A965B4"/>
    <w:rsid w:val="00AA0933"/>
    <w:rsid w:val="00AA0983"/>
    <w:rsid w:val="00AA1681"/>
    <w:rsid w:val="00AA2410"/>
    <w:rsid w:val="00AA2FA1"/>
    <w:rsid w:val="00AA51C1"/>
    <w:rsid w:val="00AA5D85"/>
    <w:rsid w:val="00AA5ED1"/>
    <w:rsid w:val="00AA6156"/>
    <w:rsid w:val="00AA684F"/>
    <w:rsid w:val="00AA7112"/>
    <w:rsid w:val="00AA73AC"/>
    <w:rsid w:val="00AA763B"/>
    <w:rsid w:val="00AA7B77"/>
    <w:rsid w:val="00AB04A8"/>
    <w:rsid w:val="00AB187A"/>
    <w:rsid w:val="00AB197E"/>
    <w:rsid w:val="00AB2C81"/>
    <w:rsid w:val="00AB3002"/>
    <w:rsid w:val="00AB3A67"/>
    <w:rsid w:val="00AB49A4"/>
    <w:rsid w:val="00AB5056"/>
    <w:rsid w:val="00AB514A"/>
    <w:rsid w:val="00AB683C"/>
    <w:rsid w:val="00AB7C7C"/>
    <w:rsid w:val="00AB7D3A"/>
    <w:rsid w:val="00AC0AE3"/>
    <w:rsid w:val="00AC1407"/>
    <w:rsid w:val="00AC1C0C"/>
    <w:rsid w:val="00AC2E48"/>
    <w:rsid w:val="00AC4AF8"/>
    <w:rsid w:val="00AC50E3"/>
    <w:rsid w:val="00AC5816"/>
    <w:rsid w:val="00AC5A1F"/>
    <w:rsid w:val="00AC6023"/>
    <w:rsid w:val="00AD1499"/>
    <w:rsid w:val="00AD15E5"/>
    <w:rsid w:val="00AD4890"/>
    <w:rsid w:val="00AD51C9"/>
    <w:rsid w:val="00AD6D18"/>
    <w:rsid w:val="00AD6EE2"/>
    <w:rsid w:val="00AD7EC0"/>
    <w:rsid w:val="00AE0B4C"/>
    <w:rsid w:val="00AE289C"/>
    <w:rsid w:val="00AE2A68"/>
    <w:rsid w:val="00AE31DC"/>
    <w:rsid w:val="00AE3B9E"/>
    <w:rsid w:val="00AE3D48"/>
    <w:rsid w:val="00AE40C7"/>
    <w:rsid w:val="00AE43B8"/>
    <w:rsid w:val="00AE4724"/>
    <w:rsid w:val="00AE513E"/>
    <w:rsid w:val="00AE5FEF"/>
    <w:rsid w:val="00AE6E2E"/>
    <w:rsid w:val="00AE7059"/>
    <w:rsid w:val="00AE7AA8"/>
    <w:rsid w:val="00AF0296"/>
    <w:rsid w:val="00AF0DF9"/>
    <w:rsid w:val="00AF11BC"/>
    <w:rsid w:val="00AF2BD9"/>
    <w:rsid w:val="00AF3619"/>
    <w:rsid w:val="00AF4BE4"/>
    <w:rsid w:val="00AF7CF1"/>
    <w:rsid w:val="00B002F6"/>
    <w:rsid w:val="00B00523"/>
    <w:rsid w:val="00B00D81"/>
    <w:rsid w:val="00B00EF0"/>
    <w:rsid w:val="00B02D28"/>
    <w:rsid w:val="00B03C1F"/>
    <w:rsid w:val="00B03E99"/>
    <w:rsid w:val="00B05A6C"/>
    <w:rsid w:val="00B07385"/>
    <w:rsid w:val="00B07A97"/>
    <w:rsid w:val="00B1101F"/>
    <w:rsid w:val="00B11C13"/>
    <w:rsid w:val="00B11EA0"/>
    <w:rsid w:val="00B1289C"/>
    <w:rsid w:val="00B13727"/>
    <w:rsid w:val="00B1391D"/>
    <w:rsid w:val="00B139C0"/>
    <w:rsid w:val="00B14D46"/>
    <w:rsid w:val="00B152C1"/>
    <w:rsid w:val="00B174F9"/>
    <w:rsid w:val="00B17639"/>
    <w:rsid w:val="00B17D47"/>
    <w:rsid w:val="00B17FDB"/>
    <w:rsid w:val="00B2001F"/>
    <w:rsid w:val="00B2028F"/>
    <w:rsid w:val="00B20FD0"/>
    <w:rsid w:val="00B21BB1"/>
    <w:rsid w:val="00B22300"/>
    <w:rsid w:val="00B23825"/>
    <w:rsid w:val="00B24A10"/>
    <w:rsid w:val="00B258D7"/>
    <w:rsid w:val="00B25D68"/>
    <w:rsid w:val="00B2777B"/>
    <w:rsid w:val="00B27EBC"/>
    <w:rsid w:val="00B30735"/>
    <w:rsid w:val="00B30ECE"/>
    <w:rsid w:val="00B324A9"/>
    <w:rsid w:val="00B35CAE"/>
    <w:rsid w:val="00B36635"/>
    <w:rsid w:val="00B36C93"/>
    <w:rsid w:val="00B37067"/>
    <w:rsid w:val="00B37373"/>
    <w:rsid w:val="00B37669"/>
    <w:rsid w:val="00B41271"/>
    <w:rsid w:val="00B427E0"/>
    <w:rsid w:val="00B42E79"/>
    <w:rsid w:val="00B43DFC"/>
    <w:rsid w:val="00B451F4"/>
    <w:rsid w:val="00B45C15"/>
    <w:rsid w:val="00B46325"/>
    <w:rsid w:val="00B47355"/>
    <w:rsid w:val="00B50E37"/>
    <w:rsid w:val="00B51D51"/>
    <w:rsid w:val="00B528AC"/>
    <w:rsid w:val="00B539FB"/>
    <w:rsid w:val="00B53A61"/>
    <w:rsid w:val="00B54009"/>
    <w:rsid w:val="00B553A7"/>
    <w:rsid w:val="00B607A9"/>
    <w:rsid w:val="00B60990"/>
    <w:rsid w:val="00B60EED"/>
    <w:rsid w:val="00B6345F"/>
    <w:rsid w:val="00B6367E"/>
    <w:rsid w:val="00B63686"/>
    <w:rsid w:val="00B63A65"/>
    <w:rsid w:val="00B63B06"/>
    <w:rsid w:val="00B63E9A"/>
    <w:rsid w:val="00B63F86"/>
    <w:rsid w:val="00B64044"/>
    <w:rsid w:val="00B6480B"/>
    <w:rsid w:val="00B65B30"/>
    <w:rsid w:val="00B66C37"/>
    <w:rsid w:val="00B66E2E"/>
    <w:rsid w:val="00B67119"/>
    <w:rsid w:val="00B67718"/>
    <w:rsid w:val="00B71675"/>
    <w:rsid w:val="00B71B62"/>
    <w:rsid w:val="00B71B83"/>
    <w:rsid w:val="00B75BC0"/>
    <w:rsid w:val="00B7661E"/>
    <w:rsid w:val="00B7769D"/>
    <w:rsid w:val="00B7796D"/>
    <w:rsid w:val="00B80942"/>
    <w:rsid w:val="00B80AF7"/>
    <w:rsid w:val="00B80B83"/>
    <w:rsid w:val="00B80BB8"/>
    <w:rsid w:val="00B80F66"/>
    <w:rsid w:val="00B81379"/>
    <w:rsid w:val="00B81742"/>
    <w:rsid w:val="00B81A5A"/>
    <w:rsid w:val="00B82B01"/>
    <w:rsid w:val="00B82DEE"/>
    <w:rsid w:val="00B85892"/>
    <w:rsid w:val="00B863A0"/>
    <w:rsid w:val="00B872CF"/>
    <w:rsid w:val="00B873DF"/>
    <w:rsid w:val="00B90481"/>
    <w:rsid w:val="00B905AE"/>
    <w:rsid w:val="00B90924"/>
    <w:rsid w:val="00B915D3"/>
    <w:rsid w:val="00B93C8A"/>
    <w:rsid w:val="00B96206"/>
    <w:rsid w:val="00BA01AB"/>
    <w:rsid w:val="00BA0D86"/>
    <w:rsid w:val="00BA1210"/>
    <w:rsid w:val="00BA3306"/>
    <w:rsid w:val="00BA5365"/>
    <w:rsid w:val="00BA59C7"/>
    <w:rsid w:val="00BA67E2"/>
    <w:rsid w:val="00BA73EE"/>
    <w:rsid w:val="00BA7D79"/>
    <w:rsid w:val="00BB0082"/>
    <w:rsid w:val="00BB29A4"/>
    <w:rsid w:val="00BB34C8"/>
    <w:rsid w:val="00BB4237"/>
    <w:rsid w:val="00BB47C2"/>
    <w:rsid w:val="00BB64BE"/>
    <w:rsid w:val="00BB6E09"/>
    <w:rsid w:val="00BB7037"/>
    <w:rsid w:val="00BB79AA"/>
    <w:rsid w:val="00BB7AF2"/>
    <w:rsid w:val="00BB7CFD"/>
    <w:rsid w:val="00BC1087"/>
    <w:rsid w:val="00BC1EDF"/>
    <w:rsid w:val="00BC24FC"/>
    <w:rsid w:val="00BC28F2"/>
    <w:rsid w:val="00BC3ABD"/>
    <w:rsid w:val="00BC4997"/>
    <w:rsid w:val="00BC53C5"/>
    <w:rsid w:val="00BC6837"/>
    <w:rsid w:val="00BC77EC"/>
    <w:rsid w:val="00BC7DCD"/>
    <w:rsid w:val="00BC7FCB"/>
    <w:rsid w:val="00BD0032"/>
    <w:rsid w:val="00BD03EC"/>
    <w:rsid w:val="00BD0406"/>
    <w:rsid w:val="00BD0AB9"/>
    <w:rsid w:val="00BD2D51"/>
    <w:rsid w:val="00BD45BE"/>
    <w:rsid w:val="00BD4E5D"/>
    <w:rsid w:val="00BD523C"/>
    <w:rsid w:val="00BD5DCE"/>
    <w:rsid w:val="00BD5E83"/>
    <w:rsid w:val="00BD7539"/>
    <w:rsid w:val="00BD7CCC"/>
    <w:rsid w:val="00BE0231"/>
    <w:rsid w:val="00BE0F00"/>
    <w:rsid w:val="00BE1DE2"/>
    <w:rsid w:val="00BE34C9"/>
    <w:rsid w:val="00BE3AA5"/>
    <w:rsid w:val="00BE3CAA"/>
    <w:rsid w:val="00BE3E5F"/>
    <w:rsid w:val="00BE42A7"/>
    <w:rsid w:val="00BE455B"/>
    <w:rsid w:val="00BE55B3"/>
    <w:rsid w:val="00BE583A"/>
    <w:rsid w:val="00BE68C3"/>
    <w:rsid w:val="00BE6F1F"/>
    <w:rsid w:val="00BF03DF"/>
    <w:rsid w:val="00BF1E92"/>
    <w:rsid w:val="00BF203D"/>
    <w:rsid w:val="00BF5491"/>
    <w:rsid w:val="00BF64B3"/>
    <w:rsid w:val="00BF7FA6"/>
    <w:rsid w:val="00C00847"/>
    <w:rsid w:val="00C009D2"/>
    <w:rsid w:val="00C00CF1"/>
    <w:rsid w:val="00C00E35"/>
    <w:rsid w:val="00C01407"/>
    <w:rsid w:val="00C02C6F"/>
    <w:rsid w:val="00C02F90"/>
    <w:rsid w:val="00C03109"/>
    <w:rsid w:val="00C04D3F"/>
    <w:rsid w:val="00C0549D"/>
    <w:rsid w:val="00C061DB"/>
    <w:rsid w:val="00C06418"/>
    <w:rsid w:val="00C07417"/>
    <w:rsid w:val="00C07B38"/>
    <w:rsid w:val="00C07BBA"/>
    <w:rsid w:val="00C07ED0"/>
    <w:rsid w:val="00C104AA"/>
    <w:rsid w:val="00C104C2"/>
    <w:rsid w:val="00C11033"/>
    <w:rsid w:val="00C1214C"/>
    <w:rsid w:val="00C12596"/>
    <w:rsid w:val="00C16866"/>
    <w:rsid w:val="00C17B43"/>
    <w:rsid w:val="00C20685"/>
    <w:rsid w:val="00C2231D"/>
    <w:rsid w:val="00C22651"/>
    <w:rsid w:val="00C22F79"/>
    <w:rsid w:val="00C23FEA"/>
    <w:rsid w:val="00C25B7E"/>
    <w:rsid w:val="00C274D7"/>
    <w:rsid w:val="00C275F5"/>
    <w:rsid w:val="00C27A95"/>
    <w:rsid w:val="00C317F3"/>
    <w:rsid w:val="00C320F5"/>
    <w:rsid w:val="00C32100"/>
    <w:rsid w:val="00C32FCA"/>
    <w:rsid w:val="00C331D0"/>
    <w:rsid w:val="00C3377C"/>
    <w:rsid w:val="00C34D89"/>
    <w:rsid w:val="00C3531F"/>
    <w:rsid w:val="00C35ABF"/>
    <w:rsid w:val="00C365B7"/>
    <w:rsid w:val="00C37448"/>
    <w:rsid w:val="00C37658"/>
    <w:rsid w:val="00C37C68"/>
    <w:rsid w:val="00C4006A"/>
    <w:rsid w:val="00C40406"/>
    <w:rsid w:val="00C40E57"/>
    <w:rsid w:val="00C414AE"/>
    <w:rsid w:val="00C4414A"/>
    <w:rsid w:val="00C44C37"/>
    <w:rsid w:val="00C44F4A"/>
    <w:rsid w:val="00C45223"/>
    <w:rsid w:val="00C45260"/>
    <w:rsid w:val="00C465BB"/>
    <w:rsid w:val="00C46AE5"/>
    <w:rsid w:val="00C475A2"/>
    <w:rsid w:val="00C47654"/>
    <w:rsid w:val="00C4775E"/>
    <w:rsid w:val="00C50E21"/>
    <w:rsid w:val="00C51373"/>
    <w:rsid w:val="00C52195"/>
    <w:rsid w:val="00C52857"/>
    <w:rsid w:val="00C52ACF"/>
    <w:rsid w:val="00C5420A"/>
    <w:rsid w:val="00C558E0"/>
    <w:rsid w:val="00C562AC"/>
    <w:rsid w:val="00C56E4D"/>
    <w:rsid w:val="00C5741F"/>
    <w:rsid w:val="00C576ED"/>
    <w:rsid w:val="00C57D65"/>
    <w:rsid w:val="00C57E4D"/>
    <w:rsid w:val="00C60DFD"/>
    <w:rsid w:val="00C60EA1"/>
    <w:rsid w:val="00C626E2"/>
    <w:rsid w:val="00C628C8"/>
    <w:rsid w:val="00C62999"/>
    <w:rsid w:val="00C64011"/>
    <w:rsid w:val="00C642AC"/>
    <w:rsid w:val="00C65EF6"/>
    <w:rsid w:val="00C677E5"/>
    <w:rsid w:val="00C67933"/>
    <w:rsid w:val="00C67B65"/>
    <w:rsid w:val="00C67D61"/>
    <w:rsid w:val="00C70077"/>
    <w:rsid w:val="00C710DD"/>
    <w:rsid w:val="00C715DF"/>
    <w:rsid w:val="00C720C1"/>
    <w:rsid w:val="00C73328"/>
    <w:rsid w:val="00C73B51"/>
    <w:rsid w:val="00C74247"/>
    <w:rsid w:val="00C74AD1"/>
    <w:rsid w:val="00C7519E"/>
    <w:rsid w:val="00C7564A"/>
    <w:rsid w:val="00C75A3B"/>
    <w:rsid w:val="00C7757E"/>
    <w:rsid w:val="00C77FF5"/>
    <w:rsid w:val="00C80229"/>
    <w:rsid w:val="00C81A12"/>
    <w:rsid w:val="00C827A6"/>
    <w:rsid w:val="00C82D01"/>
    <w:rsid w:val="00C846BE"/>
    <w:rsid w:val="00C85365"/>
    <w:rsid w:val="00C877B2"/>
    <w:rsid w:val="00C8784D"/>
    <w:rsid w:val="00C87B39"/>
    <w:rsid w:val="00C9045E"/>
    <w:rsid w:val="00C92177"/>
    <w:rsid w:val="00C9217E"/>
    <w:rsid w:val="00C921B3"/>
    <w:rsid w:val="00C930DF"/>
    <w:rsid w:val="00C963DE"/>
    <w:rsid w:val="00C96DF8"/>
    <w:rsid w:val="00C97E9A"/>
    <w:rsid w:val="00CA0C26"/>
    <w:rsid w:val="00CA3CCD"/>
    <w:rsid w:val="00CA4945"/>
    <w:rsid w:val="00CA4ACA"/>
    <w:rsid w:val="00CA4DC7"/>
    <w:rsid w:val="00CA70DD"/>
    <w:rsid w:val="00CA7504"/>
    <w:rsid w:val="00CB07A8"/>
    <w:rsid w:val="00CB14A1"/>
    <w:rsid w:val="00CB2983"/>
    <w:rsid w:val="00CB434C"/>
    <w:rsid w:val="00CB4B26"/>
    <w:rsid w:val="00CB4F12"/>
    <w:rsid w:val="00CB5389"/>
    <w:rsid w:val="00CB5745"/>
    <w:rsid w:val="00CB5834"/>
    <w:rsid w:val="00CC0892"/>
    <w:rsid w:val="00CC0AAF"/>
    <w:rsid w:val="00CC10E1"/>
    <w:rsid w:val="00CC2FE4"/>
    <w:rsid w:val="00CC4DEF"/>
    <w:rsid w:val="00CC7763"/>
    <w:rsid w:val="00CC7FF7"/>
    <w:rsid w:val="00CD08FB"/>
    <w:rsid w:val="00CD12E3"/>
    <w:rsid w:val="00CD174F"/>
    <w:rsid w:val="00CD292B"/>
    <w:rsid w:val="00CD3BC1"/>
    <w:rsid w:val="00CD3DA1"/>
    <w:rsid w:val="00CD458C"/>
    <w:rsid w:val="00CD4824"/>
    <w:rsid w:val="00CD50C7"/>
    <w:rsid w:val="00CD5305"/>
    <w:rsid w:val="00CD5751"/>
    <w:rsid w:val="00CD61C0"/>
    <w:rsid w:val="00CD6327"/>
    <w:rsid w:val="00CD64A6"/>
    <w:rsid w:val="00CD6BF4"/>
    <w:rsid w:val="00CE0862"/>
    <w:rsid w:val="00CE1B6C"/>
    <w:rsid w:val="00CE21E4"/>
    <w:rsid w:val="00CE2376"/>
    <w:rsid w:val="00CE2B78"/>
    <w:rsid w:val="00CE2F56"/>
    <w:rsid w:val="00CE3B7A"/>
    <w:rsid w:val="00CE4154"/>
    <w:rsid w:val="00CE47B9"/>
    <w:rsid w:val="00CE5AF6"/>
    <w:rsid w:val="00CE6DA6"/>
    <w:rsid w:val="00CE74A3"/>
    <w:rsid w:val="00CF1311"/>
    <w:rsid w:val="00CF31EF"/>
    <w:rsid w:val="00CF3DBD"/>
    <w:rsid w:val="00CF44A2"/>
    <w:rsid w:val="00CF4828"/>
    <w:rsid w:val="00CF4948"/>
    <w:rsid w:val="00CF4F50"/>
    <w:rsid w:val="00CF53F6"/>
    <w:rsid w:val="00CF6362"/>
    <w:rsid w:val="00CF6F16"/>
    <w:rsid w:val="00CF7691"/>
    <w:rsid w:val="00D00780"/>
    <w:rsid w:val="00D0086E"/>
    <w:rsid w:val="00D0150B"/>
    <w:rsid w:val="00D017D9"/>
    <w:rsid w:val="00D02AFE"/>
    <w:rsid w:val="00D034DD"/>
    <w:rsid w:val="00D03D0C"/>
    <w:rsid w:val="00D03FCB"/>
    <w:rsid w:val="00D0486F"/>
    <w:rsid w:val="00D04952"/>
    <w:rsid w:val="00D05FA6"/>
    <w:rsid w:val="00D06A16"/>
    <w:rsid w:val="00D06B6C"/>
    <w:rsid w:val="00D07355"/>
    <w:rsid w:val="00D07425"/>
    <w:rsid w:val="00D07CCA"/>
    <w:rsid w:val="00D1078F"/>
    <w:rsid w:val="00D10DA2"/>
    <w:rsid w:val="00D10E60"/>
    <w:rsid w:val="00D12751"/>
    <w:rsid w:val="00D129F2"/>
    <w:rsid w:val="00D12CD2"/>
    <w:rsid w:val="00D134D7"/>
    <w:rsid w:val="00D13B73"/>
    <w:rsid w:val="00D14D23"/>
    <w:rsid w:val="00D15D8B"/>
    <w:rsid w:val="00D16302"/>
    <w:rsid w:val="00D16956"/>
    <w:rsid w:val="00D16C68"/>
    <w:rsid w:val="00D17614"/>
    <w:rsid w:val="00D17984"/>
    <w:rsid w:val="00D20363"/>
    <w:rsid w:val="00D20E5A"/>
    <w:rsid w:val="00D21E55"/>
    <w:rsid w:val="00D2267F"/>
    <w:rsid w:val="00D227CE"/>
    <w:rsid w:val="00D22B66"/>
    <w:rsid w:val="00D22F0A"/>
    <w:rsid w:val="00D233D8"/>
    <w:rsid w:val="00D23533"/>
    <w:rsid w:val="00D24DAD"/>
    <w:rsid w:val="00D25246"/>
    <w:rsid w:val="00D25916"/>
    <w:rsid w:val="00D27296"/>
    <w:rsid w:val="00D276E2"/>
    <w:rsid w:val="00D30AD1"/>
    <w:rsid w:val="00D31C2C"/>
    <w:rsid w:val="00D327BE"/>
    <w:rsid w:val="00D329E6"/>
    <w:rsid w:val="00D375B4"/>
    <w:rsid w:val="00D37972"/>
    <w:rsid w:val="00D37B91"/>
    <w:rsid w:val="00D40896"/>
    <w:rsid w:val="00D409AC"/>
    <w:rsid w:val="00D40BA0"/>
    <w:rsid w:val="00D411D0"/>
    <w:rsid w:val="00D41534"/>
    <w:rsid w:val="00D41829"/>
    <w:rsid w:val="00D42323"/>
    <w:rsid w:val="00D42C4D"/>
    <w:rsid w:val="00D4379B"/>
    <w:rsid w:val="00D43BAD"/>
    <w:rsid w:val="00D451FC"/>
    <w:rsid w:val="00D47FCE"/>
    <w:rsid w:val="00D5046E"/>
    <w:rsid w:val="00D50D56"/>
    <w:rsid w:val="00D51930"/>
    <w:rsid w:val="00D53324"/>
    <w:rsid w:val="00D539A4"/>
    <w:rsid w:val="00D543CB"/>
    <w:rsid w:val="00D54E2B"/>
    <w:rsid w:val="00D57391"/>
    <w:rsid w:val="00D6021C"/>
    <w:rsid w:val="00D62BB9"/>
    <w:rsid w:val="00D6309D"/>
    <w:rsid w:val="00D6399B"/>
    <w:rsid w:val="00D63C48"/>
    <w:rsid w:val="00D63D17"/>
    <w:rsid w:val="00D64289"/>
    <w:rsid w:val="00D64540"/>
    <w:rsid w:val="00D64F70"/>
    <w:rsid w:val="00D65100"/>
    <w:rsid w:val="00D65285"/>
    <w:rsid w:val="00D655CA"/>
    <w:rsid w:val="00D657E0"/>
    <w:rsid w:val="00D6667B"/>
    <w:rsid w:val="00D71400"/>
    <w:rsid w:val="00D71DB9"/>
    <w:rsid w:val="00D726B3"/>
    <w:rsid w:val="00D7293E"/>
    <w:rsid w:val="00D72C23"/>
    <w:rsid w:val="00D73306"/>
    <w:rsid w:val="00D74C53"/>
    <w:rsid w:val="00D74FD7"/>
    <w:rsid w:val="00D75B4F"/>
    <w:rsid w:val="00D75BCD"/>
    <w:rsid w:val="00D760CE"/>
    <w:rsid w:val="00D76E0F"/>
    <w:rsid w:val="00D77D68"/>
    <w:rsid w:val="00D81186"/>
    <w:rsid w:val="00D823CD"/>
    <w:rsid w:val="00D8435D"/>
    <w:rsid w:val="00D8570B"/>
    <w:rsid w:val="00D86691"/>
    <w:rsid w:val="00D86E5B"/>
    <w:rsid w:val="00D87310"/>
    <w:rsid w:val="00D90634"/>
    <w:rsid w:val="00D90DAB"/>
    <w:rsid w:val="00D91451"/>
    <w:rsid w:val="00D91BEA"/>
    <w:rsid w:val="00D91CDB"/>
    <w:rsid w:val="00D927E0"/>
    <w:rsid w:val="00D930B0"/>
    <w:rsid w:val="00D93F43"/>
    <w:rsid w:val="00D94641"/>
    <w:rsid w:val="00D95394"/>
    <w:rsid w:val="00D95936"/>
    <w:rsid w:val="00D95BA8"/>
    <w:rsid w:val="00D9608F"/>
    <w:rsid w:val="00D96126"/>
    <w:rsid w:val="00D970E7"/>
    <w:rsid w:val="00D97165"/>
    <w:rsid w:val="00D9738D"/>
    <w:rsid w:val="00D97B42"/>
    <w:rsid w:val="00DA032B"/>
    <w:rsid w:val="00DA0456"/>
    <w:rsid w:val="00DA21A8"/>
    <w:rsid w:val="00DA22C6"/>
    <w:rsid w:val="00DA279E"/>
    <w:rsid w:val="00DA2967"/>
    <w:rsid w:val="00DA34A7"/>
    <w:rsid w:val="00DA3604"/>
    <w:rsid w:val="00DA392F"/>
    <w:rsid w:val="00DA439C"/>
    <w:rsid w:val="00DA55BB"/>
    <w:rsid w:val="00DA5DA5"/>
    <w:rsid w:val="00DA6B7D"/>
    <w:rsid w:val="00DA73EE"/>
    <w:rsid w:val="00DA77B6"/>
    <w:rsid w:val="00DA7973"/>
    <w:rsid w:val="00DB0213"/>
    <w:rsid w:val="00DB085A"/>
    <w:rsid w:val="00DB0AAB"/>
    <w:rsid w:val="00DB1B18"/>
    <w:rsid w:val="00DB1BB8"/>
    <w:rsid w:val="00DB28CF"/>
    <w:rsid w:val="00DB293C"/>
    <w:rsid w:val="00DB3035"/>
    <w:rsid w:val="00DB50BC"/>
    <w:rsid w:val="00DB5C08"/>
    <w:rsid w:val="00DB5C1B"/>
    <w:rsid w:val="00DC1405"/>
    <w:rsid w:val="00DC1743"/>
    <w:rsid w:val="00DC1C2F"/>
    <w:rsid w:val="00DC1F73"/>
    <w:rsid w:val="00DC316B"/>
    <w:rsid w:val="00DC34D0"/>
    <w:rsid w:val="00DC39ED"/>
    <w:rsid w:val="00DC4661"/>
    <w:rsid w:val="00DC4CC9"/>
    <w:rsid w:val="00DC4DB0"/>
    <w:rsid w:val="00DC74AF"/>
    <w:rsid w:val="00DC7746"/>
    <w:rsid w:val="00DD0B70"/>
    <w:rsid w:val="00DD0C16"/>
    <w:rsid w:val="00DD195E"/>
    <w:rsid w:val="00DD1C08"/>
    <w:rsid w:val="00DD2977"/>
    <w:rsid w:val="00DD3049"/>
    <w:rsid w:val="00DD3AFF"/>
    <w:rsid w:val="00DD51A1"/>
    <w:rsid w:val="00DD7C58"/>
    <w:rsid w:val="00DE14E4"/>
    <w:rsid w:val="00DE2104"/>
    <w:rsid w:val="00DE30E2"/>
    <w:rsid w:val="00DE3A9A"/>
    <w:rsid w:val="00DE3F08"/>
    <w:rsid w:val="00DE45D5"/>
    <w:rsid w:val="00DE4B0B"/>
    <w:rsid w:val="00DE6421"/>
    <w:rsid w:val="00DE7B89"/>
    <w:rsid w:val="00DE7D8F"/>
    <w:rsid w:val="00DF0439"/>
    <w:rsid w:val="00DF094B"/>
    <w:rsid w:val="00DF15E4"/>
    <w:rsid w:val="00DF16C0"/>
    <w:rsid w:val="00DF2395"/>
    <w:rsid w:val="00DF3C6E"/>
    <w:rsid w:val="00DF46A5"/>
    <w:rsid w:val="00DF53B7"/>
    <w:rsid w:val="00DF548B"/>
    <w:rsid w:val="00DF5A73"/>
    <w:rsid w:val="00DF5C49"/>
    <w:rsid w:val="00DF61B1"/>
    <w:rsid w:val="00DF68A5"/>
    <w:rsid w:val="00DF6D0F"/>
    <w:rsid w:val="00DF7230"/>
    <w:rsid w:val="00DF7897"/>
    <w:rsid w:val="00DF7B0E"/>
    <w:rsid w:val="00E00652"/>
    <w:rsid w:val="00E00750"/>
    <w:rsid w:val="00E01639"/>
    <w:rsid w:val="00E02169"/>
    <w:rsid w:val="00E0244A"/>
    <w:rsid w:val="00E0296B"/>
    <w:rsid w:val="00E02B0C"/>
    <w:rsid w:val="00E043FA"/>
    <w:rsid w:val="00E049F9"/>
    <w:rsid w:val="00E051C6"/>
    <w:rsid w:val="00E0595A"/>
    <w:rsid w:val="00E05D95"/>
    <w:rsid w:val="00E05FBC"/>
    <w:rsid w:val="00E073B7"/>
    <w:rsid w:val="00E07E04"/>
    <w:rsid w:val="00E1049C"/>
    <w:rsid w:val="00E10B7D"/>
    <w:rsid w:val="00E117D6"/>
    <w:rsid w:val="00E11E10"/>
    <w:rsid w:val="00E12117"/>
    <w:rsid w:val="00E12918"/>
    <w:rsid w:val="00E1467F"/>
    <w:rsid w:val="00E1593A"/>
    <w:rsid w:val="00E15EDD"/>
    <w:rsid w:val="00E16324"/>
    <w:rsid w:val="00E17FA3"/>
    <w:rsid w:val="00E20730"/>
    <w:rsid w:val="00E21380"/>
    <w:rsid w:val="00E227EA"/>
    <w:rsid w:val="00E2351F"/>
    <w:rsid w:val="00E23660"/>
    <w:rsid w:val="00E255E2"/>
    <w:rsid w:val="00E25B4B"/>
    <w:rsid w:val="00E26B61"/>
    <w:rsid w:val="00E2761D"/>
    <w:rsid w:val="00E278C5"/>
    <w:rsid w:val="00E27B22"/>
    <w:rsid w:val="00E30C7D"/>
    <w:rsid w:val="00E31A1E"/>
    <w:rsid w:val="00E32C9A"/>
    <w:rsid w:val="00E34484"/>
    <w:rsid w:val="00E344A9"/>
    <w:rsid w:val="00E3596D"/>
    <w:rsid w:val="00E36410"/>
    <w:rsid w:val="00E37424"/>
    <w:rsid w:val="00E378BC"/>
    <w:rsid w:val="00E4041E"/>
    <w:rsid w:val="00E41991"/>
    <w:rsid w:val="00E420E2"/>
    <w:rsid w:val="00E440BC"/>
    <w:rsid w:val="00E44601"/>
    <w:rsid w:val="00E44EE5"/>
    <w:rsid w:val="00E45180"/>
    <w:rsid w:val="00E45305"/>
    <w:rsid w:val="00E4575E"/>
    <w:rsid w:val="00E46218"/>
    <w:rsid w:val="00E4634C"/>
    <w:rsid w:val="00E4661F"/>
    <w:rsid w:val="00E46AC9"/>
    <w:rsid w:val="00E5066A"/>
    <w:rsid w:val="00E50E48"/>
    <w:rsid w:val="00E512A4"/>
    <w:rsid w:val="00E5255B"/>
    <w:rsid w:val="00E53B0D"/>
    <w:rsid w:val="00E53DB6"/>
    <w:rsid w:val="00E54FB3"/>
    <w:rsid w:val="00E55778"/>
    <w:rsid w:val="00E55904"/>
    <w:rsid w:val="00E55E72"/>
    <w:rsid w:val="00E55F2C"/>
    <w:rsid w:val="00E56831"/>
    <w:rsid w:val="00E57E3D"/>
    <w:rsid w:val="00E60879"/>
    <w:rsid w:val="00E608E0"/>
    <w:rsid w:val="00E6215A"/>
    <w:rsid w:val="00E62679"/>
    <w:rsid w:val="00E62B39"/>
    <w:rsid w:val="00E62F8C"/>
    <w:rsid w:val="00E64FF0"/>
    <w:rsid w:val="00E6546C"/>
    <w:rsid w:val="00E66012"/>
    <w:rsid w:val="00E66614"/>
    <w:rsid w:val="00E6682E"/>
    <w:rsid w:val="00E67C1B"/>
    <w:rsid w:val="00E70C24"/>
    <w:rsid w:val="00E71C19"/>
    <w:rsid w:val="00E72CF8"/>
    <w:rsid w:val="00E73176"/>
    <w:rsid w:val="00E73B22"/>
    <w:rsid w:val="00E73EB2"/>
    <w:rsid w:val="00E745A9"/>
    <w:rsid w:val="00E7656B"/>
    <w:rsid w:val="00E76A3D"/>
    <w:rsid w:val="00E773DF"/>
    <w:rsid w:val="00E80F25"/>
    <w:rsid w:val="00E81049"/>
    <w:rsid w:val="00E81CF7"/>
    <w:rsid w:val="00E81F54"/>
    <w:rsid w:val="00E82699"/>
    <w:rsid w:val="00E8269B"/>
    <w:rsid w:val="00E827E3"/>
    <w:rsid w:val="00E83B3B"/>
    <w:rsid w:val="00E92662"/>
    <w:rsid w:val="00E930FA"/>
    <w:rsid w:val="00E93732"/>
    <w:rsid w:val="00E948AD"/>
    <w:rsid w:val="00E950A1"/>
    <w:rsid w:val="00E96649"/>
    <w:rsid w:val="00E9725F"/>
    <w:rsid w:val="00EA1B29"/>
    <w:rsid w:val="00EA1FAE"/>
    <w:rsid w:val="00EA2664"/>
    <w:rsid w:val="00EA2DF4"/>
    <w:rsid w:val="00EA47F9"/>
    <w:rsid w:val="00EA5DC6"/>
    <w:rsid w:val="00EA6268"/>
    <w:rsid w:val="00EA66E6"/>
    <w:rsid w:val="00EA68C4"/>
    <w:rsid w:val="00EA6C04"/>
    <w:rsid w:val="00EA76ED"/>
    <w:rsid w:val="00EB0C10"/>
    <w:rsid w:val="00EB1849"/>
    <w:rsid w:val="00EB1FFE"/>
    <w:rsid w:val="00EB3091"/>
    <w:rsid w:val="00EB3F3E"/>
    <w:rsid w:val="00EB426B"/>
    <w:rsid w:val="00EB445A"/>
    <w:rsid w:val="00EB5012"/>
    <w:rsid w:val="00EB56C4"/>
    <w:rsid w:val="00EB5879"/>
    <w:rsid w:val="00EB5AE4"/>
    <w:rsid w:val="00EB5E6D"/>
    <w:rsid w:val="00EB7647"/>
    <w:rsid w:val="00EB7B9B"/>
    <w:rsid w:val="00EC10D5"/>
    <w:rsid w:val="00EC17C3"/>
    <w:rsid w:val="00EC239E"/>
    <w:rsid w:val="00EC2C44"/>
    <w:rsid w:val="00EC48BB"/>
    <w:rsid w:val="00EC4DA3"/>
    <w:rsid w:val="00EC530B"/>
    <w:rsid w:val="00EC5C38"/>
    <w:rsid w:val="00EC7618"/>
    <w:rsid w:val="00ED09DA"/>
    <w:rsid w:val="00ED14C8"/>
    <w:rsid w:val="00ED2855"/>
    <w:rsid w:val="00ED32E1"/>
    <w:rsid w:val="00ED3F6E"/>
    <w:rsid w:val="00ED41CF"/>
    <w:rsid w:val="00ED45AF"/>
    <w:rsid w:val="00ED49C8"/>
    <w:rsid w:val="00ED4C07"/>
    <w:rsid w:val="00ED6D1E"/>
    <w:rsid w:val="00EE08AD"/>
    <w:rsid w:val="00EE0A12"/>
    <w:rsid w:val="00EE228F"/>
    <w:rsid w:val="00EE315D"/>
    <w:rsid w:val="00EE3558"/>
    <w:rsid w:val="00EE3A6B"/>
    <w:rsid w:val="00EE4742"/>
    <w:rsid w:val="00EE550C"/>
    <w:rsid w:val="00EE6861"/>
    <w:rsid w:val="00EF01D0"/>
    <w:rsid w:val="00EF02A6"/>
    <w:rsid w:val="00EF0430"/>
    <w:rsid w:val="00EF164C"/>
    <w:rsid w:val="00EF1AF0"/>
    <w:rsid w:val="00EF2022"/>
    <w:rsid w:val="00EF2943"/>
    <w:rsid w:val="00EF2C9C"/>
    <w:rsid w:val="00EF3278"/>
    <w:rsid w:val="00EF3B22"/>
    <w:rsid w:val="00EF4221"/>
    <w:rsid w:val="00EF5120"/>
    <w:rsid w:val="00EF5183"/>
    <w:rsid w:val="00EF53FA"/>
    <w:rsid w:val="00EF5932"/>
    <w:rsid w:val="00EF7B38"/>
    <w:rsid w:val="00F0050E"/>
    <w:rsid w:val="00F0174B"/>
    <w:rsid w:val="00F01BF1"/>
    <w:rsid w:val="00F03C21"/>
    <w:rsid w:val="00F0497C"/>
    <w:rsid w:val="00F049EC"/>
    <w:rsid w:val="00F0532D"/>
    <w:rsid w:val="00F0634A"/>
    <w:rsid w:val="00F06577"/>
    <w:rsid w:val="00F06884"/>
    <w:rsid w:val="00F102F1"/>
    <w:rsid w:val="00F14303"/>
    <w:rsid w:val="00F14823"/>
    <w:rsid w:val="00F14C0F"/>
    <w:rsid w:val="00F153C6"/>
    <w:rsid w:val="00F153C8"/>
    <w:rsid w:val="00F15C37"/>
    <w:rsid w:val="00F1711A"/>
    <w:rsid w:val="00F175F4"/>
    <w:rsid w:val="00F17A99"/>
    <w:rsid w:val="00F20BF0"/>
    <w:rsid w:val="00F20D63"/>
    <w:rsid w:val="00F21F55"/>
    <w:rsid w:val="00F22EBC"/>
    <w:rsid w:val="00F241DD"/>
    <w:rsid w:val="00F24459"/>
    <w:rsid w:val="00F25018"/>
    <w:rsid w:val="00F255AF"/>
    <w:rsid w:val="00F25637"/>
    <w:rsid w:val="00F256DC"/>
    <w:rsid w:val="00F263B0"/>
    <w:rsid w:val="00F264F4"/>
    <w:rsid w:val="00F26B4B"/>
    <w:rsid w:val="00F2706C"/>
    <w:rsid w:val="00F27D7F"/>
    <w:rsid w:val="00F3094A"/>
    <w:rsid w:val="00F30B2B"/>
    <w:rsid w:val="00F3213B"/>
    <w:rsid w:val="00F32D23"/>
    <w:rsid w:val="00F33A7F"/>
    <w:rsid w:val="00F34D75"/>
    <w:rsid w:val="00F353D6"/>
    <w:rsid w:val="00F37D0E"/>
    <w:rsid w:val="00F37DE6"/>
    <w:rsid w:val="00F37EC5"/>
    <w:rsid w:val="00F40338"/>
    <w:rsid w:val="00F40760"/>
    <w:rsid w:val="00F419C5"/>
    <w:rsid w:val="00F42499"/>
    <w:rsid w:val="00F42FA9"/>
    <w:rsid w:val="00F43006"/>
    <w:rsid w:val="00F43C68"/>
    <w:rsid w:val="00F44EFB"/>
    <w:rsid w:val="00F46085"/>
    <w:rsid w:val="00F46328"/>
    <w:rsid w:val="00F46B51"/>
    <w:rsid w:val="00F501E7"/>
    <w:rsid w:val="00F504F1"/>
    <w:rsid w:val="00F5078A"/>
    <w:rsid w:val="00F50B85"/>
    <w:rsid w:val="00F50E66"/>
    <w:rsid w:val="00F51D21"/>
    <w:rsid w:val="00F51DD1"/>
    <w:rsid w:val="00F521A2"/>
    <w:rsid w:val="00F52499"/>
    <w:rsid w:val="00F53A2D"/>
    <w:rsid w:val="00F55D8F"/>
    <w:rsid w:val="00F560EA"/>
    <w:rsid w:val="00F56314"/>
    <w:rsid w:val="00F565E6"/>
    <w:rsid w:val="00F604CD"/>
    <w:rsid w:val="00F60C78"/>
    <w:rsid w:val="00F611C2"/>
    <w:rsid w:val="00F618BC"/>
    <w:rsid w:val="00F62C50"/>
    <w:rsid w:val="00F65B65"/>
    <w:rsid w:val="00F660CE"/>
    <w:rsid w:val="00F66959"/>
    <w:rsid w:val="00F67989"/>
    <w:rsid w:val="00F70B8F"/>
    <w:rsid w:val="00F71792"/>
    <w:rsid w:val="00F72B42"/>
    <w:rsid w:val="00F733F3"/>
    <w:rsid w:val="00F73A39"/>
    <w:rsid w:val="00F74617"/>
    <w:rsid w:val="00F7463F"/>
    <w:rsid w:val="00F75B28"/>
    <w:rsid w:val="00F75D3A"/>
    <w:rsid w:val="00F76B24"/>
    <w:rsid w:val="00F76F9C"/>
    <w:rsid w:val="00F7722D"/>
    <w:rsid w:val="00F77FB7"/>
    <w:rsid w:val="00F80139"/>
    <w:rsid w:val="00F8017D"/>
    <w:rsid w:val="00F82CE9"/>
    <w:rsid w:val="00F8365C"/>
    <w:rsid w:val="00F84017"/>
    <w:rsid w:val="00F84027"/>
    <w:rsid w:val="00F848DC"/>
    <w:rsid w:val="00F84D3C"/>
    <w:rsid w:val="00F87C31"/>
    <w:rsid w:val="00F87C75"/>
    <w:rsid w:val="00F914B8"/>
    <w:rsid w:val="00F91FB1"/>
    <w:rsid w:val="00F9212E"/>
    <w:rsid w:val="00F9325C"/>
    <w:rsid w:val="00F932DE"/>
    <w:rsid w:val="00F93F44"/>
    <w:rsid w:val="00F94A60"/>
    <w:rsid w:val="00F950FE"/>
    <w:rsid w:val="00F960FB"/>
    <w:rsid w:val="00F96334"/>
    <w:rsid w:val="00F9633B"/>
    <w:rsid w:val="00F9783F"/>
    <w:rsid w:val="00FA0329"/>
    <w:rsid w:val="00FA1D78"/>
    <w:rsid w:val="00FA1DEB"/>
    <w:rsid w:val="00FA2611"/>
    <w:rsid w:val="00FA297E"/>
    <w:rsid w:val="00FA36AE"/>
    <w:rsid w:val="00FA3A03"/>
    <w:rsid w:val="00FA432D"/>
    <w:rsid w:val="00FA44F5"/>
    <w:rsid w:val="00FA4B49"/>
    <w:rsid w:val="00FA5119"/>
    <w:rsid w:val="00FA5A5B"/>
    <w:rsid w:val="00FA5D6B"/>
    <w:rsid w:val="00FA71C9"/>
    <w:rsid w:val="00FB0430"/>
    <w:rsid w:val="00FB15D8"/>
    <w:rsid w:val="00FB1CFF"/>
    <w:rsid w:val="00FB2D0C"/>
    <w:rsid w:val="00FB366A"/>
    <w:rsid w:val="00FB438F"/>
    <w:rsid w:val="00FB4AB6"/>
    <w:rsid w:val="00FB51E5"/>
    <w:rsid w:val="00FB5440"/>
    <w:rsid w:val="00FB57DB"/>
    <w:rsid w:val="00FB6238"/>
    <w:rsid w:val="00FB6D50"/>
    <w:rsid w:val="00FC06E3"/>
    <w:rsid w:val="00FC1179"/>
    <w:rsid w:val="00FC2117"/>
    <w:rsid w:val="00FC22AB"/>
    <w:rsid w:val="00FC4985"/>
    <w:rsid w:val="00FC594B"/>
    <w:rsid w:val="00FD0232"/>
    <w:rsid w:val="00FD0DA5"/>
    <w:rsid w:val="00FD29B1"/>
    <w:rsid w:val="00FD3EEF"/>
    <w:rsid w:val="00FD49E6"/>
    <w:rsid w:val="00FD53CE"/>
    <w:rsid w:val="00FD5643"/>
    <w:rsid w:val="00FD777A"/>
    <w:rsid w:val="00FD7841"/>
    <w:rsid w:val="00FD7C63"/>
    <w:rsid w:val="00FE1661"/>
    <w:rsid w:val="00FE1D59"/>
    <w:rsid w:val="00FE2431"/>
    <w:rsid w:val="00FE4BB9"/>
    <w:rsid w:val="00FE4C58"/>
    <w:rsid w:val="00FE4E63"/>
    <w:rsid w:val="00FE5E9B"/>
    <w:rsid w:val="00FE6746"/>
    <w:rsid w:val="00FE6B55"/>
    <w:rsid w:val="00FF1265"/>
    <w:rsid w:val="00FF1719"/>
    <w:rsid w:val="00FF2550"/>
    <w:rsid w:val="00FF53E3"/>
    <w:rsid w:val="00FF54AE"/>
    <w:rsid w:val="00FF5806"/>
    <w:rsid w:val="00FF5FB2"/>
    <w:rsid w:val="00FF610D"/>
    <w:rsid w:val="00FF7550"/>
    <w:rsid w:val="00FF79F8"/>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3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2"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Normal Table" w:semiHidden="0" w:unhideWhenUsed="0"/>
    <w:lsdException w:name="annotation subject" w:uiPriority="9"/>
    <w:lsdException w:name="Table Web 3" w:semiHidden="0" w:unhideWhenUsed="0"/>
    <w:lsdException w:name="Balloon Text" w:uiPriority="9"/>
    <w:lsdException w:name="Table Grid" w:semiHidden="0" w:uiPriority="39" w:unhideWhenUsed="0"/>
    <w:lsdException w:name="Table Theme" w:semiHidden="0"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49"/>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5B9BD5"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2"/>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5B9BD5"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aliases w:val=" Char,wcp_Footnote,Footnote_Bas Page"/>
    <w:basedOn w:val="Normal"/>
    <w:link w:val="FootnoteTextChar"/>
    <w:uiPriority w:val="99"/>
    <w:unhideWhenUsed/>
    <w:rsid w:val="00BA3306"/>
    <w:pPr>
      <w:spacing w:before="0" w:after="0"/>
    </w:pPr>
    <w:rPr>
      <w:sz w:val="18"/>
      <w:szCs w:val="20"/>
    </w:rPr>
  </w:style>
  <w:style w:type="character" w:customStyle="1" w:styleId="FootnoteTextChar">
    <w:name w:val="Footnote Text Char"/>
    <w:aliases w:val=" Char Char,wcp_Footnote Char,Footnote_Bas Page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5B9BD5"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2"/>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F5496"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4472C4" w:themeColor="accent1"/>
      <w:spacing w:val="15"/>
      <w:sz w:val="24"/>
      <w:szCs w:val="24"/>
    </w:rPr>
  </w:style>
  <w:style w:type="paragraph" w:customStyle="1" w:styleId="PBACHeading1">
    <w:name w:val="PBAC Heading 1"/>
    <w:qFormat/>
    <w:rsid w:val="00C317F3"/>
    <w:pPr>
      <w:numPr>
        <w:numId w:val="10"/>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87"/>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TableGrid1">
    <w:name w:val="Table Grid1"/>
    <w:basedOn w:val="TableNormal"/>
    <w:next w:val="TableGrid"/>
    <w:uiPriority w:val="39"/>
    <w:rsid w:val="002A459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3DF8"/>
    <w:pPr>
      <w:spacing w:before="0" w:after="0"/>
    </w:pPr>
    <w:rPr>
      <w:sz w:val="20"/>
      <w:szCs w:val="20"/>
    </w:rPr>
  </w:style>
  <w:style w:type="character" w:customStyle="1" w:styleId="EndnoteTextChar">
    <w:name w:val="Endnote Text Char"/>
    <w:basedOn w:val="DefaultParagraphFont"/>
    <w:link w:val="EndnoteText"/>
    <w:uiPriority w:val="99"/>
    <w:semiHidden/>
    <w:rsid w:val="000D3DF8"/>
    <w:rPr>
      <w:sz w:val="20"/>
      <w:szCs w:val="20"/>
    </w:rPr>
  </w:style>
  <w:style w:type="character" w:styleId="EndnoteReference">
    <w:name w:val="endnote reference"/>
    <w:basedOn w:val="DefaultParagraphFont"/>
    <w:uiPriority w:val="99"/>
    <w:semiHidden/>
    <w:unhideWhenUsed/>
    <w:rsid w:val="000D3DF8"/>
    <w:rPr>
      <w:vertAlign w:val="superscript"/>
    </w:rPr>
  </w:style>
  <w:style w:type="table" w:customStyle="1" w:styleId="TableGrid2">
    <w:name w:val="Table Grid2"/>
    <w:basedOn w:val="TableNormal"/>
    <w:next w:val="TableGrid"/>
    <w:uiPriority w:val="39"/>
    <w:rsid w:val="00880E3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53D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046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2B7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 note"/>
    <w:basedOn w:val="Normal"/>
    <w:next w:val="Normal"/>
    <w:qFormat/>
    <w:rsid w:val="000E192D"/>
    <w:pPr>
      <w:spacing w:after="240" w:line="312" w:lineRule="auto"/>
      <w:jc w:val="both"/>
    </w:pPr>
    <w:rPr>
      <w:rFonts w:ascii="Verdana" w:eastAsia="Calibri" w:hAnsi="Verdana" w:cs="Times New Roman"/>
      <w:sz w:val="18"/>
    </w:rPr>
  </w:style>
  <w:style w:type="paragraph" w:customStyle="1" w:styleId="Tablebold">
    <w:name w:val="Table bold"/>
    <w:basedOn w:val="Tabletext0"/>
    <w:qFormat/>
    <w:rsid w:val="000E192D"/>
    <w:pPr>
      <w:keepNext/>
      <w:spacing w:before="60" w:after="60"/>
    </w:pPr>
    <w:rPr>
      <w:rFonts w:ascii="Verdana" w:eastAsia="Calibri" w:hAnsi="Verdana"/>
      <w:b/>
      <w:sz w:val="18"/>
      <w:szCs w:val="22"/>
    </w:rPr>
  </w:style>
  <w:style w:type="table" w:customStyle="1" w:styleId="TableGrid6">
    <w:name w:val="Table Grid6"/>
    <w:basedOn w:val="TableNormal"/>
    <w:next w:val="TableGrid"/>
    <w:uiPriority w:val="39"/>
    <w:rsid w:val="00E9266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0"/>
    <w:qFormat/>
    <w:rsid w:val="007A1247"/>
    <w:pPr>
      <w:keepNext/>
      <w:spacing w:before="60" w:after="60"/>
      <w:ind w:left="170"/>
    </w:pPr>
    <w:rPr>
      <w:rFonts w:ascii="Verdana" w:eastAsia="Calibri" w:hAnsi="Verdana"/>
      <w:sz w:val="18"/>
      <w:szCs w:val="22"/>
    </w:rPr>
  </w:style>
  <w:style w:type="table" w:customStyle="1" w:styleId="TableGrid7">
    <w:name w:val="Table Grid7"/>
    <w:basedOn w:val="TableNormal"/>
    <w:next w:val="TableGrid"/>
    <w:uiPriority w:val="39"/>
    <w:rsid w:val="006B373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226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6520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13D0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A5F8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74AD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D652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D149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TableText1"/>
    <w:rsid w:val="00455BE1"/>
    <w:pPr>
      <w:numPr>
        <w:numId w:val="7"/>
      </w:numPr>
      <w:spacing w:before="0" w:after="0"/>
    </w:pPr>
    <w:rPr>
      <w:rFonts w:eastAsia="Batang"/>
      <w:lang w:val="en-US"/>
    </w:rPr>
  </w:style>
  <w:style w:type="paragraph" w:customStyle="1" w:styleId="Tablenotes1">
    <w:name w:val="Table notes"/>
    <w:basedOn w:val="Normal"/>
    <w:rsid w:val="00455BE1"/>
    <w:pPr>
      <w:tabs>
        <w:tab w:val="left" w:pos="416"/>
        <w:tab w:val="left" w:pos="582"/>
      </w:tabs>
      <w:spacing w:before="0" w:after="0"/>
      <w:jc w:val="both"/>
    </w:pPr>
    <w:rPr>
      <w:rFonts w:ascii="Arial Narrow" w:eastAsia="TimesNewRoman" w:hAnsi="Arial Narrow" w:cs="Arial Narrow"/>
      <w:sz w:val="18"/>
      <w:szCs w:val="18"/>
    </w:rPr>
  </w:style>
  <w:style w:type="table" w:customStyle="1" w:styleId="TableGrid15">
    <w:name w:val="Table Grid15"/>
    <w:basedOn w:val="TableNormal"/>
    <w:next w:val="TableGrid"/>
    <w:uiPriority w:val="39"/>
    <w:rsid w:val="0006188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869A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53B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5730B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524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E616A"/>
    <w:pPr>
      <w:spacing w:before="0" w:after="0"/>
    </w:pPr>
    <w:rPr>
      <w:rFonts w:ascii="Helvetica" w:hAnsi="Helvetica" w:cs="Times New Roman"/>
      <w:sz w:val="14"/>
      <w:szCs w:val="14"/>
      <w:lang w:val="en-GB" w:eastAsia="en-GB"/>
    </w:rPr>
  </w:style>
  <w:style w:type="table" w:customStyle="1" w:styleId="TableGrid20">
    <w:name w:val="Table Grid20"/>
    <w:basedOn w:val="TableNormal"/>
    <w:next w:val="TableGrid"/>
    <w:uiPriority w:val="39"/>
    <w:rsid w:val="0078290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A63AE"/>
    <w:rPr>
      <w:color w:val="808080"/>
      <w:shd w:val="clear" w:color="auto" w:fill="E6E6E6"/>
    </w:rPr>
  </w:style>
  <w:style w:type="table" w:customStyle="1" w:styleId="TableGrid21">
    <w:name w:val="Table Grid21"/>
    <w:basedOn w:val="TableNormal"/>
    <w:next w:val="TableGrid"/>
    <w:uiPriority w:val="39"/>
    <w:rsid w:val="0016653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128A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7E305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0738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0738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D15F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39"/>
    <w:rsid w:val="00F75B2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2">
    <w:name w:val="Table Gridbeth2"/>
    <w:basedOn w:val="TableNormal"/>
    <w:next w:val="TableGrid"/>
    <w:uiPriority w:val="39"/>
    <w:rsid w:val="00F75B2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3">
    <w:name w:val="Table Gridbeth3"/>
    <w:basedOn w:val="TableNormal"/>
    <w:next w:val="TableGrid"/>
    <w:uiPriority w:val="39"/>
    <w:rsid w:val="00B2230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NoList1">
    <w:name w:val="No List1"/>
    <w:next w:val="NoList"/>
    <w:uiPriority w:val="99"/>
    <w:semiHidden/>
    <w:unhideWhenUsed/>
    <w:rsid w:val="00041180"/>
  </w:style>
  <w:style w:type="table" w:customStyle="1" w:styleId="TableGridLight11">
    <w:name w:val="Table Grid Light11"/>
    <w:basedOn w:val="TableNormal"/>
    <w:uiPriority w:val="40"/>
    <w:rsid w:val="00041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0411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0">
    <w:name w:val="Table Grid110"/>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328"/>
    <w:pPr>
      <w:autoSpaceDE w:val="0"/>
      <w:autoSpaceDN w:val="0"/>
      <w:adjustRightInd w:val="0"/>
      <w:spacing w:after="0" w:line="240" w:lineRule="auto"/>
    </w:pPr>
    <w:rPr>
      <w:rFonts w:ascii="Arial" w:hAnsi="Arial" w:cs="Arial"/>
      <w:color w:val="000000"/>
      <w:sz w:val="24"/>
      <w:szCs w:val="24"/>
      <w:lang w:val="en-US"/>
    </w:rPr>
  </w:style>
  <w:style w:type="table" w:customStyle="1" w:styleId="newstyle2">
    <w:name w:val="new style2"/>
    <w:basedOn w:val="TableNormal"/>
    <w:uiPriority w:val="59"/>
    <w:rsid w:val="00741C2A"/>
    <w:pPr>
      <w:spacing w:after="0" w:line="240" w:lineRule="auto"/>
      <w:ind w:left="113" w:right="113"/>
    </w:pPr>
    <w:rPr>
      <w:rFonts w:ascii="Calibri" w:eastAsia="Calibri" w:hAnsi="Calibri" w:cs="Times New Roman"/>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blStylePr w:type="firstRow">
      <w:rPr>
        <w:b/>
      </w:rPr>
      <w:tblPr/>
      <w:tcPr>
        <w:shd w:val="clear" w:color="auto" w:fill="BFBFBF" w:themeFill="background1" w:themeFillShade="BF"/>
      </w:tcPr>
    </w:tblStylePr>
  </w:style>
  <w:style w:type="character" w:styleId="PageNumber">
    <w:name w:val="page number"/>
    <w:basedOn w:val="DefaultParagraphFont"/>
    <w:uiPriority w:val="99"/>
    <w:semiHidden/>
    <w:unhideWhenUsed/>
    <w:rsid w:val="00641873"/>
  </w:style>
  <w:style w:type="character" w:styleId="Strong">
    <w:name w:val="Strong"/>
    <w:basedOn w:val="DefaultParagraphFont"/>
    <w:uiPriority w:val="22"/>
    <w:qFormat/>
    <w:rsid w:val="006037E0"/>
    <w:rPr>
      <w:b/>
      <w:bCs/>
    </w:rPr>
  </w:style>
  <w:style w:type="character" w:customStyle="1" w:styleId="apple-converted-space">
    <w:name w:val="apple-converted-space"/>
    <w:basedOn w:val="DefaultParagraphFont"/>
    <w:rsid w:val="00603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2"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Normal Table" w:semiHidden="0" w:unhideWhenUsed="0"/>
    <w:lsdException w:name="annotation subject" w:uiPriority="9"/>
    <w:lsdException w:name="Table Web 3" w:semiHidden="0" w:unhideWhenUsed="0"/>
    <w:lsdException w:name="Balloon Text" w:uiPriority="9"/>
    <w:lsdException w:name="Table Grid" w:semiHidden="0" w:uiPriority="39" w:unhideWhenUsed="0"/>
    <w:lsdException w:name="Table Theme" w:semiHidden="0"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49"/>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5B9BD5"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2"/>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5B9BD5"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aliases w:val=" Char,wcp_Footnote,Footnote_Bas Page"/>
    <w:basedOn w:val="Normal"/>
    <w:link w:val="FootnoteTextChar"/>
    <w:uiPriority w:val="99"/>
    <w:unhideWhenUsed/>
    <w:rsid w:val="00BA3306"/>
    <w:pPr>
      <w:spacing w:before="0" w:after="0"/>
    </w:pPr>
    <w:rPr>
      <w:sz w:val="18"/>
      <w:szCs w:val="20"/>
    </w:rPr>
  </w:style>
  <w:style w:type="character" w:customStyle="1" w:styleId="FootnoteTextChar">
    <w:name w:val="Footnote Text Char"/>
    <w:aliases w:val=" Char Char,wcp_Footnote Char,Footnote_Bas Page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5B9BD5"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2"/>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F5496"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4472C4" w:themeColor="accent1"/>
      <w:spacing w:val="15"/>
      <w:sz w:val="24"/>
      <w:szCs w:val="24"/>
    </w:rPr>
  </w:style>
  <w:style w:type="paragraph" w:customStyle="1" w:styleId="PBACHeading1">
    <w:name w:val="PBAC Heading 1"/>
    <w:qFormat/>
    <w:rsid w:val="00C317F3"/>
    <w:pPr>
      <w:numPr>
        <w:numId w:val="10"/>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87"/>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TableGrid1">
    <w:name w:val="Table Grid1"/>
    <w:basedOn w:val="TableNormal"/>
    <w:next w:val="TableGrid"/>
    <w:uiPriority w:val="39"/>
    <w:rsid w:val="002A459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3DF8"/>
    <w:pPr>
      <w:spacing w:before="0" w:after="0"/>
    </w:pPr>
    <w:rPr>
      <w:sz w:val="20"/>
      <w:szCs w:val="20"/>
    </w:rPr>
  </w:style>
  <w:style w:type="character" w:customStyle="1" w:styleId="EndnoteTextChar">
    <w:name w:val="Endnote Text Char"/>
    <w:basedOn w:val="DefaultParagraphFont"/>
    <w:link w:val="EndnoteText"/>
    <w:uiPriority w:val="99"/>
    <w:semiHidden/>
    <w:rsid w:val="000D3DF8"/>
    <w:rPr>
      <w:sz w:val="20"/>
      <w:szCs w:val="20"/>
    </w:rPr>
  </w:style>
  <w:style w:type="character" w:styleId="EndnoteReference">
    <w:name w:val="endnote reference"/>
    <w:basedOn w:val="DefaultParagraphFont"/>
    <w:uiPriority w:val="99"/>
    <w:semiHidden/>
    <w:unhideWhenUsed/>
    <w:rsid w:val="000D3DF8"/>
    <w:rPr>
      <w:vertAlign w:val="superscript"/>
    </w:rPr>
  </w:style>
  <w:style w:type="table" w:customStyle="1" w:styleId="TableGrid2">
    <w:name w:val="Table Grid2"/>
    <w:basedOn w:val="TableNormal"/>
    <w:next w:val="TableGrid"/>
    <w:uiPriority w:val="39"/>
    <w:rsid w:val="00880E3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53D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046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2B7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 note"/>
    <w:basedOn w:val="Normal"/>
    <w:next w:val="Normal"/>
    <w:qFormat/>
    <w:rsid w:val="000E192D"/>
    <w:pPr>
      <w:spacing w:after="240" w:line="312" w:lineRule="auto"/>
      <w:jc w:val="both"/>
    </w:pPr>
    <w:rPr>
      <w:rFonts w:ascii="Verdana" w:eastAsia="Calibri" w:hAnsi="Verdana" w:cs="Times New Roman"/>
      <w:sz w:val="18"/>
    </w:rPr>
  </w:style>
  <w:style w:type="paragraph" w:customStyle="1" w:styleId="Tablebold">
    <w:name w:val="Table bold"/>
    <w:basedOn w:val="Tabletext0"/>
    <w:qFormat/>
    <w:rsid w:val="000E192D"/>
    <w:pPr>
      <w:keepNext/>
      <w:spacing w:before="60" w:after="60"/>
    </w:pPr>
    <w:rPr>
      <w:rFonts w:ascii="Verdana" w:eastAsia="Calibri" w:hAnsi="Verdana"/>
      <w:b/>
      <w:sz w:val="18"/>
      <w:szCs w:val="22"/>
    </w:rPr>
  </w:style>
  <w:style w:type="table" w:customStyle="1" w:styleId="TableGrid6">
    <w:name w:val="Table Grid6"/>
    <w:basedOn w:val="TableNormal"/>
    <w:next w:val="TableGrid"/>
    <w:uiPriority w:val="39"/>
    <w:rsid w:val="00E9266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0"/>
    <w:qFormat/>
    <w:rsid w:val="007A1247"/>
    <w:pPr>
      <w:keepNext/>
      <w:spacing w:before="60" w:after="60"/>
      <w:ind w:left="170"/>
    </w:pPr>
    <w:rPr>
      <w:rFonts w:ascii="Verdana" w:eastAsia="Calibri" w:hAnsi="Verdana"/>
      <w:sz w:val="18"/>
      <w:szCs w:val="22"/>
    </w:rPr>
  </w:style>
  <w:style w:type="table" w:customStyle="1" w:styleId="TableGrid7">
    <w:name w:val="Table Grid7"/>
    <w:basedOn w:val="TableNormal"/>
    <w:next w:val="TableGrid"/>
    <w:uiPriority w:val="39"/>
    <w:rsid w:val="006B373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226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6520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13D0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A5F8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74AD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D652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D149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TableText1"/>
    <w:rsid w:val="00455BE1"/>
    <w:pPr>
      <w:numPr>
        <w:numId w:val="7"/>
      </w:numPr>
      <w:spacing w:before="0" w:after="0"/>
    </w:pPr>
    <w:rPr>
      <w:rFonts w:eastAsia="Batang"/>
      <w:lang w:val="en-US"/>
    </w:rPr>
  </w:style>
  <w:style w:type="paragraph" w:customStyle="1" w:styleId="Tablenotes1">
    <w:name w:val="Table notes"/>
    <w:basedOn w:val="Normal"/>
    <w:rsid w:val="00455BE1"/>
    <w:pPr>
      <w:tabs>
        <w:tab w:val="left" w:pos="416"/>
        <w:tab w:val="left" w:pos="582"/>
      </w:tabs>
      <w:spacing w:before="0" w:after="0"/>
      <w:jc w:val="both"/>
    </w:pPr>
    <w:rPr>
      <w:rFonts w:ascii="Arial Narrow" w:eastAsia="TimesNewRoman" w:hAnsi="Arial Narrow" w:cs="Arial Narrow"/>
      <w:sz w:val="18"/>
      <w:szCs w:val="18"/>
    </w:rPr>
  </w:style>
  <w:style w:type="table" w:customStyle="1" w:styleId="TableGrid15">
    <w:name w:val="Table Grid15"/>
    <w:basedOn w:val="TableNormal"/>
    <w:next w:val="TableGrid"/>
    <w:uiPriority w:val="39"/>
    <w:rsid w:val="0006188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869A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53B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5730B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524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E616A"/>
    <w:pPr>
      <w:spacing w:before="0" w:after="0"/>
    </w:pPr>
    <w:rPr>
      <w:rFonts w:ascii="Helvetica" w:hAnsi="Helvetica" w:cs="Times New Roman"/>
      <w:sz w:val="14"/>
      <w:szCs w:val="14"/>
      <w:lang w:val="en-GB" w:eastAsia="en-GB"/>
    </w:rPr>
  </w:style>
  <w:style w:type="table" w:customStyle="1" w:styleId="TableGrid20">
    <w:name w:val="Table Grid20"/>
    <w:basedOn w:val="TableNormal"/>
    <w:next w:val="TableGrid"/>
    <w:uiPriority w:val="39"/>
    <w:rsid w:val="0078290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A63AE"/>
    <w:rPr>
      <w:color w:val="808080"/>
      <w:shd w:val="clear" w:color="auto" w:fill="E6E6E6"/>
    </w:rPr>
  </w:style>
  <w:style w:type="table" w:customStyle="1" w:styleId="TableGrid21">
    <w:name w:val="Table Grid21"/>
    <w:basedOn w:val="TableNormal"/>
    <w:next w:val="TableGrid"/>
    <w:uiPriority w:val="39"/>
    <w:rsid w:val="0016653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128A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7E305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0738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0738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D15F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39"/>
    <w:rsid w:val="00F75B2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2">
    <w:name w:val="Table Gridbeth2"/>
    <w:basedOn w:val="TableNormal"/>
    <w:next w:val="TableGrid"/>
    <w:uiPriority w:val="39"/>
    <w:rsid w:val="00F75B2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3">
    <w:name w:val="Table Gridbeth3"/>
    <w:basedOn w:val="TableNormal"/>
    <w:next w:val="TableGrid"/>
    <w:uiPriority w:val="39"/>
    <w:rsid w:val="00B2230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NoList1">
    <w:name w:val="No List1"/>
    <w:next w:val="NoList"/>
    <w:uiPriority w:val="99"/>
    <w:semiHidden/>
    <w:unhideWhenUsed/>
    <w:rsid w:val="00041180"/>
  </w:style>
  <w:style w:type="table" w:customStyle="1" w:styleId="TableGridLight11">
    <w:name w:val="Table Grid Light11"/>
    <w:basedOn w:val="TableNormal"/>
    <w:uiPriority w:val="40"/>
    <w:rsid w:val="00041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0411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0">
    <w:name w:val="Table Grid110"/>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04118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328"/>
    <w:pPr>
      <w:autoSpaceDE w:val="0"/>
      <w:autoSpaceDN w:val="0"/>
      <w:adjustRightInd w:val="0"/>
      <w:spacing w:after="0" w:line="240" w:lineRule="auto"/>
    </w:pPr>
    <w:rPr>
      <w:rFonts w:ascii="Arial" w:hAnsi="Arial" w:cs="Arial"/>
      <w:color w:val="000000"/>
      <w:sz w:val="24"/>
      <w:szCs w:val="24"/>
      <w:lang w:val="en-US"/>
    </w:rPr>
  </w:style>
  <w:style w:type="table" w:customStyle="1" w:styleId="newstyle2">
    <w:name w:val="new style2"/>
    <w:basedOn w:val="TableNormal"/>
    <w:uiPriority w:val="59"/>
    <w:rsid w:val="00741C2A"/>
    <w:pPr>
      <w:spacing w:after="0" w:line="240" w:lineRule="auto"/>
      <w:ind w:left="113" w:right="113"/>
    </w:pPr>
    <w:rPr>
      <w:rFonts w:ascii="Calibri" w:eastAsia="Calibri" w:hAnsi="Calibri" w:cs="Times New Roman"/>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blStylePr w:type="firstRow">
      <w:rPr>
        <w:b/>
      </w:rPr>
      <w:tblPr/>
      <w:tcPr>
        <w:shd w:val="clear" w:color="auto" w:fill="BFBFBF" w:themeFill="background1" w:themeFillShade="BF"/>
      </w:tcPr>
    </w:tblStylePr>
  </w:style>
  <w:style w:type="character" w:styleId="PageNumber">
    <w:name w:val="page number"/>
    <w:basedOn w:val="DefaultParagraphFont"/>
    <w:uiPriority w:val="99"/>
    <w:semiHidden/>
    <w:unhideWhenUsed/>
    <w:rsid w:val="00641873"/>
  </w:style>
  <w:style w:type="character" w:styleId="Strong">
    <w:name w:val="Strong"/>
    <w:basedOn w:val="DefaultParagraphFont"/>
    <w:uiPriority w:val="22"/>
    <w:qFormat/>
    <w:rsid w:val="006037E0"/>
    <w:rPr>
      <w:b/>
      <w:bCs/>
    </w:rPr>
  </w:style>
  <w:style w:type="character" w:customStyle="1" w:styleId="apple-converted-space">
    <w:name w:val="apple-converted-space"/>
    <w:basedOn w:val="DefaultParagraphFont"/>
    <w:rsid w:val="0060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6440">
      <w:bodyDiv w:val="1"/>
      <w:marLeft w:val="0"/>
      <w:marRight w:val="0"/>
      <w:marTop w:val="0"/>
      <w:marBottom w:val="0"/>
      <w:divBdr>
        <w:top w:val="none" w:sz="0" w:space="0" w:color="auto"/>
        <w:left w:val="none" w:sz="0" w:space="0" w:color="auto"/>
        <w:bottom w:val="none" w:sz="0" w:space="0" w:color="auto"/>
        <w:right w:val="none" w:sz="0" w:space="0" w:color="auto"/>
      </w:divBdr>
    </w:div>
    <w:div w:id="26026646">
      <w:bodyDiv w:val="1"/>
      <w:marLeft w:val="0"/>
      <w:marRight w:val="0"/>
      <w:marTop w:val="0"/>
      <w:marBottom w:val="0"/>
      <w:divBdr>
        <w:top w:val="none" w:sz="0" w:space="0" w:color="auto"/>
        <w:left w:val="none" w:sz="0" w:space="0" w:color="auto"/>
        <w:bottom w:val="none" w:sz="0" w:space="0" w:color="auto"/>
        <w:right w:val="none" w:sz="0" w:space="0" w:color="auto"/>
      </w:divBdr>
      <w:divsChild>
        <w:div w:id="181862710">
          <w:marLeft w:val="0"/>
          <w:marRight w:val="0"/>
          <w:marTop w:val="0"/>
          <w:marBottom w:val="0"/>
          <w:divBdr>
            <w:top w:val="none" w:sz="0" w:space="0" w:color="auto"/>
            <w:left w:val="none" w:sz="0" w:space="0" w:color="auto"/>
            <w:bottom w:val="none" w:sz="0" w:space="0" w:color="auto"/>
            <w:right w:val="none" w:sz="0" w:space="0" w:color="auto"/>
          </w:divBdr>
        </w:div>
        <w:div w:id="1783723288">
          <w:marLeft w:val="0"/>
          <w:marRight w:val="0"/>
          <w:marTop w:val="0"/>
          <w:marBottom w:val="0"/>
          <w:divBdr>
            <w:top w:val="none" w:sz="0" w:space="0" w:color="auto"/>
            <w:left w:val="none" w:sz="0" w:space="0" w:color="auto"/>
            <w:bottom w:val="none" w:sz="0" w:space="0" w:color="auto"/>
            <w:right w:val="none" w:sz="0" w:space="0" w:color="auto"/>
          </w:divBdr>
        </w:div>
        <w:div w:id="1102650895">
          <w:marLeft w:val="0"/>
          <w:marRight w:val="0"/>
          <w:marTop w:val="0"/>
          <w:marBottom w:val="0"/>
          <w:divBdr>
            <w:top w:val="none" w:sz="0" w:space="0" w:color="auto"/>
            <w:left w:val="none" w:sz="0" w:space="0" w:color="auto"/>
            <w:bottom w:val="none" w:sz="0" w:space="0" w:color="auto"/>
            <w:right w:val="none" w:sz="0" w:space="0" w:color="auto"/>
          </w:divBdr>
        </w:div>
        <w:div w:id="1048064092">
          <w:marLeft w:val="0"/>
          <w:marRight w:val="0"/>
          <w:marTop w:val="0"/>
          <w:marBottom w:val="0"/>
          <w:divBdr>
            <w:top w:val="none" w:sz="0" w:space="0" w:color="auto"/>
            <w:left w:val="none" w:sz="0" w:space="0" w:color="auto"/>
            <w:bottom w:val="none" w:sz="0" w:space="0" w:color="auto"/>
            <w:right w:val="none" w:sz="0" w:space="0" w:color="auto"/>
          </w:divBdr>
        </w:div>
        <w:div w:id="1493374311">
          <w:marLeft w:val="0"/>
          <w:marRight w:val="0"/>
          <w:marTop w:val="0"/>
          <w:marBottom w:val="0"/>
          <w:divBdr>
            <w:top w:val="none" w:sz="0" w:space="0" w:color="auto"/>
            <w:left w:val="none" w:sz="0" w:space="0" w:color="auto"/>
            <w:bottom w:val="none" w:sz="0" w:space="0" w:color="auto"/>
            <w:right w:val="none" w:sz="0" w:space="0" w:color="auto"/>
          </w:divBdr>
        </w:div>
        <w:div w:id="323826946">
          <w:marLeft w:val="0"/>
          <w:marRight w:val="0"/>
          <w:marTop w:val="0"/>
          <w:marBottom w:val="0"/>
          <w:divBdr>
            <w:top w:val="none" w:sz="0" w:space="0" w:color="auto"/>
            <w:left w:val="none" w:sz="0" w:space="0" w:color="auto"/>
            <w:bottom w:val="none" w:sz="0" w:space="0" w:color="auto"/>
            <w:right w:val="none" w:sz="0" w:space="0" w:color="auto"/>
          </w:divBdr>
        </w:div>
        <w:div w:id="604927358">
          <w:marLeft w:val="0"/>
          <w:marRight w:val="0"/>
          <w:marTop w:val="0"/>
          <w:marBottom w:val="0"/>
          <w:divBdr>
            <w:top w:val="none" w:sz="0" w:space="0" w:color="auto"/>
            <w:left w:val="none" w:sz="0" w:space="0" w:color="auto"/>
            <w:bottom w:val="none" w:sz="0" w:space="0" w:color="auto"/>
            <w:right w:val="none" w:sz="0" w:space="0" w:color="auto"/>
          </w:divBdr>
        </w:div>
        <w:div w:id="237402559">
          <w:marLeft w:val="0"/>
          <w:marRight w:val="0"/>
          <w:marTop w:val="0"/>
          <w:marBottom w:val="0"/>
          <w:divBdr>
            <w:top w:val="none" w:sz="0" w:space="0" w:color="auto"/>
            <w:left w:val="none" w:sz="0" w:space="0" w:color="auto"/>
            <w:bottom w:val="none" w:sz="0" w:space="0" w:color="auto"/>
            <w:right w:val="none" w:sz="0" w:space="0" w:color="auto"/>
          </w:divBdr>
        </w:div>
        <w:div w:id="1132752594">
          <w:marLeft w:val="0"/>
          <w:marRight w:val="0"/>
          <w:marTop w:val="0"/>
          <w:marBottom w:val="0"/>
          <w:divBdr>
            <w:top w:val="none" w:sz="0" w:space="0" w:color="auto"/>
            <w:left w:val="none" w:sz="0" w:space="0" w:color="auto"/>
            <w:bottom w:val="none" w:sz="0" w:space="0" w:color="auto"/>
            <w:right w:val="none" w:sz="0" w:space="0" w:color="auto"/>
          </w:divBdr>
        </w:div>
        <w:div w:id="315185011">
          <w:marLeft w:val="0"/>
          <w:marRight w:val="0"/>
          <w:marTop w:val="0"/>
          <w:marBottom w:val="0"/>
          <w:divBdr>
            <w:top w:val="none" w:sz="0" w:space="0" w:color="auto"/>
            <w:left w:val="none" w:sz="0" w:space="0" w:color="auto"/>
            <w:bottom w:val="none" w:sz="0" w:space="0" w:color="auto"/>
            <w:right w:val="none" w:sz="0" w:space="0" w:color="auto"/>
          </w:divBdr>
        </w:div>
      </w:divsChild>
    </w:div>
    <w:div w:id="59450815">
      <w:bodyDiv w:val="1"/>
      <w:marLeft w:val="0"/>
      <w:marRight w:val="0"/>
      <w:marTop w:val="0"/>
      <w:marBottom w:val="0"/>
      <w:divBdr>
        <w:top w:val="none" w:sz="0" w:space="0" w:color="auto"/>
        <w:left w:val="none" w:sz="0" w:space="0" w:color="auto"/>
        <w:bottom w:val="none" w:sz="0" w:space="0" w:color="auto"/>
        <w:right w:val="none" w:sz="0" w:space="0" w:color="auto"/>
      </w:divBdr>
    </w:div>
    <w:div w:id="61027965">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9741073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75928164">
      <w:bodyDiv w:val="1"/>
      <w:marLeft w:val="0"/>
      <w:marRight w:val="0"/>
      <w:marTop w:val="0"/>
      <w:marBottom w:val="0"/>
      <w:divBdr>
        <w:top w:val="none" w:sz="0" w:space="0" w:color="auto"/>
        <w:left w:val="none" w:sz="0" w:space="0" w:color="auto"/>
        <w:bottom w:val="none" w:sz="0" w:space="0" w:color="auto"/>
        <w:right w:val="none" w:sz="0" w:space="0" w:color="auto"/>
      </w:divBdr>
    </w:div>
    <w:div w:id="199900170">
      <w:bodyDiv w:val="1"/>
      <w:marLeft w:val="0"/>
      <w:marRight w:val="0"/>
      <w:marTop w:val="0"/>
      <w:marBottom w:val="0"/>
      <w:divBdr>
        <w:top w:val="none" w:sz="0" w:space="0" w:color="auto"/>
        <w:left w:val="none" w:sz="0" w:space="0" w:color="auto"/>
        <w:bottom w:val="none" w:sz="0" w:space="0" w:color="auto"/>
        <w:right w:val="none" w:sz="0" w:space="0" w:color="auto"/>
      </w:divBdr>
    </w:div>
    <w:div w:id="211116754">
      <w:bodyDiv w:val="1"/>
      <w:marLeft w:val="0"/>
      <w:marRight w:val="0"/>
      <w:marTop w:val="0"/>
      <w:marBottom w:val="0"/>
      <w:divBdr>
        <w:top w:val="none" w:sz="0" w:space="0" w:color="auto"/>
        <w:left w:val="none" w:sz="0" w:space="0" w:color="auto"/>
        <w:bottom w:val="none" w:sz="0" w:space="0" w:color="auto"/>
        <w:right w:val="none" w:sz="0" w:space="0" w:color="auto"/>
      </w:divBdr>
    </w:div>
    <w:div w:id="239559844">
      <w:bodyDiv w:val="1"/>
      <w:marLeft w:val="0"/>
      <w:marRight w:val="0"/>
      <w:marTop w:val="0"/>
      <w:marBottom w:val="0"/>
      <w:divBdr>
        <w:top w:val="none" w:sz="0" w:space="0" w:color="auto"/>
        <w:left w:val="none" w:sz="0" w:space="0" w:color="auto"/>
        <w:bottom w:val="none" w:sz="0" w:space="0" w:color="auto"/>
        <w:right w:val="none" w:sz="0" w:space="0" w:color="auto"/>
      </w:divBdr>
    </w:div>
    <w:div w:id="249973989">
      <w:bodyDiv w:val="1"/>
      <w:marLeft w:val="0"/>
      <w:marRight w:val="0"/>
      <w:marTop w:val="0"/>
      <w:marBottom w:val="0"/>
      <w:divBdr>
        <w:top w:val="none" w:sz="0" w:space="0" w:color="auto"/>
        <w:left w:val="none" w:sz="0" w:space="0" w:color="auto"/>
        <w:bottom w:val="none" w:sz="0" w:space="0" w:color="auto"/>
        <w:right w:val="none" w:sz="0" w:space="0" w:color="auto"/>
      </w:divBdr>
    </w:div>
    <w:div w:id="26060382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70347338">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04763388">
      <w:bodyDiv w:val="1"/>
      <w:marLeft w:val="0"/>
      <w:marRight w:val="0"/>
      <w:marTop w:val="0"/>
      <w:marBottom w:val="0"/>
      <w:divBdr>
        <w:top w:val="none" w:sz="0" w:space="0" w:color="auto"/>
        <w:left w:val="none" w:sz="0" w:space="0" w:color="auto"/>
        <w:bottom w:val="none" w:sz="0" w:space="0" w:color="auto"/>
        <w:right w:val="none" w:sz="0" w:space="0" w:color="auto"/>
      </w:divBdr>
    </w:div>
    <w:div w:id="445203135">
      <w:bodyDiv w:val="1"/>
      <w:marLeft w:val="0"/>
      <w:marRight w:val="0"/>
      <w:marTop w:val="0"/>
      <w:marBottom w:val="0"/>
      <w:divBdr>
        <w:top w:val="none" w:sz="0" w:space="0" w:color="auto"/>
        <w:left w:val="none" w:sz="0" w:space="0" w:color="auto"/>
        <w:bottom w:val="none" w:sz="0" w:space="0" w:color="auto"/>
        <w:right w:val="none" w:sz="0" w:space="0" w:color="auto"/>
      </w:divBdr>
    </w:div>
    <w:div w:id="458646881">
      <w:bodyDiv w:val="1"/>
      <w:marLeft w:val="0"/>
      <w:marRight w:val="0"/>
      <w:marTop w:val="0"/>
      <w:marBottom w:val="0"/>
      <w:divBdr>
        <w:top w:val="none" w:sz="0" w:space="0" w:color="auto"/>
        <w:left w:val="none" w:sz="0" w:space="0" w:color="auto"/>
        <w:bottom w:val="none" w:sz="0" w:space="0" w:color="auto"/>
        <w:right w:val="none" w:sz="0" w:space="0" w:color="auto"/>
      </w:divBdr>
    </w:div>
    <w:div w:id="570971952">
      <w:bodyDiv w:val="1"/>
      <w:marLeft w:val="0"/>
      <w:marRight w:val="0"/>
      <w:marTop w:val="0"/>
      <w:marBottom w:val="0"/>
      <w:divBdr>
        <w:top w:val="none" w:sz="0" w:space="0" w:color="auto"/>
        <w:left w:val="none" w:sz="0" w:space="0" w:color="auto"/>
        <w:bottom w:val="none" w:sz="0" w:space="0" w:color="auto"/>
        <w:right w:val="none" w:sz="0" w:space="0" w:color="auto"/>
      </w:divBdr>
    </w:div>
    <w:div w:id="579020038">
      <w:bodyDiv w:val="1"/>
      <w:marLeft w:val="0"/>
      <w:marRight w:val="0"/>
      <w:marTop w:val="0"/>
      <w:marBottom w:val="0"/>
      <w:divBdr>
        <w:top w:val="none" w:sz="0" w:space="0" w:color="auto"/>
        <w:left w:val="none" w:sz="0" w:space="0" w:color="auto"/>
        <w:bottom w:val="none" w:sz="0" w:space="0" w:color="auto"/>
        <w:right w:val="none" w:sz="0" w:space="0" w:color="auto"/>
      </w:divBdr>
    </w:div>
    <w:div w:id="606695872">
      <w:bodyDiv w:val="1"/>
      <w:marLeft w:val="0"/>
      <w:marRight w:val="0"/>
      <w:marTop w:val="0"/>
      <w:marBottom w:val="0"/>
      <w:divBdr>
        <w:top w:val="none" w:sz="0" w:space="0" w:color="auto"/>
        <w:left w:val="none" w:sz="0" w:space="0" w:color="auto"/>
        <w:bottom w:val="none" w:sz="0" w:space="0" w:color="auto"/>
        <w:right w:val="none" w:sz="0" w:space="0" w:color="auto"/>
      </w:divBdr>
      <w:divsChild>
        <w:div w:id="1973712013">
          <w:marLeft w:val="0"/>
          <w:marRight w:val="0"/>
          <w:marTop w:val="0"/>
          <w:marBottom w:val="0"/>
          <w:divBdr>
            <w:top w:val="none" w:sz="0" w:space="0" w:color="auto"/>
            <w:left w:val="none" w:sz="0" w:space="0" w:color="auto"/>
            <w:bottom w:val="none" w:sz="0" w:space="0" w:color="auto"/>
            <w:right w:val="none" w:sz="0" w:space="0" w:color="auto"/>
          </w:divBdr>
        </w:div>
        <w:div w:id="1697850018">
          <w:marLeft w:val="0"/>
          <w:marRight w:val="0"/>
          <w:marTop w:val="0"/>
          <w:marBottom w:val="0"/>
          <w:divBdr>
            <w:top w:val="none" w:sz="0" w:space="0" w:color="auto"/>
            <w:left w:val="none" w:sz="0" w:space="0" w:color="auto"/>
            <w:bottom w:val="none" w:sz="0" w:space="0" w:color="auto"/>
            <w:right w:val="none" w:sz="0" w:space="0" w:color="auto"/>
          </w:divBdr>
        </w:div>
      </w:divsChild>
    </w:div>
    <w:div w:id="629164765">
      <w:bodyDiv w:val="1"/>
      <w:marLeft w:val="0"/>
      <w:marRight w:val="0"/>
      <w:marTop w:val="0"/>
      <w:marBottom w:val="0"/>
      <w:divBdr>
        <w:top w:val="none" w:sz="0" w:space="0" w:color="auto"/>
        <w:left w:val="none" w:sz="0" w:space="0" w:color="auto"/>
        <w:bottom w:val="none" w:sz="0" w:space="0" w:color="auto"/>
        <w:right w:val="none" w:sz="0" w:space="0" w:color="auto"/>
      </w:divBdr>
    </w:div>
    <w:div w:id="638153327">
      <w:bodyDiv w:val="1"/>
      <w:marLeft w:val="0"/>
      <w:marRight w:val="0"/>
      <w:marTop w:val="0"/>
      <w:marBottom w:val="0"/>
      <w:divBdr>
        <w:top w:val="none" w:sz="0" w:space="0" w:color="auto"/>
        <w:left w:val="none" w:sz="0" w:space="0" w:color="auto"/>
        <w:bottom w:val="none" w:sz="0" w:space="0" w:color="auto"/>
        <w:right w:val="none" w:sz="0" w:space="0" w:color="auto"/>
      </w:divBdr>
    </w:div>
    <w:div w:id="705326195">
      <w:bodyDiv w:val="1"/>
      <w:marLeft w:val="0"/>
      <w:marRight w:val="0"/>
      <w:marTop w:val="0"/>
      <w:marBottom w:val="0"/>
      <w:divBdr>
        <w:top w:val="none" w:sz="0" w:space="0" w:color="auto"/>
        <w:left w:val="none" w:sz="0" w:space="0" w:color="auto"/>
        <w:bottom w:val="none" w:sz="0" w:space="0" w:color="auto"/>
        <w:right w:val="none" w:sz="0" w:space="0" w:color="auto"/>
      </w:divBdr>
    </w:div>
    <w:div w:id="710805516">
      <w:bodyDiv w:val="1"/>
      <w:marLeft w:val="0"/>
      <w:marRight w:val="0"/>
      <w:marTop w:val="0"/>
      <w:marBottom w:val="0"/>
      <w:divBdr>
        <w:top w:val="none" w:sz="0" w:space="0" w:color="auto"/>
        <w:left w:val="none" w:sz="0" w:space="0" w:color="auto"/>
        <w:bottom w:val="none" w:sz="0" w:space="0" w:color="auto"/>
        <w:right w:val="none" w:sz="0" w:space="0" w:color="auto"/>
      </w:divBdr>
    </w:div>
    <w:div w:id="727581425">
      <w:bodyDiv w:val="1"/>
      <w:marLeft w:val="0"/>
      <w:marRight w:val="0"/>
      <w:marTop w:val="0"/>
      <w:marBottom w:val="0"/>
      <w:divBdr>
        <w:top w:val="none" w:sz="0" w:space="0" w:color="auto"/>
        <w:left w:val="none" w:sz="0" w:space="0" w:color="auto"/>
        <w:bottom w:val="none" w:sz="0" w:space="0" w:color="auto"/>
        <w:right w:val="none" w:sz="0" w:space="0" w:color="auto"/>
      </w:divBdr>
    </w:div>
    <w:div w:id="732315520">
      <w:bodyDiv w:val="1"/>
      <w:marLeft w:val="0"/>
      <w:marRight w:val="0"/>
      <w:marTop w:val="0"/>
      <w:marBottom w:val="0"/>
      <w:divBdr>
        <w:top w:val="none" w:sz="0" w:space="0" w:color="auto"/>
        <w:left w:val="none" w:sz="0" w:space="0" w:color="auto"/>
        <w:bottom w:val="none" w:sz="0" w:space="0" w:color="auto"/>
        <w:right w:val="none" w:sz="0" w:space="0" w:color="auto"/>
      </w:divBdr>
    </w:div>
    <w:div w:id="757991470">
      <w:bodyDiv w:val="1"/>
      <w:marLeft w:val="0"/>
      <w:marRight w:val="0"/>
      <w:marTop w:val="0"/>
      <w:marBottom w:val="0"/>
      <w:divBdr>
        <w:top w:val="none" w:sz="0" w:space="0" w:color="auto"/>
        <w:left w:val="none" w:sz="0" w:space="0" w:color="auto"/>
        <w:bottom w:val="none" w:sz="0" w:space="0" w:color="auto"/>
        <w:right w:val="none" w:sz="0" w:space="0" w:color="auto"/>
      </w:divBdr>
    </w:div>
    <w:div w:id="774137134">
      <w:bodyDiv w:val="1"/>
      <w:marLeft w:val="0"/>
      <w:marRight w:val="0"/>
      <w:marTop w:val="0"/>
      <w:marBottom w:val="0"/>
      <w:divBdr>
        <w:top w:val="none" w:sz="0" w:space="0" w:color="auto"/>
        <w:left w:val="none" w:sz="0" w:space="0" w:color="auto"/>
        <w:bottom w:val="none" w:sz="0" w:space="0" w:color="auto"/>
        <w:right w:val="none" w:sz="0" w:space="0" w:color="auto"/>
      </w:divBdr>
    </w:div>
    <w:div w:id="776103460">
      <w:bodyDiv w:val="1"/>
      <w:marLeft w:val="0"/>
      <w:marRight w:val="0"/>
      <w:marTop w:val="0"/>
      <w:marBottom w:val="0"/>
      <w:divBdr>
        <w:top w:val="none" w:sz="0" w:space="0" w:color="auto"/>
        <w:left w:val="none" w:sz="0" w:space="0" w:color="auto"/>
        <w:bottom w:val="none" w:sz="0" w:space="0" w:color="auto"/>
        <w:right w:val="none" w:sz="0" w:space="0" w:color="auto"/>
      </w:divBdr>
    </w:div>
    <w:div w:id="790200152">
      <w:bodyDiv w:val="1"/>
      <w:marLeft w:val="0"/>
      <w:marRight w:val="0"/>
      <w:marTop w:val="0"/>
      <w:marBottom w:val="0"/>
      <w:divBdr>
        <w:top w:val="none" w:sz="0" w:space="0" w:color="auto"/>
        <w:left w:val="none" w:sz="0" w:space="0" w:color="auto"/>
        <w:bottom w:val="none" w:sz="0" w:space="0" w:color="auto"/>
        <w:right w:val="none" w:sz="0" w:space="0" w:color="auto"/>
      </w:divBdr>
    </w:div>
    <w:div w:id="797527425">
      <w:bodyDiv w:val="1"/>
      <w:marLeft w:val="0"/>
      <w:marRight w:val="0"/>
      <w:marTop w:val="0"/>
      <w:marBottom w:val="0"/>
      <w:divBdr>
        <w:top w:val="none" w:sz="0" w:space="0" w:color="auto"/>
        <w:left w:val="none" w:sz="0" w:space="0" w:color="auto"/>
        <w:bottom w:val="none" w:sz="0" w:space="0" w:color="auto"/>
        <w:right w:val="none" w:sz="0" w:space="0" w:color="auto"/>
      </w:divBdr>
    </w:div>
    <w:div w:id="830947195">
      <w:bodyDiv w:val="1"/>
      <w:marLeft w:val="0"/>
      <w:marRight w:val="0"/>
      <w:marTop w:val="0"/>
      <w:marBottom w:val="0"/>
      <w:divBdr>
        <w:top w:val="none" w:sz="0" w:space="0" w:color="auto"/>
        <w:left w:val="none" w:sz="0" w:space="0" w:color="auto"/>
        <w:bottom w:val="none" w:sz="0" w:space="0" w:color="auto"/>
        <w:right w:val="none" w:sz="0" w:space="0" w:color="auto"/>
      </w:divBdr>
    </w:div>
    <w:div w:id="856231209">
      <w:bodyDiv w:val="1"/>
      <w:marLeft w:val="0"/>
      <w:marRight w:val="0"/>
      <w:marTop w:val="0"/>
      <w:marBottom w:val="0"/>
      <w:divBdr>
        <w:top w:val="none" w:sz="0" w:space="0" w:color="auto"/>
        <w:left w:val="none" w:sz="0" w:space="0" w:color="auto"/>
        <w:bottom w:val="none" w:sz="0" w:space="0" w:color="auto"/>
        <w:right w:val="none" w:sz="0" w:space="0" w:color="auto"/>
      </w:divBdr>
    </w:div>
    <w:div w:id="876164855">
      <w:bodyDiv w:val="1"/>
      <w:marLeft w:val="0"/>
      <w:marRight w:val="0"/>
      <w:marTop w:val="0"/>
      <w:marBottom w:val="0"/>
      <w:divBdr>
        <w:top w:val="none" w:sz="0" w:space="0" w:color="auto"/>
        <w:left w:val="none" w:sz="0" w:space="0" w:color="auto"/>
        <w:bottom w:val="none" w:sz="0" w:space="0" w:color="auto"/>
        <w:right w:val="none" w:sz="0" w:space="0" w:color="auto"/>
      </w:divBdr>
    </w:div>
    <w:div w:id="929893196">
      <w:bodyDiv w:val="1"/>
      <w:marLeft w:val="0"/>
      <w:marRight w:val="0"/>
      <w:marTop w:val="0"/>
      <w:marBottom w:val="0"/>
      <w:divBdr>
        <w:top w:val="none" w:sz="0" w:space="0" w:color="auto"/>
        <w:left w:val="none" w:sz="0" w:space="0" w:color="auto"/>
        <w:bottom w:val="none" w:sz="0" w:space="0" w:color="auto"/>
        <w:right w:val="none" w:sz="0" w:space="0" w:color="auto"/>
      </w:divBdr>
    </w:div>
    <w:div w:id="966400862">
      <w:bodyDiv w:val="1"/>
      <w:marLeft w:val="0"/>
      <w:marRight w:val="0"/>
      <w:marTop w:val="0"/>
      <w:marBottom w:val="0"/>
      <w:divBdr>
        <w:top w:val="none" w:sz="0" w:space="0" w:color="auto"/>
        <w:left w:val="none" w:sz="0" w:space="0" w:color="auto"/>
        <w:bottom w:val="none" w:sz="0" w:space="0" w:color="auto"/>
        <w:right w:val="none" w:sz="0" w:space="0" w:color="auto"/>
      </w:divBdr>
    </w:div>
    <w:div w:id="992173530">
      <w:bodyDiv w:val="1"/>
      <w:marLeft w:val="0"/>
      <w:marRight w:val="0"/>
      <w:marTop w:val="0"/>
      <w:marBottom w:val="0"/>
      <w:divBdr>
        <w:top w:val="none" w:sz="0" w:space="0" w:color="auto"/>
        <w:left w:val="none" w:sz="0" w:space="0" w:color="auto"/>
        <w:bottom w:val="none" w:sz="0" w:space="0" w:color="auto"/>
        <w:right w:val="none" w:sz="0" w:space="0" w:color="auto"/>
      </w:divBdr>
    </w:div>
    <w:div w:id="1071654139">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28665494">
      <w:bodyDiv w:val="1"/>
      <w:marLeft w:val="0"/>
      <w:marRight w:val="0"/>
      <w:marTop w:val="0"/>
      <w:marBottom w:val="0"/>
      <w:divBdr>
        <w:top w:val="none" w:sz="0" w:space="0" w:color="auto"/>
        <w:left w:val="none" w:sz="0" w:space="0" w:color="auto"/>
        <w:bottom w:val="none" w:sz="0" w:space="0" w:color="auto"/>
        <w:right w:val="none" w:sz="0" w:space="0" w:color="auto"/>
      </w:divBdr>
    </w:div>
    <w:div w:id="1131631516">
      <w:bodyDiv w:val="1"/>
      <w:marLeft w:val="0"/>
      <w:marRight w:val="0"/>
      <w:marTop w:val="0"/>
      <w:marBottom w:val="0"/>
      <w:divBdr>
        <w:top w:val="none" w:sz="0" w:space="0" w:color="auto"/>
        <w:left w:val="none" w:sz="0" w:space="0" w:color="auto"/>
        <w:bottom w:val="none" w:sz="0" w:space="0" w:color="auto"/>
        <w:right w:val="none" w:sz="0" w:space="0" w:color="auto"/>
      </w:divBdr>
    </w:div>
    <w:div w:id="1149009193">
      <w:bodyDiv w:val="1"/>
      <w:marLeft w:val="0"/>
      <w:marRight w:val="0"/>
      <w:marTop w:val="0"/>
      <w:marBottom w:val="0"/>
      <w:divBdr>
        <w:top w:val="none" w:sz="0" w:space="0" w:color="auto"/>
        <w:left w:val="none" w:sz="0" w:space="0" w:color="auto"/>
        <w:bottom w:val="none" w:sz="0" w:space="0" w:color="auto"/>
        <w:right w:val="none" w:sz="0" w:space="0" w:color="auto"/>
      </w:divBdr>
    </w:div>
    <w:div w:id="1166942066">
      <w:bodyDiv w:val="1"/>
      <w:marLeft w:val="0"/>
      <w:marRight w:val="0"/>
      <w:marTop w:val="0"/>
      <w:marBottom w:val="0"/>
      <w:divBdr>
        <w:top w:val="none" w:sz="0" w:space="0" w:color="auto"/>
        <w:left w:val="none" w:sz="0" w:space="0" w:color="auto"/>
        <w:bottom w:val="none" w:sz="0" w:space="0" w:color="auto"/>
        <w:right w:val="none" w:sz="0" w:space="0" w:color="auto"/>
      </w:divBdr>
    </w:div>
    <w:div w:id="1173568815">
      <w:bodyDiv w:val="1"/>
      <w:marLeft w:val="0"/>
      <w:marRight w:val="0"/>
      <w:marTop w:val="0"/>
      <w:marBottom w:val="0"/>
      <w:divBdr>
        <w:top w:val="none" w:sz="0" w:space="0" w:color="auto"/>
        <w:left w:val="none" w:sz="0" w:space="0" w:color="auto"/>
        <w:bottom w:val="none" w:sz="0" w:space="0" w:color="auto"/>
        <w:right w:val="none" w:sz="0" w:space="0" w:color="auto"/>
      </w:divBdr>
    </w:div>
    <w:div w:id="1198422516">
      <w:bodyDiv w:val="1"/>
      <w:marLeft w:val="0"/>
      <w:marRight w:val="0"/>
      <w:marTop w:val="0"/>
      <w:marBottom w:val="0"/>
      <w:divBdr>
        <w:top w:val="none" w:sz="0" w:space="0" w:color="auto"/>
        <w:left w:val="none" w:sz="0" w:space="0" w:color="auto"/>
        <w:bottom w:val="none" w:sz="0" w:space="0" w:color="auto"/>
        <w:right w:val="none" w:sz="0" w:space="0" w:color="auto"/>
      </w:divBdr>
    </w:div>
    <w:div w:id="1256784985">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5135125">
      <w:bodyDiv w:val="1"/>
      <w:marLeft w:val="0"/>
      <w:marRight w:val="0"/>
      <w:marTop w:val="0"/>
      <w:marBottom w:val="0"/>
      <w:divBdr>
        <w:top w:val="none" w:sz="0" w:space="0" w:color="auto"/>
        <w:left w:val="none" w:sz="0" w:space="0" w:color="auto"/>
        <w:bottom w:val="none" w:sz="0" w:space="0" w:color="auto"/>
        <w:right w:val="none" w:sz="0" w:space="0" w:color="auto"/>
      </w:divBdr>
    </w:div>
    <w:div w:id="1334145403">
      <w:bodyDiv w:val="1"/>
      <w:marLeft w:val="0"/>
      <w:marRight w:val="0"/>
      <w:marTop w:val="0"/>
      <w:marBottom w:val="0"/>
      <w:divBdr>
        <w:top w:val="none" w:sz="0" w:space="0" w:color="auto"/>
        <w:left w:val="none" w:sz="0" w:space="0" w:color="auto"/>
        <w:bottom w:val="none" w:sz="0" w:space="0" w:color="auto"/>
        <w:right w:val="none" w:sz="0" w:space="0" w:color="auto"/>
      </w:divBdr>
    </w:div>
    <w:div w:id="1342127207">
      <w:bodyDiv w:val="1"/>
      <w:marLeft w:val="0"/>
      <w:marRight w:val="0"/>
      <w:marTop w:val="0"/>
      <w:marBottom w:val="0"/>
      <w:divBdr>
        <w:top w:val="none" w:sz="0" w:space="0" w:color="auto"/>
        <w:left w:val="none" w:sz="0" w:space="0" w:color="auto"/>
        <w:bottom w:val="none" w:sz="0" w:space="0" w:color="auto"/>
        <w:right w:val="none" w:sz="0" w:space="0" w:color="auto"/>
      </w:divBdr>
    </w:div>
    <w:div w:id="1373112641">
      <w:bodyDiv w:val="1"/>
      <w:marLeft w:val="0"/>
      <w:marRight w:val="0"/>
      <w:marTop w:val="0"/>
      <w:marBottom w:val="0"/>
      <w:divBdr>
        <w:top w:val="none" w:sz="0" w:space="0" w:color="auto"/>
        <w:left w:val="none" w:sz="0" w:space="0" w:color="auto"/>
        <w:bottom w:val="none" w:sz="0" w:space="0" w:color="auto"/>
        <w:right w:val="none" w:sz="0" w:space="0" w:color="auto"/>
      </w:divBdr>
    </w:div>
    <w:div w:id="1387413785">
      <w:bodyDiv w:val="1"/>
      <w:marLeft w:val="0"/>
      <w:marRight w:val="0"/>
      <w:marTop w:val="0"/>
      <w:marBottom w:val="0"/>
      <w:divBdr>
        <w:top w:val="none" w:sz="0" w:space="0" w:color="auto"/>
        <w:left w:val="none" w:sz="0" w:space="0" w:color="auto"/>
        <w:bottom w:val="none" w:sz="0" w:space="0" w:color="auto"/>
        <w:right w:val="none" w:sz="0" w:space="0" w:color="auto"/>
      </w:divBdr>
    </w:div>
    <w:div w:id="1397777114">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53744478">
      <w:bodyDiv w:val="1"/>
      <w:marLeft w:val="0"/>
      <w:marRight w:val="0"/>
      <w:marTop w:val="0"/>
      <w:marBottom w:val="0"/>
      <w:divBdr>
        <w:top w:val="none" w:sz="0" w:space="0" w:color="auto"/>
        <w:left w:val="none" w:sz="0" w:space="0" w:color="auto"/>
        <w:bottom w:val="none" w:sz="0" w:space="0" w:color="auto"/>
        <w:right w:val="none" w:sz="0" w:space="0" w:color="auto"/>
      </w:divBdr>
      <w:divsChild>
        <w:div w:id="1032462202">
          <w:marLeft w:val="0"/>
          <w:marRight w:val="0"/>
          <w:marTop w:val="0"/>
          <w:marBottom w:val="0"/>
          <w:divBdr>
            <w:top w:val="none" w:sz="0" w:space="0" w:color="auto"/>
            <w:left w:val="none" w:sz="0" w:space="0" w:color="auto"/>
            <w:bottom w:val="none" w:sz="0" w:space="0" w:color="auto"/>
            <w:right w:val="none" w:sz="0" w:space="0" w:color="auto"/>
          </w:divBdr>
        </w:div>
        <w:div w:id="688681195">
          <w:marLeft w:val="0"/>
          <w:marRight w:val="0"/>
          <w:marTop w:val="0"/>
          <w:marBottom w:val="0"/>
          <w:divBdr>
            <w:top w:val="none" w:sz="0" w:space="0" w:color="auto"/>
            <w:left w:val="none" w:sz="0" w:space="0" w:color="auto"/>
            <w:bottom w:val="none" w:sz="0" w:space="0" w:color="auto"/>
            <w:right w:val="none" w:sz="0" w:space="0" w:color="auto"/>
          </w:divBdr>
        </w:div>
        <w:div w:id="145898330">
          <w:marLeft w:val="0"/>
          <w:marRight w:val="0"/>
          <w:marTop w:val="0"/>
          <w:marBottom w:val="0"/>
          <w:divBdr>
            <w:top w:val="none" w:sz="0" w:space="0" w:color="auto"/>
            <w:left w:val="none" w:sz="0" w:space="0" w:color="auto"/>
            <w:bottom w:val="none" w:sz="0" w:space="0" w:color="auto"/>
            <w:right w:val="none" w:sz="0" w:space="0" w:color="auto"/>
          </w:divBdr>
        </w:div>
        <w:div w:id="364871628">
          <w:marLeft w:val="0"/>
          <w:marRight w:val="0"/>
          <w:marTop w:val="0"/>
          <w:marBottom w:val="0"/>
          <w:divBdr>
            <w:top w:val="none" w:sz="0" w:space="0" w:color="auto"/>
            <w:left w:val="none" w:sz="0" w:space="0" w:color="auto"/>
            <w:bottom w:val="none" w:sz="0" w:space="0" w:color="auto"/>
            <w:right w:val="none" w:sz="0" w:space="0" w:color="auto"/>
          </w:divBdr>
        </w:div>
        <w:div w:id="1685865159">
          <w:marLeft w:val="0"/>
          <w:marRight w:val="0"/>
          <w:marTop w:val="0"/>
          <w:marBottom w:val="0"/>
          <w:divBdr>
            <w:top w:val="none" w:sz="0" w:space="0" w:color="auto"/>
            <w:left w:val="none" w:sz="0" w:space="0" w:color="auto"/>
            <w:bottom w:val="none" w:sz="0" w:space="0" w:color="auto"/>
            <w:right w:val="none" w:sz="0" w:space="0" w:color="auto"/>
          </w:divBdr>
        </w:div>
      </w:divsChild>
    </w:div>
    <w:div w:id="1468620727">
      <w:bodyDiv w:val="1"/>
      <w:marLeft w:val="0"/>
      <w:marRight w:val="0"/>
      <w:marTop w:val="0"/>
      <w:marBottom w:val="0"/>
      <w:divBdr>
        <w:top w:val="none" w:sz="0" w:space="0" w:color="auto"/>
        <w:left w:val="none" w:sz="0" w:space="0" w:color="auto"/>
        <w:bottom w:val="none" w:sz="0" w:space="0" w:color="auto"/>
        <w:right w:val="none" w:sz="0" w:space="0" w:color="auto"/>
      </w:divBdr>
    </w:div>
    <w:div w:id="1540387321">
      <w:bodyDiv w:val="1"/>
      <w:marLeft w:val="0"/>
      <w:marRight w:val="0"/>
      <w:marTop w:val="0"/>
      <w:marBottom w:val="0"/>
      <w:divBdr>
        <w:top w:val="none" w:sz="0" w:space="0" w:color="auto"/>
        <w:left w:val="none" w:sz="0" w:space="0" w:color="auto"/>
        <w:bottom w:val="none" w:sz="0" w:space="0" w:color="auto"/>
        <w:right w:val="none" w:sz="0" w:space="0" w:color="auto"/>
      </w:divBdr>
    </w:div>
    <w:div w:id="1598364827">
      <w:bodyDiv w:val="1"/>
      <w:marLeft w:val="0"/>
      <w:marRight w:val="0"/>
      <w:marTop w:val="0"/>
      <w:marBottom w:val="0"/>
      <w:divBdr>
        <w:top w:val="none" w:sz="0" w:space="0" w:color="auto"/>
        <w:left w:val="none" w:sz="0" w:space="0" w:color="auto"/>
        <w:bottom w:val="none" w:sz="0" w:space="0" w:color="auto"/>
        <w:right w:val="none" w:sz="0" w:space="0" w:color="auto"/>
      </w:divBdr>
    </w:div>
    <w:div w:id="1608540561">
      <w:bodyDiv w:val="1"/>
      <w:marLeft w:val="0"/>
      <w:marRight w:val="0"/>
      <w:marTop w:val="0"/>
      <w:marBottom w:val="0"/>
      <w:divBdr>
        <w:top w:val="none" w:sz="0" w:space="0" w:color="auto"/>
        <w:left w:val="none" w:sz="0" w:space="0" w:color="auto"/>
        <w:bottom w:val="none" w:sz="0" w:space="0" w:color="auto"/>
        <w:right w:val="none" w:sz="0" w:space="0" w:color="auto"/>
      </w:divBdr>
    </w:div>
    <w:div w:id="1641574441">
      <w:bodyDiv w:val="1"/>
      <w:marLeft w:val="0"/>
      <w:marRight w:val="0"/>
      <w:marTop w:val="0"/>
      <w:marBottom w:val="0"/>
      <w:divBdr>
        <w:top w:val="none" w:sz="0" w:space="0" w:color="auto"/>
        <w:left w:val="none" w:sz="0" w:space="0" w:color="auto"/>
        <w:bottom w:val="none" w:sz="0" w:space="0" w:color="auto"/>
        <w:right w:val="none" w:sz="0" w:space="0" w:color="auto"/>
      </w:divBdr>
    </w:div>
    <w:div w:id="1644920672">
      <w:bodyDiv w:val="1"/>
      <w:marLeft w:val="0"/>
      <w:marRight w:val="0"/>
      <w:marTop w:val="0"/>
      <w:marBottom w:val="0"/>
      <w:divBdr>
        <w:top w:val="none" w:sz="0" w:space="0" w:color="auto"/>
        <w:left w:val="none" w:sz="0" w:space="0" w:color="auto"/>
        <w:bottom w:val="none" w:sz="0" w:space="0" w:color="auto"/>
        <w:right w:val="none" w:sz="0" w:space="0" w:color="auto"/>
      </w:divBdr>
    </w:div>
    <w:div w:id="1645282005">
      <w:bodyDiv w:val="1"/>
      <w:marLeft w:val="0"/>
      <w:marRight w:val="0"/>
      <w:marTop w:val="0"/>
      <w:marBottom w:val="0"/>
      <w:divBdr>
        <w:top w:val="none" w:sz="0" w:space="0" w:color="auto"/>
        <w:left w:val="none" w:sz="0" w:space="0" w:color="auto"/>
        <w:bottom w:val="none" w:sz="0" w:space="0" w:color="auto"/>
        <w:right w:val="none" w:sz="0" w:space="0" w:color="auto"/>
      </w:divBdr>
    </w:div>
    <w:div w:id="1696421416">
      <w:bodyDiv w:val="1"/>
      <w:marLeft w:val="0"/>
      <w:marRight w:val="0"/>
      <w:marTop w:val="0"/>
      <w:marBottom w:val="0"/>
      <w:divBdr>
        <w:top w:val="none" w:sz="0" w:space="0" w:color="auto"/>
        <w:left w:val="none" w:sz="0" w:space="0" w:color="auto"/>
        <w:bottom w:val="none" w:sz="0" w:space="0" w:color="auto"/>
        <w:right w:val="none" w:sz="0" w:space="0" w:color="auto"/>
      </w:divBdr>
    </w:div>
    <w:div w:id="1736584129">
      <w:bodyDiv w:val="1"/>
      <w:marLeft w:val="0"/>
      <w:marRight w:val="0"/>
      <w:marTop w:val="0"/>
      <w:marBottom w:val="0"/>
      <w:divBdr>
        <w:top w:val="none" w:sz="0" w:space="0" w:color="auto"/>
        <w:left w:val="none" w:sz="0" w:space="0" w:color="auto"/>
        <w:bottom w:val="none" w:sz="0" w:space="0" w:color="auto"/>
        <w:right w:val="none" w:sz="0" w:space="0" w:color="auto"/>
      </w:divBdr>
    </w:div>
    <w:div w:id="1741251462">
      <w:bodyDiv w:val="1"/>
      <w:marLeft w:val="0"/>
      <w:marRight w:val="0"/>
      <w:marTop w:val="0"/>
      <w:marBottom w:val="0"/>
      <w:divBdr>
        <w:top w:val="none" w:sz="0" w:space="0" w:color="auto"/>
        <w:left w:val="none" w:sz="0" w:space="0" w:color="auto"/>
        <w:bottom w:val="none" w:sz="0" w:space="0" w:color="auto"/>
        <w:right w:val="none" w:sz="0" w:space="0" w:color="auto"/>
      </w:divBdr>
    </w:div>
    <w:div w:id="1779714229">
      <w:bodyDiv w:val="1"/>
      <w:marLeft w:val="0"/>
      <w:marRight w:val="0"/>
      <w:marTop w:val="0"/>
      <w:marBottom w:val="0"/>
      <w:divBdr>
        <w:top w:val="none" w:sz="0" w:space="0" w:color="auto"/>
        <w:left w:val="none" w:sz="0" w:space="0" w:color="auto"/>
        <w:bottom w:val="none" w:sz="0" w:space="0" w:color="auto"/>
        <w:right w:val="none" w:sz="0" w:space="0" w:color="auto"/>
      </w:divBdr>
    </w:div>
    <w:div w:id="1811243588">
      <w:bodyDiv w:val="1"/>
      <w:marLeft w:val="0"/>
      <w:marRight w:val="0"/>
      <w:marTop w:val="0"/>
      <w:marBottom w:val="0"/>
      <w:divBdr>
        <w:top w:val="none" w:sz="0" w:space="0" w:color="auto"/>
        <w:left w:val="none" w:sz="0" w:space="0" w:color="auto"/>
        <w:bottom w:val="none" w:sz="0" w:space="0" w:color="auto"/>
        <w:right w:val="none" w:sz="0" w:space="0" w:color="auto"/>
      </w:divBdr>
    </w:div>
    <w:div w:id="1840729075">
      <w:bodyDiv w:val="1"/>
      <w:marLeft w:val="0"/>
      <w:marRight w:val="0"/>
      <w:marTop w:val="0"/>
      <w:marBottom w:val="0"/>
      <w:divBdr>
        <w:top w:val="none" w:sz="0" w:space="0" w:color="auto"/>
        <w:left w:val="none" w:sz="0" w:space="0" w:color="auto"/>
        <w:bottom w:val="none" w:sz="0" w:space="0" w:color="auto"/>
        <w:right w:val="none" w:sz="0" w:space="0" w:color="auto"/>
      </w:divBdr>
    </w:div>
    <w:div w:id="1911035055">
      <w:bodyDiv w:val="1"/>
      <w:marLeft w:val="0"/>
      <w:marRight w:val="0"/>
      <w:marTop w:val="0"/>
      <w:marBottom w:val="0"/>
      <w:divBdr>
        <w:top w:val="none" w:sz="0" w:space="0" w:color="auto"/>
        <w:left w:val="none" w:sz="0" w:space="0" w:color="auto"/>
        <w:bottom w:val="none" w:sz="0" w:space="0" w:color="auto"/>
        <w:right w:val="none" w:sz="0" w:space="0" w:color="auto"/>
      </w:divBdr>
    </w:div>
    <w:div w:id="1943032955">
      <w:bodyDiv w:val="1"/>
      <w:marLeft w:val="0"/>
      <w:marRight w:val="0"/>
      <w:marTop w:val="0"/>
      <w:marBottom w:val="0"/>
      <w:divBdr>
        <w:top w:val="none" w:sz="0" w:space="0" w:color="auto"/>
        <w:left w:val="none" w:sz="0" w:space="0" w:color="auto"/>
        <w:bottom w:val="none" w:sz="0" w:space="0" w:color="auto"/>
        <w:right w:val="none" w:sz="0" w:space="0" w:color="auto"/>
      </w:divBdr>
    </w:div>
    <w:div w:id="1957835181">
      <w:bodyDiv w:val="1"/>
      <w:marLeft w:val="0"/>
      <w:marRight w:val="0"/>
      <w:marTop w:val="0"/>
      <w:marBottom w:val="0"/>
      <w:divBdr>
        <w:top w:val="none" w:sz="0" w:space="0" w:color="auto"/>
        <w:left w:val="none" w:sz="0" w:space="0" w:color="auto"/>
        <w:bottom w:val="none" w:sz="0" w:space="0" w:color="auto"/>
        <w:right w:val="none" w:sz="0" w:space="0" w:color="auto"/>
      </w:divBdr>
    </w:div>
    <w:div w:id="1966348311">
      <w:bodyDiv w:val="1"/>
      <w:marLeft w:val="0"/>
      <w:marRight w:val="0"/>
      <w:marTop w:val="0"/>
      <w:marBottom w:val="0"/>
      <w:divBdr>
        <w:top w:val="none" w:sz="0" w:space="0" w:color="auto"/>
        <w:left w:val="none" w:sz="0" w:space="0" w:color="auto"/>
        <w:bottom w:val="none" w:sz="0" w:space="0" w:color="auto"/>
        <w:right w:val="none" w:sz="0" w:space="0" w:color="auto"/>
      </w:divBdr>
    </w:div>
    <w:div w:id="1979601767">
      <w:bodyDiv w:val="1"/>
      <w:marLeft w:val="0"/>
      <w:marRight w:val="0"/>
      <w:marTop w:val="0"/>
      <w:marBottom w:val="0"/>
      <w:divBdr>
        <w:top w:val="none" w:sz="0" w:space="0" w:color="auto"/>
        <w:left w:val="none" w:sz="0" w:space="0" w:color="auto"/>
        <w:bottom w:val="none" w:sz="0" w:space="0" w:color="auto"/>
        <w:right w:val="none" w:sz="0" w:space="0" w:color="auto"/>
      </w:divBdr>
    </w:div>
    <w:div w:id="1991058084">
      <w:bodyDiv w:val="1"/>
      <w:marLeft w:val="0"/>
      <w:marRight w:val="0"/>
      <w:marTop w:val="0"/>
      <w:marBottom w:val="0"/>
      <w:divBdr>
        <w:top w:val="none" w:sz="0" w:space="0" w:color="auto"/>
        <w:left w:val="none" w:sz="0" w:space="0" w:color="auto"/>
        <w:bottom w:val="none" w:sz="0" w:space="0" w:color="auto"/>
        <w:right w:val="none" w:sz="0" w:space="0" w:color="auto"/>
      </w:divBdr>
    </w:div>
    <w:div w:id="2057967085">
      <w:bodyDiv w:val="1"/>
      <w:marLeft w:val="0"/>
      <w:marRight w:val="0"/>
      <w:marTop w:val="0"/>
      <w:marBottom w:val="0"/>
      <w:divBdr>
        <w:top w:val="none" w:sz="0" w:space="0" w:color="auto"/>
        <w:left w:val="none" w:sz="0" w:space="0" w:color="auto"/>
        <w:bottom w:val="none" w:sz="0" w:space="0" w:color="auto"/>
        <w:right w:val="none" w:sz="0" w:space="0" w:color="auto"/>
      </w:divBdr>
    </w:div>
    <w:div w:id="2060981376">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mp"/><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B742-5B0F-4417-A7B1-0906C1DA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10481</Words>
  <Characters>59745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2018-02-19T23:16:00Z</dcterms:created>
  <dcterms:modified xsi:type="dcterms:W3CDTF">2018-02-19T23:16:00Z</dcterms:modified>
</cp:coreProperties>
</file>