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F30E35" w:rsidRDefault="00A1264B" w:rsidP="005E6273">
      <w:pPr>
        <w:ind w:left="1418" w:hanging="1418"/>
        <w:outlineLvl w:val="0"/>
        <w:rPr>
          <w:b/>
          <w:sz w:val="36"/>
          <w:szCs w:val="36"/>
        </w:rPr>
      </w:pPr>
      <w:bookmarkStart w:id="0" w:name="_GoBack"/>
      <w:bookmarkEnd w:id="0"/>
      <w:r w:rsidRPr="00F30E35">
        <w:rPr>
          <w:b/>
          <w:sz w:val="36"/>
          <w:szCs w:val="36"/>
        </w:rPr>
        <w:t>5.10</w:t>
      </w:r>
      <w:r w:rsidR="00C317F3" w:rsidRPr="00F30E35">
        <w:rPr>
          <w:b/>
          <w:sz w:val="36"/>
          <w:szCs w:val="36"/>
        </w:rPr>
        <w:tab/>
      </w:r>
      <w:r w:rsidR="00DF4C9E" w:rsidRPr="00F30E35">
        <w:rPr>
          <w:b/>
          <w:sz w:val="36"/>
          <w:szCs w:val="36"/>
        </w:rPr>
        <w:t>MIDOSTAURIN</w:t>
      </w:r>
      <w:r w:rsidR="00C317F3" w:rsidRPr="00F30E35">
        <w:rPr>
          <w:b/>
          <w:sz w:val="36"/>
          <w:szCs w:val="36"/>
        </w:rPr>
        <w:t>,</w:t>
      </w:r>
      <w:r w:rsidR="009D4C2A" w:rsidRPr="00F30E35">
        <w:rPr>
          <w:b/>
          <w:sz w:val="36"/>
          <w:szCs w:val="36"/>
        </w:rPr>
        <w:br/>
      </w:r>
      <w:r w:rsidR="00367CE0" w:rsidRPr="00F30E35">
        <w:rPr>
          <w:b/>
          <w:sz w:val="36"/>
          <w:szCs w:val="36"/>
        </w:rPr>
        <w:t>Capsule 25 mg</w:t>
      </w:r>
      <w:r w:rsidR="00C317F3" w:rsidRPr="00F30E35">
        <w:rPr>
          <w:b/>
          <w:sz w:val="36"/>
          <w:szCs w:val="36"/>
        </w:rPr>
        <w:t xml:space="preserve">, </w:t>
      </w:r>
      <w:r w:rsidR="009D4C2A" w:rsidRPr="00F30E35">
        <w:rPr>
          <w:b/>
          <w:sz w:val="36"/>
          <w:szCs w:val="36"/>
        </w:rPr>
        <w:br/>
      </w:r>
      <w:r w:rsidR="00DF4C9E" w:rsidRPr="00F30E35">
        <w:rPr>
          <w:b/>
          <w:sz w:val="36"/>
          <w:szCs w:val="36"/>
        </w:rPr>
        <w:t>Rydapt</w:t>
      </w:r>
      <w:r w:rsidR="00C317F3" w:rsidRPr="00F30E35">
        <w:rPr>
          <w:b/>
          <w:sz w:val="36"/>
          <w:szCs w:val="36"/>
        </w:rPr>
        <w:t xml:space="preserve">®, </w:t>
      </w:r>
      <w:r w:rsidR="00DF4C9E" w:rsidRPr="00F30E35">
        <w:rPr>
          <w:b/>
          <w:sz w:val="36"/>
          <w:szCs w:val="36"/>
        </w:rPr>
        <w:t xml:space="preserve">Novartis Pharmaceuticals </w:t>
      </w:r>
      <w:r w:rsidR="00634938">
        <w:rPr>
          <w:b/>
          <w:sz w:val="36"/>
          <w:szCs w:val="36"/>
        </w:rPr>
        <w:t xml:space="preserve">Australia </w:t>
      </w:r>
      <w:r w:rsidR="00DF4C9E" w:rsidRPr="00F30E35">
        <w:rPr>
          <w:b/>
          <w:sz w:val="36"/>
          <w:szCs w:val="36"/>
        </w:rPr>
        <w:t>Pty Ltd</w:t>
      </w:r>
    </w:p>
    <w:p w:rsidR="00C317F3" w:rsidRPr="00F30E35" w:rsidRDefault="00C317F3" w:rsidP="0067449D">
      <w:pPr>
        <w:pStyle w:val="Heading1"/>
      </w:pPr>
      <w:bookmarkStart w:id="1" w:name="_Toc413139271"/>
      <w:bookmarkStart w:id="2" w:name="_Toc482680461"/>
      <w:r w:rsidRPr="00F30E35">
        <w:t>Purpose of Application</w:t>
      </w:r>
      <w:bookmarkEnd w:id="1"/>
      <w:bookmarkEnd w:id="2"/>
    </w:p>
    <w:p w:rsidR="00C317F3" w:rsidRPr="00F30E35" w:rsidRDefault="00B273CB" w:rsidP="00FB4880">
      <w:pPr>
        <w:pStyle w:val="ListParagraph"/>
        <w:numPr>
          <w:ilvl w:val="1"/>
          <w:numId w:val="5"/>
        </w:numPr>
        <w:spacing w:before="0" w:after="120"/>
        <w:jc w:val="both"/>
      </w:pPr>
      <w:r>
        <w:t xml:space="preserve">The submission requested for a </w:t>
      </w:r>
      <w:r w:rsidR="00C317F3" w:rsidRPr="00F30E35">
        <w:t>Section 100</w:t>
      </w:r>
      <w:r>
        <w:t xml:space="preserve"> (Efficient funding of Chemotherapy - </w:t>
      </w:r>
      <w:r w:rsidR="000E1E20" w:rsidRPr="00F30E35">
        <w:t>Public and Private hospital</w:t>
      </w:r>
      <w:r>
        <w:t>)</w:t>
      </w:r>
      <w:r w:rsidR="00C317F3" w:rsidRPr="00F30E35">
        <w:t xml:space="preserve"> listing for </w:t>
      </w:r>
      <w:r w:rsidR="000E1E20" w:rsidRPr="00F30E35">
        <w:t>midostaurin</w:t>
      </w:r>
      <w:r w:rsidR="00C317F3" w:rsidRPr="00F30E35">
        <w:t xml:space="preserve"> for treatment of </w:t>
      </w:r>
      <w:r w:rsidR="00150FBC" w:rsidRPr="00F30E35">
        <w:t>F</w:t>
      </w:r>
      <w:r w:rsidR="005B1D68">
        <w:t>MS</w:t>
      </w:r>
      <w:r w:rsidR="00150FBC" w:rsidRPr="00F30E35">
        <w:noBreakHyphen/>
      </w:r>
      <w:r w:rsidR="000E1E20" w:rsidRPr="00F30E35">
        <w:t>like tyrosine kinase-3 (FLT3) mutation positive acute myeloid leukaemia (AML)</w:t>
      </w:r>
      <w:r w:rsidR="00C317F3" w:rsidRPr="00F30E35">
        <w:t>.</w:t>
      </w:r>
    </w:p>
    <w:p w:rsidR="000E1E20" w:rsidRPr="00F30E35" w:rsidRDefault="000E1E20" w:rsidP="000E1E20">
      <w:pPr>
        <w:pStyle w:val="TableHeading0"/>
      </w:pPr>
      <w:r w:rsidRPr="00F30E35">
        <w:t xml:space="preserve">Table </w:t>
      </w:r>
      <w:r w:rsidR="00846933">
        <w:rPr>
          <w:noProof/>
        </w:rPr>
        <w:t>1</w:t>
      </w:r>
      <w:r w:rsidRPr="00F30E35">
        <w:rPr>
          <w:noProof/>
        </w:rPr>
        <w:t xml:space="preserve">: </w:t>
      </w:r>
      <w:r w:rsidRPr="00F30E35">
        <w:t>Key components of the clinical issue addressed by the submission</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513"/>
      </w:tblGrid>
      <w:tr w:rsidR="000E1E20" w:rsidRPr="00F30E35" w:rsidTr="002651DC">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0E1E20" w:rsidRPr="00F30E35" w:rsidRDefault="000E1E20" w:rsidP="00C57B12">
            <w:pPr>
              <w:pStyle w:val="TableText"/>
              <w:rPr>
                <w:b w:val="0"/>
              </w:rPr>
            </w:pPr>
            <w:r w:rsidRPr="00F30E35">
              <w:t>Component</w:t>
            </w:r>
          </w:p>
        </w:tc>
        <w:tc>
          <w:tcPr>
            <w:tcW w:w="7513" w:type="dxa"/>
            <w:shd w:val="clear" w:color="auto" w:fill="auto"/>
          </w:tcPr>
          <w:p w:rsidR="000E1E20" w:rsidRPr="00F30E35" w:rsidRDefault="000E1E20" w:rsidP="00C57B12">
            <w:pPr>
              <w:pStyle w:val="TableText"/>
              <w:rPr>
                <w:b w:val="0"/>
              </w:rPr>
            </w:pPr>
            <w:r w:rsidRPr="00F30E35">
              <w:t>Description</w:t>
            </w:r>
          </w:p>
        </w:tc>
      </w:tr>
      <w:tr w:rsidR="000E1E20" w:rsidRPr="00F30E35" w:rsidTr="002651DC">
        <w:trPr>
          <w:cantSplit/>
        </w:trPr>
        <w:tc>
          <w:tcPr>
            <w:tcW w:w="1696" w:type="dxa"/>
            <w:shd w:val="clear" w:color="auto" w:fill="auto"/>
          </w:tcPr>
          <w:p w:rsidR="000E1E20" w:rsidRPr="00F30E35" w:rsidRDefault="000E1E20" w:rsidP="00C57B12">
            <w:pPr>
              <w:pStyle w:val="TableText"/>
            </w:pPr>
            <w:r w:rsidRPr="00F30E35">
              <w:t>Population</w:t>
            </w:r>
          </w:p>
        </w:tc>
        <w:tc>
          <w:tcPr>
            <w:tcW w:w="7513" w:type="dxa"/>
            <w:shd w:val="clear" w:color="auto" w:fill="auto"/>
          </w:tcPr>
          <w:p w:rsidR="000E1E20" w:rsidRPr="00F30E35" w:rsidRDefault="000E1E20" w:rsidP="00A64A7A">
            <w:pPr>
              <w:pStyle w:val="TableText"/>
              <w:rPr>
                <w:rFonts w:ascii="Times" w:eastAsia="Times New Roman" w:hAnsi="Times" w:cs="Times New Roman"/>
              </w:rPr>
            </w:pPr>
            <w:r w:rsidRPr="00F30E35">
              <w:t>Patients with newly diagnosed FLT-3 mutation positive acute myeloid leukaemia eligible for standard intensive remission induction chemotherapy (usually cytarabine and an anthracycline</w:t>
            </w:r>
            <w:r w:rsidR="006A421F" w:rsidRPr="00F30E35">
              <w:t xml:space="preserve">). </w:t>
            </w:r>
          </w:p>
        </w:tc>
      </w:tr>
      <w:tr w:rsidR="000E1E20" w:rsidRPr="00F30E35" w:rsidTr="002651DC">
        <w:trPr>
          <w:cantSplit/>
        </w:trPr>
        <w:tc>
          <w:tcPr>
            <w:tcW w:w="1696" w:type="dxa"/>
            <w:shd w:val="clear" w:color="auto" w:fill="auto"/>
          </w:tcPr>
          <w:p w:rsidR="000E1E20" w:rsidRPr="00F30E35" w:rsidRDefault="000E1E20" w:rsidP="00C57B12">
            <w:pPr>
              <w:pStyle w:val="TableText"/>
              <w:rPr>
                <w:rFonts w:ascii="Times" w:eastAsia="Times New Roman" w:hAnsi="Times" w:cs="Times New Roman"/>
                <w:lang w:val="en-GB"/>
              </w:rPr>
            </w:pPr>
            <w:r w:rsidRPr="00F30E35">
              <w:t>Intervention</w:t>
            </w:r>
          </w:p>
        </w:tc>
        <w:tc>
          <w:tcPr>
            <w:tcW w:w="7513" w:type="dxa"/>
            <w:shd w:val="clear" w:color="auto" w:fill="auto"/>
          </w:tcPr>
          <w:p w:rsidR="000E1E20" w:rsidRPr="00F30E35" w:rsidRDefault="000E1E20" w:rsidP="00C57B12">
            <w:pPr>
              <w:pStyle w:val="TableText"/>
              <w:rPr>
                <w:rFonts w:ascii="Times" w:eastAsia="Times New Roman" w:hAnsi="Times" w:cs="Times New Roman"/>
              </w:rPr>
            </w:pPr>
            <w:r w:rsidRPr="00F30E35">
              <w:rPr>
                <w:lang w:val="en-GB"/>
              </w:rPr>
              <w:t>Midostaurin</w:t>
            </w:r>
            <w:r w:rsidRPr="00F30E35">
              <w:t xml:space="preserve"> (Rydapt</w:t>
            </w:r>
            <w:r w:rsidRPr="00F30E35">
              <w:rPr>
                <w:vertAlign w:val="superscript"/>
              </w:rPr>
              <w:t>®</w:t>
            </w:r>
            <w:r w:rsidRPr="00F30E35">
              <w:t xml:space="preserve">), 50 mg BID (plus chemotherapy) </w:t>
            </w:r>
          </w:p>
        </w:tc>
      </w:tr>
      <w:tr w:rsidR="000E1E20" w:rsidRPr="00F30E35" w:rsidTr="002651DC">
        <w:trPr>
          <w:cantSplit/>
        </w:trPr>
        <w:tc>
          <w:tcPr>
            <w:tcW w:w="1696" w:type="dxa"/>
            <w:shd w:val="clear" w:color="auto" w:fill="auto"/>
          </w:tcPr>
          <w:p w:rsidR="000E1E20" w:rsidRPr="00F30E35" w:rsidRDefault="000E1E20" w:rsidP="00C57B12">
            <w:pPr>
              <w:pStyle w:val="TableText"/>
              <w:rPr>
                <w:rFonts w:ascii="Times" w:eastAsia="Times New Roman" w:hAnsi="Times" w:cs="Times New Roman"/>
              </w:rPr>
            </w:pPr>
            <w:r w:rsidRPr="00F30E35">
              <w:t>Comparator</w:t>
            </w:r>
          </w:p>
        </w:tc>
        <w:tc>
          <w:tcPr>
            <w:tcW w:w="7513" w:type="dxa"/>
            <w:shd w:val="clear" w:color="auto" w:fill="auto"/>
          </w:tcPr>
          <w:p w:rsidR="000E1E20" w:rsidRPr="00F30E35" w:rsidRDefault="000E1E20" w:rsidP="00C57B12">
            <w:pPr>
              <w:pStyle w:val="TableText"/>
              <w:rPr>
                <w:rFonts w:ascii="Times" w:eastAsia="Times New Roman" w:hAnsi="Times" w:cs="Times New Roman"/>
              </w:rPr>
            </w:pPr>
            <w:r w:rsidRPr="00F30E35">
              <w:t>Placebo (chemotherapy alone)</w:t>
            </w:r>
          </w:p>
        </w:tc>
      </w:tr>
      <w:tr w:rsidR="000E1E20" w:rsidRPr="00F30E35" w:rsidTr="002651DC">
        <w:trPr>
          <w:cantSplit/>
        </w:trPr>
        <w:tc>
          <w:tcPr>
            <w:tcW w:w="1696" w:type="dxa"/>
            <w:shd w:val="clear" w:color="auto" w:fill="auto"/>
          </w:tcPr>
          <w:p w:rsidR="000E1E20" w:rsidRPr="00F30E35" w:rsidRDefault="000E1E20" w:rsidP="00C57B12">
            <w:pPr>
              <w:pStyle w:val="TableText"/>
              <w:rPr>
                <w:rFonts w:ascii="Times" w:eastAsia="Times New Roman" w:hAnsi="Times" w:cs="Times New Roman"/>
              </w:rPr>
            </w:pPr>
            <w:r w:rsidRPr="00F30E35">
              <w:t>Outcomes</w:t>
            </w:r>
          </w:p>
        </w:tc>
        <w:tc>
          <w:tcPr>
            <w:tcW w:w="7513" w:type="dxa"/>
            <w:shd w:val="clear" w:color="auto" w:fill="auto"/>
          </w:tcPr>
          <w:p w:rsidR="000E1E20" w:rsidRPr="00F30E35" w:rsidRDefault="000E1E20" w:rsidP="005B77E9">
            <w:pPr>
              <w:pStyle w:val="TableText"/>
              <w:numPr>
                <w:ilvl w:val="0"/>
                <w:numId w:val="8"/>
              </w:numPr>
              <w:ind w:left="176" w:hanging="176"/>
            </w:pPr>
            <w:r w:rsidRPr="00F30E35">
              <w:t>Overall survival (OS)</w:t>
            </w:r>
          </w:p>
          <w:p w:rsidR="000E1E20" w:rsidRPr="00F30E35" w:rsidRDefault="000E1E20" w:rsidP="005B77E9">
            <w:pPr>
              <w:pStyle w:val="TableText"/>
              <w:numPr>
                <w:ilvl w:val="0"/>
                <w:numId w:val="8"/>
              </w:numPr>
              <w:ind w:left="176" w:hanging="176"/>
            </w:pPr>
            <w:r w:rsidRPr="00F30E35">
              <w:t>Event free survival (EFS)</w:t>
            </w:r>
          </w:p>
          <w:p w:rsidR="000E1E20" w:rsidRPr="00F30E35" w:rsidRDefault="000E1E20" w:rsidP="005B77E9">
            <w:pPr>
              <w:pStyle w:val="TableText"/>
              <w:numPr>
                <w:ilvl w:val="0"/>
                <w:numId w:val="8"/>
              </w:numPr>
              <w:ind w:left="176" w:hanging="176"/>
            </w:pPr>
            <w:r w:rsidRPr="00F30E35">
              <w:t>Disease free survival (DFS)</w:t>
            </w:r>
          </w:p>
          <w:p w:rsidR="000E1E20" w:rsidRPr="00F30E35" w:rsidRDefault="000E1E20" w:rsidP="005B77E9">
            <w:pPr>
              <w:pStyle w:val="TableText"/>
              <w:numPr>
                <w:ilvl w:val="0"/>
                <w:numId w:val="8"/>
              </w:numPr>
              <w:ind w:left="176" w:hanging="176"/>
            </w:pPr>
            <w:r w:rsidRPr="00F30E35">
              <w:t>Complete remission rate (CRR)</w:t>
            </w:r>
          </w:p>
          <w:p w:rsidR="000E1E20" w:rsidRPr="00F30E35" w:rsidRDefault="000E1E20" w:rsidP="005B77E9">
            <w:pPr>
              <w:pStyle w:val="TableText"/>
              <w:numPr>
                <w:ilvl w:val="0"/>
                <w:numId w:val="8"/>
              </w:numPr>
              <w:ind w:left="176" w:hanging="176"/>
              <w:rPr>
                <w:rFonts w:ascii="Times" w:eastAsia="Times New Roman" w:hAnsi="Times" w:cs="Times New Roman"/>
              </w:rPr>
            </w:pPr>
            <w:r w:rsidRPr="00F30E35">
              <w:t>Stem cell transplant (SCT) rates and impact on EFS, DFS and OS</w:t>
            </w:r>
          </w:p>
        </w:tc>
      </w:tr>
      <w:tr w:rsidR="000E1E20" w:rsidRPr="00F30E35" w:rsidTr="002651DC">
        <w:trPr>
          <w:cantSplit/>
        </w:trPr>
        <w:tc>
          <w:tcPr>
            <w:tcW w:w="1696" w:type="dxa"/>
            <w:shd w:val="clear" w:color="auto" w:fill="auto"/>
          </w:tcPr>
          <w:p w:rsidR="000E1E20" w:rsidRPr="00F30E35" w:rsidRDefault="000E1E20" w:rsidP="00C57B12">
            <w:pPr>
              <w:pStyle w:val="TableText"/>
              <w:rPr>
                <w:rFonts w:ascii="Times" w:eastAsia="Times New Roman" w:hAnsi="Times" w:cs="Times New Roman"/>
              </w:rPr>
            </w:pPr>
            <w:r w:rsidRPr="00F30E35">
              <w:t>Clinical claim</w:t>
            </w:r>
          </w:p>
        </w:tc>
        <w:tc>
          <w:tcPr>
            <w:tcW w:w="7513" w:type="dxa"/>
            <w:shd w:val="clear" w:color="auto" w:fill="auto"/>
          </w:tcPr>
          <w:p w:rsidR="000E1E20" w:rsidRPr="00F30E35" w:rsidRDefault="000E1E20" w:rsidP="00C57B12">
            <w:pPr>
              <w:pStyle w:val="TableText"/>
              <w:rPr>
                <w:rFonts w:ascii="Times" w:eastAsia="Times New Roman" w:hAnsi="Times" w:cs="Times New Roman"/>
              </w:rPr>
            </w:pPr>
            <w:r w:rsidRPr="00F30E35">
              <w:t>In newly diagnosed patients with FLT-3 mutation positive acute myeloid leukaemia eligible for standard intensive remission induction chemotherapy (cytarabine and an anthracycline) the addition of midostaurin to standard intensive remission induction chemotherapy is superior to placebo (standard medical management) at increasing complete remission rates, sustaining event free and disease free survival and significantly improving overall survival.</w:t>
            </w:r>
          </w:p>
        </w:tc>
      </w:tr>
    </w:tbl>
    <w:p w:rsidR="000E1E20" w:rsidRPr="00F30E35" w:rsidRDefault="000E1E20" w:rsidP="000E1E20">
      <w:pPr>
        <w:pStyle w:val="TableFooter"/>
      </w:pPr>
      <w:r w:rsidRPr="00F30E35">
        <w:t>Source: Table 1.1-1, p4 of the submission</w:t>
      </w:r>
    </w:p>
    <w:p w:rsidR="00C317F3" w:rsidRDefault="00C317F3" w:rsidP="0067449D">
      <w:pPr>
        <w:pStyle w:val="Heading1"/>
      </w:pPr>
      <w:bookmarkStart w:id="3" w:name="_Toc413139272"/>
      <w:bookmarkStart w:id="4" w:name="_Toc482680462"/>
      <w:r w:rsidRPr="00F30E35">
        <w:t>Requested listing</w:t>
      </w:r>
      <w:bookmarkEnd w:id="3"/>
      <w:bookmarkEnd w:id="4"/>
    </w:p>
    <w:p w:rsidR="00014CD9" w:rsidRDefault="00014CD9" w:rsidP="00014CD9">
      <w:pPr>
        <w:pStyle w:val="ListParagraph"/>
        <w:numPr>
          <w:ilvl w:val="1"/>
          <w:numId w:val="2"/>
        </w:numPr>
        <w:spacing w:before="0" w:after="0"/>
        <w:contextualSpacing/>
        <w:jc w:val="both"/>
      </w:pPr>
      <w:r>
        <w:t xml:space="preserve">The requested listing is presented below. Changes to the requested listing following PBAC’s advice </w:t>
      </w:r>
      <w:r w:rsidRPr="001255F7">
        <w:t>are added in italics and crossed out with strikethrough.</w:t>
      </w:r>
    </w:p>
    <w:p w:rsidR="0029297C" w:rsidRDefault="0029297C">
      <w:pPr>
        <w:spacing w:before="0" w:line="259" w:lineRule="auto"/>
      </w:pPr>
      <w:r>
        <w:br w:type="page"/>
      </w:r>
    </w:p>
    <w:tbl>
      <w:tblPr>
        <w:tblStyle w:val="PlainTable21"/>
        <w:tblW w:w="9236" w:type="dxa"/>
        <w:tblLook w:val="04A0" w:firstRow="1" w:lastRow="0" w:firstColumn="1" w:lastColumn="0" w:noHBand="0" w:noVBand="1"/>
        <w:tblCaption w:val="Requested listing"/>
      </w:tblPr>
      <w:tblGrid>
        <w:gridCol w:w="2546"/>
        <w:gridCol w:w="1275"/>
        <w:gridCol w:w="850"/>
        <w:gridCol w:w="851"/>
        <w:gridCol w:w="1097"/>
        <w:gridCol w:w="1037"/>
        <w:gridCol w:w="1580"/>
      </w:tblGrid>
      <w:tr w:rsidR="004813FD" w:rsidRPr="00F30E35" w:rsidTr="009D6C95">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rsidR="004813FD" w:rsidRPr="00F30E35" w:rsidRDefault="004813FD" w:rsidP="00E0145C">
            <w:pPr>
              <w:pStyle w:val="Tabletext0"/>
              <w:rPr>
                <w:b w:val="0"/>
                <w:bCs w:val="0"/>
              </w:rPr>
            </w:pPr>
            <w:r w:rsidRPr="00F30E35">
              <w:lastRenderedPageBreak/>
              <w:t>Name, restriction, manner of administration, form</w:t>
            </w:r>
          </w:p>
        </w:tc>
        <w:tc>
          <w:tcPr>
            <w:tcW w:w="1276" w:type="dxa"/>
            <w:vMerge w:val="restart"/>
            <w:vAlign w:val="center"/>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30E35">
              <w:t>Maximum quantity</w:t>
            </w:r>
          </w:p>
        </w:tc>
        <w:tc>
          <w:tcPr>
            <w:tcW w:w="850" w:type="dxa"/>
            <w:vMerge w:val="restart"/>
          </w:tcPr>
          <w:p w:rsidR="004813FD" w:rsidRPr="0035613C"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bCs w:val="0"/>
                <w:strike/>
              </w:rPr>
            </w:pPr>
            <w:r w:rsidRPr="0035613C">
              <w:rPr>
                <w:strike/>
              </w:rPr>
              <w:t>No. of repeats initial</w:t>
            </w:r>
          </w:p>
        </w:tc>
        <w:tc>
          <w:tcPr>
            <w:tcW w:w="851" w:type="dxa"/>
            <w:vMerge w:val="restart"/>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30E35">
              <w:t>No. of repeats cont.</w:t>
            </w:r>
          </w:p>
        </w:tc>
        <w:tc>
          <w:tcPr>
            <w:tcW w:w="2126" w:type="dxa"/>
            <w:gridSpan w:val="2"/>
            <w:tcBorders>
              <w:bottom w:val="nil"/>
            </w:tcBorders>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30E35">
              <w:t>Dispensed price for maximum quantity</w:t>
            </w:r>
          </w:p>
        </w:tc>
        <w:tc>
          <w:tcPr>
            <w:tcW w:w="1581" w:type="dxa"/>
            <w:vMerge w:val="restart"/>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30E35">
              <w:t>Proprietary name and manufacturer</w:t>
            </w:r>
          </w:p>
        </w:tc>
      </w:tr>
      <w:tr w:rsidR="004813FD" w:rsidRPr="00F30E35" w:rsidTr="009D6C95">
        <w:trPr>
          <w:cnfStyle w:val="100000000000" w:firstRow="1" w:lastRow="0" w:firstColumn="0" w:lastColumn="0" w:oddVBand="0" w:evenVBand="0" w:oddHBand="0" w:evenHBand="0" w:firstRowFirstColumn="0" w:firstRowLastColumn="0" w:lastRowFirstColumn="0" w:lastRowLastColumn="0"/>
          <w:trHeight w:val="111"/>
          <w:tblHeader/>
        </w:trPr>
        <w:tc>
          <w:tcPr>
            <w:cnfStyle w:val="001000000000" w:firstRow="0" w:lastRow="0" w:firstColumn="1" w:lastColumn="0" w:oddVBand="0" w:evenVBand="0" w:oddHBand="0" w:evenHBand="0" w:firstRowFirstColumn="0" w:firstRowLastColumn="0" w:lastRowFirstColumn="0" w:lastRowLastColumn="0"/>
            <w:tcW w:w="2552" w:type="dxa"/>
            <w:vMerge/>
          </w:tcPr>
          <w:p w:rsidR="004813FD" w:rsidRPr="00F30E35" w:rsidRDefault="004813FD" w:rsidP="00E0145C">
            <w:pPr>
              <w:pStyle w:val="Tabletext0"/>
            </w:pPr>
          </w:p>
        </w:tc>
        <w:tc>
          <w:tcPr>
            <w:tcW w:w="1276" w:type="dxa"/>
            <w:vMerge/>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pPr>
          </w:p>
        </w:tc>
        <w:tc>
          <w:tcPr>
            <w:tcW w:w="850" w:type="dxa"/>
            <w:vMerge/>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pPr>
          </w:p>
        </w:tc>
        <w:tc>
          <w:tcPr>
            <w:tcW w:w="851" w:type="dxa"/>
            <w:vMerge/>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pPr>
          </w:p>
        </w:tc>
        <w:tc>
          <w:tcPr>
            <w:tcW w:w="1089" w:type="dxa"/>
            <w:tcBorders>
              <w:top w:val="nil"/>
            </w:tcBorders>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F30E35">
              <w:rPr>
                <w:b w:val="0"/>
              </w:rPr>
              <w:t>Public</w:t>
            </w:r>
          </w:p>
        </w:tc>
        <w:tc>
          <w:tcPr>
            <w:tcW w:w="1037" w:type="dxa"/>
            <w:tcBorders>
              <w:top w:val="nil"/>
            </w:tcBorders>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F30E35">
              <w:rPr>
                <w:b w:val="0"/>
              </w:rPr>
              <w:t>Private</w:t>
            </w:r>
          </w:p>
        </w:tc>
        <w:tc>
          <w:tcPr>
            <w:tcW w:w="1581" w:type="dxa"/>
            <w:vMerge/>
          </w:tcPr>
          <w:p w:rsidR="004813FD" w:rsidRPr="00F30E35" w:rsidRDefault="004813FD" w:rsidP="00E0145C">
            <w:pPr>
              <w:pStyle w:val="Tabletext0"/>
              <w:jc w:val="center"/>
              <w:cnfStyle w:val="100000000000" w:firstRow="1" w:lastRow="0" w:firstColumn="0" w:lastColumn="0" w:oddVBand="0" w:evenVBand="0" w:oddHBand="0" w:evenHBand="0" w:firstRowFirstColumn="0" w:firstRowLastColumn="0" w:lastRowFirstColumn="0" w:lastRowLastColumn="0"/>
            </w:pPr>
          </w:p>
        </w:tc>
      </w:tr>
      <w:tr w:rsidR="004813FD" w:rsidRPr="00F30E35" w:rsidTr="00E0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tcPr>
          <w:p w:rsidR="004813FD" w:rsidRPr="0035613C" w:rsidRDefault="004813FD" w:rsidP="00E0145C">
            <w:pPr>
              <w:pStyle w:val="Tabletext0"/>
              <w:rPr>
                <w:b w:val="0"/>
                <w:i/>
                <w:smallCaps/>
              </w:rPr>
            </w:pPr>
            <w:r w:rsidRPr="00F30E35">
              <w:rPr>
                <w:b w:val="0"/>
                <w:smallCaps/>
              </w:rPr>
              <w:t xml:space="preserve">Induction </w:t>
            </w:r>
            <w:r w:rsidR="0035613C">
              <w:rPr>
                <w:b w:val="0"/>
                <w:i/>
                <w:smallCaps/>
              </w:rPr>
              <w:t>/ Consolidation</w:t>
            </w:r>
          </w:p>
        </w:tc>
        <w:tc>
          <w:tcPr>
            <w:tcW w:w="1276" w:type="dxa"/>
            <w:tcBorders>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850" w:type="dxa"/>
            <w:tcBorders>
              <w:bottom w:val="nil"/>
            </w:tcBorders>
          </w:tcPr>
          <w:p w:rsidR="004813FD" w:rsidRPr="0035613C"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851" w:type="dxa"/>
            <w:tcBorders>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1089" w:type="dxa"/>
            <w:tcBorders>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1037" w:type="dxa"/>
            <w:tcBorders>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1581" w:type="dxa"/>
            <w:tcBorders>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r>
      <w:tr w:rsidR="004813FD" w:rsidRPr="00F30E35" w:rsidTr="00E0145C">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rsidR="004813FD" w:rsidRPr="00F30E35" w:rsidRDefault="004813FD" w:rsidP="00E0145C">
            <w:pPr>
              <w:pStyle w:val="Tabletext0"/>
              <w:rPr>
                <w:b w:val="0"/>
                <w:bCs w:val="0"/>
              </w:rPr>
            </w:pPr>
            <w:r w:rsidRPr="00F30E35">
              <w:rPr>
                <w:b w:val="0"/>
              </w:rPr>
              <w:t>Midostaurin, capsules, 25</w:t>
            </w:r>
            <w:r w:rsidR="001528D8" w:rsidRPr="00F30E35">
              <w:rPr>
                <w:b w:val="0"/>
              </w:rPr>
              <w:t xml:space="preserve"> </w:t>
            </w:r>
            <w:r w:rsidRPr="00F30E35">
              <w:rPr>
                <w:b w:val="0"/>
              </w:rPr>
              <w:t>mg</w:t>
            </w:r>
          </w:p>
        </w:tc>
        <w:tc>
          <w:tcPr>
            <w:tcW w:w="1276" w:type="dxa"/>
            <w:tcBorders>
              <w:top w:val="nil"/>
              <w:bottom w:val="nil"/>
            </w:tcBorders>
          </w:tcPr>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rFonts w:ascii="Times" w:hAnsi="Times"/>
              </w:rPr>
            </w:pPr>
            <w:r w:rsidRPr="00F30E35">
              <w:t>56 capsules</w:t>
            </w:r>
          </w:p>
        </w:tc>
        <w:tc>
          <w:tcPr>
            <w:tcW w:w="850" w:type="dxa"/>
            <w:tcBorders>
              <w:top w:val="nil"/>
              <w:bottom w:val="nil"/>
            </w:tcBorders>
          </w:tcPr>
          <w:p w:rsidR="004813FD" w:rsidRPr="0035613C"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rFonts w:ascii="Times" w:hAnsi="Times"/>
                <w:strike/>
              </w:rPr>
            </w:pPr>
            <w:r w:rsidRPr="0035613C">
              <w:rPr>
                <w:strike/>
              </w:rPr>
              <w:t>1</w:t>
            </w:r>
          </w:p>
        </w:tc>
        <w:tc>
          <w:tcPr>
            <w:tcW w:w="851" w:type="dxa"/>
            <w:tcBorders>
              <w:top w:val="nil"/>
              <w:bottom w:val="nil"/>
            </w:tcBorders>
          </w:tcPr>
          <w:p w:rsidR="004813FD" w:rsidRPr="0035613C"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rFonts w:ascii="Times" w:hAnsi="Times"/>
                <w:i/>
                <w:strike/>
              </w:rPr>
            </w:pPr>
            <w:r w:rsidRPr="0035613C">
              <w:rPr>
                <w:strike/>
              </w:rPr>
              <w:t>0</w:t>
            </w:r>
            <w:r w:rsidR="0035613C" w:rsidRPr="0035613C">
              <w:t xml:space="preserve"> </w:t>
            </w:r>
            <w:r w:rsidR="0035613C" w:rsidRPr="0035613C">
              <w:rPr>
                <w:i/>
              </w:rPr>
              <w:t>2</w:t>
            </w:r>
          </w:p>
        </w:tc>
        <w:tc>
          <w:tcPr>
            <w:tcW w:w="1089" w:type="dxa"/>
            <w:tcBorders>
              <w:top w:val="nil"/>
              <w:bottom w:val="nil"/>
            </w:tcBorders>
          </w:tcPr>
          <w:p w:rsidR="004813FD" w:rsidRPr="007F271D" w:rsidRDefault="007F271D" w:rsidP="00E0145C">
            <w:pPr>
              <w:pStyle w:val="Tabletext0"/>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037" w:type="dxa"/>
            <w:tcBorders>
              <w:top w:val="nil"/>
              <w:bottom w:val="nil"/>
            </w:tcBorders>
          </w:tcPr>
          <w:p w:rsidR="004813FD" w:rsidRPr="007F271D" w:rsidRDefault="007F271D" w:rsidP="00E0145C">
            <w:pPr>
              <w:pStyle w:val="Tabletext0"/>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581" w:type="dxa"/>
            <w:vMerge w:val="restart"/>
            <w:tcBorders>
              <w:top w:val="nil"/>
            </w:tcBorders>
          </w:tcPr>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pPr>
            <w:r w:rsidRPr="00F30E35">
              <w:t>Rydapt®</w:t>
            </w:r>
          </w:p>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rFonts w:ascii="Times" w:hAnsi="Times"/>
              </w:rPr>
            </w:pPr>
            <w:r w:rsidRPr="00F30E35">
              <w:t>Novartis Pharmaceuticals Pty Ltd</w:t>
            </w:r>
          </w:p>
        </w:tc>
      </w:tr>
      <w:tr w:rsidR="004813FD" w:rsidRPr="00F30E35" w:rsidTr="00E0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rsidR="004813FD" w:rsidRPr="0035613C" w:rsidRDefault="004813FD" w:rsidP="00E0145C">
            <w:pPr>
              <w:pStyle w:val="Tabletext0"/>
              <w:rPr>
                <w:b w:val="0"/>
                <w:smallCaps/>
                <w:strike/>
              </w:rPr>
            </w:pPr>
            <w:r w:rsidRPr="0035613C">
              <w:rPr>
                <w:b w:val="0"/>
                <w:smallCaps/>
                <w:strike/>
              </w:rPr>
              <w:t xml:space="preserve">Consolidation </w:t>
            </w:r>
          </w:p>
        </w:tc>
        <w:tc>
          <w:tcPr>
            <w:tcW w:w="1276" w:type="dxa"/>
            <w:tcBorders>
              <w:top w:val="nil"/>
              <w:bottom w:val="nil"/>
            </w:tcBorders>
          </w:tcPr>
          <w:p w:rsidR="004813FD" w:rsidRPr="0035613C"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850" w:type="dxa"/>
            <w:tcBorders>
              <w:top w:val="nil"/>
              <w:bottom w:val="nil"/>
            </w:tcBorders>
          </w:tcPr>
          <w:p w:rsidR="004813FD" w:rsidRPr="0035613C"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851" w:type="dxa"/>
            <w:tcBorders>
              <w:top w:val="nil"/>
              <w:bottom w:val="nil"/>
            </w:tcBorders>
          </w:tcPr>
          <w:p w:rsidR="004813FD" w:rsidRPr="0035613C"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1089" w:type="dxa"/>
            <w:tcBorders>
              <w:top w:val="nil"/>
              <w:bottom w:val="nil"/>
            </w:tcBorders>
          </w:tcPr>
          <w:p w:rsidR="004813FD" w:rsidRPr="007F271D"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1037" w:type="dxa"/>
            <w:tcBorders>
              <w:top w:val="nil"/>
              <w:bottom w:val="nil"/>
            </w:tcBorders>
          </w:tcPr>
          <w:p w:rsidR="004813FD" w:rsidRPr="007F271D"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1581" w:type="dxa"/>
            <w:vMerge/>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r>
      <w:tr w:rsidR="004813FD" w:rsidRPr="00F30E35" w:rsidTr="00E0145C">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rsidR="004813FD" w:rsidRPr="0035613C" w:rsidRDefault="004813FD" w:rsidP="00E0145C">
            <w:pPr>
              <w:pStyle w:val="Tabletext0"/>
              <w:rPr>
                <w:b w:val="0"/>
                <w:strike/>
              </w:rPr>
            </w:pPr>
            <w:r w:rsidRPr="0035613C">
              <w:rPr>
                <w:b w:val="0"/>
                <w:strike/>
              </w:rPr>
              <w:t>Midostaurin, capsules, 25</w:t>
            </w:r>
            <w:r w:rsidR="001528D8" w:rsidRPr="0035613C">
              <w:rPr>
                <w:b w:val="0"/>
                <w:strike/>
              </w:rPr>
              <w:t xml:space="preserve"> </w:t>
            </w:r>
            <w:r w:rsidRPr="0035613C">
              <w:rPr>
                <w:b w:val="0"/>
                <w:strike/>
              </w:rPr>
              <w:t>mg</w:t>
            </w:r>
          </w:p>
        </w:tc>
        <w:tc>
          <w:tcPr>
            <w:tcW w:w="1276" w:type="dxa"/>
            <w:tcBorders>
              <w:top w:val="nil"/>
              <w:bottom w:val="nil"/>
            </w:tcBorders>
          </w:tcPr>
          <w:p w:rsidR="004813FD" w:rsidRPr="0035613C"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35613C">
              <w:rPr>
                <w:strike/>
              </w:rPr>
              <w:t>56 capsules</w:t>
            </w:r>
          </w:p>
        </w:tc>
        <w:tc>
          <w:tcPr>
            <w:tcW w:w="850" w:type="dxa"/>
            <w:tcBorders>
              <w:top w:val="nil"/>
              <w:bottom w:val="nil"/>
            </w:tcBorders>
          </w:tcPr>
          <w:p w:rsidR="004813FD" w:rsidRPr="0035613C"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35613C">
              <w:rPr>
                <w:strike/>
              </w:rPr>
              <w:t>1</w:t>
            </w:r>
          </w:p>
        </w:tc>
        <w:tc>
          <w:tcPr>
            <w:tcW w:w="851" w:type="dxa"/>
            <w:tcBorders>
              <w:top w:val="nil"/>
              <w:bottom w:val="nil"/>
            </w:tcBorders>
          </w:tcPr>
          <w:p w:rsidR="004813FD" w:rsidRPr="0035613C"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35613C">
              <w:rPr>
                <w:strike/>
              </w:rPr>
              <w:t>3 (2)</w:t>
            </w:r>
          </w:p>
        </w:tc>
        <w:tc>
          <w:tcPr>
            <w:tcW w:w="1089" w:type="dxa"/>
            <w:tcBorders>
              <w:top w:val="nil"/>
              <w:bottom w:val="nil"/>
            </w:tcBorders>
          </w:tcPr>
          <w:p w:rsidR="004813FD" w:rsidRPr="007F271D" w:rsidRDefault="007F271D" w:rsidP="00E0145C">
            <w:pPr>
              <w:pStyle w:val="Tabletext0"/>
              <w:jc w:val="center"/>
              <w:cnfStyle w:val="000000000000" w:firstRow="0" w:lastRow="0" w:firstColumn="0" w:lastColumn="0" w:oddVBand="0" w:evenVBand="0" w:oddHBand="0" w:evenHBand="0" w:firstRowFirstColumn="0" w:firstRowLastColumn="0" w:lastRowFirstColumn="0" w:lastRowLastColumn="0"/>
              <w:rPr>
                <w:strike/>
                <w:highlight w:val="black"/>
              </w:rPr>
            </w:pPr>
            <w:r>
              <w:rPr>
                <w:strike/>
                <w:noProof/>
                <w:color w:val="000000"/>
                <w:highlight w:val="black"/>
              </w:rPr>
              <w:t>''''''''''''''''''''''''''''</w:t>
            </w:r>
          </w:p>
        </w:tc>
        <w:tc>
          <w:tcPr>
            <w:tcW w:w="1037" w:type="dxa"/>
            <w:tcBorders>
              <w:top w:val="nil"/>
              <w:bottom w:val="nil"/>
            </w:tcBorders>
          </w:tcPr>
          <w:p w:rsidR="004813FD" w:rsidRPr="007F271D" w:rsidRDefault="007F271D" w:rsidP="00E0145C">
            <w:pPr>
              <w:pStyle w:val="Tabletext0"/>
              <w:jc w:val="center"/>
              <w:cnfStyle w:val="000000000000" w:firstRow="0" w:lastRow="0" w:firstColumn="0" w:lastColumn="0" w:oddVBand="0" w:evenVBand="0" w:oddHBand="0" w:evenHBand="0" w:firstRowFirstColumn="0" w:firstRowLastColumn="0" w:lastRowFirstColumn="0" w:lastRowLastColumn="0"/>
              <w:rPr>
                <w:strike/>
                <w:highlight w:val="black"/>
              </w:rPr>
            </w:pPr>
            <w:r>
              <w:rPr>
                <w:strike/>
                <w:noProof/>
                <w:color w:val="000000"/>
                <w:highlight w:val="black"/>
              </w:rPr>
              <w:t>''''''''''''''''''''''''''</w:t>
            </w:r>
          </w:p>
        </w:tc>
        <w:tc>
          <w:tcPr>
            <w:tcW w:w="1581" w:type="dxa"/>
            <w:vMerge/>
          </w:tcPr>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pPr>
          </w:p>
        </w:tc>
      </w:tr>
      <w:tr w:rsidR="004813FD" w:rsidRPr="00F30E35" w:rsidTr="00E0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rsidR="004813FD" w:rsidRPr="0035613C" w:rsidRDefault="004813FD" w:rsidP="0035613C">
            <w:pPr>
              <w:pStyle w:val="Tabletext0"/>
              <w:rPr>
                <w:b w:val="0"/>
                <w:i/>
                <w:smallCaps/>
              </w:rPr>
            </w:pPr>
            <w:r w:rsidRPr="00F30E35">
              <w:rPr>
                <w:b w:val="0"/>
                <w:smallCaps/>
              </w:rPr>
              <w:t xml:space="preserve">Maintenance </w:t>
            </w:r>
            <w:r w:rsidR="0035613C">
              <w:rPr>
                <w:b w:val="0"/>
                <w:i/>
                <w:smallCaps/>
              </w:rPr>
              <w:t xml:space="preserve">- Initial </w:t>
            </w:r>
          </w:p>
        </w:tc>
        <w:tc>
          <w:tcPr>
            <w:tcW w:w="1276" w:type="dxa"/>
            <w:tcBorders>
              <w:top w:val="nil"/>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850" w:type="dxa"/>
            <w:tcBorders>
              <w:top w:val="nil"/>
              <w:bottom w:val="nil"/>
            </w:tcBorders>
          </w:tcPr>
          <w:p w:rsidR="004813FD" w:rsidRPr="0035613C"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rPr>
                <w:strike/>
              </w:rPr>
            </w:pPr>
          </w:p>
        </w:tc>
        <w:tc>
          <w:tcPr>
            <w:tcW w:w="851" w:type="dxa"/>
            <w:tcBorders>
              <w:top w:val="nil"/>
              <w:bottom w:val="nil"/>
            </w:tcBorders>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1089" w:type="dxa"/>
            <w:tcBorders>
              <w:top w:val="nil"/>
              <w:bottom w:val="nil"/>
            </w:tcBorders>
          </w:tcPr>
          <w:p w:rsidR="004813FD" w:rsidRPr="007F271D"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1037" w:type="dxa"/>
            <w:tcBorders>
              <w:top w:val="nil"/>
              <w:bottom w:val="nil"/>
            </w:tcBorders>
          </w:tcPr>
          <w:p w:rsidR="004813FD" w:rsidRPr="007F271D"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c>
          <w:tcPr>
            <w:tcW w:w="1581" w:type="dxa"/>
            <w:vMerge/>
          </w:tcPr>
          <w:p w:rsidR="004813FD" w:rsidRPr="00F30E35" w:rsidRDefault="004813FD" w:rsidP="00E0145C">
            <w:pPr>
              <w:pStyle w:val="Tabletext0"/>
              <w:jc w:val="center"/>
              <w:cnfStyle w:val="000000100000" w:firstRow="0" w:lastRow="0" w:firstColumn="0" w:lastColumn="0" w:oddVBand="0" w:evenVBand="0" w:oddHBand="1" w:evenHBand="0" w:firstRowFirstColumn="0" w:firstRowLastColumn="0" w:lastRowFirstColumn="0" w:lastRowLastColumn="0"/>
            </w:pPr>
          </w:p>
        </w:tc>
      </w:tr>
      <w:tr w:rsidR="004813FD" w:rsidRPr="00F30E35" w:rsidTr="0035613C">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rsidR="004813FD" w:rsidRPr="00F30E35" w:rsidRDefault="004813FD" w:rsidP="00E0145C">
            <w:pPr>
              <w:pStyle w:val="Tabletext0"/>
              <w:rPr>
                <w:b w:val="0"/>
              </w:rPr>
            </w:pPr>
            <w:r w:rsidRPr="00F30E35">
              <w:rPr>
                <w:b w:val="0"/>
              </w:rPr>
              <w:t>Midostaurin, capsules, 25</w:t>
            </w:r>
            <w:r w:rsidR="001528D8" w:rsidRPr="00F30E35">
              <w:rPr>
                <w:b w:val="0"/>
              </w:rPr>
              <w:t xml:space="preserve"> </w:t>
            </w:r>
            <w:r w:rsidRPr="00F30E35">
              <w:rPr>
                <w:b w:val="0"/>
              </w:rPr>
              <w:t>mg</w:t>
            </w:r>
          </w:p>
        </w:tc>
        <w:tc>
          <w:tcPr>
            <w:tcW w:w="1276" w:type="dxa"/>
            <w:tcBorders>
              <w:top w:val="nil"/>
              <w:bottom w:val="nil"/>
            </w:tcBorders>
          </w:tcPr>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pPr>
            <w:r w:rsidRPr="00F30E35">
              <w:t>112 capsules</w:t>
            </w:r>
          </w:p>
        </w:tc>
        <w:tc>
          <w:tcPr>
            <w:tcW w:w="850" w:type="dxa"/>
            <w:tcBorders>
              <w:top w:val="nil"/>
              <w:bottom w:val="nil"/>
            </w:tcBorders>
          </w:tcPr>
          <w:p w:rsidR="004813FD" w:rsidRPr="0035613C"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35613C">
              <w:rPr>
                <w:strike/>
              </w:rPr>
              <w:t>1</w:t>
            </w:r>
          </w:p>
        </w:tc>
        <w:tc>
          <w:tcPr>
            <w:tcW w:w="851" w:type="dxa"/>
            <w:tcBorders>
              <w:top w:val="nil"/>
              <w:bottom w:val="nil"/>
            </w:tcBorders>
          </w:tcPr>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pPr>
            <w:r w:rsidRPr="0035613C">
              <w:rPr>
                <w:strike/>
              </w:rPr>
              <w:t>3 (</w:t>
            </w:r>
            <w:r w:rsidRPr="0035613C">
              <w:rPr>
                <w:i/>
              </w:rPr>
              <w:t>2</w:t>
            </w:r>
            <w:r w:rsidRPr="0035613C">
              <w:rPr>
                <w:strike/>
              </w:rPr>
              <w:t>)</w:t>
            </w:r>
          </w:p>
        </w:tc>
        <w:tc>
          <w:tcPr>
            <w:tcW w:w="1089" w:type="dxa"/>
            <w:tcBorders>
              <w:top w:val="nil"/>
              <w:bottom w:val="nil"/>
            </w:tcBorders>
          </w:tcPr>
          <w:p w:rsidR="004813FD" w:rsidRPr="007F271D" w:rsidRDefault="007F271D" w:rsidP="001E1E47">
            <w:pPr>
              <w:pStyle w:val="Tabletext0"/>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037" w:type="dxa"/>
            <w:tcBorders>
              <w:top w:val="nil"/>
              <w:bottom w:val="nil"/>
            </w:tcBorders>
          </w:tcPr>
          <w:p w:rsidR="004813FD" w:rsidRPr="007F271D" w:rsidRDefault="007F271D" w:rsidP="00DF4C9E">
            <w:pPr>
              <w:pStyle w:val="Tabletext0"/>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581" w:type="dxa"/>
            <w:vMerge/>
            <w:tcBorders>
              <w:bottom w:val="nil"/>
            </w:tcBorders>
          </w:tcPr>
          <w:p w:rsidR="004813FD" w:rsidRPr="00F30E35" w:rsidRDefault="004813FD" w:rsidP="00E0145C">
            <w:pPr>
              <w:pStyle w:val="Tabletext0"/>
              <w:jc w:val="center"/>
              <w:cnfStyle w:val="000000000000" w:firstRow="0" w:lastRow="0" w:firstColumn="0" w:lastColumn="0" w:oddVBand="0" w:evenVBand="0" w:oddHBand="0" w:evenHBand="0" w:firstRowFirstColumn="0" w:firstRowLastColumn="0" w:lastRowFirstColumn="0" w:lastRowLastColumn="0"/>
            </w:pPr>
          </w:p>
        </w:tc>
      </w:tr>
      <w:tr w:rsidR="0035613C" w:rsidRPr="00F30E35" w:rsidTr="00356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rsidR="0035613C" w:rsidRPr="0035613C" w:rsidRDefault="0035613C" w:rsidP="0035613C">
            <w:pPr>
              <w:pStyle w:val="Tabletext0"/>
              <w:rPr>
                <w:b w:val="0"/>
                <w:i/>
              </w:rPr>
            </w:pPr>
            <w:r w:rsidRPr="0035613C">
              <w:rPr>
                <w:b w:val="0"/>
                <w:i/>
                <w:smallCaps/>
              </w:rPr>
              <w:t xml:space="preserve">Maintenance </w:t>
            </w:r>
            <w:r>
              <w:rPr>
                <w:b w:val="0"/>
                <w:i/>
                <w:smallCaps/>
              </w:rPr>
              <w:t>- Continuing</w:t>
            </w:r>
          </w:p>
        </w:tc>
        <w:tc>
          <w:tcPr>
            <w:tcW w:w="1276" w:type="dxa"/>
            <w:tcBorders>
              <w:top w:val="nil"/>
              <w:bottom w:val="nil"/>
            </w:tcBorders>
          </w:tcPr>
          <w:p w:rsidR="0035613C" w:rsidRPr="0035613C" w:rsidRDefault="0035613C" w:rsidP="00E0145C">
            <w:pPr>
              <w:pStyle w:val="Tabletext0"/>
              <w:jc w:val="center"/>
              <w:cnfStyle w:val="000000100000" w:firstRow="0" w:lastRow="0" w:firstColumn="0" w:lastColumn="0" w:oddVBand="0" w:evenVBand="0" w:oddHBand="1" w:evenHBand="0" w:firstRowFirstColumn="0" w:firstRowLastColumn="0" w:lastRowFirstColumn="0" w:lastRowLastColumn="0"/>
              <w:rPr>
                <w:i/>
              </w:rPr>
            </w:pPr>
          </w:p>
        </w:tc>
        <w:tc>
          <w:tcPr>
            <w:tcW w:w="850" w:type="dxa"/>
            <w:tcBorders>
              <w:top w:val="nil"/>
              <w:bottom w:val="nil"/>
            </w:tcBorders>
          </w:tcPr>
          <w:p w:rsidR="0035613C" w:rsidRPr="0035613C" w:rsidRDefault="0035613C" w:rsidP="00E0145C">
            <w:pPr>
              <w:pStyle w:val="Tabletext0"/>
              <w:jc w:val="center"/>
              <w:cnfStyle w:val="000000100000" w:firstRow="0" w:lastRow="0" w:firstColumn="0" w:lastColumn="0" w:oddVBand="0" w:evenVBand="0" w:oddHBand="1" w:evenHBand="0" w:firstRowFirstColumn="0" w:firstRowLastColumn="0" w:lastRowFirstColumn="0" w:lastRowLastColumn="0"/>
              <w:rPr>
                <w:i/>
                <w:strike/>
              </w:rPr>
            </w:pPr>
          </w:p>
        </w:tc>
        <w:tc>
          <w:tcPr>
            <w:tcW w:w="851" w:type="dxa"/>
            <w:tcBorders>
              <w:top w:val="nil"/>
              <w:bottom w:val="nil"/>
            </w:tcBorders>
          </w:tcPr>
          <w:p w:rsidR="0035613C" w:rsidRPr="0035613C" w:rsidRDefault="0035613C" w:rsidP="00E0145C">
            <w:pPr>
              <w:pStyle w:val="Tabletext0"/>
              <w:jc w:val="center"/>
              <w:cnfStyle w:val="000000100000" w:firstRow="0" w:lastRow="0" w:firstColumn="0" w:lastColumn="0" w:oddVBand="0" w:evenVBand="0" w:oddHBand="1" w:evenHBand="0" w:firstRowFirstColumn="0" w:firstRowLastColumn="0" w:lastRowFirstColumn="0" w:lastRowLastColumn="0"/>
              <w:rPr>
                <w:i/>
              </w:rPr>
            </w:pPr>
          </w:p>
        </w:tc>
        <w:tc>
          <w:tcPr>
            <w:tcW w:w="1089" w:type="dxa"/>
            <w:tcBorders>
              <w:top w:val="nil"/>
              <w:bottom w:val="nil"/>
            </w:tcBorders>
          </w:tcPr>
          <w:p w:rsidR="0035613C" w:rsidRPr="007F271D" w:rsidRDefault="0035613C" w:rsidP="001E1E47">
            <w:pPr>
              <w:pStyle w:val="Tabletext0"/>
              <w:jc w:val="center"/>
              <w:cnfStyle w:val="000000100000" w:firstRow="0" w:lastRow="0" w:firstColumn="0" w:lastColumn="0" w:oddVBand="0" w:evenVBand="0" w:oddHBand="1" w:evenHBand="0" w:firstRowFirstColumn="0" w:firstRowLastColumn="0" w:lastRowFirstColumn="0" w:lastRowLastColumn="0"/>
              <w:rPr>
                <w:i/>
              </w:rPr>
            </w:pPr>
          </w:p>
        </w:tc>
        <w:tc>
          <w:tcPr>
            <w:tcW w:w="1037" w:type="dxa"/>
            <w:tcBorders>
              <w:top w:val="nil"/>
              <w:bottom w:val="nil"/>
            </w:tcBorders>
          </w:tcPr>
          <w:p w:rsidR="0035613C" w:rsidRPr="007F271D" w:rsidRDefault="0035613C" w:rsidP="00DF4C9E">
            <w:pPr>
              <w:pStyle w:val="Tabletext0"/>
              <w:jc w:val="center"/>
              <w:cnfStyle w:val="000000100000" w:firstRow="0" w:lastRow="0" w:firstColumn="0" w:lastColumn="0" w:oddVBand="0" w:evenVBand="0" w:oddHBand="1" w:evenHBand="0" w:firstRowFirstColumn="0" w:firstRowLastColumn="0" w:lastRowFirstColumn="0" w:lastRowLastColumn="0"/>
              <w:rPr>
                <w:i/>
              </w:rPr>
            </w:pPr>
          </w:p>
        </w:tc>
        <w:tc>
          <w:tcPr>
            <w:tcW w:w="1581" w:type="dxa"/>
            <w:tcBorders>
              <w:top w:val="nil"/>
              <w:bottom w:val="nil"/>
            </w:tcBorders>
          </w:tcPr>
          <w:p w:rsidR="0035613C" w:rsidRPr="0035613C" w:rsidRDefault="0035613C" w:rsidP="00E0145C">
            <w:pPr>
              <w:pStyle w:val="Tabletext0"/>
              <w:jc w:val="center"/>
              <w:cnfStyle w:val="000000100000" w:firstRow="0" w:lastRow="0" w:firstColumn="0" w:lastColumn="0" w:oddVBand="0" w:evenVBand="0" w:oddHBand="1" w:evenHBand="0" w:firstRowFirstColumn="0" w:firstRowLastColumn="0" w:lastRowFirstColumn="0" w:lastRowLastColumn="0"/>
              <w:rPr>
                <w:i/>
              </w:rPr>
            </w:pPr>
          </w:p>
        </w:tc>
      </w:tr>
      <w:tr w:rsidR="0035613C" w:rsidRPr="00F30E35" w:rsidTr="0035613C">
        <w:tc>
          <w:tcPr>
            <w:cnfStyle w:val="001000000000" w:firstRow="0" w:lastRow="0" w:firstColumn="1" w:lastColumn="0" w:oddVBand="0" w:evenVBand="0" w:oddHBand="0" w:evenHBand="0" w:firstRowFirstColumn="0" w:firstRowLastColumn="0" w:lastRowFirstColumn="0" w:lastRowLastColumn="0"/>
            <w:tcW w:w="2552" w:type="dxa"/>
            <w:tcBorders>
              <w:top w:val="nil"/>
            </w:tcBorders>
          </w:tcPr>
          <w:p w:rsidR="0035613C" w:rsidRPr="0035613C" w:rsidRDefault="0035613C" w:rsidP="00E0145C">
            <w:pPr>
              <w:pStyle w:val="Tabletext0"/>
              <w:rPr>
                <w:b w:val="0"/>
                <w:i/>
              </w:rPr>
            </w:pPr>
            <w:r w:rsidRPr="0035613C">
              <w:rPr>
                <w:b w:val="0"/>
                <w:i/>
              </w:rPr>
              <w:t>Midostaurin, capsules, 25 mg</w:t>
            </w:r>
          </w:p>
        </w:tc>
        <w:tc>
          <w:tcPr>
            <w:tcW w:w="1276" w:type="dxa"/>
            <w:tcBorders>
              <w:top w:val="nil"/>
            </w:tcBorders>
          </w:tcPr>
          <w:p w:rsidR="0035613C" w:rsidRPr="0035613C" w:rsidRDefault="0035613C" w:rsidP="00E0145C">
            <w:pPr>
              <w:pStyle w:val="Tabletext0"/>
              <w:jc w:val="center"/>
              <w:cnfStyle w:val="000000000000" w:firstRow="0" w:lastRow="0" w:firstColumn="0" w:lastColumn="0" w:oddVBand="0" w:evenVBand="0" w:oddHBand="0" w:evenHBand="0" w:firstRowFirstColumn="0" w:firstRowLastColumn="0" w:lastRowFirstColumn="0" w:lastRowLastColumn="0"/>
              <w:rPr>
                <w:i/>
              </w:rPr>
            </w:pPr>
            <w:r w:rsidRPr="0035613C">
              <w:rPr>
                <w:i/>
              </w:rPr>
              <w:t>112 capsules</w:t>
            </w:r>
          </w:p>
        </w:tc>
        <w:tc>
          <w:tcPr>
            <w:tcW w:w="850" w:type="dxa"/>
            <w:tcBorders>
              <w:top w:val="nil"/>
            </w:tcBorders>
          </w:tcPr>
          <w:p w:rsidR="0035613C" w:rsidRPr="0035613C" w:rsidRDefault="0035613C" w:rsidP="00E0145C">
            <w:pPr>
              <w:pStyle w:val="Tabletext0"/>
              <w:jc w:val="center"/>
              <w:cnfStyle w:val="000000000000" w:firstRow="0" w:lastRow="0" w:firstColumn="0" w:lastColumn="0" w:oddVBand="0" w:evenVBand="0" w:oddHBand="0" w:evenHBand="0" w:firstRowFirstColumn="0" w:firstRowLastColumn="0" w:lastRowFirstColumn="0" w:lastRowLastColumn="0"/>
              <w:rPr>
                <w:i/>
                <w:strike/>
              </w:rPr>
            </w:pPr>
            <w:r w:rsidRPr="0035613C">
              <w:rPr>
                <w:i/>
                <w:strike/>
              </w:rPr>
              <w:t>1</w:t>
            </w:r>
          </w:p>
        </w:tc>
        <w:tc>
          <w:tcPr>
            <w:tcW w:w="851" w:type="dxa"/>
            <w:tcBorders>
              <w:top w:val="nil"/>
            </w:tcBorders>
          </w:tcPr>
          <w:p w:rsidR="0035613C" w:rsidRPr="0035613C" w:rsidRDefault="0035613C" w:rsidP="0035613C">
            <w:pPr>
              <w:pStyle w:val="Tabletext0"/>
              <w:jc w:val="center"/>
              <w:cnfStyle w:val="000000000000" w:firstRow="0" w:lastRow="0" w:firstColumn="0" w:lastColumn="0" w:oddVBand="0" w:evenVBand="0" w:oddHBand="0" w:evenHBand="0" w:firstRowFirstColumn="0" w:firstRowLastColumn="0" w:lastRowFirstColumn="0" w:lastRowLastColumn="0"/>
              <w:rPr>
                <w:i/>
              </w:rPr>
            </w:pPr>
            <w:r w:rsidRPr="0035613C">
              <w:rPr>
                <w:i/>
                <w:strike/>
              </w:rPr>
              <w:t>3 (</w:t>
            </w:r>
            <w:r>
              <w:rPr>
                <w:i/>
              </w:rPr>
              <w:t>8</w:t>
            </w:r>
            <w:r w:rsidRPr="0035613C">
              <w:rPr>
                <w:i/>
                <w:strike/>
              </w:rPr>
              <w:t>)</w:t>
            </w:r>
          </w:p>
        </w:tc>
        <w:tc>
          <w:tcPr>
            <w:tcW w:w="1089" w:type="dxa"/>
            <w:tcBorders>
              <w:top w:val="nil"/>
            </w:tcBorders>
          </w:tcPr>
          <w:p w:rsidR="0035613C" w:rsidRPr="007F271D" w:rsidRDefault="007F271D" w:rsidP="001E1E47">
            <w:pPr>
              <w:pStyle w:val="Tabletext0"/>
              <w:jc w:val="center"/>
              <w:cnfStyle w:val="000000000000" w:firstRow="0" w:lastRow="0" w:firstColumn="0" w:lastColumn="0" w:oddVBand="0" w:evenVBand="0" w:oddHBand="0" w:evenHBand="0" w:firstRowFirstColumn="0" w:firstRowLastColumn="0" w:lastRowFirstColumn="0" w:lastRowLastColumn="0"/>
              <w:rPr>
                <w:i/>
                <w:highlight w:val="black"/>
              </w:rPr>
            </w:pPr>
            <w:r>
              <w:rPr>
                <w:i/>
                <w:noProof/>
                <w:color w:val="000000"/>
                <w:highlight w:val="black"/>
              </w:rPr>
              <w:t>''''''''''''''''''''''''''</w:t>
            </w:r>
          </w:p>
        </w:tc>
        <w:tc>
          <w:tcPr>
            <w:tcW w:w="1037" w:type="dxa"/>
            <w:tcBorders>
              <w:top w:val="nil"/>
            </w:tcBorders>
          </w:tcPr>
          <w:p w:rsidR="0035613C" w:rsidRPr="007F271D" w:rsidRDefault="007F271D" w:rsidP="00DF4C9E">
            <w:pPr>
              <w:pStyle w:val="Tabletext0"/>
              <w:jc w:val="center"/>
              <w:cnfStyle w:val="000000000000" w:firstRow="0" w:lastRow="0" w:firstColumn="0" w:lastColumn="0" w:oddVBand="0" w:evenVBand="0" w:oddHBand="0" w:evenHBand="0" w:firstRowFirstColumn="0" w:firstRowLastColumn="0" w:lastRowFirstColumn="0" w:lastRowLastColumn="0"/>
              <w:rPr>
                <w:i/>
                <w:highlight w:val="black"/>
              </w:rPr>
            </w:pPr>
            <w:r>
              <w:rPr>
                <w:i/>
                <w:noProof/>
                <w:color w:val="000000"/>
                <w:highlight w:val="black"/>
              </w:rPr>
              <w:t>'''''''''''''''''''''''''</w:t>
            </w:r>
          </w:p>
        </w:tc>
        <w:tc>
          <w:tcPr>
            <w:tcW w:w="1581" w:type="dxa"/>
            <w:tcBorders>
              <w:top w:val="nil"/>
            </w:tcBorders>
          </w:tcPr>
          <w:p w:rsidR="0035613C" w:rsidRPr="0035613C" w:rsidRDefault="0035613C" w:rsidP="00E0145C">
            <w:pPr>
              <w:pStyle w:val="Tabletext0"/>
              <w:jc w:val="center"/>
              <w:cnfStyle w:val="000000000000" w:firstRow="0" w:lastRow="0" w:firstColumn="0" w:lastColumn="0" w:oddVBand="0" w:evenVBand="0" w:oddHBand="0" w:evenHBand="0" w:firstRowFirstColumn="0" w:firstRowLastColumn="0" w:lastRowFirstColumn="0" w:lastRowLastColumn="0"/>
              <w:rPr>
                <w:i/>
              </w:rPr>
            </w:pPr>
          </w:p>
        </w:tc>
      </w:tr>
    </w:tbl>
    <w:tbl>
      <w:tblPr>
        <w:tblW w:w="5000" w:type="pct"/>
        <w:tblInd w:w="23" w:type="dxa"/>
        <w:tblLook w:val="0000" w:firstRow="0" w:lastRow="0" w:firstColumn="0" w:lastColumn="0" w:noHBand="0" w:noVBand="0"/>
        <w:tblCaption w:val="Requested listing"/>
      </w:tblPr>
      <w:tblGrid>
        <w:gridCol w:w="2022"/>
        <w:gridCol w:w="7220"/>
      </w:tblGrid>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Category / Program:</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Section 100 – Public and Private hospitals</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rPr>
                <w:rFonts w:ascii="Times" w:eastAsia="Times New Roman" w:hAnsi="Times" w:cs="Times New Roman"/>
                <w:szCs w:val="20"/>
                <w:lang w:val="en-US"/>
              </w:rPr>
            </w:pPr>
            <w:r w:rsidRPr="00F30E35">
              <w:t>PBS Indication:</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rPr>
                <w:rStyle w:val="TableBold"/>
                <w:b w:val="0"/>
                <w:szCs w:val="20"/>
              </w:rPr>
              <w:t>Acute myeloid leukaemia (AML)</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Treatment phase:</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i/>
              </w:rPr>
            </w:pPr>
            <w:r w:rsidRPr="00F30E35">
              <w:t xml:space="preserve">Induction </w:t>
            </w:r>
            <w:r w:rsidR="0035613C">
              <w:rPr>
                <w:i/>
              </w:rPr>
              <w:t>/ Consolidation</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Restriction:</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i/>
              </w:rPr>
            </w:pPr>
            <w:r w:rsidRPr="00F30E35">
              <w:t xml:space="preserve">Authority required – </w:t>
            </w:r>
            <w:r w:rsidRPr="0035613C">
              <w:rPr>
                <w:strike/>
              </w:rPr>
              <w:t>In Writing</w:t>
            </w:r>
            <w:r w:rsidR="0035613C" w:rsidRPr="0035613C">
              <w:rPr>
                <w:i/>
              </w:rPr>
              <w:t>Telephone</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rPr>
                <w:rFonts w:ascii="Times" w:eastAsia="Times New Roman" w:hAnsi="Times" w:cs="Times New Roman"/>
                <w:szCs w:val="20"/>
                <w:lang w:val="en-US"/>
              </w:rPr>
            </w:pPr>
            <w:r w:rsidRPr="00F30E35">
              <w:t>Clinical criteria:</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Patient must have a diagnosis of acute myeloid leukaemia;</w:t>
            </w:r>
          </w:p>
          <w:p w:rsidR="00964C1F" w:rsidRPr="00F30E35" w:rsidRDefault="00964C1F" w:rsidP="00964C1F">
            <w:pPr>
              <w:pStyle w:val="TableText"/>
              <w:spacing w:before="0" w:after="0"/>
            </w:pPr>
            <w:r w:rsidRPr="00F30E35">
              <w:t>AND</w:t>
            </w:r>
          </w:p>
          <w:p w:rsidR="00964C1F" w:rsidRPr="00F30E35" w:rsidRDefault="00964C1F" w:rsidP="00964C1F">
            <w:pPr>
              <w:pStyle w:val="TableText"/>
              <w:spacing w:before="0" w:after="0"/>
            </w:pPr>
            <w:r w:rsidRPr="00F30E35">
              <w:t>Patient must not have received a prior line of intensive chemotherapy for acute myeloid leukaemia;</w:t>
            </w:r>
          </w:p>
          <w:p w:rsidR="00964C1F" w:rsidRPr="00F30E35" w:rsidRDefault="00964C1F" w:rsidP="00964C1F">
            <w:pPr>
              <w:pStyle w:val="TableText"/>
              <w:spacing w:before="0" w:after="0"/>
            </w:pPr>
            <w:r w:rsidRPr="00F30E35">
              <w:t>AND</w:t>
            </w:r>
          </w:p>
          <w:p w:rsidR="00964C1F" w:rsidRPr="00F30E35" w:rsidRDefault="00964C1F" w:rsidP="00964C1F">
            <w:pPr>
              <w:pStyle w:val="TableText"/>
              <w:spacing w:before="0" w:after="0"/>
            </w:pPr>
            <w:r w:rsidRPr="00F30E35">
              <w:t>Condition must be FMS tyrosine kinase 3 (FLT3) mutation positive at diagnosis;</w:t>
            </w:r>
          </w:p>
          <w:p w:rsidR="00964C1F" w:rsidRPr="00F30E35" w:rsidRDefault="00964C1F" w:rsidP="00964C1F">
            <w:pPr>
              <w:pStyle w:val="TableText"/>
              <w:spacing w:before="0" w:after="0"/>
            </w:pPr>
            <w:r w:rsidRPr="00F30E35">
              <w:t>AND</w:t>
            </w:r>
          </w:p>
          <w:p w:rsidR="00964C1F" w:rsidRPr="00F30E35" w:rsidRDefault="00964C1F" w:rsidP="00964C1F">
            <w:pPr>
              <w:pStyle w:val="TableText"/>
              <w:spacing w:before="0" w:after="0"/>
            </w:pPr>
            <w:r w:rsidRPr="00F30E35">
              <w:t>Patient must be considered eligible for standard intensive remission induction chemotherapy;</w:t>
            </w:r>
          </w:p>
          <w:p w:rsidR="00964C1F" w:rsidRPr="0035613C" w:rsidRDefault="00964C1F" w:rsidP="00964C1F">
            <w:pPr>
              <w:pStyle w:val="TableText"/>
              <w:spacing w:before="0" w:after="0"/>
              <w:rPr>
                <w:strike/>
              </w:rPr>
            </w:pPr>
            <w:r w:rsidRPr="0035613C">
              <w:rPr>
                <w:strike/>
              </w:rPr>
              <w:t>AND</w:t>
            </w:r>
          </w:p>
          <w:p w:rsidR="00964C1F" w:rsidRPr="00F30E35" w:rsidRDefault="00964C1F" w:rsidP="00964C1F">
            <w:pPr>
              <w:pStyle w:val="TableText"/>
              <w:spacing w:before="0" w:after="0"/>
            </w:pPr>
            <w:r w:rsidRPr="0035613C">
              <w:rPr>
                <w:strike/>
              </w:rPr>
              <w:t>Patient must be aged ≤59 years</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rPr>
                <w:rFonts w:ascii="Times" w:eastAsia="Times New Roman" w:hAnsi="Times" w:cs="Times New Roman"/>
                <w:szCs w:val="20"/>
                <w:lang w:val="en-US"/>
              </w:rPr>
            </w:pPr>
            <w:r w:rsidRPr="00F30E35">
              <w:t>Prescriber Instructions</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Bullets"/>
              <w:ind w:left="170" w:hanging="170"/>
              <w:rPr>
                <w:rStyle w:val="TableBold"/>
                <w:b w:val="0"/>
                <w:i/>
                <w:szCs w:val="20"/>
              </w:rPr>
            </w:pPr>
            <w:r w:rsidRPr="0035613C">
              <w:rPr>
                <w:rStyle w:val="TableBold"/>
                <w:b w:val="0"/>
                <w:szCs w:val="20"/>
              </w:rPr>
              <w:t xml:space="preserve">Up to </w:t>
            </w:r>
            <w:r w:rsidRPr="0035613C">
              <w:rPr>
                <w:rStyle w:val="TableBold"/>
                <w:b w:val="0"/>
                <w:strike/>
                <w:szCs w:val="20"/>
              </w:rPr>
              <w:t>2</w:t>
            </w:r>
            <w:r w:rsidRPr="0035613C">
              <w:rPr>
                <w:rStyle w:val="TableBold"/>
                <w:b w:val="0"/>
                <w:szCs w:val="20"/>
              </w:rPr>
              <w:t xml:space="preserve"> </w:t>
            </w:r>
            <w:r w:rsidR="0035613C" w:rsidRPr="0035613C">
              <w:rPr>
                <w:rStyle w:val="TableBold"/>
                <w:b w:val="0"/>
                <w:i/>
                <w:szCs w:val="20"/>
              </w:rPr>
              <w:t>3</w:t>
            </w:r>
            <w:r w:rsidR="0035613C" w:rsidRPr="0035613C">
              <w:rPr>
                <w:rStyle w:val="TableBold"/>
                <w:b w:val="0"/>
                <w:szCs w:val="20"/>
              </w:rPr>
              <w:t xml:space="preserve"> </w:t>
            </w:r>
            <w:r w:rsidRPr="0035613C">
              <w:rPr>
                <w:rStyle w:val="TableBold"/>
                <w:b w:val="0"/>
                <w:szCs w:val="20"/>
              </w:rPr>
              <w:t>cycles will be authorised</w:t>
            </w:r>
            <w:r w:rsidR="0035613C">
              <w:t xml:space="preserve"> </w:t>
            </w:r>
            <w:r w:rsidR="0035613C" w:rsidRPr="0035613C">
              <w:rPr>
                <w:rStyle w:val="TableBold"/>
                <w:b w:val="0"/>
                <w:i/>
                <w:szCs w:val="20"/>
              </w:rPr>
              <w:t>initially, with a maximum of six in total possible under this phase</w:t>
            </w:r>
            <w:r w:rsidRPr="0035613C">
              <w:rPr>
                <w:rStyle w:val="TableBold"/>
                <w:b w:val="0"/>
                <w:i/>
                <w:szCs w:val="20"/>
              </w:rPr>
              <w:t>.</w:t>
            </w:r>
          </w:p>
          <w:p w:rsidR="00964C1F" w:rsidRPr="00F30E35" w:rsidRDefault="00964C1F" w:rsidP="00964C1F">
            <w:pPr>
              <w:pStyle w:val="TableBullets"/>
              <w:ind w:left="170" w:hanging="170"/>
              <w:rPr>
                <w:rStyle w:val="TableBold"/>
                <w:b w:val="0"/>
                <w:szCs w:val="20"/>
              </w:rPr>
            </w:pPr>
            <w:r w:rsidRPr="00F30E35">
              <w:rPr>
                <w:rStyle w:val="TableBold"/>
                <w:b w:val="0"/>
                <w:szCs w:val="20"/>
              </w:rPr>
              <w:t>Patients with acute promyelocytic leukaemia are not eligible for treatment.</w:t>
            </w:r>
          </w:p>
          <w:p w:rsidR="00964C1F" w:rsidRPr="00F30E35" w:rsidRDefault="00964C1F" w:rsidP="00964C1F">
            <w:pPr>
              <w:pStyle w:val="TableBullets"/>
              <w:ind w:left="170" w:hanging="170"/>
              <w:rPr>
                <w:rStyle w:val="TableBold"/>
                <w:b w:val="0"/>
                <w:szCs w:val="20"/>
              </w:rPr>
            </w:pPr>
            <w:r w:rsidRPr="00F30E35">
              <w:rPr>
                <w:rStyle w:val="TableBold"/>
                <w:b w:val="0"/>
                <w:szCs w:val="20"/>
              </w:rPr>
              <w:t>Evidence of a FLT3 ITD or TKD mutation must be supplied</w:t>
            </w:r>
            <w:r w:rsidR="0035613C">
              <w:rPr>
                <w:rStyle w:val="TableBold"/>
                <w:b w:val="0"/>
                <w:i/>
                <w:szCs w:val="20"/>
              </w:rPr>
              <w:t>, including the date of the test and the result</w:t>
            </w:r>
            <w:r w:rsidRPr="00F30E35">
              <w:rPr>
                <w:rStyle w:val="TableBold"/>
                <w:b w:val="0"/>
                <w:szCs w:val="20"/>
              </w:rPr>
              <w:t>.</w:t>
            </w:r>
          </w:p>
          <w:p w:rsidR="00964C1F" w:rsidRPr="00F30E35" w:rsidRDefault="00964C1F" w:rsidP="00964C1F">
            <w:pPr>
              <w:pStyle w:val="TableBullets"/>
              <w:ind w:left="170" w:hanging="170"/>
              <w:rPr>
                <w:rStyle w:val="TableBold"/>
                <w:b w:val="0"/>
                <w:szCs w:val="20"/>
              </w:rPr>
            </w:pPr>
            <w:r w:rsidRPr="00F30E35">
              <w:rPr>
                <w:rStyle w:val="TableBold"/>
                <w:b w:val="0"/>
                <w:szCs w:val="20"/>
              </w:rPr>
              <w:t xml:space="preserve">Patients will still be considered eligible despite receiving prior, but essential treatment as follows: </w:t>
            </w:r>
          </w:p>
          <w:p w:rsidR="00964C1F" w:rsidRPr="00F30E35" w:rsidRDefault="00964C1F" w:rsidP="005B77E9">
            <w:pPr>
              <w:pStyle w:val="TableBullets"/>
              <w:numPr>
                <w:ilvl w:val="1"/>
                <w:numId w:val="9"/>
              </w:numPr>
              <w:ind w:left="1440"/>
              <w:rPr>
                <w:szCs w:val="20"/>
              </w:rPr>
            </w:pPr>
            <w:r w:rsidRPr="00F30E35">
              <w:rPr>
                <w:szCs w:val="20"/>
              </w:rPr>
              <w:t xml:space="preserve">emergency leukapheresis for hyperleukocytosis; </w:t>
            </w:r>
          </w:p>
          <w:p w:rsidR="00964C1F" w:rsidRPr="00F30E35" w:rsidRDefault="00964C1F" w:rsidP="005B77E9">
            <w:pPr>
              <w:pStyle w:val="TableBullets"/>
              <w:numPr>
                <w:ilvl w:val="1"/>
                <w:numId w:val="9"/>
              </w:numPr>
              <w:ind w:left="1440"/>
              <w:rPr>
                <w:szCs w:val="20"/>
              </w:rPr>
            </w:pPr>
            <w:r w:rsidRPr="00F30E35">
              <w:rPr>
                <w:szCs w:val="20"/>
              </w:rPr>
              <w:t xml:space="preserve">cranial radiation for central nervous system leukostasis; </w:t>
            </w:r>
          </w:p>
          <w:p w:rsidR="00964C1F" w:rsidRPr="00F30E35" w:rsidRDefault="00964C1F" w:rsidP="005B77E9">
            <w:pPr>
              <w:pStyle w:val="TableBullets"/>
              <w:numPr>
                <w:ilvl w:val="1"/>
                <w:numId w:val="9"/>
              </w:numPr>
              <w:ind w:left="1440"/>
              <w:rPr>
                <w:szCs w:val="20"/>
              </w:rPr>
            </w:pPr>
            <w:r w:rsidRPr="00F30E35">
              <w:rPr>
                <w:szCs w:val="20"/>
              </w:rPr>
              <w:t>growth factor/cytokine support; or</w:t>
            </w:r>
          </w:p>
          <w:p w:rsidR="00964C1F" w:rsidRPr="00F30E35" w:rsidRDefault="00964C1F" w:rsidP="005B77E9">
            <w:pPr>
              <w:pStyle w:val="TableBullets"/>
              <w:numPr>
                <w:ilvl w:val="1"/>
                <w:numId w:val="9"/>
              </w:numPr>
              <w:ind w:left="1440"/>
              <w:rPr>
                <w:szCs w:val="20"/>
              </w:rPr>
            </w:pPr>
            <w:r w:rsidRPr="00F30E35">
              <w:rPr>
                <w:szCs w:val="20"/>
              </w:rPr>
              <w:t>hydroxyurea for hyperleukocytosis.</w:t>
            </w:r>
          </w:p>
          <w:p w:rsidR="00964C1F" w:rsidRPr="00F30E35" w:rsidRDefault="00964C1F" w:rsidP="00964C1F">
            <w:pPr>
              <w:pStyle w:val="TableBullets"/>
              <w:ind w:left="170" w:hanging="170"/>
            </w:pPr>
            <w:r w:rsidRPr="00F30E35">
              <w:rPr>
                <w:rStyle w:val="TableBold"/>
                <w:b w:val="0"/>
                <w:szCs w:val="20"/>
              </w:rPr>
              <w:t>Standard intensive remission induction combination chemotherapy must include cytarabine and an anthracycline; or cytarabine and fludarabine for patients unable to tolerate an anthracycline.</w:t>
            </w:r>
          </w:p>
        </w:tc>
      </w:tr>
    </w:tbl>
    <w:p w:rsidR="00964C1F" w:rsidRPr="00F30E35" w:rsidRDefault="00964C1F" w:rsidP="00964C1F">
      <w:pPr>
        <w:pStyle w:val="ListParagraph"/>
        <w:spacing w:before="0" w:after="0"/>
        <w:jc w:val="both"/>
      </w:pPr>
    </w:p>
    <w:tbl>
      <w:tblPr>
        <w:tblW w:w="5000" w:type="pct"/>
        <w:tblInd w:w="23" w:type="dxa"/>
        <w:tblLook w:val="0000" w:firstRow="0" w:lastRow="0" w:firstColumn="0" w:lastColumn="0" w:noHBand="0" w:noVBand="0"/>
      </w:tblPr>
      <w:tblGrid>
        <w:gridCol w:w="2022"/>
        <w:gridCol w:w="7220"/>
      </w:tblGrid>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lastRenderedPageBreak/>
              <w:t>Category / Program:</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t>Section 100 – Public and Private hospitals</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rFonts w:ascii="Times" w:eastAsia="Times New Roman" w:hAnsi="Times" w:cs="Times New Roman"/>
                <w:strike/>
                <w:szCs w:val="20"/>
                <w:lang w:val="en-US"/>
              </w:rPr>
            </w:pPr>
            <w:r w:rsidRPr="0035613C">
              <w:rPr>
                <w:strike/>
              </w:rPr>
              <w:t>PBS Indication:</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rStyle w:val="TableBold"/>
                <w:b w:val="0"/>
                <w:strike/>
                <w:szCs w:val="20"/>
              </w:rPr>
              <w:t>Acute myeloid leukaemia (AML)</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t>Treatment phase:</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t>Consolidation</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t>Restriction:</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t>Authority required – In Writing</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rFonts w:ascii="Times" w:eastAsia="Times New Roman" w:hAnsi="Times" w:cs="Times New Roman"/>
                <w:strike/>
                <w:szCs w:val="20"/>
                <w:lang w:val="en-US"/>
              </w:rPr>
            </w:pPr>
            <w:r w:rsidRPr="0035613C">
              <w:rPr>
                <w:strike/>
              </w:rPr>
              <w:t>Clinical criteria:</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strike/>
              </w:rPr>
            </w:pPr>
            <w:r w:rsidRPr="0035613C">
              <w:rPr>
                <w:strike/>
              </w:rPr>
              <w:t>Patient must have a diagnosis of acute myeloid leukaemia;</w:t>
            </w:r>
          </w:p>
          <w:p w:rsidR="00964C1F" w:rsidRPr="0035613C" w:rsidRDefault="00964C1F" w:rsidP="00964C1F">
            <w:pPr>
              <w:pStyle w:val="TableText"/>
              <w:spacing w:before="0" w:after="0"/>
              <w:rPr>
                <w:strike/>
              </w:rPr>
            </w:pPr>
            <w:r w:rsidRPr="0035613C">
              <w:rPr>
                <w:strike/>
              </w:rPr>
              <w:t>AND</w:t>
            </w:r>
          </w:p>
          <w:p w:rsidR="00964C1F" w:rsidRPr="0035613C" w:rsidRDefault="00964C1F" w:rsidP="00964C1F">
            <w:pPr>
              <w:pStyle w:val="TableText"/>
              <w:spacing w:before="0" w:after="0"/>
              <w:rPr>
                <w:strike/>
              </w:rPr>
            </w:pPr>
            <w:r w:rsidRPr="0035613C">
              <w:rPr>
                <w:strike/>
              </w:rPr>
              <w:t>Condition must be FMS tyrosine kinase 3 (FLT3) mutation positive at diagnosis;</w:t>
            </w:r>
          </w:p>
          <w:p w:rsidR="00964C1F" w:rsidRPr="0035613C" w:rsidRDefault="00964C1F" w:rsidP="00964C1F">
            <w:pPr>
              <w:pStyle w:val="TableText"/>
              <w:spacing w:before="0" w:after="0"/>
              <w:rPr>
                <w:strike/>
              </w:rPr>
            </w:pPr>
            <w:r w:rsidRPr="0035613C">
              <w:rPr>
                <w:strike/>
              </w:rPr>
              <w:t>AND</w:t>
            </w:r>
          </w:p>
          <w:p w:rsidR="00964C1F" w:rsidRPr="0035613C" w:rsidRDefault="00964C1F" w:rsidP="00964C1F">
            <w:pPr>
              <w:pStyle w:val="TableText"/>
              <w:spacing w:before="0" w:after="0"/>
              <w:rPr>
                <w:strike/>
              </w:rPr>
            </w:pPr>
            <w:r w:rsidRPr="0035613C">
              <w:rPr>
                <w:strike/>
              </w:rPr>
              <w:t>Patient must have received standard intensive remission induction combination chemotherapy for the treatment of AML as initial treatment;</w:t>
            </w:r>
          </w:p>
          <w:p w:rsidR="00964C1F" w:rsidRPr="0035613C" w:rsidRDefault="00964C1F" w:rsidP="00964C1F">
            <w:pPr>
              <w:pStyle w:val="TableText"/>
              <w:spacing w:before="0" w:after="0"/>
              <w:rPr>
                <w:strike/>
              </w:rPr>
            </w:pPr>
            <w:r w:rsidRPr="0035613C">
              <w:rPr>
                <w:strike/>
              </w:rPr>
              <w:t>AND</w:t>
            </w:r>
          </w:p>
          <w:p w:rsidR="00964C1F" w:rsidRPr="0035613C" w:rsidRDefault="00964C1F" w:rsidP="00964C1F">
            <w:pPr>
              <w:pStyle w:val="TableText"/>
              <w:spacing w:before="0" w:after="0"/>
              <w:rPr>
                <w:strike/>
              </w:rPr>
            </w:pPr>
            <w:r w:rsidRPr="0035613C">
              <w:rPr>
                <w:strike/>
              </w:rPr>
              <w:t>Patient must have received midostaurin therapy in the induction treatment phase as a hospital inpatient;</w:t>
            </w:r>
          </w:p>
          <w:p w:rsidR="00964C1F" w:rsidRPr="0035613C" w:rsidRDefault="00964C1F" w:rsidP="00964C1F">
            <w:pPr>
              <w:pStyle w:val="TableText"/>
              <w:spacing w:before="0" w:after="0"/>
              <w:rPr>
                <w:strike/>
              </w:rPr>
            </w:pPr>
            <w:r w:rsidRPr="0035613C">
              <w:rPr>
                <w:strike/>
              </w:rPr>
              <w:t>AND</w:t>
            </w:r>
          </w:p>
          <w:p w:rsidR="00964C1F" w:rsidRPr="0035613C" w:rsidRDefault="00964C1F" w:rsidP="00964C1F">
            <w:pPr>
              <w:pStyle w:val="TableText"/>
              <w:spacing w:before="0" w:after="0"/>
              <w:rPr>
                <w:strike/>
              </w:rPr>
            </w:pPr>
            <w:r w:rsidRPr="0035613C">
              <w:rPr>
                <w:strike/>
              </w:rPr>
              <w:t>Patient must have demonstrated complete remission or complete remission with incomplete haematologic recovery after up to two cycles of induction chemotherapy plus midostaurin;</w:t>
            </w:r>
          </w:p>
          <w:p w:rsidR="00964C1F" w:rsidRPr="0035613C" w:rsidRDefault="00964C1F" w:rsidP="00964C1F">
            <w:pPr>
              <w:pStyle w:val="TableText"/>
              <w:spacing w:before="0" w:after="0"/>
              <w:rPr>
                <w:strike/>
              </w:rPr>
            </w:pPr>
            <w:r w:rsidRPr="0035613C">
              <w:rPr>
                <w:strike/>
              </w:rPr>
              <w:t>AND</w:t>
            </w:r>
          </w:p>
          <w:p w:rsidR="00964C1F" w:rsidRPr="0035613C" w:rsidRDefault="00964C1F" w:rsidP="00964C1F">
            <w:pPr>
              <w:pStyle w:val="TableText"/>
              <w:spacing w:before="0" w:after="0"/>
              <w:rPr>
                <w:strike/>
              </w:rPr>
            </w:pPr>
            <w:r w:rsidRPr="0035613C">
              <w:rPr>
                <w:strike/>
              </w:rPr>
              <w:t>Patient does not have progressive disease.</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rFonts w:ascii="Times" w:eastAsia="Times New Roman" w:hAnsi="Times" w:cs="Times New Roman"/>
                <w:strike/>
                <w:szCs w:val="20"/>
                <w:lang w:val="en-US"/>
              </w:rPr>
            </w:pPr>
            <w:r w:rsidRPr="0035613C">
              <w:rPr>
                <w:strike/>
              </w:rPr>
              <w:t>Prescriber Instructions</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Bullets"/>
              <w:ind w:left="170" w:hanging="170"/>
              <w:rPr>
                <w:rStyle w:val="TableBold"/>
                <w:b w:val="0"/>
                <w:strike/>
                <w:szCs w:val="20"/>
              </w:rPr>
            </w:pPr>
            <w:r w:rsidRPr="0035613C">
              <w:rPr>
                <w:rStyle w:val="TableBold"/>
                <w:b w:val="0"/>
                <w:strike/>
                <w:szCs w:val="20"/>
              </w:rPr>
              <w:t>Up to 4 cycles will be authorised.</w:t>
            </w:r>
          </w:p>
          <w:p w:rsidR="00964C1F" w:rsidRPr="0035613C" w:rsidRDefault="00964C1F" w:rsidP="00964C1F">
            <w:pPr>
              <w:pStyle w:val="TableBullets"/>
              <w:ind w:left="170" w:hanging="170"/>
              <w:rPr>
                <w:rStyle w:val="TableBold"/>
                <w:b w:val="0"/>
                <w:strike/>
                <w:szCs w:val="20"/>
              </w:rPr>
            </w:pPr>
            <w:r w:rsidRPr="0035613C">
              <w:rPr>
                <w:rStyle w:val="TableBold"/>
                <w:b w:val="0"/>
                <w:strike/>
                <w:szCs w:val="20"/>
              </w:rPr>
              <w:t>Patients with acute promyelocytic leukaemia are not eligible for treatment.</w:t>
            </w:r>
          </w:p>
          <w:p w:rsidR="00964C1F" w:rsidRPr="0035613C" w:rsidRDefault="00964C1F" w:rsidP="00964C1F">
            <w:pPr>
              <w:pStyle w:val="TableBullets"/>
              <w:ind w:left="170" w:hanging="170"/>
              <w:rPr>
                <w:rStyle w:val="TableBold"/>
                <w:b w:val="0"/>
                <w:strike/>
                <w:szCs w:val="20"/>
              </w:rPr>
            </w:pPr>
            <w:r w:rsidRPr="0035613C">
              <w:rPr>
                <w:rStyle w:val="TableBold"/>
                <w:b w:val="0"/>
                <w:strike/>
                <w:szCs w:val="20"/>
              </w:rPr>
              <w:t>FLT3 mutation status includes patients with an ITD or TKD mutation.</w:t>
            </w:r>
          </w:p>
          <w:p w:rsidR="00964C1F" w:rsidRPr="0035613C" w:rsidRDefault="00964C1F" w:rsidP="00964C1F">
            <w:pPr>
              <w:pStyle w:val="TableBullets"/>
              <w:ind w:left="170" w:hanging="170"/>
              <w:rPr>
                <w:rStyle w:val="TableBold"/>
                <w:b w:val="0"/>
                <w:strike/>
                <w:szCs w:val="20"/>
              </w:rPr>
            </w:pPr>
            <w:r w:rsidRPr="0035613C">
              <w:rPr>
                <w:rStyle w:val="TableBold"/>
                <w:b w:val="0"/>
                <w:strike/>
                <w:szCs w:val="20"/>
              </w:rPr>
              <w:t>Standard intensive remission induction combination chemotherapy must include cytarabine and an anthracycline or cytarabine and fludarabine for patients unable to tolerate an anthracycline.</w:t>
            </w:r>
          </w:p>
          <w:p w:rsidR="00964C1F" w:rsidRPr="0035613C" w:rsidRDefault="00964C1F" w:rsidP="00964C1F">
            <w:pPr>
              <w:pStyle w:val="TableBullets"/>
              <w:ind w:left="170" w:hanging="170"/>
              <w:rPr>
                <w:rStyle w:val="TableBold"/>
                <w:b w:val="0"/>
                <w:strike/>
                <w:szCs w:val="20"/>
              </w:rPr>
            </w:pPr>
            <w:r w:rsidRPr="0035613C">
              <w:rPr>
                <w:rStyle w:val="TableBold"/>
                <w:b w:val="0"/>
                <w:strike/>
                <w:szCs w:val="20"/>
              </w:rPr>
              <w:t>A complete remission and complete remission with partial haematologic recovery is defined as a bone marrow blast count of ≤5% with or without platelet level recovery to at least 100 x 10</w:t>
            </w:r>
            <w:r w:rsidRPr="0035613C">
              <w:rPr>
                <w:rStyle w:val="TableBold"/>
                <w:b w:val="0"/>
                <w:strike/>
                <w:szCs w:val="20"/>
                <w:vertAlign w:val="superscript"/>
              </w:rPr>
              <w:t>9</w:t>
            </w:r>
            <w:r w:rsidRPr="0035613C">
              <w:rPr>
                <w:rStyle w:val="TableBold"/>
                <w:b w:val="0"/>
                <w:strike/>
                <w:szCs w:val="20"/>
              </w:rPr>
              <w:t>/L.</w:t>
            </w:r>
          </w:p>
          <w:p w:rsidR="00964C1F" w:rsidRPr="0035613C" w:rsidRDefault="00964C1F" w:rsidP="00964C1F">
            <w:pPr>
              <w:pStyle w:val="TableBullets"/>
              <w:ind w:left="170" w:hanging="170"/>
              <w:rPr>
                <w:rStyle w:val="TableBold"/>
                <w:b w:val="0"/>
                <w:strike/>
                <w:szCs w:val="20"/>
              </w:rPr>
            </w:pPr>
            <w:r w:rsidRPr="0035613C">
              <w:rPr>
                <w:rStyle w:val="TableBold"/>
                <w:b w:val="0"/>
                <w:strike/>
                <w:szCs w:val="20"/>
              </w:rPr>
              <w:t>Progressive disease is defined as the presence of:</w:t>
            </w:r>
          </w:p>
          <w:p w:rsidR="00964C1F" w:rsidRPr="0035613C" w:rsidRDefault="00964C1F" w:rsidP="005B77E9">
            <w:pPr>
              <w:pStyle w:val="TableBullets"/>
              <w:numPr>
                <w:ilvl w:val="1"/>
                <w:numId w:val="9"/>
              </w:numPr>
              <w:ind w:left="1440"/>
              <w:rPr>
                <w:strike/>
                <w:szCs w:val="20"/>
              </w:rPr>
            </w:pPr>
            <w:r w:rsidRPr="0035613C">
              <w:rPr>
                <w:strike/>
                <w:szCs w:val="20"/>
              </w:rPr>
              <w:t>Leukaemic cells in the CSF</w:t>
            </w:r>
          </w:p>
          <w:p w:rsidR="00964C1F" w:rsidRPr="0035613C" w:rsidRDefault="00964C1F" w:rsidP="005B77E9">
            <w:pPr>
              <w:pStyle w:val="TableBullets"/>
              <w:numPr>
                <w:ilvl w:val="1"/>
                <w:numId w:val="9"/>
              </w:numPr>
              <w:ind w:left="1440"/>
              <w:rPr>
                <w:strike/>
                <w:szCs w:val="20"/>
              </w:rPr>
            </w:pPr>
            <w:r w:rsidRPr="0035613C">
              <w:rPr>
                <w:strike/>
                <w:szCs w:val="20"/>
              </w:rPr>
              <w:t xml:space="preserve">Re-appearance of circulating blast cells in the peripheral blood, not attributable to overshoot following recovery from myeloablative therapy </w:t>
            </w:r>
          </w:p>
          <w:p w:rsidR="00964C1F" w:rsidRPr="0035613C" w:rsidRDefault="00964C1F" w:rsidP="005B77E9">
            <w:pPr>
              <w:pStyle w:val="TableBullets"/>
              <w:numPr>
                <w:ilvl w:val="1"/>
                <w:numId w:val="9"/>
              </w:numPr>
              <w:ind w:left="1440"/>
              <w:rPr>
                <w:strike/>
                <w:szCs w:val="20"/>
              </w:rPr>
            </w:pPr>
            <w:r w:rsidRPr="0035613C">
              <w:rPr>
                <w:strike/>
                <w:szCs w:val="20"/>
              </w:rPr>
              <w:t>&gt;5% blasts in the marrow not attributable to marrow regeneration or another cause</w:t>
            </w:r>
          </w:p>
          <w:p w:rsidR="00964C1F" w:rsidRPr="0035613C" w:rsidRDefault="00964C1F" w:rsidP="005B77E9">
            <w:pPr>
              <w:pStyle w:val="TableBullets"/>
              <w:numPr>
                <w:ilvl w:val="1"/>
                <w:numId w:val="9"/>
              </w:numPr>
              <w:ind w:left="1440"/>
              <w:rPr>
                <w:strike/>
              </w:rPr>
            </w:pPr>
            <w:r w:rsidRPr="0035613C">
              <w:rPr>
                <w:strike/>
                <w:szCs w:val="20"/>
              </w:rPr>
              <w:t>Extramedullary leukaemia.</w:t>
            </w:r>
          </w:p>
        </w:tc>
      </w:tr>
    </w:tbl>
    <w:p w:rsidR="00964C1F" w:rsidRPr="00F30E35" w:rsidRDefault="00964C1F" w:rsidP="00964C1F">
      <w:pPr>
        <w:pStyle w:val="ListParagraph"/>
        <w:spacing w:before="0" w:after="0"/>
        <w:jc w:val="both"/>
      </w:pPr>
    </w:p>
    <w:tbl>
      <w:tblPr>
        <w:tblW w:w="5000" w:type="pct"/>
        <w:tblInd w:w="23" w:type="dxa"/>
        <w:tblLook w:val="0000" w:firstRow="0" w:lastRow="0" w:firstColumn="0" w:lastColumn="0" w:noHBand="0" w:noVBand="0"/>
      </w:tblPr>
      <w:tblGrid>
        <w:gridCol w:w="2022"/>
        <w:gridCol w:w="7220"/>
      </w:tblGrid>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lastRenderedPageBreak/>
              <w:t>Category / Program:</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Section 100 – Public and Private hospitals</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rPr>
                <w:rFonts w:ascii="Times" w:eastAsia="Times New Roman" w:hAnsi="Times" w:cs="Times New Roman"/>
                <w:szCs w:val="20"/>
                <w:lang w:val="en-US"/>
              </w:rPr>
            </w:pPr>
            <w:r w:rsidRPr="00F30E35">
              <w:t>PBS Indication:</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rPr>
                <w:rStyle w:val="TableBold"/>
                <w:b w:val="0"/>
                <w:szCs w:val="20"/>
              </w:rPr>
              <w:t>Acute myeloid leukaemia (AML)</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Treatment phase:</w:t>
            </w:r>
          </w:p>
        </w:tc>
        <w:tc>
          <w:tcPr>
            <w:tcW w:w="3906" w:type="pct"/>
            <w:tcBorders>
              <w:top w:val="single" w:sz="4" w:space="0" w:color="auto"/>
              <w:left w:val="single" w:sz="4" w:space="0" w:color="auto"/>
              <w:bottom w:val="single" w:sz="4" w:space="0" w:color="auto"/>
              <w:right w:val="single" w:sz="4" w:space="0" w:color="auto"/>
            </w:tcBorders>
          </w:tcPr>
          <w:p w:rsidR="00964C1F" w:rsidRPr="0035613C" w:rsidRDefault="00964C1F" w:rsidP="00964C1F">
            <w:pPr>
              <w:pStyle w:val="TableText"/>
              <w:spacing w:before="0" w:after="0"/>
              <w:rPr>
                <w:i/>
              </w:rPr>
            </w:pPr>
            <w:r w:rsidRPr="0035613C">
              <w:rPr>
                <w:rStyle w:val="TableBold"/>
                <w:b w:val="0"/>
                <w:strike/>
                <w:szCs w:val="20"/>
              </w:rPr>
              <w:t>Continuation therapy (</w:t>
            </w:r>
            <w:r w:rsidRPr="00F30E35">
              <w:rPr>
                <w:rStyle w:val="TableBold"/>
                <w:b w:val="0"/>
                <w:szCs w:val="20"/>
              </w:rPr>
              <w:t>Maintenance therapy</w:t>
            </w:r>
            <w:r w:rsidRPr="0035613C">
              <w:rPr>
                <w:rStyle w:val="TableBold"/>
                <w:b w:val="0"/>
                <w:strike/>
                <w:szCs w:val="20"/>
              </w:rPr>
              <w:t>)</w:t>
            </w:r>
            <w:r w:rsidR="0035613C">
              <w:rPr>
                <w:rStyle w:val="TableBold"/>
                <w:b w:val="0"/>
                <w:i/>
                <w:szCs w:val="20"/>
              </w:rPr>
              <w:t xml:space="preserve"> </w:t>
            </w:r>
            <w:r w:rsidR="00725440">
              <w:rPr>
                <w:rStyle w:val="TableBold"/>
                <w:b w:val="0"/>
                <w:i/>
                <w:szCs w:val="20"/>
              </w:rPr>
              <w:t>–</w:t>
            </w:r>
            <w:r w:rsidR="0035613C">
              <w:rPr>
                <w:rStyle w:val="TableBold"/>
                <w:b w:val="0"/>
                <w:i/>
                <w:szCs w:val="20"/>
              </w:rPr>
              <w:t xml:space="preserve"> Initial</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Restriction:</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Authority required – In Writing</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rPr>
                <w:rFonts w:ascii="Times" w:eastAsia="Times New Roman" w:hAnsi="Times" w:cs="Times New Roman"/>
                <w:szCs w:val="20"/>
                <w:lang w:val="en-US"/>
              </w:rPr>
            </w:pPr>
            <w:r w:rsidRPr="00F30E35">
              <w:t>Clinical criteria:</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pPr>
            <w:r w:rsidRPr="00F30E35">
              <w:t>Patient must have previously received PBS-subsidised treatment with this drug for this condition;</w:t>
            </w:r>
          </w:p>
          <w:p w:rsidR="00964C1F" w:rsidRPr="00F30E35" w:rsidRDefault="00964C1F" w:rsidP="00964C1F">
            <w:pPr>
              <w:pStyle w:val="TableText"/>
              <w:spacing w:before="0" w:after="0"/>
            </w:pPr>
            <w:r w:rsidRPr="00F30E35">
              <w:t>AND</w:t>
            </w:r>
          </w:p>
          <w:p w:rsidR="00964C1F" w:rsidRPr="00F30E35" w:rsidRDefault="00964C1F" w:rsidP="00964C1F">
            <w:pPr>
              <w:pStyle w:val="TableText"/>
              <w:spacing w:before="0" w:after="0"/>
            </w:pPr>
            <w:r w:rsidRPr="00F30E35">
              <w:t>Patient must not have progressive disease;</w:t>
            </w:r>
          </w:p>
          <w:p w:rsidR="00964C1F" w:rsidRPr="00F30E35" w:rsidRDefault="00964C1F" w:rsidP="00964C1F">
            <w:pPr>
              <w:pStyle w:val="TableText"/>
              <w:spacing w:before="0" w:after="0"/>
            </w:pPr>
            <w:r w:rsidRPr="00F30E35">
              <w:t>AND</w:t>
            </w:r>
          </w:p>
          <w:p w:rsidR="00964C1F" w:rsidRPr="00F30E35" w:rsidRDefault="00964C1F" w:rsidP="00964C1F">
            <w:pPr>
              <w:pStyle w:val="TableText"/>
              <w:spacing w:before="0" w:after="0"/>
            </w:pPr>
            <w:r w:rsidRPr="00F30E35">
              <w:t xml:space="preserve">Patient must </w:t>
            </w:r>
            <w:r w:rsidRPr="0035613C">
              <w:rPr>
                <w:strike/>
              </w:rPr>
              <w:t>be ineligible for a stem cell transplant</w:t>
            </w:r>
            <w:r w:rsidR="0035613C">
              <w:t xml:space="preserve"> </w:t>
            </w:r>
            <w:r w:rsidR="0035613C">
              <w:rPr>
                <w:i/>
              </w:rPr>
              <w:t>not be planned for, or have undergone, a stem cell transplant in first remission</w:t>
            </w:r>
            <w:r w:rsidRPr="00F30E35">
              <w:t>;</w:t>
            </w:r>
          </w:p>
          <w:p w:rsidR="00964C1F" w:rsidRPr="00F30E35" w:rsidRDefault="00964C1F" w:rsidP="00964C1F">
            <w:pPr>
              <w:pStyle w:val="TableText"/>
              <w:spacing w:before="0" w:after="0"/>
            </w:pPr>
            <w:r w:rsidRPr="00F30E35">
              <w:t>OR</w:t>
            </w:r>
          </w:p>
          <w:p w:rsidR="00964C1F" w:rsidRPr="00F30E35" w:rsidRDefault="00964C1F" w:rsidP="00964C1F">
            <w:pPr>
              <w:pStyle w:val="TableText"/>
              <w:spacing w:before="0" w:after="0"/>
            </w:pPr>
            <w:r w:rsidRPr="00F30E35">
              <w:t>Patient must be awaiting a stem cell transplant</w:t>
            </w:r>
            <w:r w:rsidR="0035613C">
              <w:t xml:space="preserve"> </w:t>
            </w:r>
            <w:r w:rsidR="0035613C" w:rsidRPr="0035613C">
              <w:rPr>
                <w:i/>
              </w:rPr>
              <w:t>in first remission</w:t>
            </w:r>
            <w:r w:rsidRPr="00F30E35">
              <w:t>.</w:t>
            </w:r>
          </w:p>
        </w:tc>
      </w:tr>
      <w:tr w:rsidR="00964C1F" w:rsidRPr="00F30E35" w:rsidTr="001964EB">
        <w:trPr>
          <w:cantSplit/>
          <w:trHeight w:val="360"/>
        </w:trPr>
        <w:tc>
          <w:tcPr>
            <w:tcW w:w="1094"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Text"/>
              <w:spacing w:before="0" w:after="0"/>
              <w:rPr>
                <w:rFonts w:ascii="Times" w:eastAsia="Times New Roman" w:hAnsi="Times" w:cs="Times New Roman"/>
                <w:szCs w:val="20"/>
                <w:lang w:val="en-US"/>
              </w:rPr>
            </w:pPr>
            <w:r w:rsidRPr="00F30E35">
              <w:t>Prescriber Instructions</w:t>
            </w:r>
          </w:p>
        </w:tc>
        <w:tc>
          <w:tcPr>
            <w:tcW w:w="3906" w:type="pct"/>
            <w:tcBorders>
              <w:top w:val="single" w:sz="4" w:space="0" w:color="auto"/>
              <w:left w:val="single" w:sz="4" w:space="0" w:color="auto"/>
              <w:bottom w:val="single" w:sz="4" w:space="0" w:color="auto"/>
              <w:right w:val="single" w:sz="4" w:space="0" w:color="auto"/>
            </w:tcBorders>
          </w:tcPr>
          <w:p w:rsidR="00964C1F" w:rsidRPr="00F30E35" w:rsidRDefault="00964C1F" w:rsidP="00964C1F">
            <w:pPr>
              <w:pStyle w:val="TableBullets"/>
              <w:ind w:left="170" w:hanging="170"/>
              <w:rPr>
                <w:rStyle w:val="TableBold"/>
                <w:b w:val="0"/>
                <w:szCs w:val="20"/>
              </w:rPr>
            </w:pPr>
            <w:r w:rsidRPr="00F30E35">
              <w:rPr>
                <w:rStyle w:val="TableBold"/>
                <w:b w:val="0"/>
                <w:szCs w:val="20"/>
              </w:rPr>
              <w:t xml:space="preserve">Up to </w:t>
            </w:r>
            <w:r w:rsidRPr="0035613C">
              <w:rPr>
                <w:rStyle w:val="TableBold"/>
                <w:b w:val="0"/>
                <w:strike/>
                <w:szCs w:val="20"/>
              </w:rPr>
              <w:t>12</w:t>
            </w:r>
            <w:r w:rsidR="0035613C">
              <w:rPr>
                <w:rStyle w:val="TableBold"/>
                <w:b w:val="0"/>
                <w:i/>
                <w:strike/>
                <w:szCs w:val="20"/>
              </w:rPr>
              <w:t xml:space="preserve"> </w:t>
            </w:r>
            <w:r w:rsidR="0035613C" w:rsidRPr="0035613C">
              <w:rPr>
                <w:rStyle w:val="TableBold"/>
                <w:b w:val="0"/>
                <w:i/>
                <w:szCs w:val="20"/>
              </w:rPr>
              <w:t>3</w:t>
            </w:r>
            <w:r w:rsidRPr="00F30E35">
              <w:rPr>
                <w:rStyle w:val="TableBold"/>
                <w:b w:val="0"/>
                <w:szCs w:val="20"/>
              </w:rPr>
              <w:t xml:space="preserve"> cycles of treatment will be authorised.</w:t>
            </w:r>
          </w:p>
          <w:p w:rsidR="00964C1F" w:rsidRPr="00F30E35" w:rsidRDefault="00964C1F" w:rsidP="00964C1F">
            <w:pPr>
              <w:pStyle w:val="TableBullets"/>
              <w:ind w:left="170" w:hanging="170"/>
              <w:rPr>
                <w:rStyle w:val="TableBold"/>
                <w:b w:val="0"/>
                <w:szCs w:val="20"/>
              </w:rPr>
            </w:pPr>
            <w:r w:rsidRPr="00F30E35">
              <w:rPr>
                <w:rStyle w:val="TableBold"/>
                <w:b w:val="0"/>
                <w:szCs w:val="20"/>
              </w:rPr>
              <w:t xml:space="preserve">Progressive disease monitoring via a complete blood count must be taken at the end of each cycle. </w:t>
            </w:r>
          </w:p>
          <w:p w:rsidR="00964C1F" w:rsidRPr="00F30E35" w:rsidRDefault="00964C1F" w:rsidP="00964C1F">
            <w:pPr>
              <w:pStyle w:val="TableBullets"/>
              <w:ind w:left="170" w:hanging="170"/>
              <w:rPr>
                <w:rStyle w:val="TableBold"/>
                <w:b w:val="0"/>
                <w:szCs w:val="20"/>
              </w:rPr>
            </w:pPr>
            <w:r w:rsidRPr="00F30E35">
              <w:rPr>
                <w:rStyle w:val="TableBold"/>
                <w:b w:val="0"/>
                <w:szCs w:val="20"/>
              </w:rPr>
              <w:t xml:space="preserve">If abnormal blood counts suggest the potential for relapsed AML, a bone marrow biopsy must be performed to confirm the absence of progressive disease for the patient to be eligible for further cycles of midostaurin therapy. </w:t>
            </w:r>
          </w:p>
          <w:p w:rsidR="00964C1F" w:rsidRPr="00F30E35" w:rsidRDefault="00964C1F" w:rsidP="00964C1F">
            <w:pPr>
              <w:pStyle w:val="TableBullets"/>
              <w:ind w:left="170" w:hanging="170"/>
              <w:rPr>
                <w:rStyle w:val="TableBold"/>
                <w:b w:val="0"/>
                <w:szCs w:val="20"/>
              </w:rPr>
            </w:pPr>
            <w:r w:rsidRPr="00F30E35">
              <w:rPr>
                <w:rStyle w:val="TableBold"/>
                <w:b w:val="0"/>
                <w:szCs w:val="20"/>
              </w:rPr>
              <w:t>Progressive disease is defined as the presence of any of the following:</w:t>
            </w:r>
          </w:p>
          <w:p w:rsidR="00964C1F" w:rsidRPr="00F30E35" w:rsidRDefault="00964C1F" w:rsidP="005B77E9">
            <w:pPr>
              <w:pStyle w:val="TableBullets"/>
              <w:numPr>
                <w:ilvl w:val="1"/>
                <w:numId w:val="9"/>
              </w:numPr>
              <w:ind w:left="1440"/>
              <w:rPr>
                <w:szCs w:val="20"/>
              </w:rPr>
            </w:pPr>
            <w:r w:rsidRPr="00F30E35">
              <w:rPr>
                <w:szCs w:val="20"/>
              </w:rPr>
              <w:t>Leukaemic cells in the CSF</w:t>
            </w:r>
          </w:p>
          <w:p w:rsidR="00964C1F" w:rsidRPr="00F30E35" w:rsidRDefault="00964C1F" w:rsidP="005B77E9">
            <w:pPr>
              <w:pStyle w:val="TableBullets"/>
              <w:numPr>
                <w:ilvl w:val="1"/>
                <w:numId w:val="9"/>
              </w:numPr>
              <w:ind w:left="1440"/>
              <w:rPr>
                <w:szCs w:val="20"/>
              </w:rPr>
            </w:pPr>
            <w:r w:rsidRPr="00F30E35">
              <w:rPr>
                <w:szCs w:val="20"/>
              </w:rPr>
              <w:t>Re-appearance of circulating blast cells in the peripheral blood, not attributable to overshoot following recovery from myeloablative therapy</w:t>
            </w:r>
          </w:p>
          <w:p w:rsidR="00964C1F" w:rsidRPr="00F30E35" w:rsidRDefault="00964C1F" w:rsidP="005B77E9">
            <w:pPr>
              <w:pStyle w:val="TableBullets"/>
              <w:numPr>
                <w:ilvl w:val="1"/>
                <w:numId w:val="9"/>
              </w:numPr>
              <w:ind w:left="1440"/>
              <w:rPr>
                <w:szCs w:val="20"/>
              </w:rPr>
            </w:pPr>
            <w:r w:rsidRPr="00F30E35">
              <w:rPr>
                <w:szCs w:val="20"/>
              </w:rPr>
              <w:t>&gt;5% blasts in the marrow not attributable to bone marrow regeneration or another cause</w:t>
            </w:r>
          </w:p>
          <w:p w:rsidR="00964C1F" w:rsidRPr="00F30E35" w:rsidRDefault="00964C1F" w:rsidP="005B77E9">
            <w:pPr>
              <w:pStyle w:val="TableBullets"/>
              <w:numPr>
                <w:ilvl w:val="1"/>
                <w:numId w:val="9"/>
              </w:numPr>
              <w:ind w:left="1440"/>
            </w:pPr>
            <w:r w:rsidRPr="00F30E35">
              <w:rPr>
                <w:szCs w:val="20"/>
              </w:rPr>
              <w:t>Extramedullary leukaemia.</w:t>
            </w:r>
          </w:p>
        </w:tc>
      </w:tr>
    </w:tbl>
    <w:p w:rsidR="00644970" w:rsidRDefault="00644970" w:rsidP="00644970">
      <w:pPr>
        <w:pStyle w:val="ListParagraph"/>
        <w:spacing w:before="0" w:after="120"/>
        <w:jc w:val="both"/>
      </w:pPr>
    </w:p>
    <w:tbl>
      <w:tblPr>
        <w:tblW w:w="5000" w:type="pct"/>
        <w:tblInd w:w="23" w:type="dxa"/>
        <w:tblLook w:val="0000" w:firstRow="0" w:lastRow="0" w:firstColumn="0" w:lastColumn="0" w:noHBand="0" w:noVBand="0"/>
      </w:tblPr>
      <w:tblGrid>
        <w:gridCol w:w="2022"/>
        <w:gridCol w:w="7220"/>
      </w:tblGrid>
      <w:tr w:rsidR="0035613C" w:rsidRPr="00F30E35" w:rsidTr="00F304B8">
        <w:trPr>
          <w:cantSplit/>
          <w:trHeight w:val="360"/>
        </w:trPr>
        <w:tc>
          <w:tcPr>
            <w:tcW w:w="1094"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i/>
              </w:rPr>
            </w:pPr>
            <w:r w:rsidRPr="00536A49">
              <w:rPr>
                <w:i/>
              </w:rPr>
              <w:t>Category / Program:</w:t>
            </w:r>
          </w:p>
        </w:tc>
        <w:tc>
          <w:tcPr>
            <w:tcW w:w="3906"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i/>
              </w:rPr>
            </w:pPr>
            <w:r w:rsidRPr="00536A49">
              <w:rPr>
                <w:i/>
              </w:rPr>
              <w:t>Section 100 – Public and Private hospitals</w:t>
            </w:r>
          </w:p>
        </w:tc>
      </w:tr>
      <w:tr w:rsidR="0035613C" w:rsidRPr="00F30E35" w:rsidTr="00F304B8">
        <w:trPr>
          <w:cantSplit/>
          <w:trHeight w:val="360"/>
        </w:trPr>
        <w:tc>
          <w:tcPr>
            <w:tcW w:w="1094"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rFonts w:ascii="Times" w:eastAsia="Times New Roman" w:hAnsi="Times" w:cs="Times New Roman"/>
                <w:i/>
                <w:szCs w:val="20"/>
                <w:lang w:val="en-US"/>
              </w:rPr>
            </w:pPr>
            <w:r w:rsidRPr="00536A49">
              <w:rPr>
                <w:i/>
              </w:rPr>
              <w:t>PBS Indication:</w:t>
            </w:r>
          </w:p>
        </w:tc>
        <w:tc>
          <w:tcPr>
            <w:tcW w:w="3906"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i/>
              </w:rPr>
            </w:pPr>
            <w:r w:rsidRPr="00536A49">
              <w:rPr>
                <w:rStyle w:val="TableBold"/>
                <w:b w:val="0"/>
                <w:i/>
                <w:szCs w:val="20"/>
              </w:rPr>
              <w:t>Acute myeloid leukaemia (AML)</w:t>
            </w:r>
          </w:p>
        </w:tc>
      </w:tr>
      <w:tr w:rsidR="0035613C" w:rsidRPr="0035613C" w:rsidTr="00F304B8">
        <w:trPr>
          <w:cantSplit/>
          <w:trHeight w:val="360"/>
        </w:trPr>
        <w:tc>
          <w:tcPr>
            <w:tcW w:w="1094"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i/>
              </w:rPr>
            </w:pPr>
            <w:r w:rsidRPr="00536A49">
              <w:rPr>
                <w:i/>
              </w:rPr>
              <w:t>Treatment phase:</w:t>
            </w:r>
          </w:p>
        </w:tc>
        <w:tc>
          <w:tcPr>
            <w:tcW w:w="3906" w:type="pct"/>
            <w:tcBorders>
              <w:top w:val="single" w:sz="4" w:space="0" w:color="auto"/>
              <w:left w:val="single" w:sz="4" w:space="0" w:color="auto"/>
              <w:bottom w:val="single" w:sz="4" w:space="0" w:color="auto"/>
              <w:right w:val="single" w:sz="4" w:space="0" w:color="auto"/>
            </w:tcBorders>
          </w:tcPr>
          <w:p w:rsidR="0035613C" w:rsidRPr="00536A49" w:rsidRDefault="0035613C" w:rsidP="0035613C">
            <w:pPr>
              <w:pStyle w:val="TableText"/>
              <w:spacing w:before="0" w:after="0"/>
              <w:rPr>
                <w:i/>
              </w:rPr>
            </w:pPr>
            <w:r w:rsidRPr="00536A49">
              <w:rPr>
                <w:rStyle w:val="TableBold"/>
                <w:b w:val="0"/>
                <w:i/>
                <w:strike/>
                <w:szCs w:val="20"/>
              </w:rPr>
              <w:t>Continuation therapy (</w:t>
            </w:r>
            <w:r w:rsidRPr="00536A49">
              <w:rPr>
                <w:rStyle w:val="TableBold"/>
                <w:b w:val="0"/>
                <w:i/>
                <w:szCs w:val="20"/>
              </w:rPr>
              <w:t>Maintenance therapy</w:t>
            </w:r>
            <w:r w:rsidRPr="00536A49">
              <w:rPr>
                <w:rStyle w:val="TableBold"/>
                <w:b w:val="0"/>
                <w:i/>
                <w:strike/>
                <w:szCs w:val="20"/>
              </w:rPr>
              <w:t>)</w:t>
            </w:r>
            <w:r w:rsidRPr="00536A49">
              <w:rPr>
                <w:rStyle w:val="TableBold"/>
                <w:b w:val="0"/>
                <w:i/>
                <w:szCs w:val="20"/>
              </w:rPr>
              <w:t xml:space="preserve"> </w:t>
            </w:r>
            <w:r w:rsidR="00725440">
              <w:rPr>
                <w:rStyle w:val="TableBold"/>
                <w:b w:val="0"/>
                <w:i/>
                <w:szCs w:val="20"/>
              </w:rPr>
              <w:t>–</w:t>
            </w:r>
            <w:r w:rsidRPr="00536A49">
              <w:rPr>
                <w:rStyle w:val="TableBold"/>
                <w:b w:val="0"/>
                <w:i/>
                <w:szCs w:val="20"/>
              </w:rPr>
              <w:t xml:space="preserve"> Continuing</w:t>
            </w:r>
          </w:p>
        </w:tc>
      </w:tr>
      <w:tr w:rsidR="0035613C" w:rsidRPr="00F30E35" w:rsidTr="00F304B8">
        <w:trPr>
          <w:cantSplit/>
          <w:trHeight w:val="360"/>
        </w:trPr>
        <w:tc>
          <w:tcPr>
            <w:tcW w:w="1094"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i/>
              </w:rPr>
            </w:pPr>
            <w:r w:rsidRPr="00536A49">
              <w:rPr>
                <w:i/>
              </w:rPr>
              <w:t>Restriction:</w:t>
            </w:r>
          </w:p>
        </w:tc>
        <w:tc>
          <w:tcPr>
            <w:tcW w:w="3906" w:type="pct"/>
            <w:tcBorders>
              <w:top w:val="single" w:sz="4" w:space="0" w:color="auto"/>
              <w:left w:val="single" w:sz="4" w:space="0" w:color="auto"/>
              <w:bottom w:val="single" w:sz="4" w:space="0" w:color="auto"/>
              <w:right w:val="single" w:sz="4" w:space="0" w:color="auto"/>
            </w:tcBorders>
          </w:tcPr>
          <w:p w:rsidR="0035613C" w:rsidRPr="00536A49" w:rsidRDefault="0035613C" w:rsidP="00536A49">
            <w:pPr>
              <w:pStyle w:val="TableText"/>
              <w:spacing w:before="0" w:after="0"/>
              <w:rPr>
                <w:i/>
              </w:rPr>
            </w:pPr>
            <w:r w:rsidRPr="00536A49">
              <w:rPr>
                <w:i/>
              </w:rPr>
              <w:t xml:space="preserve">Authority required – </w:t>
            </w:r>
            <w:r w:rsidR="00536A49" w:rsidRPr="00536A49">
              <w:rPr>
                <w:i/>
              </w:rPr>
              <w:t>Telephone</w:t>
            </w:r>
          </w:p>
        </w:tc>
      </w:tr>
      <w:tr w:rsidR="0035613C" w:rsidRPr="00F30E35" w:rsidTr="00F304B8">
        <w:trPr>
          <w:cantSplit/>
          <w:trHeight w:val="360"/>
        </w:trPr>
        <w:tc>
          <w:tcPr>
            <w:tcW w:w="1094"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rFonts w:ascii="Times" w:eastAsia="Times New Roman" w:hAnsi="Times" w:cs="Times New Roman"/>
                <w:i/>
                <w:szCs w:val="20"/>
                <w:lang w:val="en-US"/>
              </w:rPr>
            </w:pPr>
            <w:r w:rsidRPr="00536A49">
              <w:rPr>
                <w:i/>
              </w:rPr>
              <w:t>Clinical criteria:</w:t>
            </w:r>
          </w:p>
        </w:tc>
        <w:tc>
          <w:tcPr>
            <w:tcW w:w="3906"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i/>
              </w:rPr>
            </w:pPr>
            <w:r w:rsidRPr="00536A49">
              <w:rPr>
                <w:i/>
              </w:rPr>
              <w:t>Patient must have previously received PBS-subsidised treatment with this drug for this condition;</w:t>
            </w:r>
          </w:p>
          <w:p w:rsidR="0035613C" w:rsidRPr="00536A49" w:rsidRDefault="0035613C" w:rsidP="00F304B8">
            <w:pPr>
              <w:pStyle w:val="TableText"/>
              <w:spacing w:before="0" w:after="0"/>
              <w:rPr>
                <w:i/>
              </w:rPr>
            </w:pPr>
            <w:r w:rsidRPr="00536A49">
              <w:rPr>
                <w:i/>
              </w:rPr>
              <w:t>AND</w:t>
            </w:r>
          </w:p>
          <w:p w:rsidR="0035613C" w:rsidRPr="00536A49" w:rsidRDefault="0035613C" w:rsidP="00F304B8">
            <w:pPr>
              <w:pStyle w:val="TableText"/>
              <w:spacing w:before="0" w:after="0"/>
              <w:rPr>
                <w:i/>
              </w:rPr>
            </w:pPr>
            <w:r w:rsidRPr="00536A49">
              <w:rPr>
                <w:i/>
              </w:rPr>
              <w:t>Patient must not have progressive disease;</w:t>
            </w:r>
          </w:p>
          <w:p w:rsidR="0035613C" w:rsidRPr="00536A49" w:rsidRDefault="0035613C" w:rsidP="00F304B8">
            <w:pPr>
              <w:pStyle w:val="TableText"/>
              <w:spacing w:before="0" w:after="0"/>
              <w:rPr>
                <w:i/>
              </w:rPr>
            </w:pPr>
            <w:r w:rsidRPr="00536A49">
              <w:rPr>
                <w:i/>
              </w:rPr>
              <w:t>AND</w:t>
            </w:r>
          </w:p>
          <w:p w:rsidR="0035613C" w:rsidRPr="00536A49" w:rsidRDefault="0035613C" w:rsidP="00536A49">
            <w:pPr>
              <w:pStyle w:val="TableText"/>
              <w:spacing w:before="0" w:after="0"/>
              <w:rPr>
                <w:i/>
              </w:rPr>
            </w:pPr>
            <w:r w:rsidRPr="00536A49">
              <w:rPr>
                <w:i/>
              </w:rPr>
              <w:t>Patient must not be planned for, or have undergone, a stem cell transplant in first remission</w:t>
            </w:r>
            <w:r w:rsidR="00536A49">
              <w:rPr>
                <w:i/>
              </w:rPr>
              <w:t xml:space="preserve">. </w:t>
            </w:r>
          </w:p>
        </w:tc>
      </w:tr>
      <w:tr w:rsidR="0035613C" w:rsidRPr="00F30E35" w:rsidTr="00F304B8">
        <w:trPr>
          <w:cantSplit/>
          <w:trHeight w:val="360"/>
        </w:trPr>
        <w:tc>
          <w:tcPr>
            <w:tcW w:w="1094"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Text"/>
              <w:spacing w:before="0" w:after="0"/>
              <w:rPr>
                <w:rFonts w:ascii="Times" w:eastAsia="Times New Roman" w:hAnsi="Times" w:cs="Times New Roman"/>
                <w:i/>
                <w:szCs w:val="20"/>
                <w:lang w:val="en-US"/>
              </w:rPr>
            </w:pPr>
            <w:r w:rsidRPr="00536A49">
              <w:rPr>
                <w:i/>
              </w:rPr>
              <w:t>Prescriber Instructions</w:t>
            </w:r>
          </w:p>
        </w:tc>
        <w:tc>
          <w:tcPr>
            <w:tcW w:w="3906" w:type="pct"/>
            <w:tcBorders>
              <w:top w:val="single" w:sz="4" w:space="0" w:color="auto"/>
              <w:left w:val="single" w:sz="4" w:space="0" w:color="auto"/>
              <w:bottom w:val="single" w:sz="4" w:space="0" w:color="auto"/>
              <w:right w:val="single" w:sz="4" w:space="0" w:color="auto"/>
            </w:tcBorders>
          </w:tcPr>
          <w:p w:rsidR="0035613C" w:rsidRPr="00536A49" w:rsidRDefault="0035613C" w:rsidP="00F304B8">
            <w:pPr>
              <w:pStyle w:val="TableBullets"/>
              <w:ind w:left="170" w:hanging="170"/>
              <w:rPr>
                <w:rStyle w:val="TableBold"/>
                <w:b w:val="0"/>
                <w:i/>
                <w:szCs w:val="20"/>
              </w:rPr>
            </w:pPr>
            <w:r w:rsidRPr="00536A49">
              <w:rPr>
                <w:rStyle w:val="TableBold"/>
                <w:b w:val="0"/>
                <w:i/>
                <w:szCs w:val="20"/>
              </w:rPr>
              <w:t xml:space="preserve">Up to </w:t>
            </w:r>
            <w:r w:rsidR="00536A49">
              <w:rPr>
                <w:rStyle w:val="TableBold"/>
                <w:b w:val="0"/>
                <w:i/>
                <w:szCs w:val="20"/>
              </w:rPr>
              <w:t>3</w:t>
            </w:r>
            <w:r w:rsidRPr="00536A49">
              <w:rPr>
                <w:rStyle w:val="TableBold"/>
                <w:b w:val="0"/>
                <w:i/>
                <w:szCs w:val="20"/>
              </w:rPr>
              <w:t xml:space="preserve"> cycles of treatment will be authorised</w:t>
            </w:r>
            <w:r w:rsidR="00536A49">
              <w:rPr>
                <w:rStyle w:val="TableBold"/>
                <w:b w:val="0"/>
                <w:i/>
                <w:szCs w:val="20"/>
              </w:rPr>
              <w:t xml:space="preserve"> initially, with a maximum of 9 cycles allowed under this restriction</w:t>
            </w:r>
            <w:r w:rsidRPr="00536A49">
              <w:rPr>
                <w:rStyle w:val="TableBold"/>
                <w:b w:val="0"/>
                <w:i/>
                <w:szCs w:val="20"/>
              </w:rPr>
              <w:t>.</w:t>
            </w:r>
          </w:p>
          <w:p w:rsidR="0035613C" w:rsidRPr="00536A49" w:rsidRDefault="0035613C" w:rsidP="00F304B8">
            <w:pPr>
              <w:pStyle w:val="TableBullets"/>
              <w:ind w:left="170" w:hanging="170"/>
              <w:rPr>
                <w:rStyle w:val="TableBold"/>
                <w:b w:val="0"/>
                <w:i/>
                <w:szCs w:val="20"/>
              </w:rPr>
            </w:pPr>
            <w:r w:rsidRPr="00536A49">
              <w:rPr>
                <w:rStyle w:val="TableBold"/>
                <w:b w:val="0"/>
                <w:i/>
                <w:szCs w:val="20"/>
              </w:rPr>
              <w:t xml:space="preserve">Progressive disease monitoring via a complete blood count must be taken at the end of each cycle. </w:t>
            </w:r>
          </w:p>
          <w:p w:rsidR="0035613C" w:rsidRPr="00536A49" w:rsidRDefault="0035613C" w:rsidP="00F304B8">
            <w:pPr>
              <w:pStyle w:val="TableBullets"/>
              <w:ind w:left="170" w:hanging="170"/>
              <w:rPr>
                <w:rStyle w:val="TableBold"/>
                <w:b w:val="0"/>
                <w:i/>
                <w:szCs w:val="20"/>
              </w:rPr>
            </w:pPr>
            <w:r w:rsidRPr="00536A49">
              <w:rPr>
                <w:rStyle w:val="TableBold"/>
                <w:b w:val="0"/>
                <w:i/>
                <w:szCs w:val="20"/>
              </w:rPr>
              <w:t xml:space="preserve">If abnormal blood counts suggest the potential for relapsed AML, a bone marrow biopsy must be performed to confirm the absence of progressive disease for the patient to be eligible for further cycles of midostaurin therapy. </w:t>
            </w:r>
          </w:p>
          <w:p w:rsidR="0035613C" w:rsidRPr="00536A49" w:rsidRDefault="0035613C" w:rsidP="00F304B8">
            <w:pPr>
              <w:pStyle w:val="TableBullets"/>
              <w:ind w:left="170" w:hanging="170"/>
              <w:rPr>
                <w:rStyle w:val="TableBold"/>
                <w:b w:val="0"/>
                <w:i/>
                <w:szCs w:val="20"/>
              </w:rPr>
            </w:pPr>
            <w:r w:rsidRPr="00536A49">
              <w:rPr>
                <w:rStyle w:val="TableBold"/>
                <w:b w:val="0"/>
                <w:i/>
                <w:szCs w:val="20"/>
              </w:rPr>
              <w:t>Progressive disease is defined as the presence of any of the following:</w:t>
            </w:r>
          </w:p>
          <w:p w:rsidR="0035613C" w:rsidRPr="00536A49" w:rsidRDefault="0035613C" w:rsidP="00F304B8">
            <w:pPr>
              <w:pStyle w:val="TableBullets"/>
              <w:numPr>
                <w:ilvl w:val="1"/>
                <w:numId w:val="9"/>
              </w:numPr>
              <w:ind w:left="1440"/>
              <w:rPr>
                <w:i/>
                <w:szCs w:val="20"/>
              </w:rPr>
            </w:pPr>
            <w:r w:rsidRPr="00536A49">
              <w:rPr>
                <w:i/>
                <w:szCs w:val="20"/>
              </w:rPr>
              <w:t>Leukaemic cells in the CSF</w:t>
            </w:r>
          </w:p>
          <w:p w:rsidR="0035613C" w:rsidRPr="00536A49" w:rsidRDefault="0035613C" w:rsidP="00F304B8">
            <w:pPr>
              <w:pStyle w:val="TableBullets"/>
              <w:numPr>
                <w:ilvl w:val="1"/>
                <w:numId w:val="9"/>
              </w:numPr>
              <w:ind w:left="1440"/>
              <w:rPr>
                <w:i/>
                <w:szCs w:val="20"/>
              </w:rPr>
            </w:pPr>
            <w:r w:rsidRPr="00536A49">
              <w:rPr>
                <w:i/>
                <w:szCs w:val="20"/>
              </w:rPr>
              <w:t>Re-appearance of circulating blast cells in the peripheral blood, not attributable to overshoot following recovery from myeloablative therapy</w:t>
            </w:r>
          </w:p>
          <w:p w:rsidR="0035613C" w:rsidRPr="00536A49" w:rsidRDefault="0035613C" w:rsidP="00F304B8">
            <w:pPr>
              <w:pStyle w:val="TableBullets"/>
              <w:numPr>
                <w:ilvl w:val="1"/>
                <w:numId w:val="9"/>
              </w:numPr>
              <w:ind w:left="1440"/>
              <w:rPr>
                <w:i/>
                <w:szCs w:val="20"/>
              </w:rPr>
            </w:pPr>
            <w:r w:rsidRPr="00536A49">
              <w:rPr>
                <w:i/>
                <w:szCs w:val="20"/>
              </w:rPr>
              <w:t>&gt;5% blasts in the marrow not attributable to bone marrow regeneration or another cause</w:t>
            </w:r>
          </w:p>
          <w:p w:rsidR="0035613C" w:rsidRPr="00536A49" w:rsidRDefault="0035613C" w:rsidP="00F304B8">
            <w:pPr>
              <w:pStyle w:val="TableBullets"/>
              <w:numPr>
                <w:ilvl w:val="1"/>
                <w:numId w:val="9"/>
              </w:numPr>
              <w:ind w:left="1440"/>
              <w:rPr>
                <w:i/>
              </w:rPr>
            </w:pPr>
            <w:r w:rsidRPr="00536A49">
              <w:rPr>
                <w:i/>
                <w:szCs w:val="20"/>
              </w:rPr>
              <w:t>Extramedullary leukaemia.</w:t>
            </w:r>
          </w:p>
        </w:tc>
      </w:tr>
    </w:tbl>
    <w:p w:rsidR="00644970" w:rsidRPr="00F30E35" w:rsidRDefault="00644970" w:rsidP="00E67D75">
      <w:pPr>
        <w:pStyle w:val="ListParagraph"/>
        <w:numPr>
          <w:ilvl w:val="1"/>
          <w:numId w:val="2"/>
        </w:numPr>
        <w:spacing w:after="120"/>
        <w:ind w:left="720" w:hanging="578"/>
        <w:jc w:val="both"/>
      </w:pPr>
      <w:r w:rsidRPr="00F30E35">
        <w:t>A Section 100</w:t>
      </w:r>
      <w:r w:rsidR="00712F28">
        <w:t xml:space="preserve"> (Efficient Funding of Chemotherapy – Public and Private hospital)</w:t>
      </w:r>
      <w:r w:rsidRPr="00F30E35">
        <w:t xml:space="preserve"> listing </w:t>
      </w:r>
      <w:r w:rsidR="00964C1F" w:rsidRPr="00F30E35">
        <w:t>was</w:t>
      </w:r>
      <w:r w:rsidRPr="00F30E35">
        <w:t xml:space="preserve"> requested for midostaurin. Induction therapy is provided to patients in the inpatient setting, therefore funding of midostaurin utilised in the induction </w:t>
      </w:r>
      <w:r w:rsidRPr="00F30E35">
        <w:lastRenderedPageBreak/>
        <w:t>setting is expected to fall within the budget of the hospitals, not the Commonwealth. However, the submission request</w:t>
      </w:r>
      <w:r w:rsidR="004B1B0C">
        <w:t>ed</w:t>
      </w:r>
      <w:r w:rsidRPr="00F30E35">
        <w:t xml:space="preserve"> that the PBAC consider funding midostaurin in the inpatient setting.</w:t>
      </w:r>
      <w:r w:rsidR="00C83E9D" w:rsidRPr="00F30E35">
        <w:t xml:space="preserve"> A similar request </w:t>
      </w:r>
      <w:r w:rsidR="004B1B0C">
        <w:t>had previously been</w:t>
      </w:r>
      <w:r w:rsidR="00C83E9D" w:rsidRPr="00F30E35">
        <w:t xml:space="preserve"> made for </w:t>
      </w:r>
      <w:r w:rsidR="00150FBC" w:rsidRPr="00F30E35">
        <w:t>blinatumomab;</w:t>
      </w:r>
      <w:r w:rsidR="002651DC" w:rsidRPr="00F30E35">
        <w:t xml:space="preserve"> however </w:t>
      </w:r>
      <w:r w:rsidR="00BC52ED">
        <w:t xml:space="preserve">in July 2016 </w:t>
      </w:r>
      <w:r w:rsidR="002651DC" w:rsidRPr="00F30E35">
        <w:t xml:space="preserve">the PBAC </w:t>
      </w:r>
      <w:r w:rsidR="001F5454">
        <w:t xml:space="preserve">had </w:t>
      </w:r>
      <w:r w:rsidR="002651DC" w:rsidRPr="00F30E35">
        <w:t>considered that “… PBS subsidised blinatumomab should not be provided to public hospital inpatients” (</w:t>
      </w:r>
      <w:r w:rsidR="006C471D" w:rsidRPr="00F30E35">
        <w:t>B</w:t>
      </w:r>
      <w:r w:rsidR="002651DC" w:rsidRPr="00F30E35">
        <w:t xml:space="preserve">linatumomab </w:t>
      </w:r>
      <w:r w:rsidR="00A64A7A" w:rsidRPr="00F30E35">
        <w:t>Public Summary Document (PSD)</w:t>
      </w:r>
      <w:r w:rsidR="002651DC" w:rsidRPr="00F30E35">
        <w:t>, July 2016).</w:t>
      </w:r>
      <w:r w:rsidR="00CB55ED" w:rsidRPr="00F30E35">
        <w:t xml:space="preserve"> </w:t>
      </w:r>
      <w:r w:rsidR="00A56D6A" w:rsidRPr="00F30E35">
        <w:t xml:space="preserve">The ESC </w:t>
      </w:r>
      <w:r w:rsidR="00B238FC">
        <w:t xml:space="preserve">and PBAC </w:t>
      </w:r>
      <w:r w:rsidR="00A56D6A" w:rsidRPr="00F30E35">
        <w:t xml:space="preserve">noted that currently patients with AML receive induction and consolidation therapy in the hospital inpatient setting. </w:t>
      </w:r>
    </w:p>
    <w:p w:rsidR="00BA0999" w:rsidRPr="00F30E35" w:rsidRDefault="00BA0999" w:rsidP="00A91E01">
      <w:pPr>
        <w:pStyle w:val="ListParagraph"/>
        <w:numPr>
          <w:ilvl w:val="1"/>
          <w:numId w:val="2"/>
        </w:numPr>
        <w:spacing w:after="0"/>
        <w:jc w:val="both"/>
      </w:pPr>
      <w:r w:rsidRPr="00F30E35">
        <w:t>Midostaurin 50</w:t>
      </w:r>
      <w:r w:rsidR="00ED18E2" w:rsidRPr="00F30E35">
        <w:t xml:space="preserve"> </w:t>
      </w:r>
      <w:r w:rsidRPr="00F30E35">
        <w:t>mg twice daily is proposed to be used:</w:t>
      </w:r>
    </w:p>
    <w:p w:rsidR="00BA0999" w:rsidRPr="00F30E35" w:rsidRDefault="00BA0999" w:rsidP="00B51A34">
      <w:pPr>
        <w:pStyle w:val="ListParagraph"/>
        <w:numPr>
          <w:ilvl w:val="0"/>
          <w:numId w:val="15"/>
        </w:numPr>
        <w:spacing w:before="0" w:after="0"/>
        <w:ind w:left="993" w:hanging="423"/>
        <w:jc w:val="both"/>
      </w:pPr>
      <w:r w:rsidRPr="00F30E35">
        <w:t xml:space="preserve">in combination with cytarabine and an anthracycline in induction therapy (days 8-21 of the chemotherapy cycle) for up to </w:t>
      </w:r>
      <w:r w:rsidR="009B63AE" w:rsidRPr="00F30E35">
        <w:t>two</w:t>
      </w:r>
      <w:r w:rsidRPr="00F30E35">
        <w:t xml:space="preserve"> cycles;</w:t>
      </w:r>
    </w:p>
    <w:p w:rsidR="00BA0999" w:rsidRPr="00F30E35" w:rsidRDefault="00BA0999" w:rsidP="00B51A34">
      <w:pPr>
        <w:pStyle w:val="ListParagraph"/>
        <w:numPr>
          <w:ilvl w:val="0"/>
          <w:numId w:val="15"/>
        </w:numPr>
        <w:spacing w:before="0" w:after="0"/>
        <w:ind w:left="993" w:hanging="423"/>
        <w:jc w:val="both"/>
      </w:pPr>
      <w:r w:rsidRPr="00F30E35">
        <w:t>in combination with high dose cytarabine in consolidation therapy (days 8-21 of the chemotherapy cycle) for up to four cycles; and</w:t>
      </w:r>
    </w:p>
    <w:p w:rsidR="00BA0999" w:rsidRPr="00F30E35" w:rsidRDefault="00BA0999" w:rsidP="00B51A34">
      <w:pPr>
        <w:pStyle w:val="ListParagraph"/>
        <w:numPr>
          <w:ilvl w:val="0"/>
          <w:numId w:val="15"/>
        </w:numPr>
        <w:spacing w:before="0" w:after="0"/>
        <w:ind w:left="993" w:hanging="423"/>
        <w:jc w:val="both"/>
      </w:pPr>
      <w:r w:rsidRPr="00F30E35">
        <w:t xml:space="preserve">as monotherapy as maintenance therapy for </w:t>
      </w:r>
      <w:r w:rsidR="009B63AE" w:rsidRPr="00F30E35">
        <w:t xml:space="preserve">up to </w:t>
      </w:r>
      <w:r w:rsidRPr="00F30E35">
        <w:t>12 cycles</w:t>
      </w:r>
      <w:r w:rsidR="009B63AE" w:rsidRPr="00F30E35">
        <w:t xml:space="preserve"> (daily)</w:t>
      </w:r>
      <w:r w:rsidRPr="00F30E35">
        <w:t xml:space="preserve"> in those who: </w:t>
      </w:r>
    </w:p>
    <w:p w:rsidR="00BA0999" w:rsidRPr="00F30E35" w:rsidRDefault="00BA0999" w:rsidP="005B77E9">
      <w:pPr>
        <w:pStyle w:val="ListParagraph"/>
        <w:numPr>
          <w:ilvl w:val="1"/>
          <w:numId w:val="17"/>
        </w:numPr>
        <w:tabs>
          <w:tab w:val="left" w:pos="1276"/>
        </w:tabs>
        <w:spacing w:before="0" w:after="0"/>
        <w:ind w:firstLine="131"/>
        <w:jc w:val="both"/>
      </w:pPr>
      <w:r w:rsidRPr="00F30E35">
        <w:t>maintain complete remission following consolidation therapy;</w:t>
      </w:r>
    </w:p>
    <w:p w:rsidR="00BA0999" w:rsidRPr="00F30E35" w:rsidRDefault="00BA0999" w:rsidP="005B77E9">
      <w:pPr>
        <w:pStyle w:val="ListParagraph"/>
        <w:numPr>
          <w:ilvl w:val="1"/>
          <w:numId w:val="17"/>
        </w:numPr>
        <w:tabs>
          <w:tab w:val="left" w:pos="1276"/>
        </w:tabs>
        <w:spacing w:before="0" w:after="0"/>
        <w:ind w:firstLine="131"/>
        <w:jc w:val="both"/>
      </w:pPr>
      <w:r w:rsidRPr="00F30E35">
        <w:t>do not show signs of progression; and</w:t>
      </w:r>
    </w:p>
    <w:p w:rsidR="00BA0999" w:rsidRPr="00F30E35" w:rsidRDefault="00BA0999" w:rsidP="005B77E9">
      <w:pPr>
        <w:pStyle w:val="ListParagraph"/>
        <w:numPr>
          <w:ilvl w:val="1"/>
          <w:numId w:val="17"/>
        </w:numPr>
        <w:tabs>
          <w:tab w:val="left" w:pos="1276"/>
        </w:tabs>
        <w:spacing w:before="0" w:after="0"/>
        <w:ind w:firstLine="131"/>
        <w:jc w:val="both"/>
      </w:pPr>
      <w:r w:rsidRPr="00F30E35">
        <w:t>do not undergo stem cell transplant (SCT).</w:t>
      </w:r>
    </w:p>
    <w:p w:rsidR="00A91E01" w:rsidRPr="00F30E35" w:rsidRDefault="008B1860" w:rsidP="00A91E01">
      <w:pPr>
        <w:pStyle w:val="ListParagraph"/>
        <w:numPr>
          <w:ilvl w:val="1"/>
          <w:numId w:val="2"/>
        </w:numPr>
        <w:spacing w:after="0"/>
        <w:jc w:val="both"/>
      </w:pPr>
      <w:r w:rsidRPr="00F30E35">
        <w:t>The ESC no</w:t>
      </w:r>
      <w:r w:rsidR="00A91E01" w:rsidRPr="00F30E35">
        <w:t>ted that the submission requested an Authority Required (</w:t>
      </w:r>
      <w:r w:rsidR="00AB0A58" w:rsidRPr="00F30E35">
        <w:t>streamlined</w:t>
      </w:r>
      <w:r w:rsidR="00A91E01" w:rsidRPr="00F30E35">
        <w:t xml:space="preserve">) listing for the induction therapy, as a rapid turn-around of approval process would be required, given that FLT3 mutation testing can take 2-3 working days and treatment can rarely wait to start. The ESC considered that this was a reasonable request, and advised that this could be achieved by either a telephone or streamlined authority. </w:t>
      </w:r>
    </w:p>
    <w:p w:rsidR="00A64A7A" w:rsidRPr="00F30E35" w:rsidRDefault="00E94319" w:rsidP="00A91E01">
      <w:pPr>
        <w:pStyle w:val="ListParagraph"/>
        <w:numPr>
          <w:ilvl w:val="1"/>
          <w:numId w:val="2"/>
        </w:numPr>
        <w:spacing w:after="0"/>
        <w:jc w:val="both"/>
      </w:pPr>
      <w:r w:rsidRPr="00F30E35">
        <w:t>Induction therapy with cytarabine and anthracycline is consistent with the current Australian clinical practice for the treatment of AML</w:t>
      </w:r>
      <w:r w:rsidR="004D1E72" w:rsidRPr="00F30E35">
        <w:t xml:space="preserve"> (these are the current regimens recommended on eviQ)</w:t>
      </w:r>
      <w:r w:rsidRPr="00F30E35">
        <w:t xml:space="preserve">. </w:t>
      </w:r>
      <w:r w:rsidR="00B36BC9" w:rsidRPr="00F30E35">
        <w:t xml:space="preserve">The ESC </w:t>
      </w:r>
      <w:r w:rsidR="00A91E01" w:rsidRPr="00F30E35">
        <w:t>advised</w:t>
      </w:r>
      <w:r w:rsidR="00B36BC9" w:rsidRPr="00F30E35">
        <w:t xml:space="preserve"> that in older patients, less intense chemotherapies such as fludarabine</w:t>
      </w:r>
      <w:r w:rsidR="009356F7" w:rsidRPr="00F30E35">
        <w:t>-based regimens</w:t>
      </w:r>
      <w:r w:rsidR="00B36BC9" w:rsidRPr="00F30E35">
        <w:t xml:space="preserve"> may be used in place of anthracyclines.</w:t>
      </w:r>
    </w:p>
    <w:p w:rsidR="006D6290" w:rsidRPr="00B378E6" w:rsidRDefault="006D6290" w:rsidP="00FE5162">
      <w:pPr>
        <w:pStyle w:val="ListParagraph"/>
        <w:numPr>
          <w:ilvl w:val="1"/>
          <w:numId w:val="2"/>
        </w:numPr>
        <w:spacing w:after="0"/>
        <w:jc w:val="both"/>
      </w:pPr>
      <w:r w:rsidRPr="00F30E35">
        <w:t>Acknowledging that there was a</w:t>
      </w:r>
      <w:r w:rsidR="00B238FC">
        <w:t>n inclusion</w:t>
      </w:r>
      <w:r w:rsidRPr="00F30E35">
        <w:t xml:space="preserve"> criteria of </w:t>
      </w:r>
      <w:r w:rsidR="001E39AA">
        <w:t>less</w:t>
      </w:r>
      <w:r w:rsidR="004535BB">
        <w:t xml:space="preserve"> than </w:t>
      </w:r>
      <w:r w:rsidRPr="00F30E35">
        <w:t>60 years o</w:t>
      </w:r>
      <w:r w:rsidR="004535BB">
        <w:t>f</w:t>
      </w:r>
      <w:r w:rsidRPr="00F30E35">
        <w:t xml:space="preserve"> </w:t>
      </w:r>
      <w:r w:rsidR="004535BB">
        <w:t>age</w:t>
      </w:r>
      <w:r w:rsidRPr="00F30E35">
        <w:t xml:space="preserve"> in the RATIFY trial, the submission proposed two alternative sets of </w:t>
      </w:r>
      <w:r w:rsidR="00B238FC">
        <w:t>restriction</w:t>
      </w:r>
      <w:r w:rsidR="00B238FC" w:rsidRPr="00F30E35">
        <w:t xml:space="preserve"> </w:t>
      </w:r>
      <w:r w:rsidRPr="00F30E35">
        <w:t xml:space="preserve">criteria, with and without an age restriction. The submission </w:t>
      </w:r>
      <w:r w:rsidR="00FE5162" w:rsidRPr="00F30E35">
        <w:t xml:space="preserve">and the Pre-Sub-Committee-Response (PSCR) </w:t>
      </w:r>
      <w:r w:rsidR="005572A0" w:rsidRPr="00F30E35">
        <w:t xml:space="preserve">(p1) </w:t>
      </w:r>
      <w:r w:rsidRPr="00F30E35">
        <w:t>argued that there was a clinical need for extending the listing to patients aged ≥60 years.</w:t>
      </w:r>
      <w:r w:rsidR="00FE5162" w:rsidRPr="00F30E35">
        <w:t xml:space="preserve"> The ESC </w:t>
      </w:r>
      <w:r w:rsidR="00AB0A58" w:rsidRPr="00F30E35">
        <w:t xml:space="preserve">agreed, and </w:t>
      </w:r>
      <w:r w:rsidR="00FE5162" w:rsidRPr="00F30E35">
        <w:t xml:space="preserve">considered that it was not appropriate to limit </w:t>
      </w:r>
      <w:r w:rsidR="00D82A76">
        <w:t>treatment</w:t>
      </w:r>
      <w:r w:rsidR="00FE5162" w:rsidRPr="00F30E35">
        <w:t xml:space="preserve"> to </w:t>
      </w:r>
      <w:r w:rsidR="004535BB">
        <w:t xml:space="preserve">patients younger than </w:t>
      </w:r>
      <w:r w:rsidR="00FE5162" w:rsidRPr="00F30E35">
        <w:t xml:space="preserve">60 years </w:t>
      </w:r>
      <w:r w:rsidR="004535BB">
        <w:t>of age</w:t>
      </w:r>
      <w:r w:rsidR="00FE5162" w:rsidRPr="00F30E35">
        <w:t xml:space="preserve"> on grounds of equity and access, </w:t>
      </w:r>
      <w:r w:rsidR="00FE5162" w:rsidRPr="00B378E6">
        <w:t xml:space="preserve">however the comparative benefit in the older subgroup remained unclear (see paragraphs </w:t>
      </w:r>
      <w:r w:rsidR="00AF2F5B" w:rsidRPr="00B378E6">
        <w:t>6.</w:t>
      </w:r>
      <w:r w:rsidR="00ED7A62" w:rsidRPr="00B378E6">
        <w:t>1</w:t>
      </w:r>
      <w:r w:rsidR="00180BBD" w:rsidRPr="00B378E6">
        <w:t>9</w:t>
      </w:r>
      <w:r w:rsidR="00B378E6">
        <w:t xml:space="preserve"> </w:t>
      </w:r>
      <w:r w:rsidR="00AF2F5B" w:rsidRPr="00B378E6">
        <w:t>and 6.</w:t>
      </w:r>
      <w:r w:rsidR="00B378E6" w:rsidRPr="00B378E6">
        <w:t>41</w:t>
      </w:r>
      <w:r w:rsidR="00FE5162" w:rsidRPr="00B378E6">
        <w:t>)</w:t>
      </w:r>
      <w:r w:rsidR="00B273CB" w:rsidRPr="00B378E6">
        <w:t>.</w:t>
      </w:r>
    </w:p>
    <w:p w:rsidR="00EA3CAE" w:rsidRPr="00EA3CAE" w:rsidRDefault="00D22344" w:rsidP="00EA3CAE">
      <w:pPr>
        <w:pStyle w:val="ListParagraph"/>
        <w:numPr>
          <w:ilvl w:val="1"/>
          <w:numId w:val="2"/>
        </w:numPr>
        <w:spacing w:after="0"/>
        <w:jc w:val="both"/>
      </w:pPr>
      <w:r>
        <w:t>The p</w:t>
      </w:r>
      <w:r w:rsidR="00EA3CAE">
        <w:t xml:space="preserve">re-PBAC Response </w:t>
      </w:r>
      <w:r>
        <w:t>(p</w:t>
      </w:r>
      <w:r w:rsidR="00D82A76">
        <w:t>3</w:t>
      </w:r>
      <w:r>
        <w:t>)</w:t>
      </w:r>
      <w:r w:rsidR="00D82A76">
        <w:t xml:space="preserve"> acknowledged</w:t>
      </w:r>
      <w:r w:rsidR="00EA3CAE">
        <w:t xml:space="preserve"> the potential for use of midostaurin outside the intended restriction as maintenance therapy following a stem cell transplant and proposed the restriction clarify that use in this setting (post stem cell </w:t>
      </w:r>
      <w:r w:rsidR="00EA3CAE" w:rsidRPr="002E3AE9">
        <w:t>transplant) was not permitted.</w:t>
      </w:r>
      <w:r w:rsidR="00EA3CAE">
        <w:t xml:space="preserve"> </w:t>
      </w:r>
    </w:p>
    <w:p w:rsidR="0027633D" w:rsidRPr="00E67D75" w:rsidRDefault="0027633D" w:rsidP="00E67D75">
      <w:pPr>
        <w:spacing w:after="0"/>
        <w:ind w:left="142"/>
        <w:jc w:val="both"/>
        <w:rPr>
          <w:i/>
        </w:rPr>
      </w:pPr>
      <w:r w:rsidRPr="00E67D75">
        <w:rPr>
          <w:i/>
        </w:rPr>
        <w:t>For more detail on PBAC’s view, see section 7 PBAC outcome.</w:t>
      </w:r>
    </w:p>
    <w:p w:rsidR="00C317F3" w:rsidRPr="00F30E35" w:rsidRDefault="00C317F3" w:rsidP="0067449D">
      <w:pPr>
        <w:pStyle w:val="Heading1"/>
      </w:pPr>
      <w:bookmarkStart w:id="5" w:name="_Toc413139273"/>
      <w:bookmarkStart w:id="6" w:name="_Toc482680463"/>
      <w:r w:rsidRPr="00F30E35">
        <w:lastRenderedPageBreak/>
        <w:t>Background</w:t>
      </w:r>
      <w:bookmarkEnd w:id="5"/>
      <w:bookmarkEnd w:id="6"/>
    </w:p>
    <w:p w:rsidR="00C317F3" w:rsidRDefault="00C317F3" w:rsidP="00DB0F2C">
      <w:pPr>
        <w:pStyle w:val="ListParagraph"/>
        <w:numPr>
          <w:ilvl w:val="1"/>
          <w:numId w:val="2"/>
        </w:numPr>
        <w:spacing w:after="120"/>
        <w:ind w:left="578" w:hanging="578"/>
        <w:jc w:val="both"/>
      </w:pPr>
      <w:r w:rsidRPr="00F30E35">
        <w:t>TGA status</w:t>
      </w:r>
      <w:r w:rsidR="00A65F99">
        <w:t xml:space="preserve"> at the time of PBAC </w:t>
      </w:r>
      <w:r w:rsidR="00F76FC2">
        <w:t>consideration</w:t>
      </w:r>
      <w:r w:rsidRPr="00F30E35">
        <w:t>: The submission was made un</w:t>
      </w:r>
      <w:r w:rsidR="00C57B12" w:rsidRPr="00F30E35">
        <w:t xml:space="preserve">der TGA/PBAC Parallel Process. </w:t>
      </w:r>
      <w:r w:rsidRPr="00F30E35">
        <w:t xml:space="preserve">At the time of </w:t>
      </w:r>
      <w:r w:rsidR="00C46AE5" w:rsidRPr="00F30E35">
        <w:t xml:space="preserve">evaluation for </w:t>
      </w:r>
      <w:r w:rsidRPr="00F30E35">
        <w:t xml:space="preserve">PBAC consideration, </w:t>
      </w:r>
      <w:r w:rsidR="00C57B12" w:rsidRPr="00F30E35">
        <w:t>no</w:t>
      </w:r>
      <w:r w:rsidRPr="00F30E35">
        <w:t xml:space="preserve"> TGA documents were available.</w:t>
      </w:r>
      <w:r w:rsidR="00E94319" w:rsidRPr="00F30E35">
        <w:t xml:space="preserve"> The submission indicated that the first round clinical evaluation report </w:t>
      </w:r>
      <w:r w:rsidR="004F1077">
        <w:t>wa</w:t>
      </w:r>
      <w:r w:rsidR="00E94319" w:rsidRPr="00F30E35">
        <w:t xml:space="preserve">s expected to be received in September 2017. </w:t>
      </w:r>
      <w:r w:rsidR="000F7117" w:rsidRPr="00F30E35">
        <w:t xml:space="preserve">No update on the TGA regulatory status was provided prior to the </w:t>
      </w:r>
      <w:r w:rsidR="00A65F99">
        <w:t>PBAC</w:t>
      </w:r>
      <w:r w:rsidR="00A65F99" w:rsidRPr="00F30E35">
        <w:t xml:space="preserve"> </w:t>
      </w:r>
      <w:r w:rsidR="000F7117" w:rsidRPr="00F30E35">
        <w:t>meeting.</w:t>
      </w:r>
      <w:r w:rsidR="002B5048" w:rsidRPr="00F30E35">
        <w:t xml:space="preserve"> </w:t>
      </w:r>
      <w:r w:rsidR="00A56D6A" w:rsidRPr="00F30E35">
        <w:t xml:space="preserve">The </w:t>
      </w:r>
      <w:r w:rsidR="002376A2">
        <w:t xml:space="preserve">PBAC </w:t>
      </w:r>
      <w:r w:rsidR="00580A43" w:rsidRPr="00F30E35">
        <w:t xml:space="preserve">noted that the </w:t>
      </w:r>
      <w:r w:rsidR="002B5048" w:rsidRPr="00F30E35">
        <w:t xml:space="preserve">TGA </w:t>
      </w:r>
      <w:r w:rsidR="00A56D6A" w:rsidRPr="00F30E35">
        <w:t>D</w:t>
      </w:r>
      <w:r w:rsidR="002B5048" w:rsidRPr="00F30E35">
        <w:t>elegate</w:t>
      </w:r>
      <w:r w:rsidR="00A56D6A" w:rsidRPr="00F30E35">
        <w:t>’</w:t>
      </w:r>
      <w:r w:rsidR="002B5048" w:rsidRPr="00F30E35">
        <w:t xml:space="preserve">s overview </w:t>
      </w:r>
      <w:r w:rsidR="00A56D6A" w:rsidRPr="00F30E35">
        <w:t xml:space="preserve">is </w:t>
      </w:r>
      <w:r w:rsidR="002B5048" w:rsidRPr="00F30E35">
        <w:t>due in March 2018</w:t>
      </w:r>
      <w:r w:rsidR="00A56D6A" w:rsidRPr="00F30E35">
        <w:t>.</w:t>
      </w:r>
    </w:p>
    <w:p w:rsidR="00EA3CAE" w:rsidRDefault="00EA3CAE" w:rsidP="00DB0F2C">
      <w:pPr>
        <w:pStyle w:val="ListParagraph"/>
        <w:numPr>
          <w:ilvl w:val="1"/>
          <w:numId w:val="2"/>
        </w:numPr>
        <w:spacing w:after="120"/>
        <w:ind w:left="578" w:hanging="578"/>
        <w:jc w:val="both"/>
      </w:pPr>
      <w:r>
        <w:t>The PBAC noted that</w:t>
      </w:r>
      <w:r w:rsidR="00F01447">
        <w:t xml:space="preserve"> the registered indication for midostaurin differed</w:t>
      </w:r>
      <w:r>
        <w:t xml:space="preserve"> in the United States</w:t>
      </w:r>
      <w:r w:rsidR="00F01447">
        <w:t xml:space="preserve"> compared with that in Europe and proposed in Australia in that</w:t>
      </w:r>
      <w:r>
        <w:t xml:space="preserve"> use in the maintenance setting </w:t>
      </w:r>
      <w:r w:rsidR="00F01447">
        <w:t>was not approved</w:t>
      </w:r>
      <w:r>
        <w:rPr>
          <w:rStyle w:val="FootnoteReference"/>
        </w:rPr>
        <w:footnoteReference w:id="1"/>
      </w:r>
      <w:r w:rsidR="00FC0088">
        <w:t>.</w:t>
      </w:r>
      <w:r>
        <w:t xml:space="preserve"> </w:t>
      </w:r>
      <w:r w:rsidR="00F01447">
        <w:t>The PBAC further noted that as no documents relating to the TGA’s assessment of midostaurin were available it was unknown if the TGA is likely to approve maintenance therapy</w:t>
      </w:r>
      <w:r>
        <w:t xml:space="preserve">. </w:t>
      </w:r>
    </w:p>
    <w:p w:rsidR="00C317F3" w:rsidRDefault="00C57B12" w:rsidP="00DB0F2C">
      <w:pPr>
        <w:pStyle w:val="ListParagraph"/>
        <w:numPr>
          <w:ilvl w:val="1"/>
          <w:numId w:val="2"/>
        </w:numPr>
        <w:spacing w:after="120"/>
        <w:ind w:left="578" w:hanging="578"/>
        <w:jc w:val="both"/>
      </w:pPr>
      <w:r w:rsidRPr="00DB0F2C">
        <w:rPr>
          <w:szCs w:val="24"/>
        </w:rPr>
        <w:t>Midostaurin</w:t>
      </w:r>
      <w:r w:rsidRPr="00F30E35">
        <w:t xml:space="preserve"> has not been previously considered by the PBAC.</w:t>
      </w:r>
    </w:p>
    <w:p w:rsidR="0027633D" w:rsidRPr="00F47303" w:rsidRDefault="0027633D" w:rsidP="00F47303">
      <w:pPr>
        <w:spacing w:after="0"/>
        <w:jc w:val="both"/>
        <w:rPr>
          <w:i/>
        </w:rPr>
      </w:pPr>
      <w:r w:rsidRPr="00F47303">
        <w:rPr>
          <w:i/>
        </w:rPr>
        <w:t>For more detail on PBAC’s view, see section 7 PBAC outcome.</w:t>
      </w:r>
    </w:p>
    <w:p w:rsidR="00C317F3" w:rsidRPr="00F30E35" w:rsidRDefault="00C317F3" w:rsidP="0067449D">
      <w:pPr>
        <w:pStyle w:val="Heading1"/>
      </w:pPr>
      <w:bookmarkStart w:id="7" w:name="_Toc482680464"/>
      <w:r w:rsidRPr="00F30E35">
        <w:t>Population and disease</w:t>
      </w:r>
      <w:bookmarkEnd w:id="7"/>
    </w:p>
    <w:p w:rsidR="009B63AE" w:rsidRPr="00F30E35" w:rsidRDefault="009B63AE" w:rsidP="00DB0F2C">
      <w:pPr>
        <w:pStyle w:val="ListParagraph"/>
        <w:numPr>
          <w:ilvl w:val="1"/>
          <w:numId w:val="2"/>
        </w:numPr>
        <w:spacing w:after="120"/>
        <w:ind w:left="578" w:hanging="578"/>
        <w:jc w:val="both"/>
      </w:pPr>
      <w:r w:rsidRPr="00F30E35">
        <w:t xml:space="preserve">AML is a rare (orphan) malignant disorder that is rapidly progressive and frequently fatal, with a five year survival rate of 24%. </w:t>
      </w:r>
    </w:p>
    <w:p w:rsidR="009B63AE" w:rsidRPr="00F30E35" w:rsidRDefault="009B63AE" w:rsidP="00DB0F2C">
      <w:pPr>
        <w:pStyle w:val="ListParagraph"/>
        <w:numPr>
          <w:ilvl w:val="1"/>
          <w:numId w:val="2"/>
        </w:numPr>
        <w:spacing w:after="120"/>
        <w:ind w:left="578" w:hanging="578"/>
        <w:jc w:val="both"/>
      </w:pPr>
      <w:r w:rsidRPr="00F30E35">
        <w:t>FLT3 mutation positive AML is recognised as a distinct subtype of AML that is associated with reduced complete remission rates and higher rates of relapse, accompanied by shorter survival post-relapse than their FLT3 wild type (WT) counterparts.</w:t>
      </w:r>
    </w:p>
    <w:p w:rsidR="009B63AE" w:rsidRPr="00F30E35" w:rsidRDefault="009B63AE" w:rsidP="00DB0F2C">
      <w:pPr>
        <w:pStyle w:val="ListParagraph"/>
        <w:numPr>
          <w:ilvl w:val="1"/>
          <w:numId w:val="2"/>
        </w:numPr>
        <w:spacing w:after="120"/>
        <w:ind w:left="578" w:hanging="578"/>
        <w:jc w:val="both"/>
      </w:pPr>
      <w:r w:rsidRPr="00F30E35">
        <w:t>FLT3 mutations are considered to be activating in nature and present as:</w:t>
      </w:r>
    </w:p>
    <w:p w:rsidR="009B63AE" w:rsidRPr="00F30E35" w:rsidRDefault="009B63AE" w:rsidP="00B51A34">
      <w:pPr>
        <w:pStyle w:val="ListParagraph"/>
        <w:numPr>
          <w:ilvl w:val="0"/>
          <w:numId w:val="15"/>
        </w:numPr>
        <w:spacing w:before="0" w:after="0"/>
        <w:ind w:left="993" w:hanging="423"/>
        <w:jc w:val="both"/>
      </w:pPr>
      <w:r w:rsidRPr="00F30E35">
        <w:t>internal tandem duplications (FLT3 ITD) in or near the juxtamembrane domain of the receptor (</w:t>
      </w:r>
      <w:r w:rsidR="00A56D6A" w:rsidRPr="00F30E35">
        <w:t xml:space="preserve">present at diagnosis in </w:t>
      </w:r>
      <w:r w:rsidRPr="00F30E35">
        <w:t>approximately 23-34% of adult AML patients and 10-17% of paediatric AML patients); and</w:t>
      </w:r>
    </w:p>
    <w:p w:rsidR="009B63AE" w:rsidRDefault="009B63AE" w:rsidP="00B51A34">
      <w:pPr>
        <w:pStyle w:val="ListParagraph"/>
        <w:numPr>
          <w:ilvl w:val="0"/>
          <w:numId w:val="15"/>
        </w:numPr>
        <w:spacing w:before="0" w:after="0"/>
        <w:ind w:left="993" w:hanging="423"/>
        <w:jc w:val="both"/>
      </w:pPr>
      <w:r w:rsidRPr="00F30E35">
        <w:t>missense point mutations resulting in single amino acid substitutions occurring within the activation loop of the tyrosine kinase domain (FLT3 TKD) (incidence of 5-10%</w:t>
      </w:r>
      <w:r w:rsidR="00A56D6A" w:rsidRPr="00F30E35">
        <w:t>,</w:t>
      </w:r>
      <w:r w:rsidRPr="00F30E35">
        <w:t xml:space="preserve"> and most frequently </w:t>
      </w:r>
      <w:r w:rsidR="00A56D6A" w:rsidRPr="00F30E35">
        <w:t xml:space="preserve">involving </w:t>
      </w:r>
      <w:r w:rsidRPr="00F30E35">
        <w:t>mutations of the D835 residue of a TKD).</w:t>
      </w:r>
    </w:p>
    <w:p w:rsidR="008023E7" w:rsidRPr="00F30E35" w:rsidRDefault="008023E7" w:rsidP="00DB0F2C">
      <w:pPr>
        <w:pStyle w:val="ListParagraph"/>
        <w:numPr>
          <w:ilvl w:val="1"/>
          <w:numId w:val="2"/>
        </w:numPr>
        <w:spacing w:after="120"/>
        <w:ind w:left="578" w:hanging="578"/>
        <w:jc w:val="both"/>
      </w:pPr>
      <w:r w:rsidRPr="00DB0F2C">
        <w:rPr>
          <w:szCs w:val="24"/>
        </w:rPr>
        <w:t>The</w:t>
      </w:r>
      <w:r w:rsidRPr="00F30E35">
        <w:t xml:space="preserve"> ESC </w:t>
      </w:r>
      <w:r w:rsidR="00BC4868" w:rsidRPr="00F30E35">
        <w:t xml:space="preserve">noted </w:t>
      </w:r>
      <w:r w:rsidRPr="00F30E35">
        <w:t>that the type of FLT3 mutation, ITD or TKD, is itself prognostic for survival in patients with AML</w:t>
      </w:r>
      <w:r w:rsidR="00BC4868" w:rsidRPr="00F30E35">
        <w:t>. Further,</w:t>
      </w:r>
      <w:r w:rsidRPr="00F30E35">
        <w:t xml:space="preserve"> TKD mutations </w:t>
      </w:r>
      <w:r w:rsidR="00C55CDD" w:rsidRPr="00F30E35">
        <w:t>are associated with better OS than</w:t>
      </w:r>
      <w:r w:rsidRPr="00F30E35">
        <w:t xml:space="preserve"> ITD. Recently, new data have emerged which indicate that the presence of a TKD mutation together with a </w:t>
      </w:r>
      <w:r w:rsidR="00957E7E" w:rsidRPr="00F30E35">
        <w:rPr>
          <w:lang w:val="en-US"/>
        </w:rPr>
        <w:t>nucleophosphomin (</w:t>
      </w:r>
      <w:r w:rsidRPr="00F30E35">
        <w:t>NPM1</w:t>
      </w:r>
      <w:r w:rsidR="00957E7E" w:rsidRPr="00F30E35">
        <w:t>)</w:t>
      </w:r>
      <w:r w:rsidRPr="00F30E35">
        <w:t xml:space="preserve"> </w:t>
      </w:r>
      <w:r w:rsidR="00A56D6A" w:rsidRPr="00F30E35">
        <w:t xml:space="preserve">mutation </w:t>
      </w:r>
      <w:r w:rsidRPr="00F30E35">
        <w:t xml:space="preserve">is </w:t>
      </w:r>
      <w:r w:rsidR="00B42868" w:rsidRPr="00F30E35">
        <w:t xml:space="preserve">a </w:t>
      </w:r>
      <w:r w:rsidR="00C55CDD" w:rsidRPr="00F30E35">
        <w:t>highly</w:t>
      </w:r>
      <w:r w:rsidRPr="00F30E35">
        <w:t xml:space="preserve"> favourable prognostic indicator in AML patients</w:t>
      </w:r>
      <w:r w:rsidR="00957E7E" w:rsidRPr="00F30E35">
        <w:t>.</w:t>
      </w:r>
      <w:r w:rsidR="00957E7E" w:rsidRPr="00F30E35">
        <w:rPr>
          <w:rStyle w:val="FootnoteReference"/>
        </w:rPr>
        <w:footnoteReference w:id="2"/>
      </w:r>
      <w:r w:rsidRPr="00F30E35">
        <w:t xml:space="preserve"> </w:t>
      </w:r>
      <w:r w:rsidR="005F5317" w:rsidRPr="00F30E35">
        <w:t>The ESC advised that w</w:t>
      </w:r>
      <w:r w:rsidRPr="00F30E35">
        <w:t xml:space="preserve">hile assessment of NPM1 status is routine in the treatment of AML patients in Australian clinical practice, </w:t>
      </w:r>
      <w:r w:rsidR="00B42868" w:rsidRPr="00F30E35">
        <w:t xml:space="preserve">and </w:t>
      </w:r>
      <w:r w:rsidR="00B42868" w:rsidRPr="00F30E35">
        <w:lastRenderedPageBreak/>
        <w:t xml:space="preserve">was used in </w:t>
      </w:r>
      <w:r w:rsidR="005F5317" w:rsidRPr="00F30E35">
        <w:t>a</w:t>
      </w:r>
      <w:r w:rsidR="00B42868" w:rsidRPr="00F30E35">
        <w:t xml:space="preserve"> propensity matched analysis discussed in the PSCR</w:t>
      </w:r>
      <w:r w:rsidR="005572A0" w:rsidRPr="00F30E35">
        <w:t xml:space="preserve"> (p1)</w:t>
      </w:r>
      <w:r w:rsidR="00150FBC" w:rsidRPr="00F30E35">
        <w:t>;</w:t>
      </w:r>
      <w:r w:rsidR="00B42868" w:rsidRPr="00F30E35">
        <w:t xml:space="preserve"> </w:t>
      </w:r>
      <w:r w:rsidRPr="00F30E35">
        <w:t xml:space="preserve">its potential interaction with treatment effects observed for midostaurin is as yet unknown. </w:t>
      </w:r>
    </w:p>
    <w:p w:rsidR="005F1F1A" w:rsidRPr="00F30E35" w:rsidRDefault="009B63AE" w:rsidP="00DB0F2C">
      <w:pPr>
        <w:pStyle w:val="ListParagraph"/>
        <w:numPr>
          <w:ilvl w:val="1"/>
          <w:numId w:val="2"/>
        </w:numPr>
        <w:spacing w:after="120"/>
        <w:ind w:left="578" w:hanging="578"/>
        <w:jc w:val="both"/>
      </w:pPr>
      <w:r w:rsidRPr="00DB0F2C">
        <w:rPr>
          <w:szCs w:val="24"/>
        </w:rPr>
        <w:t>Testing</w:t>
      </w:r>
      <w:r w:rsidRPr="00F30E35">
        <w:t xml:space="preserve"> for </w:t>
      </w:r>
      <w:r w:rsidRPr="00EA3CAE">
        <w:rPr>
          <w:i/>
        </w:rPr>
        <w:t>FLT3</w:t>
      </w:r>
      <w:r w:rsidRPr="00F30E35">
        <w:t xml:space="preserve"> mutations is </w:t>
      </w:r>
      <w:r w:rsidR="00077650" w:rsidRPr="00F30E35">
        <w:t xml:space="preserve">currently subsidised on the MBS (item numbers 73314, 73315) and is routinely conducted as the general “work-up” for patients diagnosed with AML. </w:t>
      </w:r>
      <w:r w:rsidR="002B5048" w:rsidRPr="00F30E35">
        <w:t>T</w:t>
      </w:r>
      <w:r w:rsidR="00C7408D" w:rsidRPr="00F30E35">
        <w:t xml:space="preserve">he ESC noted that </w:t>
      </w:r>
      <w:r w:rsidR="00C7408D" w:rsidRPr="00EA3CAE">
        <w:rPr>
          <w:i/>
        </w:rPr>
        <w:t>FLT3</w:t>
      </w:r>
      <w:r w:rsidR="00C7408D" w:rsidRPr="00F30E35">
        <w:t xml:space="preserve"> </w:t>
      </w:r>
      <w:r w:rsidR="002B5048" w:rsidRPr="00F30E35">
        <w:t xml:space="preserve">testing is done for prognostic purposes and to stratify patients for future allograft. </w:t>
      </w:r>
      <w:r w:rsidR="00077650" w:rsidRPr="00F30E35">
        <w:t xml:space="preserve">Correspondence from MSAC indicated “… as long as the provision of midostaurin does not change the </w:t>
      </w:r>
      <w:r w:rsidR="00077650" w:rsidRPr="00F30E35">
        <w:rPr>
          <w:u w:val="single"/>
        </w:rPr>
        <w:t>intent</w:t>
      </w:r>
      <w:r w:rsidR="00077650" w:rsidRPr="00F30E35">
        <w:t xml:space="preserve"> of FLT3 testing currently reimbursed utilising the MBS item code 73314 (i.e. no change to the treatment population or service volumes) then there is no requirement for an application to the MSAC process.” As </w:t>
      </w:r>
      <w:r w:rsidR="00077650" w:rsidRPr="00EA3CAE">
        <w:rPr>
          <w:i/>
        </w:rPr>
        <w:t>FLT3</w:t>
      </w:r>
      <w:r w:rsidR="00077650" w:rsidRPr="00F30E35">
        <w:t xml:space="preserve"> testing is currently being undertaken as the general “work-up” for patients with AML, there is likely to be no change to the treatment population or the service volumes, however the </w:t>
      </w:r>
      <w:r w:rsidR="00077650" w:rsidRPr="00F30E35">
        <w:rPr>
          <w:u w:val="single"/>
        </w:rPr>
        <w:t>intent</w:t>
      </w:r>
      <w:r w:rsidR="00077650" w:rsidRPr="00F30E35">
        <w:t xml:space="preserve"> of testing would </w:t>
      </w:r>
      <w:r w:rsidR="00222F9D">
        <w:t>evolve</w:t>
      </w:r>
      <w:r w:rsidR="00222F9D" w:rsidRPr="00F30E35">
        <w:t xml:space="preserve"> </w:t>
      </w:r>
      <w:r w:rsidR="00077650" w:rsidRPr="00F30E35">
        <w:t xml:space="preserve">from one of </w:t>
      </w:r>
      <w:r w:rsidR="00AA0AB2" w:rsidRPr="00F30E35">
        <w:t>prognos</w:t>
      </w:r>
      <w:r w:rsidR="00AA0AB2">
        <w:t>tication</w:t>
      </w:r>
      <w:r w:rsidR="00A837E3">
        <w:t>, including</w:t>
      </w:r>
      <w:r w:rsidR="00AA0AB2">
        <w:t xml:space="preserve"> </w:t>
      </w:r>
      <w:r w:rsidR="00011B03">
        <w:t xml:space="preserve">selection for SCT </w:t>
      </w:r>
      <w:r w:rsidR="00077650" w:rsidRPr="00F30E35">
        <w:t xml:space="preserve">to now </w:t>
      </w:r>
      <w:r w:rsidR="007A7A77">
        <w:t xml:space="preserve">include determining </w:t>
      </w:r>
      <w:r w:rsidR="00077650" w:rsidRPr="00F30E35">
        <w:t xml:space="preserve">eligibility for a </w:t>
      </w:r>
      <w:r w:rsidR="00011B03">
        <w:t xml:space="preserve">specific </w:t>
      </w:r>
      <w:r w:rsidR="00077650" w:rsidRPr="00F30E35">
        <w:t>PBS-listed therapy.</w:t>
      </w:r>
      <w:r w:rsidR="0004770E" w:rsidRPr="00F30E35">
        <w:t xml:space="preserve"> </w:t>
      </w:r>
      <w:r w:rsidR="00B10444" w:rsidRPr="00167921">
        <w:t xml:space="preserve">The PBAC </w:t>
      </w:r>
      <w:r w:rsidR="00B10444">
        <w:t>advised</w:t>
      </w:r>
      <w:r w:rsidR="00B10444" w:rsidRPr="00167921">
        <w:t xml:space="preserve"> that</w:t>
      </w:r>
      <w:r w:rsidR="00B10444">
        <w:t xml:space="preserve"> </w:t>
      </w:r>
      <w:r w:rsidR="00B10444" w:rsidRPr="00167921">
        <w:t>FLT3 mutation testing is routinely conducted as standard clinical practice for most patients diagnosed with AML</w:t>
      </w:r>
      <w:r w:rsidR="002579A5">
        <w:t xml:space="preserve"> who are suitable for intensive induction therapy. </w:t>
      </w:r>
      <w:r w:rsidR="008F1ED3">
        <w:t>In some centres</w:t>
      </w:r>
      <w:r w:rsidR="00520C49">
        <w:t>,</w:t>
      </w:r>
      <w:r w:rsidR="008F1ED3">
        <w:t xml:space="preserve"> it is not performed</w:t>
      </w:r>
      <w:r w:rsidR="00B10444" w:rsidRPr="00167921">
        <w:t xml:space="preserve"> </w:t>
      </w:r>
      <w:r w:rsidR="008F1ED3" w:rsidRPr="00167921">
        <w:t>whe</w:t>
      </w:r>
      <w:r w:rsidR="008F1ED3">
        <w:t>n</w:t>
      </w:r>
      <w:r w:rsidR="008F1ED3" w:rsidRPr="00167921">
        <w:t xml:space="preserve"> </w:t>
      </w:r>
      <w:r w:rsidR="00B10444" w:rsidRPr="00167921">
        <w:t>cytogen</w:t>
      </w:r>
      <w:r w:rsidR="00CB43E2">
        <w:t>et</w:t>
      </w:r>
      <w:r w:rsidR="00B10444" w:rsidRPr="00167921">
        <w:t>ics indicated a favourable or unfavourable prognosis (as opposed to an intermediate prognosis, where the presence of FLT3 mutations has the most utility as a prognostic indicator)</w:t>
      </w:r>
      <w:r w:rsidR="008F1ED3">
        <w:t xml:space="preserve">, but </w:t>
      </w:r>
      <w:r w:rsidR="00520C49">
        <w:t>increasingly it is becoming uniform</w:t>
      </w:r>
      <w:r w:rsidR="006B565B">
        <w:t xml:space="preserve"> in line with international guidelines</w:t>
      </w:r>
      <w:r w:rsidR="00520C49">
        <w:t xml:space="preserve"> that antedate FDA approval of midostaurin</w:t>
      </w:r>
      <w:r w:rsidR="00B10444" w:rsidRPr="00167921">
        <w:t>.</w:t>
      </w:r>
      <w:r w:rsidR="00B10444">
        <w:t xml:space="preserve"> </w:t>
      </w:r>
      <w:r w:rsidR="00B10444" w:rsidRPr="00167921">
        <w:t xml:space="preserve">As such, the PBAC </w:t>
      </w:r>
      <w:r w:rsidR="00B10444">
        <w:t xml:space="preserve">foreshadowed that </w:t>
      </w:r>
      <w:r w:rsidR="00520C49">
        <w:t xml:space="preserve">while </w:t>
      </w:r>
      <w:r w:rsidR="00B10444">
        <w:t xml:space="preserve">the PBS listing of midostaurin </w:t>
      </w:r>
      <w:r w:rsidR="0051726D">
        <w:t xml:space="preserve">may </w:t>
      </w:r>
      <w:r w:rsidR="00B10444">
        <w:t>result in a</w:t>
      </w:r>
      <w:r w:rsidR="00B10444" w:rsidRPr="00167921">
        <w:t xml:space="preserve"> </w:t>
      </w:r>
      <w:r w:rsidR="0051726D">
        <w:t>m</w:t>
      </w:r>
      <w:r w:rsidR="006B565B">
        <w:t>inor</w:t>
      </w:r>
      <w:r w:rsidR="0051726D" w:rsidRPr="00167921">
        <w:t xml:space="preserve"> </w:t>
      </w:r>
      <w:r w:rsidR="00B10444">
        <w:t xml:space="preserve">increase in the </w:t>
      </w:r>
      <w:r w:rsidR="00B10444" w:rsidRPr="00167921">
        <w:t>service volumes of FLT3 testing</w:t>
      </w:r>
      <w:r w:rsidR="00520C49">
        <w:t>, the over</w:t>
      </w:r>
      <w:r w:rsidR="00B47099">
        <w:t>arching</w:t>
      </w:r>
      <w:r w:rsidR="00520C49">
        <w:t xml:space="preserve"> purpose of testing</w:t>
      </w:r>
      <w:r w:rsidR="004D0A6E">
        <w:t xml:space="preserve">, </w:t>
      </w:r>
      <w:r w:rsidR="00BF7BA9">
        <w:t>i.e.</w:t>
      </w:r>
      <w:r w:rsidR="00E2326B">
        <w:t xml:space="preserve"> to guide </w:t>
      </w:r>
      <w:r w:rsidR="00B47099">
        <w:t>management</w:t>
      </w:r>
      <w:r w:rsidR="004D0A6E">
        <w:t>,</w:t>
      </w:r>
      <w:r w:rsidR="00E2326B">
        <w:t xml:space="preserve"> has not changed.</w:t>
      </w:r>
    </w:p>
    <w:p w:rsidR="00B36BC9" w:rsidRDefault="00B36BC9" w:rsidP="00DB0F2C">
      <w:pPr>
        <w:pStyle w:val="ListParagraph"/>
        <w:numPr>
          <w:ilvl w:val="1"/>
          <w:numId w:val="2"/>
        </w:numPr>
        <w:spacing w:after="120"/>
        <w:ind w:left="578" w:hanging="578"/>
        <w:jc w:val="both"/>
      </w:pPr>
      <w:r w:rsidRPr="00DB0F2C">
        <w:rPr>
          <w:szCs w:val="24"/>
        </w:rPr>
        <w:t>The</w:t>
      </w:r>
      <w:r w:rsidRPr="00F30E35">
        <w:t xml:space="preserve"> ESC </w:t>
      </w:r>
      <w:r w:rsidR="00C7408D" w:rsidRPr="00F30E35">
        <w:t xml:space="preserve">considered that while it was reasonable to assume that the PBS listing of midostaurin would not alter the intent or the population of the current MBS listing for </w:t>
      </w:r>
      <w:r w:rsidR="00C7408D" w:rsidRPr="00EA3CAE">
        <w:rPr>
          <w:i/>
        </w:rPr>
        <w:t>FLT3</w:t>
      </w:r>
      <w:r w:rsidR="00C7408D" w:rsidRPr="00F30E35">
        <w:t xml:space="preserve"> testing, </w:t>
      </w:r>
      <w:r w:rsidRPr="00F30E35">
        <w:t xml:space="preserve">the current evidence for the use of midostaurin in </w:t>
      </w:r>
      <w:r w:rsidRPr="00EA3CAE">
        <w:rPr>
          <w:i/>
        </w:rPr>
        <w:t>FLT3</w:t>
      </w:r>
      <w:r w:rsidRPr="00F30E35">
        <w:t xml:space="preserve"> AML has been informed by studies conducted in </w:t>
      </w:r>
      <w:r w:rsidRPr="00EA3CAE">
        <w:rPr>
          <w:i/>
        </w:rPr>
        <w:t>FLT3</w:t>
      </w:r>
      <w:r w:rsidRPr="00F30E35">
        <w:t xml:space="preserve"> positive patients</w:t>
      </w:r>
      <w:r w:rsidR="00C7408D" w:rsidRPr="00F30E35">
        <w:t xml:space="preserve"> alone</w:t>
      </w:r>
      <w:r w:rsidRPr="00F30E35">
        <w:t xml:space="preserve">. </w:t>
      </w:r>
      <w:r w:rsidR="00C7408D" w:rsidRPr="00F30E35">
        <w:t xml:space="preserve">As such, in the absence of data comparing the effect of midostaurin in </w:t>
      </w:r>
      <w:r w:rsidR="00C7408D" w:rsidRPr="00EA3CAE">
        <w:rPr>
          <w:i/>
        </w:rPr>
        <w:t>FLT3</w:t>
      </w:r>
      <w:r w:rsidR="00C7408D" w:rsidRPr="00F30E35">
        <w:t xml:space="preserve"> positive as well as </w:t>
      </w:r>
      <w:r w:rsidR="00C7408D" w:rsidRPr="00EA3CAE">
        <w:rPr>
          <w:i/>
        </w:rPr>
        <w:t>FLT3</w:t>
      </w:r>
      <w:r w:rsidR="00C7408D" w:rsidRPr="00F30E35">
        <w:t xml:space="preserve"> negative/wild type subgroups, it was unclear whether </w:t>
      </w:r>
      <w:r w:rsidR="00C7408D" w:rsidRPr="00EA3CAE">
        <w:rPr>
          <w:i/>
        </w:rPr>
        <w:t>FLT3</w:t>
      </w:r>
      <w:r w:rsidR="00C7408D" w:rsidRPr="00F30E35">
        <w:t xml:space="preserve"> mutation status was a treatment effect modifier. </w:t>
      </w:r>
    </w:p>
    <w:p w:rsidR="00713253" w:rsidRPr="00F30E35" w:rsidRDefault="00077650" w:rsidP="00DB0F2C">
      <w:pPr>
        <w:pStyle w:val="ListParagraph"/>
        <w:numPr>
          <w:ilvl w:val="1"/>
          <w:numId w:val="2"/>
        </w:numPr>
        <w:spacing w:after="120"/>
        <w:ind w:left="578" w:hanging="578"/>
        <w:jc w:val="both"/>
        <w:rPr>
          <w:lang w:val="en-GB"/>
        </w:rPr>
      </w:pPr>
      <w:r w:rsidRPr="00DB0F2C">
        <w:rPr>
          <w:szCs w:val="24"/>
        </w:rPr>
        <w:t>Midostaurin</w:t>
      </w:r>
      <w:r w:rsidRPr="00F30E35">
        <w:t xml:space="preserve"> is intended to be used in combination with AML induction and consolidation chemotherapy regimens and as a substitute to “watch and wait” for patients who do not undergo a SCT.</w:t>
      </w:r>
      <w:r w:rsidR="00713253" w:rsidRPr="00F30E35">
        <w:t xml:space="preserve"> </w:t>
      </w:r>
    </w:p>
    <w:p w:rsidR="00C317F3" w:rsidRPr="00F30E35" w:rsidRDefault="00713253" w:rsidP="00DB0F2C">
      <w:pPr>
        <w:pStyle w:val="ListParagraph"/>
        <w:numPr>
          <w:ilvl w:val="1"/>
          <w:numId w:val="2"/>
        </w:numPr>
        <w:spacing w:after="120"/>
        <w:ind w:left="578" w:hanging="578"/>
        <w:jc w:val="both"/>
        <w:rPr>
          <w:lang w:val="en-GB"/>
        </w:rPr>
      </w:pPr>
      <w:r w:rsidRPr="00F30E35">
        <w:t>The ESC considered that the treatment algorithm presented by the submission did not accurately reflect current practice in Australia for FLT3 positive AML. In particular, the submission assumed patients would undergo four cycles of consolidation chemotherapy, and that midostaurin would be used in the maintenance setting (post consolidation, for up to 12 months). Currently, patients with AML do not receive maintenance therapy. In addition, the use of four cycles of consolidation is reserved for FLT3 positive patients with an accompanying core binding factor (CBF) mutation; the standard is two cycles, and potentially only one if the patient is proceeding to an all</w:t>
      </w:r>
      <w:r w:rsidR="00ED7A62" w:rsidRPr="00F30E35">
        <w:t>o</w:t>
      </w:r>
      <w:r w:rsidRPr="00F30E35">
        <w:t xml:space="preserve">graft. </w:t>
      </w:r>
      <w:r w:rsidR="00EA3CAE">
        <w:t>The PBAC agreed with ESC</w:t>
      </w:r>
      <w:r w:rsidR="006E4346">
        <w:t>,</w:t>
      </w:r>
      <w:r w:rsidR="00EA3CAE">
        <w:t xml:space="preserve"> </w:t>
      </w:r>
      <w:r w:rsidR="006E4346">
        <w:t xml:space="preserve">and </w:t>
      </w:r>
      <w:r w:rsidR="00EA3CAE">
        <w:t>considered</w:t>
      </w:r>
      <w:r w:rsidR="006E4346">
        <w:t xml:space="preserve"> that this </w:t>
      </w:r>
      <w:r w:rsidR="00EA3CAE">
        <w:t>would have an impact on the proposed restriction</w:t>
      </w:r>
      <w:r w:rsidR="006E4346">
        <w:t xml:space="preserve"> and the financial estimates. </w:t>
      </w:r>
    </w:p>
    <w:p w:rsidR="00341A80" w:rsidRPr="0027633D" w:rsidRDefault="00341A80" w:rsidP="00DB0F2C">
      <w:pPr>
        <w:pStyle w:val="ListParagraph"/>
        <w:numPr>
          <w:ilvl w:val="1"/>
          <w:numId w:val="2"/>
        </w:numPr>
        <w:spacing w:after="120"/>
        <w:ind w:left="578" w:hanging="578"/>
        <w:jc w:val="both"/>
        <w:rPr>
          <w:lang w:val="en-GB"/>
        </w:rPr>
      </w:pPr>
      <w:r w:rsidRPr="00DB0F2C">
        <w:rPr>
          <w:szCs w:val="24"/>
        </w:rPr>
        <w:t>Additionally</w:t>
      </w:r>
      <w:r w:rsidRPr="00F30E35">
        <w:t xml:space="preserve">, the ESC noted that </w:t>
      </w:r>
      <w:r w:rsidR="005B0A93">
        <w:t xml:space="preserve">the </w:t>
      </w:r>
      <w:r w:rsidRPr="00F30E35">
        <w:t xml:space="preserve">proposed clinical algorithm presented in the submission did not include the use of midostaurin post-allograft, but only as use in </w:t>
      </w:r>
      <w:r w:rsidRPr="00F30E35">
        <w:lastRenderedPageBreak/>
        <w:t xml:space="preserve">consolidation or maintenance pre-allograft. </w:t>
      </w:r>
      <w:r w:rsidR="00EA3CAE">
        <w:t>While</w:t>
      </w:r>
      <w:r w:rsidR="00EA3CAE" w:rsidRPr="00F30E35">
        <w:t xml:space="preserve"> midostaurin was used post-allograft in the AMLGS-16-10 study</w:t>
      </w:r>
      <w:r w:rsidR="00EA3CAE">
        <w:t>, the PBAC noted it was not used post-allograft in the RATIFY trial</w:t>
      </w:r>
      <w:r w:rsidR="00EA3CAE" w:rsidRPr="00F30E35">
        <w:t xml:space="preserve">. </w:t>
      </w:r>
      <w:r w:rsidR="00EA3CAE">
        <w:t>The pre-PBAC Response (p3) stated that the intent of the restriction was to limit use to patients who had not undergone an allograft, consistent with the RATIFY trial.</w:t>
      </w:r>
    </w:p>
    <w:p w:rsidR="0027633D" w:rsidRPr="00AE638E" w:rsidRDefault="0027633D" w:rsidP="00AE638E">
      <w:pPr>
        <w:spacing w:after="0"/>
        <w:jc w:val="both"/>
        <w:rPr>
          <w:i/>
        </w:rPr>
      </w:pPr>
      <w:r w:rsidRPr="00AE638E">
        <w:rPr>
          <w:i/>
        </w:rPr>
        <w:t>For more detail on PBAC’s view, see section 7 PBAC outcome.</w:t>
      </w:r>
    </w:p>
    <w:p w:rsidR="00C317F3" w:rsidRPr="00F30E35" w:rsidRDefault="00C317F3" w:rsidP="0067449D">
      <w:pPr>
        <w:pStyle w:val="Heading1"/>
      </w:pPr>
      <w:bookmarkStart w:id="8" w:name="_Toc413139275"/>
      <w:bookmarkStart w:id="9" w:name="_Toc482680465"/>
      <w:r w:rsidRPr="00F30E35">
        <w:t>Comparator</w:t>
      </w:r>
      <w:bookmarkEnd w:id="8"/>
      <w:bookmarkEnd w:id="9"/>
    </w:p>
    <w:p w:rsidR="0095170D" w:rsidRPr="0027633D" w:rsidRDefault="005D03E6" w:rsidP="00DB0F2C">
      <w:pPr>
        <w:pStyle w:val="ListParagraph"/>
        <w:numPr>
          <w:ilvl w:val="1"/>
          <w:numId w:val="2"/>
        </w:numPr>
        <w:spacing w:after="120"/>
        <w:ind w:left="578" w:hanging="578"/>
        <w:jc w:val="both"/>
        <w:rPr>
          <w:lang w:val="en-GB"/>
        </w:rPr>
      </w:pPr>
      <w:r w:rsidRPr="00DB0F2C">
        <w:rPr>
          <w:szCs w:val="24"/>
        </w:rPr>
        <w:t>The</w:t>
      </w:r>
      <w:r w:rsidRPr="00F30E35">
        <w:t xml:space="preserve"> submission nominated p</w:t>
      </w:r>
      <w:r w:rsidR="00C317F3" w:rsidRPr="00F30E35">
        <w:t xml:space="preserve">lacebo for </w:t>
      </w:r>
      <w:r w:rsidR="00C57B12" w:rsidRPr="00F30E35">
        <w:t xml:space="preserve">no treatment, in combination with </w:t>
      </w:r>
      <w:r w:rsidR="00192A59" w:rsidRPr="00F30E35">
        <w:t>cytarabine and an anthracycline in induction therapy; in combination with high dose cytarabine in consolidation therapy; and alone in maintenance (continuing therapy)</w:t>
      </w:r>
      <w:r w:rsidRPr="00F30E35">
        <w:t>, as the main comparator</w:t>
      </w:r>
      <w:r w:rsidR="00C57B12" w:rsidRPr="00F30E35">
        <w:t xml:space="preserve">. </w:t>
      </w:r>
      <w:r w:rsidR="00192A59" w:rsidRPr="00F30E35">
        <w:t>Th</w:t>
      </w:r>
      <w:r w:rsidR="00C459F8" w:rsidRPr="00F30E35">
        <w:t>e ESC agreed that this wa</w:t>
      </w:r>
      <w:r w:rsidR="00192A59" w:rsidRPr="00F30E35">
        <w:t xml:space="preserve">s </w:t>
      </w:r>
      <w:r w:rsidR="00C317F3" w:rsidRPr="00F30E35">
        <w:t xml:space="preserve">the appropriate comparator. </w:t>
      </w:r>
    </w:p>
    <w:p w:rsidR="0027633D" w:rsidRPr="00AE638E" w:rsidRDefault="0027633D" w:rsidP="00AE638E">
      <w:pPr>
        <w:jc w:val="both"/>
        <w:rPr>
          <w:i/>
        </w:rPr>
      </w:pPr>
      <w:r w:rsidRPr="00AE638E">
        <w:rPr>
          <w:i/>
        </w:rPr>
        <w:t>For more detail on PBAC’s view, see section 7 PBAC outcome.</w:t>
      </w:r>
    </w:p>
    <w:p w:rsidR="00C317F3" w:rsidRPr="00F30E35" w:rsidRDefault="00C317F3" w:rsidP="0067449D">
      <w:pPr>
        <w:pStyle w:val="Heading1"/>
      </w:pPr>
      <w:bookmarkStart w:id="10" w:name="_Toc413139276"/>
      <w:bookmarkStart w:id="11" w:name="_Toc482680466"/>
      <w:r w:rsidRPr="00F30E35">
        <w:t>Consideration of the evidence</w:t>
      </w:r>
      <w:bookmarkEnd w:id="10"/>
      <w:bookmarkEnd w:id="11"/>
    </w:p>
    <w:p w:rsidR="001E39AA" w:rsidRPr="001E39AA" w:rsidRDefault="001E39AA" w:rsidP="00B91DCC">
      <w:pPr>
        <w:pStyle w:val="Heading2"/>
        <w:rPr>
          <w:rFonts w:cs="Arial"/>
          <w:b w:val="0"/>
          <w:bCs/>
          <w:i w:val="0"/>
          <w:snapToGrid w:val="0"/>
        </w:rPr>
      </w:pPr>
      <w:bookmarkStart w:id="12" w:name="_Toc413139277"/>
      <w:bookmarkStart w:id="13" w:name="_Toc482680467"/>
      <w:r w:rsidRPr="00B91DCC">
        <w:t>Sponsor hearing</w:t>
      </w:r>
    </w:p>
    <w:p w:rsidR="001E39AA" w:rsidRPr="001E39AA" w:rsidRDefault="001E39AA" w:rsidP="00DB0F2C">
      <w:pPr>
        <w:pStyle w:val="ListParagraph"/>
        <w:numPr>
          <w:ilvl w:val="1"/>
          <w:numId w:val="2"/>
        </w:numPr>
        <w:spacing w:after="120"/>
        <w:ind w:left="578" w:hanging="578"/>
        <w:jc w:val="both"/>
      </w:pPr>
      <w:r w:rsidRPr="00DB0F2C">
        <w:rPr>
          <w:szCs w:val="24"/>
        </w:rPr>
        <w:t>There</w:t>
      </w:r>
      <w:r w:rsidRPr="001E39AA">
        <w:t xml:space="preserve"> was no hearing for this item</w:t>
      </w:r>
    </w:p>
    <w:p w:rsidR="0039695A" w:rsidRPr="001E39AA" w:rsidRDefault="0039695A" w:rsidP="00B91DCC">
      <w:pPr>
        <w:pStyle w:val="Heading2"/>
        <w:rPr>
          <w:rFonts w:cs="Arial"/>
          <w:b w:val="0"/>
          <w:bCs/>
          <w:i w:val="0"/>
          <w:snapToGrid w:val="0"/>
        </w:rPr>
      </w:pPr>
      <w:r w:rsidRPr="00B91DCC">
        <w:t>Consumer comments</w:t>
      </w:r>
    </w:p>
    <w:p w:rsidR="00AD56EC" w:rsidRPr="001E39AA" w:rsidRDefault="00AD56EC" w:rsidP="00DB0F2C">
      <w:pPr>
        <w:pStyle w:val="ListParagraph"/>
        <w:numPr>
          <w:ilvl w:val="1"/>
          <w:numId w:val="2"/>
        </w:numPr>
        <w:spacing w:after="120"/>
        <w:ind w:left="578" w:hanging="578"/>
        <w:jc w:val="both"/>
        <w:rPr>
          <w:rFonts w:cs="Arial"/>
          <w:bCs/>
          <w:snapToGrid w:val="0"/>
        </w:rPr>
      </w:pPr>
      <w:r w:rsidRPr="001E39AA">
        <w:rPr>
          <w:rFonts w:cs="Arial"/>
          <w:bCs/>
          <w:snapToGrid w:val="0"/>
        </w:rPr>
        <w:t>The PBAC noted that no consumer comments were received for this item.</w:t>
      </w:r>
    </w:p>
    <w:p w:rsidR="00C317F3" w:rsidRPr="00924268" w:rsidRDefault="00C317F3" w:rsidP="00C57B12">
      <w:pPr>
        <w:pStyle w:val="Heading2"/>
      </w:pPr>
      <w:r w:rsidRPr="00924268">
        <w:t>Clinical trials</w:t>
      </w:r>
      <w:bookmarkEnd w:id="12"/>
      <w:bookmarkEnd w:id="13"/>
    </w:p>
    <w:p w:rsidR="00192A59" w:rsidRPr="00F30E35" w:rsidRDefault="00192A59" w:rsidP="00DB0F2C">
      <w:pPr>
        <w:pStyle w:val="ListParagraph"/>
        <w:numPr>
          <w:ilvl w:val="1"/>
          <w:numId w:val="2"/>
        </w:numPr>
        <w:spacing w:after="120"/>
        <w:ind w:left="578" w:hanging="578"/>
        <w:jc w:val="both"/>
      </w:pPr>
      <w:r w:rsidRPr="001E39AA">
        <w:t>The submission was</w:t>
      </w:r>
      <w:r w:rsidRPr="00F30E35">
        <w:t xml:space="preserve"> based on one trial comparing midostaurin versus placebo in the induction, consolidation, and maintenance </w:t>
      </w:r>
      <w:r w:rsidR="0061796C">
        <w:t>phases of</w:t>
      </w:r>
      <w:r w:rsidRPr="00F30E35">
        <w:t xml:space="preserve"> treatment of FLT3 mutation positive AML patients aged </w:t>
      </w:r>
      <w:r w:rsidRPr="00F30E35">
        <w:rPr>
          <w:rFonts w:cstheme="minorHAnsi"/>
        </w:rPr>
        <w:t>≤</w:t>
      </w:r>
      <w:r w:rsidRPr="00F30E35">
        <w:t xml:space="preserve">59 years (RATIFY). </w:t>
      </w:r>
    </w:p>
    <w:p w:rsidR="00192A59" w:rsidRPr="00F30E35" w:rsidRDefault="00192A59" w:rsidP="00DB0F2C">
      <w:pPr>
        <w:pStyle w:val="ListParagraph"/>
        <w:numPr>
          <w:ilvl w:val="1"/>
          <w:numId w:val="2"/>
        </w:numPr>
        <w:spacing w:after="120"/>
        <w:ind w:left="578" w:hanging="578"/>
        <w:jc w:val="both"/>
      </w:pPr>
      <w:r w:rsidRPr="00F30E35">
        <w:t xml:space="preserve">The submission also included one supplementary single arm study of midostaurin treated AML patients of the ITD FLT3 mutation subtype, between the ages of 18 and 70 years (AMLSG-16-10), to support listing for treatment in patients aged 60 years and older. </w:t>
      </w:r>
    </w:p>
    <w:p w:rsidR="00C317F3" w:rsidRPr="00F30E35" w:rsidRDefault="00C317F3" w:rsidP="00DB0F2C">
      <w:pPr>
        <w:pStyle w:val="ListParagraph"/>
        <w:numPr>
          <w:ilvl w:val="1"/>
          <w:numId w:val="2"/>
        </w:numPr>
        <w:spacing w:after="120"/>
        <w:ind w:left="578" w:hanging="578"/>
        <w:jc w:val="both"/>
      </w:pPr>
      <w:r w:rsidRPr="00DB0F2C">
        <w:rPr>
          <w:szCs w:val="24"/>
        </w:rPr>
        <w:t>Details</w:t>
      </w:r>
      <w:r w:rsidRPr="00F30E35">
        <w:t xml:space="preserve"> of the trials </w:t>
      </w:r>
      <w:r w:rsidR="006C471D" w:rsidRPr="00F30E35">
        <w:t xml:space="preserve">and studies </w:t>
      </w:r>
      <w:r w:rsidRPr="00F30E35">
        <w:t xml:space="preserve">presented in the submission are provided </w:t>
      </w:r>
      <w:r w:rsidR="00A56D6A" w:rsidRPr="00F30E35">
        <w:t xml:space="preserve">in </w:t>
      </w:r>
      <w:r w:rsidR="00192A59" w:rsidRPr="00F30E35">
        <w:t>Table 2</w:t>
      </w:r>
      <w:r w:rsidRPr="00F30E35">
        <w:t xml:space="preserve">.  </w:t>
      </w:r>
    </w:p>
    <w:p w:rsidR="00192A59" w:rsidRPr="00F30E35" w:rsidRDefault="00192A59" w:rsidP="00192A59">
      <w:pPr>
        <w:pStyle w:val="TableHeading0"/>
      </w:pPr>
      <w:r w:rsidRPr="00F30E35">
        <w:lastRenderedPageBreak/>
        <w:t>Table 2: Trials</w:t>
      </w:r>
      <w:r w:rsidR="006C471D" w:rsidRPr="00F30E35">
        <w:t>/studies</w:t>
      </w:r>
      <w:r w:rsidRPr="00F30E35">
        <w:t xml:space="preserve"> and associated reports presented in the submission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22"/>
        <w:gridCol w:w="5713"/>
        <w:gridCol w:w="1856"/>
      </w:tblGrid>
      <w:tr w:rsidR="00192A59" w:rsidRPr="00F30E35" w:rsidTr="00D27CC6">
        <w:tc>
          <w:tcPr>
            <w:tcW w:w="791" w:type="pct"/>
          </w:tcPr>
          <w:p w:rsidR="00192A59" w:rsidRPr="00F30E35" w:rsidRDefault="00192A59" w:rsidP="00E0145C">
            <w:pPr>
              <w:pStyle w:val="TableText"/>
              <w:rPr>
                <w:b/>
              </w:rPr>
            </w:pPr>
            <w:r w:rsidRPr="00F30E35">
              <w:rPr>
                <w:b/>
              </w:rPr>
              <w:t>Trial</w:t>
            </w:r>
          </w:p>
        </w:tc>
        <w:tc>
          <w:tcPr>
            <w:tcW w:w="3177" w:type="pct"/>
            <w:vAlign w:val="center"/>
          </w:tcPr>
          <w:p w:rsidR="00192A59" w:rsidRPr="00F30E35" w:rsidRDefault="00192A59" w:rsidP="00E0145C">
            <w:pPr>
              <w:pStyle w:val="TableText"/>
              <w:jc w:val="center"/>
              <w:rPr>
                <w:b/>
              </w:rPr>
            </w:pPr>
            <w:r w:rsidRPr="00F30E35">
              <w:rPr>
                <w:b/>
              </w:rPr>
              <w:t>Protocol title/ Publication title</w:t>
            </w:r>
          </w:p>
        </w:tc>
        <w:tc>
          <w:tcPr>
            <w:tcW w:w="1032" w:type="pct"/>
            <w:vAlign w:val="center"/>
          </w:tcPr>
          <w:p w:rsidR="00192A59" w:rsidRPr="00F30E35" w:rsidRDefault="00192A59" w:rsidP="00E0145C">
            <w:pPr>
              <w:pStyle w:val="TableText"/>
              <w:jc w:val="center"/>
              <w:rPr>
                <w:b/>
              </w:rPr>
            </w:pPr>
            <w:r w:rsidRPr="00F30E35">
              <w:rPr>
                <w:b/>
              </w:rPr>
              <w:t>Publication citation</w:t>
            </w:r>
          </w:p>
        </w:tc>
      </w:tr>
      <w:tr w:rsidR="00192A59" w:rsidRPr="00F30E35" w:rsidTr="00D27CC6">
        <w:tc>
          <w:tcPr>
            <w:tcW w:w="5000" w:type="pct"/>
            <w:gridSpan w:val="3"/>
          </w:tcPr>
          <w:p w:rsidR="00192A59" w:rsidRPr="00F30E35" w:rsidRDefault="00192A59" w:rsidP="00E0145C">
            <w:pPr>
              <w:pStyle w:val="TableText"/>
              <w:rPr>
                <w:b/>
              </w:rPr>
            </w:pPr>
            <w:r w:rsidRPr="00F30E35">
              <w:rPr>
                <w:b/>
              </w:rPr>
              <w:t>Direct randomised trial</w:t>
            </w:r>
          </w:p>
        </w:tc>
      </w:tr>
      <w:tr w:rsidR="00192A59" w:rsidRPr="00F30E35" w:rsidTr="00D27CC6">
        <w:trPr>
          <w:trHeight w:val="778"/>
        </w:trPr>
        <w:tc>
          <w:tcPr>
            <w:tcW w:w="791" w:type="pct"/>
            <w:vMerge w:val="restart"/>
            <w:vAlign w:val="center"/>
          </w:tcPr>
          <w:p w:rsidR="00192A59" w:rsidRPr="00F30E35" w:rsidRDefault="00192A59" w:rsidP="00E0145C">
            <w:pPr>
              <w:pStyle w:val="TableText"/>
            </w:pPr>
            <w:r w:rsidRPr="00F30E35">
              <w:t>RATIFY (A2301)</w:t>
            </w:r>
          </w:p>
        </w:tc>
        <w:tc>
          <w:tcPr>
            <w:tcW w:w="3177" w:type="pct"/>
            <w:tcBorders>
              <w:bottom w:val="nil"/>
            </w:tcBorders>
          </w:tcPr>
          <w:p w:rsidR="00192A59" w:rsidRPr="00F30E35" w:rsidRDefault="00192A59" w:rsidP="00E0145C">
            <w:pPr>
              <w:pStyle w:val="TableText"/>
            </w:pPr>
            <w:r w:rsidRPr="00F30E35">
              <w:t>A Phase III, randomised double-blind study of induction (daunorubicin and cytarabine) and consolidation (high-dose cytarabine) chemotherapy + midostaurin (PKC412) or placebo in newly diagnosed patients less than 60 years of age with FLT-3 mutated acute myeloid leukaemia (AML).</w:t>
            </w:r>
          </w:p>
        </w:tc>
        <w:tc>
          <w:tcPr>
            <w:tcW w:w="1032" w:type="pct"/>
            <w:tcBorders>
              <w:bottom w:val="nil"/>
            </w:tcBorders>
          </w:tcPr>
          <w:p w:rsidR="00192A59" w:rsidRPr="00F30E35" w:rsidRDefault="00192A59" w:rsidP="00E0145C">
            <w:pPr>
              <w:pStyle w:val="TableText"/>
            </w:pPr>
            <w:r w:rsidRPr="00F30E35">
              <w:t>July 2016.</w:t>
            </w:r>
          </w:p>
        </w:tc>
      </w:tr>
      <w:tr w:rsidR="00192A59" w:rsidRPr="00F30E35" w:rsidTr="00D27CC6">
        <w:trPr>
          <w:trHeight w:val="395"/>
        </w:trPr>
        <w:tc>
          <w:tcPr>
            <w:tcW w:w="791" w:type="pct"/>
            <w:vMerge/>
          </w:tcPr>
          <w:p w:rsidR="00192A59" w:rsidRPr="00F30E35" w:rsidRDefault="00192A59" w:rsidP="00E0145C">
            <w:pPr>
              <w:pStyle w:val="TableText"/>
            </w:pPr>
          </w:p>
        </w:tc>
        <w:tc>
          <w:tcPr>
            <w:tcW w:w="3177" w:type="pct"/>
            <w:tcBorders>
              <w:top w:val="nil"/>
              <w:bottom w:val="nil"/>
            </w:tcBorders>
          </w:tcPr>
          <w:p w:rsidR="00192A59" w:rsidRPr="00F30E35" w:rsidRDefault="00192A59" w:rsidP="00E0145C">
            <w:pPr>
              <w:pStyle w:val="TableText"/>
            </w:pPr>
            <w:r w:rsidRPr="00F30E35">
              <w:t xml:space="preserve">Stone, R.M., et al., CALGB 10603 (RATIFY): A randomized phase III study of induction (daunorubicin/cytarabine) and consolidation (high-dose cytarabine) chemotherapy combined with midostaurin or placebo in treatment-naive patients with FLT3 mutated AML. </w:t>
            </w:r>
          </w:p>
        </w:tc>
        <w:tc>
          <w:tcPr>
            <w:tcW w:w="1032" w:type="pct"/>
            <w:tcBorders>
              <w:top w:val="nil"/>
              <w:bottom w:val="nil"/>
            </w:tcBorders>
          </w:tcPr>
          <w:p w:rsidR="00192A59" w:rsidRPr="00F30E35" w:rsidRDefault="00192A59" w:rsidP="00E0145C">
            <w:pPr>
              <w:pStyle w:val="TableText"/>
            </w:pPr>
            <w:r w:rsidRPr="00F30E35">
              <w:t>Journal of Clinical Oncology, 2011. 29(15).</w:t>
            </w:r>
          </w:p>
        </w:tc>
      </w:tr>
      <w:tr w:rsidR="00192A59" w:rsidRPr="00F30E35" w:rsidTr="00D27CC6">
        <w:trPr>
          <w:trHeight w:val="1231"/>
        </w:trPr>
        <w:tc>
          <w:tcPr>
            <w:tcW w:w="791" w:type="pct"/>
            <w:vMerge/>
            <w:tcBorders>
              <w:bottom w:val="nil"/>
            </w:tcBorders>
          </w:tcPr>
          <w:p w:rsidR="00192A59" w:rsidRPr="00F30E35" w:rsidRDefault="00192A59" w:rsidP="00E0145C">
            <w:pPr>
              <w:pStyle w:val="TableText"/>
            </w:pPr>
          </w:p>
        </w:tc>
        <w:tc>
          <w:tcPr>
            <w:tcW w:w="3177" w:type="pct"/>
            <w:tcBorders>
              <w:top w:val="nil"/>
              <w:bottom w:val="nil"/>
            </w:tcBorders>
          </w:tcPr>
          <w:p w:rsidR="00192A59" w:rsidRPr="00F30E35" w:rsidRDefault="00192A59" w:rsidP="00E0145C">
            <w:pPr>
              <w:pStyle w:val="TableText"/>
            </w:pPr>
            <w:r w:rsidRPr="00F30E35">
              <w:t xml:space="preserve">Stone, R.M., et al., The multi-kinase inhibitor midostaurin (M) prolongs survival compared with placebo (P) in combination with daunorubicin (D)/cytarabine (C) induction (ind), high-dose c consolidation (CONSOL), and as maintenance (MAINT) therapy in newly diagnosed acute myeloid leukemia (AML) patients (PTS) age 18-60 with FLT3 mutations (MUTS): An international prospective randomized (RAND) P-controlled double-blind trial (calgb 10603/ratify [alliance]). </w:t>
            </w:r>
          </w:p>
        </w:tc>
        <w:tc>
          <w:tcPr>
            <w:tcW w:w="1032" w:type="pct"/>
            <w:tcBorders>
              <w:top w:val="nil"/>
              <w:bottom w:val="nil"/>
            </w:tcBorders>
          </w:tcPr>
          <w:p w:rsidR="00192A59" w:rsidRPr="00F30E35" w:rsidRDefault="00192A59" w:rsidP="00E0145C">
            <w:pPr>
              <w:pStyle w:val="TableText"/>
            </w:pPr>
            <w:r w:rsidRPr="00F30E35">
              <w:t>Blood, 2015. 126(23): p. 6.</w:t>
            </w:r>
          </w:p>
        </w:tc>
      </w:tr>
      <w:tr w:rsidR="00192A59" w:rsidRPr="00F30E35" w:rsidTr="00D27CC6">
        <w:tc>
          <w:tcPr>
            <w:tcW w:w="5000" w:type="pct"/>
            <w:gridSpan w:val="3"/>
          </w:tcPr>
          <w:p w:rsidR="00192A59" w:rsidRPr="00F30E35" w:rsidRDefault="00192A59" w:rsidP="006C471D">
            <w:pPr>
              <w:pStyle w:val="TableText"/>
              <w:rPr>
                <w:b/>
              </w:rPr>
            </w:pPr>
            <w:r w:rsidRPr="00F30E35">
              <w:rPr>
                <w:b/>
              </w:rPr>
              <w:t xml:space="preserve">Supplementary </w:t>
            </w:r>
            <w:r w:rsidR="006C471D" w:rsidRPr="00F30E35">
              <w:rPr>
                <w:b/>
              </w:rPr>
              <w:t>study</w:t>
            </w:r>
          </w:p>
        </w:tc>
      </w:tr>
      <w:tr w:rsidR="00192A59" w:rsidRPr="00F30E35" w:rsidTr="00D27CC6">
        <w:trPr>
          <w:trHeight w:val="297"/>
        </w:trPr>
        <w:tc>
          <w:tcPr>
            <w:tcW w:w="791" w:type="pct"/>
            <w:vMerge w:val="restart"/>
            <w:vAlign w:val="center"/>
          </w:tcPr>
          <w:p w:rsidR="00192A59" w:rsidRPr="00F30E35" w:rsidRDefault="00192A59" w:rsidP="00E0145C">
            <w:pPr>
              <w:pStyle w:val="TableText"/>
            </w:pPr>
            <w:r w:rsidRPr="00F30E35">
              <w:t>AMLSG 16-10</w:t>
            </w:r>
          </w:p>
        </w:tc>
        <w:tc>
          <w:tcPr>
            <w:tcW w:w="3177" w:type="pct"/>
            <w:tcBorders>
              <w:bottom w:val="nil"/>
            </w:tcBorders>
          </w:tcPr>
          <w:p w:rsidR="00192A59" w:rsidRPr="00F30E35" w:rsidRDefault="00192A59" w:rsidP="00E0145C">
            <w:pPr>
              <w:pStyle w:val="TableText"/>
            </w:pPr>
            <w:r w:rsidRPr="00F30E35">
              <w:t>Schlenk, R.F., et al., Impact of age and midostaurin-dose on response and outcome in acute myeloid leukemia with FLT3-ITD: Interim-analyses of the AMLSG 16-10 trial.</w:t>
            </w:r>
          </w:p>
        </w:tc>
        <w:tc>
          <w:tcPr>
            <w:tcW w:w="1032" w:type="pct"/>
            <w:tcBorders>
              <w:bottom w:val="nil"/>
            </w:tcBorders>
          </w:tcPr>
          <w:p w:rsidR="00192A59" w:rsidRPr="00F30E35" w:rsidRDefault="00192A59" w:rsidP="00E0145C">
            <w:pPr>
              <w:pStyle w:val="TableText"/>
            </w:pPr>
            <w:r w:rsidRPr="00F30E35">
              <w:t>Blood, 2016. 128(22).ASH abstract 2016</w:t>
            </w:r>
          </w:p>
        </w:tc>
      </w:tr>
      <w:tr w:rsidR="00192A59" w:rsidRPr="00F30E35" w:rsidTr="00D27CC6">
        <w:trPr>
          <w:trHeight w:val="375"/>
        </w:trPr>
        <w:tc>
          <w:tcPr>
            <w:tcW w:w="791" w:type="pct"/>
            <w:vMerge/>
          </w:tcPr>
          <w:p w:rsidR="00192A59" w:rsidRPr="00F30E35" w:rsidRDefault="00192A59" w:rsidP="00E0145C">
            <w:pPr>
              <w:pStyle w:val="TableText"/>
            </w:pPr>
          </w:p>
        </w:tc>
        <w:tc>
          <w:tcPr>
            <w:tcW w:w="3177" w:type="pct"/>
            <w:tcBorders>
              <w:top w:val="nil"/>
            </w:tcBorders>
          </w:tcPr>
          <w:p w:rsidR="00192A59" w:rsidRPr="00F30E35" w:rsidRDefault="00192A59" w:rsidP="00E0145C">
            <w:pPr>
              <w:pStyle w:val="TableText"/>
            </w:pPr>
            <w:r w:rsidRPr="00F30E35">
              <w:t xml:space="preserve">Schlenk, R., et al., Midostaurin in combination with intensive induction and as single agent maintenance therapy after consolidation therapy with allogeneic hematopoietic stem cell transplantation or high-dose cytarabine (NCT01477606). </w:t>
            </w:r>
          </w:p>
        </w:tc>
        <w:tc>
          <w:tcPr>
            <w:tcW w:w="1032" w:type="pct"/>
            <w:tcBorders>
              <w:top w:val="nil"/>
            </w:tcBorders>
          </w:tcPr>
          <w:p w:rsidR="00192A59" w:rsidRPr="00F30E35" w:rsidRDefault="00192A59" w:rsidP="00E0145C">
            <w:pPr>
              <w:pStyle w:val="TableText"/>
            </w:pPr>
            <w:r w:rsidRPr="00F30E35">
              <w:t>Blood, 2015. 126 (23): p. 322.</w:t>
            </w:r>
          </w:p>
        </w:tc>
      </w:tr>
    </w:tbl>
    <w:p w:rsidR="00192A59" w:rsidRPr="00F30E35" w:rsidRDefault="00192A59" w:rsidP="00192A59">
      <w:pPr>
        <w:pStyle w:val="TableFooter"/>
      </w:pPr>
      <w:r w:rsidRPr="00F30E35">
        <w:t>Source: Table 2.2.-1, p88-89 of the submission.</w:t>
      </w:r>
    </w:p>
    <w:p w:rsidR="00C317F3" w:rsidRPr="00F30E35" w:rsidRDefault="009F1058" w:rsidP="00DB0F2C">
      <w:pPr>
        <w:pStyle w:val="ListParagraph"/>
        <w:numPr>
          <w:ilvl w:val="1"/>
          <w:numId w:val="2"/>
        </w:numPr>
        <w:spacing w:after="120"/>
        <w:ind w:left="578" w:hanging="578"/>
        <w:jc w:val="both"/>
      </w:pPr>
      <w:r w:rsidRPr="00F30E35">
        <w:t>T</w:t>
      </w:r>
      <w:r w:rsidR="00C317F3" w:rsidRPr="00F30E35">
        <w:t xml:space="preserve">he </w:t>
      </w:r>
      <w:r w:rsidR="00C317F3" w:rsidRPr="00DB0F2C">
        <w:rPr>
          <w:szCs w:val="24"/>
        </w:rPr>
        <w:t>key</w:t>
      </w:r>
      <w:r w:rsidR="00C317F3" w:rsidRPr="00F30E35">
        <w:t xml:space="preserve"> features of the direct randomised trial are summarised in </w:t>
      </w:r>
      <w:r w:rsidRPr="00F30E35">
        <w:t>Table 3</w:t>
      </w:r>
      <w:r w:rsidR="00C317F3" w:rsidRPr="00F30E35">
        <w:t xml:space="preserve">.  </w:t>
      </w:r>
    </w:p>
    <w:p w:rsidR="00C317F3" w:rsidRPr="00F30E35" w:rsidRDefault="00C317F3" w:rsidP="00D1078F">
      <w:pPr>
        <w:pStyle w:val="TableHeading0"/>
      </w:pPr>
      <w:r w:rsidRPr="00F30E35">
        <w:t xml:space="preserve">Table </w:t>
      </w:r>
      <w:r w:rsidR="009F1058" w:rsidRPr="00F30E35">
        <w:t>3</w:t>
      </w:r>
      <w:r w:rsidRPr="00F30E35">
        <w:t>: Key features of the included evidence</w:t>
      </w:r>
      <w:r w:rsidR="00624315" w:rsidRPr="00F30E35">
        <w:t xml:space="preserve">, </w:t>
      </w:r>
      <w:r w:rsidR="000736E3" w:rsidRPr="00F30E35">
        <w:t>midostaurin versus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2"/>
        <w:gridCol w:w="714"/>
        <w:gridCol w:w="1856"/>
        <w:gridCol w:w="714"/>
        <w:gridCol w:w="2000"/>
        <w:gridCol w:w="1571"/>
        <w:gridCol w:w="1375"/>
      </w:tblGrid>
      <w:tr w:rsidR="00C317F3" w:rsidRPr="00F30E35" w:rsidTr="009F1058">
        <w:tc>
          <w:tcPr>
            <w:tcW w:w="469" w:type="pct"/>
            <w:shd w:val="clear" w:color="auto" w:fill="auto"/>
            <w:vAlign w:val="center"/>
          </w:tcPr>
          <w:p w:rsidR="00C317F3" w:rsidRPr="00F30E35" w:rsidRDefault="00C317F3" w:rsidP="00D1078F">
            <w:pPr>
              <w:pStyle w:val="TableText"/>
              <w:rPr>
                <w:b/>
              </w:rPr>
            </w:pPr>
            <w:r w:rsidRPr="00F30E35">
              <w:rPr>
                <w:b/>
              </w:rPr>
              <w:t>Trial</w:t>
            </w:r>
          </w:p>
        </w:tc>
        <w:tc>
          <w:tcPr>
            <w:tcW w:w="393" w:type="pct"/>
            <w:shd w:val="clear" w:color="auto" w:fill="auto"/>
            <w:vAlign w:val="center"/>
          </w:tcPr>
          <w:p w:rsidR="00C317F3" w:rsidRPr="00F30E35" w:rsidRDefault="00C317F3" w:rsidP="009F1058">
            <w:pPr>
              <w:pStyle w:val="TableText"/>
              <w:jc w:val="center"/>
              <w:rPr>
                <w:b/>
              </w:rPr>
            </w:pPr>
            <w:r w:rsidRPr="00F30E35">
              <w:rPr>
                <w:b/>
              </w:rPr>
              <w:t>N</w:t>
            </w:r>
          </w:p>
        </w:tc>
        <w:tc>
          <w:tcPr>
            <w:tcW w:w="1022" w:type="pct"/>
            <w:shd w:val="clear" w:color="auto" w:fill="auto"/>
            <w:vAlign w:val="center"/>
          </w:tcPr>
          <w:p w:rsidR="00C317F3" w:rsidRPr="00F30E35" w:rsidRDefault="00C317F3" w:rsidP="009F1058">
            <w:pPr>
              <w:pStyle w:val="TableText"/>
              <w:jc w:val="center"/>
              <w:rPr>
                <w:b/>
              </w:rPr>
            </w:pPr>
            <w:r w:rsidRPr="00F30E35">
              <w:rPr>
                <w:b/>
              </w:rPr>
              <w:t>Design/ duration</w:t>
            </w:r>
            <w:r w:rsidR="005F2A6B" w:rsidRPr="00F30E35">
              <w:rPr>
                <w:b/>
              </w:rPr>
              <w:t xml:space="preserve"> of follow-up</w:t>
            </w:r>
          </w:p>
        </w:tc>
        <w:tc>
          <w:tcPr>
            <w:tcW w:w="393" w:type="pct"/>
            <w:shd w:val="clear" w:color="auto" w:fill="auto"/>
            <w:vAlign w:val="center"/>
          </w:tcPr>
          <w:p w:rsidR="00C317F3" w:rsidRPr="00F30E35" w:rsidRDefault="00C317F3" w:rsidP="009F1058">
            <w:pPr>
              <w:pStyle w:val="TableText"/>
              <w:jc w:val="center"/>
              <w:rPr>
                <w:b/>
              </w:rPr>
            </w:pPr>
            <w:r w:rsidRPr="00F30E35">
              <w:rPr>
                <w:b/>
              </w:rPr>
              <w:t>Risk of bias</w:t>
            </w:r>
          </w:p>
        </w:tc>
        <w:tc>
          <w:tcPr>
            <w:tcW w:w="1101" w:type="pct"/>
            <w:shd w:val="clear" w:color="auto" w:fill="auto"/>
            <w:vAlign w:val="center"/>
          </w:tcPr>
          <w:p w:rsidR="00C317F3" w:rsidRPr="00F30E35" w:rsidRDefault="00C317F3" w:rsidP="009F1058">
            <w:pPr>
              <w:pStyle w:val="TableText"/>
              <w:jc w:val="center"/>
              <w:rPr>
                <w:b/>
              </w:rPr>
            </w:pPr>
            <w:r w:rsidRPr="00F30E35">
              <w:rPr>
                <w:b/>
              </w:rPr>
              <w:t>Patient population</w:t>
            </w:r>
          </w:p>
        </w:tc>
        <w:tc>
          <w:tcPr>
            <w:tcW w:w="865" w:type="pct"/>
            <w:shd w:val="clear" w:color="auto" w:fill="auto"/>
            <w:vAlign w:val="center"/>
          </w:tcPr>
          <w:p w:rsidR="00C317F3" w:rsidRPr="00F30E35" w:rsidRDefault="00C317F3" w:rsidP="009F1058">
            <w:pPr>
              <w:pStyle w:val="TableText"/>
              <w:jc w:val="center"/>
              <w:rPr>
                <w:b/>
              </w:rPr>
            </w:pPr>
            <w:r w:rsidRPr="00F30E35">
              <w:rPr>
                <w:b/>
              </w:rPr>
              <w:t>Outcome(s)</w:t>
            </w:r>
          </w:p>
        </w:tc>
        <w:tc>
          <w:tcPr>
            <w:tcW w:w="757" w:type="pct"/>
            <w:shd w:val="clear" w:color="auto" w:fill="auto"/>
            <w:vAlign w:val="center"/>
          </w:tcPr>
          <w:p w:rsidR="00C317F3" w:rsidRPr="00F30E35" w:rsidRDefault="00C317F3" w:rsidP="009F1058">
            <w:pPr>
              <w:pStyle w:val="TableText"/>
              <w:jc w:val="center"/>
              <w:rPr>
                <w:b/>
              </w:rPr>
            </w:pPr>
            <w:r w:rsidRPr="00F30E35">
              <w:rPr>
                <w:b/>
              </w:rPr>
              <w:t>Use in modelled evaluation</w:t>
            </w:r>
          </w:p>
        </w:tc>
      </w:tr>
      <w:tr w:rsidR="00C317F3" w:rsidRPr="00F30E35" w:rsidTr="009F1058">
        <w:tc>
          <w:tcPr>
            <w:tcW w:w="469" w:type="pct"/>
            <w:shd w:val="clear" w:color="auto" w:fill="auto"/>
            <w:vAlign w:val="center"/>
          </w:tcPr>
          <w:p w:rsidR="00C317F3" w:rsidRPr="00F30E35" w:rsidRDefault="009F1058" w:rsidP="00D1078F">
            <w:pPr>
              <w:pStyle w:val="TableText"/>
            </w:pPr>
            <w:r w:rsidRPr="00F30E35">
              <w:t>RATIFY</w:t>
            </w:r>
          </w:p>
        </w:tc>
        <w:tc>
          <w:tcPr>
            <w:tcW w:w="393" w:type="pct"/>
            <w:shd w:val="clear" w:color="auto" w:fill="auto"/>
            <w:vAlign w:val="center"/>
          </w:tcPr>
          <w:p w:rsidR="00C317F3" w:rsidRPr="00F30E35" w:rsidRDefault="009F1058" w:rsidP="009F1058">
            <w:pPr>
              <w:pStyle w:val="TableText"/>
              <w:jc w:val="center"/>
              <w:rPr>
                <w:rFonts w:ascii="Times" w:eastAsia="Times New Roman" w:hAnsi="Times" w:cs="Times New Roman"/>
              </w:rPr>
            </w:pPr>
            <w:r w:rsidRPr="00F30E35">
              <w:t>717</w:t>
            </w:r>
          </w:p>
        </w:tc>
        <w:tc>
          <w:tcPr>
            <w:tcW w:w="1022" w:type="pct"/>
            <w:shd w:val="clear" w:color="auto" w:fill="auto"/>
            <w:vAlign w:val="center"/>
          </w:tcPr>
          <w:p w:rsidR="00C317F3" w:rsidRPr="00F30E35" w:rsidRDefault="00C317F3" w:rsidP="009F1058">
            <w:pPr>
              <w:pStyle w:val="TableText"/>
              <w:jc w:val="center"/>
              <w:rPr>
                <w:rFonts w:ascii="Times" w:eastAsia="Times New Roman" w:hAnsi="Times" w:cs="Times New Roman"/>
              </w:rPr>
            </w:pPr>
            <w:r w:rsidRPr="00F30E35">
              <w:t>R, DB</w:t>
            </w:r>
            <w:r w:rsidR="009F1058" w:rsidRPr="00F30E35">
              <w:t>, MC</w:t>
            </w:r>
          </w:p>
          <w:p w:rsidR="00C317F3" w:rsidRPr="00F30E35" w:rsidRDefault="009F1058" w:rsidP="009F1058">
            <w:pPr>
              <w:pStyle w:val="TableText"/>
              <w:jc w:val="center"/>
              <w:rPr>
                <w:rFonts w:ascii="Times" w:eastAsia="Times New Roman" w:hAnsi="Times" w:cs="Times New Roman"/>
              </w:rPr>
            </w:pPr>
            <w:r w:rsidRPr="00F30E35">
              <w:t>5 years</w:t>
            </w:r>
          </w:p>
        </w:tc>
        <w:tc>
          <w:tcPr>
            <w:tcW w:w="393" w:type="pct"/>
            <w:shd w:val="clear" w:color="auto" w:fill="auto"/>
            <w:vAlign w:val="center"/>
          </w:tcPr>
          <w:p w:rsidR="00C317F3" w:rsidRPr="00F30E35" w:rsidRDefault="00C317F3" w:rsidP="009F1058">
            <w:pPr>
              <w:pStyle w:val="TableText"/>
              <w:jc w:val="center"/>
              <w:rPr>
                <w:rFonts w:ascii="Times" w:eastAsia="Times New Roman" w:hAnsi="Times" w:cs="Times New Roman"/>
              </w:rPr>
            </w:pPr>
            <w:r w:rsidRPr="00F30E35">
              <w:t>Low</w:t>
            </w:r>
          </w:p>
        </w:tc>
        <w:tc>
          <w:tcPr>
            <w:tcW w:w="1101" w:type="pct"/>
            <w:shd w:val="clear" w:color="auto" w:fill="auto"/>
            <w:vAlign w:val="center"/>
          </w:tcPr>
          <w:p w:rsidR="00C317F3" w:rsidRPr="00F30E35" w:rsidRDefault="009F1058" w:rsidP="009F1058">
            <w:pPr>
              <w:pStyle w:val="TableText"/>
              <w:jc w:val="center"/>
              <w:rPr>
                <w:rFonts w:ascii="Times" w:eastAsia="Times New Roman" w:hAnsi="Times" w:cs="Times New Roman"/>
              </w:rPr>
            </w:pPr>
            <w:r w:rsidRPr="00F30E35">
              <w:t>Newly diagnosed FLT3 mutation positive AML, aged ≤59 years</w:t>
            </w:r>
          </w:p>
        </w:tc>
        <w:tc>
          <w:tcPr>
            <w:tcW w:w="865" w:type="pct"/>
            <w:shd w:val="clear" w:color="auto" w:fill="auto"/>
            <w:vAlign w:val="center"/>
          </w:tcPr>
          <w:p w:rsidR="009F1058" w:rsidRPr="00F30E35" w:rsidRDefault="009F1058" w:rsidP="009F1058">
            <w:pPr>
              <w:pStyle w:val="TableText"/>
              <w:jc w:val="center"/>
            </w:pPr>
            <w:r w:rsidRPr="00F30E35">
              <w:t>Overall survival</w:t>
            </w:r>
          </w:p>
          <w:p w:rsidR="009F1058" w:rsidRPr="00F30E35" w:rsidRDefault="009F1058" w:rsidP="009F1058">
            <w:pPr>
              <w:pStyle w:val="TableText"/>
              <w:jc w:val="center"/>
            </w:pPr>
            <w:r w:rsidRPr="00F30E35">
              <w:t>Event-free survival</w:t>
            </w:r>
          </w:p>
          <w:p w:rsidR="009F1058" w:rsidRPr="00F30E35" w:rsidRDefault="009F1058" w:rsidP="009F1058">
            <w:pPr>
              <w:pStyle w:val="TableText"/>
              <w:jc w:val="center"/>
              <w:rPr>
                <w:rFonts w:ascii="Times" w:eastAsia="Times New Roman" w:hAnsi="Times" w:cs="Times New Roman"/>
              </w:rPr>
            </w:pPr>
            <w:r w:rsidRPr="00F30E35">
              <w:t>Complete remission</w:t>
            </w:r>
          </w:p>
        </w:tc>
        <w:tc>
          <w:tcPr>
            <w:tcW w:w="757" w:type="pct"/>
            <w:shd w:val="clear" w:color="auto" w:fill="auto"/>
            <w:vAlign w:val="center"/>
          </w:tcPr>
          <w:p w:rsidR="00C317F3" w:rsidRPr="00F30E35" w:rsidRDefault="009F1058" w:rsidP="009F1058">
            <w:pPr>
              <w:pStyle w:val="TableText"/>
              <w:jc w:val="center"/>
              <w:rPr>
                <w:rFonts w:ascii="Times" w:eastAsia="Times New Roman" w:hAnsi="Times" w:cs="Times New Roman"/>
              </w:rPr>
            </w:pPr>
            <w:r w:rsidRPr="00F30E35">
              <w:t>Yes (</w:t>
            </w:r>
            <w:r w:rsidR="007F271D">
              <w:rPr>
                <w:noProof/>
                <w:color w:val="000000"/>
                <w:highlight w:val="black"/>
              </w:rPr>
              <w:t>'''''''''</w:t>
            </w:r>
            <w:r w:rsidRPr="00F30E35">
              <w:t>)</w:t>
            </w:r>
          </w:p>
        </w:tc>
      </w:tr>
    </w:tbl>
    <w:p w:rsidR="00C317F3" w:rsidRPr="00F30E35" w:rsidRDefault="00C317F3" w:rsidP="00D1078F">
      <w:pPr>
        <w:pStyle w:val="TableFooter"/>
      </w:pPr>
      <w:r w:rsidRPr="00F30E35">
        <w:t xml:space="preserve">DB=double blind; </w:t>
      </w:r>
      <w:r w:rsidR="007F271D">
        <w:rPr>
          <w:noProof/>
          <w:color w:val="000000"/>
          <w:highlight w:val="black"/>
        </w:rPr>
        <w:t>''''''''' ''' ''''''''''''''''''''''' '''''''''''''' ''''''''''</w:t>
      </w:r>
      <w:r w:rsidR="009F1058" w:rsidRPr="00F30E35">
        <w:t xml:space="preserve">; </w:t>
      </w:r>
      <w:r w:rsidRPr="00F30E35">
        <w:t>MC=multi-centre; R=randomised.</w:t>
      </w:r>
    </w:p>
    <w:p w:rsidR="00C317F3" w:rsidRPr="00F30E35" w:rsidRDefault="00C317F3" w:rsidP="00D1078F">
      <w:pPr>
        <w:pStyle w:val="TableFooter"/>
      </w:pPr>
      <w:r w:rsidRPr="00F30E35">
        <w:t>Source: compiled during the evaluation</w:t>
      </w:r>
    </w:p>
    <w:p w:rsidR="00C317F3" w:rsidRPr="008D3D16" w:rsidRDefault="00C317F3" w:rsidP="0095170D">
      <w:pPr>
        <w:pStyle w:val="Heading2"/>
      </w:pPr>
      <w:bookmarkStart w:id="14" w:name="_Toc413139278"/>
      <w:bookmarkStart w:id="15" w:name="_Toc482680468"/>
      <w:r w:rsidRPr="008D3D16">
        <w:t>Comparative effectiveness</w:t>
      </w:r>
      <w:bookmarkEnd w:id="14"/>
      <w:bookmarkEnd w:id="15"/>
      <w:r w:rsidRPr="008D3D16">
        <w:t xml:space="preserve"> </w:t>
      </w:r>
    </w:p>
    <w:p w:rsidR="00E43C5B" w:rsidRPr="00F30E35" w:rsidRDefault="00C53604" w:rsidP="00DB0F2C">
      <w:pPr>
        <w:pStyle w:val="ListParagraph"/>
        <w:numPr>
          <w:ilvl w:val="1"/>
          <w:numId w:val="2"/>
        </w:numPr>
        <w:spacing w:after="120"/>
        <w:ind w:left="578" w:hanging="578"/>
        <w:jc w:val="both"/>
      </w:pPr>
      <w:r w:rsidRPr="00DB0F2C">
        <w:rPr>
          <w:szCs w:val="24"/>
        </w:rPr>
        <w:t>Table</w:t>
      </w:r>
      <w:r w:rsidRPr="00F30E35">
        <w:t xml:space="preserve"> 4 presents the results of </w:t>
      </w:r>
      <w:r w:rsidR="004A3BB6" w:rsidRPr="00F30E35">
        <w:t>overall survival (</w:t>
      </w:r>
      <w:r w:rsidRPr="00F30E35">
        <w:t>OS</w:t>
      </w:r>
      <w:r w:rsidR="004A3BB6" w:rsidRPr="00F30E35">
        <w:t xml:space="preserve">; </w:t>
      </w:r>
      <w:r w:rsidRPr="00F30E35">
        <w:t xml:space="preserve">non-censored and censored at the time of SCT) and Figure 1 presents the Kaplan-Meier curve for OS non-censored for SCT </w:t>
      </w:r>
      <w:r w:rsidR="006C471D" w:rsidRPr="00F30E35">
        <w:t xml:space="preserve">(the primary outcome of the </w:t>
      </w:r>
      <w:r w:rsidRPr="00F30E35">
        <w:t>RATIFY trial</w:t>
      </w:r>
      <w:r w:rsidR="006C471D" w:rsidRPr="00F30E35">
        <w:t>)</w:t>
      </w:r>
      <w:r w:rsidRPr="00F30E35">
        <w:t xml:space="preserve">. </w:t>
      </w:r>
    </w:p>
    <w:p w:rsidR="00AF0DF9" w:rsidRPr="00F30E35" w:rsidRDefault="0045780D" w:rsidP="00DB0F2C">
      <w:pPr>
        <w:pStyle w:val="ListParagraph"/>
        <w:numPr>
          <w:ilvl w:val="1"/>
          <w:numId w:val="2"/>
        </w:numPr>
        <w:spacing w:after="120"/>
        <w:ind w:left="578" w:hanging="578"/>
        <w:jc w:val="both"/>
      </w:pPr>
      <w:r w:rsidRPr="00DB0F2C">
        <w:rPr>
          <w:szCs w:val="24"/>
        </w:rPr>
        <w:t>Overall</w:t>
      </w:r>
      <w:r w:rsidRPr="00F30E35">
        <w:t xml:space="preserve">, 59.4% and 55.2% of patients treated with midostaurin </w:t>
      </w:r>
      <w:r w:rsidR="00E43C5B" w:rsidRPr="00F30E35">
        <w:t>and</w:t>
      </w:r>
      <w:r w:rsidRPr="00F30E35">
        <w:t xml:space="preserve"> placebo </w:t>
      </w:r>
      <w:r w:rsidR="002144DA" w:rsidRPr="001E39AA">
        <w:rPr>
          <w:rFonts w:cs="Arial"/>
          <w:bCs/>
          <w:snapToGrid w:val="0"/>
        </w:rPr>
        <w:t>underwent</w:t>
      </w:r>
      <w:r w:rsidR="002144DA" w:rsidRPr="00F30E35">
        <w:t xml:space="preserve"> a</w:t>
      </w:r>
      <w:r w:rsidR="001528D8" w:rsidRPr="00F30E35">
        <w:t>n</w:t>
      </w:r>
      <w:r w:rsidR="002144DA" w:rsidRPr="00F30E35">
        <w:t xml:space="preserve"> SCT</w:t>
      </w:r>
      <w:r w:rsidR="00E43C5B" w:rsidRPr="00F30E35">
        <w:t>, respectively. N</w:t>
      </w:r>
      <w:r w:rsidR="002144DA" w:rsidRPr="00F30E35">
        <w:t>o statis</w:t>
      </w:r>
      <w:r w:rsidRPr="00F30E35">
        <w:t>tically s</w:t>
      </w:r>
      <w:r w:rsidR="002144DA" w:rsidRPr="00F30E35">
        <w:t>igni</w:t>
      </w:r>
      <w:r w:rsidRPr="00F30E35">
        <w:t xml:space="preserve">ficant differences </w:t>
      </w:r>
      <w:r w:rsidR="00E43C5B" w:rsidRPr="00F30E35">
        <w:t xml:space="preserve">in the rates of SCTs </w:t>
      </w:r>
      <w:r w:rsidR="009A3AF6" w:rsidRPr="00F30E35">
        <w:t xml:space="preserve">were </w:t>
      </w:r>
      <w:r w:rsidRPr="00F30E35">
        <w:t xml:space="preserve">observed between the </w:t>
      </w:r>
      <w:r w:rsidR="00E43C5B" w:rsidRPr="00F30E35">
        <w:t xml:space="preserve">treatment </w:t>
      </w:r>
      <w:r w:rsidRPr="00F30E35">
        <w:t xml:space="preserve">groups </w:t>
      </w:r>
      <w:r w:rsidR="00F146D6" w:rsidRPr="00F30E35">
        <w:t xml:space="preserve">(i) </w:t>
      </w:r>
      <w:r w:rsidR="00E43C5B" w:rsidRPr="00F30E35">
        <w:t xml:space="preserve">overall, </w:t>
      </w:r>
      <w:r w:rsidR="00F146D6" w:rsidRPr="00F30E35">
        <w:t xml:space="preserve">(ii) </w:t>
      </w:r>
      <w:r w:rsidR="00E43C5B" w:rsidRPr="00F30E35">
        <w:t>in those occurring in patients without complete remission,</w:t>
      </w:r>
      <w:r w:rsidR="00F146D6" w:rsidRPr="00F30E35">
        <w:t xml:space="preserve"> (iii)</w:t>
      </w:r>
      <w:r w:rsidR="00E43C5B" w:rsidRPr="00F30E35">
        <w:t xml:space="preserve"> in those occurring during first complete remission or </w:t>
      </w:r>
      <w:r w:rsidR="00F146D6" w:rsidRPr="00F30E35">
        <w:t xml:space="preserve">(iv) </w:t>
      </w:r>
      <w:r w:rsidR="00E43C5B" w:rsidRPr="00F30E35">
        <w:t>in those having a</w:t>
      </w:r>
      <w:r w:rsidR="009A3AF6" w:rsidRPr="00F30E35">
        <w:t>n</w:t>
      </w:r>
      <w:r w:rsidR="00E43C5B" w:rsidRPr="00F30E35">
        <w:t xml:space="preserve"> SCT after relapse.</w:t>
      </w:r>
    </w:p>
    <w:p w:rsidR="00E7280A" w:rsidRPr="00F30E35" w:rsidRDefault="00E7280A" w:rsidP="00E7280A">
      <w:pPr>
        <w:pStyle w:val="TableHeading0"/>
      </w:pPr>
      <w:bookmarkStart w:id="16" w:name="_Toc413139279"/>
      <w:r w:rsidRPr="00F30E35">
        <w:lastRenderedPageBreak/>
        <w:t xml:space="preserve">Table 4: Overall survival reported in the RATIFY trial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1653"/>
        <w:gridCol w:w="1654"/>
        <w:gridCol w:w="1796"/>
        <w:gridCol w:w="1984"/>
      </w:tblGrid>
      <w:tr w:rsidR="00E7280A" w:rsidRPr="00F30E35" w:rsidTr="00E0145C">
        <w:trPr>
          <w:tblHeader/>
        </w:trPr>
        <w:tc>
          <w:tcPr>
            <w:tcW w:w="1980" w:type="dxa"/>
          </w:tcPr>
          <w:p w:rsidR="00E7280A" w:rsidRPr="00F30E35" w:rsidRDefault="00E7280A" w:rsidP="00E0145C">
            <w:pPr>
              <w:pStyle w:val="TableText"/>
              <w:rPr>
                <w:b/>
              </w:rPr>
            </w:pPr>
          </w:p>
        </w:tc>
        <w:tc>
          <w:tcPr>
            <w:tcW w:w="1653" w:type="dxa"/>
          </w:tcPr>
          <w:p w:rsidR="00E7280A" w:rsidRPr="00F30E35" w:rsidRDefault="00E7280A" w:rsidP="00E0145C">
            <w:pPr>
              <w:pStyle w:val="TableText"/>
              <w:jc w:val="center"/>
              <w:rPr>
                <w:b/>
              </w:rPr>
            </w:pPr>
            <w:r w:rsidRPr="00F30E35">
              <w:rPr>
                <w:b/>
              </w:rPr>
              <w:t>Midostaurin; N=360</w:t>
            </w:r>
          </w:p>
        </w:tc>
        <w:tc>
          <w:tcPr>
            <w:tcW w:w="1654" w:type="dxa"/>
          </w:tcPr>
          <w:p w:rsidR="00E7280A" w:rsidRPr="00F30E35" w:rsidRDefault="00E7280A" w:rsidP="00E0145C">
            <w:pPr>
              <w:pStyle w:val="TableText"/>
              <w:jc w:val="center"/>
              <w:rPr>
                <w:b/>
              </w:rPr>
            </w:pPr>
            <w:r w:rsidRPr="00F30E35">
              <w:rPr>
                <w:b/>
              </w:rPr>
              <w:t>Placebo; N=357</w:t>
            </w:r>
          </w:p>
        </w:tc>
        <w:tc>
          <w:tcPr>
            <w:tcW w:w="1796" w:type="dxa"/>
          </w:tcPr>
          <w:p w:rsidR="00E7280A" w:rsidRPr="00F30E35" w:rsidRDefault="00E7280A" w:rsidP="00E0145C">
            <w:pPr>
              <w:pStyle w:val="TableText"/>
              <w:jc w:val="center"/>
              <w:rPr>
                <w:b/>
              </w:rPr>
            </w:pPr>
            <w:r w:rsidRPr="00F30E35">
              <w:rPr>
                <w:b/>
              </w:rPr>
              <w:t xml:space="preserve">Absolute Difference </w:t>
            </w:r>
          </w:p>
        </w:tc>
        <w:tc>
          <w:tcPr>
            <w:tcW w:w="1984" w:type="dxa"/>
          </w:tcPr>
          <w:p w:rsidR="00E7280A" w:rsidRPr="00F30E35" w:rsidRDefault="00E7280A" w:rsidP="00E0145C">
            <w:pPr>
              <w:pStyle w:val="TableText"/>
              <w:jc w:val="center"/>
              <w:rPr>
                <w:b/>
              </w:rPr>
            </w:pPr>
            <w:r w:rsidRPr="00F30E35">
              <w:rPr>
                <w:b/>
              </w:rPr>
              <w:t>Hazard ratio (95% CI)</w:t>
            </w:r>
          </w:p>
        </w:tc>
      </w:tr>
      <w:tr w:rsidR="00E7280A" w:rsidRPr="00F30E35" w:rsidTr="00E0145C">
        <w:tc>
          <w:tcPr>
            <w:tcW w:w="9067" w:type="dxa"/>
            <w:gridSpan w:val="5"/>
          </w:tcPr>
          <w:p w:rsidR="00E7280A" w:rsidRPr="00F30E35" w:rsidRDefault="00E7280A" w:rsidP="00E0145C">
            <w:pPr>
              <w:pStyle w:val="TableText"/>
              <w:rPr>
                <w:b/>
              </w:rPr>
            </w:pPr>
            <w:r w:rsidRPr="00F30E35">
              <w:rPr>
                <w:b/>
              </w:rPr>
              <w:t>OS not censored at time of SCT (primary outcome)</w:t>
            </w:r>
          </w:p>
        </w:tc>
      </w:tr>
      <w:tr w:rsidR="00E7280A" w:rsidRPr="00F30E35" w:rsidTr="00E0145C">
        <w:tc>
          <w:tcPr>
            <w:tcW w:w="1980" w:type="dxa"/>
          </w:tcPr>
          <w:p w:rsidR="00E7280A" w:rsidRPr="00F30E35" w:rsidRDefault="00E7280A" w:rsidP="00E0145C">
            <w:pPr>
              <w:pStyle w:val="TableText"/>
              <w:rPr>
                <w:szCs w:val="20"/>
                <w:lang w:val="en-US"/>
              </w:rPr>
            </w:pPr>
            <w:r w:rsidRPr="00F30E35">
              <w:rPr>
                <w:szCs w:val="20"/>
              </w:rPr>
              <w:t>No. deaths, n (%)</w:t>
            </w:r>
          </w:p>
        </w:tc>
        <w:tc>
          <w:tcPr>
            <w:tcW w:w="1653" w:type="dxa"/>
          </w:tcPr>
          <w:p w:rsidR="00E7280A" w:rsidRPr="00F30E35" w:rsidRDefault="00E7280A" w:rsidP="00E0145C">
            <w:pPr>
              <w:pStyle w:val="TableText"/>
              <w:jc w:val="center"/>
              <w:rPr>
                <w:rFonts w:eastAsia="Times New Roman" w:cs="Times New Roman"/>
                <w:szCs w:val="20"/>
              </w:rPr>
            </w:pPr>
            <w:r w:rsidRPr="00F30E35">
              <w:rPr>
                <w:szCs w:val="20"/>
              </w:rPr>
              <w:t>171 (47.5)</w:t>
            </w:r>
          </w:p>
        </w:tc>
        <w:tc>
          <w:tcPr>
            <w:tcW w:w="1654" w:type="dxa"/>
          </w:tcPr>
          <w:p w:rsidR="00E7280A" w:rsidRPr="00F30E35" w:rsidRDefault="00E7280A" w:rsidP="00E0145C">
            <w:pPr>
              <w:pStyle w:val="TableText"/>
              <w:jc w:val="center"/>
              <w:rPr>
                <w:rFonts w:eastAsia="Times New Roman" w:cs="Times New Roman"/>
                <w:szCs w:val="20"/>
              </w:rPr>
            </w:pPr>
            <w:r w:rsidRPr="00F30E35">
              <w:rPr>
                <w:rFonts w:eastAsia="Times New Roman" w:cs="Times New Roman"/>
                <w:szCs w:val="20"/>
              </w:rPr>
              <w:t>186 (52.1)</w:t>
            </w:r>
          </w:p>
        </w:tc>
        <w:tc>
          <w:tcPr>
            <w:tcW w:w="1796" w:type="dxa"/>
          </w:tcPr>
          <w:p w:rsidR="00E7280A" w:rsidRPr="00F30E35" w:rsidRDefault="00E7280A" w:rsidP="00E0145C">
            <w:pPr>
              <w:pStyle w:val="TableText"/>
              <w:jc w:val="center"/>
              <w:rPr>
                <w:rFonts w:eastAsia="Times New Roman" w:cs="Times New Roman"/>
                <w:szCs w:val="20"/>
              </w:rPr>
            </w:pPr>
            <w:r w:rsidRPr="00F30E35">
              <w:rPr>
                <w:rFonts w:eastAsia="Times New Roman" w:cs="Times New Roman"/>
                <w:szCs w:val="20"/>
              </w:rPr>
              <w:t>4.6%</w:t>
            </w:r>
          </w:p>
        </w:tc>
        <w:tc>
          <w:tcPr>
            <w:tcW w:w="1984" w:type="dxa"/>
            <w:vMerge w:val="restart"/>
            <w:vAlign w:val="center"/>
          </w:tcPr>
          <w:p w:rsidR="00E7280A" w:rsidRPr="00F30E35" w:rsidRDefault="00E7280A" w:rsidP="00E0145C">
            <w:pPr>
              <w:pStyle w:val="TableText"/>
              <w:jc w:val="center"/>
              <w:rPr>
                <w:b/>
                <w:szCs w:val="20"/>
              </w:rPr>
            </w:pPr>
            <w:r w:rsidRPr="00F30E35">
              <w:rPr>
                <w:b/>
                <w:szCs w:val="20"/>
              </w:rPr>
              <w:t>0.774</w:t>
            </w:r>
          </w:p>
          <w:p w:rsidR="00E7280A" w:rsidRPr="00F30E35" w:rsidRDefault="00E7280A" w:rsidP="00E0145C">
            <w:pPr>
              <w:pStyle w:val="TableText"/>
              <w:jc w:val="center"/>
              <w:rPr>
                <w:rFonts w:eastAsia="Times New Roman" w:cs="Times New Roman"/>
                <w:szCs w:val="20"/>
              </w:rPr>
            </w:pPr>
            <w:r w:rsidRPr="00F30E35">
              <w:rPr>
                <w:b/>
                <w:szCs w:val="20"/>
              </w:rPr>
              <w:t>(0.629, 0.953)</w:t>
            </w:r>
          </w:p>
        </w:tc>
      </w:tr>
      <w:tr w:rsidR="00E7280A" w:rsidRPr="00F30E35" w:rsidTr="00E0145C">
        <w:tc>
          <w:tcPr>
            <w:tcW w:w="1980" w:type="dxa"/>
          </w:tcPr>
          <w:p w:rsidR="00E7280A" w:rsidRPr="00F30E35" w:rsidRDefault="00E7280A" w:rsidP="00E0145C">
            <w:pPr>
              <w:pStyle w:val="TableText"/>
              <w:rPr>
                <w:rFonts w:eastAsia="Times New Roman" w:cs="Times New Roman"/>
                <w:szCs w:val="20"/>
              </w:rPr>
            </w:pPr>
            <w:r w:rsidRPr="00F30E35">
              <w:rPr>
                <w:szCs w:val="20"/>
              </w:rPr>
              <w:t>No. censored, n (%)</w:t>
            </w:r>
          </w:p>
        </w:tc>
        <w:tc>
          <w:tcPr>
            <w:tcW w:w="1653" w:type="dxa"/>
          </w:tcPr>
          <w:p w:rsidR="00E7280A" w:rsidRPr="00F30E35" w:rsidRDefault="00E7280A" w:rsidP="00E0145C">
            <w:pPr>
              <w:pStyle w:val="TableText"/>
              <w:jc w:val="center"/>
              <w:rPr>
                <w:rFonts w:eastAsia="Times New Roman" w:cs="Times New Roman"/>
                <w:szCs w:val="20"/>
              </w:rPr>
            </w:pPr>
            <w:r w:rsidRPr="00F30E35">
              <w:rPr>
                <w:szCs w:val="20"/>
              </w:rPr>
              <w:t>189 (52.5)</w:t>
            </w:r>
          </w:p>
        </w:tc>
        <w:tc>
          <w:tcPr>
            <w:tcW w:w="1654" w:type="dxa"/>
          </w:tcPr>
          <w:p w:rsidR="00E7280A" w:rsidRPr="00F30E35" w:rsidRDefault="00E7280A" w:rsidP="00E0145C">
            <w:pPr>
              <w:pStyle w:val="TableText"/>
              <w:jc w:val="center"/>
              <w:rPr>
                <w:rFonts w:eastAsia="Times New Roman" w:cs="Times New Roman"/>
                <w:szCs w:val="20"/>
              </w:rPr>
            </w:pPr>
            <w:r w:rsidRPr="00F30E35">
              <w:rPr>
                <w:szCs w:val="20"/>
              </w:rPr>
              <w:t>171 (47.9)</w:t>
            </w:r>
          </w:p>
        </w:tc>
        <w:tc>
          <w:tcPr>
            <w:tcW w:w="1796" w:type="dxa"/>
          </w:tcPr>
          <w:p w:rsidR="00E7280A" w:rsidRPr="00F30E35" w:rsidRDefault="00E7280A" w:rsidP="00E0145C">
            <w:pPr>
              <w:pStyle w:val="TableText"/>
              <w:jc w:val="center"/>
              <w:rPr>
                <w:rFonts w:eastAsia="Times New Roman" w:cs="Times New Roman"/>
                <w:szCs w:val="20"/>
              </w:rPr>
            </w:pPr>
            <w:r w:rsidRPr="00F30E35">
              <w:rPr>
                <w:rFonts w:eastAsia="Times New Roman" w:cs="Times New Roman"/>
                <w:szCs w:val="20"/>
              </w:rPr>
              <w:t>4.6%</w:t>
            </w:r>
          </w:p>
        </w:tc>
        <w:tc>
          <w:tcPr>
            <w:tcW w:w="1984" w:type="dxa"/>
            <w:vMerge/>
          </w:tcPr>
          <w:p w:rsidR="00E7280A" w:rsidRPr="00F30E35" w:rsidRDefault="00E7280A" w:rsidP="00E0145C">
            <w:pPr>
              <w:pStyle w:val="TableText"/>
              <w:jc w:val="center"/>
              <w:rPr>
                <w:rFonts w:eastAsia="Times New Roman" w:cs="Times New Roman"/>
                <w:szCs w:val="20"/>
              </w:rPr>
            </w:pPr>
          </w:p>
        </w:tc>
      </w:tr>
      <w:tr w:rsidR="00E7280A" w:rsidRPr="00F30E35" w:rsidTr="00E0145C">
        <w:tc>
          <w:tcPr>
            <w:tcW w:w="7083" w:type="dxa"/>
            <w:gridSpan w:val="4"/>
          </w:tcPr>
          <w:p w:rsidR="00E7280A" w:rsidRPr="00F30E35" w:rsidRDefault="00E7280A" w:rsidP="00E0145C">
            <w:pPr>
              <w:pStyle w:val="TableText"/>
              <w:rPr>
                <w:rFonts w:eastAsia="Times New Roman" w:cs="Times New Roman"/>
                <w:szCs w:val="20"/>
              </w:rPr>
            </w:pPr>
            <w:r w:rsidRPr="00F30E35">
              <w:rPr>
                <w:szCs w:val="20"/>
              </w:rPr>
              <w:t>KM estimates (95% CI)</w:t>
            </w:r>
          </w:p>
        </w:tc>
        <w:tc>
          <w:tcPr>
            <w:tcW w:w="1984" w:type="dxa"/>
            <w:vMerge w:val="restart"/>
            <w:vAlign w:val="center"/>
          </w:tcPr>
          <w:p w:rsidR="00E7280A" w:rsidRPr="00F30E35" w:rsidRDefault="00E7280A" w:rsidP="00E0145C">
            <w:pPr>
              <w:pStyle w:val="TableText"/>
              <w:jc w:val="center"/>
              <w:rPr>
                <w:rFonts w:eastAsia="Times New Roman" w:cs="Times New Roman"/>
                <w:szCs w:val="20"/>
              </w:rPr>
            </w:pPr>
            <w:r w:rsidRPr="00F30E35">
              <w:rPr>
                <w:rFonts w:eastAsia="Times New Roman" w:cs="Times New Roman"/>
                <w:szCs w:val="20"/>
              </w:rPr>
              <w:t>NR</w:t>
            </w:r>
          </w:p>
        </w:tc>
      </w:tr>
      <w:tr w:rsidR="00E7280A" w:rsidRPr="00F30E35" w:rsidTr="00E0145C">
        <w:tc>
          <w:tcPr>
            <w:tcW w:w="1980" w:type="dxa"/>
          </w:tcPr>
          <w:p w:rsidR="00E7280A" w:rsidRPr="00F30E35" w:rsidRDefault="00E7280A" w:rsidP="00E0145C">
            <w:pPr>
              <w:pStyle w:val="TableText"/>
              <w:tabs>
                <w:tab w:val="left" w:pos="267"/>
              </w:tabs>
              <w:rPr>
                <w:szCs w:val="20"/>
              </w:rPr>
            </w:pPr>
            <w:r w:rsidRPr="00F30E35">
              <w:rPr>
                <w:szCs w:val="20"/>
              </w:rPr>
              <w:tab/>
              <w:t>At 12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654"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796" w:type="dxa"/>
          </w:tcPr>
          <w:p w:rsidR="00E7280A" w:rsidRPr="007F271D" w:rsidRDefault="007F271D" w:rsidP="00E0145C">
            <w:pPr>
              <w:pStyle w:val="TableText"/>
              <w:jc w:val="center"/>
              <w:rPr>
                <w:rFonts w:eastAsia="Times New Roman" w:cs="Times New Roman"/>
                <w:szCs w:val="20"/>
                <w:highlight w:val="black"/>
              </w:rPr>
            </w:pPr>
            <w:r>
              <w:rPr>
                <w:rFonts w:eastAsia="Times New Roman" w:cs="Times New Roman"/>
                <w:noProof/>
                <w:color w:val="000000"/>
                <w:szCs w:val="20"/>
                <w:highlight w:val="black"/>
              </w:rPr>
              <w:t>''''''''''''''</w:t>
            </w:r>
          </w:p>
        </w:tc>
        <w:tc>
          <w:tcPr>
            <w:tcW w:w="1984" w:type="dxa"/>
            <w:vMerge/>
          </w:tcPr>
          <w:p w:rsidR="00E7280A" w:rsidRPr="00F30E35" w:rsidRDefault="00E7280A" w:rsidP="00E0145C">
            <w:pPr>
              <w:pStyle w:val="TableText"/>
              <w:jc w:val="center"/>
              <w:rPr>
                <w:rFonts w:eastAsia="Times New Roman" w:cs="Times New Roman"/>
                <w:szCs w:val="20"/>
              </w:rPr>
            </w:pPr>
          </w:p>
        </w:tc>
      </w:tr>
      <w:tr w:rsidR="00E7280A" w:rsidRPr="00F30E35" w:rsidTr="00E0145C">
        <w:tc>
          <w:tcPr>
            <w:tcW w:w="1980" w:type="dxa"/>
          </w:tcPr>
          <w:p w:rsidR="00E7280A" w:rsidRPr="00F30E35" w:rsidRDefault="00E7280A" w:rsidP="00E0145C">
            <w:pPr>
              <w:pStyle w:val="TableText"/>
              <w:tabs>
                <w:tab w:val="left" w:pos="267"/>
              </w:tabs>
              <w:rPr>
                <w:szCs w:val="20"/>
              </w:rPr>
            </w:pPr>
            <w:r w:rsidRPr="00F30E35">
              <w:rPr>
                <w:szCs w:val="20"/>
              </w:rPr>
              <w:tab/>
              <w:t>At 24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654" w:type="dxa"/>
          </w:tcPr>
          <w:p w:rsidR="00E7280A" w:rsidRPr="007F271D" w:rsidRDefault="007F271D" w:rsidP="00E0145C">
            <w:pPr>
              <w:pStyle w:val="TableText"/>
              <w:jc w:val="center"/>
              <w:rPr>
                <w:szCs w:val="20"/>
                <w:highlight w:val="black"/>
              </w:rPr>
            </w:pPr>
            <w:r>
              <w:rPr>
                <w:rFonts w:eastAsia="Times New Roman" w:cs="Times New Roman"/>
                <w:noProof/>
                <w:color w:val="000000"/>
                <w:szCs w:val="20"/>
                <w:highlight w:val="black"/>
              </w:rPr>
              <w:t>'''''''''''' '''''''''''''' '''''''''''</w:t>
            </w:r>
          </w:p>
        </w:tc>
        <w:tc>
          <w:tcPr>
            <w:tcW w:w="1796" w:type="dxa"/>
          </w:tcPr>
          <w:p w:rsidR="00E7280A" w:rsidRPr="007F271D" w:rsidRDefault="007F271D" w:rsidP="00E0145C">
            <w:pPr>
              <w:pStyle w:val="TableText"/>
              <w:jc w:val="center"/>
              <w:rPr>
                <w:rFonts w:eastAsia="Times New Roman" w:cs="Times New Roman"/>
                <w:szCs w:val="20"/>
                <w:highlight w:val="black"/>
              </w:rPr>
            </w:pPr>
            <w:r>
              <w:rPr>
                <w:rFonts w:eastAsia="Times New Roman" w:cs="Times New Roman"/>
                <w:noProof/>
                <w:color w:val="000000"/>
                <w:szCs w:val="20"/>
                <w:highlight w:val="black"/>
              </w:rPr>
              <w:t>'''''''''''</w:t>
            </w:r>
          </w:p>
        </w:tc>
        <w:tc>
          <w:tcPr>
            <w:tcW w:w="1984" w:type="dxa"/>
            <w:vMerge/>
          </w:tcPr>
          <w:p w:rsidR="00E7280A" w:rsidRPr="00F30E35" w:rsidRDefault="00E7280A" w:rsidP="00E0145C">
            <w:pPr>
              <w:pStyle w:val="TableText"/>
              <w:jc w:val="center"/>
              <w:rPr>
                <w:rFonts w:eastAsia="Times New Roman" w:cs="Times New Roman"/>
                <w:szCs w:val="20"/>
              </w:rPr>
            </w:pPr>
          </w:p>
        </w:tc>
      </w:tr>
      <w:tr w:rsidR="00E7280A" w:rsidRPr="00F30E35" w:rsidTr="00E0145C">
        <w:tc>
          <w:tcPr>
            <w:tcW w:w="1980" w:type="dxa"/>
          </w:tcPr>
          <w:p w:rsidR="00E7280A" w:rsidRPr="00F30E35" w:rsidRDefault="00E7280A" w:rsidP="00E0145C">
            <w:pPr>
              <w:pStyle w:val="TableText"/>
              <w:tabs>
                <w:tab w:val="left" w:pos="267"/>
              </w:tabs>
              <w:rPr>
                <w:szCs w:val="20"/>
              </w:rPr>
            </w:pPr>
            <w:r w:rsidRPr="00F30E35">
              <w:rPr>
                <w:szCs w:val="20"/>
              </w:rPr>
              <w:tab/>
              <w:t>At 60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654"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796" w:type="dxa"/>
          </w:tcPr>
          <w:p w:rsidR="00E7280A" w:rsidRPr="007F271D" w:rsidRDefault="007F271D" w:rsidP="00E0145C">
            <w:pPr>
              <w:pStyle w:val="TableText"/>
              <w:jc w:val="center"/>
              <w:rPr>
                <w:rFonts w:eastAsia="Times New Roman" w:cs="Times New Roman"/>
                <w:szCs w:val="20"/>
                <w:highlight w:val="black"/>
              </w:rPr>
            </w:pPr>
            <w:r>
              <w:rPr>
                <w:rFonts w:eastAsia="Times New Roman" w:cs="Times New Roman"/>
                <w:noProof/>
                <w:color w:val="000000"/>
                <w:szCs w:val="20"/>
                <w:highlight w:val="black"/>
              </w:rPr>
              <w:t>''''''''''''</w:t>
            </w:r>
          </w:p>
        </w:tc>
        <w:tc>
          <w:tcPr>
            <w:tcW w:w="1984" w:type="dxa"/>
            <w:vMerge/>
          </w:tcPr>
          <w:p w:rsidR="00E7280A" w:rsidRPr="00F30E35" w:rsidRDefault="00E7280A" w:rsidP="00E0145C">
            <w:pPr>
              <w:pStyle w:val="TableText"/>
              <w:jc w:val="center"/>
              <w:rPr>
                <w:rFonts w:eastAsia="Times New Roman" w:cs="Times New Roman"/>
                <w:szCs w:val="20"/>
              </w:rPr>
            </w:pPr>
          </w:p>
        </w:tc>
      </w:tr>
      <w:tr w:rsidR="00E7280A" w:rsidRPr="00F30E35" w:rsidTr="00E0145C">
        <w:tc>
          <w:tcPr>
            <w:tcW w:w="1980" w:type="dxa"/>
          </w:tcPr>
          <w:p w:rsidR="00E7280A" w:rsidRPr="00F30E35" w:rsidRDefault="00E7280A" w:rsidP="00E0145C">
            <w:pPr>
              <w:pStyle w:val="TableText"/>
              <w:rPr>
                <w:szCs w:val="20"/>
              </w:rPr>
            </w:pPr>
            <w:r w:rsidRPr="00F30E35">
              <w:rPr>
                <w:szCs w:val="20"/>
              </w:rPr>
              <w:t>Median OS, months</w:t>
            </w:r>
          </w:p>
        </w:tc>
        <w:tc>
          <w:tcPr>
            <w:tcW w:w="1653" w:type="dxa"/>
          </w:tcPr>
          <w:p w:rsidR="00E7280A" w:rsidRPr="00F30E35" w:rsidRDefault="00E7280A" w:rsidP="00E0145C">
            <w:pPr>
              <w:pStyle w:val="TableText"/>
              <w:jc w:val="center"/>
              <w:rPr>
                <w:szCs w:val="20"/>
              </w:rPr>
            </w:pPr>
            <w:r w:rsidRPr="00F30E35">
              <w:rPr>
                <w:szCs w:val="20"/>
              </w:rPr>
              <w:t>74.74 (31.54, NE)</w:t>
            </w:r>
          </w:p>
        </w:tc>
        <w:tc>
          <w:tcPr>
            <w:tcW w:w="1654" w:type="dxa"/>
          </w:tcPr>
          <w:p w:rsidR="00E7280A" w:rsidRPr="00F30E35" w:rsidRDefault="00E7280A" w:rsidP="00E0145C">
            <w:pPr>
              <w:pStyle w:val="TableText"/>
              <w:jc w:val="center"/>
              <w:rPr>
                <w:szCs w:val="20"/>
              </w:rPr>
            </w:pPr>
            <w:r w:rsidRPr="00F30E35">
              <w:rPr>
                <w:szCs w:val="20"/>
              </w:rPr>
              <w:t>25.59 (18.63, 42.87)</w:t>
            </w:r>
          </w:p>
        </w:tc>
        <w:tc>
          <w:tcPr>
            <w:tcW w:w="1796" w:type="dxa"/>
          </w:tcPr>
          <w:p w:rsidR="00E7280A" w:rsidRPr="00F30E35" w:rsidRDefault="00E7280A" w:rsidP="00E0145C">
            <w:pPr>
              <w:pStyle w:val="TableText"/>
              <w:jc w:val="center"/>
              <w:rPr>
                <w:szCs w:val="20"/>
              </w:rPr>
            </w:pPr>
            <w:r w:rsidRPr="00F30E35">
              <w:rPr>
                <w:szCs w:val="20"/>
              </w:rPr>
              <w:t>49.1</w:t>
            </w:r>
          </w:p>
        </w:tc>
        <w:tc>
          <w:tcPr>
            <w:tcW w:w="1984" w:type="dxa"/>
            <w:vMerge/>
          </w:tcPr>
          <w:p w:rsidR="00E7280A" w:rsidRPr="00F30E35" w:rsidRDefault="00E7280A" w:rsidP="00E0145C">
            <w:pPr>
              <w:pStyle w:val="TableText"/>
              <w:jc w:val="center"/>
              <w:rPr>
                <w:szCs w:val="20"/>
              </w:rPr>
            </w:pPr>
          </w:p>
        </w:tc>
      </w:tr>
      <w:tr w:rsidR="00E7280A" w:rsidRPr="00F30E35" w:rsidTr="00E0145C">
        <w:tc>
          <w:tcPr>
            <w:tcW w:w="9067" w:type="dxa"/>
            <w:gridSpan w:val="5"/>
          </w:tcPr>
          <w:p w:rsidR="00E7280A" w:rsidRPr="00F30E35" w:rsidRDefault="00E7280A" w:rsidP="0061796C">
            <w:pPr>
              <w:pStyle w:val="TableText"/>
              <w:rPr>
                <w:b/>
                <w:szCs w:val="20"/>
              </w:rPr>
            </w:pPr>
            <w:r w:rsidRPr="00F30E35">
              <w:rPr>
                <w:b/>
                <w:szCs w:val="20"/>
              </w:rPr>
              <w:t xml:space="preserve">OS </w:t>
            </w:r>
            <w:r w:rsidR="0061796C">
              <w:rPr>
                <w:b/>
                <w:szCs w:val="20"/>
              </w:rPr>
              <w:t>c</w:t>
            </w:r>
            <w:r w:rsidRPr="00F30E35">
              <w:rPr>
                <w:b/>
                <w:szCs w:val="20"/>
              </w:rPr>
              <w:t>ensored at time of SCT</w:t>
            </w:r>
          </w:p>
        </w:tc>
      </w:tr>
      <w:tr w:rsidR="00E7280A" w:rsidRPr="00F30E35" w:rsidTr="00E0145C">
        <w:tc>
          <w:tcPr>
            <w:tcW w:w="1980" w:type="dxa"/>
          </w:tcPr>
          <w:p w:rsidR="00E7280A" w:rsidRPr="00F30E35" w:rsidRDefault="00E7280A" w:rsidP="00E0145C">
            <w:pPr>
              <w:pStyle w:val="TableText"/>
              <w:rPr>
                <w:szCs w:val="20"/>
              </w:rPr>
            </w:pPr>
            <w:r w:rsidRPr="00F30E35">
              <w:rPr>
                <w:szCs w:val="20"/>
              </w:rPr>
              <w:t>No. deaths, n (%)</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w:t>
            </w:r>
          </w:p>
        </w:tc>
        <w:tc>
          <w:tcPr>
            <w:tcW w:w="1654" w:type="dxa"/>
          </w:tcPr>
          <w:p w:rsidR="00E7280A" w:rsidRPr="007F271D" w:rsidRDefault="007F271D" w:rsidP="00E0145C">
            <w:pPr>
              <w:pStyle w:val="TableText"/>
              <w:jc w:val="center"/>
              <w:rPr>
                <w:szCs w:val="20"/>
                <w:highlight w:val="black"/>
              </w:rPr>
            </w:pPr>
            <w:r>
              <w:rPr>
                <w:noProof/>
                <w:color w:val="000000"/>
                <w:szCs w:val="20"/>
                <w:highlight w:val="black"/>
              </w:rPr>
              <w:t>''''''' ''''''''''''''</w:t>
            </w:r>
          </w:p>
        </w:tc>
        <w:tc>
          <w:tcPr>
            <w:tcW w:w="1796" w:type="dxa"/>
          </w:tcPr>
          <w:p w:rsidR="00E7280A" w:rsidRPr="007F271D" w:rsidRDefault="007F271D" w:rsidP="00E0145C">
            <w:pPr>
              <w:pStyle w:val="TableText"/>
              <w:jc w:val="center"/>
              <w:rPr>
                <w:szCs w:val="20"/>
                <w:highlight w:val="black"/>
              </w:rPr>
            </w:pPr>
            <w:r>
              <w:rPr>
                <w:noProof/>
                <w:color w:val="000000"/>
                <w:szCs w:val="20"/>
                <w:highlight w:val="black"/>
              </w:rPr>
              <w:t>'''''''''''''</w:t>
            </w:r>
          </w:p>
        </w:tc>
        <w:tc>
          <w:tcPr>
            <w:tcW w:w="1984" w:type="dxa"/>
            <w:vMerge w:val="restart"/>
            <w:vAlign w:val="center"/>
          </w:tcPr>
          <w:p w:rsidR="00E7280A" w:rsidRPr="007F271D" w:rsidRDefault="007F271D" w:rsidP="00E0145C">
            <w:pPr>
              <w:pStyle w:val="TableText"/>
              <w:jc w:val="center"/>
              <w:rPr>
                <w:szCs w:val="20"/>
                <w:highlight w:val="black"/>
              </w:rPr>
            </w:pPr>
            <w:r>
              <w:rPr>
                <w:noProof/>
                <w:color w:val="000000"/>
                <w:szCs w:val="20"/>
                <w:highlight w:val="black"/>
              </w:rPr>
              <w:t>'''''''''''''</w:t>
            </w:r>
          </w:p>
          <w:p w:rsidR="00E7280A" w:rsidRPr="007F271D" w:rsidRDefault="007F271D" w:rsidP="00E0145C">
            <w:pPr>
              <w:pStyle w:val="TableText"/>
              <w:jc w:val="center"/>
              <w:rPr>
                <w:szCs w:val="20"/>
                <w:highlight w:val="black"/>
              </w:rPr>
            </w:pPr>
            <w:r>
              <w:rPr>
                <w:noProof/>
                <w:color w:val="000000"/>
                <w:szCs w:val="20"/>
                <w:highlight w:val="black"/>
              </w:rPr>
              <w:t>'''''''''''''' ''''''''''''''''</w:t>
            </w:r>
          </w:p>
        </w:tc>
      </w:tr>
      <w:tr w:rsidR="00E7280A" w:rsidRPr="00F30E35" w:rsidTr="00E0145C">
        <w:tc>
          <w:tcPr>
            <w:tcW w:w="1980" w:type="dxa"/>
          </w:tcPr>
          <w:p w:rsidR="00E7280A" w:rsidRPr="00F30E35" w:rsidRDefault="00E7280A" w:rsidP="00E0145C">
            <w:pPr>
              <w:pStyle w:val="TableText"/>
              <w:rPr>
                <w:szCs w:val="20"/>
              </w:rPr>
            </w:pPr>
            <w:r w:rsidRPr="00F30E35">
              <w:rPr>
                <w:szCs w:val="20"/>
              </w:rPr>
              <w:t>No. censored, n (%)</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w:t>
            </w:r>
          </w:p>
        </w:tc>
        <w:tc>
          <w:tcPr>
            <w:tcW w:w="1654" w:type="dxa"/>
          </w:tcPr>
          <w:p w:rsidR="00E7280A" w:rsidRPr="007F271D" w:rsidRDefault="007F271D" w:rsidP="00E0145C">
            <w:pPr>
              <w:pStyle w:val="TableText"/>
              <w:jc w:val="center"/>
              <w:rPr>
                <w:rFonts w:eastAsia="Times New Roman" w:cs="Times New Roman"/>
                <w:szCs w:val="20"/>
                <w:highlight w:val="black"/>
              </w:rPr>
            </w:pPr>
            <w:r>
              <w:rPr>
                <w:rFonts w:eastAsia="Times New Roman" w:cs="Times New Roman"/>
                <w:noProof/>
                <w:color w:val="000000"/>
                <w:szCs w:val="20"/>
                <w:highlight w:val="black"/>
              </w:rPr>
              <w:t>''''''''' '''''''''''''''</w:t>
            </w:r>
          </w:p>
        </w:tc>
        <w:tc>
          <w:tcPr>
            <w:tcW w:w="1796" w:type="dxa"/>
          </w:tcPr>
          <w:p w:rsidR="00E7280A" w:rsidRPr="007F271D" w:rsidRDefault="007F271D" w:rsidP="00E0145C">
            <w:pPr>
              <w:pStyle w:val="TableText"/>
              <w:jc w:val="center"/>
              <w:rPr>
                <w:szCs w:val="20"/>
                <w:highlight w:val="black"/>
              </w:rPr>
            </w:pPr>
            <w:r>
              <w:rPr>
                <w:noProof/>
                <w:color w:val="000000"/>
                <w:szCs w:val="20"/>
                <w:highlight w:val="black"/>
              </w:rPr>
              <w:t>'''''''''''</w:t>
            </w:r>
          </w:p>
        </w:tc>
        <w:tc>
          <w:tcPr>
            <w:tcW w:w="1984" w:type="dxa"/>
            <w:vMerge/>
          </w:tcPr>
          <w:p w:rsidR="00E7280A" w:rsidRPr="00F30E35" w:rsidRDefault="00E7280A" w:rsidP="00E0145C">
            <w:pPr>
              <w:pStyle w:val="TableText"/>
              <w:rPr>
                <w:szCs w:val="20"/>
              </w:rPr>
            </w:pPr>
          </w:p>
        </w:tc>
      </w:tr>
      <w:tr w:rsidR="00E7280A" w:rsidRPr="00F30E35" w:rsidTr="00E0145C">
        <w:tc>
          <w:tcPr>
            <w:tcW w:w="7083" w:type="dxa"/>
            <w:gridSpan w:val="4"/>
          </w:tcPr>
          <w:p w:rsidR="00E7280A" w:rsidRPr="00F30E35" w:rsidRDefault="00E7280A" w:rsidP="00E0145C">
            <w:pPr>
              <w:pStyle w:val="TableText"/>
              <w:rPr>
                <w:szCs w:val="20"/>
              </w:rPr>
            </w:pPr>
            <w:r w:rsidRPr="00F30E35">
              <w:rPr>
                <w:szCs w:val="20"/>
              </w:rPr>
              <w:t>KM estimates (95% CI)</w:t>
            </w:r>
          </w:p>
        </w:tc>
        <w:tc>
          <w:tcPr>
            <w:tcW w:w="1984" w:type="dxa"/>
            <w:vMerge w:val="restart"/>
            <w:vAlign w:val="center"/>
          </w:tcPr>
          <w:p w:rsidR="00E7280A" w:rsidRPr="00F30E35" w:rsidRDefault="00E7280A" w:rsidP="00E0145C">
            <w:pPr>
              <w:pStyle w:val="TableText"/>
              <w:jc w:val="center"/>
              <w:rPr>
                <w:szCs w:val="20"/>
              </w:rPr>
            </w:pPr>
            <w:r w:rsidRPr="00F30E35">
              <w:rPr>
                <w:szCs w:val="20"/>
              </w:rPr>
              <w:t>NR</w:t>
            </w:r>
          </w:p>
        </w:tc>
      </w:tr>
      <w:tr w:rsidR="00E7280A" w:rsidRPr="00F30E35" w:rsidTr="00E0145C">
        <w:tc>
          <w:tcPr>
            <w:tcW w:w="1980" w:type="dxa"/>
          </w:tcPr>
          <w:p w:rsidR="00E7280A" w:rsidRPr="00F30E35" w:rsidRDefault="00E7280A" w:rsidP="00E0145C">
            <w:pPr>
              <w:pStyle w:val="TableText"/>
              <w:tabs>
                <w:tab w:val="left" w:pos="282"/>
              </w:tabs>
              <w:rPr>
                <w:szCs w:val="20"/>
              </w:rPr>
            </w:pPr>
            <w:r w:rsidRPr="00F30E35">
              <w:rPr>
                <w:szCs w:val="20"/>
              </w:rPr>
              <w:tab/>
              <w:t>At 12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654" w:type="dxa"/>
          </w:tcPr>
          <w:p w:rsidR="00E7280A" w:rsidRPr="007F271D" w:rsidRDefault="007F271D" w:rsidP="00E0145C">
            <w:pPr>
              <w:pStyle w:val="TableText"/>
              <w:jc w:val="center"/>
              <w:rPr>
                <w:rFonts w:eastAsia="Times New Roman" w:cs="Times New Roman"/>
                <w:szCs w:val="20"/>
                <w:highlight w:val="black"/>
              </w:rPr>
            </w:pPr>
            <w:r>
              <w:rPr>
                <w:noProof/>
                <w:color w:val="000000"/>
                <w:szCs w:val="20"/>
                <w:highlight w:val="black"/>
              </w:rPr>
              <w:t>'''''''''' ''''''''''''''' ''''''''''''</w:t>
            </w:r>
          </w:p>
        </w:tc>
        <w:tc>
          <w:tcPr>
            <w:tcW w:w="1796" w:type="dxa"/>
          </w:tcPr>
          <w:p w:rsidR="00E7280A" w:rsidRPr="007F271D" w:rsidRDefault="007F271D" w:rsidP="00E0145C">
            <w:pPr>
              <w:pStyle w:val="TableText"/>
              <w:jc w:val="center"/>
              <w:rPr>
                <w:szCs w:val="20"/>
                <w:highlight w:val="black"/>
              </w:rPr>
            </w:pPr>
            <w:r>
              <w:rPr>
                <w:noProof/>
                <w:color w:val="000000"/>
                <w:szCs w:val="20"/>
                <w:highlight w:val="black"/>
              </w:rPr>
              <w:t>''''''''''</w:t>
            </w:r>
          </w:p>
        </w:tc>
        <w:tc>
          <w:tcPr>
            <w:tcW w:w="1984" w:type="dxa"/>
            <w:vMerge/>
          </w:tcPr>
          <w:p w:rsidR="00E7280A" w:rsidRPr="00F30E35" w:rsidRDefault="00E7280A" w:rsidP="00E0145C">
            <w:pPr>
              <w:pStyle w:val="TableText"/>
              <w:rPr>
                <w:szCs w:val="20"/>
              </w:rPr>
            </w:pPr>
          </w:p>
        </w:tc>
      </w:tr>
      <w:tr w:rsidR="00E7280A" w:rsidRPr="00F30E35" w:rsidTr="00E0145C">
        <w:tc>
          <w:tcPr>
            <w:tcW w:w="1980" w:type="dxa"/>
          </w:tcPr>
          <w:p w:rsidR="00E7280A" w:rsidRPr="00F30E35" w:rsidRDefault="00E7280A" w:rsidP="00E0145C">
            <w:pPr>
              <w:pStyle w:val="TableText"/>
              <w:tabs>
                <w:tab w:val="left" w:pos="282"/>
              </w:tabs>
              <w:rPr>
                <w:szCs w:val="20"/>
              </w:rPr>
            </w:pPr>
            <w:r w:rsidRPr="00F30E35">
              <w:rPr>
                <w:szCs w:val="20"/>
              </w:rPr>
              <w:tab/>
              <w:t>At 24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654" w:type="dxa"/>
          </w:tcPr>
          <w:p w:rsidR="00E7280A" w:rsidRPr="007F271D" w:rsidRDefault="007F271D" w:rsidP="00E0145C">
            <w:pPr>
              <w:pStyle w:val="TableText"/>
              <w:jc w:val="center"/>
              <w:rPr>
                <w:rFonts w:eastAsia="Times New Roman" w:cs="Times New Roman"/>
                <w:szCs w:val="20"/>
                <w:highlight w:val="black"/>
              </w:rPr>
            </w:pPr>
            <w:r>
              <w:rPr>
                <w:rFonts w:eastAsia="Times New Roman" w:cs="Times New Roman"/>
                <w:noProof/>
                <w:color w:val="000000"/>
                <w:szCs w:val="20"/>
                <w:highlight w:val="black"/>
              </w:rPr>
              <w:t>'''''''''' ''''''''''''''' '''''''''''</w:t>
            </w:r>
          </w:p>
        </w:tc>
        <w:tc>
          <w:tcPr>
            <w:tcW w:w="1796" w:type="dxa"/>
          </w:tcPr>
          <w:p w:rsidR="00E7280A" w:rsidRPr="007F271D" w:rsidRDefault="007F271D" w:rsidP="004D1E72">
            <w:pPr>
              <w:pStyle w:val="TableText"/>
              <w:jc w:val="center"/>
              <w:rPr>
                <w:szCs w:val="20"/>
                <w:highlight w:val="black"/>
              </w:rPr>
            </w:pPr>
            <w:r>
              <w:rPr>
                <w:noProof/>
                <w:color w:val="000000"/>
                <w:szCs w:val="20"/>
                <w:highlight w:val="black"/>
              </w:rPr>
              <w:t>'''''''''''''</w:t>
            </w:r>
          </w:p>
        </w:tc>
        <w:tc>
          <w:tcPr>
            <w:tcW w:w="1984" w:type="dxa"/>
            <w:vMerge/>
          </w:tcPr>
          <w:p w:rsidR="00E7280A" w:rsidRPr="00F30E35" w:rsidRDefault="00E7280A" w:rsidP="00E0145C">
            <w:pPr>
              <w:pStyle w:val="TableText"/>
              <w:rPr>
                <w:szCs w:val="20"/>
              </w:rPr>
            </w:pPr>
          </w:p>
        </w:tc>
      </w:tr>
      <w:tr w:rsidR="00E7280A" w:rsidRPr="00F30E35" w:rsidTr="00E0145C">
        <w:tc>
          <w:tcPr>
            <w:tcW w:w="1980" w:type="dxa"/>
          </w:tcPr>
          <w:p w:rsidR="00E7280A" w:rsidRPr="00F30E35" w:rsidRDefault="00E7280A" w:rsidP="00E0145C">
            <w:pPr>
              <w:pStyle w:val="TableText"/>
              <w:tabs>
                <w:tab w:val="left" w:pos="282"/>
              </w:tabs>
              <w:rPr>
                <w:szCs w:val="20"/>
              </w:rPr>
            </w:pPr>
            <w:r w:rsidRPr="00F30E35">
              <w:rPr>
                <w:szCs w:val="20"/>
              </w:rPr>
              <w:tab/>
              <w:t>At 60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 '''''''''''</w:t>
            </w:r>
          </w:p>
        </w:tc>
        <w:tc>
          <w:tcPr>
            <w:tcW w:w="1654" w:type="dxa"/>
          </w:tcPr>
          <w:p w:rsidR="00E7280A" w:rsidRPr="007F271D" w:rsidRDefault="007F271D" w:rsidP="00E0145C">
            <w:pPr>
              <w:pStyle w:val="TableText"/>
              <w:jc w:val="center"/>
              <w:rPr>
                <w:rFonts w:eastAsia="Times New Roman" w:cs="Times New Roman"/>
                <w:szCs w:val="20"/>
                <w:highlight w:val="black"/>
              </w:rPr>
            </w:pPr>
            <w:r>
              <w:rPr>
                <w:noProof/>
                <w:color w:val="000000"/>
                <w:szCs w:val="20"/>
                <w:highlight w:val="black"/>
              </w:rPr>
              <w:t>''''''''''' ''''''''''''''' ''''''''''''</w:t>
            </w:r>
          </w:p>
        </w:tc>
        <w:tc>
          <w:tcPr>
            <w:tcW w:w="1796" w:type="dxa"/>
          </w:tcPr>
          <w:p w:rsidR="00E7280A" w:rsidRPr="007F271D" w:rsidRDefault="007F271D" w:rsidP="00E0145C">
            <w:pPr>
              <w:pStyle w:val="TableText"/>
              <w:jc w:val="center"/>
              <w:rPr>
                <w:szCs w:val="20"/>
                <w:highlight w:val="black"/>
              </w:rPr>
            </w:pPr>
            <w:r>
              <w:rPr>
                <w:noProof/>
                <w:color w:val="000000"/>
                <w:szCs w:val="20"/>
                <w:highlight w:val="black"/>
              </w:rPr>
              <w:t>''''''''''''''</w:t>
            </w:r>
          </w:p>
        </w:tc>
        <w:tc>
          <w:tcPr>
            <w:tcW w:w="1984" w:type="dxa"/>
            <w:vMerge/>
          </w:tcPr>
          <w:p w:rsidR="00E7280A" w:rsidRPr="00F30E35" w:rsidRDefault="00E7280A" w:rsidP="00E0145C">
            <w:pPr>
              <w:pStyle w:val="TableText"/>
              <w:rPr>
                <w:szCs w:val="20"/>
              </w:rPr>
            </w:pPr>
          </w:p>
        </w:tc>
      </w:tr>
      <w:tr w:rsidR="00E7280A" w:rsidRPr="00F30E35" w:rsidTr="00E0145C">
        <w:tc>
          <w:tcPr>
            <w:tcW w:w="1980" w:type="dxa"/>
          </w:tcPr>
          <w:p w:rsidR="00E7280A" w:rsidRPr="00F30E35" w:rsidRDefault="00E7280A" w:rsidP="00E0145C">
            <w:pPr>
              <w:pStyle w:val="TableText"/>
              <w:rPr>
                <w:szCs w:val="20"/>
              </w:rPr>
            </w:pPr>
            <w:r w:rsidRPr="00F30E35">
              <w:rPr>
                <w:szCs w:val="20"/>
              </w:rPr>
              <w:t>Median OS, months</w:t>
            </w:r>
          </w:p>
        </w:tc>
        <w:tc>
          <w:tcPr>
            <w:tcW w:w="1653" w:type="dxa"/>
          </w:tcPr>
          <w:p w:rsidR="00E7280A" w:rsidRPr="007F271D" w:rsidRDefault="007F271D" w:rsidP="00E0145C">
            <w:pPr>
              <w:pStyle w:val="TableText"/>
              <w:jc w:val="center"/>
              <w:rPr>
                <w:szCs w:val="20"/>
                <w:highlight w:val="black"/>
              </w:rPr>
            </w:pPr>
            <w:r>
              <w:rPr>
                <w:noProof/>
                <w:color w:val="000000"/>
                <w:szCs w:val="20"/>
                <w:highlight w:val="black"/>
              </w:rPr>
              <w:t>'''''''' ''''''''''''''''''</w:t>
            </w:r>
          </w:p>
        </w:tc>
        <w:tc>
          <w:tcPr>
            <w:tcW w:w="1654" w:type="dxa"/>
          </w:tcPr>
          <w:p w:rsidR="00E7280A" w:rsidRPr="007F271D" w:rsidRDefault="007F271D" w:rsidP="00E0145C">
            <w:pPr>
              <w:pStyle w:val="TableText"/>
              <w:jc w:val="center"/>
              <w:rPr>
                <w:rFonts w:eastAsia="Times New Roman" w:cs="Times New Roman"/>
                <w:szCs w:val="20"/>
                <w:highlight w:val="black"/>
              </w:rPr>
            </w:pPr>
            <w:r>
              <w:rPr>
                <w:rFonts w:eastAsia="Times New Roman" w:cs="Times New Roman"/>
                <w:noProof/>
                <w:color w:val="000000"/>
                <w:szCs w:val="20"/>
                <w:highlight w:val="black"/>
              </w:rPr>
              <w:t>''''''''' '''''''''''''''''</w:t>
            </w:r>
          </w:p>
        </w:tc>
        <w:tc>
          <w:tcPr>
            <w:tcW w:w="1796" w:type="dxa"/>
          </w:tcPr>
          <w:p w:rsidR="00E7280A" w:rsidRPr="007F271D" w:rsidRDefault="007F271D" w:rsidP="00E0145C">
            <w:pPr>
              <w:pStyle w:val="TableText"/>
              <w:jc w:val="center"/>
              <w:rPr>
                <w:szCs w:val="20"/>
                <w:highlight w:val="black"/>
              </w:rPr>
            </w:pPr>
            <w:r>
              <w:rPr>
                <w:noProof/>
                <w:color w:val="000000"/>
                <w:szCs w:val="20"/>
                <w:highlight w:val="black"/>
              </w:rPr>
              <w:t>''''''''</w:t>
            </w:r>
          </w:p>
        </w:tc>
        <w:tc>
          <w:tcPr>
            <w:tcW w:w="1984" w:type="dxa"/>
            <w:vMerge/>
          </w:tcPr>
          <w:p w:rsidR="00E7280A" w:rsidRPr="00F30E35" w:rsidRDefault="00E7280A" w:rsidP="00E0145C">
            <w:pPr>
              <w:pStyle w:val="TableText"/>
              <w:rPr>
                <w:szCs w:val="20"/>
              </w:rPr>
            </w:pPr>
          </w:p>
        </w:tc>
      </w:tr>
    </w:tbl>
    <w:p w:rsidR="00E7280A" w:rsidRPr="00F30E35" w:rsidRDefault="00E7280A" w:rsidP="00E7280A">
      <w:pPr>
        <w:pStyle w:val="TableFooter"/>
      </w:pPr>
      <w:r w:rsidRPr="00F30E35">
        <w:t xml:space="preserve">Source: Tables 2.5-1, p124 and Table 2.5-3, p 128 of the submission. </w:t>
      </w:r>
    </w:p>
    <w:p w:rsidR="00E7280A" w:rsidRPr="00F30E35" w:rsidRDefault="00E7280A" w:rsidP="00E7280A">
      <w:pPr>
        <w:pStyle w:val="TableFooter"/>
        <w:rPr>
          <w:rFonts w:eastAsia="Calibri"/>
        </w:rPr>
      </w:pPr>
      <w:r w:rsidRPr="00F30E35">
        <w:rPr>
          <w:rFonts w:eastAsia="Calibri"/>
        </w:rPr>
        <w:t xml:space="preserve">CI = confidence interval; NA = not applicable; NE = not estimable; OS = overall survival; SCT= stem cell transplant </w:t>
      </w:r>
    </w:p>
    <w:p w:rsidR="00E7280A" w:rsidRPr="00F30E35" w:rsidRDefault="00E7280A" w:rsidP="00E7280A">
      <w:pPr>
        <w:pStyle w:val="TableFooter"/>
      </w:pPr>
      <w:r w:rsidRPr="00F30E35">
        <w:rPr>
          <w:rFonts w:eastAsia="Calibri"/>
        </w:rPr>
        <w:t>Bold typography indicates statistically significant differences</w:t>
      </w:r>
    </w:p>
    <w:p w:rsidR="00E7280A" w:rsidRPr="00F30E35" w:rsidRDefault="00E7280A" w:rsidP="00E7280A">
      <w:pPr>
        <w:pStyle w:val="TableFooter"/>
      </w:pPr>
    </w:p>
    <w:p w:rsidR="00E7280A" w:rsidRPr="00F30E35" w:rsidRDefault="00E7280A" w:rsidP="00E7280A">
      <w:pPr>
        <w:pStyle w:val="TableHeading0"/>
      </w:pPr>
      <w:r w:rsidRPr="00F30E35">
        <w:t>Figure 1: Kaplan Meier curve for OS, non-censored at time of SCT</w:t>
      </w:r>
    </w:p>
    <w:p w:rsidR="00E7280A" w:rsidRPr="00F30E35" w:rsidRDefault="00E7280A" w:rsidP="007B4DA3">
      <w:pPr>
        <w:rPr>
          <w:rStyle w:val="TableFooterChar"/>
          <w:rFonts w:eastAsiaTheme="majorEastAsia"/>
          <w:b/>
        </w:rPr>
      </w:pPr>
      <w:r w:rsidRPr="00F30E35">
        <w:rPr>
          <w:noProof/>
          <w:lang w:eastAsia="en-AU"/>
        </w:rPr>
        <w:drawing>
          <wp:inline distT="0" distB="0" distL="0" distR="0" wp14:anchorId="6624097B" wp14:editId="26817DA1">
            <wp:extent cx="5731510" cy="3240893"/>
            <wp:effectExtent l="0" t="0" r="2540" b="0"/>
            <wp:docPr id="1" name="Picture 1" title="Figure 1: Kaplan Meier curve for OS, non-censored at time of 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240893"/>
                    </a:xfrm>
                    <a:prstGeom prst="rect">
                      <a:avLst/>
                    </a:prstGeom>
                  </pic:spPr>
                </pic:pic>
              </a:graphicData>
            </a:graphic>
          </wp:inline>
        </w:drawing>
      </w:r>
    </w:p>
    <w:p w:rsidR="00E7280A" w:rsidRPr="00F30E35" w:rsidRDefault="00E7280A" w:rsidP="00A875D9">
      <w:pPr>
        <w:pStyle w:val="TableFooter"/>
        <w:rPr>
          <w:rStyle w:val="TableFooterChar"/>
          <w:rFonts w:eastAsiaTheme="majorEastAsia"/>
        </w:rPr>
      </w:pPr>
      <w:r w:rsidRPr="00F30E35">
        <w:rPr>
          <w:rStyle w:val="TableFooterChar"/>
          <w:rFonts w:eastAsiaTheme="majorEastAsia"/>
        </w:rPr>
        <w:t xml:space="preserve">Source: Figure 2.5.-1, p125 of the submission. </w:t>
      </w:r>
    </w:p>
    <w:p w:rsidR="00E7280A" w:rsidRPr="00F30E35" w:rsidRDefault="00E7280A" w:rsidP="00E7280A">
      <w:pPr>
        <w:pStyle w:val="TableFooter"/>
      </w:pPr>
      <w:r w:rsidRPr="00F30E35">
        <w:t>OS = overall survival; SCT = stem cell transplant</w:t>
      </w:r>
    </w:p>
    <w:p w:rsidR="004A3BB6" w:rsidRDefault="004A3BB6" w:rsidP="00DB0F2C">
      <w:pPr>
        <w:pStyle w:val="ListParagraph"/>
        <w:numPr>
          <w:ilvl w:val="1"/>
          <w:numId w:val="2"/>
        </w:numPr>
        <w:spacing w:after="120"/>
        <w:ind w:left="578" w:hanging="578"/>
        <w:jc w:val="both"/>
      </w:pPr>
      <w:r w:rsidRPr="00DB0F2C">
        <w:rPr>
          <w:szCs w:val="24"/>
        </w:rPr>
        <w:t>The</w:t>
      </w:r>
      <w:r w:rsidRPr="00F30E35">
        <w:t xml:space="preserve"> results </w:t>
      </w:r>
      <w:r w:rsidR="00267A87" w:rsidRPr="00F30E35">
        <w:t xml:space="preserve">from the RATIFY trial </w:t>
      </w:r>
      <w:r w:rsidRPr="00F30E35">
        <w:t xml:space="preserve">indicated statistically significant improvement in </w:t>
      </w:r>
      <w:r w:rsidR="00267A87" w:rsidRPr="00F30E35">
        <w:t>OS</w:t>
      </w:r>
      <w:r w:rsidRPr="00F30E35">
        <w:t xml:space="preserve">, non-censored at time of SCT (HR=0.774), with a reported incremental median survival of 49.1 months in patients treated with midostaurin. The RATIFY CSR (p138) </w:t>
      </w:r>
      <w:r w:rsidR="00267A87" w:rsidRPr="00F30E35">
        <w:t xml:space="preserve">stated </w:t>
      </w:r>
      <w:r w:rsidRPr="00F30E35">
        <w:lastRenderedPageBreak/>
        <w:t xml:space="preserve">that </w:t>
      </w:r>
      <w:r w:rsidR="007F271D">
        <w:rPr>
          <w:noProof/>
          <w:color w:val="000000"/>
          <w:highlight w:val="black"/>
        </w:rPr>
        <w:t>''''''''' ''''''''''''''''' ''''''''' ''''''''''''''''''' ''' '''''''''''''' '''''' ''' ''''''''' '''''''''''''' '''''''''' '''''''' '''''''''''''''''' ''''''''' ''''' ''''''''' ''''''''''''''' ''''''''''' ''''''''' ''' '''''' '''''''''''''''''''' '''''''''' ''''''' ''''''''''' '''''''''''''''''' ''''''''''''''' ''''''''''''''''''' '''''''' ''''''' '''''' ''''''''''''''''' ''''' '''''' ''''''''''''''' ''''''''''' '''' ''''''' ''''' ''''''''''' '''' ''''''' ''''' ''''''''''''' '''''''''''''''''' '''''''''' ''''''''''' '''''''' ''''''' ''''''''''' ''''''''''''''''' ''''''' '''''' '''''''''' ''''''''''''''''''''''' ''''''''''''''''' ''' '''''''''''''''' ''''''''''' ''''''''''''''''''''' ''''''''' ''''''''''''''''' '''''''' ''''''''''''''''''''' '''''''' ''''''' ''''''' '''''''''''''' '''''' ''''''''''''''' '''''' '''''''''' '''' '''''''' ''''''''''' ''' ''''''''''''</w:t>
      </w:r>
      <w:r w:rsidRPr="00F30E35">
        <w:t xml:space="preserve"> It is also not known whether the difference in median OS between the two treatment arms was statistically significant (although</w:t>
      </w:r>
      <w:r w:rsidR="00873C8A" w:rsidRPr="00F30E35">
        <w:t xml:space="preserve"> this was unlikely,</w:t>
      </w:r>
      <w:r w:rsidRPr="00F30E35">
        <w:t xml:space="preserve"> as the 95% CIs overlap</w:t>
      </w:r>
      <w:r w:rsidR="00873C8A" w:rsidRPr="00F30E35">
        <w:t>ped</w:t>
      </w:r>
      <w:r w:rsidRPr="00F30E35">
        <w:t>).</w:t>
      </w:r>
    </w:p>
    <w:p w:rsidR="00EA3CAE" w:rsidRDefault="00EA3CAE" w:rsidP="00DB0F2C">
      <w:pPr>
        <w:pStyle w:val="ListParagraph"/>
        <w:numPr>
          <w:ilvl w:val="1"/>
          <w:numId w:val="2"/>
        </w:numPr>
        <w:spacing w:after="120"/>
        <w:ind w:left="578" w:hanging="578"/>
        <w:jc w:val="both"/>
      </w:pPr>
      <w:r>
        <w:t>T</w:t>
      </w:r>
      <w:r w:rsidRPr="00790C0E">
        <w:t xml:space="preserve">he PBAC </w:t>
      </w:r>
      <w:r>
        <w:t xml:space="preserve">considered that RATIFY was a mature, well-conducted trial with similar </w:t>
      </w:r>
      <w:r w:rsidRPr="009F09BE">
        <w:t>results with and without censoring for SCT</w:t>
      </w:r>
      <w:r>
        <w:t xml:space="preserve">. </w:t>
      </w:r>
      <w:r w:rsidR="009D6F46">
        <w:t>The</w:t>
      </w:r>
      <w:r>
        <w:t xml:space="preserve"> PBAC considered that </w:t>
      </w:r>
      <w:r w:rsidRPr="00790C0E">
        <w:t xml:space="preserve">the </w:t>
      </w:r>
      <w:r w:rsidR="009E45DF">
        <w:t xml:space="preserve">numerical </w:t>
      </w:r>
      <w:r w:rsidRPr="00790C0E">
        <w:t xml:space="preserve">difference between </w:t>
      </w:r>
      <w:r>
        <w:t>arms</w:t>
      </w:r>
      <w:r w:rsidRPr="00790C0E">
        <w:t xml:space="preserve"> in median </w:t>
      </w:r>
      <w:r>
        <w:t>OS</w:t>
      </w:r>
      <w:r w:rsidRPr="00790C0E">
        <w:t xml:space="preserve"> (not censored at time of SCT) </w:t>
      </w:r>
      <w:r>
        <w:t xml:space="preserve">potentially </w:t>
      </w:r>
      <w:r w:rsidR="0061796C">
        <w:t>overstated</w:t>
      </w:r>
      <w:r w:rsidRPr="00790C0E">
        <w:t xml:space="preserve"> the survival benefit of midostaurin</w:t>
      </w:r>
      <w:r>
        <w:t>, as the</w:t>
      </w:r>
      <w:r w:rsidRPr="00790C0E">
        <w:t xml:space="preserve"> </w:t>
      </w:r>
      <w:r>
        <w:t xml:space="preserve">survival </w:t>
      </w:r>
      <w:r w:rsidRPr="00790C0E">
        <w:t>curves beg</w:t>
      </w:r>
      <w:r>
        <w:t>an</w:t>
      </w:r>
      <w:r w:rsidRPr="00790C0E">
        <w:t xml:space="preserve"> to plateau just prior to the time of median </w:t>
      </w:r>
      <w:r>
        <w:t>OS.</w:t>
      </w:r>
    </w:p>
    <w:p w:rsidR="00F146D6" w:rsidRPr="00F30E35" w:rsidRDefault="00F146D6" w:rsidP="00DB0F2C">
      <w:pPr>
        <w:pStyle w:val="ListParagraph"/>
        <w:numPr>
          <w:ilvl w:val="1"/>
          <w:numId w:val="2"/>
        </w:numPr>
        <w:spacing w:after="120"/>
        <w:ind w:left="578" w:hanging="578"/>
        <w:jc w:val="both"/>
      </w:pPr>
      <w:r w:rsidRPr="00DB0F2C">
        <w:rPr>
          <w:szCs w:val="24"/>
        </w:rPr>
        <w:t>Exploratory</w:t>
      </w:r>
      <w:r w:rsidRPr="00F30E35">
        <w:t xml:space="preserve"> </w:t>
      </w:r>
      <w:r w:rsidR="00267A87" w:rsidRPr="00F30E35">
        <w:t xml:space="preserve">analyses </w:t>
      </w:r>
      <w:r w:rsidRPr="00F30E35">
        <w:t xml:space="preserve">conducted </w:t>
      </w:r>
      <w:r w:rsidR="0061796C">
        <w:t>for</w:t>
      </w:r>
      <w:r w:rsidR="00267A87" w:rsidRPr="00F30E35">
        <w:t xml:space="preserve"> </w:t>
      </w:r>
      <w:r w:rsidRPr="00F30E35">
        <w:t xml:space="preserve">the RATIFY trial </w:t>
      </w:r>
      <w:r w:rsidR="007F271D">
        <w:rPr>
          <w:noProof/>
          <w:color w:val="000000"/>
          <w:highlight w:val="black"/>
        </w:rPr>
        <w:t>'''''''''''''''' ''''''''''''''''' '''''' ''''''''''''' '''''''''''''''''''''''' ''''''''''''''' '''''''''' '''''' ''''''''' '''' '''''' ''''''''''''''''''''''' '''''''''''' '''''''' ''''''''''''''' ''''''''''''''' '''''''' ''''''' '''''' '''''''''''''' '''''''''''''''' '''''''' '''''''''''''''''''' ''''''' '''''''''''''''' '''''''''''''''''''''''''' ''''''' '''''''''' ''''''' '''''''''''''''''' '''''' '''''''' '''''''''' ''''''' ''''' ''''''''''''''''''' '''''''''''''''''''' '''''''''''''''''' '''''''''''''''' ''''''''''''''''''' ''''''''''''' '''''''''' ''''''''' '''''''' ''''' '''''''''' ''''''''''' '''''''''''''''''' ''''''''' '''''' '''''''''''''''' '''' ''''''' ''''''''''''''''''''' ''''''' ''''''' ''''' ''''''''''''''' ''' ''''''' '''''''''''''''' '''''''' ''''''''''''''''''' ''''' ''''''''' ''' '''''''''''''''''''' ''''''''''''''''' ''''''' ''''''''''''''''''' '''''''''''''''''' '''''''' '''''' ''''''''' '''''''''''' '''''''''' ''''''''''''''''' ''''''''''' '''' '''''' '''''''''''''''''''''' ''' '''''' '''''''''''''' ''''''''' ''''' ''''''''' ''''''''' ''''''''''''''''''''''' '''' ''''''''''''' ''''''' ''''' '''''''''''''''' '''''''''' ''''''' ''''''''''''''''''''''''''''''</w:t>
      </w:r>
      <w:r w:rsidRPr="00F30E35">
        <w:t>.</w:t>
      </w:r>
    </w:p>
    <w:p w:rsidR="00A01896" w:rsidRPr="00F30E35" w:rsidRDefault="00A01896" w:rsidP="00DB0F2C">
      <w:pPr>
        <w:pStyle w:val="ListParagraph"/>
        <w:numPr>
          <w:ilvl w:val="1"/>
          <w:numId w:val="2"/>
        </w:numPr>
        <w:spacing w:after="120"/>
        <w:ind w:left="578" w:hanging="578"/>
        <w:jc w:val="both"/>
      </w:pPr>
      <w:r w:rsidRPr="00F30E35">
        <w:t xml:space="preserve">The ESC </w:t>
      </w:r>
      <w:r w:rsidR="00700506" w:rsidRPr="00F30E35">
        <w:t xml:space="preserve">noted that in the </w:t>
      </w:r>
      <w:r w:rsidRPr="00F30E35">
        <w:t>analyses of survival outcomes stratified by type of FLT3 mutation (ITD or TKD)</w:t>
      </w:r>
      <w:r w:rsidR="00700506" w:rsidRPr="00F30E35">
        <w:t>,</w:t>
      </w:r>
      <w:r w:rsidRPr="00F30E35">
        <w:t xml:space="preserve"> </w:t>
      </w:r>
      <w:r w:rsidR="00437F41" w:rsidRPr="00F30E35">
        <w:t xml:space="preserve">although </w:t>
      </w:r>
      <w:r w:rsidRPr="00F30E35">
        <w:t xml:space="preserve">the point estimates were more favourable in TKD patients, </w:t>
      </w:r>
      <w:r w:rsidR="00D412FC" w:rsidRPr="00F30E35">
        <w:t>none of the mutation specific subgroups achieved statistical significance with respect to OS.</w:t>
      </w:r>
      <w:r w:rsidR="00D412FC" w:rsidRPr="00F30E35">
        <w:rPr>
          <w:rStyle w:val="FootnoteReference"/>
        </w:rPr>
        <w:footnoteReference w:id="3"/>
      </w:r>
      <w:r w:rsidR="00D412FC" w:rsidRPr="00F30E35">
        <w:t xml:space="preserve"> However, the ESC noted that the study was not powered for subgroup analysis</w:t>
      </w:r>
      <w:r w:rsidR="00AC3934" w:rsidRPr="00F30E35">
        <w:t>.</w:t>
      </w:r>
      <w:r w:rsidR="00D412FC" w:rsidRPr="00F30E35">
        <w:t xml:space="preserve"> </w:t>
      </w:r>
    </w:p>
    <w:p w:rsidR="004A3BB6" w:rsidRPr="00F30E35" w:rsidRDefault="004A3BB6" w:rsidP="00DB0F2C">
      <w:pPr>
        <w:pStyle w:val="ListParagraph"/>
        <w:numPr>
          <w:ilvl w:val="1"/>
          <w:numId w:val="2"/>
        </w:numPr>
        <w:spacing w:after="120"/>
        <w:ind w:left="578" w:hanging="578"/>
        <w:jc w:val="both"/>
      </w:pPr>
      <w:r w:rsidRPr="00DB0F2C">
        <w:rPr>
          <w:szCs w:val="24"/>
        </w:rPr>
        <w:t>Patients</w:t>
      </w:r>
      <w:r w:rsidRPr="00F30E35">
        <w:t xml:space="preserve"> treated with midostaurin also demonstrated improved event-free and disease-free survival and complete remission rates and remission duration compared with placebo.</w:t>
      </w:r>
    </w:p>
    <w:p w:rsidR="0066494A" w:rsidRPr="008616E7" w:rsidRDefault="009F245A" w:rsidP="00DB0F2C">
      <w:pPr>
        <w:pStyle w:val="ListParagraph"/>
        <w:numPr>
          <w:ilvl w:val="1"/>
          <w:numId w:val="2"/>
        </w:numPr>
        <w:spacing w:after="120"/>
        <w:ind w:left="578" w:hanging="578"/>
        <w:jc w:val="both"/>
      </w:pPr>
      <w:r w:rsidRPr="00F30E35">
        <w:t xml:space="preserve">The ESC considered that the use of midostaurin in the maintenance setting represents a departure from current practice for the treatment of </w:t>
      </w:r>
      <w:r w:rsidRPr="00EA3CAE">
        <w:rPr>
          <w:i/>
        </w:rPr>
        <w:t>FLT3</w:t>
      </w:r>
      <w:r w:rsidRPr="00F30E35">
        <w:t xml:space="preserve"> positive AML (in which maintenance </w:t>
      </w:r>
      <w:r w:rsidRPr="008616E7">
        <w:t>therapy is not used). However, it was not possible to discern the impact of maintenance therapy on the overall results from the RATIFY trial</w:t>
      </w:r>
      <w:r w:rsidR="00EA3CAE">
        <w:t xml:space="preserve"> as patients were not re-randomised before the onset of maintenance therapy in the RATIY trial</w:t>
      </w:r>
      <w:r w:rsidR="00EA3CAE" w:rsidRPr="008616E7">
        <w:t xml:space="preserve">. The PBAC further noted </w:t>
      </w:r>
      <w:r w:rsidR="00EA3CAE">
        <w:t xml:space="preserve">that </w:t>
      </w:r>
      <w:r w:rsidR="00EA3CAE" w:rsidRPr="008616E7">
        <w:t xml:space="preserve">a recent publication that </w:t>
      </w:r>
      <w:r w:rsidR="00EA3CAE">
        <w:t xml:space="preserve">discussed the </w:t>
      </w:r>
      <w:r w:rsidR="00EA3CAE" w:rsidRPr="008616E7">
        <w:t xml:space="preserve">impact of maintenance therapy </w:t>
      </w:r>
      <w:r w:rsidR="00EA3CAE">
        <w:t xml:space="preserve">with midostaurin </w:t>
      </w:r>
      <w:r w:rsidR="00EA3CAE" w:rsidRPr="008616E7">
        <w:t>stated</w:t>
      </w:r>
      <w:r w:rsidR="00EA3CAE">
        <w:t xml:space="preserve"> that</w:t>
      </w:r>
      <w:r w:rsidR="00EA3CAE" w:rsidRPr="008616E7">
        <w:t xml:space="preserve"> “</w:t>
      </w:r>
      <w:r w:rsidR="00EA3CAE">
        <w:t>… M</w:t>
      </w:r>
      <w:r w:rsidR="00EA3CAE" w:rsidRPr="008616E7">
        <w:t xml:space="preserve">ore than half of midostaurin-treated patients (59%) underwent allogeneic transplant, and, per protocol, therefore did not receive maintenance therapy. The lack of further separation of the survival </w:t>
      </w:r>
      <w:r w:rsidR="00EA3CAE" w:rsidRPr="008616E7">
        <w:lastRenderedPageBreak/>
        <w:t>curves after the first few months of therapy attests to the fact that either midostaurin does not work as maintenance or that few patients were taking midostaurin, either because they had been transplanted or because of some other reason</w:t>
      </w:r>
      <w:r w:rsidR="00EA3CAE">
        <w:t>….</w:t>
      </w:r>
      <w:r w:rsidR="00EA3CAE" w:rsidRPr="00FF5E6D">
        <w:t xml:space="preserve"> </w:t>
      </w:r>
      <w:r w:rsidR="00EA3CAE">
        <w:t>Midostaurin administered as maintenance therapy after allogeneic transplant is currently under active study, although it is too early to draw any conclusions about tolerability or efficacy in this setting</w:t>
      </w:r>
      <w:r w:rsidR="00EA3CAE" w:rsidRPr="008616E7">
        <w:t>”</w:t>
      </w:r>
      <w:r w:rsidR="00EA3CAE" w:rsidRPr="00EA3CAE">
        <w:rPr>
          <w:rStyle w:val="FootnoteReference"/>
        </w:rPr>
        <w:t xml:space="preserve"> </w:t>
      </w:r>
      <w:r w:rsidR="00EA3CAE" w:rsidRPr="008616E7">
        <w:rPr>
          <w:rStyle w:val="FootnoteReference"/>
        </w:rPr>
        <w:footnoteReference w:id="4"/>
      </w:r>
      <w:r w:rsidR="00EA3CAE" w:rsidRPr="008616E7">
        <w:t>.</w:t>
      </w:r>
    </w:p>
    <w:p w:rsidR="00E0145C" w:rsidRPr="00F30E35" w:rsidRDefault="00E57019" w:rsidP="00DB0F2C">
      <w:pPr>
        <w:pStyle w:val="ListParagraph"/>
        <w:numPr>
          <w:ilvl w:val="1"/>
          <w:numId w:val="2"/>
        </w:numPr>
        <w:spacing w:after="120"/>
        <w:ind w:left="578" w:hanging="578"/>
        <w:jc w:val="both"/>
      </w:pPr>
      <w:r w:rsidRPr="00DB0F2C">
        <w:rPr>
          <w:szCs w:val="24"/>
        </w:rPr>
        <w:t>T</w:t>
      </w:r>
      <w:r w:rsidR="00E0145C" w:rsidRPr="00DB0F2C">
        <w:rPr>
          <w:szCs w:val="24"/>
        </w:rPr>
        <w:t>he</w:t>
      </w:r>
      <w:r w:rsidR="00E0145C" w:rsidRPr="00F30E35">
        <w:t xml:space="preserve"> RATIFY trial limited enrolment to those aged </w:t>
      </w:r>
      <w:r w:rsidR="00E0145C" w:rsidRPr="00F30E35">
        <w:rPr>
          <w:rFonts w:cstheme="minorHAnsi"/>
        </w:rPr>
        <w:t>≤</w:t>
      </w:r>
      <w:r w:rsidR="00E0145C" w:rsidRPr="00F30E35">
        <w:t>59 years</w:t>
      </w:r>
      <w:r w:rsidR="008D679F" w:rsidRPr="00F30E35">
        <w:t xml:space="preserve"> (</w:t>
      </w:r>
      <w:r w:rsidR="004D1E72" w:rsidRPr="00F30E35">
        <w:t xml:space="preserve">approximate </w:t>
      </w:r>
      <w:r w:rsidR="008D679F" w:rsidRPr="00F30E35">
        <w:t xml:space="preserve">mean </w:t>
      </w:r>
      <w:r w:rsidR="004D1E72" w:rsidRPr="00F30E35">
        <w:t>and median age of</w:t>
      </w:r>
      <w:r w:rsidR="008D679F" w:rsidRPr="00F30E35">
        <w:t xml:space="preserve"> 45 years</w:t>
      </w:r>
      <w:r w:rsidR="004D1E72" w:rsidRPr="00F30E35">
        <w:t xml:space="preserve"> and 47 years, respectively</w:t>
      </w:r>
      <w:r w:rsidR="008D679F" w:rsidRPr="00F30E35">
        <w:t>)</w:t>
      </w:r>
      <w:r w:rsidR="00E0145C" w:rsidRPr="00F30E35">
        <w:t xml:space="preserve">, but the </w:t>
      </w:r>
      <w:r w:rsidR="0061796C">
        <w:t>submission</w:t>
      </w:r>
      <w:r w:rsidR="00E0145C" w:rsidRPr="00F30E35">
        <w:t xml:space="preserve"> proposed </w:t>
      </w:r>
      <w:r w:rsidR="00EE04BE" w:rsidRPr="00F30E35">
        <w:t xml:space="preserve">that PBS-subsidised access to midostaurin should not be age-restricted, citing evidence from </w:t>
      </w:r>
      <w:r w:rsidR="00E0145C" w:rsidRPr="00F30E35">
        <w:t>the AMLGS-16-10 study</w:t>
      </w:r>
      <w:r w:rsidR="00EE04BE" w:rsidRPr="00F30E35">
        <w:t xml:space="preserve"> in support of this proposal</w:t>
      </w:r>
      <w:r w:rsidR="00E0145C" w:rsidRPr="00F30E35">
        <w:t>.</w:t>
      </w:r>
    </w:p>
    <w:p w:rsidR="00E0145C" w:rsidRPr="00F30E35" w:rsidRDefault="00E0145C" w:rsidP="00DB0F2C">
      <w:pPr>
        <w:pStyle w:val="ListParagraph"/>
        <w:numPr>
          <w:ilvl w:val="1"/>
          <w:numId w:val="2"/>
        </w:numPr>
        <w:spacing w:after="120"/>
        <w:ind w:left="578" w:hanging="578"/>
        <w:jc w:val="both"/>
      </w:pPr>
      <w:r w:rsidRPr="00DB0F2C">
        <w:rPr>
          <w:szCs w:val="24"/>
        </w:rPr>
        <w:t>The</w:t>
      </w:r>
      <w:r w:rsidRPr="00F30E35">
        <w:t xml:space="preserve"> AMLSG 16-10 study was a phase II single-arm, study evaluating the efficacy and safety of midostaurin in combination with standard intensive remission induction therapy and as single agent maintenance therapy following allogeneic </w:t>
      </w:r>
      <w:r w:rsidR="00150FBC" w:rsidRPr="00F30E35">
        <w:t>haematopoietic</w:t>
      </w:r>
      <w:r w:rsidRPr="00F30E35">
        <w:t xml:space="preserve"> </w:t>
      </w:r>
      <w:r w:rsidR="00267A87" w:rsidRPr="00F30E35">
        <w:t>SCT</w:t>
      </w:r>
      <w:r w:rsidRPr="00F30E35">
        <w:t xml:space="preserve"> or high dose cytarabine consolidation in 284 patients aged 18-70 years (68% of patients aged </w:t>
      </w:r>
      <w:r w:rsidRPr="00F30E35">
        <w:rPr>
          <w:rFonts w:cstheme="minorHAnsi"/>
        </w:rPr>
        <w:t>≤</w:t>
      </w:r>
      <w:r w:rsidRPr="00F30E35">
        <w:t>59 years and 32% aged ≥60 years</w:t>
      </w:r>
      <w:r w:rsidR="008D679F" w:rsidRPr="00F30E35">
        <w:t xml:space="preserve">; </w:t>
      </w:r>
      <w:r w:rsidR="00EE04BE" w:rsidRPr="00F30E35">
        <w:t xml:space="preserve">with a </w:t>
      </w:r>
      <w:r w:rsidR="008D679F" w:rsidRPr="00F30E35">
        <w:t xml:space="preserve">median age </w:t>
      </w:r>
      <w:r w:rsidR="00EE04BE" w:rsidRPr="00F30E35">
        <w:t>of</w:t>
      </w:r>
      <w:r w:rsidR="008D679F" w:rsidRPr="00F30E35">
        <w:t xml:space="preserve"> 54 years</w:t>
      </w:r>
      <w:r w:rsidRPr="00F30E35">
        <w:t xml:space="preserve">) with newly diagnosed FLT3 ITD positive AML. </w:t>
      </w:r>
    </w:p>
    <w:p w:rsidR="00E0145C" w:rsidRPr="00F30E35" w:rsidRDefault="001A07D7" w:rsidP="00DB0F2C">
      <w:pPr>
        <w:pStyle w:val="ListParagraph"/>
        <w:numPr>
          <w:ilvl w:val="1"/>
          <w:numId w:val="2"/>
        </w:numPr>
        <w:spacing w:after="120"/>
        <w:ind w:left="578" w:hanging="578"/>
        <w:jc w:val="both"/>
      </w:pPr>
      <w:r w:rsidRPr="00DB0F2C">
        <w:rPr>
          <w:szCs w:val="24"/>
        </w:rPr>
        <w:t>Results</w:t>
      </w:r>
      <w:r w:rsidRPr="00F30E35">
        <w:t xml:space="preserve"> from AMLGS-16-10 indicated:</w:t>
      </w:r>
    </w:p>
    <w:p w:rsidR="001A07D7" w:rsidRPr="00F30E35" w:rsidRDefault="001A07D7" w:rsidP="00B51A34">
      <w:pPr>
        <w:pStyle w:val="ListParagraph"/>
        <w:numPr>
          <w:ilvl w:val="0"/>
          <w:numId w:val="15"/>
        </w:numPr>
        <w:spacing w:before="0" w:after="0"/>
        <w:ind w:left="993" w:hanging="423"/>
        <w:jc w:val="both"/>
      </w:pPr>
      <w:r w:rsidRPr="00F30E35">
        <w:t>Patients aged 60</w:t>
      </w:r>
      <w:r w:rsidR="00AE329D" w:rsidRPr="00F30E35">
        <w:t>-70</w:t>
      </w:r>
      <w:r w:rsidRPr="00F30E35">
        <w:t xml:space="preserve"> years achieved </w:t>
      </w:r>
      <w:r w:rsidR="0061796C">
        <w:t>similar</w:t>
      </w:r>
      <w:r w:rsidRPr="00F30E35">
        <w:t xml:space="preserve"> complete remission </w:t>
      </w:r>
      <w:r w:rsidR="00657651" w:rsidRPr="00F30E35">
        <w:t xml:space="preserve">(CR) </w:t>
      </w:r>
      <w:r w:rsidRPr="00F30E35">
        <w:t xml:space="preserve">rates as patients aged </w:t>
      </w:r>
      <w:r w:rsidRPr="00F30E35">
        <w:rPr>
          <w:rFonts w:cstheme="minorHAnsi"/>
        </w:rPr>
        <w:t>≤</w:t>
      </w:r>
      <w:r w:rsidRPr="00F30E35">
        <w:t>59. Overall response</w:t>
      </w:r>
      <w:r w:rsidR="00657651" w:rsidRPr="00F30E35">
        <w:t>,</w:t>
      </w:r>
      <w:r w:rsidRPr="00F30E35">
        <w:t xml:space="preserve"> defined </w:t>
      </w:r>
      <w:r w:rsidR="00657651" w:rsidRPr="00F30E35">
        <w:t xml:space="preserve">by </w:t>
      </w:r>
      <w:r w:rsidRPr="00F30E35">
        <w:t xml:space="preserve">CR or </w:t>
      </w:r>
      <w:r w:rsidR="00657651" w:rsidRPr="00F30E35">
        <w:t>CR</w:t>
      </w:r>
      <w:r w:rsidRPr="00F30E35">
        <w:t xml:space="preserve"> with incomplete platelet recovery (Cri)</w:t>
      </w:r>
      <w:r w:rsidR="00B40141" w:rsidRPr="00F30E35">
        <w:t>,</w:t>
      </w:r>
      <w:r w:rsidRPr="00F30E35">
        <w:t xml:space="preserve"> was 76% in </w:t>
      </w:r>
      <w:r w:rsidR="0061796C">
        <w:t xml:space="preserve">both </w:t>
      </w:r>
      <w:r w:rsidRPr="00F30E35">
        <w:t xml:space="preserve">younger patients </w:t>
      </w:r>
      <w:r w:rsidR="004D1E72" w:rsidRPr="00F30E35">
        <w:t>(</w:t>
      </w:r>
      <w:r w:rsidR="004D1E72" w:rsidRPr="00F30E35">
        <w:rPr>
          <w:rFonts w:cstheme="minorHAnsi"/>
        </w:rPr>
        <w:t>≤</w:t>
      </w:r>
      <w:r w:rsidR="004D1E72" w:rsidRPr="00F30E35">
        <w:t xml:space="preserve">59 years) </w:t>
      </w:r>
      <w:r w:rsidRPr="00F30E35">
        <w:t>and older patients</w:t>
      </w:r>
      <w:r w:rsidR="004D1E72" w:rsidRPr="00F30E35">
        <w:t xml:space="preserve"> (≥60 years)</w:t>
      </w:r>
      <w:r w:rsidRPr="00F30E35">
        <w:t>.</w:t>
      </w:r>
    </w:p>
    <w:p w:rsidR="001A07D7" w:rsidRDefault="008D679F" w:rsidP="00B51A34">
      <w:pPr>
        <w:pStyle w:val="ListParagraph"/>
        <w:numPr>
          <w:ilvl w:val="0"/>
          <w:numId w:val="15"/>
        </w:numPr>
        <w:spacing w:before="0" w:after="0"/>
        <w:ind w:left="993" w:hanging="423"/>
        <w:jc w:val="both"/>
      </w:pPr>
      <w:r w:rsidRPr="00F30E35">
        <w:t>M</w:t>
      </w:r>
      <w:r w:rsidR="001A07D7" w:rsidRPr="00F30E35">
        <w:t xml:space="preserve">edian overall survival </w:t>
      </w:r>
      <w:r w:rsidRPr="00F30E35">
        <w:t>in those aged 60-70 years</w:t>
      </w:r>
      <w:r w:rsidR="001A07D7" w:rsidRPr="00F30E35">
        <w:t xml:space="preserve"> was not significantly worse than younger patients. Median overall survival was 26 months in the younger population and 23 months in the older population (p=0.15). Death occurred in 4% of younger patients and 10% of older patients.</w:t>
      </w:r>
    </w:p>
    <w:p w:rsidR="001A07D7" w:rsidRPr="00F30E35" w:rsidRDefault="001A07D7" w:rsidP="00DB0F2C">
      <w:pPr>
        <w:pStyle w:val="ListParagraph"/>
        <w:numPr>
          <w:ilvl w:val="1"/>
          <w:numId w:val="2"/>
        </w:numPr>
        <w:spacing w:after="120"/>
        <w:ind w:left="578" w:hanging="578"/>
        <w:jc w:val="both"/>
      </w:pPr>
      <w:r w:rsidRPr="00DB0F2C">
        <w:rPr>
          <w:szCs w:val="24"/>
        </w:rPr>
        <w:t>As</w:t>
      </w:r>
      <w:r w:rsidRPr="00F30E35">
        <w:t xml:space="preserve"> the </w:t>
      </w:r>
      <w:r w:rsidR="0061796C">
        <w:t xml:space="preserve">AMLGS-16-10 </w:t>
      </w:r>
      <w:r w:rsidRPr="00F30E35">
        <w:t>study was</w:t>
      </w:r>
      <w:r w:rsidR="0061796C">
        <w:t xml:space="preserve"> non-comparative </w:t>
      </w:r>
      <w:r w:rsidRPr="00F30E35">
        <w:t xml:space="preserve">it </w:t>
      </w:r>
      <w:r w:rsidR="0061796C">
        <w:t>is un</w:t>
      </w:r>
      <w:r w:rsidRPr="00F30E35">
        <w:t xml:space="preserve">known whether the incremental benefit observed in patients aged </w:t>
      </w:r>
      <w:r w:rsidRPr="00F30E35">
        <w:rPr>
          <w:rFonts w:cstheme="minorHAnsi"/>
        </w:rPr>
        <w:t>≤</w:t>
      </w:r>
      <w:r w:rsidRPr="00F30E35">
        <w:t xml:space="preserve">59 years in this study was comparable to that reported in the RATIFY trial. Consequently, it was not known whether the “comparable” effects observed between those aged </w:t>
      </w:r>
      <w:r w:rsidRPr="00F30E35">
        <w:rPr>
          <w:rFonts w:cstheme="minorHAnsi"/>
        </w:rPr>
        <w:t>≤</w:t>
      </w:r>
      <w:r w:rsidRPr="00F30E35">
        <w:t>59 years and 60</w:t>
      </w:r>
      <w:r w:rsidR="00AE329D" w:rsidRPr="00F30E35">
        <w:t>-70</w:t>
      </w:r>
      <w:r w:rsidRPr="00F30E35">
        <w:t xml:space="preserve"> years </w:t>
      </w:r>
      <w:r w:rsidR="00AE329D" w:rsidRPr="00F30E35">
        <w:t xml:space="preserve">in </w:t>
      </w:r>
      <w:r w:rsidRPr="00F30E35">
        <w:t xml:space="preserve">the AMLSG 16-10 study could be used to conclude the effects observed in RATIFY would also be observed in those aged </w:t>
      </w:r>
      <w:r w:rsidRPr="00F30E35">
        <w:rPr>
          <w:rFonts w:cstheme="minorHAnsi"/>
        </w:rPr>
        <w:t>≥</w:t>
      </w:r>
      <w:r w:rsidRPr="00F30E35">
        <w:t>60 years.</w:t>
      </w:r>
    </w:p>
    <w:p w:rsidR="00DC4349" w:rsidRPr="00F30E35" w:rsidRDefault="001A07D7" w:rsidP="00492912">
      <w:pPr>
        <w:pStyle w:val="ListParagraph"/>
        <w:numPr>
          <w:ilvl w:val="1"/>
          <w:numId w:val="2"/>
        </w:numPr>
        <w:spacing w:after="120"/>
        <w:ind w:left="578" w:hanging="578"/>
        <w:jc w:val="both"/>
        <w:rPr>
          <w:szCs w:val="24"/>
        </w:rPr>
      </w:pPr>
      <w:r w:rsidRPr="00492912">
        <w:t>The</w:t>
      </w:r>
      <w:r w:rsidRPr="00F30E35">
        <w:rPr>
          <w:szCs w:val="24"/>
        </w:rPr>
        <w:t xml:space="preserve"> overall applicability of the AMLSG-16-10 study to the likely eligible PBS population </w:t>
      </w:r>
      <w:r w:rsidR="00126AEF" w:rsidRPr="00F30E35">
        <w:rPr>
          <w:szCs w:val="24"/>
        </w:rPr>
        <w:t xml:space="preserve">was </w:t>
      </w:r>
      <w:r w:rsidRPr="00F30E35">
        <w:rPr>
          <w:szCs w:val="24"/>
        </w:rPr>
        <w:t xml:space="preserve">unclear as: </w:t>
      </w:r>
    </w:p>
    <w:p w:rsidR="00DC4349" w:rsidRPr="00F30E35" w:rsidRDefault="001A07D7" w:rsidP="00B51A34">
      <w:pPr>
        <w:pStyle w:val="ListParagraph"/>
        <w:numPr>
          <w:ilvl w:val="0"/>
          <w:numId w:val="15"/>
        </w:numPr>
        <w:spacing w:before="0" w:after="0"/>
        <w:ind w:left="993" w:hanging="423"/>
        <w:jc w:val="both"/>
        <w:rPr>
          <w:szCs w:val="24"/>
        </w:rPr>
      </w:pPr>
      <w:r w:rsidRPr="00B51A34">
        <w:t>enrolment</w:t>
      </w:r>
      <w:r w:rsidRPr="00F30E35">
        <w:rPr>
          <w:szCs w:val="24"/>
        </w:rPr>
        <w:t xml:space="preserve"> was limited to those aged 18-70</w:t>
      </w:r>
      <w:r w:rsidR="00107AD7">
        <w:rPr>
          <w:szCs w:val="24"/>
        </w:rPr>
        <w:t xml:space="preserve"> years</w:t>
      </w:r>
      <w:r w:rsidRPr="00F30E35">
        <w:rPr>
          <w:szCs w:val="24"/>
        </w:rPr>
        <w:t xml:space="preserve">; </w:t>
      </w:r>
    </w:p>
    <w:p w:rsidR="00DC4349" w:rsidRPr="00F30E35" w:rsidRDefault="00DC4349" w:rsidP="005B77E9">
      <w:pPr>
        <w:pStyle w:val="BulletLast"/>
        <w:numPr>
          <w:ilvl w:val="1"/>
          <w:numId w:val="7"/>
        </w:numPr>
        <w:spacing w:after="0"/>
        <w:jc w:val="both"/>
        <w:rPr>
          <w:sz w:val="24"/>
          <w:szCs w:val="24"/>
        </w:rPr>
      </w:pPr>
      <w:r w:rsidRPr="00F30E35">
        <w:rPr>
          <w:sz w:val="24"/>
          <w:szCs w:val="24"/>
        </w:rPr>
        <w:t>the PSCR (p1) stated that chronological age is no longer a reason to deny a patient a</w:t>
      </w:r>
      <w:r w:rsidR="001964EB" w:rsidRPr="00F30E35">
        <w:rPr>
          <w:sz w:val="24"/>
          <w:szCs w:val="24"/>
        </w:rPr>
        <w:t>ccess to intensive chemotherapy. For</w:t>
      </w:r>
      <w:r w:rsidRPr="00F30E35">
        <w:rPr>
          <w:sz w:val="24"/>
          <w:szCs w:val="24"/>
        </w:rPr>
        <w:t xml:space="preserve"> patients aged ≥60 years, a clinical judgement of fitness should be made taking into consideration factors including performance status, the presence or absence of adverse features and the presence or absence of comorbid conditions;</w:t>
      </w:r>
    </w:p>
    <w:p w:rsidR="00DC4349" w:rsidRPr="00F30E35" w:rsidRDefault="00DC4349" w:rsidP="005B77E9">
      <w:pPr>
        <w:pStyle w:val="BulletLast"/>
        <w:numPr>
          <w:ilvl w:val="1"/>
          <w:numId w:val="7"/>
        </w:numPr>
        <w:spacing w:after="0"/>
        <w:jc w:val="both"/>
        <w:rPr>
          <w:sz w:val="24"/>
          <w:szCs w:val="24"/>
        </w:rPr>
      </w:pPr>
      <w:r w:rsidRPr="00F30E35">
        <w:rPr>
          <w:sz w:val="24"/>
          <w:szCs w:val="24"/>
        </w:rPr>
        <w:lastRenderedPageBreak/>
        <w:t xml:space="preserve">the ESC agreed with the PSCR, noting that changes in SCT methodologies </w:t>
      </w:r>
      <w:r w:rsidR="00FB4880" w:rsidRPr="00F30E35">
        <w:rPr>
          <w:sz w:val="24"/>
          <w:szCs w:val="24"/>
        </w:rPr>
        <w:t>allowed o</w:t>
      </w:r>
      <w:r w:rsidRPr="00F30E35">
        <w:rPr>
          <w:sz w:val="24"/>
          <w:szCs w:val="24"/>
        </w:rPr>
        <w:t xml:space="preserve">lder patients </w:t>
      </w:r>
      <w:r w:rsidR="00FB4880" w:rsidRPr="00F30E35">
        <w:rPr>
          <w:sz w:val="24"/>
          <w:szCs w:val="24"/>
        </w:rPr>
        <w:t>to</w:t>
      </w:r>
      <w:r w:rsidR="00A04F08" w:rsidRPr="00F30E35">
        <w:rPr>
          <w:sz w:val="24"/>
          <w:szCs w:val="24"/>
        </w:rPr>
        <w:t xml:space="preserve"> be</w:t>
      </w:r>
      <w:r w:rsidRPr="00F30E35">
        <w:rPr>
          <w:sz w:val="24"/>
          <w:szCs w:val="24"/>
        </w:rPr>
        <w:t xml:space="preserve"> eligible for transplant</w:t>
      </w:r>
      <w:r w:rsidR="00A04F08" w:rsidRPr="00F30E35">
        <w:rPr>
          <w:sz w:val="24"/>
          <w:szCs w:val="24"/>
        </w:rPr>
        <w:t>. While the magnitude of benefit of midostaurin treatment in the older population was difficult to determine from the evidence presented,</w:t>
      </w:r>
      <w:r w:rsidRPr="00F30E35">
        <w:rPr>
          <w:sz w:val="24"/>
          <w:szCs w:val="24"/>
        </w:rPr>
        <w:t xml:space="preserve"> </w:t>
      </w:r>
      <w:r w:rsidR="00A04F08" w:rsidRPr="00F30E35">
        <w:rPr>
          <w:sz w:val="24"/>
          <w:szCs w:val="24"/>
        </w:rPr>
        <w:t>it was likely that</w:t>
      </w:r>
      <w:r w:rsidRPr="00F30E35">
        <w:rPr>
          <w:sz w:val="24"/>
          <w:szCs w:val="24"/>
        </w:rPr>
        <w:t xml:space="preserve"> the</w:t>
      </w:r>
      <w:r w:rsidR="00CA5DDD">
        <w:rPr>
          <w:sz w:val="24"/>
          <w:szCs w:val="24"/>
        </w:rPr>
        <w:t xml:space="preserve"> uptake</w:t>
      </w:r>
      <w:r w:rsidRPr="00F30E35">
        <w:rPr>
          <w:sz w:val="24"/>
          <w:szCs w:val="24"/>
        </w:rPr>
        <w:t xml:space="preserve"> of midostaurin in </w:t>
      </w:r>
      <w:r w:rsidR="001964EB" w:rsidRPr="00F30E35">
        <w:rPr>
          <w:sz w:val="24"/>
          <w:szCs w:val="24"/>
        </w:rPr>
        <w:t>the</w:t>
      </w:r>
      <w:r w:rsidR="00A04F08" w:rsidRPr="00F30E35">
        <w:rPr>
          <w:sz w:val="24"/>
          <w:szCs w:val="24"/>
        </w:rPr>
        <w:t xml:space="preserve"> older population</w:t>
      </w:r>
      <w:r w:rsidRPr="00F30E35">
        <w:rPr>
          <w:sz w:val="24"/>
          <w:szCs w:val="24"/>
        </w:rPr>
        <w:t xml:space="preserve"> </w:t>
      </w:r>
      <w:r w:rsidR="00CA5DDD">
        <w:rPr>
          <w:sz w:val="24"/>
          <w:szCs w:val="24"/>
        </w:rPr>
        <w:t xml:space="preserve">suitable for intensive therapy </w:t>
      </w:r>
      <w:r w:rsidRPr="00F30E35">
        <w:rPr>
          <w:sz w:val="24"/>
          <w:szCs w:val="24"/>
        </w:rPr>
        <w:t xml:space="preserve">would </w:t>
      </w:r>
      <w:r w:rsidR="008A7075">
        <w:rPr>
          <w:sz w:val="24"/>
          <w:szCs w:val="24"/>
        </w:rPr>
        <w:t>be similar to</w:t>
      </w:r>
      <w:r w:rsidR="008A7075" w:rsidRPr="00F30E35">
        <w:rPr>
          <w:sz w:val="24"/>
          <w:szCs w:val="24"/>
        </w:rPr>
        <w:t xml:space="preserve"> </w:t>
      </w:r>
      <w:r w:rsidRPr="00F30E35">
        <w:rPr>
          <w:sz w:val="24"/>
          <w:szCs w:val="24"/>
        </w:rPr>
        <w:t>that in the younger age groups;</w:t>
      </w:r>
    </w:p>
    <w:p w:rsidR="00DC4349" w:rsidRPr="00F30E35" w:rsidRDefault="00DC4349" w:rsidP="005B77E9">
      <w:pPr>
        <w:pStyle w:val="BulletLast"/>
        <w:numPr>
          <w:ilvl w:val="1"/>
          <w:numId w:val="7"/>
        </w:numPr>
        <w:spacing w:after="0"/>
        <w:jc w:val="both"/>
        <w:rPr>
          <w:sz w:val="24"/>
          <w:szCs w:val="24"/>
        </w:rPr>
      </w:pPr>
      <w:r w:rsidRPr="00F30E35">
        <w:rPr>
          <w:sz w:val="24"/>
          <w:szCs w:val="24"/>
        </w:rPr>
        <w:t xml:space="preserve">the ESC considered that biologically, there was no reason why patients </w:t>
      </w:r>
      <w:r w:rsidR="0002127C" w:rsidRPr="00F30E35">
        <w:rPr>
          <w:sz w:val="24"/>
          <w:szCs w:val="24"/>
        </w:rPr>
        <w:t>who are</w:t>
      </w:r>
      <w:r w:rsidRPr="00F30E35">
        <w:rPr>
          <w:sz w:val="24"/>
          <w:szCs w:val="24"/>
        </w:rPr>
        <w:t xml:space="preserve"> older patients would not respond in the same way to midostaurin as those &lt;59 years; and</w:t>
      </w:r>
    </w:p>
    <w:p w:rsidR="00DC4349" w:rsidRPr="00F30E35" w:rsidRDefault="00DC4349" w:rsidP="005B77E9">
      <w:pPr>
        <w:pStyle w:val="BulletLast"/>
        <w:numPr>
          <w:ilvl w:val="1"/>
          <w:numId w:val="7"/>
        </w:numPr>
        <w:spacing w:after="0"/>
        <w:jc w:val="both"/>
        <w:rPr>
          <w:sz w:val="24"/>
          <w:szCs w:val="24"/>
        </w:rPr>
      </w:pPr>
      <w:r w:rsidRPr="00F30E35">
        <w:rPr>
          <w:sz w:val="24"/>
          <w:szCs w:val="24"/>
        </w:rPr>
        <w:t xml:space="preserve">additionally, the ESC </w:t>
      </w:r>
      <w:r w:rsidR="00B556E9">
        <w:rPr>
          <w:sz w:val="24"/>
          <w:szCs w:val="24"/>
        </w:rPr>
        <w:t xml:space="preserve">and the PBAC </w:t>
      </w:r>
      <w:r w:rsidRPr="00F30E35">
        <w:rPr>
          <w:sz w:val="24"/>
          <w:szCs w:val="24"/>
        </w:rPr>
        <w:t>considered that given that PBS-subsidised treatment would be limited to patients having high dose induction chemotherapy, it is unlikely that many patients over the age of 70 would be included in this group.</w:t>
      </w:r>
    </w:p>
    <w:p w:rsidR="00DC4349" w:rsidRPr="00F30E35" w:rsidRDefault="001A07D7" w:rsidP="00B51A34">
      <w:pPr>
        <w:pStyle w:val="ListParagraph"/>
        <w:numPr>
          <w:ilvl w:val="0"/>
          <w:numId w:val="15"/>
        </w:numPr>
        <w:spacing w:before="0" w:after="0"/>
        <w:ind w:left="993" w:hanging="423"/>
        <w:jc w:val="both"/>
        <w:rPr>
          <w:szCs w:val="24"/>
        </w:rPr>
      </w:pPr>
      <w:r w:rsidRPr="00F30E35">
        <w:rPr>
          <w:szCs w:val="24"/>
        </w:rPr>
        <w:t xml:space="preserve">enrolment was limited to those who were FLT3 ITD mutation positive, where the requested restriction is for both ITD and TKD mutation positive; and </w:t>
      </w:r>
    </w:p>
    <w:p w:rsidR="009F245A" w:rsidRPr="00FC0088" w:rsidRDefault="00DC4349" w:rsidP="00FC0088">
      <w:pPr>
        <w:pStyle w:val="ListParagraph"/>
        <w:numPr>
          <w:ilvl w:val="0"/>
          <w:numId w:val="15"/>
        </w:numPr>
        <w:spacing w:before="0" w:after="0"/>
        <w:ind w:left="993" w:hanging="423"/>
        <w:jc w:val="both"/>
      </w:pPr>
      <w:r w:rsidRPr="00FC0088">
        <w:rPr>
          <w:szCs w:val="24"/>
        </w:rPr>
        <w:t>t</w:t>
      </w:r>
      <w:r w:rsidR="001A07D7" w:rsidRPr="00FC0088">
        <w:rPr>
          <w:szCs w:val="24"/>
        </w:rPr>
        <w:t xml:space="preserve">he use of midostaurin in Study AMLSG-16-10 appeared to differ to that in RATIFY. It appeared that patients undergoing SCT </w:t>
      </w:r>
      <w:r w:rsidR="002B5048" w:rsidRPr="00FC0088">
        <w:rPr>
          <w:szCs w:val="24"/>
        </w:rPr>
        <w:t xml:space="preserve">(n=146) </w:t>
      </w:r>
      <w:r w:rsidR="001A07D7" w:rsidRPr="00FC0088">
        <w:rPr>
          <w:szCs w:val="24"/>
        </w:rPr>
        <w:t xml:space="preserve">in </w:t>
      </w:r>
      <w:r w:rsidR="00AE329D" w:rsidRPr="00FC0088">
        <w:rPr>
          <w:szCs w:val="24"/>
        </w:rPr>
        <w:t>Study AMLSG-16-10</w:t>
      </w:r>
      <w:r w:rsidR="008D679F" w:rsidRPr="00FC0088">
        <w:rPr>
          <w:szCs w:val="24"/>
        </w:rPr>
        <w:t xml:space="preserve"> </w:t>
      </w:r>
      <w:r w:rsidR="001A07D7" w:rsidRPr="00FC0088">
        <w:rPr>
          <w:szCs w:val="24"/>
        </w:rPr>
        <w:t xml:space="preserve">could proceed to maintenance therapy with midostaurin, whereas in RATIFY: "In the event a patient </w:t>
      </w:r>
      <w:r w:rsidR="00267A87" w:rsidRPr="00FC0088">
        <w:rPr>
          <w:szCs w:val="24"/>
        </w:rPr>
        <w:t xml:space="preserve">having </w:t>
      </w:r>
      <w:r w:rsidR="001A07D7" w:rsidRPr="00FC0088">
        <w:rPr>
          <w:szCs w:val="24"/>
        </w:rPr>
        <w:t>received SCT directed against their leuk</w:t>
      </w:r>
      <w:r w:rsidR="0002127C" w:rsidRPr="00FC0088">
        <w:rPr>
          <w:szCs w:val="24"/>
        </w:rPr>
        <w:t>a</w:t>
      </w:r>
      <w:r w:rsidR="001A07D7" w:rsidRPr="00FC0088">
        <w:rPr>
          <w:szCs w:val="24"/>
        </w:rPr>
        <w:t>emia, midostaurin/placebo therapy was not to be resumed".</w:t>
      </w:r>
      <w:r w:rsidR="001D4AEC" w:rsidRPr="00FC0088">
        <w:rPr>
          <w:szCs w:val="24"/>
        </w:rPr>
        <w:t xml:space="preserve"> T</w:t>
      </w:r>
      <w:r w:rsidRPr="00FC0088">
        <w:rPr>
          <w:szCs w:val="24"/>
        </w:rPr>
        <w:t>he ESC considered that the use of midostaurin post-allograft in the AMLGS-16-10 study diminished its applicability to support the use of midostaurin in older patients</w:t>
      </w:r>
      <w:r w:rsidR="00FC0088" w:rsidRPr="00FC0088">
        <w:rPr>
          <w:szCs w:val="24"/>
        </w:rPr>
        <w:t>.</w:t>
      </w:r>
      <w:r w:rsidRPr="00FC0088">
        <w:rPr>
          <w:szCs w:val="24"/>
        </w:rPr>
        <w:t xml:space="preserve"> </w:t>
      </w:r>
    </w:p>
    <w:p w:rsidR="00DC4349" w:rsidRPr="00F30E35" w:rsidRDefault="00DC4349" w:rsidP="00492912">
      <w:pPr>
        <w:pStyle w:val="ListParagraph"/>
        <w:numPr>
          <w:ilvl w:val="1"/>
          <w:numId w:val="2"/>
        </w:numPr>
        <w:spacing w:after="120"/>
        <w:ind w:left="578" w:hanging="578"/>
        <w:jc w:val="both"/>
      </w:pPr>
      <w:r w:rsidRPr="00F30E35">
        <w:t xml:space="preserve">Despite the above limitations, the ESC </w:t>
      </w:r>
      <w:r w:rsidR="00B556E9">
        <w:t xml:space="preserve">and the PBAC </w:t>
      </w:r>
      <w:r w:rsidRPr="00F30E35">
        <w:t>considered it was not necessary to include an age limit in the proposed PBS restriction,</w:t>
      </w:r>
      <w:r w:rsidR="009F245A" w:rsidRPr="00F30E35">
        <w:t xml:space="preserve"> and advised that the effect</w:t>
      </w:r>
      <w:r w:rsidRPr="00F30E35">
        <w:t xml:space="preserve"> of age on treatment eligibility would be</w:t>
      </w:r>
      <w:r w:rsidR="009F245A" w:rsidRPr="00F30E35">
        <w:t xml:space="preserve"> best</w:t>
      </w:r>
      <w:r w:rsidRPr="00F30E35">
        <w:t xml:space="preserve"> regulated </w:t>
      </w:r>
      <w:r w:rsidR="009F245A" w:rsidRPr="00F30E35">
        <w:t>if left to the discretion of the prescriber.</w:t>
      </w:r>
    </w:p>
    <w:p w:rsidR="00C317F3" w:rsidRPr="008D3D16" w:rsidRDefault="00C317F3" w:rsidP="0095170D">
      <w:pPr>
        <w:pStyle w:val="Heading2"/>
      </w:pPr>
      <w:bookmarkStart w:id="17" w:name="_Toc482680469"/>
      <w:r w:rsidRPr="008D3D16">
        <w:t>Comparative harms</w:t>
      </w:r>
      <w:bookmarkEnd w:id="16"/>
      <w:bookmarkEnd w:id="17"/>
    </w:p>
    <w:p w:rsidR="00C317F3" w:rsidRPr="00F30E35" w:rsidRDefault="004A3BB6" w:rsidP="00492912">
      <w:pPr>
        <w:pStyle w:val="ListParagraph"/>
        <w:numPr>
          <w:ilvl w:val="1"/>
          <w:numId w:val="2"/>
        </w:numPr>
        <w:spacing w:after="120"/>
        <w:ind w:left="578" w:hanging="578"/>
        <w:jc w:val="both"/>
      </w:pPr>
      <w:r w:rsidRPr="00F30E35">
        <w:t>There were higher rates of nausea (all grades) associated with midostaurin but higher rates of severe nausea associated with placebo. Additionally</w:t>
      </w:r>
      <w:r w:rsidR="000B6ED1">
        <w:t>,</w:t>
      </w:r>
      <w:r w:rsidRPr="00F30E35">
        <w:t xml:space="preserve"> there were higher rates of stomatitis, exfoliative dermatitis, device related infections and skin toxicities associated with midostaurin.</w:t>
      </w:r>
    </w:p>
    <w:p w:rsidR="00624315" w:rsidRPr="008D3D16" w:rsidRDefault="00624315" w:rsidP="0095170D">
      <w:pPr>
        <w:pStyle w:val="Heading2"/>
      </w:pPr>
      <w:bookmarkStart w:id="18" w:name="_Toc482680470"/>
      <w:bookmarkStart w:id="19" w:name="_Toc413139281"/>
      <w:r w:rsidRPr="008D3D16">
        <w:t>Benefits and harms</w:t>
      </w:r>
      <w:bookmarkEnd w:id="18"/>
    </w:p>
    <w:p w:rsidR="00357657" w:rsidRPr="00F30E35" w:rsidRDefault="00034404" w:rsidP="00492912">
      <w:pPr>
        <w:pStyle w:val="ListParagraph"/>
        <w:numPr>
          <w:ilvl w:val="1"/>
          <w:numId w:val="2"/>
        </w:numPr>
        <w:spacing w:after="120"/>
        <w:ind w:left="578" w:hanging="578"/>
        <w:jc w:val="both"/>
      </w:pPr>
      <w:r w:rsidRPr="00F30E35">
        <w:t xml:space="preserve">A summary of the comparative benefits and harms for </w:t>
      </w:r>
      <w:r w:rsidR="000736E3" w:rsidRPr="00F30E35">
        <w:t>midostaurin</w:t>
      </w:r>
      <w:r w:rsidRPr="00F30E35">
        <w:t xml:space="preserve"> versus </w:t>
      </w:r>
      <w:r w:rsidR="000736E3" w:rsidRPr="00F30E35">
        <w:t>placebo</w:t>
      </w:r>
      <w:r w:rsidRPr="00F30E35">
        <w:t xml:space="preserve"> is presented in </w:t>
      </w:r>
      <w:r w:rsidR="004A3BB6" w:rsidRPr="00F30E35">
        <w:t>Table 5</w:t>
      </w:r>
      <w:r w:rsidRPr="00F30E35">
        <w:t xml:space="preserve">. </w:t>
      </w:r>
    </w:p>
    <w:p w:rsidR="00034404" w:rsidRPr="00F30E35" w:rsidRDefault="00034404" w:rsidP="00712C73">
      <w:pPr>
        <w:pStyle w:val="TableHeading0"/>
      </w:pPr>
      <w:r w:rsidRPr="00F30E35">
        <w:lastRenderedPageBreak/>
        <w:t xml:space="preserve">Table </w:t>
      </w:r>
      <w:r w:rsidR="004A3BB6" w:rsidRPr="00F30E35">
        <w:t>5</w:t>
      </w:r>
      <w:r w:rsidRPr="00F30E35">
        <w:t xml:space="preserve">: Summary of comparative benefits and harms for </w:t>
      </w:r>
      <w:r w:rsidR="004A3BB6" w:rsidRPr="00F30E35">
        <w:t>midostaurin and placebo</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Summary of comparative benefits and harms for midostaurin and placebo"/>
      </w:tblPr>
      <w:tblGrid>
        <w:gridCol w:w="1780"/>
        <w:gridCol w:w="7"/>
        <w:gridCol w:w="675"/>
        <w:gridCol w:w="512"/>
        <w:gridCol w:w="953"/>
        <w:gridCol w:w="38"/>
        <w:gridCol w:w="1437"/>
        <w:gridCol w:w="1143"/>
        <w:gridCol w:w="680"/>
        <w:gridCol w:w="463"/>
        <w:gridCol w:w="1385"/>
      </w:tblGrid>
      <w:tr w:rsidR="00FE2431" w:rsidRPr="00F30E35" w:rsidTr="009D6C95">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1"/>
            <w:shd w:val="clear" w:color="auto" w:fill="auto"/>
            <w:vAlign w:val="center"/>
          </w:tcPr>
          <w:p w:rsidR="00FE2431" w:rsidRPr="00F30E35" w:rsidRDefault="00FE2431" w:rsidP="00712C73">
            <w:pPr>
              <w:pStyle w:val="TableText"/>
              <w:rPr>
                <w:u w:val="single"/>
              </w:rPr>
            </w:pPr>
            <w:r w:rsidRPr="00F30E35">
              <w:rPr>
                <w:u w:val="single"/>
              </w:rPr>
              <w:t>Benefits</w:t>
            </w:r>
          </w:p>
        </w:tc>
      </w:tr>
      <w:tr w:rsidR="00357657" w:rsidRPr="00F30E35" w:rsidTr="00065CDE">
        <w:tc>
          <w:tcPr>
            <w:tcW w:w="5000" w:type="pct"/>
            <w:gridSpan w:val="11"/>
            <w:shd w:val="clear" w:color="auto" w:fill="auto"/>
            <w:vAlign w:val="center"/>
          </w:tcPr>
          <w:p w:rsidR="00034404" w:rsidRPr="00F30E35" w:rsidRDefault="004A3BB6" w:rsidP="00FC0088">
            <w:pPr>
              <w:pStyle w:val="TableText"/>
              <w:rPr>
                <w:b/>
              </w:rPr>
            </w:pPr>
            <w:r w:rsidRPr="00F30E35">
              <w:rPr>
                <w:b/>
              </w:rPr>
              <w:t xml:space="preserve">Overall survival, non-censored for </w:t>
            </w:r>
            <w:r w:rsidR="00D27CC6" w:rsidRPr="00F30E35">
              <w:rPr>
                <w:b/>
              </w:rPr>
              <w:t>stem cell transplant (</w:t>
            </w:r>
            <w:r w:rsidRPr="00F30E35">
              <w:rPr>
                <w:b/>
              </w:rPr>
              <w:t>SCT</w:t>
            </w:r>
            <w:r w:rsidR="00D27CC6" w:rsidRPr="00F30E35">
              <w:rPr>
                <w:b/>
              </w:rPr>
              <w:t>)</w:t>
            </w:r>
            <w:r w:rsidR="003D69EF" w:rsidRPr="00F30E35">
              <w:rPr>
                <w:b/>
              </w:rPr>
              <w:t xml:space="preserve"> (median</w:t>
            </w:r>
            <w:r w:rsidR="00D27CC6" w:rsidRPr="00F30E35">
              <w:rPr>
                <w:b/>
              </w:rPr>
              <w:t xml:space="preserve"> </w:t>
            </w:r>
            <w:r w:rsidR="003D69EF" w:rsidRPr="00F30E35">
              <w:rPr>
                <w:b/>
              </w:rPr>
              <w:t>follow up</w:t>
            </w:r>
            <w:r w:rsidR="00D27CC6" w:rsidRPr="00F30E35">
              <w:rPr>
                <w:b/>
              </w:rPr>
              <w:t xml:space="preserve"> of 60 months</w:t>
            </w:r>
            <w:r w:rsidR="003D69EF" w:rsidRPr="00F30E35">
              <w:rPr>
                <w:b/>
              </w:rPr>
              <w:t>)</w:t>
            </w:r>
          </w:p>
        </w:tc>
      </w:tr>
      <w:tr w:rsidR="00DD3049" w:rsidRPr="00F30E35" w:rsidTr="000E37FB">
        <w:tc>
          <w:tcPr>
            <w:tcW w:w="1357" w:type="pct"/>
            <w:gridSpan w:val="3"/>
            <w:shd w:val="clear" w:color="auto" w:fill="auto"/>
            <w:vAlign w:val="center"/>
          </w:tcPr>
          <w:p w:rsidR="00034404" w:rsidRPr="00F30E35" w:rsidRDefault="00FE2431" w:rsidP="00712C73">
            <w:pPr>
              <w:pStyle w:val="TableText"/>
              <w:rPr>
                <w:b/>
              </w:rPr>
            </w:pPr>
            <w:r w:rsidRPr="00F30E35">
              <w:rPr>
                <w:b/>
              </w:rPr>
              <w:t>Event</w:t>
            </w:r>
          </w:p>
        </w:tc>
        <w:tc>
          <w:tcPr>
            <w:tcW w:w="807" w:type="pct"/>
            <w:gridSpan w:val="2"/>
            <w:shd w:val="clear" w:color="auto" w:fill="auto"/>
            <w:vAlign w:val="center"/>
          </w:tcPr>
          <w:p w:rsidR="00034404" w:rsidRPr="00F30E35" w:rsidRDefault="004A3BB6" w:rsidP="00D27CC6">
            <w:pPr>
              <w:pStyle w:val="TableText"/>
              <w:jc w:val="center"/>
              <w:rPr>
                <w:b/>
              </w:rPr>
            </w:pPr>
            <w:r w:rsidRPr="00F30E35">
              <w:rPr>
                <w:b/>
              </w:rPr>
              <w:t>Midostaurin</w:t>
            </w:r>
          </w:p>
          <w:p w:rsidR="00AE329D" w:rsidRPr="00F30E35" w:rsidRDefault="00AE329D" w:rsidP="00D27CC6">
            <w:pPr>
              <w:pStyle w:val="TableText"/>
              <w:jc w:val="center"/>
              <w:rPr>
                <w:b/>
              </w:rPr>
            </w:pPr>
            <w:r w:rsidRPr="00F30E35">
              <w:rPr>
                <w:b/>
              </w:rPr>
              <w:t>n/N (%)</w:t>
            </w:r>
          </w:p>
        </w:tc>
        <w:tc>
          <w:tcPr>
            <w:tcW w:w="813" w:type="pct"/>
            <w:gridSpan w:val="2"/>
            <w:shd w:val="clear" w:color="auto" w:fill="auto"/>
            <w:vAlign w:val="center"/>
          </w:tcPr>
          <w:p w:rsidR="00034404" w:rsidRPr="00F30E35" w:rsidRDefault="004A3BB6" w:rsidP="00D27CC6">
            <w:pPr>
              <w:pStyle w:val="TableText"/>
              <w:jc w:val="center"/>
              <w:rPr>
                <w:b/>
              </w:rPr>
            </w:pPr>
            <w:r w:rsidRPr="00F30E35">
              <w:rPr>
                <w:b/>
              </w:rPr>
              <w:t>Placebo</w:t>
            </w:r>
          </w:p>
          <w:p w:rsidR="00AE329D" w:rsidRPr="00F30E35" w:rsidRDefault="00AE329D" w:rsidP="00D27CC6">
            <w:pPr>
              <w:pStyle w:val="TableText"/>
              <w:jc w:val="center"/>
              <w:rPr>
                <w:b/>
              </w:rPr>
            </w:pPr>
            <w:r w:rsidRPr="00F30E35">
              <w:rPr>
                <w:b/>
              </w:rPr>
              <w:t>n/N (%)</w:t>
            </w:r>
          </w:p>
        </w:tc>
        <w:tc>
          <w:tcPr>
            <w:tcW w:w="1005" w:type="pct"/>
            <w:gridSpan w:val="2"/>
            <w:shd w:val="clear" w:color="auto" w:fill="auto"/>
            <w:vAlign w:val="center"/>
          </w:tcPr>
          <w:p w:rsidR="00AE329D" w:rsidRPr="00F30E35" w:rsidRDefault="008D679F" w:rsidP="00B86DFD">
            <w:pPr>
              <w:pStyle w:val="TableText"/>
              <w:jc w:val="center"/>
              <w:rPr>
                <w:rFonts w:asciiTheme="minorHAnsi" w:hAnsiTheme="minorHAnsi"/>
                <w:b/>
              </w:rPr>
            </w:pPr>
            <w:r w:rsidRPr="00F30E35">
              <w:rPr>
                <w:b/>
              </w:rPr>
              <w:t xml:space="preserve">RD </w:t>
            </w:r>
          </w:p>
        </w:tc>
        <w:tc>
          <w:tcPr>
            <w:tcW w:w="1018" w:type="pct"/>
            <w:gridSpan w:val="2"/>
            <w:shd w:val="clear" w:color="auto" w:fill="auto"/>
            <w:vAlign w:val="center"/>
          </w:tcPr>
          <w:p w:rsidR="00034404" w:rsidRPr="00F30E35" w:rsidRDefault="00034404" w:rsidP="00D27CC6">
            <w:pPr>
              <w:pStyle w:val="TableText"/>
              <w:jc w:val="center"/>
              <w:rPr>
                <w:b/>
              </w:rPr>
            </w:pPr>
            <w:r w:rsidRPr="00F30E35">
              <w:rPr>
                <w:b/>
              </w:rPr>
              <w:t>HR (95% CI)</w:t>
            </w:r>
          </w:p>
        </w:tc>
      </w:tr>
      <w:tr w:rsidR="003D69EF" w:rsidRPr="00F30E35" w:rsidTr="000E37FB">
        <w:tc>
          <w:tcPr>
            <w:tcW w:w="1357" w:type="pct"/>
            <w:gridSpan w:val="3"/>
            <w:shd w:val="clear" w:color="auto" w:fill="auto"/>
            <w:vAlign w:val="center"/>
          </w:tcPr>
          <w:p w:rsidR="003D69EF" w:rsidRPr="00F30E35" w:rsidRDefault="00531C02" w:rsidP="004A3BB6">
            <w:pPr>
              <w:pStyle w:val="TableText"/>
            </w:pPr>
            <w:r>
              <w:t>Number alive</w:t>
            </w:r>
            <w:r w:rsidR="00086133" w:rsidRPr="00F30E35">
              <w:t>, n (%)</w:t>
            </w:r>
          </w:p>
        </w:tc>
        <w:tc>
          <w:tcPr>
            <w:tcW w:w="807" w:type="pct"/>
            <w:gridSpan w:val="2"/>
            <w:shd w:val="clear" w:color="auto" w:fill="auto"/>
          </w:tcPr>
          <w:p w:rsidR="003D69EF" w:rsidRPr="00F30E35" w:rsidRDefault="00D27CC6" w:rsidP="00D27CC6">
            <w:pPr>
              <w:pStyle w:val="TableText"/>
              <w:jc w:val="center"/>
            </w:pPr>
            <w:r w:rsidRPr="00F30E35">
              <w:t>189/360 (52.5)</w:t>
            </w:r>
          </w:p>
        </w:tc>
        <w:tc>
          <w:tcPr>
            <w:tcW w:w="813" w:type="pct"/>
            <w:gridSpan w:val="2"/>
            <w:shd w:val="clear" w:color="auto" w:fill="auto"/>
          </w:tcPr>
          <w:p w:rsidR="003D69EF" w:rsidRPr="00F30E35" w:rsidRDefault="00D27CC6" w:rsidP="00D27CC6">
            <w:pPr>
              <w:pStyle w:val="TableText"/>
              <w:jc w:val="center"/>
            </w:pPr>
            <w:r w:rsidRPr="00F30E35">
              <w:t>171/357 (47.9)</w:t>
            </w:r>
          </w:p>
        </w:tc>
        <w:tc>
          <w:tcPr>
            <w:tcW w:w="1005" w:type="pct"/>
            <w:gridSpan w:val="2"/>
            <w:shd w:val="clear" w:color="auto" w:fill="auto"/>
            <w:vAlign w:val="center"/>
          </w:tcPr>
          <w:p w:rsidR="003D69EF" w:rsidRPr="00F30E35" w:rsidRDefault="000014B6" w:rsidP="00B86DFD">
            <w:pPr>
              <w:pStyle w:val="TableText"/>
              <w:jc w:val="center"/>
              <w:rPr>
                <w:rFonts w:asciiTheme="minorHAnsi" w:hAnsiTheme="minorHAnsi"/>
              </w:rPr>
            </w:pPr>
            <w:r w:rsidRPr="00F30E35">
              <w:t>0.05</w:t>
            </w:r>
          </w:p>
        </w:tc>
        <w:tc>
          <w:tcPr>
            <w:tcW w:w="1018" w:type="pct"/>
            <w:gridSpan w:val="2"/>
            <w:shd w:val="clear" w:color="auto" w:fill="auto"/>
            <w:vAlign w:val="center"/>
          </w:tcPr>
          <w:p w:rsidR="003D69EF" w:rsidRPr="00F30E35" w:rsidRDefault="00D27CC6" w:rsidP="00D27CC6">
            <w:pPr>
              <w:pStyle w:val="TableText"/>
              <w:jc w:val="center"/>
            </w:pPr>
            <w:r w:rsidRPr="00F30E35">
              <w:rPr>
                <w:b/>
                <w:szCs w:val="20"/>
              </w:rPr>
              <w:t>0.774 (0.629, 0.953)</w:t>
            </w:r>
          </w:p>
        </w:tc>
      </w:tr>
      <w:tr w:rsidR="003D69EF" w:rsidRPr="00F30E35" w:rsidTr="00065CDE">
        <w:tc>
          <w:tcPr>
            <w:tcW w:w="5000" w:type="pct"/>
            <w:gridSpan w:val="11"/>
            <w:tcBorders>
              <w:top w:val="double" w:sz="4" w:space="0" w:color="auto"/>
            </w:tcBorders>
            <w:shd w:val="clear" w:color="auto" w:fill="auto"/>
            <w:vAlign w:val="center"/>
          </w:tcPr>
          <w:p w:rsidR="003D69EF" w:rsidRPr="00F30E35" w:rsidRDefault="007C720A" w:rsidP="00712C73">
            <w:pPr>
              <w:pStyle w:val="TableText"/>
              <w:rPr>
                <w:b/>
                <w:u w:val="single"/>
              </w:rPr>
            </w:pPr>
            <w:r w:rsidRPr="00F30E35">
              <w:rPr>
                <w:b/>
                <w:u w:val="single"/>
              </w:rPr>
              <w:t>Harms</w:t>
            </w:r>
          </w:p>
        </w:tc>
      </w:tr>
      <w:tr w:rsidR="003D69EF" w:rsidRPr="00F30E35" w:rsidTr="000E37FB">
        <w:trPr>
          <w:trHeight w:val="70"/>
        </w:trPr>
        <w:tc>
          <w:tcPr>
            <w:tcW w:w="981" w:type="pct"/>
            <w:vMerge w:val="restart"/>
            <w:shd w:val="clear" w:color="auto" w:fill="auto"/>
            <w:vAlign w:val="center"/>
          </w:tcPr>
          <w:p w:rsidR="003D69EF" w:rsidRPr="00F30E35" w:rsidRDefault="003D69EF" w:rsidP="00712C73">
            <w:pPr>
              <w:pStyle w:val="TableText"/>
            </w:pPr>
          </w:p>
        </w:tc>
        <w:tc>
          <w:tcPr>
            <w:tcW w:w="658" w:type="pct"/>
            <w:gridSpan w:val="3"/>
            <w:vMerge w:val="restart"/>
            <w:shd w:val="clear" w:color="auto" w:fill="auto"/>
            <w:vAlign w:val="center"/>
          </w:tcPr>
          <w:p w:rsidR="003D69EF" w:rsidRPr="00F30E35" w:rsidRDefault="00D27CC6" w:rsidP="00D27CC6">
            <w:pPr>
              <w:pStyle w:val="TableText"/>
              <w:jc w:val="center"/>
              <w:rPr>
                <w:b/>
              </w:rPr>
            </w:pPr>
            <w:r w:rsidRPr="00F30E35">
              <w:rPr>
                <w:b/>
              </w:rPr>
              <w:t>Midostaurin</w:t>
            </w:r>
          </w:p>
          <w:p w:rsidR="008D679F" w:rsidRPr="00F30E35" w:rsidRDefault="008D679F" w:rsidP="00D27CC6">
            <w:pPr>
              <w:pStyle w:val="TableText"/>
              <w:jc w:val="center"/>
              <w:rPr>
                <w:b/>
              </w:rPr>
            </w:pPr>
            <w:r w:rsidRPr="00F30E35">
              <w:rPr>
                <w:b/>
              </w:rPr>
              <w:t>n/N</w:t>
            </w:r>
          </w:p>
        </w:tc>
        <w:tc>
          <w:tcPr>
            <w:tcW w:w="546" w:type="pct"/>
            <w:gridSpan w:val="2"/>
            <w:vMerge w:val="restart"/>
            <w:shd w:val="clear" w:color="auto" w:fill="auto"/>
            <w:vAlign w:val="center"/>
          </w:tcPr>
          <w:p w:rsidR="003D69EF" w:rsidRPr="00F30E35" w:rsidRDefault="00D27CC6" w:rsidP="00D27CC6">
            <w:pPr>
              <w:pStyle w:val="TableText"/>
              <w:jc w:val="center"/>
              <w:rPr>
                <w:b/>
              </w:rPr>
            </w:pPr>
            <w:r w:rsidRPr="00F30E35">
              <w:rPr>
                <w:b/>
              </w:rPr>
              <w:t>Placebo</w:t>
            </w:r>
          </w:p>
          <w:p w:rsidR="008D679F" w:rsidRPr="00F30E35" w:rsidRDefault="008D679F" w:rsidP="00D27CC6">
            <w:pPr>
              <w:pStyle w:val="TableText"/>
              <w:jc w:val="center"/>
              <w:rPr>
                <w:b/>
              </w:rPr>
            </w:pPr>
            <w:r w:rsidRPr="00F30E35">
              <w:rPr>
                <w:b/>
              </w:rPr>
              <w:t>n/N</w:t>
            </w:r>
          </w:p>
        </w:tc>
        <w:tc>
          <w:tcPr>
            <w:tcW w:w="792" w:type="pct"/>
            <w:vMerge w:val="restart"/>
            <w:shd w:val="clear" w:color="auto" w:fill="auto"/>
            <w:vAlign w:val="center"/>
          </w:tcPr>
          <w:p w:rsidR="003D69EF" w:rsidRPr="00F30E35" w:rsidRDefault="003D69EF" w:rsidP="00D27CC6">
            <w:pPr>
              <w:pStyle w:val="TableText"/>
              <w:jc w:val="center"/>
              <w:rPr>
                <w:b/>
              </w:rPr>
            </w:pPr>
            <w:r w:rsidRPr="00F30E35">
              <w:rPr>
                <w:b/>
              </w:rPr>
              <w:t>RR</w:t>
            </w:r>
            <w:r w:rsidR="00D27CC6" w:rsidRPr="00F30E35">
              <w:rPr>
                <w:b/>
              </w:rPr>
              <w:t xml:space="preserve"> </w:t>
            </w:r>
            <w:r w:rsidRPr="00F30E35">
              <w:rPr>
                <w:b/>
              </w:rPr>
              <w:t>(95% CI)</w:t>
            </w:r>
          </w:p>
        </w:tc>
        <w:tc>
          <w:tcPr>
            <w:tcW w:w="1260" w:type="pct"/>
            <w:gridSpan w:val="3"/>
            <w:shd w:val="clear" w:color="auto" w:fill="auto"/>
            <w:vAlign w:val="center"/>
          </w:tcPr>
          <w:p w:rsidR="003D69EF" w:rsidRPr="00F30E35" w:rsidRDefault="003D69EF" w:rsidP="00D27CC6">
            <w:pPr>
              <w:pStyle w:val="TableText"/>
              <w:jc w:val="center"/>
              <w:rPr>
                <w:b/>
              </w:rPr>
            </w:pPr>
            <w:r w:rsidRPr="00F30E35">
              <w:rPr>
                <w:b/>
              </w:rPr>
              <w:t>Event</w:t>
            </w:r>
            <w:r w:rsidR="001279AE" w:rsidRPr="00F30E35">
              <w:rPr>
                <w:b/>
              </w:rPr>
              <w:t>s</w:t>
            </w:r>
            <w:r w:rsidRPr="00F30E35">
              <w:rPr>
                <w:b/>
              </w:rPr>
              <w:t>/100 patients*</w:t>
            </w:r>
          </w:p>
        </w:tc>
        <w:tc>
          <w:tcPr>
            <w:tcW w:w="763" w:type="pct"/>
            <w:vMerge w:val="restart"/>
            <w:shd w:val="clear" w:color="auto" w:fill="auto"/>
            <w:vAlign w:val="center"/>
          </w:tcPr>
          <w:p w:rsidR="003D69EF" w:rsidRPr="00F30E35" w:rsidRDefault="003D69EF" w:rsidP="00D27CC6">
            <w:pPr>
              <w:pStyle w:val="TableText"/>
              <w:jc w:val="center"/>
              <w:rPr>
                <w:b/>
              </w:rPr>
            </w:pPr>
            <w:r w:rsidRPr="00F30E35">
              <w:rPr>
                <w:b/>
              </w:rPr>
              <w:t>RD</w:t>
            </w:r>
            <w:r w:rsidR="00D27CC6" w:rsidRPr="00F30E35">
              <w:rPr>
                <w:b/>
              </w:rPr>
              <w:t xml:space="preserve"> </w:t>
            </w:r>
            <w:r w:rsidRPr="00F30E35">
              <w:rPr>
                <w:b/>
              </w:rPr>
              <w:t>(95% CI)</w:t>
            </w:r>
          </w:p>
        </w:tc>
      </w:tr>
      <w:tr w:rsidR="003D69EF" w:rsidRPr="00F30E35" w:rsidTr="000E37FB">
        <w:trPr>
          <w:trHeight w:val="73"/>
        </w:trPr>
        <w:tc>
          <w:tcPr>
            <w:tcW w:w="981" w:type="pct"/>
            <w:vMerge/>
            <w:shd w:val="clear" w:color="auto" w:fill="auto"/>
            <w:vAlign w:val="center"/>
          </w:tcPr>
          <w:p w:rsidR="003D69EF" w:rsidRPr="00F30E35" w:rsidRDefault="003D69EF" w:rsidP="00712C73">
            <w:pPr>
              <w:pStyle w:val="TableText"/>
            </w:pPr>
          </w:p>
        </w:tc>
        <w:tc>
          <w:tcPr>
            <w:tcW w:w="658" w:type="pct"/>
            <w:gridSpan w:val="3"/>
            <w:vMerge/>
            <w:shd w:val="clear" w:color="auto" w:fill="auto"/>
            <w:vAlign w:val="center"/>
          </w:tcPr>
          <w:p w:rsidR="003D69EF" w:rsidRPr="00F30E35" w:rsidRDefault="003D69EF" w:rsidP="00712C73">
            <w:pPr>
              <w:pStyle w:val="TableText"/>
            </w:pPr>
          </w:p>
        </w:tc>
        <w:tc>
          <w:tcPr>
            <w:tcW w:w="546" w:type="pct"/>
            <w:gridSpan w:val="2"/>
            <w:vMerge/>
            <w:shd w:val="clear" w:color="auto" w:fill="auto"/>
            <w:vAlign w:val="center"/>
          </w:tcPr>
          <w:p w:rsidR="003D69EF" w:rsidRPr="00F30E35" w:rsidRDefault="003D69EF" w:rsidP="00712C73">
            <w:pPr>
              <w:pStyle w:val="TableText"/>
            </w:pPr>
          </w:p>
        </w:tc>
        <w:tc>
          <w:tcPr>
            <w:tcW w:w="792" w:type="pct"/>
            <w:vMerge/>
            <w:shd w:val="clear" w:color="auto" w:fill="auto"/>
            <w:vAlign w:val="center"/>
          </w:tcPr>
          <w:p w:rsidR="003D69EF" w:rsidRPr="00F30E35" w:rsidRDefault="003D69EF" w:rsidP="00712C73">
            <w:pPr>
              <w:pStyle w:val="TableText"/>
            </w:pPr>
          </w:p>
        </w:tc>
        <w:tc>
          <w:tcPr>
            <w:tcW w:w="630" w:type="pct"/>
            <w:shd w:val="clear" w:color="auto" w:fill="auto"/>
            <w:vAlign w:val="center"/>
          </w:tcPr>
          <w:p w:rsidR="003D69EF" w:rsidRPr="00F30E35" w:rsidRDefault="00D27CC6" w:rsidP="00D27CC6">
            <w:pPr>
              <w:pStyle w:val="TableText"/>
              <w:jc w:val="center"/>
              <w:rPr>
                <w:b/>
              </w:rPr>
            </w:pPr>
            <w:r w:rsidRPr="00F30E35">
              <w:rPr>
                <w:b/>
              </w:rPr>
              <w:t>Midostaurin</w:t>
            </w:r>
          </w:p>
        </w:tc>
        <w:tc>
          <w:tcPr>
            <w:tcW w:w="630" w:type="pct"/>
            <w:gridSpan w:val="2"/>
            <w:shd w:val="clear" w:color="auto" w:fill="auto"/>
            <w:vAlign w:val="center"/>
          </w:tcPr>
          <w:p w:rsidR="003D69EF" w:rsidRPr="00F30E35" w:rsidRDefault="00D27CC6" w:rsidP="00D27CC6">
            <w:pPr>
              <w:pStyle w:val="TableText"/>
              <w:jc w:val="center"/>
              <w:rPr>
                <w:b/>
              </w:rPr>
            </w:pPr>
            <w:r w:rsidRPr="00F30E35">
              <w:rPr>
                <w:b/>
              </w:rPr>
              <w:t>Placebo</w:t>
            </w:r>
          </w:p>
        </w:tc>
        <w:tc>
          <w:tcPr>
            <w:tcW w:w="763" w:type="pct"/>
            <w:vMerge/>
            <w:shd w:val="clear" w:color="auto" w:fill="auto"/>
            <w:vAlign w:val="center"/>
          </w:tcPr>
          <w:p w:rsidR="003D69EF" w:rsidRPr="00F30E35" w:rsidRDefault="003D69EF" w:rsidP="00712C73">
            <w:pPr>
              <w:pStyle w:val="TableText"/>
            </w:pPr>
          </w:p>
        </w:tc>
      </w:tr>
      <w:tr w:rsidR="003D69EF" w:rsidRPr="00F30E35" w:rsidTr="00065CDE">
        <w:tc>
          <w:tcPr>
            <w:tcW w:w="5000" w:type="pct"/>
            <w:gridSpan w:val="11"/>
            <w:shd w:val="clear" w:color="auto" w:fill="auto"/>
            <w:vAlign w:val="center"/>
          </w:tcPr>
          <w:p w:rsidR="003D69EF" w:rsidRPr="00F30E35" w:rsidRDefault="00012014" w:rsidP="00712C73">
            <w:pPr>
              <w:pStyle w:val="TableText"/>
              <w:rPr>
                <w:b/>
              </w:rPr>
            </w:pPr>
            <w:r w:rsidRPr="00F30E35">
              <w:rPr>
                <w:b/>
              </w:rPr>
              <w:t>Exfoliative dermatitis (grade 3 / 4)</w:t>
            </w:r>
          </w:p>
        </w:tc>
      </w:tr>
      <w:tr w:rsidR="003D69EF" w:rsidRPr="00F30E35" w:rsidTr="000E37FB">
        <w:tc>
          <w:tcPr>
            <w:tcW w:w="985" w:type="pct"/>
            <w:gridSpan w:val="2"/>
            <w:shd w:val="clear" w:color="auto" w:fill="auto"/>
            <w:vAlign w:val="center"/>
          </w:tcPr>
          <w:p w:rsidR="003D69EF" w:rsidRPr="00F30E35" w:rsidRDefault="00012014" w:rsidP="00712C73">
            <w:pPr>
              <w:pStyle w:val="TableText"/>
            </w:pPr>
            <w:r w:rsidRPr="00F30E35">
              <w:t>RATIFY</w:t>
            </w:r>
          </w:p>
        </w:tc>
        <w:tc>
          <w:tcPr>
            <w:tcW w:w="654" w:type="pct"/>
            <w:gridSpan w:val="2"/>
            <w:shd w:val="clear" w:color="auto" w:fill="auto"/>
            <w:vAlign w:val="center"/>
          </w:tcPr>
          <w:p w:rsidR="003D69EF" w:rsidRPr="00F30E35" w:rsidRDefault="000969BE" w:rsidP="00D27CC6">
            <w:pPr>
              <w:pStyle w:val="TableText"/>
              <w:jc w:val="center"/>
            </w:pPr>
            <w:r w:rsidRPr="00F30E35">
              <w:t>47/345</w:t>
            </w:r>
          </w:p>
        </w:tc>
        <w:tc>
          <w:tcPr>
            <w:tcW w:w="546" w:type="pct"/>
            <w:gridSpan w:val="2"/>
            <w:shd w:val="clear" w:color="auto" w:fill="auto"/>
            <w:vAlign w:val="center"/>
          </w:tcPr>
          <w:p w:rsidR="003D69EF" w:rsidRPr="00F30E35" w:rsidRDefault="000969BE" w:rsidP="00D27CC6">
            <w:pPr>
              <w:pStyle w:val="TableText"/>
              <w:jc w:val="center"/>
            </w:pPr>
            <w:r w:rsidRPr="00F30E35">
              <w:t>26/335</w:t>
            </w:r>
          </w:p>
        </w:tc>
        <w:tc>
          <w:tcPr>
            <w:tcW w:w="792" w:type="pct"/>
            <w:shd w:val="clear" w:color="auto" w:fill="auto"/>
            <w:vAlign w:val="center"/>
          </w:tcPr>
          <w:p w:rsidR="003D69EF" w:rsidRPr="00F30E35" w:rsidRDefault="000E37FB" w:rsidP="000E37FB">
            <w:pPr>
              <w:pStyle w:val="TableText"/>
              <w:jc w:val="center"/>
              <w:rPr>
                <w:b/>
              </w:rPr>
            </w:pPr>
            <w:r w:rsidRPr="00F30E35">
              <w:rPr>
                <w:b/>
              </w:rPr>
              <w:t>1.76 (1.12, 2.76)</w:t>
            </w:r>
          </w:p>
        </w:tc>
        <w:tc>
          <w:tcPr>
            <w:tcW w:w="630" w:type="pct"/>
            <w:shd w:val="clear" w:color="auto" w:fill="auto"/>
            <w:vAlign w:val="center"/>
          </w:tcPr>
          <w:p w:rsidR="003D69EF" w:rsidRPr="00F30E35" w:rsidRDefault="000969BE" w:rsidP="00D27CC6">
            <w:pPr>
              <w:pStyle w:val="TableText"/>
              <w:jc w:val="center"/>
            </w:pPr>
            <w:r w:rsidRPr="00F30E35">
              <w:t>13.6</w:t>
            </w:r>
          </w:p>
        </w:tc>
        <w:tc>
          <w:tcPr>
            <w:tcW w:w="630" w:type="pct"/>
            <w:gridSpan w:val="2"/>
            <w:shd w:val="clear" w:color="auto" w:fill="auto"/>
            <w:vAlign w:val="center"/>
          </w:tcPr>
          <w:p w:rsidR="003D69EF" w:rsidRPr="00F30E35" w:rsidRDefault="000969BE" w:rsidP="00D27CC6">
            <w:pPr>
              <w:pStyle w:val="TableText"/>
              <w:jc w:val="center"/>
            </w:pPr>
            <w:r w:rsidRPr="00F30E35">
              <w:t>7.8</w:t>
            </w:r>
          </w:p>
        </w:tc>
        <w:tc>
          <w:tcPr>
            <w:tcW w:w="763" w:type="pct"/>
            <w:shd w:val="clear" w:color="auto" w:fill="auto"/>
            <w:vAlign w:val="center"/>
          </w:tcPr>
          <w:p w:rsidR="003D69EF" w:rsidRPr="00F30E35" w:rsidRDefault="000969BE" w:rsidP="000969BE">
            <w:pPr>
              <w:pStyle w:val="TableText"/>
              <w:jc w:val="center"/>
            </w:pPr>
            <w:r w:rsidRPr="00F30E35">
              <w:rPr>
                <w:rFonts w:eastAsia="Times New Roman" w:cs="Times New Roman"/>
                <w:b/>
                <w:color w:val="000000"/>
                <w:szCs w:val="20"/>
              </w:rPr>
              <w:t>0.06 (0.01, 0.11)</w:t>
            </w:r>
          </w:p>
        </w:tc>
      </w:tr>
      <w:tr w:rsidR="003D69EF" w:rsidRPr="00F30E35" w:rsidTr="00065CDE">
        <w:tc>
          <w:tcPr>
            <w:tcW w:w="5000" w:type="pct"/>
            <w:gridSpan w:val="11"/>
            <w:shd w:val="clear" w:color="auto" w:fill="auto"/>
            <w:vAlign w:val="center"/>
          </w:tcPr>
          <w:p w:rsidR="003D69EF" w:rsidRPr="00F30E35" w:rsidRDefault="00012014" w:rsidP="00712C73">
            <w:pPr>
              <w:pStyle w:val="TableText"/>
              <w:rPr>
                <w:b/>
              </w:rPr>
            </w:pPr>
            <w:r w:rsidRPr="00F30E35">
              <w:rPr>
                <w:b/>
              </w:rPr>
              <w:t>Device related infections (grade 3 /4)</w:t>
            </w:r>
          </w:p>
        </w:tc>
      </w:tr>
      <w:tr w:rsidR="003D69EF" w:rsidRPr="00F30E35" w:rsidTr="000E37FB">
        <w:tc>
          <w:tcPr>
            <w:tcW w:w="985" w:type="pct"/>
            <w:gridSpan w:val="2"/>
            <w:shd w:val="clear" w:color="auto" w:fill="auto"/>
            <w:vAlign w:val="center"/>
          </w:tcPr>
          <w:p w:rsidR="003D69EF" w:rsidRPr="00F30E35" w:rsidRDefault="00012014" w:rsidP="00712C73">
            <w:pPr>
              <w:pStyle w:val="TableText"/>
            </w:pPr>
            <w:r w:rsidRPr="00F30E35">
              <w:t>RATIFY</w:t>
            </w:r>
          </w:p>
        </w:tc>
        <w:tc>
          <w:tcPr>
            <w:tcW w:w="654" w:type="pct"/>
            <w:gridSpan w:val="2"/>
            <w:shd w:val="clear" w:color="auto" w:fill="auto"/>
            <w:vAlign w:val="center"/>
          </w:tcPr>
          <w:p w:rsidR="003D69EF" w:rsidRPr="00F30E35" w:rsidRDefault="000969BE" w:rsidP="00D27CC6">
            <w:pPr>
              <w:pStyle w:val="TableText"/>
              <w:jc w:val="center"/>
            </w:pPr>
            <w:r w:rsidRPr="00F30E35">
              <w:t>56/345</w:t>
            </w:r>
          </w:p>
        </w:tc>
        <w:tc>
          <w:tcPr>
            <w:tcW w:w="546" w:type="pct"/>
            <w:gridSpan w:val="2"/>
            <w:shd w:val="clear" w:color="auto" w:fill="auto"/>
            <w:vAlign w:val="center"/>
          </w:tcPr>
          <w:p w:rsidR="003D69EF" w:rsidRPr="00F30E35" w:rsidRDefault="000969BE" w:rsidP="00D27CC6">
            <w:pPr>
              <w:pStyle w:val="TableText"/>
              <w:jc w:val="center"/>
            </w:pPr>
            <w:r w:rsidRPr="00F30E35">
              <w:t>34/335</w:t>
            </w:r>
          </w:p>
        </w:tc>
        <w:tc>
          <w:tcPr>
            <w:tcW w:w="792" w:type="pct"/>
            <w:shd w:val="clear" w:color="auto" w:fill="auto"/>
            <w:vAlign w:val="center"/>
          </w:tcPr>
          <w:p w:rsidR="003D69EF" w:rsidRPr="00F30E35" w:rsidRDefault="000E37FB" w:rsidP="00D27CC6">
            <w:pPr>
              <w:pStyle w:val="TableText"/>
              <w:jc w:val="center"/>
              <w:rPr>
                <w:b/>
              </w:rPr>
            </w:pPr>
            <w:r w:rsidRPr="00F30E35">
              <w:rPr>
                <w:b/>
              </w:rPr>
              <w:t>1.60 (1.08, 2.38)</w:t>
            </w:r>
          </w:p>
        </w:tc>
        <w:tc>
          <w:tcPr>
            <w:tcW w:w="630" w:type="pct"/>
            <w:shd w:val="clear" w:color="auto" w:fill="auto"/>
            <w:vAlign w:val="center"/>
          </w:tcPr>
          <w:p w:rsidR="003D69EF" w:rsidRPr="00F30E35" w:rsidRDefault="000969BE" w:rsidP="00D27CC6">
            <w:pPr>
              <w:pStyle w:val="TableText"/>
              <w:jc w:val="center"/>
            </w:pPr>
            <w:r w:rsidRPr="00F30E35">
              <w:t>16.2</w:t>
            </w:r>
          </w:p>
        </w:tc>
        <w:tc>
          <w:tcPr>
            <w:tcW w:w="630" w:type="pct"/>
            <w:gridSpan w:val="2"/>
            <w:shd w:val="clear" w:color="auto" w:fill="auto"/>
            <w:vAlign w:val="center"/>
          </w:tcPr>
          <w:p w:rsidR="003D69EF" w:rsidRPr="00F30E35" w:rsidRDefault="000969BE" w:rsidP="00D27CC6">
            <w:pPr>
              <w:pStyle w:val="TableText"/>
              <w:jc w:val="center"/>
            </w:pPr>
            <w:r w:rsidRPr="00F30E35">
              <w:t>10.1</w:t>
            </w:r>
          </w:p>
        </w:tc>
        <w:tc>
          <w:tcPr>
            <w:tcW w:w="763" w:type="pct"/>
            <w:shd w:val="clear" w:color="auto" w:fill="auto"/>
            <w:vAlign w:val="center"/>
          </w:tcPr>
          <w:p w:rsidR="003D69EF" w:rsidRPr="00F30E35" w:rsidRDefault="000969BE" w:rsidP="00D27CC6">
            <w:pPr>
              <w:pStyle w:val="TableText"/>
              <w:jc w:val="center"/>
              <w:rPr>
                <w:b/>
              </w:rPr>
            </w:pPr>
            <w:r w:rsidRPr="00F30E35">
              <w:rPr>
                <w:b/>
              </w:rPr>
              <w:t>0.06 (0.01, 0.11)</w:t>
            </w:r>
          </w:p>
        </w:tc>
      </w:tr>
      <w:tr w:rsidR="003D69EF" w:rsidRPr="00F30E35" w:rsidTr="00065CDE">
        <w:tc>
          <w:tcPr>
            <w:tcW w:w="5000" w:type="pct"/>
            <w:gridSpan w:val="11"/>
            <w:shd w:val="clear" w:color="auto" w:fill="auto"/>
            <w:vAlign w:val="center"/>
          </w:tcPr>
          <w:p w:rsidR="003D69EF" w:rsidRPr="00F30E35" w:rsidRDefault="00012014" w:rsidP="00E640DF">
            <w:pPr>
              <w:pStyle w:val="TableText"/>
              <w:rPr>
                <w:b/>
              </w:rPr>
            </w:pPr>
            <w:r w:rsidRPr="00F30E35">
              <w:rPr>
                <w:b/>
              </w:rPr>
              <w:t>Skin toxicities</w:t>
            </w:r>
            <w:r w:rsidR="00E640DF" w:rsidRPr="00F30E35" w:rsidDel="00E640DF">
              <w:rPr>
                <w:b/>
              </w:rPr>
              <w:t xml:space="preserve"> </w:t>
            </w:r>
            <w:r w:rsidRPr="00F30E35">
              <w:rPr>
                <w:b/>
              </w:rPr>
              <w:t xml:space="preserve">(grade 3 / 4) </w:t>
            </w:r>
          </w:p>
        </w:tc>
      </w:tr>
      <w:tr w:rsidR="003D69EF" w:rsidRPr="00F30E35" w:rsidTr="000E37FB">
        <w:tc>
          <w:tcPr>
            <w:tcW w:w="981" w:type="pct"/>
            <w:shd w:val="clear" w:color="auto" w:fill="auto"/>
            <w:vAlign w:val="center"/>
          </w:tcPr>
          <w:p w:rsidR="003D69EF" w:rsidRPr="00F30E35" w:rsidRDefault="00012014" w:rsidP="00712C73">
            <w:pPr>
              <w:pStyle w:val="TableText"/>
            </w:pPr>
            <w:r w:rsidRPr="00F30E35">
              <w:t>RATIFY</w:t>
            </w:r>
          </w:p>
        </w:tc>
        <w:tc>
          <w:tcPr>
            <w:tcW w:w="658" w:type="pct"/>
            <w:gridSpan w:val="3"/>
            <w:shd w:val="clear" w:color="auto" w:fill="auto"/>
            <w:vAlign w:val="center"/>
          </w:tcPr>
          <w:p w:rsidR="003D69EF" w:rsidRPr="00F30E35" w:rsidRDefault="000969BE" w:rsidP="00D27CC6">
            <w:pPr>
              <w:pStyle w:val="TableText"/>
              <w:jc w:val="center"/>
            </w:pPr>
            <w:r w:rsidRPr="00F30E35">
              <w:t>61/345</w:t>
            </w:r>
          </w:p>
        </w:tc>
        <w:tc>
          <w:tcPr>
            <w:tcW w:w="546" w:type="pct"/>
            <w:gridSpan w:val="2"/>
            <w:shd w:val="clear" w:color="auto" w:fill="auto"/>
            <w:vAlign w:val="center"/>
          </w:tcPr>
          <w:p w:rsidR="003D69EF" w:rsidRPr="00F30E35" w:rsidRDefault="000969BE" w:rsidP="00D27CC6">
            <w:pPr>
              <w:pStyle w:val="TableText"/>
              <w:jc w:val="center"/>
            </w:pPr>
            <w:r w:rsidRPr="00F30E35">
              <w:t>37/335</w:t>
            </w:r>
          </w:p>
        </w:tc>
        <w:tc>
          <w:tcPr>
            <w:tcW w:w="792" w:type="pct"/>
            <w:shd w:val="clear" w:color="auto" w:fill="auto"/>
            <w:vAlign w:val="center"/>
          </w:tcPr>
          <w:p w:rsidR="003D69EF" w:rsidRPr="00F30E35" w:rsidRDefault="000E37FB" w:rsidP="00D27CC6">
            <w:pPr>
              <w:pStyle w:val="TableText"/>
              <w:jc w:val="center"/>
              <w:rPr>
                <w:b/>
              </w:rPr>
            </w:pPr>
            <w:r w:rsidRPr="00F30E35">
              <w:rPr>
                <w:b/>
              </w:rPr>
              <w:t>1.60 (1.10, 2.34)</w:t>
            </w:r>
          </w:p>
        </w:tc>
        <w:tc>
          <w:tcPr>
            <w:tcW w:w="630" w:type="pct"/>
            <w:shd w:val="clear" w:color="auto" w:fill="auto"/>
            <w:vAlign w:val="center"/>
          </w:tcPr>
          <w:p w:rsidR="003D69EF" w:rsidRPr="00F30E35" w:rsidRDefault="000969BE" w:rsidP="00D27CC6">
            <w:pPr>
              <w:pStyle w:val="TableText"/>
              <w:jc w:val="center"/>
            </w:pPr>
            <w:r w:rsidRPr="00F30E35">
              <w:t>17.7</w:t>
            </w:r>
          </w:p>
        </w:tc>
        <w:tc>
          <w:tcPr>
            <w:tcW w:w="630" w:type="pct"/>
            <w:gridSpan w:val="2"/>
            <w:shd w:val="clear" w:color="auto" w:fill="auto"/>
            <w:vAlign w:val="center"/>
          </w:tcPr>
          <w:p w:rsidR="003D69EF" w:rsidRPr="00F30E35" w:rsidRDefault="000969BE" w:rsidP="00D27CC6">
            <w:pPr>
              <w:pStyle w:val="TableText"/>
              <w:jc w:val="center"/>
            </w:pPr>
            <w:r w:rsidRPr="00F30E35">
              <w:t>11.0</w:t>
            </w:r>
          </w:p>
        </w:tc>
        <w:tc>
          <w:tcPr>
            <w:tcW w:w="763" w:type="pct"/>
            <w:shd w:val="clear" w:color="auto" w:fill="auto"/>
            <w:vAlign w:val="center"/>
          </w:tcPr>
          <w:p w:rsidR="003D69EF" w:rsidRPr="00F30E35" w:rsidRDefault="000969BE" w:rsidP="00EF3998">
            <w:pPr>
              <w:pStyle w:val="TableText"/>
              <w:jc w:val="center"/>
              <w:rPr>
                <w:b/>
              </w:rPr>
            </w:pPr>
            <w:r w:rsidRPr="00F30E35">
              <w:rPr>
                <w:b/>
              </w:rPr>
              <w:t>0.</w:t>
            </w:r>
            <w:r w:rsidR="00EF3998" w:rsidRPr="00F30E35">
              <w:rPr>
                <w:b/>
              </w:rPr>
              <w:t xml:space="preserve">07 </w:t>
            </w:r>
            <w:r w:rsidRPr="00F30E35">
              <w:rPr>
                <w:b/>
              </w:rPr>
              <w:t>(0.01, 0.12)</w:t>
            </w:r>
          </w:p>
        </w:tc>
      </w:tr>
    </w:tbl>
    <w:p w:rsidR="00034404" w:rsidRPr="00F30E35" w:rsidRDefault="00034404" w:rsidP="00712C73">
      <w:pPr>
        <w:pStyle w:val="TableFooter"/>
      </w:pPr>
      <w:r w:rsidRPr="00F30E35">
        <w:t>Abbreviations: PBO = placebo; RD = risk difference; RR = risk ratio</w:t>
      </w:r>
    </w:p>
    <w:p w:rsidR="00034404" w:rsidRPr="00F30E35" w:rsidRDefault="00034404" w:rsidP="00712C73">
      <w:pPr>
        <w:pStyle w:val="TableFooter"/>
      </w:pPr>
      <w:r w:rsidRPr="00F30E35">
        <w:t>Source: Compil</w:t>
      </w:r>
      <w:r w:rsidR="00357657" w:rsidRPr="00F30E35">
        <w:t>ed during the evaluation</w:t>
      </w:r>
    </w:p>
    <w:p w:rsidR="00427E55" w:rsidRPr="00F30E35" w:rsidRDefault="00427E55" w:rsidP="00492912">
      <w:pPr>
        <w:pStyle w:val="ListParagraph"/>
        <w:numPr>
          <w:ilvl w:val="1"/>
          <w:numId w:val="2"/>
        </w:numPr>
        <w:spacing w:after="120"/>
        <w:ind w:left="578" w:hanging="578"/>
        <w:jc w:val="both"/>
      </w:pPr>
      <w:r w:rsidRPr="00F30E35">
        <w:t xml:space="preserve">On the basis of direct evidence presented by the submission, for every 100 patients treated with </w:t>
      </w:r>
      <w:r w:rsidR="00F32419" w:rsidRPr="00F30E35">
        <w:t>midostaurin</w:t>
      </w:r>
      <w:r w:rsidRPr="00F30E35">
        <w:t xml:space="preserve"> in comp</w:t>
      </w:r>
      <w:r w:rsidR="009A6F74" w:rsidRPr="00F30E35">
        <w:t xml:space="preserve">arison to </w:t>
      </w:r>
      <w:r w:rsidR="00F32419" w:rsidRPr="00F30E35">
        <w:t>placebo</w:t>
      </w:r>
      <w:r w:rsidR="00DF5682" w:rsidRPr="00F30E35">
        <w:t>:</w:t>
      </w:r>
    </w:p>
    <w:p w:rsidR="00DF5682" w:rsidRPr="00F30E35" w:rsidRDefault="00DF5682" w:rsidP="00DF5682">
      <w:pPr>
        <w:pStyle w:val="ListParagraph"/>
        <w:numPr>
          <w:ilvl w:val="0"/>
          <w:numId w:val="4"/>
        </w:numPr>
        <w:spacing w:before="0" w:after="0"/>
        <w:ind w:left="993" w:hanging="284"/>
        <w:jc w:val="both"/>
        <w:rPr>
          <w:lang w:val="en-US"/>
        </w:rPr>
      </w:pPr>
      <w:r w:rsidRPr="00F30E35">
        <w:t>Approximately</w:t>
      </w:r>
      <w:r w:rsidRPr="00F30E35">
        <w:rPr>
          <w:lang w:val="en-US"/>
        </w:rPr>
        <w:t xml:space="preserve"> </w:t>
      </w:r>
      <w:r w:rsidR="00107AD7">
        <w:rPr>
          <w:lang w:val="en-US"/>
        </w:rPr>
        <w:t>5</w:t>
      </w:r>
      <w:r w:rsidRPr="00F30E35">
        <w:rPr>
          <w:lang w:val="en-US"/>
        </w:rPr>
        <w:t xml:space="preserve"> </w:t>
      </w:r>
      <w:r w:rsidR="00812F84" w:rsidRPr="00F30E35">
        <w:rPr>
          <w:lang w:val="en-US"/>
        </w:rPr>
        <w:t xml:space="preserve">additional </w:t>
      </w:r>
      <w:r w:rsidRPr="00F30E35">
        <w:rPr>
          <w:lang w:val="en-US"/>
        </w:rPr>
        <w:t xml:space="preserve">patients alive over a median duration of follow-up of 60 months. </w:t>
      </w:r>
    </w:p>
    <w:p w:rsidR="00427E55" w:rsidRPr="00F30E35" w:rsidRDefault="00F32419" w:rsidP="00D444D1">
      <w:pPr>
        <w:pStyle w:val="ListParagraph"/>
        <w:numPr>
          <w:ilvl w:val="0"/>
          <w:numId w:val="4"/>
        </w:numPr>
        <w:spacing w:before="0" w:after="0"/>
        <w:ind w:left="993" w:hanging="284"/>
        <w:jc w:val="both"/>
      </w:pPr>
      <w:r w:rsidRPr="00F30E35">
        <w:t xml:space="preserve">Approximately </w:t>
      </w:r>
      <w:r w:rsidR="00427E55" w:rsidRPr="00F30E35">
        <w:t xml:space="preserve">6 additional patients would have </w:t>
      </w:r>
      <w:r w:rsidRPr="00F30E35">
        <w:t>grade 3 / 4 exfoliative dermatitis</w:t>
      </w:r>
      <w:r w:rsidR="00DF5682" w:rsidRPr="00F30E35">
        <w:t>.</w:t>
      </w:r>
    </w:p>
    <w:p w:rsidR="00DF5682" w:rsidRPr="00F30E35" w:rsidRDefault="00DF5682" w:rsidP="00DF5682">
      <w:pPr>
        <w:pStyle w:val="ListParagraph"/>
        <w:numPr>
          <w:ilvl w:val="0"/>
          <w:numId w:val="4"/>
        </w:numPr>
        <w:spacing w:before="0" w:after="0"/>
        <w:ind w:left="993" w:hanging="284"/>
        <w:jc w:val="both"/>
      </w:pPr>
      <w:r w:rsidRPr="00F30E35">
        <w:t>Approximately 6 additional patients would have grade 3 / 4 device related infections.</w:t>
      </w:r>
    </w:p>
    <w:p w:rsidR="00DF5682" w:rsidRPr="00F30E35" w:rsidRDefault="00DF5682" w:rsidP="00DF5682">
      <w:pPr>
        <w:pStyle w:val="ListParagraph"/>
        <w:numPr>
          <w:ilvl w:val="0"/>
          <w:numId w:val="4"/>
        </w:numPr>
        <w:spacing w:before="0" w:after="0"/>
        <w:ind w:left="993" w:hanging="284"/>
        <w:jc w:val="both"/>
      </w:pPr>
      <w:r w:rsidRPr="00F30E35">
        <w:t xml:space="preserve">Approximately </w:t>
      </w:r>
      <w:r w:rsidR="00EF3998" w:rsidRPr="00F30E35">
        <w:t xml:space="preserve">7 </w:t>
      </w:r>
      <w:r w:rsidRPr="00F30E35">
        <w:t>additional patients would have grade 3 / 4 skin toxicities.</w:t>
      </w:r>
    </w:p>
    <w:p w:rsidR="00C317F3" w:rsidRPr="008D3D16" w:rsidRDefault="00C317F3" w:rsidP="00750B5A">
      <w:pPr>
        <w:pStyle w:val="Heading2"/>
      </w:pPr>
      <w:bookmarkStart w:id="20" w:name="_Toc482680471"/>
      <w:r w:rsidRPr="008D3D16">
        <w:t>Clinical claim</w:t>
      </w:r>
      <w:bookmarkEnd w:id="19"/>
      <w:bookmarkEnd w:id="20"/>
    </w:p>
    <w:p w:rsidR="00E0145C" w:rsidRPr="00F30E35" w:rsidRDefault="00E0145C" w:rsidP="00492912">
      <w:pPr>
        <w:pStyle w:val="ListParagraph"/>
        <w:numPr>
          <w:ilvl w:val="1"/>
          <w:numId w:val="2"/>
        </w:numPr>
        <w:spacing w:after="120"/>
        <w:ind w:left="578" w:hanging="578"/>
        <w:jc w:val="both"/>
      </w:pPr>
      <w:r w:rsidRPr="001E39AA">
        <w:rPr>
          <w:szCs w:val="24"/>
        </w:rPr>
        <w:t>The</w:t>
      </w:r>
      <w:r w:rsidRPr="00F30E35">
        <w:t xml:space="preserve"> submission considered that midostaurin 50</w:t>
      </w:r>
      <w:r w:rsidR="00953466" w:rsidRPr="00F30E35">
        <w:t xml:space="preserve"> </w:t>
      </w:r>
      <w:r w:rsidRPr="00F30E35">
        <w:t xml:space="preserve">mg BID with standard intensive remission induction and consolidation therapy followed by 1 year of single agent </w:t>
      </w:r>
      <w:r w:rsidR="00B40141" w:rsidRPr="00F30E35">
        <w:t xml:space="preserve">maintenance </w:t>
      </w:r>
      <w:r w:rsidRPr="00F30E35">
        <w:t>therapy was superior to placebo at prolonging overall survival</w:t>
      </w:r>
      <w:r w:rsidR="00F9649E" w:rsidRPr="00F30E35">
        <w:t>. This was</w:t>
      </w:r>
      <w:r w:rsidRPr="00F30E35">
        <w:t xml:space="preserve"> achieved by </w:t>
      </w:r>
      <w:r w:rsidR="00130D50">
        <w:t>improved disease control (</w:t>
      </w:r>
      <w:r w:rsidRPr="00F30E35">
        <w:t>numerically increas</w:t>
      </w:r>
      <w:r w:rsidR="00130D50">
        <w:t xml:space="preserve">ed </w:t>
      </w:r>
      <w:r w:rsidRPr="00F30E35">
        <w:t>remission rate</w:t>
      </w:r>
      <w:r w:rsidR="00130D50">
        <w:t xml:space="preserve"> and prolonged</w:t>
      </w:r>
      <w:r w:rsidRPr="00F30E35">
        <w:t xml:space="preserve"> disease-free </w:t>
      </w:r>
      <w:r w:rsidR="00130D50">
        <w:t>and event-free survival)</w:t>
      </w:r>
      <w:r w:rsidR="00F9649E" w:rsidRPr="00F30E35">
        <w:t>. The submission also considered that midostaurin had</w:t>
      </w:r>
      <w:r w:rsidRPr="00F30E35">
        <w:t xml:space="preserve"> a good tolerability profile. </w:t>
      </w:r>
    </w:p>
    <w:p w:rsidR="006354E7" w:rsidRPr="00F30E35" w:rsidRDefault="006354E7" w:rsidP="00492912">
      <w:pPr>
        <w:pStyle w:val="ListParagraph"/>
        <w:numPr>
          <w:ilvl w:val="1"/>
          <w:numId w:val="2"/>
        </w:numPr>
        <w:spacing w:after="120"/>
        <w:ind w:left="578" w:hanging="578"/>
        <w:jc w:val="both"/>
      </w:pPr>
      <w:r w:rsidRPr="00F30E35">
        <w:t>In patients aged</w:t>
      </w:r>
      <w:r w:rsidR="00D2080C" w:rsidRPr="00F30E35">
        <w:t xml:space="preserve"> </w:t>
      </w:r>
      <w:r w:rsidR="00D2080C" w:rsidRPr="00F30E35">
        <w:rPr>
          <w:rFonts w:cstheme="minorHAnsi"/>
        </w:rPr>
        <w:t>≤</w:t>
      </w:r>
      <w:r w:rsidRPr="00F30E35">
        <w:t xml:space="preserve">59 years, for which RATIFY trial results were representative, the claim of superior effectiveness was supported. Treatment with midostaurin demonstrated improvement in </w:t>
      </w:r>
      <w:r w:rsidR="00771D7A" w:rsidRPr="00F30E35">
        <w:t>OS</w:t>
      </w:r>
      <w:r w:rsidRPr="00F30E35">
        <w:t xml:space="preserve"> compared to placebo when patients were non-censored for SCT (the primary outcome), which was supported by improved event-free survival and a greater proportion of patients achieving remission after a single induction cycle (which is associated with a better prognosis). Nevertheless, several factors made it difficult to assess the size of comparative effect in the expected treatment population. Specifically:</w:t>
      </w:r>
    </w:p>
    <w:p w:rsidR="006354E7" w:rsidRPr="00F30E35" w:rsidRDefault="00771D7A" w:rsidP="00B51A34">
      <w:pPr>
        <w:pStyle w:val="ListParagraph"/>
        <w:numPr>
          <w:ilvl w:val="0"/>
          <w:numId w:val="15"/>
        </w:numPr>
        <w:spacing w:before="0" w:after="0"/>
        <w:ind w:left="993" w:hanging="423"/>
        <w:jc w:val="both"/>
      </w:pPr>
      <w:r w:rsidRPr="00F30E35">
        <w:t>OS</w:t>
      </w:r>
      <w:r w:rsidR="006354E7" w:rsidRPr="00F30E35">
        <w:t xml:space="preserve"> in patients censored at the time of SCT </w:t>
      </w:r>
      <w:r w:rsidR="00953466" w:rsidRPr="00F30E35">
        <w:t xml:space="preserve">was </w:t>
      </w:r>
      <w:r w:rsidR="006354E7" w:rsidRPr="00F30E35">
        <w:t xml:space="preserve">characterised by wide confidence intervals, which though statistically significant, verged on insignificance. This suggested that the size of effect in patients who did not receive SCT might not be </w:t>
      </w:r>
      <w:r w:rsidR="006354E7" w:rsidRPr="00F30E35">
        <w:lastRenderedPageBreak/>
        <w:t>as substantial</w:t>
      </w:r>
      <w:r w:rsidR="00413D45" w:rsidRPr="00F30E35">
        <w:t>, or that the analysis was underpowered</w:t>
      </w:r>
      <w:r w:rsidR="006354E7" w:rsidRPr="00F30E35">
        <w:t>. Uncensored overall survival would be most valid if SCT rates in the Australian setting were expected to be similar to that of the RATIFY trial.</w:t>
      </w:r>
    </w:p>
    <w:p w:rsidR="006354E7" w:rsidRPr="00F30E35" w:rsidRDefault="006354E7" w:rsidP="00B51A34">
      <w:pPr>
        <w:pStyle w:val="ListParagraph"/>
        <w:numPr>
          <w:ilvl w:val="0"/>
          <w:numId w:val="15"/>
        </w:numPr>
        <w:spacing w:before="0" w:after="0"/>
        <w:ind w:left="993" w:hanging="423"/>
        <w:jc w:val="both"/>
      </w:pPr>
      <w:r w:rsidRPr="00F30E35">
        <w:t xml:space="preserve">The trial limited enrolment to patients with an allelic ratio of &gt;0.05 for ITD, which </w:t>
      </w:r>
      <w:r w:rsidR="00976DA3" w:rsidRPr="00F30E35">
        <w:t>i</w:t>
      </w:r>
      <w:r w:rsidRPr="00F30E35">
        <w:t>s not a</w:t>
      </w:r>
      <w:r w:rsidR="00976DA3" w:rsidRPr="00F30E35">
        <w:t xml:space="preserve"> proposed</w:t>
      </w:r>
      <w:r w:rsidRPr="00F30E35">
        <w:t xml:space="preserve"> criteria for PBS eligibility. </w:t>
      </w:r>
      <w:r w:rsidR="001A7FB0" w:rsidRPr="00F30E35">
        <w:t xml:space="preserve">The PSCR (p4) </w:t>
      </w:r>
      <w:r w:rsidR="001A7FB0" w:rsidRPr="00F30E35">
        <w:rPr>
          <w:lang w:eastAsia="ja-JP"/>
        </w:rPr>
        <w:t>stated that the restriction inherently assumed that an allelic ratio of 0.05 would be applied as the cut-off for FLT3 ITD mutation positivity, as this is commonly recognised as the standard cut-off.</w:t>
      </w:r>
      <w:r w:rsidR="001A7FB0" w:rsidRPr="00F30E35">
        <w:t xml:space="preserve"> </w:t>
      </w:r>
      <w:r w:rsidR="00771D7A" w:rsidRPr="00F30E35">
        <w:t>The ESC</w:t>
      </w:r>
      <w:r w:rsidR="00B556E9">
        <w:t xml:space="preserve"> and the PBAC</w:t>
      </w:r>
      <w:r w:rsidR="00771D7A" w:rsidRPr="00F30E35">
        <w:t xml:space="preserve"> </w:t>
      </w:r>
      <w:r w:rsidR="001A7FB0" w:rsidRPr="00F30E35">
        <w:t>advised</w:t>
      </w:r>
      <w:r w:rsidR="00771D7A" w:rsidRPr="00F30E35">
        <w:t xml:space="preserve"> that this allelic ratio is the standard criteria for determining ITD positivity.</w:t>
      </w:r>
    </w:p>
    <w:p w:rsidR="006354E7" w:rsidRPr="00F30E35" w:rsidRDefault="006354E7" w:rsidP="00B51A34">
      <w:pPr>
        <w:pStyle w:val="ListParagraph"/>
        <w:numPr>
          <w:ilvl w:val="0"/>
          <w:numId w:val="15"/>
        </w:numPr>
        <w:spacing w:before="0" w:after="0"/>
        <w:ind w:left="993" w:hanging="423"/>
        <w:jc w:val="both"/>
      </w:pPr>
      <w:r w:rsidRPr="00F30E35">
        <w:t xml:space="preserve">Subgroup analyses presented by the submission indicated a differential effect in </w:t>
      </w:r>
      <w:r w:rsidR="00771D7A" w:rsidRPr="00F30E35">
        <w:t>OS</w:t>
      </w:r>
      <w:r w:rsidRPr="00F30E35">
        <w:t xml:space="preserve"> based on gender that was not fully explained by imbalances in observable variables. </w:t>
      </w:r>
    </w:p>
    <w:p w:rsidR="006354E7" w:rsidRDefault="006354E7" w:rsidP="00B51A34">
      <w:pPr>
        <w:pStyle w:val="ListParagraph"/>
        <w:numPr>
          <w:ilvl w:val="0"/>
          <w:numId w:val="15"/>
        </w:numPr>
        <w:spacing w:before="0" w:after="0"/>
        <w:ind w:left="993" w:hanging="423"/>
        <w:jc w:val="both"/>
      </w:pPr>
      <w:r w:rsidRPr="00F30E35">
        <w:t xml:space="preserve">Differences </w:t>
      </w:r>
      <w:r w:rsidR="00F9649E" w:rsidRPr="00F30E35">
        <w:t xml:space="preserve">in </w:t>
      </w:r>
      <w:r w:rsidR="00771D7A" w:rsidRPr="00F30E35">
        <w:t>OS</w:t>
      </w:r>
      <w:r w:rsidR="00F9649E" w:rsidRPr="00F30E35">
        <w:t xml:space="preserve"> </w:t>
      </w:r>
      <w:r w:rsidRPr="00F30E35">
        <w:t xml:space="preserve">were also noted </w:t>
      </w:r>
      <w:r w:rsidR="00923EB3" w:rsidRPr="00F30E35">
        <w:t xml:space="preserve">by </w:t>
      </w:r>
      <w:r w:rsidRPr="00F30E35">
        <w:t xml:space="preserve">FLT3 </w:t>
      </w:r>
      <w:r w:rsidR="001A44C9">
        <w:t xml:space="preserve">mutation </w:t>
      </w:r>
      <w:r w:rsidRPr="00F30E35">
        <w:t>subtype, but a lack of statistically significant difference may have been driven by the smaller proportion of patients in the trial having the TKD mutation. The potential impact of this was unclear without knowledge of the likely proportion of the Australian population having the TKD mutation.</w:t>
      </w:r>
    </w:p>
    <w:p w:rsidR="00B63B2F" w:rsidRPr="00F30E35" w:rsidRDefault="00B63B2F" w:rsidP="00492912">
      <w:pPr>
        <w:pStyle w:val="ListParagraph"/>
        <w:numPr>
          <w:ilvl w:val="1"/>
          <w:numId w:val="2"/>
        </w:numPr>
        <w:spacing w:after="120"/>
        <w:ind w:left="578" w:hanging="578"/>
        <w:jc w:val="both"/>
      </w:pPr>
      <w:r w:rsidRPr="00F30E35">
        <w:t xml:space="preserve">The ESC </w:t>
      </w:r>
      <w:r w:rsidR="00B556E9">
        <w:t xml:space="preserve">and the PBAC </w:t>
      </w:r>
      <w:r w:rsidRPr="00F30E35">
        <w:t xml:space="preserve">considered that the submission’s claim of superior efficacy against placebo was reasonable in patients aged </w:t>
      </w:r>
      <w:r w:rsidRPr="00F30E35">
        <w:rPr>
          <w:rFonts w:cstheme="minorHAnsi"/>
        </w:rPr>
        <w:t>≤</w:t>
      </w:r>
      <w:r w:rsidRPr="00F30E35">
        <w:t>59 years</w:t>
      </w:r>
      <w:r w:rsidR="00C4041F" w:rsidRPr="00F30E35">
        <w:t>.</w:t>
      </w:r>
    </w:p>
    <w:p w:rsidR="00D2080C" w:rsidRPr="00F30E35" w:rsidRDefault="00D2080C" w:rsidP="00492912">
      <w:pPr>
        <w:pStyle w:val="ListParagraph"/>
        <w:numPr>
          <w:ilvl w:val="1"/>
          <w:numId w:val="2"/>
        </w:numPr>
        <w:spacing w:after="120"/>
        <w:ind w:left="578" w:hanging="578"/>
        <w:jc w:val="both"/>
      </w:pPr>
      <w:r w:rsidRPr="00F30E35">
        <w:t>In patients aged 60</w:t>
      </w:r>
      <w:r w:rsidR="00531C02">
        <w:t xml:space="preserve"> years</w:t>
      </w:r>
      <w:r w:rsidRPr="00F30E35">
        <w:t xml:space="preserve"> and older, the claim of superiority was based on results of the AMLSG 16-10 study, a single arm study with a sample size of 284. Given that the point estimate of risk of death (10% in older population versus 4% in younger population) was 250% higher in the older group (</w:t>
      </w:r>
      <w:r w:rsidR="008C3651">
        <w:t>exceed</w:t>
      </w:r>
      <w:r w:rsidR="008C3651" w:rsidRPr="00F30E35">
        <w:t xml:space="preserve">ing </w:t>
      </w:r>
      <w:r w:rsidRPr="00F30E35">
        <w:t xml:space="preserve">the improvement in survival of midostaurin over placebo from RATIFY), it was impossible to infer </w:t>
      </w:r>
      <w:r w:rsidR="00B31685">
        <w:t xml:space="preserve">reliably </w:t>
      </w:r>
      <w:r w:rsidRPr="00F30E35">
        <w:t xml:space="preserve">whether any benefit of midostaurin over placebo could be expected in the older population. </w:t>
      </w:r>
      <w:r w:rsidR="005A2B40" w:rsidRPr="00F30E35">
        <w:t xml:space="preserve">The ESC </w:t>
      </w:r>
      <w:r w:rsidR="00B556E9">
        <w:t xml:space="preserve">and the PBAC </w:t>
      </w:r>
      <w:r w:rsidR="005A2B40" w:rsidRPr="00F30E35">
        <w:t xml:space="preserve">concluded that </w:t>
      </w:r>
      <w:r w:rsidR="00BC6D17" w:rsidRPr="00F30E35">
        <w:t xml:space="preserve">a treatment effect in favour of midostaurin in older patients was </w:t>
      </w:r>
      <w:r w:rsidR="00150FBC" w:rsidRPr="00F30E35">
        <w:t>plausible;</w:t>
      </w:r>
      <w:r w:rsidR="00BC6D17" w:rsidRPr="00F30E35">
        <w:t xml:space="preserve"> however, </w:t>
      </w:r>
      <w:r w:rsidR="005A2B40" w:rsidRPr="00F30E35">
        <w:t>in the absence of a placebo comparison</w:t>
      </w:r>
      <w:r w:rsidR="00BC6D17" w:rsidRPr="00F30E35">
        <w:t xml:space="preserve"> and other applicability issues</w:t>
      </w:r>
      <w:r w:rsidR="005A2B40" w:rsidRPr="00F30E35">
        <w:t xml:space="preserve">, the </w:t>
      </w:r>
      <w:r w:rsidR="00BC6D17" w:rsidRPr="00F30E35">
        <w:t xml:space="preserve">size of its comparative benefit in the older population was difficult to determine. </w:t>
      </w:r>
    </w:p>
    <w:p w:rsidR="00B63B2F" w:rsidRPr="00F30E35" w:rsidRDefault="00D2080C" w:rsidP="00492912">
      <w:pPr>
        <w:pStyle w:val="ListParagraph"/>
        <w:numPr>
          <w:ilvl w:val="1"/>
          <w:numId w:val="2"/>
        </w:numPr>
        <w:spacing w:after="120"/>
        <w:ind w:left="578" w:hanging="578"/>
        <w:jc w:val="both"/>
      </w:pPr>
      <w:r w:rsidRPr="00F30E35">
        <w:t xml:space="preserve">In terms of safety, the submission did not make an explicit claim of non-inferiority or inferiority compared to placebo but stated that midostaurin had ‘a good tolerability profile.’ </w:t>
      </w:r>
      <w:r w:rsidR="004D1E72" w:rsidRPr="00F30E35">
        <w:t xml:space="preserve">The submission stated that ‘The safety profile was comparable between midostaurin and placebo’, implying a claim of </w:t>
      </w:r>
      <w:r w:rsidR="00812F84" w:rsidRPr="00F30E35">
        <w:t>n</w:t>
      </w:r>
      <w:r w:rsidR="004D1E72" w:rsidRPr="00F30E35">
        <w:t xml:space="preserve">on-inferiority. </w:t>
      </w:r>
    </w:p>
    <w:p w:rsidR="00750B5A" w:rsidRDefault="00747705" w:rsidP="00492912">
      <w:pPr>
        <w:pStyle w:val="ListParagraph"/>
        <w:numPr>
          <w:ilvl w:val="1"/>
          <w:numId w:val="2"/>
        </w:numPr>
        <w:spacing w:after="120"/>
        <w:ind w:left="578" w:hanging="578"/>
        <w:jc w:val="both"/>
      </w:pPr>
      <w:r w:rsidRPr="00F30E35">
        <w:t xml:space="preserve">The ESC disagreed with this claim on the basis of the observed toxicities </w:t>
      </w:r>
      <w:r w:rsidR="00FE126E" w:rsidRPr="00F30E35">
        <w:t>(notably rash</w:t>
      </w:r>
      <w:r w:rsidR="00964C1F" w:rsidRPr="00F30E35">
        <w:t xml:space="preserve"> or desquamation</w:t>
      </w:r>
      <w:r w:rsidR="00FE126E" w:rsidRPr="00F30E35">
        <w:t xml:space="preserve">) </w:t>
      </w:r>
      <w:r w:rsidRPr="00F30E35">
        <w:t xml:space="preserve">in the RATIFY </w:t>
      </w:r>
      <w:r w:rsidR="00210E8C" w:rsidRPr="00F30E35">
        <w:t>trial</w:t>
      </w:r>
      <w:r w:rsidRPr="00F30E35">
        <w:t xml:space="preserve"> and considered that a</w:t>
      </w:r>
      <w:r w:rsidR="00D2080C" w:rsidRPr="00F30E35">
        <w:t xml:space="preserve"> reasonable claim would </w:t>
      </w:r>
      <w:r w:rsidR="00210E8C" w:rsidRPr="00F30E35">
        <w:t>have been</w:t>
      </w:r>
      <w:r w:rsidR="000E101D" w:rsidRPr="00F30E35">
        <w:t xml:space="preserve"> </w:t>
      </w:r>
      <w:r w:rsidR="00D2080C" w:rsidRPr="00F30E35">
        <w:t>one of inferior safety</w:t>
      </w:r>
      <w:r w:rsidR="00210E8C" w:rsidRPr="00F30E35">
        <w:t>,</w:t>
      </w:r>
      <w:r w:rsidR="00D2080C" w:rsidRPr="00F30E35">
        <w:t xml:space="preserve"> as the addition of midostaurin to an AML treatment regimen was associated with statistically significant increases in a number of severe adverse events.</w:t>
      </w:r>
      <w:r w:rsidR="00964C1F" w:rsidRPr="00F30E35">
        <w:t xml:space="preserve"> However, the ESC considered that these AEs were not </w:t>
      </w:r>
      <w:r w:rsidR="00C4041F" w:rsidRPr="00F30E35">
        <w:t xml:space="preserve">clinically significant </w:t>
      </w:r>
      <w:r w:rsidR="00964C1F" w:rsidRPr="00F30E35">
        <w:t>enough to warrant</w:t>
      </w:r>
      <w:r w:rsidR="001550B0" w:rsidRPr="00F30E35">
        <w:t xml:space="preserve"> inclusion of associated</w:t>
      </w:r>
      <w:r w:rsidR="00964C1F" w:rsidRPr="00F30E35">
        <w:t xml:space="preserve"> disutilities in the economic analysis.</w:t>
      </w:r>
    </w:p>
    <w:p w:rsidR="00EA3CAE" w:rsidRDefault="00EA3CAE" w:rsidP="00492912">
      <w:pPr>
        <w:pStyle w:val="ListParagraph"/>
        <w:numPr>
          <w:ilvl w:val="1"/>
          <w:numId w:val="2"/>
        </w:numPr>
        <w:spacing w:after="120"/>
        <w:ind w:left="578" w:hanging="578"/>
        <w:jc w:val="both"/>
      </w:pPr>
      <w:r>
        <w:t>The pre-PBAC Response (p1) amended the safety claim to one of inferior safety versus placebo.</w:t>
      </w:r>
    </w:p>
    <w:p w:rsidR="00EA3CAE" w:rsidRDefault="00EA3CAE" w:rsidP="003D7F7F">
      <w:pPr>
        <w:pStyle w:val="ListParagraph"/>
        <w:numPr>
          <w:ilvl w:val="1"/>
          <w:numId w:val="2"/>
        </w:numPr>
        <w:spacing w:after="120"/>
        <w:ind w:left="578" w:hanging="578"/>
        <w:jc w:val="both"/>
      </w:pPr>
      <w:r w:rsidRPr="00DF1EDE">
        <w:t xml:space="preserve">The PBAC considered that the claim of superior comparative effectiveness of </w:t>
      </w:r>
      <w:r>
        <w:t>midostaurin</w:t>
      </w:r>
      <w:r w:rsidRPr="00DF1EDE">
        <w:t xml:space="preserve"> versus </w:t>
      </w:r>
      <w:r>
        <w:t>placebo</w:t>
      </w:r>
      <w:r w:rsidRPr="00DF1EDE">
        <w:t xml:space="preserve"> was reasonable, but that the magnitude of the incremental benefit </w:t>
      </w:r>
      <w:r>
        <w:t>was</w:t>
      </w:r>
      <w:r w:rsidRPr="00DF1EDE">
        <w:t xml:space="preserve"> uncertain</w:t>
      </w:r>
      <w:r>
        <w:t xml:space="preserve"> particularly in patients aged 60 </w:t>
      </w:r>
      <w:r w:rsidR="00531C02">
        <w:t xml:space="preserve">years </w:t>
      </w:r>
      <w:r>
        <w:t>and older.</w:t>
      </w:r>
      <w:r w:rsidRPr="00DF1EDE">
        <w:t xml:space="preserve"> </w:t>
      </w:r>
    </w:p>
    <w:p w:rsidR="00EA3CAE" w:rsidRDefault="00EA3CAE" w:rsidP="003D7F7F">
      <w:pPr>
        <w:pStyle w:val="ListParagraph"/>
        <w:numPr>
          <w:ilvl w:val="1"/>
          <w:numId w:val="2"/>
        </w:numPr>
        <w:spacing w:after="120"/>
        <w:ind w:left="578" w:hanging="578"/>
        <w:jc w:val="both"/>
      </w:pPr>
      <w:r>
        <w:lastRenderedPageBreak/>
        <w:t>The PBAC considered that midostaurin was inferior in safety compared with placebo, but considered that</w:t>
      </w:r>
      <w:r w:rsidRPr="00B556E9">
        <w:t xml:space="preserve"> in the context of chemotherapy-induced morbidity and mortality</w:t>
      </w:r>
      <w:r>
        <w:t>,</w:t>
      </w:r>
      <w:r w:rsidRPr="00B556E9">
        <w:t xml:space="preserve"> the additional toxicity </w:t>
      </w:r>
      <w:r>
        <w:t xml:space="preserve">with midostaurin treatment </w:t>
      </w:r>
      <w:r w:rsidRPr="00B556E9">
        <w:t>is relatively minor</w:t>
      </w:r>
      <w:r>
        <w:t xml:space="preserve">. </w:t>
      </w:r>
    </w:p>
    <w:p w:rsidR="00C317F3" w:rsidRPr="008D3D16" w:rsidRDefault="00C317F3" w:rsidP="00750B5A">
      <w:pPr>
        <w:pStyle w:val="Heading2"/>
      </w:pPr>
      <w:bookmarkStart w:id="21" w:name="_Toc413139282"/>
      <w:bookmarkStart w:id="22" w:name="_Toc482680472"/>
      <w:r w:rsidRPr="008D3D16">
        <w:t>Economic analysis</w:t>
      </w:r>
      <w:bookmarkEnd w:id="21"/>
      <w:bookmarkEnd w:id="22"/>
    </w:p>
    <w:p w:rsidR="00C317F3" w:rsidRPr="00F30E35" w:rsidRDefault="00D2080C" w:rsidP="003D7F7F">
      <w:pPr>
        <w:pStyle w:val="ListParagraph"/>
        <w:numPr>
          <w:ilvl w:val="1"/>
          <w:numId w:val="2"/>
        </w:numPr>
        <w:spacing w:after="120"/>
        <w:ind w:left="578" w:hanging="578"/>
        <w:jc w:val="both"/>
      </w:pPr>
      <w:r w:rsidRPr="00F30E35">
        <w:t>The submission presented a stepped economic evaluation, based on a direct randomised trial and implementing a modelled economic evaluation. This is consistent with the clinical claim made by the submission.</w:t>
      </w:r>
    </w:p>
    <w:p w:rsidR="0031750C" w:rsidRPr="00F30E35" w:rsidRDefault="007C2041" w:rsidP="003D7F7F">
      <w:pPr>
        <w:pStyle w:val="ListParagraph"/>
        <w:numPr>
          <w:ilvl w:val="1"/>
          <w:numId w:val="2"/>
        </w:numPr>
        <w:spacing w:after="120"/>
        <w:ind w:left="578" w:hanging="578"/>
        <w:jc w:val="both"/>
      </w:pPr>
      <w:r w:rsidRPr="00F30E35">
        <w:t xml:space="preserve">The submission </w:t>
      </w:r>
      <w:r w:rsidR="00F652AB" w:rsidRPr="00F30E35">
        <w:t xml:space="preserve">excluded </w:t>
      </w:r>
      <w:r w:rsidRPr="00F30E35">
        <w:t xml:space="preserve">the costs of FLT3 mutation testing, and the costs and health outcomes associated with patients who are false negatives and false positives. </w:t>
      </w:r>
    </w:p>
    <w:p w:rsidR="0031750C" w:rsidRPr="00F30E35" w:rsidRDefault="0031750C" w:rsidP="0031750C">
      <w:pPr>
        <w:pStyle w:val="BulletLast"/>
        <w:jc w:val="both"/>
        <w:rPr>
          <w:sz w:val="24"/>
        </w:rPr>
      </w:pPr>
      <w:r w:rsidRPr="00F30E35">
        <w:rPr>
          <w:sz w:val="24"/>
        </w:rPr>
        <w:t>The PSCR (p2) contended that if midostaurin were available, false negatives would be treated in the same way as they would be if midostaurin was not available, with the same costs and benefits. Additionally, the PSCR stated that false positives will occur in the same proportion of patients, and as they were included in the midostaurin arm of the RATIFY trial, they were implicitly included in the model estimates of efficacy.</w:t>
      </w:r>
    </w:p>
    <w:p w:rsidR="007C2041" w:rsidRPr="00D22344" w:rsidRDefault="0004770E" w:rsidP="007C2041">
      <w:pPr>
        <w:pStyle w:val="BulletLast"/>
        <w:jc w:val="both"/>
        <w:rPr>
          <w:sz w:val="24"/>
          <w:szCs w:val="24"/>
        </w:rPr>
      </w:pPr>
      <w:r w:rsidRPr="00F30E35">
        <w:rPr>
          <w:sz w:val="24"/>
        </w:rPr>
        <w:t>While the ESC agreed with the PSCR that the inclusion of these costs is not likely to be incrementally significant</w:t>
      </w:r>
      <w:r w:rsidR="006E5188" w:rsidRPr="00F30E35">
        <w:rPr>
          <w:sz w:val="24"/>
        </w:rPr>
        <w:t xml:space="preserve">, </w:t>
      </w:r>
      <w:r w:rsidR="006E5188" w:rsidRPr="00F30E35">
        <w:rPr>
          <w:sz w:val="24"/>
          <w:szCs w:val="24"/>
        </w:rPr>
        <w:t>it would have been appropriate to include testing in the economic evaluation, given that the availability of midostaurin impacts on the costs and outcomes associated with false positive and false negative patients.</w:t>
      </w:r>
    </w:p>
    <w:p w:rsidR="00C317F3" w:rsidRPr="00F30E35" w:rsidRDefault="00C317F3" w:rsidP="00D1078F">
      <w:pPr>
        <w:pStyle w:val="TableHeading0"/>
      </w:pPr>
      <w:r w:rsidRPr="00F30E35">
        <w:lastRenderedPageBreak/>
        <w:t xml:space="preserve">Table </w:t>
      </w:r>
      <w:r w:rsidR="00D2080C" w:rsidRPr="00F30E35">
        <w:t>6</w:t>
      </w:r>
      <w:r w:rsidRPr="00F30E35">
        <w:t>: Summary of model structure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5"/>
        <w:gridCol w:w="7512"/>
      </w:tblGrid>
      <w:tr w:rsidR="00D2080C" w:rsidRPr="00F30E35" w:rsidTr="008C780E">
        <w:tc>
          <w:tcPr>
            <w:tcW w:w="1555" w:type="dxa"/>
            <w:shd w:val="clear" w:color="auto" w:fill="auto"/>
            <w:vAlign w:val="center"/>
          </w:tcPr>
          <w:p w:rsidR="00D2080C" w:rsidRPr="00F30E35" w:rsidRDefault="00D2080C" w:rsidP="000801C8">
            <w:pPr>
              <w:pStyle w:val="TableText"/>
              <w:rPr>
                <w:b/>
              </w:rPr>
            </w:pPr>
            <w:r w:rsidRPr="00F30E35">
              <w:rPr>
                <w:b/>
              </w:rPr>
              <w:t xml:space="preserve">Component </w:t>
            </w:r>
          </w:p>
        </w:tc>
        <w:tc>
          <w:tcPr>
            <w:tcW w:w="7512" w:type="dxa"/>
            <w:shd w:val="clear" w:color="auto" w:fill="auto"/>
            <w:vAlign w:val="center"/>
          </w:tcPr>
          <w:p w:rsidR="00D2080C" w:rsidRPr="00F30E35" w:rsidRDefault="00D2080C" w:rsidP="002A788F">
            <w:pPr>
              <w:pStyle w:val="TableText"/>
              <w:jc w:val="center"/>
              <w:rPr>
                <w:b/>
              </w:rPr>
            </w:pPr>
            <w:r w:rsidRPr="00F30E35">
              <w:rPr>
                <w:b/>
              </w:rPr>
              <w:t xml:space="preserve">Description; Comments </w:t>
            </w:r>
          </w:p>
        </w:tc>
      </w:tr>
      <w:tr w:rsidR="00D2080C" w:rsidRPr="00F30E35" w:rsidTr="008C780E">
        <w:tc>
          <w:tcPr>
            <w:tcW w:w="1555" w:type="dxa"/>
            <w:shd w:val="clear" w:color="auto" w:fill="auto"/>
            <w:vAlign w:val="center"/>
          </w:tcPr>
          <w:p w:rsidR="00D2080C" w:rsidRPr="00F30E35" w:rsidRDefault="00D2080C" w:rsidP="000801C8">
            <w:pPr>
              <w:pStyle w:val="TableText"/>
            </w:pPr>
            <w:r w:rsidRPr="00F30E35">
              <w:t xml:space="preserve">Type of analysis </w:t>
            </w:r>
          </w:p>
        </w:tc>
        <w:tc>
          <w:tcPr>
            <w:tcW w:w="7512" w:type="dxa"/>
            <w:shd w:val="clear" w:color="auto" w:fill="auto"/>
            <w:vAlign w:val="center"/>
          </w:tcPr>
          <w:p w:rsidR="00D2080C" w:rsidRPr="00F30E35" w:rsidRDefault="00D2080C" w:rsidP="000801C8">
            <w:pPr>
              <w:pStyle w:val="TableText"/>
              <w:rPr>
                <w:rFonts w:eastAsia="Times New Roman" w:cs="Times New Roman"/>
                <w:szCs w:val="20"/>
                <w:lang w:val="en-US"/>
              </w:rPr>
            </w:pPr>
            <w:r w:rsidRPr="00F30E35">
              <w:rPr>
                <w:rFonts w:eastAsia="Times New Roman" w:cs="Times New Roman"/>
                <w:szCs w:val="20"/>
                <w:lang w:val="en-US"/>
              </w:rPr>
              <w:t>Cost-utility analysis</w:t>
            </w:r>
          </w:p>
        </w:tc>
      </w:tr>
      <w:tr w:rsidR="00D2080C" w:rsidRPr="00F30E35" w:rsidTr="008C780E">
        <w:tc>
          <w:tcPr>
            <w:tcW w:w="1555" w:type="dxa"/>
            <w:shd w:val="clear" w:color="auto" w:fill="auto"/>
            <w:vAlign w:val="center"/>
          </w:tcPr>
          <w:p w:rsidR="00D2080C" w:rsidRPr="00F30E35" w:rsidRDefault="00D2080C" w:rsidP="000801C8">
            <w:pPr>
              <w:pStyle w:val="TableText"/>
              <w:rPr>
                <w:rFonts w:ascii="Times" w:eastAsia="Times New Roman" w:hAnsi="Times" w:cs="Times New Roman"/>
                <w:szCs w:val="20"/>
                <w:lang w:val="en-US"/>
              </w:rPr>
            </w:pPr>
            <w:r w:rsidRPr="00F30E35">
              <w:t>Outcomes</w:t>
            </w:r>
          </w:p>
        </w:tc>
        <w:tc>
          <w:tcPr>
            <w:tcW w:w="7512" w:type="dxa"/>
            <w:shd w:val="clear" w:color="auto" w:fill="auto"/>
            <w:vAlign w:val="center"/>
          </w:tcPr>
          <w:p w:rsidR="00D2080C" w:rsidRPr="00F30E35" w:rsidRDefault="00D2080C" w:rsidP="000801C8">
            <w:pPr>
              <w:pStyle w:val="TableText"/>
              <w:rPr>
                <w:rFonts w:eastAsia="Times New Roman" w:cs="Times New Roman"/>
                <w:szCs w:val="20"/>
                <w:lang w:val="en-US"/>
              </w:rPr>
            </w:pPr>
            <w:r w:rsidRPr="00F30E35">
              <w:rPr>
                <w:rFonts w:eastAsia="Times New Roman" w:cs="Times New Roman"/>
                <w:szCs w:val="20"/>
                <w:lang w:val="en-US"/>
              </w:rPr>
              <w:t>Quality-adjusted-life-years (QALYs)</w:t>
            </w:r>
          </w:p>
          <w:p w:rsidR="00D2080C" w:rsidRPr="00F30E35" w:rsidRDefault="00D2080C" w:rsidP="000801C8">
            <w:pPr>
              <w:pStyle w:val="TableText"/>
              <w:rPr>
                <w:rFonts w:eastAsia="Times New Roman" w:cs="Times New Roman"/>
                <w:szCs w:val="20"/>
                <w:lang w:val="en-US"/>
              </w:rPr>
            </w:pPr>
            <w:r w:rsidRPr="00F30E35">
              <w:t xml:space="preserve">Base-case analysis uses QALYs, however previous steps model </w:t>
            </w:r>
            <w:r w:rsidR="000801C8" w:rsidRPr="00F30E35">
              <w:t>l</w:t>
            </w:r>
            <w:r w:rsidRPr="00F30E35">
              <w:t>ife years (LYs)</w:t>
            </w:r>
          </w:p>
        </w:tc>
      </w:tr>
      <w:tr w:rsidR="00D2080C" w:rsidRPr="00F30E35" w:rsidTr="008C780E">
        <w:tc>
          <w:tcPr>
            <w:tcW w:w="1555" w:type="dxa"/>
            <w:shd w:val="clear" w:color="auto" w:fill="auto"/>
            <w:vAlign w:val="center"/>
          </w:tcPr>
          <w:p w:rsidR="00D2080C" w:rsidRPr="00F30E35" w:rsidRDefault="00D2080C" w:rsidP="000801C8">
            <w:pPr>
              <w:pStyle w:val="TableText"/>
              <w:rPr>
                <w:rFonts w:ascii="Times" w:eastAsia="Times New Roman" w:hAnsi="Times" w:cs="Times New Roman"/>
                <w:szCs w:val="20"/>
                <w:lang w:val="en-US"/>
              </w:rPr>
            </w:pPr>
            <w:r w:rsidRPr="00F30E35">
              <w:t>Time horizon</w:t>
            </w:r>
          </w:p>
        </w:tc>
        <w:tc>
          <w:tcPr>
            <w:tcW w:w="7512" w:type="dxa"/>
            <w:shd w:val="clear" w:color="auto" w:fill="auto"/>
            <w:vAlign w:val="center"/>
          </w:tcPr>
          <w:p w:rsidR="00D2080C" w:rsidRPr="00F30E35" w:rsidRDefault="00D2080C" w:rsidP="00903F9D">
            <w:pPr>
              <w:pStyle w:val="TableText"/>
              <w:jc w:val="both"/>
              <w:rPr>
                <w:rFonts w:eastAsia="Times New Roman" w:cs="Times New Roman"/>
                <w:szCs w:val="20"/>
                <w:lang w:val="en-US"/>
              </w:rPr>
            </w:pPr>
            <w:r w:rsidRPr="00F30E35">
              <w:rPr>
                <w:rFonts w:eastAsia="Times New Roman" w:cs="Times New Roman"/>
                <w:szCs w:val="20"/>
                <w:lang w:val="en-US"/>
              </w:rPr>
              <w:t>Lifetime (50 years)</w:t>
            </w:r>
          </w:p>
          <w:p w:rsidR="00D2080C" w:rsidRPr="00F30E35" w:rsidRDefault="00D2080C" w:rsidP="00233C9D">
            <w:pPr>
              <w:pStyle w:val="TableText"/>
              <w:jc w:val="both"/>
              <w:rPr>
                <w:rFonts w:eastAsia="Times New Roman" w:cs="Times New Roman"/>
                <w:szCs w:val="20"/>
                <w:lang w:val="en-US"/>
              </w:rPr>
            </w:pPr>
            <w:r w:rsidRPr="00F30E35">
              <w:t xml:space="preserve">Extrapolated from a median follow-up of approximately 5 years in the RATIFY trial. </w:t>
            </w:r>
            <w:r w:rsidR="00923EB3" w:rsidRPr="00F30E35">
              <w:t xml:space="preserve">As the average age of patients in RATIFY was approximately 45 years and there is a possibility of a cure, </w:t>
            </w:r>
            <w:r w:rsidR="002B0AAA">
              <w:t xml:space="preserve">the evaluation considered that </w:t>
            </w:r>
            <w:r w:rsidR="00923EB3" w:rsidRPr="00F30E35">
              <w:t xml:space="preserve">a time horizon of 50 years may be reasonable to ensure </w:t>
            </w:r>
            <w:r w:rsidR="00413D45" w:rsidRPr="00F30E35">
              <w:t>all</w:t>
            </w:r>
            <w:r w:rsidR="00923EB3" w:rsidRPr="00F30E35">
              <w:t xml:space="preserve"> relevant costs and benefits are captured</w:t>
            </w:r>
            <w:r w:rsidR="00F652AB" w:rsidRPr="00F30E35">
              <w:t>.</w:t>
            </w:r>
            <w:r w:rsidR="004D1E72" w:rsidRPr="00F30E35">
              <w:t xml:space="preserve"> </w:t>
            </w:r>
            <w:r w:rsidR="002B0AAA">
              <w:t>However, the PBAC noted that</w:t>
            </w:r>
            <w:r w:rsidR="00233C9D">
              <w:t xml:space="preserve"> the age of patients treated in clinical practice would be higher than in a clinical trial setting, and also th</w:t>
            </w:r>
            <w:r w:rsidR="009F504A">
              <w:t xml:space="preserve">at a group of patients aged 60 and over were included in the model. </w:t>
            </w:r>
            <w:r w:rsidR="00570096">
              <w:t>Further</w:t>
            </w:r>
            <w:r w:rsidR="00DC0060" w:rsidRPr="00F30E35">
              <w:t>, extrapolation of trial data with a median follow-up of 5 years to a 50-year time horizon is associated with uncertainty</w:t>
            </w:r>
            <w:r w:rsidR="00923EB3" w:rsidRPr="00F30E35">
              <w:t>. T</w:t>
            </w:r>
            <w:r w:rsidR="000801C8" w:rsidRPr="00F30E35">
              <w:t>he t</w:t>
            </w:r>
            <w:r w:rsidR="00923EB3" w:rsidRPr="00F30E35">
              <w:t xml:space="preserve">ime-horizon </w:t>
            </w:r>
            <w:r w:rsidR="000801C8" w:rsidRPr="00F30E35">
              <w:t xml:space="preserve">was </w:t>
            </w:r>
            <w:r w:rsidR="00923EB3" w:rsidRPr="00F30E35">
              <w:t>varied in sensitivity analyses</w:t>
            </w:r>
            <w:r w:rsidR="000801C8" w:rsidRPr="00F30E35">
              <w:t xml:space="preserve">, </w:t>
            </w:r>
            <w:r w:rsidR="001C3A11" w:rsidRPr="00F30E35">
              <w:t xml:space="preserve">and </w:t>
            </w:r>
            <w:r w:rsidR="000801C8" w:rsidRPr="00F30E35">
              <w:t>the results indicate</w:t>
            </w:r>
            <w:r w:rsidR="00413D45" w:rsidRPr="00F30E35">
              <w:t>d</w:t>
            </w:r>
            <w:r w:rsidR="000801C8" w:rsidRPr="00F30E35">
              <w:t xml:space="preserve"> that the ICER remain</w:t>
            </w:r>
            <w:r w:rsidR="00413D45" w:rsidRPr="00F30E35">
              <w:t>ed</w:t>
            </w:r>
            <w:r w:rsidR="000801C8" w:rsidRPr="00F30E35">
              <w:t xml:space="preserve"> comparable at 30 and 40 year durations as very few patients survive to age 95 years.</w:t>
            </w:r>
          </w:p>
        </w:tc>
      </w:tr>
      <w:tr w:rsidR="00D2080C" w:rsidRPr="00F30E35" w:rsidTr="008C780E">
        <w:tc>
          <w:tcPr>
            <w:tcW w:w="1555" w:type="dxa"/>
            <w:shd w:val="clear" w:color="auto" w:fill="auto"/>
            <w:vAlign w:val="center"/>
          </w:tcPr>
          <w:p w:rsidR="00D2080C" w:rsidRPr="00F30E35" w:rsidRDefault="00D2080C" w:rsidP="000801C8">
            <w:pPr>
              <w:pStyle w:val="TableText"/>
              <w:rPr>
                <w:rFonts w:ascii="Times" w:eastAsia="Times New Roman" w:hAnsi="Times" w:cs="Times New Roman"/>
                <w:szCs w:val="20"/>
                <w:lang w:val="en-US"/>
              </w:rPr>
            </w:pPr>
            <w:r w:rsidRPr="00F30E35">
              <w:t>Methods used to generate results</w:t>
            </w:r>
          </w:p>
        </w:tc>
        <w:tc>
          <w:tcPr>
            <w:tcW w:w="7512" w:type="dxa"/>
            <w:shd w:val="clear" w:color="auto" w:fill="auto"/>
            <w:vAlign w:val="center"/>
          </w:tcPr>
          <w:p w:rsidR="00D2080C" w:rsidRPr="00F30E35" w:rsidRDefault="00D2080C" w:rsidP="00903F9D">
            <w:pPr>
              <w:pStyle w:val="TableText"/>
              <w:jc w:val="both"/>
              <w:rPr>
                <w:rFonts w:eastAsia="Times New Roman" w:cs="Times New Roman"/>
                <w:szCs w:val="20"/>
                <w:lang w:val="en-US"/>
              </w:rPr>
            </w:pPr>
            <w:r w:rsidRPr="00F30E35">
              <w:rPr>
                <w:rFonts w:eastAsia="Times New Roman" w:cs="Times New Roman"/>
                <w:szCs w:val="20"/>
                <w:lang w:val="en-US"/>
              </w:rPr>
              <w:t>Cohort expected value analysis</w:t>
            </w:r>
          </w:p>
        </w:tc>
      </w:tr>
      <w:tr w:rsidR="00D2080C" w:rsidRPr="00F30E35" w:rsidTr="008C780E">
        <w:tc>
          <w:tcPr>
            <w:tcW w:w="1555" w:type="dxa"/>
            <w:shd w:val="clear" w:color="auto" w:fill="auto"/>
            <w:vAlign w:val="center"/>
          </w:tcPr>
          <w:p w:rsidR="00D2080C" w:rsidRPr="00F30E35" w:rsidRDefault="00D2080C" w:rsidP="000801C8">
            <w:pPr>
              <w:pStyle w:val="TableText"/>
              <w:rPr>
                <w:rFonts w:ascii="Times" w:eastAsia="Times New Roman" w:hAnsi="Times" w:cs="Times New Roman"/>
                <w:szCs w:val="20"/>
                <w:lang w:val="en-US"/>
              </w:rPr>
            </w:pPr>
            <w:r w:rsidRPr="00F30E35">
              <w:t>Health states</w:t>
            </w:r>
          </w:p>
        </w:tc>
        <w:tc>
          <w:tcPr>
            <w:tcW w:w="7512" w:type="dxa"/>
            <w:shd w:val="clear" w:color="auto" w:fill="auto"/>
            <w:vAlign w:val="center"/>
          </w:tcPr>
          <w:p w:rsidR="00D2080C" w:rsidRPr="00F30E35" w:rsidRDefault="00D2080C" w:rsidP="00903F9D">
            <w:pPr>
              <w:pStyle w:val="TableLeft"/>
              <w:spacing w:before="40" w:after="40"/>
              <w:jc w:val="both"/>
              <w:rPr>
                <w:lang w:bidi="ar-SA"/>
              </w:rPr>
            </w:pPr>
            <w:r w:rsidRPr="00F30E35">
              <w:rPr>
                <w:lang w:bidi="ar-SA"/>
              </w:rPr>
              <w:t>The model consists of 13 health states.</w:t>
            </w:r>
            <w:r w:rsidR="000D283D" w:rsidRPr="00F30E35">
              <w:rPr>
                <w:lang w:bidi="ar-SA"/>
              </w:rPr>
              <w:t xml:space="preserve"> </w:t>
            </w:r>
            <w:r w:rsidR="00712667" w:rsidRPr="00F30E35">
              <w:rPr>
                <w:lang w:bidi="ar-SA"/>
              </w:rPr>
              <w:t>Patients in the model spend most of their time in one of two post-SCT health states (i) while in first remission and (ii) while not in first remission</w:t>
            </w:r>
            <w:r w:rsidR="000D283D" w:rsidRPr="00F30E35">
              <w:rPr>
                <w:lang w:bidi="ar-SA"/>
              </w:rPr>
              <w:t xml:space="preserve">. </w:t>
            </w:r>
            <w:r w:rsidR="00203813" w:rsidRPr="00F30E35">
              <w:rPr>
                <w:lang w:bidi="ar-SA"/>
              </w:rPr>
              <w:t xml:space="preserve">Patients remain in post-SCT health states or transition to dead. </w:t>
            </w:r>
            <w:r w:rsidR="00E9228A" w:rsidRPr="00F30E35">
              <w:rPr>
                <w:lang w:bidi="ar-SA"/>
              </w:rPr>
              <w:t xml:space="preserve">Survival in post-SCT health states are taken from RATIFY trial </w:t>
            </w:r>
            <w:r w:rsidR="007F271D">
              <w:rPr>
                <w:noProof/>
                <w:color w:val="000000"/>
                <w:highlight w:val="black"/>
                <w:lang w:bidi="ar-SA"/>
              </w:rPr>
              <w:t>'''''''''''''''''''''''' '''''''''''''''' '''''''''' ''''''''''''''</w:t>
            </w:r>
            <w:r w:rsidR="00E9228A" w:rsidRPr="00F30E35">
              <w:rPr>
                <w:lang w:bidi="ar-SA"/>
              </w:rPr>
              <w:t xml:space="preserve">, </w:t>
            </w:r>
            <w:r w:rsidR="00BA0792" w:rsidRPr="00F30E35">
              <w:rPr>
                <w:lang w:bidi="ar-SA"/>
              </w:rPr>
              <w:t xml:space="preserve">and a 100% excess mortality rate is used when extrapolating transitions from these health states. </w:t>
            </w:r>
          </w:p>
          <w:p w:rsidR="00D2080C" w:rsidRPr="00F30E35" w:rsidRDefault="00D2080C" w:rsidP="00903F9D">
            <w:pPr>
              <w:pStyle w:val="TableLeft"/>
              <w:spacing w:before="40" w:after="40"/>
              <w:jc w:val="both"/>
              <w:rPr>
                <w:lang w:bidi="ar-SA"/>
              </w:rPr>
            </w:pPr>
            <w:r w:rsidRPr="00F30E35">
              <w:t>These health states are appropriate.</w:t>
            </w:r>
          </w:p>
        </w:tc>
      </w:tr>
      <w:tr w:rsidR="00D2080C" w:rsidRPr="00F30E35" w:rsidTr="008C780E">
        <w:tc>
          <w:tcPr>
            <w:tcW w:w="1555" w:type="dxa"/>
            <w:shd w:val="clear" w:color="auto" w:fill="auto"/>
            <w:vAlign w:val="center"/>
          </w:tcPr>
          <w:p w:rsidR="00D2080C" w:rsidRPr="00F30E35" w:rsidRDefault="00D2080C" w:rsidP="000801C8">
            <w:pPr>
              <w:pStyle w:val="TableText"/>
              <w:rPr>
                <w:rFonts w:ascii="Times" w:eastAsia="Times New Roman" w:hAnsi="Times" w:cs="Times New Roman"/>
                <w:szCs w:val="20"/>
                <w:lang w:val="en-US"/>
              </w:rPr>
            </w:pPr>
            <w:r w:rsidRPr="00F30E35">
              <w:t>Cycle length</w:t>
            </w:r>
          </w:p>
        </w:tc>
        <w:tc>
          <w:tcPr>
            <w:tcW w:w="7512" w:type="dxa"/>
            <w:shd w:val="clear" w:color="auto" w:fill="auto"/>
            <w:vAlign w:val="center"/>
          </w:tcPr>
          <w:p w:rsidR="00D2080C" w:rsidRPr="00F30E35" w:rsidRDefault="00D2080C" w:rsidP="000A3827">
            <w:pPr>
              <w:pStyle w:val="TableText"/>
              <w:jc w:val="both"/>
              <w:rPr>
                <w:rFonts w:eastAsia="Times New Roman" w:cs="Times New Roman"/>
                <w:szCs w:val="20"/>
                <w:lang w:val="en-US"/>
              </w:rPr>
            </w:pPr>
            <w:r w:rsidRPr="00F30E35">
              <w:rPr>
                <w:rFonts w:eastAsia="Times New Roman" w:cs="Times New Roman"/>
                <w:szCs w:val="20"/>
                <w:lang w:val="en-US"/>
              </w:rPr>
              <w:t>28 days (except for induction and consolidation health states)</w:t>
            </w:r>
            <w:r w:rsidR="00150FBC" w:rsidRPr="00F30E35">
              <w:rPr>
                <w:rFonts w:eastAsia="Times New Roman" w:cs="Times New Roman"/>
                <w:szCs w:val="20"/>
                <w:lang w:val="en-US"/>
              </w:rPr>
              <w:t>,</w:t>
            </w:r>
            <w:r w:rsidR="001C3A11" w:rsidRPr="00F30E35">
              <w:rPr>
                <w:rFonts w:eastAsia="Times New Roman" w:cs="Times New Roman"/>
                <w:szCs w:val="20"/>
                <w:lang w:val="en-US"/>
              </w:rPr>
              <w:t xml:space="preserve"> which was appropriate. However, the model allows for up to four cycles of </w:t>
            </w:r>
            <w:r w:rsidRPr="00F30E35">
              <w:t xml:space="preserve">consolidation </w:t>
            </w:r>
            <w:r w:rsidR="001C3A11" w:rsidRPr="00F30E35">
              <w:t>therapy whereas current practice in Australia is for two cycles of consolidation therapy.</w:t>
            </w:r>
          </w:p>
        </w:tc>
      </w:tr>
      <w:tr w:rsidR="00D2080C" w:rsidRPr="00F30E35" w:rsidTr="008C780E">
        <w:tc>
          <w:tcPr>
            <w:tcW w:w="1555" w:type="dxa"/>
            <w:shd w:val="clear" w:color="auto" w:fill="auto"/>
            <w:vAlign w:val="center"/>
          </w:tcPr>
          <w:p w:rsidR="00D2080C" w:rsidRPr="00F30E35" w:rsidRDefault="00D2080C" w:rsidP="000801C8">
            <w:pPr>
              <w:pStyle w:val="TableText"/>
            </w:pPr>
            <w:r w:rsidRPr="00F30E35">
              <w:t xml:space="preserve">Transition probability </w:t>
            </w:r>
          </w:p>
        </w:tc>
        <w:tc>
          <w:tcPr>
            <w:tcW w:w="7512" w:type="dxa"/>
            <w:shd w:val="clear" w:color="auto" w:fill="auto"/>
            <w:vAlign w:val="center"/>
          </w:tcPr>
          <w:p w:rsidR="00D2080C" w:rsidRPr="00F30E35" w:rsidRDefault="00D2080C" w:rsidP="00903F9D">
            <w:pPr>
              <w:pStyle w:val="TableText"/>
              <w:jc w:val="both"/>
            </w:pPr>
            <w:r w:rsidRPr="00F30E35">
              <w:t xml:space="preserve">Sourced from analysis of </w:t>
            </w:r>
            <w:r w:rsidR="007F271D">
              <w:rPr>
                <w:noProof/>
                <w:color w:val="000000"/>
                <w:highlight w:val="black"/>
              </w:rPr>
              <w:t>''''''''''</w:t>
            </w:r>
            <w:r w:rsidRPr="00F30E35">
              <w:t xml:space="preserve"> from the RATIFY trial</w:t>
            </w:r>
          </w:p>
          <w:p w:rsidR="00D2080C" w:rsidRPr="00F30E35" w:rsidRDefault="00D2080C" w:rsidP="00903F9D">
            <w:pPr>
              <w:pStyle w:val="TableText"/>
              <w:jc w:val="both"/>
            </w:pPr>
            <w:r w:rsidRPr="00F30E35">
              <w:t xml:space="preserve">The source of transition probabilities </w:t>
            </w:r>
            <w:r w:rsidR="00F652AB" w:rsidRPr="00F30E35">
              <w:t>wa</w:t>
            </w:r>
            <w:r w:rsidRPr="00F30E35">
              <w:t xml:space="preserve">s appropriate, however there </w:t>
            </w:r>
            <w:r w:rsidR="00F652AB" w:rsidRPr="00F30E35">
              <w:t>wa</w:t>
            </w:r>
            <w:r w:rsidRPr="00F30E35">
              <w:t xml:space="preserve">s likely to be a great deal of uncertainty around many of these probabilities (see </w:t>
            </w:r>
            <w:r w:rsidR="001C3A11" w:rsidRPr="00F30E35">
              <w:t>6.32</w:t>
            </w:r>
            <w:r w:rsidRPr="00F30E35">
              <w:t>).</w:t>
            </w:r>
          </w:p>
        </w:tc>
      </w:tr>
      <w:tr w:rsidR="00D2080C" w:rsidRPr="00F30E35" w:rsidTr="008C780E">
        <w:trPr>
          <w:trHeight w:val="90"/>
        </w:trPr>
        <w:tc>
          <w:tcPr>
            <w:tcW w:w="1555" w:type="dxa"/>
            <w:shd w:val="clear" w:color="auto" w:fill="auto"/>
            <w:vAlign w:val="center"/>
          </w:tcPr>
          <w:p w:rsidR="00D2080C" w:rsidRPr="00F30E35" w:rsidRDefault="00D2080C" w:rsidP="000801C8">
            <w:pPr>
              <w:pStyle w:val="TableText"/>
              <w:rPr>
                <w:rFonts w:ascii="Times" w:eastAsia="Times New Roman" w:hAnsi="Times" w:cs="Times New Roman"/>
                <w:szCs w:val="20"/>
                <w:lang w:val="en-US"/>
              </w:rPr>
            </w:pPr>
            <w:r w:rsidRPr="00F30E35">
              <w:t>Software package</w:t>
            </w:r>
          </w:p>
        </w:tc>
        <w:tc>
          <w:tcPr>
            <w:tcW w:w="7512" w:type="dxa"/>
            <w:shd w:val="clear" w:color="auto" w:fill="auto"/>
            <w:vAlign w:val="center"/>
          </w:tcPr>
          <w:p w:rsidR="00D2080C" w:rsidRPr="00F30E35" w:rsidRDefault="00D2080C" w:rsidP="00903F9D">
            <w:pPr>
              <w:pStyle w:val="TableText"/>
              <w:jc w:val="both"/>
              <w:rPr>
                <w:rFonts w:eastAsia="Times New Roman" w:cs="Times New Roman"/>
                <w:szCs w:val="20"/>
                <w:lang w:val="en-US"/>
              </w:rPr>
            </w:pPr>
            <w:r w:rsidRPr="00F30E35">
              <w:t>TreeAge Pro Healthcare 2017 with dynamic links to Excel 2013</w:t>
            </w:r>
          </w:p>
        </w:tc>
      </w:tr>
    </w:tbl>
    <w:p w:rsidR="00C317F3" w:rsidRPr="00F30E35" w:rsidRDefault="00D2080C" w:rsidP="00D1078F">
      <w:pPr>
        <w:pStyle w:val="TableFooter"/>
      </w:pPr>
      <w:r w:rsidRPr="00F30E35">
        <w:t>Source: Table 3.1-1, p172 of the submission</w:t>
      </w:r>
    </w:p>
    <w:p w:rsidR="00330AC1" w:rsidRPr="00F30E35" w:rsidRDefault="00330AC1" w:rsidP="003D7F7F">
      <w:pPr>
        <w:pStyle w:val="ListParagraph"/>
        <w:numPr>
          <w:ilvl w:val="1"/>
          <w:numId w:val="2"/>
        </w:numPr>
        <w:spacing w:after="120"/>
        <w:ind w:left="578" w:hanging="578"/>
        <w:jc w:val="both"/>
      </w:pPr>
      <w:r w:rsidRPr="00F30E35">
        <w:t xml:space="preserve">Although </w:t>
      </w:r>
      <w:r w:rsidR="00531C02">
        <w:t xml:space="preserve">during the evaluation </w:t>
      </w:r>
      <w:r w:rsidRPr="00F30E35">
        <w:t xml:space="preserve">a life-time horizon (50 years) was considered reasonable, </w:t>
      </w:r>
      <w:r w:rsidR="00531C02">
        <w:t xml:space="preserve">it was noted </w:t>
      </w:r>
      <w:r w:rsidRPr="00F30E35">
        <w:t>this required extrapolation of RATIFY trial data with a median follow-up of approximately 5 years and is therefore subject to a degree of uncertainty. Additionally, the difference in survival at 5 years is assumed to be maintained for a long period of time.</w:t>
      </w:r>
    </w:p>
    <w:p w:rsidR="00952230" w:rsidRPr="00F30E35" w:rsidRDefault="00952230" w:rsidP="00B51A34">
      <w:pPr>
        <w:pStyle w:val="ListParagraph"/>
        <w:numPr>
          <w:ilvl w:val="0"/>
          <w:numId w:val="15"/>
        </w:numPr>
        <w:spacing w:before="0" w:after="0"/>
        <w:ind w:left="993" w:hanging="423"/>
        <w:jc w:val="both"/>
      </w:pPr>
      <w:r w:rsidRPr="00F30E35">
        <w:t>The PSCR (p2) claimed that the application of a life-time horizon is appropriate in the context of AML;</w:t>
      </w:r>
    </w:p>
    <w:p w:rsidR="00952230" w:rsidRPr="00F30E35" w:rsidRDefault="00952230" w:rsidP="00B51A34">
      <w:pPr>
        <w:pStyle w:val="ListParagraph"/>
        <w:numPr>
          <w:ilvl w:val="0"/>
          <w:numId w:val="15"/>
        </w:numPr>
        <w:spacing w:before="0" w:after="0"/>
        <w:ind w:left="993" w:hanging="423"/>
        <w:jc w:val="both"/>
      </w:pPr>
      <w:r w:rsidRPr="00F30E35">
        <w:t>The ESC advised that a life-time horizon in itself was not unreasonable, given that the 5-year conditional relative survival for patients alive 5 years post diagnosis of AML in Australia is 89.3%</w:t>
      </w:r>
      <w:r w:rsidRPr="00531C02">
        <w:rPr>
          <w:vertAlign w:val="superscript"/>
        </w:rPr>
        <w:footnoteReference w:id="5"/>
      </w:r>
      <w:r w:rsidRPr="00F30E35">
        <w:t xml:space="preserve">; </w:t>
      </w:r>
    </w:p>
    <w:p w:rsidR="00952230" w:rsidRPr="00F30E35" w:rsidRDefault="00952230" w:rsidP="00B51A34">
      <w:pPr>
        <w:pStyle w:val="ListParagraph"/>
        <w:numPr>
          <w:ilvl w:val="0"/>
          <w:numId w:val="15"/>
        </w:numPr>
        <w:spacing w:before="0" w:after="0"/>
        <w:ind w:left="993" w:hanging="423"/>
        <w:jc w:val="both"/>
      </w:pPr>
      <w:r w:rsidRPr="00F30E35">
        <w:t xml:space="preserve">However, the ESC considered that given the average age of Australian AML patients at diagnosis was </w:t>
      </w:r>
      <w:r w:rsidR="007F271D">
        <w:rPr>
          <w:noProof/>
          <w:color w:val="000000"/>
          <w:highlight w:val="black"/>
        </w:rPr>
        <w:t>''''' ''''''''''' ''''' ''''''' '''''' ''''''''''''''' ''''''''''''''''''''' '''''''''''''''' '''''''' ''''''''''''''''' '''' ''''''' '''''''''''''''''''''</w:t>
      </w:r>
      <w:r w:rsidR="002D6614" w:rsidRPr="00F30E35">
        <w:t>, a 50 year time horizon wa</w:t>
      </w:r>
      <w:r w:rsidRPr="00F30E35">
        <w:t>s implausible</w:t>
      </w:r>
      <w:r w:rsidR="002D6614" w:rsidRPr="00F30E35">
        <w:t>.</w:t>
      </w:r>
    </w:p>
    <w:p w:rsidR="002D6614" w:rsidRPr="006436CC" w:rsidRDefault="002D6614" w:rsidP="00B51A34">
      <w:pPr>
        <w:pStyle w:val="ListParagraph"/>
        <w:numPr>
          <w:ilvl w:val="0"/>
          <w:numId w:val="15"/>
        </w:numPr>
        <w:spacing w:before="0" w:after="0"/>
        <w:ind w:left="993" w:hanging="423"/>
        <w:jc w:val="both"/>
      </w:pPr>
      <w:r w:rsidRPr="006436CC">
        <w:lastRenderedPageBreak/>
        <w:t>Moreover, the ESC considered that extending to a 50 year horizon would result in a ten-fold extrapolation of the existing RATIFY trial data, hence increasing the uncertainty associated with the resulting estimates of cost-effectiveness.</w:t>
      </w:r>
    </w:p>
    <w:p w:rsidR="002D6614" w:rsidRPr="006436CC" w:rsidRDefault="002D6614" w:rsidP="00B51A34">
      <w:pPr>
        <w:pStyle w:val="ListParagraph"/>
        <w:numPr>
          <w:ilvl w:val="0"/>
          <w:numId w:val="15"/>
        </w:numPr>
        <w:spacing w:before="0" w:after="0"/>
        <w:ind w:left="993" w:hanging="423"/>
        <w:jc w:val="both"/>
      </w:pPr>
      <w:r w:rsidRPr="006436CC">
        <w:t>The ESC therefore advised that a 30 year time-horizon would better reflect the natural history of this disease and provide a more informative basis for decision making.</w:t>
      </w:r>
      <w:r w:rsidR="00021004" w:rsidRPr="006436CC">
        <w:t xml:space="preserve"> However, the ESC acknowledged that altering the time horizon to 30 years did not have a significant impact on the cost-effectiveness of midostaurin.</w:t>
      </w:r>
    </w:p>
    <w:p w:rsidR="00233C9D" w:rsidRDefault="005906AA" w:rsidP="00B51A34">
      <w:pPr>
        <w:pStyle w:val="ListParagraph"/>
        <w:numPr>
          <w:ilvl w:val="0"/>
          <w:numId w:val="15"/>
        </w:numPr>
        <w:spacing w:before="0" w:after="0"/>
        <w:ind w:left="993" w:hanging="423"/>
        <w:jc w:val="both"/>
      </w:pPr>
      <w:r w:rsidRPr="006436CC">
        <w:t>The PBAC noted that</w:t>
      </w:r>
      <w:r w:rsidR="00F304B8" w:rsidRPr="006436CC">
        <w:t xml:space="preserve">, </w:t>
      </w:r>
      <w:r w:rsidR="006436CC" w:rsidRPr="006436CC">
        <w:t>in</w:t>
      </w:r>
      <w:r w:rsidR="00F304B8" w:rsidRPr="006436CC">
        <w:t xml:space="preserve"> the group o</w:t>
      </w:r>
      <w:r w:rsidRPr="006436CC">
        <w:t xml:space="preserve">f patients aged 60 </w:t>
      </w:r>
      <w:r w:rsidR="00531C02">
        <w:t xml:space="preserve">years </w:t>
      </w:r>
      <w:r w:rsidRPr="006436CC">
        <w:t>and over</w:t>
      </w:r>
      <w:r w:rsidR="00F304B8" w:rsidRPr="006436CC">
        <w:t>, the</w:t>
      </w:r>
      <w:r w:rsidRPr="006436CC">
        <w:t xml:space="preserve"> </w:t>
      </w:r>
      <w:r w:rsidR="006436CC" w:rsidRPr="006436CC">
        <w:t xml:space="preserve">modelled </w:t>
      </w:r>
      <w:r w:rsidRPr="006436CC">
        <w:t xml:space="preserve">time horizon of 50 years </w:t>
      </w:r>
      <w:r w:rsidR="00233C9D" w:rsidRPr="006436CC">
        <w:t xml:space="preserve">would </w:t>
      </w:r>
      <w:r w:rsidRPr="006436CC">
        <w:t>exceed life expectanc</w:t>
      </w:r>
      <w:r w:rsidR="00F304B8" w:rsidRPr="006436CC">
        <w:t xml:space="preserve">y. While </w:t>
      </w:r>
      <w:r w:rsidR="00125858">
        <w:t>noting</w:t>
      </w:r>
      <w:r w:rsidRPr="006436CC">
        <w:t xml:space="preserve"> that </w:t>
      </w:r>
      <w:r w:rsidR="00F304B8" w:rsidRPr="006436CC">
        <w:t>al</w:t>
      </w:r>
      <w:r w:rsidRPr="006436CC">
        <w:t xml:space="preserve">most </w:t>
      </w:r>
      <w:r w:rsidR="00F304B8" w:rsidRPr="006436CC">
        <w:t xml:space="preserve">all patients aged 60 and over had died by Year 25 in the model, </w:t>
      </w:r>
      <w:r w:rsidR="00233C9D" w:rsidRPr="006436CC">
        <w:t xml:space="preserve">the </w:t>
      </w:r>
      <w:r w:rsidR="00125858">
        <w:t>PBA</w:t>
      </w:r>
      <w:r w:rsidR="00233C9D" w:rsidRPr="006436CC">
        <w:t>C considered that a time horizon of 25 years would have been more clinically plau</w:t>
      </w:r>
      <w:r w:rsidR="006436CC" w:rsidRPr="006436CC">
        <w:t>s</w:t>
      </w:r>
      <w:r w:rsidR="00233C9D" w:rsidRPr="006436CC">
        <w:t xml:space="preserve">ible in this age group. </w:t>
      </w:r>
    </w:p>
    <w:p w:rsidR="00D22344" w:rsidRDefault="00D22344" w:rsidP="00D22344">
      <w:pPr>
        <w:pStyle w:val="ListParagraph"/>
        <w:numPr>
          <w:ilvl w:val="0"/>
          <w:numId w:val="15"/>
        </w:numPr>
        <w:spacing w:before="0" w:after="0"/>
        <w:ind w:left="993" w:hanging="423"/>
        <w:jc w:val="both"/>
      </w:pPr>
      <w:r>
        <w:t>For</w:t>
      </w:r>
      <w:r w:rsidRPr="006436CC">
        <w:t xml:space="preserve"> the group of patients aged less than 60 years, the PBAC considered that a time horizon of 50 years </w:t>
      </w:r>
      <w:r>
        <w:t>was</w:t>
      </w:r>
      <w:r w:rsidRPr="006436CC">
        <w:t xml:space="preserve"> </w:t>
      </w:r>
      <w:r w:rsidR="00B16872">
        <w:t>also optimistic</w:t>
      </w:r>
      <w:r w:rsidR="00D96D21">
        <w:t>.</w:t>
      </w:r>
      <w:r>
        <w:t xml:space="preserve"> </w:t>
      </w:r>
    </w:p>
    <w:p w:rsidR="00D22344" w:rsidRDefault="00063A32" w:rsidP="003D7F7F">
      <w:pPr>
        <w:pStyle w:val="ListParagraph"/>
        <w:numPr>
          <w:ilvl w:val="1"/>
          <w:numId w:val="2"/>
        </w:numPr>
        <w:spacing w:after="120"/>
        <w:ind w:left="578" w:hanging="578"/>
        <w:jc w:val="both"/>
      </w:pPr>
      <w:r>
        <w:t xml:space="preserve">The utility </w:t>
      </w:r>
      <w:r w:rsidRPr="00063A32">
        <w:t xml:space="preserve">values </w:t>
      </w:r>
      <w:r>
        <w:t>used in the economic model are shown in Table 7</w:t>
      </w:r>
      <w:r w:rsidRPr="00063A32">
        <w:t>.</w:t>
      </w:r>
    </w:p>
    <w:p w:rsidR="00063A32" w:rsidRPr="00537203" w:rsidRDefault="00063A32" w:rsidP="00063A32">
      <w:pPr>
        <w:pStyle w:val="TableHeading0"/>
        <w:jc w:val="both"/>
      </w:pPr>
      <w:r w:rsidRPr="00537203">
        <w:t xml:space="preserve">Table </w:t>
      </w:r>
      <w:r>
        <w:t>7</w:t>
      </w:r>
      <w:r w:rsidR="00EC5CD2">
        <w:t>:</w:t>
      </w:r>
      <w:r w:rsidRPr="00537203">
        <w:t xml:space="preserve"> Utility values used in the economic evaluation</w:t>
      </w:r>
      <w:r>
        <w:t xml:space="preserve"> using a s</w:t>
      </w:r>
      <w:r w:rsidRPr="003E5007">
        <w:t>cenario-based method using time-trade off technique with the UK general public’s preferences</w:t>
      </w:r>
      <w:r>
        <w:t xml:space="preserve"> </w:t>
      </w:r>
      <w:r w:rsidR="00075173">
        <w:t>(</w:t>
      </w:r>
      <w:r>
        <w:t>reported by Hensen et al</w:t>
      </w:r>
      <w:r w:rsidR="00075173">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48"/>
        <w:gridCol w:w="1934"/>
      </w:tblGrid>
      <w:tr w:rsidR="00063A32" w:rsidRPr="00537203" w:rsidTr="00063A32">
        <w:trPr>
          <w:trHeight w:val="119"/>
          <w:tblHeader/>
        </w:trPr>
        <w:tc>
          <w:tcPr>
            <w:tcW w:w="3935" w:type="pct"/>
            <w:vAlign w:val="center"/>
          </w:tcPr>
          <w:p w:rsidR="00063A32" w:rsidRPr="00537203" w:rsidRDefault="00063A32" w:rsidP="000F1483">
            <w:pPr>
              <w:pStyle w:val="TableText"/>
            </w:pPr>
            <w:r w:rsidRPr="00537203">
              <w:rPr>
                <w:b/>
              </w:rPr>
              <w:t>Health state or event</w:t>
            </w:r>
          </w:p>
        </w:tc>
        <w:tc>
          <w:tcPr>
            <w:tcW w:w="1065" w:type="pct"/>
            <w:vAlign w:val="center"/>
          </w:tcPr>
          <w:p w:rsidR="00063A32" w:rsidRPr="00537203" w:rsidRDefault="00063A32" w:rsidP="000F1483">
            <w:pPr>
              <w:pStyle w:val="TableText"/>
              <w:jc w:val="center"/>
            </w:pPr>
            <w:r w:rsidRPr="00537203">
              <w:rPr>
                <w:b/>
              </w:rPr>
              <w:t>Mean utility</w:t>
            </w:r>
          </w:p>
        </w:tc>
      </w:tr>
      <w:tr w:rsidR="00063A32" w:rsidRPr="00537203" w:rsidTr="00063A32">
        <w:tc>
          <w:tcPr>
            <w:tcW w:w="3935" w:type="pct"/>
            <w:vAlign w:val="center"/>
          </w:tcPr>
          <w:p w:rsidR="00063A32" w:rsidRPr="00537203" w:rsidRDefault="00063A32" w:rsidP="000F1483">
            <w:pPr>
              <w:pStyle w:val="TableText"/>
            </w:pPr>
            <w:r w:rsidRPr="00537203">
              <w:rPr>
                <w:rFonts w:cs="Calibri"/>
              </w:rPr>
              <w:t>Induction health state</w:t>
            </w:r>
          </w:p>
        </w:tc>
        <w:tc>
          <w:tcPr>
            <w:tcW w:w="1065" w:type="pct"/>
            <w:vAlign w:val="center"/>
          </w:tcPr>
          <w:p w:rsidR="00063A32" w:rsidRPr="00537203" w:rsidRDefault="00063A32" w:rsidP="000F1483">
            <w:pPr>
              <w:pStyle w:val="TableText"/>
              <w:jc w:val="center"/>
            </w:pPr>
            <w:r w:rsidRPr="00537203">
              <w:rPr>
                <w:rFonts w:cs="Calibri"/>
              </w:rPr>
              <w:t>0.16</w:t>
            </w:r>
          </w:p>
        </w:tc>
      </w:tr>
      <w:tr w:rsidR="00063A32" w:rsidRPr="00537203" w:rsidTr="00063A32">
        <w:tc>
          <w:tcPr>
            <w:tcW w:w="3935" w:type="pct"/>
            <w:vAlign w:val="center"/>
          </w:tcPr>
          <w:p w:rsidR="00063A32" w:rsidRPr="00537203" w:rsidRDefault="00063A32" w:rsidP="000F1483">
            <w:pPr>
              <w:pStyle w:val="TableText"/>
            </w:pPr>
            <w:r w:rsidRPr="00537203">
              <w:rPr>
                <w:rFonts w:cs="Calibri"/>
              </w:rPr>
              <w:t>Consolidation health states</w:t>
            </w:r>
          </w:p>
        </w:tc>
        <w:tc>
          <w:tcPr>
            <w:tcW w:w="1065" w:type="pct"/>
            <w:vAlign w:val="center"/>
          </w:tcPr>
          <w:p w:rsidR="00063A32" w:rsidRPr="00537203" w:rsidRDefault="00063A32" w:rsidP="000F1483">
            <w:pPr>
              <w:pStyle w:val="TableText"/>
              <w:jc w:val="center"/>
            </w:pPr>
            <w:r w:rsidRPr="00537203">
              <w:rPr>
                <w:rFonts w:cs="Calibri"/>
              </w:rPr>
              <w:t>0.57</w:t>
            </w:r>
          </w:p>
        </w:tc>
      </w:tr>
      <w:tr w:rsidR="00063A32" w:rsidRPr="00537203" w:rsidTr="00063A32">
        <w:tc>
          <w:tcPr>
            <w:tcW w:w="3935" w:type="pct"/>
            <w:vAlign w:val="center"/>
          </w:tcPr>
          <w:p w:rsidR="00063A32" w:rsidRPr="00537203" w:rsidRDefault="00063A32" w:rsidP="000F1483">
            <w:pPr>
              <w:pStyle w:val="TableText"/>
            </w:pPr>
            <w:r w:rsidRPr="00537203">
              <w:rPr>
                <w:rFonts w:cs="Calibri"/>
              </w:rPr>
              <w:t>Maintenance health states</w:t>
            </w:r>
          </w:p>
        </w:tc>
        <w:tc>
          <w:tcPr>
            <w:tcW w:w="1065" w:type="pct"/>
            <w:vAlign w:val="center"/>
          </w:tcPr>
          <w:p w:rsidR="00063A32" w:rsidRPr="007F271D" w:rsidRDefault="007F271D" w:rsidP="000F1483">
            <w:pPr>
              <w:pStyle w:val="TableText"/>
              <w:jc w:val="center"/>
              <w:rPr>
                <w:highlight w:val="black"/>
              </w:rPr>
            </w:pPr>
            <w:r>
              <w:rPr>
                <w:rFonts w:cs="Calibri"/>
                <w:noProof/>
                <w:color w:val="000000"/>
                <w:highlight w:val="black"/>
              </w:rPr>
              <w:t>''''''''''</w:t>
            </w:r>
          </w:p>
        </w:tc>
      </w:tr>
      <w:tr w:rsidR="00063A32" w:rsidRPr="00537203" w:rsidTr="00063A32">
        <w:tc>
          <w:tcPr>
            <w:tcW w:w="3935" w:type="pct"/>
            <w:vAlign w:val="center"/>
          </w:tcPr>
          <w:p w:rsidR="00063A32" w:rsidRPr="00537203" w:rsidRDefault="00063A32" w:rsidP="000F1483">
            <w:pPr>
              <w:pStyle w:val="TableText"/>
              <w:rPr>
                <w:rFonts w:cs="Calibri"/>
              </w:rPr>
            </w:pPr>
            <w:r w:rsidRPr="00537203">
              <w:rPr>
                <w:rFonts w:cs="Calibri"/>
              </w:rPr>
              <w:t>In remission but not on treatment health states</w:t>
            </w:r>
          </w:p>
        </w:tc>
        <w:tc>
          <w:tcPr>
            <w:tcW w:w="1065" w:type="pct"/>
            <w:vAlign w:val="center"/>
          </w:tcPr>
          <w:p w:rsidR="00063A32" w:rsidRPr="007F271D" w:rsidRDefault="007F271D" w:rsidP="000F1483">
            <w:pPr>
              <w:pStyle w:val="TableText"/>
              <w:jc w:val="center"/>
              <w:rPr>
                <w:highlight w:val="black"/>
              </w:rPr>
            </w:pPr>
            <w:r>
              <w:rPr>
                <w:rFonts w:cs="Calibri"/>
                <w:noProof/>
                <w:color w:val="000000"/>
                <w:highlight w:val="black"/>
              </w:rPr>
              <w:t>'''''''''''</w:t>
            </w:r>
          </w:p>
        </w:tc>
      </w:tr>
      <w:tr w:rsidR="00063A32" w:rsidRPr="00537203" w:rsidTr="00063A32">
        <w:tc>
          <w:tcPr>
            <w:tcW w:w="3935" w:type="pct"/>
            <w:vAlign w:val="center"/>
          </w:tcPr>
          <w:p w:rsidR="00063A32" w:rsidRPr="00537203" w:rsidRDefault="00063A32" w:rsidP="00075173">
            <w:pPr>
              <w:pStyle w:val="TableText"/>
              <w:rPr>
                <w:rFonts w:cs="Calibri"/>
              </w:rPr>
            </w:pPr>
            <w:r w:rsidRPr="00537203">
              <w:rPr>
                <w:rFonts w:cs="Calibri"/>
              </w:rPr>
              <w:t>Post-SCT health states</w:t>
            </w:r>
            <w:r w:rsidR="00075173">
              <w:rPr>
                <w:rFonts w:cs="Calibri"/>
              </w:rPr>
              <w:t>:</w:t>
            </w:r>
            <w:r w:rsidRPr="00537203">
              <w:rPr>
                <w:rFonts w:cs="Calibri"/>
              </w:rPr>
              <w:t xml:space="preserve"> 1</w:t>
            </w:r>
            <w:r w:rsidRPr="00537203">
              <w:rPr>
                <w:rFonts w:cs="Calibri"/>
                <w:vertAlign w:val="superscript"/>
              </w:rPr>
              <w:t>st</w:t>
            </w:r>
            <w:r w:rsidRPr="00537203">
              <w:rPr>
                <w:rFonts w:cs="Calibri"/>
              </w:rPr>
              <w:t xml:space="preserve"> year</w:t>
            </w:r>
          </w:p>
        </w:tc>
        <w:tc>
          <w:tcPr>
            <w:tcW w:w="1065" w:type="pct"/>
            <w:vAlign w:val="center"/>
          </w:tcPr>
          <w:p w:rsidR="00063A32" w:rsidRPr="007F271D" w:rsidRDefault="007F271D" w:rsidP="000F1483">
            <w:pPr>
              <w:pStyle w:val="TableText"/>
              <w:jc w:val="center"/>
              <w:rPr>
                <w:highlight w:val="black"/>
              </w:rPr>
            </w:pPr>
            <w:r>
              <w:rPr>
                <w:rFonts w:cs="Calibri"/>
                <w:noProof/>
                <w:color w:val="000000"/>
                <w:highlight w:val="black"/>
              </w:rPr>
              <w:t>'''''''''''</w:t>
            </w:r>
          </w:p>
        </w:tc>
      </w:tr>
      <w:tr w:rsidR="00063A32" w:rsidRPr="00537203" w:rsidTr="00063A32">
        <w:trPr>
          <w:trHeight w:val="70"/>
        </w:trPr>
        <w:tc>
          <w:tcPr>
            <w:tcW w:w="3935" w:type="pct"/>
            <w:vAlign w:val="center"/>
          </w:tcPr>
          <w:p w:rsidR="00063A32" w:rsidRPr="00537203" w:rsidRDefault="00063A32" w:rsidP="00075173">
            <w:pPr>
              <w:pStyle w:val="TableText"/>
              <w:rPr>
                <w:rFonts w:cs="Calibri"/>
              </w:rPr>
            </w:pPr>
            <w:r w:rsidRPr="00537203">
              <w:rPr>
                <w:rFonts w:cs="Calibri"/>
              </w:rPr>
              <w:t>Post-SCT health states</w:t>
            </w:r>
            <w:r w:rsidR="00075173">
              <w:rPr>
                <w:rFonts w:cs="Calibri"/>
              </w:rPr>
              <w:t>:</w:t>
            </w:r>
            <w:r w:rsidRPr="00537203">
              <w:rPr>
                <w:rFonts w:cs="Calibri"/>
              </w:rPr>
              <w:t xml:space="preserve"> beyond 1</w:t>
            </w:r>
            <w:r w:rsidRPr="00537203">
              <w:rPr>
                <w:rFonts w:cs="Calibri"/>
                <w:vertAlign w:val="superscript"/>
              </w:rPr>
              <w:t>st</w:t>
            </w:r>
            <w:r w:rsidRPr="00537203">
              <w:rPr>
                <w:rFonts w:cs="Calibri"/>
              </w:rPr>
              <w:t xml:space="preserve"> year</w:t>
            </w:r>
          </w:p>
        </w:tc>
        <w:tc>
          <w:tcPr>
            <w:tcW w:w="1065" w:type="pct"/>
            <w:vAlign w:val="center"/>
          </w:tcPr>
          <w:p w:rsidR="00063A32" w:rsidRPr="007F271D" w:rsidRDefault="007F271D" w:rsidP="00063A32">
            <w:pPr>
              <w:pStyle w:val="TableText"/>
              <w:jc w:val="center"/>
              <w:rPr>
                <w:highlight w:val="black"/>
                <w:vertAlign w:val="superscript"/>
              </w:rPr>
            </w:pPr>
            <w:r>
              <w:rPr>
                <w:rFonts w:cs="Calibri"/>
                <w:noProof/>
                <w:color w:val="000000"/>
                <w:highlight w:val="black"/>
              </w:rPr>
              <w:t>''''''''''''</w:t>
            </w:r>
          </w:p>
        </w:tc>
      </w:tr>
      <w:tr w:rsidR="00063A32" w:rsidRPr="00537203" w:rsidTr="00063A32">
        <w:tc>
          <w:tcPr>
            <w:tcW w:w="3935" w:type="pct"/>
            <w:tcBorders>
              <w:bottom w:val="single" w:sz="4" w:space="0" w:color="auto"/>
            </w:tcBorders>
            <w:vAlign w:val="center"/>
          </w:tcPr>
          <w:p w:rsidR="00063A32" w:rsidRPr="00537203" w:rsidRDefault="00063A32" w:rsidP="000F1483">
            <w:pPr>
              <w:pStyle w:val="TableText"/>
              <w:rPr>
                <w:rFonts w:cs="Calibri"/>
              </w:rPr>
            </w:pPr>
            <w:r w:rsidRPr="00537203">
              <w:rPr>
                <w:rFonts w:cs="Calibri"/>
              </w:rPr>
              <w:t>Relapsed or refractory disease health state</w:t>
            </w:r>
          </w:p>
        </w:tc>
        <w:tc>
          <w:tcPr>
            <w:tcW w:w="1065" w:type="pct"/>
            <w:tcBorders>
              <w:bottom w:val="single" w:sz="4" w:space="0" w:color="auto"/>
            </w:tcBorders>
            <w:vAlign w:val="center"/>
          </w:tcPr>
          <w:p w:rsidR="00063A32" w:rsidRPr="00537203" w:rsidRDefault="00063A32" w:rsidP="000F1483">
            <w:pPr>
              <w:pStyle w:val="TableText"/>
              <w:jc w:val="center"/>
            </w:pPr>
            <w:r w:rsidRPr="00537203">
              <w:rPr>
                <w:rFonts w:cs="Calibri"/>
              </w:rPr>
              <w:t>0.51</w:t>
            </w:r>
          </w:p>
        </w:tc>
      </w:tr>
      <w:tr w:rsidR="00063A32" w:rsidRPr="00537203" w:rsidTr="00063A32">
        <w:tc>
          <w:tcPr>
            <w:tcW w:w="3935" w:type="pct"/>
            <w:tcBorders>
              <w:bottom w:val="single" w:sz="4" w:space="0" w:color="auto"/>
            </w:tcBorders>
            <w:vAlign w:val="center"/>
          </w:tcPr>
          <w:p w:rsidR="00063A32" w:rsidRPr="00537203" w:rsidRDefault="00063A32" w:rsidP="000F1483">
            <w:pPr>
              <w:pStyle w:val="TableText"/>
              <w:rPr>
                <w:rFonts w:cs="Calibri"/>
              </w:rPr>
            </w:pPr>
            <w:r w:rsidRPr="00537203">
              <w:rPr>
                <w:rFonts w:cs="Calibri"/>
              </w:rPr>
              <w:t>Disutility for additional AEs observed in the midostaurin-treated patients in RATIFY</w:t>
            </w:r>
          </w:p>
        </w:tc>
        <w:tc>
          <w:tcPr>
            <w:tcW w:w="1065" w:type="pct"/>
            <w:tcBorders>
              <w:bottom w:val="single" w:sz="4" w:space="0" w:color="auto"/>
            </w:tcBorders>
            <w:vAlign w:val="center"/>
          </w:tcPr>
          <w:p w:rsidR="00063A32" w:rsidRPr="007F271D" w:rsidRDefault="007F271D" w:rsidP="000F1483">
            <w:pPr>
              <w:pStyle w:val="TableText"/>
              <w:jc w:val="center"/>
              <w:rPr>
                <w:highlight w:val="black"/>
              </w:rPr>
            </w:pPr>
            <w:r>
              <w:rPr>
                <w:rFonts w:cs="Calibri"/>
                <w:noProof/>
                <w:color w:val="000000"/>
                <w:highlight w:val="black"/>
              </w:rPr>
              <w:t>''''''''''''</w:t>
            </w:r>
          </w:p>
        </w:tc>
      </w:tr>
    </w:tbl>
    <w:p w:rsidR="00063A32" w:rsidRDefault="00063A32" w:rsidP="00063A32">
      <w:pPr>
        <w:pStyle w:val="TableFooter"/>
      </w:pPr>
      <w:r w:rsidRPr="00537203">
        <w:t>Source</w:t>
      </w:r>
      <w:r w:rsidR="007F271D">
        <w:rPr>
          <w:noProof/>
          <w:color w:val="000000"/>
          <w:highlight w:val="black"/>
        </w:rPr>
        <w:t>'' '''''''''''''''''''''''''''''''''''''''''''''''''''''''''''''''''''''</w:t>
      </w:r>
    </w:p>
    <w:p w:rsidR="00075173" w:rsidRPr="00537203" w:rsidRDefault="00075173" w:rsidP="00063A32">
      <w:pPr>
        <w:pStyle w:val="TableFooter"/>
      </w:pPr>
      <w:r>
        <w:t>AE = adverse event; SCT = stem cell transplant</w:t>
      </w:r>
    </w:p>
    <w:p w:rsidR="00063A32" w:rsidRPr="00537203" w:rsidRDefault="00063A32" w:rsidP="00063A32">
      <w:pPr>
        <w:pStyle w:val="TableFooter"/>
        <w:tabs>
          <w:tab w:val="left" w:pos="284"/>
        </w:tabs>
        <w:ind w:left="284" w:hanging="284"/>
      </w:pPr>
      <w:r>
        <w:rPr>
          <w:vertAlign w:val="superscript"/>
        </w:rPr>
        <w:t>a</w:t>
      </w:r>
      <w:r>
        <w:rPr>
          <w:vertAlign w:val="superscript"/>
        </w:rPr>
        <w:tab/>
      </w:r>
      <w:r w:rsidR="00570096" w:rsidRPr="00570096">
        <w:t>U</w:t>
      </w:r>
      <w:r w:rsidRPr="00537203">
        <w:t>tility value is assumed by the submission to represent a proportion of patients who had no SCT complications and were living in a post-SCT health state after 1 year (</w:t>
      </w:r>
      <w:r w:rsidR="007F271D">
        <w:rPr>
          <w:noProof/>
          <w:color w:val="000000"/>
          <w:highlight w:val="black"/>
        </w:rPr>
        <w:t>''''''''''' '''' '''''''''''' ''''' '''''''''</w:t>
      </w:r>
      <w:r w:rsidRPr="00537203">
        <w:t>) and a proportion of patients who suffered from graft-versus host disease after their SCT and were living in a post-SCT health state after 1 year (</w:t>
      </w:r>
      <w:r w:rsidR="007F271D">
        <w:rPr>
          <w:noProof/>
          <w:color w:val="000000"/>
          <w:highlight w:val="black"/>
        </w:rPr>
        <w:t>'''''''''' ''' ''''''''''' '''' '''''''''''</w:t>
      </w:r>
      <w:r w:rsidRPr="00537203">
        <w:t>)</w:t>
      </w:r>
      <w:r>
        <w:t>.</w:t>
      </w:r>
    </w:p>
    <w:p w:rsidR="00D22344" w:rsidRDefault="00075173" w:rsidP="000F1483">
      <w:pPr>
        <w:pStyle w:val="ListParagraph"/>
        <w:numPr>
          <w:ilvl w:val="1"/>
          <w:numId w:val="2"/>
        </w:numPr>
        <w:spacing w:before="0" w:after="120"/>
        <w:ind w:left="578" w:hanging="578"/>
        <w:jc w:val="both"/>
      </w:pPr>
      <w:r>
        <w:t xml:space="preserve">The PBAC considered that </w:t>
      </w:r>
      <w:r w:rsidR="00F56DBA">
        <w:t xml:space="preserve">the </w:t>
      </w:r>
      <w:r>
        <w:t xml:space="preserve">utilities were implausibly high in </w:t>
      </w:r>
      <w:r w:rsidR="00F56DBA">
        <w:t xml:space="preserve">the maintenance health state and </w:t>
      </w:r>
      <w:r>
        <w:t xml:space="preserve">the two post-SCT health states (i.e. </w:t>
      </w:r>
      <w:r w:rsidR="00D346AC">
        <w:t xml:space="preserve">post-SCT </w:t>
      </w:r>
      <w:r>
        <w:t xml:space="preserve">first year and beyond the first year). The post-SCT health state beyond the first year </w:t>
      </w:r>
      <w:r w:rsidRPr="00075173">
        <w:t>represent</w:t>
      </w:r>
      <w:r>
        <w:t>ed</w:t>
      </w:r>
      <w:r w:rsidRPr="00075173">
        <w:t xml:space="preserve"> a proportion of patients </w:t>
      </w:r>
      <w:r>
        <w:t>without</w:t>
      </w:r>
      <w:r w:rsidRPr="00075173">
        <w:t xml:space="preserve"> complications </w:t>
      </w:r>
      <w:r w:rsidR="007F271D">
        <w:rPr>
          <w:noProof/>
          <w:color w:val="000000"/>
          <w:highlight w:val="black"/>
        </w:rPr>
        <w:t>'''''''''''' ''''' ''''''''''</w:t>
      </w:r>
      <w:r w:rsidRPr="00075173">
        <w:t xml:space="preserve"> and a proportion </w:t>
      </w:r>
      <w:r>
        <w:t>with</w:t>
      </w:r>
      <w:r w:rsidRPr="00075173">
        <w:t xml:space="preserve"> graft-versus host disease </w:t>
      </w:r>
      <w:r w:rsidR="007F271D">
        <w:rPr>
          <w:noProof/>
          <w:color w:val="000000"/>
          <w:highlight w:val="black"/>
        </w:rPr>
        <w:t>'''''''''''' '''' '''''''''</w:t>
      </w:r>
      <w:r w:rsidRPr="00075173">
        <w:t>.</w:t>
      </w:r>
      <w:r>
        <w:t xml:space="preserve"> </w:t>
      </w:r>
      <w:r w:rsidR="00D346AC" w:rsidRPr="00D346AC">
        <w:t xml:space="preserve">The utility applied </w:t>
      </w:r>
      <w:r w:rsidR="007F271D">
        <w:rPr>
          <w:noProof/>
          <w:color w:val="000000"/>
          <w:highlight w:val="black"/>
        </w:rPr>
        <w:t>'''''''''''</w:t>
      </w:r>
      <w:r w:rsidR="00D346AC">
        <w:t xml:space="preserve"> </w:t>
      </w:r>
      <w:r w:rsidR="00D346AC" w:rsidRPr="00D346AC">
        <w:t>assume</w:t>
      </w:r>
      <w:r w:rsidR="00D346AC">
        <w:t>d</w:t>
      </w:r>
      <w:r w:rsidR="00D346AC" w:rsidRPr="00D346AC">
        <w:t xml:space="preserve"> </w:t>
      </w:r>
      <w:r w:rsidR="00F56DBA">
        <w:t>that only</w:t>
      </w:r>
      <w:r w:rsidR="00D346AC" w:rsidRPr="00D346AC">
        <w:t xml:space="preserve"> </w:t>
      </w:r>
      <w:r w:rsidR="007F271D">
        <w:rPr>
          <w:noProof/>
          <w:color w:val="000000"/>
          <w:highlight w:val="black"/>
        </w:rPr>
        <w:t>'''''</w:t>
      </w:r>
      <w:r w:rsidR="00D346AC" w:rsidRPr="00D346AC">
        <w:t>% of patients experienc</w:t>
      </w:r>
      <w:r w:rsidR="00D346AC">
        <w:t>e</w:t>
      </w:r>
      <w:r w:rsidR="00D346AC" w:rsidRPr="00D346AC">
        <w:t xml:space="preserve"> </w:t>
      </w:r>
      <w:r w:rsidR="00D346AC" w:rsidRPr="00075173">
        <w:t>graft-versus host disease</w:t>
      </w:r>
      <w:r w:rsidR="00D346AC">
        <w:t xml:space="preserve">, however the PBAC considered the incidence would be higher. Further, the PBAC considered the utility value used for patients without </w:t>
      </w:r>
      <w:r w:rsidR="004C05BF" w:rsidRPr="00075173">
        <w:t>graft-versus host disease</w:t>
      </w:r>
      <w:r w:rsidR="00D346AC">
        <w:t xml:space="preserve"> </w:t>
      </w:r>
      <w:r w:rsidR="007F271D">
        <w:rPr>
          <w:noProof/>
          <w:color w:val="000000"/>
          <w:highlight w:val="black"/>
        </w:rPr>
        <w:t>''''''''''''</w:t>
      </w:r>
      <w:r w:rsidR="00D346AC">
        <w:t xml:space="preserve"> </w:t>
      </w:r>
      <w:r w:rsidR="002249DA">
        <w:t xml:space="preserve">was over-estimated as it </w:t>
      </w:r>
      <w:r w:rsidR="004C05BF">
        <w:t>implied</w:t>
      </w:r>
      <w:r w:rsidR="002249DA">
        <w:t xml:space="preserve"> that patients would return to </w:t>
      </w:r>
      <w:r w:rsidR="004C05BF">
        <w:t xml:space="preserve">almost </w:t>
      </w:r>
      <w:r w:rsidR="002249DA">
        <w:t>full health one year post-transplant</w:t>
      </w:r>
      <w:r w:rsidR="004C05BF">
        <w:t>, which did not seem clinically reasonable</w:t>
      </w:r>
      <w:r w:rsidR="002249DA">
        <w:t xml:space="preserve">. </w:t>
      </w:r>
      <w:r w:rsidR="004C05BF">
        <w:t>Overall, the utility applied in the post-SCT health state beyond the first year</w:t>
      </w:r>
      <w:r w:rsidR="002249DA">
        <w:t xml:space="preserve"> </w:t>
      </w:r>
      <w:r w:rsidR="007F271D">
        <w:rPr>
          <w:noProof/>
          <w:color w:val="000000"/>
          <w:highlight w:val="black"/>
        </w:rPr>
        <w:t>'''''''''''</w:t>
      </w:r>
      <w:r w:rsidR="004C05BF">
        <w:t xml:space="preserve"> </w:t>
      </w:r>
      <w:r w:rsidR="002249DA">
        <w:t xml:space="preserve">did not seem </w:t>
      </w:r>
      <w:r w:rsidR="004C05BF">
        <w:t>plausible</w:t>
      </w:r>
      <w:r w:rsidR="002249DA">
        <w:t xml:space="preserve"> </w:t>
      </w:r>
      <w:r w:rsidR="00D346AC">
        <w:t xml:space="preserve">when compared with the utility applied in the maintenance health state </w:t>
      </w:r>
      <w:r w:rsidR="007F271D">
        <w:rPr>
          <w:noProof/>
          <w:color w:val="000000"/>
          <w:highlight w:val="black"/>
        </w:rPr>
        <w:t>'''''''''''</w:t>
      </w:r>
      <w:r w:rsidR="00D346AC">
        <w:t xml:space="preserve">. </w:t>
      </w:r>
      <w:r w:rsidR="00D346AC" w:rsidRPr="00D346AC">
        <w:t>Sensitivity analyses conducted during the evaluation demonstrat</w:t>
      </w:r>
      <w:r w:rsidR="002249DA">
        <w:t>e</w:t>
      </w:r>
      <w:r w:rsidR="00D346AC">
        <w:t>d</w:t>
      </w:r>
      <w:r w:rsidR="00D346AC" w:rsidRPr="00D346AC">
        <w:t xml:space="preserve"> that the ICER </w:t>
      </w:r>
      <w:r w:rsidR="00D346AC">
        <w:t>wa</w:t>
      </w:r>
      <w:r w:rsidR="00D346AC" w:rsidRPr="00D346AC">
        <w:t>s highly sensitive to the</w:t>
      </w:r>
      <w:r w:rsidR="00D346AC">
        <w:t>se</w:t>
      </w:r>
      <w:r w:rsidR="00D346AC" w:rsidRPr="00D346AC">
        <w:t xml:space="preserve"> utility values</w:t>
      </w:r>
      <w:r w:rsidR="00D346AC">
        <w:t>.</w:t>
      </w:r>
      <w:r w:rsidR="008F1A1F">
        <w:t xml:space="preserve"> </w:t>
      </w:r>
      <w:r w:rsidR="008F1A1F">
        <w:lastRenderedPageBreak/>
        <w:t>The PBAC noted alternative published utility values</w:t>
      </w:r>
      <w:r w:rsidR="005408EE">
        <w:rPr>
          <w:rStyle w:val="FootnoteReference"/>
        </w:rPr>
        <w:footnoteReference w:id="6"/>
      </w:r>
      <w:r w:rsidR="009218E4">
        <w:t xml:space="preserve"> </w:t>
      </w:r>
      <w:r w:rsidR="008F1A1F">
        <w:t>and considered the values used in the submission were not adequately justified.</w:t>
      </w:r>
    </w:p>
    <w:p w:rsidR="00E37424" w:rsidRPr="006436CC" w:rsidRDefault="00F81870" w:rsidP="00EC5CD2">
      <w:pPr>
        <w:pStyle w:val="ListParagraph"/>
        <w:numPr>
          <w:ilvl w:val="1"/>
          <w:numId w:val="2"/>
        </w:numPr>
        <w:spacing w:before="0" w:after="120"/>
        <w:ind w:left="578" w:hanging="578"/>
        <w:jc w:val="both"/>
      </w:pPr>
      <w:r>
        <w:t xml:space="preserve">The </w:t>
      </w:r>
      <w:r w:rsidR="00CD14BA">
        <w:t>model</w:t>
      </w:r>
      <w:r>
        <w:t xml:space="preserve"> assumed that </w:t>
      </w:r>
      <w:r w:rsidR="007F271D">
        <w:rPr>
          <w:noProof/>
          <w:color w:val="000000"/>
          <w:highlight w:val="black"/>
        </w:rPr>
        <w:t>''''''' '''''</w:t>
      </w:r>
      <w:r w:rsidRPr="00F81870">
        <w:t xml:space="preserve">% of patients </w:t>
      </w:r>
      <w:r w:rsidR="00F56DBA">
        <w:t xml:space="preserve">would </w:t>
      </w:r>
      <w:r w:rsidRPr="00F81870">
        <w:t>receive consolidation treatment as an inpatient.</w:t>
      </w:r>
      <w:r w:rsidR="00CD14BA">
        <w:t xml:space="preserve"> The PBAC considered that</w:t>
      </w:r>
      <w:r w:rsidR="00CE5ED2">
        <w:t xml:space="preserve"> </w:t>
      </w:r>
      <w:r w:rsidR="00CD14BA">
        <w:t xml:space="preserve">a </w:t>
      </w:r>
      <w:r w:rsidR="00CE5ED2">
        <w:t xml:space="preserve">significantly </w:t>
      </w:r>
      <w:r w:rsidR="00CD14BA">
        <w:t>higher proportion of patients were likely to receive consolid</w:t>
      </w:r>
      <w:r w:rsidR="00CE5ED2">
        <w:t xml:space="preserve">ation </w:t>
      </w:r>
      <w:r w:rsidR="0091168C">
        <w:t>treatment</w:t>
      </w:r>
      <w:r w:rsidR="00F56DBA">
        <w:t xml:space="preserve"> </w:t>
      </w:r>
      <w:r w:rsidR="00CE5ED2">
        <w:t>as an inpatient</w:t>
      </w:r>
      <w:r w:rsidR="00CE5ED2" w:rsidRPr="00CE5ED2">
        <w:t xml:space="preserve"> </w:t>
      </w:r>
      <w:r w:rsidR="00CE5ED2">
        <w:t>(closer to 80</w:t>
      </w:r>
      <w:r w:rsidR="001E3645">
        <w:t>-90%</w:t>
      </w:r>
      <w:r w:rsidR="00CE5ED2">
        <w:t xml:space="preserve">), for example as a consequence of being admitted for fever, infection or other complications. </w:t>
      </w:r>
      <w:r w:rsidR="00D16165">
        <w:t xml:space="preserve">However, the PBAC noted that this </w:t>
      </w:r>
      <w:r w:rsidR="00856B05">
        <w:t xml:space="preserve">assumption had only a minor impact on the </w:t>
      </w:r>
      <w:r w:rsidR="00D16165">
        <w:t>ICER</w:t>
      </w:r>
      <w:r w:rsidR="00856B05">
        <w:t xml:space="preserve">. </w:t>
      </w:r>
      <w:r w:rsidR="00D2080C" w:rsidRPr="006436CC">
        <w:t xml:space="preserve">Table </w:t>
      </w:r>
      <w:r w:rsidR="00063A32">
        <w:t>8</w:t>
      </w:r>
      <w:r w:rsidR="00063A32" w:rsidRPr="006436CC">
        <w:t xml:space="preserve"> </w:t>
      </w:r>
      <w:r w:rsidR="00D2080C" w:rsidRPr="006436CC">
        <w:t>summarises the key drivers of the model.</w:t>
      </w:r>
    </w:p>
    <w:p w:rsidR="00E37424" w:rsidRPr="00F30E35" w:rsidRDefault="00E37424" w:rsidP="00D1078F">
      <w:pPr>
        <w:pStyle w:val="TableHeading0"/>
      </w:pPr>
      <w:r w:rsidRPr="00F30E35">
        <w:t xml:space="preserve">Table </w:t>
      </w:r>
      <w:r w:rsidR="00063A32">
        <w:t>8</w:t>
      </w:r>
      <w:r w:rsidRPr="00F30E35">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0"/>
        <w:gridCol w:w="3715"/>
        <w:gridCol w:w="3517"/>
      </w:tblGrid>
      <w:tr w:rsidR="00E37424" w:rsidRPr="00F30E35" w:rsidTr="003B37A4">
        <w:trPr>
          <w:tblHeader/>
        </w:trPr>
        <w:tc>
          <w:tcPr>
            <w:tcW w:w="1018" w:type="pct"/>
            <w:shd w:val="clear" w:color="auto" w:fill="auto"/>
            <w:vAlign w:val="center"/>
          </w:tcPr>
          <w:p w:rsidR="00E37424" w:rsidRPr="00F30E35" w:rsidRDefault="00E37424" w:rsidP="00D1078F">
            <w:pPr>
              <w:pStyle w:val="TableText"/>
              <w:rPr>
                <w:b/>
              </w:rPr>
            </w:pPr>
            <w:r w:rsidRPr="00F30E35">
              <w:rPr>
                <w:b/>
              </w:rPr>
              <w:t>Description</w:t>
            </w:r>
          </w:p>
        </w:tc>
        <w:tc>
          <w:tcPr>
            <w:tcW w:w="2045" w:type="pct"/>
            <w:shd w:val="clear" w:color="auto" w:fill="auto"/>
            <w:vAlign w:val="center"/>
          </w:tcPr>
          <w:p w:rsidR="00E37424" w:rsidRPr="00F30E35" w:rsidRDefault="00E37424" w:rsidP="00712667">
            <w:pPr>
              <w:pStyle w:val="TableText"/>
              <w:jc w:val="center"/>
              <w:rPr>
                <w:b/>
              </w:rPr>
            </w:pPr>
            <w:r w:rsidRPr="00F30E35">
              <w:rPr>
                <w:b/>
              </w:rPr>
              <w:t>Method/Value</w:t>
            </w:r>
          </w:p>
        </w:tc>
        <w:tc>
          <w:tcPr>
            <w:tcW w:w="1936" w:type="pct"/>
            <w:shd w:val="clear" w:color="auto" w:fill="auto"/>
            <w:vAlign w:val="center"/>
          </w:tcPr>
          <w:p w:rsidR="00E37424" w:rsidRPr="00F30E35" w:rsidRDefault="00E37424" w:rsidP="00712667">
            <w:pPr>
              <w:pStyle w:val="TableText"/>
              <w:jc w:val="center"/>
              <w:rPr>
                <w:b/>
              </w:rPr>
            </w:pPr>
            <w:r w:rsidRPr="00F30E35">
              <w:rPr>
                <w:b/>
              </w:rPr>
              <w:t>Impact</w:t>
            </w:r>
          </w:p>
        </w:tc>
      </w:tr>
      <w:tr w:rsidR="00200296" w:rsidRPr="00F30E35" w:rsidTr="003B37A4">
        <w:tc>
          <w:tcPr>
            <w:tcW w:w="1018" w:type="pct"/>
            <w:shd w:val="clear" w:color="auto" w:fill="auto"/>
            <w:vAlign w:val="center"/>
          </w:tcPr>
          <w:p w:rsidR="00200296" w:rsidRPr="00F30E35" w:rsidRDefault="00200296" w:rsidP="00D1078F">
            <w:pPr>
              <w:pStyle w:val="TableText"/>
            </w:pPr>
            <w:r w:rsidRPr="00F30E35">
              <w:t>Utilities</w:t>
            </w:r>
          </w:p>
        </w:tc>
        <w:tc>
          <w:tcPr>
            <w:tcW w:w="2045" w:type="pct"/>
            <w:shd w:val="clear" w:color="auto" w:fill="auto"/>
            <w:vAlign w:val="center"/>
          </w:tcPr>
          <w:p w:rsidR="00200296" w:rsidRPr="00F30E35" w:rsidRDefault="00D2080C" w:rsidP="002D6614">
            <w:pPr>
              <w:pStyle w:val="TableText"/>
              <w:jc w:val="both"/>
            </w:pPr>
            <w:r w:rsidRPr="00F30E35">
              <w:t xml:space="preserve">Utility values for </w:t>
            </w:r>
            <w:r w:rsidR="008A6222" w:rsidRPr="00F30E35">
              <w:t xml:space="preserve">maintenance, remission and </w:t>
            </w:r>
            <w:r w:rsidRPr="00F30E35">
              <w:t xml:space="preserve">post-SCT health states </w:t>
            </w:r>
            <w:r w:rsidR="002D6614" w:rsidRPr="00F30E35">
              <w:t>were</w:t>
            </w:r>
            <w:r w:rsidR="00683373" w:rsidRPr="00F30E35">
              <w:t xml:space="preserve"> consistent with general population norms which </w:t>
            </w:r>
            <w:r w:rsidRPr="00F30E35">
              <w:t xml:space="preserve">may </w:t>
            </w:r>
            <w:r w:rsidR="008A6222" w:rsidRPr="00F30E35">
              <w:t xml:space="preserve">not </w:t>
            </w:r>
            <w:r w:rsidR="00683373" w:rsidRPr="00F30E35">
              <w:t>reflect the course of AML.</w:t>
            </w:r>
          </w:p>
        </w:tc>
        <w:tc>
          <w:tcPr>
            <w:tcW w:w="1936" w:type="pct"/>
            <w:shd w:val="clear" w:color="auto" w:fill="auto"/>
            <w:vAlign w:val="center"/>
          </w:tcPr>
          <w:p w:rsidR="00200296" w:rsidRPr="00F30E35" w:rsidRDefault="00200296" w:rsidP="00903F9D">
            <w:pPr>
              <w:pStyle w:val="TableText"/>
              <w:jc w:val="both"/>
            </w:pPr>
            <w:r w:rsidRPr="00F30E35">
              <w:t xml:space="preserve">High, favours </w:t>
            </w:r>
            <w:r w:rsidR="00D2080C" w:rsidRPr="00F30E35">
              <w:t>midostaurin</w:t>
            </w:r>
          </w:p>
        </w:tc>
      </w:tr>
      <w:tr w:rsidR="005E6CBF" w:rsidRPr="00F30E35" w:rsidTr="003B37A4">
        <w:tc>
          <w:tcPr>
            <w:tcW w:w="1018" w:type="pct"/>
            <w:shd w:val="clear" w:color="auto" w:fill="auto"/>
            <w:vAlign w:val="center"/>
          </w:tcPr>
          <w:p w:rsidR="005E6CBF" w:rsidRPr="00F30E35" w:rsidRDefault="005E6CBF" w:rsidP="005E6CBF">
            <w:pPr>
              <w:pStyle w:val="TableText"/>
            </w:pPr>
            <w:r w:rsidRPr="00F30E35">
              <w:t>Discount Rate</w:t>
            </w:r>
          </w:p>
        </w:tc>
        <w:tc>
          <w:tcPr>
            <w:tcW w:w="2045" w:type="pct"/>
            <w:shd w:val="clear" w:color="auto" w:fill="auto"/>
            <w:vAlign w:val="center"/>
          </w:tcPr>
          <w:p w:rsidR="005E6CBF" w:rsidRPr="00F30E35" w:rsidRDefault="005E6CBF" w:rsidP="00903F9D">
            <w:pPr>
              <w:pStyle w:val="TableText"/>
              <w:jc w:val="both"/>
            </w:pPr>
            <w:r w:rsidRPr="00F30E35">
              <w:t>5% for costs and outcomes used in base-case</w:t>
            </w:r>
          </w:p>
        </w:tc>
        <w:tc>
          <w:tcPr>
            <w:tcW w:w="1936" w:type="pct"/>
            <w:shd w:val="clear" w:color="auto" w:fill="auto"/>
            <w:vAlign w:val="center"/>
          </w:tcPr>
          <w:p w:rsidR="005E6CBF" w:rsidRPr="00F30E35" w:rsidRDefault="005E6CBF" w:rsidP="00903F9D">
            <w:pPr>
              <w:pStyle w:val="TableText"/>
              <w:jc w:val="both"/>
            </w:pPr>
            <w:r w:rsidRPr="00F30E35">
              <w:t>High</w:t>
            </w:r>
          </w:p>
        </w:tc>
      </w:tr>
      <w:tr w:rsidR="005E6CBF" w:rsidRPr="00F30E35" w:rsidTr="003B37A4">
        <w:tc>
          <w:tcPr>
            <w:tcW w:w="1018" w:type="pct"/>
            <w:shd w:val="clear" w:color="auto" w:fill="auto"/>
            <w:vAlign w:val="center"/>
          </w:tcPr>
          <w:p w:rsidR="005E6CBF" w:rsidRPr="00F30E35" w:rsidRDefault="005E6CBF" w:rsidP="005E6CBF">
            <w:pPr>
              <w:pStyle w:val="TableText"/>
            </w:pPr>
            <w:r w:rsidRPr="00F30E35">
              <w:t>Extrapolations</w:t>
            </w:r>
          </w:p>
        </w:tc>
        <w:tc>
          <w:tcPr>
            <w:tcW w:w="2045" w:type="pct"/>
            <w:shd w:val="clear" w:color="auto" w:fill="auto"/>
            <w:vAlign w:val="center"/>
          </w:tcPr>
          <w:p w:rsidR="005E6CBF" w:rsidRPr="00F30E35" w:rsidRDefault="005E6CBF" w:rsidP="00B32FEA">
            <w:pPr>
              <w:pStyle w:val="TableText"/>
              <w:jc w:val="both"/>
            </w:pPr>
            <w:r w:rsidRPr="00F30E35">
              <w:t xml:space="preserve">Different assumptions are applied to the various health states in which patients remained at the end of the RATIFY trial. </w:t>
            </w:r>
            <w:r w:rsidR="00B32FEA" w:rsidRPr="00F30E35">
              <w:rPr>
                <w:szCs w:val="20"/>
              </w:rPr>
              <w:t>To extrapolate past the time horizon of the RATIFY trial, the submission assumes that no further SCTs occur in these patients, the rate of death at cycle 52 applies to all cycles subsequent to cycle 52 and background mortality (with a 100% excess mortality rate assumption) applies to all cycles past cycle 60.</w:t>
            </w:r>
          </w:p>
        </w:tc>
        <w:tc>
          <w:tcPr>
            <w:tcW w:w="1936" w:type="pct"/>
            <w:shd w:val="clear" w:color="auto" w:fill="auto"/>
            <w:vAlign w:val="center"/>
          </w:tcPr>
          <w:p w:rsidR="005E6CBF" w:rsidRPr="00F30E35" w:rsidRDefault="005E6CBF" w:rsidP="00903F9D">
            <w:pPr>
              <w:pStyle w:val="TableText"/>
              <w:jc w:val="both"/>
            </w:pPr>
            <w:r w:rsidRPr="00F30E35">
              <w:t>As the majority of health gains come from the extended life of those cured, the extrapolations naturally increase the cost-effectiveness of midostaurin significantly.</w:t>
            </w:r>
            <w:r w:rsidR="00512BD7" w:rsidRPr="00F30E35">
              <w:t xml:space="preserve"> </w:t>
            </w:r>
            <w:r w:rsidR="00712667" w:rsidRPr="00F30E35">
              <w:t xml:space="preserve">Consideration is required as to whether </w:t>
            </w:r>
            <w:r w:rsidR="00512BD7" w:rsidRPr="00F30E35">
              <w:t xml:space="preserve">the extrapolations for each health state </w:t>
            </w:r>
            <w:r w:rsidR="005C42F0" w:rsidRPr="00F30E35">
              <w:t>are</w:t>
            </w:r>
            <w:r w:rsidR="00512BD7" w:rsidRPr="00F30E35">
              <w:t xml:space="preserve"> appropriate</w:t>
            </w:r>
            <w:r w:rsidR="001C3A11" w:rsidRPr="00F30E35">
              <w:t>.</w:t>
            </w:r>
          </w:p>
        </w:tc>
      </w:tr>
    </w:tbl>
    <w:p w:rsidR="00E37424" w:rsidRPr="00F30E35" w:rsidRDefault="00E37424" w:rsidP="00D1078F">
      <w:pPr>
        <w:pStyle w:val="TableFooter"/>
      </w:pPr>
      <w:r w:rsidRPr="00F30E35">
        <w:t>Source: compiled during the evaluation</w:t>
      </w:r>
    </w:p>
    <w:p w:rsidR="00C317F3" w:rsidRPr="00F30E35" w:rsidRDefault="00D2080C" w:rsidP="00EC5CD2">
      <w:pPr>
        <w:pStyle w:val="ListParagraph"/>
        <w:numPr>
          <w:ilvl w:val="1"/>
          <w:numId w:val="2"/>
        </w:numPr>
        <w:spacing w:before="0" w:after="120"/>
        <w:ind w:left="578" w:hanging="578"/>
        <w:jc w:val="both"/>
      </w:pPr>
      <w:r w:rsidRPr="00F30E35">
        <w:t xml:space="preserve">Table </w:t>
      </w:r>
      <w:r w:rsidR="00063A32">
        <w:t>9</w:t>
      </w:r>
      <w:r w:rsidR="00063A32" w:rsidRPr="00F30E35">
        <w:t xml:space="preserve"> </w:t>
      </w:r>
      <w:r w:rsidRPr="00F30E35">
        <w:t>presents the results of the stepped economic evaluation.</w:t>
      </w:r>
    </w:p>
    <w:p w:rsidR="00EC5CD2" w:rsidRDefault="00EC5CD2">
      <w:pPr>
        <w:spacing w:before="0" w:line="259" w:lineRule="auto"/>
        <w:rPr>
          <w:rFonts w:ascii="Arial Narrow" w:hAnsi="Arial Narrow"/>
          <w:b/>
          <w:sz w:val="20"/>
        </w:rPr>
      </w:pPr>
      <w:r>
        <w:br w:type="page"/>
      </w:r>
    </w:p>
    <w:p w:rsidR="000A25D2" w:rsidRPr="00F30E35" w:rsidRDefault="000A25D2" w:rsidP="000A25D2">
      <w:pPr>
        <w:pStyle w:val="TableHeading0"/>
      </w:pPr>
      <w:r w:rsidRPr="00F30E35">
        <w:lastRenderedPageBreak/>
        <w:t xml:space="preserve">Table </w:t>
      </w:r>
      <w:r w:rsidR="00063A32">
        <w:t>9</w:t>
      </w:r>
      <w:r w:rsidRPr="00F30E35">
        <w:t xml:space="preserve">: Presentation of the stepped derivation of the base case economic evaluation from the clinical study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2851"/>
        <w:gridCol w:w="858"/>
        <w:gridCol w:w="857"/>
        <w:gridCol w:w="1001"/>
        <w:gridCol w:w="712"/>
        <w:gridCol w:w="714"/>
        <w:gridCol w:w="952"/>
        <w:gridCol w:w="1137"/>
      </w:tblGrid>
      <w:tr w:rsidR="000A25D2" w:rsidRPr="00F30E35" w:rsidTr="00C83E9D">
        <w:trPr>
          <w:cantSplit/>
          <w:tblHeader/>
        </w:trPr>
        <w:tc>
          <w:tcPr>
            <w:tcW w:w="1569" w:type="pct"/>
            <w:vMerge w:val="restart"/>
            <w:shd w:val="clear" w:color="auto" w:fill="FFFFFF" w:themeFill="background1"/>
            <w:vAlign w:val="center"/>
          </w:tcPr>
          <w:p w:rsidR="000A25D2" w:rsidRPr="00F30E35" w:rsidRDefault="000A25D2" w:rsidP="008C780E">
            <w:pPr>
              <w:pStyle w:val="TableText"/>
              <w:rPr>
                <w:b/>
              </w:rPr>
            </w:pPr>
            <w:r w:rsidRPr="00F30E35">
              <w:rPr>
                <w:b/>
              </w:rPr>
              <w:t>Data</w:t>
            </w:r>
          </w:p>
        </w:tc>
        <w:tc>
          <w:tcPr>
            <w:tcW w:w="1495" w:type="pct"/>
            <w:gridSpan w:val="3"/>
            <w:shd w:val="clear" w:color="auto" w:fill="FFFFFF" w:themeFill="background1"/>
            <w:vAlign w:val="center"/>
          </w:tcPr>
          <w:p w:rsidR="000A25D2" w:rsidRPr="00F30E35" w:rsidRDefault="000A25D2" w:rsidP="008C780E">
            <w:pPr>
              <w:pStyle w:val="TableText"/>
              <w:jc w:val="center"/>
              <w:rPr>
                <w:b/>
              </w:rPr>
            </w:pPr>
            <w:r w:rsidRPr="00F30E35">
              <w:rPr>
                <w:b/>
              </w:rPr>
              <w:t>Costs</w:t>
            </w:r>
          </w:p>
        </w:tc>
        <w:tc>
          <w:tcPr>
            <w:tcW w:w="1309" w:type="pct"/>
            <w:gridSpan w:val="3"/>
            <w:shd w:val="clear" w:color="auto" w:fill="FFFFFF" w:themeFill="background1"/>
            <w:vAlign w:val="center"/>
          </w:tcPr>
          <w:p w:rsidR="000A25D2" w:rsidRPr="00F30E35" w:rsidRDefault="000A25D2" w:rsidP="008C780E">
            <w:pPr>
              <w:pStyle w:val="TableText"/>
              <w:jc w:val="center"/>
              <w:rPr>
                <w:b/>
              </w:rPr>
            </w:pPr>
            <w:r w:rsidRPr="00F30E35">
              <w:rPr>
                <w:b/>
              </w:rPr>
              <w:t>Health outcomes</w:t>
            </w:r>
          </w:p>
        </w:tc>
        <w:tc>
          <w:tcPr>
            <w:tcW w:w="626" w:type="pct"/>
            <w:vMerge w:val="restart"/>
            <w:shd w:val="clear" w:color="auto" w:fill="FFFFFF" w:themeFill="background1"/>
            <w:vAlign w:val="center"/>
          </w:tcPr>
          <w:p w:rsidR="000A25D2" w:rsidRPr="00F30E35" w:rsidRDefault="000A25D2" w:rsidP="008C780E">
            <w:pPr>
              <w:pStyle w:val="TableText"/>
              <w:jc w:val="center"/>
              <w:rPr>
                <w:b/>
              </w:rPr>
            </w:pPr>
            <w:r w:rsidRPr="00F30E35">
              <w:rPr>
                <w:b/>
              </w:rPr>
              <w:t>ICER</w:t>
            </w:r>
          </w:p>
        </w:tc>
      </w:tr>
      <w:tr w:rsidR="00C83E9D" w:rsidRPr="00F30E35" w:rsidTr="00C83E9D">
        <w:trPr>
          <w:cantSplit/>
          <w:tblHeader/>
        </w:trPr>
        <w:tc>
          <w:tcPr>
            <w:tcW w:w="1569" w:type="pct"/>
            <w:vMerge/>
            <w:shd w:val="clear" w:color="auto" w:fill="FFFFFF" w:themeFill="background1"/>
          </w:tcPr>
          <w:p w:rsidR="00C83E9D" w:rsidRPr="00F30E35" w:rsidRDefault="00C83E9D" w:rsidP="00C83E9D">
            <w:pPr>
              <w:pStyle w:val="TableText"/>
            </w:pPr>
          </w:p>
        </w:tc>
        <w:tc>
          <w:tcPr>
            <w:tcW w:w="472" w:type="pct"/>
            <w:shd w:val="clear" w:color="auto" w:fill="FFFFFF" w:themeFill="background1"/>
            <w:vAlign w:val="center"/>
          </w:tcPr>
          <w:p w:rsidR="00C83E9D" w:rsidRPr="00F30E35" w:rsidRDefault="00C83E9D" w:rsidP="00C83E9D">
            <w:pPr>
              <w:pStyle w:val="TableText"/>
              <w:jc w:val="center"/>
              <w:rPr>
                <w:rFonts w:ascii="Times" w:eastAsia="Times New Roman" w:hAnsi="Times" w:cs="Times New Roman"/>
                <w:b/>
              </w:rPr>
            </w:pPr>
            <w:r w:rsidRPr="00F30E35">
              <w:rPr>
                <w:b/>
              </w:rPr>
              <w:t>Mido</w:t>
            </w:r>
          </w:p>
        </w:tc>
        <w:tc>
          <w:tcPr>
            <w:tcW w:w="472" w:type="pct"/>
            <w:shd w:val="clear" w:color="auto" w:fill="FFFFFF" w:themeFill="background1"/>
            <w:vAlign w:val="center"/>
          </w:tcPr>
          <w:p w:rsidR="00C83E9D" w:rsidRPr="00F30E35" w:rsidRDefault="00C83E9D" w:rsidP="00C83E9D">
            <w:pPr>
              <w:pStyle w:val="TableText"/>
              <w:jc w:val="center"/>
              <w:rPr>
                <w:rFonts w:ascii="Times" w:eastAsia="Times New Roman" w:hAnsi="Times" w:cs="Times New Roman"/>
                <w:b/>
              </w:rPr>
            </w:pPr>
            <w:r w:rsidRPr="00F30E35">
              <w:rPr>
                <w:b/>
              </w:rPr>
              <w:t>PBO</w:t>
            </w:r>
          </w:p>
        </w:tc>
        <w:tc>
          <w:tcPr>
            <w:tcW w:w="551" w:type="pct"/>
            <w:shd w:val="clear" w:color="auto" w:fill="FFFFFF" w:themeFill="background1"/>
            <w:vAlign w:val="center"/>
          </w:tcPr>
          <w:p w:rsidR="00C83E9D" w:rsidRPr="00F30E35" w:rsidRDefault="00C83E9D" w:rsidP="00C83E9D">
            <w:pPr>
              <w:pStyle w:val="TableText"/>
              <w:jc w:val="center"/>
              <w:rPr>
                <w:rFonts w:ascii="Times" w:eastAsia="Times New Roman" w:hAnsi="Times" w:cs="Times New Roman"/>
                <w:b/>
              </w:rPr>
            </w:pPr>
            <w:r w:rsidRPr="00F30E35">
              <w:rPr>
                <w:b/>
              </w:rPr>
              <w:t>Increment</w:t>
            </w:r>
          </w:p>
        </w:tc>
        <w:tc>
          <w:tcPr>
            <w:tcW w:w="392" w:type="pct"/>
            <w:shd w:val="clear" w:color="auto" w:fill="FFFFFF" w:themeFill="background1"/>
            <w:vAlign w:val="center"/>
          </w:tcPr>
          <w:p w:rsidR="00C83E9D" w:rsidRPr="00F30E35" w:rsidRDefault="00C83E9D" w:rsidP="00C83E9D">
            <w:pPr>
              <w:pStyle w:val="TableText"/>
              <w:jc w:val="center"/>
              <w:rPr>
                <w:rFonts w:ascii="Times" w:eastAsia="Times New Roman" w:hAnsi="Times" w:cs="Times New Roman"/>
                <w:b/>
              </w:rPr>
            </w:pPr>
            <w:r w:rsidRPr="00F30E35">
              <w:rPr>
                <w:b/>
              </w:rPr>
              <w:t>Mido</w:t>
            </w:r>
          </w:p>
        </w:tc>
        <w:tc>
          <w:tcPr>
            <w:tcW w:w="393" w:type="pct"/>
            <w:shd w:val="clear" w:color="auto" w:fill="FFFFFF" w:themeFill="background1"/>
            <w:vAlign w:val="center"/>
          </w:tcPr>
          <w:p w:rsidR="00C83E9D" w:rsidRPr="00F30E35" w:rsidRDefault="00C83E9D" w:rsidP="00C83E9D">
            <w:pPr>
              <w:pStyle w:val="TableText"/>
              <w:jc w:val="center"/>
              <w:rPr>
                <w:b/>
              </w:rPr>
            </w:pPr>
            <w:r w:rsidRPr="00F30E35">
              <w:rPr>
                <w:b/>
              </w:rPr>
              <w:t>PBO</w:t>
            </w:r>
          </w:p>
        </w:tc>
        <w:tc>
          <w:tcPr>
            <w:tcW w:w="524" w:type="pct"/>
            <w:shd w:val="clear" w:color="auto" w:fill="FFFFFF" w:themeFill="background1"/>
            <w:vAlign w:val="center"/>
          </w:tcPr>
          <w:p w:rsidR="00C83E9D" w:rsidRPr="00F30E35" w:rsidRDefault="00C83E9D" w:rsidP="00C83E9D">
            <w:pPr>
              <w:pStyle w:val="TableText"/>
              <w:jc w:val="center"/>
              <w:rPr>
                <w:b/>
              </w:rPr>
            </w:pPr>
            <w:r w:rsidRPr="00F30E35">
              <w:rPr>
                <w:b/>
              </w:rPr>
              <w:t>Increment</w:t>
            </w:r>
          </w:p>
        </w:tc>
        <w:tc>
          <w:tcPr>
            <w:tcW w:w="626" w:type="pct"/>
            <w:vMerge/>
            <w:shd w:val="clear" w:color="auto" w:fill="FFFFFF" w:themeFill="background1"/>
          </w:tcPr>
          <w:p w:rsidR="00C83E9D" w:rsidRPr="00F30E35" w:rsidRDefault="00C83E9D" w:rsidP="00C83E9D">
            <w:pPr>
              <w:pStyle w:val="TableText"/>
            </w:pPr>
          </w:p>
        </w:tc>
      </w:tr>
      <w:tr w:rsidR="00C83E9D" w:rsidRPr="00F30E35" w:rsidTr="00C83E9D">
        <w:trPr>
          <w:cantSplit/>
        </w:trPr>
        <w:tc>
          <w:tcPr>
            <w:tcW w:w="1569" w:type="pct"/>
            <w:shd w:val="clear" w:color="auto" w:fill="FFFFFF" w:themeFill="background1"/>
          </w:tcPr>
          <w:p w:rsidR="000A25D2" w:rsidRPr="00F30E35" w:rsidRDefault="000A25D2" w:rsidP="008C780E">
            <w:pPr>
              <w:pStyle w:val="TableLeft"/>
              <w:rPr>
                <w:b/>
                <w:lang w:bidi="ar-SA"/>
              </w:rPr>
            </w:pPr>
            <w:r w:rsidRPr="00F30E35">
              <w:rPr>
                <w:b/>
                <w:lang w:bidi="ar-SA"/>
              </w:rPr>
              <w:t xml:space="preserve">Step 1: Trial-based analysis </w:t>
            </w:r>
          </w:p>
          <w:p w:rsidR="000A25D2" w:rsidRPr="00F30E35" w:rsidRDefault="000A25D2" w:rsidP="008C780E">
            <w:pPr>
              <w:pStyle w:val="TableLeft"/>
              <w:rPr>
                <w:lang w:bidi="ar-SA"/>
              </w:rPr>
            </w:pPr>
            <w:r w:rsidRPr="00F30E35">
              <w:rPr>
                <w:lang w:bidi="ar-SA"/>
              </w:rPr>
              <w:t>Setting: RATIFY trial</w:t>
            </w:r>
          </w:p>
          <w:p w:rsidR="000A25D2" w:rsidRPr="00F30E35" w:rsidRDefault="000A25D2" w:rsidP="008C780E">
            <w:pPr>
              <w:pStyle w:val="TableLeft"/>
              <w:rPr>
                <w:lang w:bidi="ar-SA"/>
              </w:rPr>
            </w:pPr>
            <w:r w:rsidRPr="00F30E35">
              <w:rPr>
                <w:lang w:bidi="ar-SA"/>
              </w:rPr>
              <w:t xml:space="preserve">Data: </w:t>
            </w:r>
            <w:r w:rsidR="007F271D">
              <w:rPr>
                <w:noProof/>
                <w:color w:val="000000"/>
                <w:highlight w:val="black"/>
                <w:lang w:bidi="ar-SA"/>
              </w:rPr>
              <w:t>''''''''''</w:t>
            </w:r>
            <w:r w:rsidRPr="00F30E35">
              <w:rPr>
                <w:lang w:bidi="ar-SA"/>
              </w:rPr>
              <w:t xml:space="preserve"> from RATIFY</w:t>
            </w:r>
          </w:p>
          <w:p w:rsidR="000A25D2" w:rsidRPr="00F30E35" w:rsidRDefault="000A25D2" w:rsidP="008C780E">
            <w:pPr>
              <w:pStyle w:val="TableLeft"/>
              <w:rPr>
                <w:lang w:bidi="ar-SA"/>
              </w:rPr>
            </w:pPr>
            <w:r w:rsidRPr="00F30E35">
              <w:rPr>
                <w:lang w:bidi="ar-SA"/>
              </w:rPr>
              <w:t>Costs: Drug and drug administration costs as per RATIFY trial &amp; costs of treating AEs</w:t>
            </w:r>
          </w:p>
          <w:p w:rsidR="000A25D2" w:rsidRPr="00F30E35" w:rsidRDefault="000A25D2" w:rsidP="008C780E">
            <w:pPr>
              <w:pStyle w:val="TableText"/>
            </w:pPr>
            <w:r w:rsidRPr="00F30E35">
              <w:t>Time horizon: 5 years (median follow-up in RATIFY)</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392" w:type="pct"/>
            <w:shd w:val="clear" w:color="auto" w:fill="FFFFFF" w:themeFill="background1"/>
            <w:vAlign w:val="center"/>
          </w:tcPr>
          <w:p w:rsidR="000A25D2" w:rsidRPr="007F271D" w:rsidRDefault="007F271D" w:rsidP="008C780E">
            <w:pPr>
              <w:pStyle w:val="TableText"/>
              <w:jc w:val="center"/>
              <w:rPr>
                <w:highlight w:val="black"/>
              </w:rPr>
            </w:pPr>
            <w:r>
              <w:rPr>
                <w:noProof/>
                <w:color w:val="000000"/>
                <w:highlight w:val="black"/>
              </w:rPr>
              <w:t>''''''''''' '''''''''</w:t>
            </w:r>
          </w:p>
        </w:tc>
        <w:tc>
          <w:tcPr>
            <w:tcW w:w="393" w:type="pct"/>
            <w:shd w:val="clear" w:color="auto" w:fill="FFFFFF" w:themeFill="background1"/>
            <w:vAlign w:val="center"/>
          </w:tcPr>
          <w:p w:rsidR="000A25D2" w:rsidRPr="007F271D" w:rsidRDefault="007F271D" w:rsidP="008C780E">
            <w:pPr>
              <w:pStyle w:val="TableText"/>
              <w:jc w:val="center"/>
              <w:rPr>
                <w:highlight w:val="black"/>
              </w:rPr>
            </w:pPr>
            <w:r>
              <w:rPr>
                <w:noProof/>
                <w:color w:val="000000"/>
                <w:highlight w:val="black"/>
              </w:rPr>
              <w:t>''''''''''' '''''''''</w:t>
            </w:r>
          </w:p>
        </w:tc>
        <w:tc>
          <w:tcPr>
            <w:tcW w:w="524"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626"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lang w:val="it-IT"/>
              </w:rPr>
              <w:t>''''''''''''''''''''''''''' ''''''''''''''''</w:t>
            </w:r>
          </w:p>
        </w:tc>
      </w:tr>
      <w:tr w:rsidR="00C83E9D" w:rsidRPr="00F30E35" w:rsidTr="00C83E9D">
        <w:trPr>
          <w:cantSplit/>
        </w:trPr>
        <w:tc>
          <w:tcPr>
            <w:tcW w:w="1569" w:type="pct"/>
            <w:shd w:val="clear" w:color="auto" w:fill="FFFFFF" w:themeFill="background1"/>
          </w:tcPr>
          <w:p w:rsidR="000A25D2" w:rsidRPr="00F30E35" w:rsidRDefault="000A25D2" w:rsidP="008C780E">
            <w:pPr>
              <w:pStyle w:val="TableLeft"/>
              <w:rPr>
                <w:sz w:val="14"/>
                <w:szCs w:val="14"/>
                <w:lang w:bidi="ar-SA"/>
              </w:rPr>
            </w:pPr>
            <w:r w:rsidRPr="00F30E35">
              <w:rPr>
                <w:b/>
                <w:lang w:bidi="ar-SA"/>
              </w:rPr>
              <w:t>Step 2:</w:t>
            </w:r>
            <w:r w:rsidRPr="00F30E35">
              <w:rPr>
                <w:lang w:bidi="ar-SA"/>
              </w:rPr>
              <w:t xml:space="preserve"> </w:t>
            </w:r>
            <w:r w:rsidRPr="00F30E35">
              <w:rPr>
                <w:b/>
                <w:lang w:bidi="ar-SA"/>
              </w:rPr>
              <w:t>Analysis extrapolated to a lifetime time horizon</w:t>
            </w:r>
          </w:p>
          <w:p w:rsidR="000A25D2" w:rsidRPr="00F30E35" w:rsidRDefault="000A25D2" w:rsidP="008C780E">
            <w:pPr>
              <w:pStyle w:val="TableLeft"/>
              <w:rPr>
                <w:lang w:bidi="ar-SA"/>
              </w:rPr>
            </w:pPr>
            <w:r w:rsidRPr="00F30E35">
              <w:rPr>
                <w:lang w:bidi="ar-SA"/>
              </w:rPr>
              <w:t>Setting: RATIFY trial</w:t>
            </w:r>
          </w:p>
          <w:p w:rsidR="000A25D2" w:rsidRPr="00F30E35" w:rsidRDefault="000A25D2" w:rsidP="008C780E">
            <w:pPr>
              <w:pStyle w:val="TableLeft"/>
              <w:rPr>
                <w:lang w:bidi="ar-SA"/>
              </w:rPr>
            </w:pPr>
            <w:r w:rsidRPr="00F30E35">
              <w:rPr>
                <w:lang w:bidi="ar-SA"/>
              </w:rPr>
              <w:t xml:space="preserve">Data: </w:t>
            </w:r>
            <w:r w:rsidR="007F271D">
              <w:rPr>
                <w:noProof/>
                <w:color w:val="000000"/>
                <w:highlight w:val="black"/>
                <w:lang w:bidi="ar-SA"/>
              </w:rPr>
              <w:t>''''''''''</w:t>
            </w:r>
            <w:r w:rsidRPr="00F30E35">
              <w:rPr>
                <w:lang w:bidi="ar-SA"/>
              </w:rPr>
              <w:t xml:space="preserve"> from RATIFY + extrapolation</w:t>
            </w:r>
          </w:p>
          <w:p w:rsidR="000A25D2" w:rsidRPr="00F30E35" w:rsidRDefault="000A25D2" w:rsidP="008C780E">
            <w:pPr>
              <w:pStyle w:val="TableLeft"/>
              <w:rPr>
                <w:lang w:bidi="ar-SA"/>
              </w:rPr>
            </w:pPr>
            <w:r w:rsidRPr="00F30E35">
              <w:rPr>
                <w:lang w:bidi="ar-SA"/>
              </w:rPr>
              <w:t>Costs: As per Step 1 plus costs of monitoring, costs of treating relapsed/refractory disease, costs of SCT &amp; costs of palliation</w:t>
            </w:r>
          </w:p>
          <w:p w:rsidR="000A25D2" w:rsidRPr="00F30E35" w:rsidRDefault="000A25D2" w:rsidP="008C780E">
            <w:pPr>
              <w:pStyle w:val="TableText"/>
            </w:pPr>
            <w:r w:rsidRPr="00F30E35">
              <w:t>Time horizon: 50 years</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39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393"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524"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626"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lang w:val="it-IT"/>
              </w:rPr>
              <w:t>'''''''''''''''''''''''''' ''''''''''''''''</w:t>
            </w:r>
          </w:p>
        </w:tc>
      </w:tr>
      <w:tr w:rsidR="00C83E9D" w:rsidRPr="00F30E35" w:rsidTr="00C83E9D">
        <w:trPr>
          <w:cantSplit/>
        </w:trPr>
        <w:tc>
          <w:tcPr>
            <w:tcW w:w="1569" w:type="pct"/>
            <w:shd w:val="clear" w:color="auto" w:fill="FFFFFF" w:themeFill="background1"/>
          </w:tcPr>
          <w:p w:rsidR="000A25D2" w:rsidRPr="00F30E35" w:rsidRDefault="000A25D2" w:rsidP="008C780E">
            <w:pPr>
              <w:pStyle w:val="TableLeft"/>
              <w:rPr>
                <w:b/>
                <w:lang w:bidi="ar-SA"/>
              </w:rPr>
            </w:pPr>
            <w:r w:rsidRPr="00F30E35">
              <w:rPr>
                <w:b/>
                <w:lang w:bidi="ar-SA"/>
              </w:rPr>
              <w:t>Step 3: application of discounting to future costs and benefits</w:t>
            </w:r>
          </w:p>
          <w:p w:rsidR="000A25D2" w:rsidRPr="00F30E35" w:rsidRDefault="000A25D2" w:rsidP="008C780E">
            <w:pPr>
              <w:pStyle w:val="TableText"/>
            </w:pPr>
            <w:r w:rsidRPr="00F30E35">
              <w:t>Setting, data, costs and time horizon as per Step 2</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39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393"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524"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626"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r>
      <w:tr w:rsidR="00C83E9D" w:rsidRPr="00F30E35" w:rsidTr="00C83E9D">
        <w:trPr>
          <w:cantSplit/>
        </w:trPr>
        <w:tc>
          <w:tcPr>
            <w:tcW w:w="1569" w:type="pct"/>
            <w:shd w:val="clear" w:color="auto" w:fill="FFFFFF" w:themeFill="background1"/>
          </w:tcPr>
          <w:p w:rsidR="000A25D2" w:rsidRPr="00F30E35" w:rsidRDefault="000A25D2" w:rsidP="008C780E">
            <w:pPr>
              <w:pStyle w:val="TableLeft"/>
              <w:rPr>
                <w:b/>
                <w:lang w:bidi="ar-SA"/>
              </w:rPr>
            </w:pPr>
            <w:r w:rsidRPr="00F30E35">
              <w:rPr>
                <w:b/>
                <w:lang w:bidi="ar-SA"/>
              </w:rPr>
              <w:t>Step 4:</w:t>
            </w:r>
            <w:r w:rsidRPr="00F30E35">
              <w:rPr>
                <w:lang w:bidi="ar-SA"/>
              </w:rPr>
              <w:t xml:space="preserve"> </w:t>
            </w:r>
            <w:r w:rsidRPr="00F30E35">
              <w:rPr>
                <w:b/>
                <w:lang w:bidi="ar-SA"/>
              </w:rPr>
              <w:t xml:space="preserve">extension of the population to include patients aged </w:t>
            </w:r>
            <w:r w:rsidRPr="00F30E35">
              <w:rPr>
                <w:rFonts w:ascii="Calibri" w:hAnsi="Calibri" w:cs="Calibri"/>
                <w:b/>
                <w:lang w:bidi="ar-SA"/>
              </w:rPr>
              <w:t>≥</w:t>
            </w:r>
            <w:r w:rsidRPr="00F30E35">
              <w:rPr>
                <w:b/>
                <w:lang w:bidi="ar-SA"/>
              </w:rPr>
              <w:t>60 years</w:t>
            </w:r>
          </w:p>
          <w:p w:rsidR="000A25D2" w:rsidRPr="00F30E35" w:rsidRDefault="000A25D2" w:rsidP="008C780E">
            <w:pPr>
              <w:pStyle w:val="TableText"/>
            </w:pPr>
            <w:r w:rsidRPr="00F30E35">
              <w:t>Data: incorporates increased death rates while undergoing treatment from the AMLSG 16-10 trial and adjusts background mortality to account for older population. Costs and time horizon as per Step 3</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39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393" w:type="pct"/>
            <w:shd w:val="clear" w:color="auto" w:fill="FFFFFF" w:themeFill="background1"/>
            <w:vAlign w:val="center"/>
          </w:tcPr>
          <w:p w:rsidR="000A25D2" w:rsidRPr="007F271D" w:rsidRDefault="007F271D" w:rsidP="008C780E">
            <w:pPr>
              <w:pStyle w:val="TableText"/>
              <w:jc w:val="center"/>
              <w:rPr>
                <w:highlight w:val="black"/>
              </w:rPr>
            </w:pPr>
            <w:r>
              <w:rPr>
                <w:noProof/>
                <w:color w:val="000000"/>
                <w:highlight w:val="black"/>
              </w:rPr>
              <w:t>''''''''''' ''''''''''</w:t>
            </w:r>
          </w:p>
        </w:tc>
        <w:tc>
          <w:tcPr>
            <w:tcW w:w="524"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626"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r>
      <w:tr w:rsidR="00C83E9D" w:rsidRPr="00F30E35" w:rsidTr="00C83E9D">
        <w:trPr>
          <w:cantSplit/>
        </w:trPr>
        <w:tc>
          <w:tcPr>
            <w:tcW w:w="1569" w:type="pct"/>
            <w:shd w:val="clear" w:color="auto" w:fill="FFFFFF" w:themeFill="background1"/>
          </w:tcPr>
          <w:p w:rsidR="000A25D2" w:rsidRPr="00F30E35" w:rsidRDefault="000A25D2" w:rsidP="008C780E">
            <w:pPr>
              <w:pStyle w:val="TableLeft"/>
              <w:rPr>
                <w:b/>
                <w:bCs/>
              </w:rPr>
            </w:pPr>
            <w:r w:rsidRPr="00F30E35">
              <w:rPr>
                <w:b/>
              </w:rPr>
              <w:t>Step 5 (base case economic evaluation): outcome of life years transformed to QALYs</w:t>
            </w:r>
          </w:p>
          <w:p w:rsidR="000A25D2" w:rsidRPr="00F30E35" w:rsidRDefault="000A25D2" w:rsidP="008C780E">
            <w:pPr>
              <w:pStyle w:val="TableText"/>
            </w:pPr>
            <w:r w:rsidRPr="00F30E35">
              <w:t>Setting, data, costs and time horizon as per Step 4</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47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w:t>
            </w:r>
          </w:p>
        </w:tc>
        <w:tc>
          <w:tcPr>
            <w:tcW w:w="392"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393"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524"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c>
          <w:tcPr>
            <w:tcW w:w="626" w:type="pct"/>
            <w:shd w:val="clear" w:color="auto" w:fill="FFFFFF" w:themeFill="background1"/>
            <w:vAlign w:val="center"/>
          </w:tcPr>
          <w:p w:rsidR="000A25D2" w:rsidRPr="007F271D" w:rsidRDefault="007F271D" w:rsidP="008C780E">
            <w:pPr>
              <w:pStyle w:val="TableText"/>
              <w:jc w:val="center"/>
              <w:rPr>
                <w:rFonts w:ascii="Times" w:eastAsia="Times New Roman" w:hAnsi="Times" w:cs="Times New Roman"/>
                <w:highlight w:val="black"/>
              </w:rPr>
            </w:pPr>
            <w:r>
              <w:rPr>
                <w:noProof/>
                <w:color w:val="000000"/>
                <w:highlight w:val="black"/>
              </w:rPr>
              <w:t>''''''''''''''''''''''''''''''''''' ''''''''''''''''</w:t>
            </w:r>
          </w:p>
        </w:tc>
      </w:tr>
    </w:tbl>
    <w:p w:rsidR="000A25D2" w:rsidRPr="00F30E35" w:rsidRDefault="000A25D2" w:rsidP="000A25D2">
      <w:pPr>
        <w:pStyle w:val="TableFooter"/>
      </w:pPr>
      <w:r w:rsidRPr="00F30E35">
        <w:t>Source: Table 3.8-1 of the submission</w:t>
      </w:r>
    </w:p>
    <w:p w:rsidR="000A25D2" w:rsidRPr="00F30E35" w:rsidRDefault="000A25D2" w:rsidP="00EC5CD2">
      <w:pPr>
        <w:pStyle w:val="ListParagraph"/>
        <w:numPr>
          <w:ilvl w:val="1"/>
          <w:numId w:val="2"/>
        </w:numPr>
        <w:spacing w:before="0" w:after="120"/>
        <w:ind w:left="578" w:hanging="578"/>
        <w:jc w:val="both"/>
      </w:pPr>
      <w:r w:rsidRPr="004366E1">
        <w:t xml:space="preserve">While the use of </w:t>
      </w:r>
      <w:r w:rsidR="007F271D">
        <w:rPr>
          <w:noProof/>
          <w:color w:val="000000"/>
          <w:highlight w:val="black"/>
        </w:rPr>
        <w:t>''''''''''''''''' '''''''''''''' ''''''''' '''''''''</w:t>
      </w:r>
      <w:r w:rsidR="00FA61E8" w:rsidRPr="004366E1">
        <w:t xml:space="preserve"> </w:t>
      </w:r>
      <w:r w:rsidRPr="004366E1">
        <w:t>is appropriate for the generation of an economic evaluation, there are some limitations to the approach in that some of the transitions are derived from small patient numbers (</w:t>
      </w:r>
      <w:r w:rsidR="007F271D">
        <w:rPr>
          <w:noProof/>
          <w:color w:val="000000"/>
          <w:highlight w:val="black"/>
        </w:rPr>
        <w:t>'''''''''''' '''''''''' ''''' ''''''''''''''</w:t>
      </w:r>
      <w:r w:rsidRPr="004366E1">
        <w:t xml:space="preserve"> for some transitions) in later cycles, which introduces some uncertainty. </w:t>
      </w:r>
      <w:r w:rsidR="002A788F" w:rsidRPr="004366E1">
        <w:t>G</w:t>
      </w:r>
      <w:r w:rsidR="00F73DEF" w:rsidRPr="004366E1">
        <w:t xml:space="preserve">iven the use of </w:t>
      </w:r>
      <w:r w:rsidR="007F271D">
        <w:rPr>
          <w:noProof/>
          <w:color w:val="000000"/>
          <w:highlight w:val="black"/>
        </w:rPr>
        <w:t>'''''''''''' '''''''</w:t>
      </w:r>
      <w:r w:rsidR="00F73DEF" w:rsidRPr="004366E1">
        <w:t xml:space="preserve"> in the model (as opposed to applying a hazard ratio to a placebo curve),</w:t>
      </w:r>
      <w:r w:rsidR="00F73DEF" w:rsidRPr="00F30E35">
        <w:t xml:space="preserve"> it was not possible to provide sensitivity analyses around the treatment effect, </w:t>
      </w:r>
      <w:r w:rsidRPr="00F30E35">
        <w:t>other than for the excess mortality in patients surviving more than 5 years after remission who have been consolidated by an SCT.</w:t>
      </w:r>
    </w:p>
    <w:p w:rsidR="0073124E" w:rsidRPr="00F30E35" w:rsidRDefault="0073124E" w:rsidP="00EC5CD2">
      <w:pPr>
        <w:pStyle w:val="ListParagraph"/>
        <w:numPr>
          <w:ilvl w:val="1"/>
          <w:numId w:val="2"/>
        </w:numPr>
        <w:spacing w:before="0" w:after="120"/>
        <w:ind w:left="578" w:hanging="578"/>
        <w:jc w:val="both"/>
      </w:pPr>
      <w:r w:rsidRPr="00F30E35">
        <w:t xml:space="preserve">Moreover, the ESC considered that given that the data used were drawn from the RATIFY trial, they do not represent the experience of AML and its treatment in patients aged </w:t>
      </w:r>
      <w:r w:rsidRPr="00F30E35">
        <w:rPr>
          <w:rFonts w:eastAsia="MS Gothic"/>
          <w:color w:val="000000"/>
        </w:rPr>
        <w:t xml:space="preserve">≥ 60 years. </w:t>
      </w:r>
      <w:r w:rsidR="00D17B43" w:rsidRPr="00F30E35">
        <w:rPr>
          <w:rFonts w:eastAsia="MS Gothic"/>
          <w:color w:val="000000"/>
        </w:rPr>
        <w:t>While the model adjusted</w:t>
      </w:r>
      <w:r w:rsidR="001D19A3" w:rsidRPr="00F30E35">
        <w:rPr>
          <w:rFonts w:eastAsia="MS Gothic"/>
          <w:color w:val="000000"/>
        </w:rPr>
        <w:t xml:space="preserve"> </w:t>
      </w:r>
      <w:r w:rsidR="00D17B43" w:rsidRPr="00F30E35">
        <w:rPr>
          <w:rFonts w:eastAsia="MS Gothic"/>
          <w:color w:val="000000"/>
        </w:rPr>
        <w:t xml:space="preserve">mortality </w:t>
      </w:r>
      <w:r w:rsidR="001D19A3" w:rsidRPr="00F30E35">
        <w:rPr>
          <w:rFonts w:eastAsia="MS Gothic"/>
          <w:color w:val="000000"/>
        </w:rPr>
        <w:t xml:space="preserve">(for all health states other than SCT) for </w:t>
      </w:r>
      <w:r w:rsidR="00D17B43" w:rsidRPr="00F30E35">
        <w:rPr>
          <w:rFonts w:eastAsia="MS Gothic"/>
          <w:color w:val="000000"/>
        </w:rPr>
        <w:t xml:space="preserve">the proportion of AML patients in Australia assumed to be ≥ 60 years (32%), no changes were made to </w:t>
      </w:r>
      <w:r w:rsidR="001D19A3" w:rsidRPr="00F30E35">
        <w:rPr>
          <w:rFonts w:eastAsia="MS Gothic"/>
          <w:color w:val="000000"/>
        </w:rPr>
        <w:t xml:space="preserve">other outcomes or </w:t>
      </w:r>
      <w:r w:rsidR="00D17B43" w:rsidRPr="00F30E35">
        <w:rPr>
          <w:rFonts w:eastAsia="MS Gothic"/>
          <w:color w:val="000000"/>
        </w:rPr>
        <w:t xml:space="preserve">health care use (such as the </w:t>
      </w:r>
      <w:r w:rsidR="00D17B43" w:rsidRPr="00F30E35">
        <w:rPr>
          <w:rFonts w:eastAsia="MS Gothic"/>
          <w:color w:val="000000"/>
        </w:rPr>
        <w:lastRenderedPageBreak/>
        <w:t>proportion receiving SCT</w:t>
      </w:r>
      <w:r w:rsidR="00FE04A1">
        <w:rPr>
          <w:rFonts w:eastAsia="MS Gothic"/>
          <w:color w:val="000000"/>
        </w:rPr>
        <w:t>, or the extent or length of midostaurin maintenance</w:t>
      </w:r>
      <w:r w:rsidR="00D17B43" w:rsidRPr="00F30E35">
        <w:rPr>
          <w:rFonts w:eastAsia="MS Gothic"/>
          <w:color w:val="000000"/>
        </w:rPr>
        <w:t>)</w:t>
      </w:r>
      <w:r w:rsidR="001D19A3" w:rsidRPr="00F30E35">
        <w:rPr>
          <w:rFonts w:eastAsia="MS Gothic"/>
          <w:color w:val="000000"/>
        </w:rPr>
        <w:t xml:space="preserve">. </w:t>
      </w:r>
      <w:r w:rsidR="00B650DC" w:rsidRPr="00F30E35">
        <w:rPr>
          <w:rFonts w:eastAsia="MS Gothic"/>
          <w:color w:val="000000"/>
        </w:rPr>
        <w:t>Adjusting the mortality only</w:t>
      </w:r>
      <w:r w:rsidR="001D19A3" w:rsidRPr="00F30E35">
        <w:rPr>
          <w:rFonts w:eastAsia="MS Gothic"/>
          <w:color w:val="000000"/>
        </w:rPr>
        <w:t xml:space="preserve"> resulted in the model being largely insensitive to the proportion of older patients included</w:t>
      </w:r>
      <w:r w:rsidR="00D17B43" w:rsidRPr="00F30E35">
        <w:rPr>
          <w:rFonts w:eastAsia="MS Gothic"/>
          <w:color w:val="000000"/>
        </w:rPr>
        <w:t xml:space="preserve">. </w:t>
      </w:r>
      <w:r w:rsidR="002D6614" w:rsidRPr="00F30E35">
        <w:rPr>
          <w:rFonts w:eastAsia="MS Gothic"/>
          <w:color w:val="000000"/>
        </w:rPr>
        <w:t xml:space="preserve">Further, the structure of the model was not flexible enough to test the effect of these changes on the cost-effectiveness of midostaurin. </w:t>
      </w:r>
      <w:r w:rsidR="00D17B43" w:rsidRPr="00F30E35">
        <w:rPr>
          <w:rFonts w:eastAsia="MS Gothic"/>
          <w:color w:val="000000"/>
        </w:rPr>
        <w:t xml:space="preserve">The ESC </w:t>
      </w:r>
      <w:r w:rsidR="002D6614" w:rsidRPr="00F30E35">
        <w:rPr>
          <w:rFonts w:eastAsia="MS Gothic"/>
          <w:color w:val="000000"/>
        </w:rPr>
        <w:t>advised</w:t>
      </w:r>
      <w:r w:rsidR="00D17B43" w:rsidRPr="00F30E35">
        <w:rPr>
          <w:rFonts w:eastAsia="MS Gothic"/>
          <w:color w:val="000000"/>
        </w:rPr>
        <w:t xml:space="preserve"> that </w:t>
      </w:r>
      <w:r w:rsidR="001D19A3" w:rsidRPr="00F30E35">
        <w:rPr>
          <w:rFonts w:eastAsia="MS Gothic"/>
          <w:color w:val="000000"/>
        </w:rPr>
        <w:t xml:space="preserve">it </w:t>
      </w:r>
      <w:r w:rsidR="00D17B43" w:rsidRPr="00F30E35">
        <w:rPr>
          <w:rFonts w:eastAsia="MS Gothic"/>
          <w:color w:val="000000"/>
        </w:rPr>
        <w:t>would have been useful for the impact of age</w:t>
      </w:r>
      <w:r w:rsidR="001D19A3" w:rsidRPr="00F30E35">
        <w:rPr>
          <w:rFonts w:eastAsia="MS Gothic"/>
          <w:color w:val="000000"/>
        </w:rPr>
        <w:t xml:space="preserve"> on treatment and outcomes</w:t>
      </w:r>
      <w:r w:rsidR="00D17B43" w:rsidRPr="00F30E35">
        <w:rPr>
          <w:rFonts w:eastAsia="MS Gothic"/>
          <w:color w:val="000000"/>
        </w:rPr>
        <w:t xml:space="preserve"> to be explored </w:t>
      </w:r>
      <w:r w:rsidR="002D6614" w:rsidRPr="00F30E35">
        <w:rPr>
          <w:rFonts w:eastAsia="MS Gothic"/>
          <w:color w:val="000000"/>
        </w:rPr>
        <w:t>in more detail</w:t>
      </w:r>
      <w:r w:rsidR="001D19A3" w:rsidRPr="00F30E35">
        <w:rPr>
          <w:rFonts w:eastAsia="MS Gothic"/>
          <w:color w:val="000000"/>
        </w:rPr>
        <w:t xml:space="preserve"> </w:t>
      </w:r>
      <w:r w:rsidR="00D17B43" w:rsidRPr="00F30E35">
        <w:rPr>
          <w:rFonts w:eastAsia="MS Gothic"/>
          <w:color w:val="000000"/>
        </w:rPr>
        <w:t>in the cost-effectiveness analysis.</w:t>
      </w:r>
    </w:p>
    <w:p w:rsidR="009D3628" w:rsidRPr="00F30E35" w:rsidRDefault="000A25D2" w:rsidP="00EC5CD2">
      <w:pPr>
        <w:pStyle w:val="ListParagraph"/>
        <w:numPr>
          <w:ilvl w:val="1"/>
          <w:numId w:val="2"/>
        </w:numPr>
        <w:spacing w:before="0" w:after="120"/>
        <w:ind w:left="578" w:hanging="578"/>
        <w:jc w:val="both"/>
      </w:pPr>
      <w:r w:rsidRPr="00F30E35">
        <w:t>Figure 2 presents the Markov trace of the model compared with the RATIFY trial data.</w:t>
      </w:r>
    </w:p>
    <w:p w:rsidR="000A25D2" w:rsidRPr="00F30E35" w:rsidRDefault="000A25D2" w:rsidP="000A25D2">
      <w:pPr>
        <w:pStyle w:val="TableHeading0"/>
      </w:pPr>
      <w:r w:rsidRPr="00F30E35">
        <w:t xml:space="preserve">Figure </w:t>
      </w:r>
      <w:r w:rsidR="00B70605">
        <w:t>2</w:t>
      </w:r>
      <w:r w:rsidRPr="00F30E35">
        <w:t>: Comparison of KM overall curves from RATIFY with overall survival curves generated by the model used to conduct the economic evaluations presented in the submission</w:t>
      </w:r>
    </w:p>
    <w:p w:rsidR="002A788F" w:rsidRPr="00F30E35" w:rsidRDefault="002A788F" w:rsidP="002A788F">
      <w:r w:rsidRPr="00F30E35">
        <w:rPr>
          <w:noProof/>
          <w:lang w:eastAsia="en-AU"/>
        </w:rPr>
        <mc:AlternateContent>
          <mc:Choice Requires="wps">
            <w:drawing>
              <wp:anchor distT="45720" distB="45720" distL="114300" distR="114300" simplePos="0" relativeHeight="251661312" behindDoc="0" locked="0" layoutInCell="1" allowOverlap="1" wp14:anchorId="36E641D9" wp14:editId="3A7904AA">
                <wp:simplePos x="0" y="0"/>
                <wp:positionH relativeFrom="column">
                  <wp:posOffset>3486150</wp:posOffset>
                </wp:positionH>
                <wp:positionV relativeFrom="paragraph">
                  <wp:posOffset>223520</wp:posOffset>
                </wp:positionV>
                <wp:extent cx="2000250" cy="733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FFFF"/>
                        </a:solidFill>
                        <a:ln w="9525">
                          <a:solidFill>
                            <a:srgbClr val="000000"/>
                          </a:solidFill>
                          <a:miter lim="800000"/>
                          <a:headEnd/>
                          <a:tailEnd/>
                        </a:ln>
                      </wps:spPr>
                      <wps:txbx>
                        <w:txbxContent>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Midostaurin – RATIFY</w:t>
                            </w:r>
                          </w:p>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Midostaurin – Model</w:t>
                            </w:r>
                          </w:p>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Placebo – RATIFY</w:t>
                            </w:r>
                          </w:p>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Placebo – Model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5pt;margin-top:17.6pt;width:157.5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">
                <v:textbox>
                  <w:txbxContent>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Midostaurin – RATIFY</w:t>
                      </w:r>
                    </w:p>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Midostaurin – Model</w:t>
                      </w:r>
                    </w:p>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Placebo – RATIFY</w:t>
                      </w:r>
                    </w:p>
                    <w:p w:rsidR="000723B4" w:rsidRPr="009E046F" w:rsidRDefault="000723B4" w:rsidP="002A788F">
                      <w:pPr>
                        <w:spacing w:before="0" w:after="0"/>
                        <w:rPr>
                          <w:rFonts w:ascii="Arial Narrow" w:hAnsi="Arial Narrow"/>
                          <w:sz w:val="20"/>
                          <w:szCs w:val="20"/>
                        </w:rPr>
                      </w:pPr>
                      <w:r w:rsidRPr="009E046F">
                        <w:rPr>
                          <w:rFonts w:ascii="Arial Narrow" w:hAnsi="Arial Narrow"/>
                          <w:sz w:val="20"/>
                          <w:szCs w:val="20"/>
                        </w:rPr>
                        <w:t xml:space="preserve">                   Placebo – Model </w:t>
                      </w:r>
                    </w:p>
                  </w:txbxContent>
                </v:textbox>
              </v:shape>
            </w:pict>
          </mc:Fallback>
        </mc:AlternateContent>
      </w:r>
      <w:r w:rsidRPr="00F30E35">
        <w:rPr>
          <w:noProof/>
          <w:lang w:eastAsia="en-AU"/>
        </w:rPr>
        <mc:AlternateContent>
          <mc:Choice Requires="wps">
            <w:drawing>
              <wp:anchor distT="0" distB="0" distL="114300" distR="114300" simplePos="0" relativeHeight="251666432" behindDoc="0" locked="0" layoutInCell="1" allowOverlap="1" wp14:anchorId="4FB4B7A3" wp14:editId="751EBE2B">
                <wp:simplePos x="0" y="0"/>
                <wp:positionH relativeFrom="column">
                  <wp:posOffset>3590925</wp:posOffset>
                </wp:positionH>
                <wp:positionV relativeFrom="paragraph">
                  <wp:posOffset>771525</wp:posOffset>
                </wp:positionV>
                <wp:extent cx="457200" cy="0"/>
                <wp:effectExtent l="0" t="19050" r="0" b="19050"/>
                <wp:wrapNone/>
                <wp:docPr id="10" name="Straight Connector 10" title="Placebo – Model "/>
                <wp:cNvGraphicFramePr/>
                <a:graphic xmlns:a="http://schemas.openxmlformats.org/drawingml/2006/main">
                  <a:graphicData uri="http://schemas.microsoft.com/office/word/2010/wordprocessingShape">
                    <wps:wsp>
                      <wps:cNvCnPr/>
                      <wps:spPr>
                        <a:xfrm>
                          <a:off x="0" y="0"/>
                          <a:ext cx="457200" cy="0"/>
                        </a:xfrm>
                        <a:prstGeom prst="line">
                          <a:avLst/>
                        </a:prstGeom>
                        <a:ln w="2857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alt="Title: Placebo – Model "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2.75pt,60.75pt" to="318.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" strokecolor="#7f7f7f [1612]" strokeweight="2.25pt">
                <v:stroke dashstyle="dash" joinstyle="miter"/>
              </v:line>
            </w:pict>
          </mc:Fallback>
        </mc:AlternateContent>
      </w:r>
      <w:r w:rsidRPr="00F30E35">
        <w:rPr>
          <w:noProof/>
          <w:lang w:eastAsia="en-AU"/>
        </w:rPr>
        <mc:AlternateContent>
          <mc:Choice Requires="wps">
            <w:drawing>
              <wp:anchor distT="0" distB="0" distL="114300" distR="114300" simplePos="0" relativeHeight="251665408" behindDoc="0" locked="0" layoutInCell="1" allowOverlap="1" wp14:anchorId="09B21E4C" wp14:editId="4F176940">
                <wp:simplePos x="0" y="0"/>
                <wp:positionH relativeFrom="column">
                  <wp:posOffset>3590925</wp:posOffset>
                </wp:positionH>
                <wp:positionV relativeFrom="paragraph">
                  <wp:posOffset>628650</wp:posOffset>
                </wp:positionV>
                <wp:extent cx="457200" cy="0"/>
                <wp:effectExtent l="0" t="19050" r="19050" b="19050"/>
                <wp:wrapNone/>
                <wp:docPr id="8" name="Straight Connector 8" title="Placebo – RATIFY"/>
                <wp:cNvGraphicFramePr/>
                <a:graphic xmlns:a="http://schemas.openxmlformats.org/drawingml/2006/main">
                  <a:graphicData uri="http://schemas.microsoft.com/office/word/2010/wordprocessingShape">
                    <wps:wsp>
                      <wps:cNvCnPr/>
                      <wps:spPr>
                        <a:xfrm>
                          <a:off x="0" y="0"/>
                          <a:ext cx="457200"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alt="Title: Placebo – RATIFY"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75pt,49.5pt" to="31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" strokecolor="#7f7f7f [1612]" strokeweight="2.25pt">
                <v:stroke joinstyle="miter"/>
              </v:line>
            </w:pict>
          </mc:Fallback>
        </mc:AlternateContent>
      </w:r>
      <w:r w:rsidRPr="00F30E35">
        <w:rPr>
          <w:noProof/>
          <w:lang w:eastAsia="en-AU"/>
        </w:rPr>
        <mc:AlternateContent>
          <mc:Choice Requires="wps">
            <w:drawing>
              <wp:anchor distT="0" distB="0" distL="114300" distR="114300" simplePos="0" relativeHeight="251663360" behindDoc="0" locked="0" layoutInCell="1" allowOverlap="1" wp14:anchorId="0306A004" wp14:editId="458AEAFB">
                <wp:simplePos x="0" y="0"/>
                <wp:positionH relativeFrom="column">
                  <wp:posOffset>3600450</wp:posOffset>
                </wp:positionH>
                <wp:positionV relativeFrom="paragraph">
                  <wp:posOffset>476250</wp:posOffset>
                </wp:positionV>
                <wp:extent cx="438150" cy="0"/>
                <wp:effectExtent l="0" t="19050" r="19050" b="19050"/>
                <wp:wrapNone/>
                <wp:docPr id="9" name="Straight Connector 9" title="Midostaurin – Model"/>
                <wp:cNvGraphicFramePr/>
                <a:graphic xmlns:a="http://schemas.openxmlformats.org/drawingml/2006/main">
                  <a:graphicData uri="http://schemas.microsoft.com/office/word/2010/wordprocessingShape">
                    <wps:wsp>
                      <wps:cNvCnPr/>
                      <wps:spPr>
                        <a:xfrm>
                          <a:off x="0" y="0"/>
                          <a:ext cx="438150"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alt="Title: Midostaurin – Model"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3.5pt,37.5pt" to="3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" strokecolor="black [3213]" strokeweight="2.25pt">
                <v:stroke dashstyle="dash" joinstyle="miter"/>
              </v:line>
            </w:pict>
          </mc:Fallback>
        </mc:AlternateContent>
      </w:r>
      <w:r w:rsidRPr="00F30E35">
        <w:rPr>
          <w:noProof/>
          <w:lang w:eastAsia="en-AU"/>
        </w:rPr>
        <mc:AlternateContent>
          <mc:Choice Requires="wps">
            <w:drawing>
              <wp:anchor distT="0" distB="0" distL="114300" distR="114300" simplePos="0" relativeHeight="251662336" behindDoc="0" locked="0" layoutInCell="1" allowOverlap="1" wp14:anchorId="0CDFF54B" wp14:editId="01F6533F">
                <wp:simplePos x="0" y="0"/>
                <wp:positionH relativeFrom="column">
                  <wp:posOffset>3590925</wp:posOffset>
                </wp:positionH>
                <wp:positionV relativeFrom="paragraph">
                  <wp:posOffset>323850</wp:posOffset>
                </wp:positionV>
                <wp:extent cx="438150" cy="0"/>
                <wp:effectExtent l="0" t="19050" r="19050" b="19050"/>
                <wp:wrapNone/>
                <wp:docPr id="4" name="Straight Connector 4" title="Midostaurin – RATIFY"/>
                <wp:cNvGraphicFramePr/>
                <a:graphic xmlns:a="http://schemas.openxmlformats.org/drawingml/2006/main">
                  <a:graphicData uri="http://schemas.microsoft.com/office/word/2010/wordprocessingShape">
                    <wps:wsp>
                      <wps:cNvCnPr/>
                      <wps:spPr>
                        <a:xfrm>
                          <a:off x="0" y="0"/>
                          <a:ext cx="438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alt="Title: Midostaurin – RATIFY"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2.75pt,25.5pt" to="31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" strokecolor="black [3213]" strokeweight="2.25pt">
                <v:stroke joinstyle="miter"/>
              </v:line>
            </w:pict>
          </mc:Fallback>
        </mc:AlternateContent>
      </w:r>
      <w:r w:rsidRPr="00F30E35">
        <w:rPr>
          <w:noProof/>
          <w:lang w:eastAsia="en-AU"/>
        </w:rPr>
        <mc:AlternateContent>
          <mc:Choice Requires="wps">
            <w:drawing>
              <wp:anchor distT="0" distB="0" distL="114300" distR="114300" simplePos="0" relativeHeight="251664384" behindDoc="0" locked="0" layoutInCell="1" allowOverlap="1" wp14:anchorId="407DA902" wp14:editId="2FC97D8E">
                <wp:simplePos x="0" y="0"/>
                <wp:positionH relativeFrom="column">
                  <wp:posOffset>3648075</wp:posOffset>
                </wp:positionH>
                <wp:positionV relativeFrom="paragraph">
                  <wp:posOffset>923925</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72.75pt" to="287.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" strokecolor="black [3213]" strokeweight="2.25pt">
                <v:stroke joinstyle="miter"/>
              </v:line>
            </w:pict>
          </mc:Fallback>
        </mc:AlternateContent>
      </w:r>
      <w:r w:rsidR="007F271D">
        <w:rPr>
          <w:noProof/>
          <w:lang w:eastAsia="en-AU"/>
        </w:rPr>
        <w:drawing>
          <wp:inline distT="0" distB="0" distL="0" distR="0">
            <wp:extent cx="5753100" cy="31908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3100" cy="3190875"/>
                    </a:xfrm>
                    <a:prstGeom prst="rect">
                      <a:avLst/>
                    </a:prstGeom>
                  </pic:spPr>
                </pic:pic>
              </a:graphicData>
            </a:graphic>
          </wp:inline>
        </w:drawing>
      </w:r>
    </w:p>
    <w:p w:rsidR="000A25D2" w:rsidRPr="007F271D" w:rsidRDefault="007F271D" w:rsidP="000A25D2">
      <w:pPr>
        <w:pStyle w:val="TableFooter"/>
        <w:rPr>
          <w:highlight w:val="black"/>
        </w:rPr>
      </w:pPr>
      <w:r>
        <w:rPr>
          <w:noProof/>
          <w:color w:val="000000"/>
          <w:highlight w:val="black"/>
        </w:rPr>
        <w:t xml:space="preserve">'''''''''''''''''''' '''''''''''''''''''''' ''''''''''' '''' ''''''''''''''''''''''''''' ''''''' '''''''''''''' ''''''''''''''''''''' '''''''''''''''' '''''''''' '''''''''''''''' '''''''''''''''''''' </w:t>
      </w:r>
    </w:p>
    <w:p w:rsidR="009F504A" w:rsidRDefault="009F504A" w:rsidP="00EC5CD2">
      <w:pPr>
        <w:pStyle w:val="ListParagraph"/>
        <w:numPr>
          <w:ilvl w:val="1"/>
          <w:numId w:val="2"/>
        </w:numPr>
        <w:spacing w:before="0" w:after="120"/>
        <w:ind w:left="578" w:hanging="578"/>
        <w:jc w:val="both"/>
      </w:pPr>
      <w:r>
        <w:t xml:space="preserve">The PBAC considered that, based on visual inspection of Figure </w:t>
      </w:r>
      <w:r w:rsidR="00B70605">
        <w:t>2</w:t>
      </w:r>
      <w:r>
        <w:t>, the model</w:t>
      </w:r>
      <w:r w:rsidR="006677F0">
        <w:t>’s</w:t>
      </w:r>
      <w:r>
        <w:t xml:space="preserve"> </w:t>
      </w:r>
      <w:r w:rsidR="006677F0">
        <w:t xml:space="preserve">extrapolations </w:t>
      </w:r>
      <w:r w:rsidR="008E4CEF">
        <w:t xml:space="preserve">appeared to </w:t>
      </w:r>
      <w:r>
        <w:t xml:space="preserve">underestimate </w:t>
      </w:r>
      <w:r w:rsidR="0031164B">
        <w:t>survival</w:t>
      </w:r>
      <w:r>
        <w:t xml:space="preserve"> in the placebo arm which would favour midostaurin. </w:t>
      </w:r>
    </w:p>
    <w:p w:rsidR="00C317F3" w:rsidRPr="00F30E35" w:rsidRDefault="000A25D2" w:rsidP="00EC5CD2">
      <w:pPr>
        <w:pStyle w:val="ListParagraph"/>
        <w:numPr>
          <w:ilvl w:val="1"/>
          <w:numId w:val="2"/>
        </w:numPr>
        <w:spacing w:before="0" w:after="120"/>
        <w:ind w:left="578" w:hanging="578"/>
        <w:jc w:val="both"/>
      </w:pPr>
      <w:r w:rsidRPr="00F30E35">
        <w:t>The submission presented univariate sensitivity analyses. These analyses demonstrated the ICER was sensitive to the discount rate applied (0% leading to a decreased cost/</w:t>
      </w:r>
      <w:r w:rsidR="001403EF" w:rsidRPr="001403EF">
        <w:t xml:space="preserve"> Quality adjusted life year </w:t>
      </w:r>
      <w:r w:rsidR="001403EF">
        <w:t>[</w:t>
      </w:r>
      <w:r w:rsidRPr="00F30E35">
        <w:t>QALY</w:t>
      </w:r>
      <w:r w:rsidR="001403EF">
        <w:t>]</w:t>
      </w:r>
      <w:r w:rsidRPr="00F30E35">
        <w:t xml:space="preserve"> gained), proportion of older patients (fewer older patients led to a decreased cost/QALY gained), and reducing the excess mortality in patients surviving more than 5 years after remission consolidated by SCT</w:t>
      </w:r>
      <w:r w:rsidR="00C63960" w:rsidRPr="00F30E35">
        <w:t xml:space="preserve"> </w:t>
      </w:r>
      <w:r w:rsidR="00F73DEF" w:rsidRPr="00F30E35">
        <w:t>(</w:t>
      </w:r>
      <w:r w:rsidR="00C63960" w:rsidRPr="00F30E35">
        <w:t>lead</w:t>
      </w:r>
      <w:r w:rsidR="00F73DEF" w:rsidRPr="00F30E35">
        <w:t>ing</w:t>
      </w:r>
      <w:r w:rsidR="00C63960" w:rsidRPr="00F30E35">
        <w:t xml:space="preserve"> to a decreased cost/QALY gained</w:t>
      </w:r>
      <w:r w:rsidR="00F73DEF" w:rsidRPr="00F30E35">
        <w:t>)</w:t>
      </w:r>
      <w:r w:rsidR="00C63960" w:rsidRPr="00F30E35">
        <w:t>. Univariate sensitivity analyses conducted during the evaluation demonstrated that the ICER was also sensitive to the utilities applied to the post-SCT and relapsed/refractory health states.</w:t>
      </w:r>
    </w:p>
    <w:p w:rsidR="0004770E" w:rsidRPr="00F30E35" w:rsidRDefault="0004770E" w:rsidP="00EC5CD2">
      <w:pPr>
        <w:pStyle w:val="ListParagraph"/>
        <w:numPr>
          <w:ilvl w:val="1"/>
          <w:numId w:val="2"/>
        </w:numPr>
        <w:spacing w:before="0" w:after="120"/>
        <w:ind w:left="578" w:hanging="578"/>
        <w:jc w:val="both"/>
      </w:pPr>
      <w:r w:rsidRPr="001E39AA">
        <w:rPr>
          <w:szCs w:val="24"/>
        </w:rPr>
        <w:t>The</w:t>
      </w:r>
      <w:r w:rsidRPr="00F30E35">
        <w:t xml:space="preserve"> ESC noted that </w:t>
      </w:r>
      <w:r w:rsidRPr="00F30E35">
        <w:rPr>
          <w:szCs w:val="24"/>
        </w:rPr>
        <w:t xml:space="preserve">although the structure </w:t>
      </w:r>
      <w:r w:rsidR="002D2F03" w:rsidRPr="00F30E35">
        <w:rPr>
          <w:szCs w:val="24"/>
        </w:rPr>
        <w:t xml:space="preserve">of the economic </w:t>
      </w:r>
      <w:r w:rsidR="002D2F03" w:rsidRPr="00325B6D">
        <w:rPr>
          <w:szCs w:val="24"/>
        </w:rPr>
        <w:t xml:space="preserve">model </w:t>
      </w:r>
      <w:r w:rsidRPr="00325B6D">
        <w:rPr>
          <w:szCs w:val="24"/>
        </w:rPr>
        <w:t xml:space="preserve">and the use of </w:t>
      </w:r>
      <w:r w:rsidR="007F271D">
        <w:rPr>
          <w:noProof/>
          <w:color w:val="000000"/>
          <w:szCs w:val="24"/>
          <w:highlight w:val="black"/>
        </w:rPr>
        <w:t>''''''''''''''''''' '''''''''''''' '''''''''' ''''''''' '''''' '''''''''''''' '''''''</w:t>
      </w:r>
      <w:r w:rsidRPr="00325B6D">
        <w:rPr>
          <w:szCs w:val="24"/>
        </w:rPr>
        <w:t xml:space="preserve"> to construct the model</w:t>
      </w:r>
      <w:r w:rsidRPr="00F30E35">
        <w:rPr>
          <w:szCs w:val="24"/>
        </w:rPr>
        <w:t xml:space="preserve"> was reasonable, </w:t>
      </w:r>
      <w:r w:rsidR="001C3A11" w:rsidRPr="00F30E35">
        <w:rPr>
          <w:szCs w:val="24"/>
        </w:rPr>
        <w:t xml:space="preserve">the model was sufficiently inflexible such that </w:t>
      </w:r>
      <w:r w:rsidRPr="00F30E35">
        <w:t>no sensitivity analyses were presented or could be conducted</w:t>
      </w:r>
      <w:r w:rsidR="002D2F03" w:rsidRPr="00F30E35">
        <w:t xml:space="preserve"> during to evaluation</w:t>
      </w:r>
      <w:r w:rsidRPr="00F30E35">
        <w:t xml:space="preserve"> to test variations in important prognostic factors including, but not limited to, FTL3 subtype, </w:t>
      </w:r>
      <w:r w:rsidR="00F331AB" w:rsidRPr="00F30E35">
        <w:t>SCT</w:t>
      </w:r>
      <w:r w:rsidRPr="00F30E35">
        <w:t xml:space="preserve"> and gender, nor to test </w:t>
      </w:r>
      <w:r w:rsidR="00F331AB" w:rsidRPr="00F30E35">
        <w:t xml:space="preserve">variations in the </w:t>
      </w:r>
      <w:r w:rsidRPr="00F30E35">
        <w:t>health state transition probabilities</w:t>
      </w:r>
      <w:r w:rsidR="00AF2F5B" w:rsidRPr="00F30E35">
        <w:t xml:space="preserve">, or the numbers of consolidation </w:t>
      </w:r>
      <w:r w:rsidR="00AF2F5B" w:rsidRPr="00F30E35">
        <w:lastRenderedPageBreak/>
        <w:t>cycles</w:t>
      </w:r>
      <w:r w:rsidR="001268EE">
        <w:t xml:space="preserve"> and extent of maintenance, including if the older population differed in midostaurin use compared with the modelled treatment course</w:t>
      </w:r>
      <w:r w:rsidRPr="00F30E35">
        <w:t>.</w:t>
      </w:r>
    </w:p>
    <w:p w:rsidR="00C317F3" w:rsidRPr="008D3D16" w:rsidRDefault="0048069F" w:rsidP="00C846BE">
      <w:pPr>
        <w:pStyle w:val="Heading2"/>
      </w:pPr>
      <w:bookmarkStart w:id="23" w:name="_Toc413139283"/>
      <w:bookmarkStart w:id="24" w:name="_Toc482680473"/>
      <w:r>
        <w:rPr>
          <w:i w:val="0"/>
        </w:rPr>
        <w:t xml:space="preserve"> </w:t>
      </w:r>
      <w:r w:rsidR="00C317F3" w:rsidRPr="008D3D16">
        <w:t>Drug cost/patient/course</w:t>
      </w:r>
      <w:r w:rsidR="001E1E47" w:rsidRPr="008D3D16">
        <w:t xml:space="preserve"> </w:t>
      </w:r>
      <w:bookmarkEnd w:id="23"/>
      <w:bookmarkEnd w:id="24"/>
    </w:p>
    <w:p w:rsidR="007C2041" w:rsidRPr="00F30E35" w:rsidRDefault="007C2041" w:rsidP="00EC5CD2">
      <w:pPr>
        <w:pStyle w:val="ListParagraph"/>
        <w:numPr>
          <w:ilvl w:val="1"/>
          <w:numId w:val="2"/>
        </w:numPr>
        <w:spacing w:before="0" w:after="120"/>
        <w:ind w:left="578" w:hanging="578"/>
        <w:jc w:val="both"/>
      </w:pPr>
      <w:r w:rsidRPr="00F30E35">
        <w:t>The submission estimate</w:t>
      </w:r>
      <w:r w:rsidR="0073728A" w:rsidRPr="00F30E35">
        <w:t>d</w:t>
      </w:r>
      <w:r w:rsidRPr="00F30E35">
        <w:t xml:space="preserve"> a cost of $</w:t>
      </w:r>
      <w:r w:rsidR="007F271D">
        <w:rPr>
          <w:noProof/>
          <w:color w:val="000000"/>
          <w:highlight w:val="black"/>
        </w:rPr>
        <w:t>''''''''''''</w:t>
      </w:r>
      <w:r w:rsidRPr="00F30E35">
        <w:t>, with $</w:t>
      </w:r>
      <w:r w:rsidR="007F271D">
        <w:rPr>
          <w:noProof/>
          <w:color w:val="000000"/>
          <w:highlight w:val="black"/>
        </w:rPr>
        <w:t>''''''''''''''</w:t>
      </w:r>
      <w:r w:rsidRPr="00F30E35">
        <w:t xml:space="preserve"> of this cost incurred </w:t>
      </w:r>
      <w:r w:rsidR="00C46DED">
        <w:t>during</w:t>
      </w:r>
      <w:r w:rsidRPr="00F30E35">
        <w:t xml:space="preserve"> hospitalisation and the remaining $</w:t>
      </w:r>
      <w:r w:rsidR="007F271D">
        <w:rPr>
          <w:noProof/>
          <w:color w:val="000000"/>
          <w:highlight w:val="black"/>
        </w:rPr>
        <w:t>''''''''''''''</w:t>
      </w:r>
      <w:r w:rsidRPr="00F30E35">
        <w:t xml:space="preserve"> </w:t>
      </w:r>
      <w:r w:rsidR="00903F9D" w:rsidRPr="00F30E35">
        <w:t>incurred</w:t>
      </w:r>
      <w:r w:rsidR="001C3A11" w:rsidRPr="00F30E35">
        <w:t xml:space="preserve"> </w:t>
      </w:r>
      <w:r w:rsidRPr="00F30E35">
        <w:t>in an outpatient setting (assuming</w:t>
      </w:r>
      <w:r w:rsidR="0073728A" w:rsidRPr="00F30E35">
        <w:t xml:space="preserve"> </w:t>
      </w:r>
      <w:r w:rsidR="007F271D">
        <w:rPr>
          <w:noProof/>
          <w:color w:val="000000"/>
          <w:highlight w:val="black"/>
        </w:rPr>
        <w:t>''''''''</w:t>
      </w:r>
      <w:r w:rsidRPr="00F30E35">
        <w:t xml:space="preserve">% of </w:t>
      </w:r>
      <w:r w:rsidR="00330AC1" w:rsidRPr="00F30E35">
        <w:t>induction</w:t>
      </w:r>
      <w:r w:rsidRPr="00F30E35">
        <w:t xml:space="preserve"> and </w:t>
      </w:r>
      <w:r w:rsidR="007F271D">
        <w:rPr>
          <w:noProof/>
          <w:color w:val="000000"/>
          <w:highlight w:val="black"/>
        </w:rPr>
        <w:t>'''''</w:t>
      </w:r>
      <w:r w:rsidRPr="00F30E35">
        <w:t>% of consolidation treatments are administered in hospital and based on the average number of packs dispensed in the RATIFY trial).</w:t>
      </w:r>
      <w:r w:rsidR="001C3A11" w:rsidRPr="00F30E35">
        <w:t xml:space="preserve"> The ESC considered that the proportion of </w:t>
      </w:r>
      <w:r w:rsidR="001915B2" w:rsidRPr="00F30E35">
        <w:t xml:space="preserve">AML patients who would receive </w:t>
      </w:r>
      <w:r w:rsidR="001C3A11" w:rsidRPr="00F30E35">
        <w:t>consolidation treatment in the inpatient setting would be closer to 90%.</w:t>
      </w:r>
    </w:p>
    <w:p w:rsidR="00C317F3" w:rsidRPr="008D3D16" w:rsidRDefault="00C317F3" w:rsidP="00C846BE">
      <w:pPr>
        <w:pStyle w:val="Heading2"/>
      </w:pPr>
      <w:bookmarkStart w:id="25" w:name="_Toc413139284"/>
      <w:bookmarkStart w:id="26" w:name="_Toc482680474"/>
      <w:r w:rsidRPr="008D3D16">
        <w:t>Estimated PBS usage &amp; financial implications</w:t>
      </w:r>
      <w:bookmarkEnd w:id="25"/>
      <w:bookmarkEnd w:id="26"/>
    </w:p>
    <w:p w:rsidR="00C317F3" w:rsidRPr="00F30E35" w:rsidRDefault="00C317F3" w:rsidP="00EC5CD2">
      <w:pPr>
        <w:pStyle w:val="ListParagraph"/>
        <w:numPr>
          <w:ilvl w:val="1"/>
          <w:numId w:val="2"/>
        </w:numPr>
        <w:spacing w:before="0" w:after="120"/>
        <w:ind w:left="578" w:hanging="578"/>
        <w:jc w:val="both"/>
      </w:pPr>
      <w:r w:rsidRPr="00F30E35">
        <w:t xml:space="preserve">This submission </w:t>
      </w:r>
      <w:r w:rsidR="00014FF5" w:rsidRPr="00F30E35">
        <w:t>was</w:t>
      </w:r>
      <w:r w:rsidRPr="00F30E35">
        <w:t xml:space="preserve"> not considered by DUSC.  </w:t>
      </w:r>
    </w:p>
    <w:p w:rsidR="00C317F3" w:rsidRPr="00F30E35" w:rsidRDefault="00C317F3" w:rsidP="00D1078F">
      <w:pPr>
        <w:pStyle w:val="TableHeading0"/>
      </w:pPr>
      <w:r w:rsidRPr="00F30E35">
        <w:t xml:space="preserve">Table </w:t>
      </w:r>
      <w:r w:rsidR="00063A32">
        <w:t>10</w:t>
      </w:r>
      <w:r w:rsidRPr="00F30E35">
        <w:t>:</w:t>
      </w:r>
      <w:r w:rsidR="00DF4C9E" w:rsidRPr="00F30E35">
        <w:t xml:space="preserve"> </w:t>
      </w:r>
      <w:r w:rsidRPr="00F30E35">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43"/>
        <w:gridCol w:w="1036"/>
        <w:gridCol w:w="1031"/>
        <w:gridCol w:w="1070"/>
        <w:gridCol w:w="1031"/>
        <w:gridCol w:w="992"/>
        <w:gridCol w:w="1070"/>
        <w:gridCol w:w="1031"/>
      </w:tblGrid>
      <w:tr w:rsidR="00EF718C" w:rsidRPr="00F30E35" w:rsidTr="00EF718C">
        <w:trPr>
          <w:tblHeader/>
        </w:trPr>
        <w:tc>
          <w:tcPr>
            <w:tcW w:w="1663" w:type="pct"/>
            <w:gridSpan w:val="2"/>
            <w:shd w:val="clear" w:color="auto" w:fill="auto"/>
            <w:vAlign w:val="center"/>
          </w:tcPr>
          <w:p w:rsidR="00E37424" w:rsidRPr="00F30E35" w:rsidRDefault="00E37424" w:rsidP="00D1078F">
            <w:pPr>
              <w:pStyle w:val="TableText"/>
            </w:pPr>
          </w:p>
        </w:tc>
        <w:tc>
          <w:tcPr>
            <w:tcW w:w="556" w:type="pct"/>
            <w:shd w:val="clear" w:color="auto" w:fill="auto"/>
            <w:vAlign w:val="center"/>
          </w:tcPr>
          <w:p w:rsidR="00E37424" w:rsidRPr="00F30E35" w:rsidRDefault="00E37424" w:rsidP="00D1078F">
            <w:pPr>
              <w:pStyle w:val="TableText"/>
              <w:jc w:val="center"/>
              <w:rPr>
                <w:b/>
              </w:rPr>
            </w:pPr>
            <w:r w:rsidRPr="00F30E35">
              <w:rPr>
                <w:b/>
              </w:rPr>
              <w:t>Year 1</w:t>
            </w:r>
          </w:p>
        </w:tc>
        <w:tc>
          <w:tcPr>
            <w:tcW w:w="556" w:type="pct"/>
            <w:shd w:val="clear" w:color="auto" w:fill="auto"/>
            <w:vAlign w:val="center"/>
          </w:tcPr>
          <w:p w:rsidR="00E37424" w:rsidRPr="00F30E35" w:rsidRDefault="00E37424" w:rsidP="00D1078F">
            <w:pPr>
              <w:pStyle w:val="TableText"/>
              <w:jc w:val="center"/>
              <w:rPr>
                <w:b/>
              </w:rPr>
            </w:pPr>
            <w:r w:rsidRPr="00F30E35">
              <w:rPr>
                <w:b/>
              </w:rPr>
              <w:t>Year 2</w:t>
            </w:r>
          </w:p>
        </w:tc>
        <w:tc>
          <w:tcPr>
            <w:tcW w:w="556" w:type="pct"/>
            <w:shd w:val="clear" w:color="auto" w:fill="auto"/>
            <w:vAlign w:val="center"/>
          </w:tcPr>
          <w:p w:rsidR="00E37424" w:rsidRPr="00F30E35" w:rsidRDefault="00E37424" w:rsidP="00D1078F">
            <w:pPr>
              <w:pStyle w:val="TableText"/>
              <w:jc w:val="center"/>
              <w:rPr>
                <w:b/>
              </w:rPr>
            </w:pPr>
            <w:r w:rsidRPr="00F30E35">
              <w:rPr>
                <w:b/>
              </w:rPr>
              <w:t>Year 3</w:t>
            </w:r>
          </w:p>
        </w:tc>
        <w:tc>
          <w:tcPr>
            <w:tcW w:w="556" w:type="pct"/>
            <w:shd w:val="clear" w:color="auto" w:fill="auto"/>
            <w:vAlign w:val="center"/>
          </w:tcPr>
          <w:p w:rsidR="00E37424" w:rsidRPr="00F30E35" w:rsidRDefault="00E37424" w:rsidP="00D1078F">
            <w:pPr>
              <w:pStyle w:val="TableText"/>
              <w:jc w:val="center"/>
              <w:rPr>
                <w:b/>
              </w:rPr>
            </w:pPr>
            <w:r w:rsidRPr="00F30E35">
              <w:rPr>
                <w:b/>
              </w:rPr>
              <w:t>Year 4</w:t>
            </w:r>
          </w:p>
        </w:tc>
        <w:tc>
          <w:tcPr>
            <w:tcW w:w="556" w:type="pct"/>
            <w:shd w:val="clear" w:color="auto" w:fill="auto"/>
            <w:vAlign w:val="center"/>
          </w:tcPr>
          <w:p w:rsidR="00E37424" w:rsidRPr="00F30E35" w:rsidRDefault="00E37424" w:rsidP="00D1078F">
            <w:pPr>
              <w:pStyle w:val="TableText"/>
              <w:jc w:val="center"/>
              <w:rPr>
                <w:b/>
              </w:rPr>
            </w:pPr>
            <w:r w:rsidRPr="00F30E35">
              <w:rPr>
                <w:b/>
              </w:rPr>
              <w:t>Year 5</w:t>
            </w:r>
          </w:p>
        </w:tc>
        <w:tc>
          <w:tcPr>
            <w:tcW w:w="557" w:type="pct"/>
          </w:tcPr>
          <w:p w:rsidR="00E37424" w:rsidRPr="00F30E35" w:rsidRDefault="00E37424" w:rsidP="00D1078F">
            <w:pPr>
              <w:pStyle w:val="TableText"/>
              <w:jc w:val="center"/>
              <w:rPr>
                <w:b/>
              </w:rPr>
            </w:pPr>
            <w:r w:rsidRPr="00F30E35">
              <w:rPr>
                <w:b/>
              </w:rPr>
              <w:t>Year 6</w:t>
            </w:r>
          </w:p>
        </w:tc>
      </w:tr>
      <w:tr w:rsidR="00E37424" w:rsidRPr="00F30E35" w:rsidTr="00E37424">
        <w:tc>
          <w:tcPr>
            <w:tcW w:w="5000" w:type="pct"/>
            <w:gridSpan w:val="8"/>
            <w:shd w:val="clear" w:color="auto" w:fill="auto"/>
            <w:vAlign w:val="center"/>
          </w:tcPr>
          <w:p w:rsidR="00E37424" w:rsidRPr="00F30E35" w:rsidRDefault="00E37424" w:rsidP="00D1078F">
            <w:pPr>
              <w:pStyle w:val="TableText"/>
              <w:rPr>
                <w:b/>
                <w:bCs/>
                <w:color w:val="000000"/>
              </w:rPr>
            </w:pPr>
            <w:r w:rsidRPr="00F30E35">
              <w:rPr>
                <w:b/>
                <w:bCs/>
                <w:color w:val="000000"/>
              </w:rPr>
              <w:t>Estimated extent of use</w:t>
            </w:r>
          </w:p>
        </w:tc>
      </w:tr>
      <w:tr w:rsidR="00EF718C" w:rsidRPr="00F30E35" w:rsidTr="00EF718C">
        <w:tc>
          <w:tcPr>
            <w:tcW w:w="1663" w:type="pct"/>
            <w:gridSpan w:val="2"/>
            <w:shd w:val="clear" w:color="auto" w:fill="auto"/>
            <w:vAlign w:val="center"/>
          </w:tcPr>
          <w:p w:rsidR="00DF4C9E" w:rsidRPr="00F30E35" w:rsidRDefault="00DF4C9E" w:rsidP="00DF4C9E">
            <w:pPr>
              <w:pStyle w:val="TableText"/>
              <w:rPr>
                <w:rFonts w:ascii="Times" w:eastAsia="Times New Roman" w:hAnsi="Times" w:cs="Times New Roman"/>
              </w:rPr>
            </w:pPr>
            <w:r w:rsidRPr="00F30E35">
              <w:t>Number of patients treated</w:t>
            </w:r>
          </w:p>
        </w:tc>
        <w:tc>
          <w:tcPr>
            <w:tcW w:w="556" w:type="pct"/>
            <w:shd w:val="clear" w:color="auto" w:fill="auto"/>
            <w:vAlign w:val="center"/>
          </w:tcPr>
          <w:p w:rsidR="00DF4C9E" w:rsidRPr="007F271D" w:rsidRDefault="007F271D" w:rsidP="00C63960">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DF4C9E" w:rsidRPr="007F271D" w:rsidRDefault="007F271D" w:rsidP="00C63960">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DF4C9E" w:rsidRPr="007F271D" w:rsidRDefault="007F271D" w:rsidP="00C63960">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DF4C9E" w:rsidRPr="007F271D" w:rsidRDefault="007F271D" w:rsidP="00C63960">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DF4C9E" w:rsidRPr="007F271D" w:rsidRDefault="007F271D" w:rsidP="00C63960">
            <w:pPr>
              <w:pStyle w:val="TableText"/>
              <w:jc w:val="center"/>
              <w:rPr>
                <w:bCs/>
                <w:color w:val="000000"/>
                <w:highlight w:val="black"/>
              </w:rPr>
            </w:pPr>
            <w:r>
              <w:rPr>
                <w:rFonts w:cs="Calibri"/>
                <w:noProof/>
                <w:color w:val="000000"/>
                <w:szCs w:val="20"/>
                <w:highlight w:val="black"/>
              </w:rPr>
              <w:t>''''''''''</w:t>
            </w:r>
          </w:p>
        </w:tc>
        <w:tc>
          <w:tcPr>
            <w:tcW w:w="557" w:type="pct"/>
            <w:vAlign w:val="center"/>
          </w:tcPr>
          <w:p w:rsidR="00DF4C9E" w:rsidRPr="007F271D" w:rsidRDefault="007F271D" w:rsidP="00C63960">
            <w:pPr>
              <w:pStyle w:val="TableText"/>
              <w:jc w:val="center"/>
              <w:rPr>
                <w:bCs/>
                <w:color w:val="000000"/>
                <w:highlight w:val="black"/>
              </w:rPr>
            </w:pPr>
            <w:r>
              <w:rPr>
                <w:rFonts w:cs="Calibri"/>
                <w:noProof/>
                <w:color w:val="000000"/>
                <w:szCs w:val="20"/>
                <w:highlight w:val="black"/>
              </w:rPr>
              <w:t>'''''''''</w:t>
            </w:r>
          </w:p>
        </w:tc>
      </w:tr>
      <w:tr w:rsidR="00EF718C" w:rsidRPr="00F30E35" w:rsidTr="00EF718C">
        <w:tc>
          <w:tcPr>
            <w:tcW w:w="1028" w:type="pct"/>
            <w:vMerge w:val="restart"/>
            <w:shd w:val="clear" w:color="auto" w:fill="auto"/>
            <w:vAlign w:val="center"/>
          </w:tcPr>
          <w:p w:rsidR="00EF718C" w:rsidRPr="00F30E35" w:rsidRDefault="00EF718C" w:rsidP="00EF718C">
            <w:pPr>
              <w:pStyle w:val="TableText"/>
              <w:rPr>
                <w:rFonts w:ascii="Times" w:eastAsia="Times New Roman" w:hAnsi="Times" w:cs="Times New Roman"/>
                <w:vertAlign w:val="superscript"/>
              </w:rPr>
            </w:pPr>
            <w:r w:rsidRPr="00F30E35">
              <w:rPr>
                <w:rFonts w:cs="Calibri"/>
                <w:color w:val="000000"/>
                <w:szCs w:val="20"/>
              </w:rPr>
              <w:t>Packs of midostaurin 25 mg x 56 (1 pack per induction and consolidation cycle)</w:t>
            </w:r>
          </w:p>
        </w:tc>
        <w:tc>
          <w:tcPr>
            <w:tcW w:w="635" w:type="pct"/>
            <w:shd w:val="clear" w:color="auto" w:fill="auto"/>
            <w:vAlign w:val="center"/>
          </w:tcPr>
          <w:p w:rsidR="00EF718C" w:rsidRPr="00F30E35" w:rsidRDefault="00EF718C" w:rsidP="00EF718C">
            <w:pPr>
              <w:pStyle w:val="TableText"/>
              <w:jc w:val="center"/>
              <w:rPr>
                <w:rFonts w:ascii="Times" w:eastAsia="Times New Roman" w:hAnsi="Times" w:cs="Times New Roman"/>
                <w:vertAlign w:val="superscript"/>
              </w:rPr>
            </w:pPr>
            <w:r w:rsidRPr="00F30E35">
              <w:rPr>
                <w:rFonts w:cs="Calibri"/>
                <w:color w:val="000000"/>
                <w:szCs w:val="20"/>
              </w:rPr>
              <w:t>Hospital and PBS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r>
      <w:tr w:rsidR="00EF718C" w:rsidRPr="00F30E35" w:rsidTr="00EF718C">
        <w:tc>
          <w:tcPr>
            <w:tcW w:w="1028" w:type="pct"/>
            <w:vMerge/>
            <w:shd w:val="clear" w:color="auto" w:fill="auto"/>
            <w:vAlign w:val="center"/>
          </w:tcPr>
          <w:p w:rsidR="00EF718C" w:rsidRPr="00F30E35" w:rsidRDefault="00EF718C" w:rsidP="00EF718C">
            <w:pPr>
              <w:pStyle w:val="TableText"/>
            </w:pPr>
          </w:p>
        </w:tc>
        <w:tc>
          <w:tcPr>
            <w:tcW w:w="635" w:type="pct"/>
            <w:shd w:val="clear" w:color="auto" w:fill="auto"/>
            <w:vAlign w:val="center"/>
          </w:tcPr>
          <w:p w:rsidR="00EF718C" w:rsidRPr="00F30E35" w:rsidRDefault="00EF718C" w:rsidP="00EF718C">
            <w:pPr>
              <w:pStyle w:val="TableText"/>
              <w:jc w:val="center"/>
            </w:pPr>
            <w:r w:rsidRPr="00F30E35">
              <w:rPr>
                <w:rFonts w:cs="Calibri"/>
                <w:color w:val="000000"/>
                <w:szCs w:val="20"/>
              </w:rPr>
              <w:t>PBS only</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r>
      <w:tr w:rsidR="00EF718C" w:rsidRPr="00F30E35" w:rsidTr="00EF718C">
        <w:tc>
          <w:tcPr>
            <w:tcW w:w="1028" w:type="pct"/>
            <w:vMerge w:val="restart"/>
            <w:shd w:val="clear" w:color="auto" w:fill="auto"/>
            <w:vAlign w:val="center"/>
          </w:tcPr>
          <w:p w:rsidR="00EF718C" w:rsidRPr="00F30E35" w:rsidRDefault="00EF718C" w:rsidP="00EF718C">
            <w:pPr>
              <w:pStyle w:val="TableText"/>
            </w:pPr>
            <w:r w:rsidRPr="00F30E35">
              <w:rPr>
                <w:rFonts w:cs="Calibri"/>
                <w:color w:val="000000"/>
                <w:szCs w:val="20"/>
              </w:rPr>
              <w:t>Packs of midostaurin 25 mg x 112 (1 pack per maintenance cycle)</w:t>
            </w:r>
          </w:p>
        </w:tc>
        <w:tc>
          <w:tcPr>
            <w:tcW w:w="635" w:type="pct"/>
            <w:shd w:val="clear" w:color="auto" w:fill="auto"/>
            <w:vAlign w:val="center"/>
          </w:tcPr>
          <w:p w:rsidR="00EF718C" w:rsidRPr="00F30E35" w:rsidRDefault="00EF718C" w:rsidP="00EF718C">
            <w:pPr>
              <w:pStyle w:val="TableText"/>
              <w:jc w:val="center"/>
            </w:pPr>
            <w:r w:rsidRPr="00F30E35">
              <w:rPr>
                <w:rFonts w:cs="Calibri"/>
                <w:color w:val="000000"/>
                <w:szCs w:val="20"/>
              </w:rPr>
              <w:t>Hospital and PBS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r>
      <w:tr w:rsidR="00EF718C" w:rsidRPr="00F30E35" w:rsidTr="00EF718C">
        <w:tc>
          <w:tcPr>
            <w:tcW w:w="1028" w:type="pct"/>
            <w:vMerge/>
            <w:shd w:val="clear" w:color="auto" w:fill="auto"/>
            <w:vAlign w:val="center"/>
          </w:tcPr>
          <w:p w:rsidR="00EF718C" w:rsidRPr="00F30E35" w:rsidRDefault="00EF718C" w:rsidP="00EF718C">
            <w:pPr>
              <w:pStyle w:val="TableText"/>
            </w:pPr>
          </w:p>
        </w:tc>
        <w:tc>
          <w:tcPr>
            <w:tcW w:w="635" w:type="pct"/>
            <w:shd w:val="clear" w:color="auto" w:fill="auto"/>
            <w:vAlign w:val="center"/>
          </w:tcPr>
          <w:p w:rsidR="00EF718C" w:rsidRPr="00F30E35" w:rsidRDefault="00EF718C" w:rsidP="00EF718C">
            <w:pPr>
              <w:pStyle w:val="TableText"/>
              <w:jc w:val="center"/>
            </w:pPr>
            <w:r w:rsidRPr="00F30E35">
              <w:rPr>
                <w:rFonts w:cs="Calibri"/>
                <w:color w:val="000000"/>
                <w:szCs w:val="20"/>
              </w:rPr>
              <w:t>PBS only</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r>
      <w:tr w:rsidR="00EF718C" w:rsidRPr="00F30E35" w:rsidTr="00E37424">
        <w:tc>
          <w:tcPr>
            <w:tcW w:w="5000" w:type="pct"/>
            <w:gridSpan w:val="8"/>
            <w:shd w:val="clear" w:color="auto" w:fill="auto"/>
            <w:vAlign w:val="center"/>
          </w:tcPr>
          <w:p w:rsidR="00EF718C" w:rsidRPr="00F30E35" w:rsidRDefault="00EF718C" w:rsidP="00EF718C">
            <w:pPr>
              <w:pStyle w:val="TableText"/>
              <w:rPr>
                <w:b/>
                <w:bCs/>
                <w:color w:val="000000"/>
              </w:rPr>
            </w:pPr>
            <w:r w:rsidRPr="00F30E35">
              <w:rPr>
                <w:b/>
                <w:bCs/>
                <w:color w:val="000000"/>
              </w:rPr>
              <w:t>Estimated financial implications of midostaurin</w:t>
            </w:r>
          </w:p>
        </w:tc>
      </w:tr>
      <w:tr w:rsidR="00EF718C" w:rsidRPr="00F30E35" w:rsidTr="00EF718C">
        <w:tc>
          <w:tcPr>
            <w:tcW w:w="1663" w:type="pct"/>
            <w:gridSpan w:val="2"/>
            <w:shd w:val="clear" w:color="auto" w:fill="auto"/>
            <w:vAlign w:val="center"/>
          </w:tcPr>
          <w:p w:rsidR="00EF718C" w:rsidRPr="00F30E35" w:rsidRDefault="00EF718C" w:rsidP="00EF718C">
            <w:pPr>
              <w:pStyle w:val="TableText"/>
              <w:rPr>
                <w:rFonts w:ascii="Times" w:eastAsia="Times New Roman" w:hAnsi="Times" w:cs="Times New Roman"/>
              </w:rPr>
            </w:pPr>
            <w:r w:rsidRPr="00F30E35">
              <w:rPr>
                <w:sz w:val="19"/>
                <w:szCs w:val="19"/>
              </w:rPr>
              <w:t>Cost to PBS/RPBS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r>
      <w:tr w:rsidR="00EF718C" w:rsidRPr="00F30E35" w:rsidTr="00EF718C">
        <w:tc>
          <w:tcPr>
            <w:tcW w:w="1663" w:type="pct"/>
            <w:gridSpan w:val="2"/>
            <w:shd w:val="clear" w:color="auto" w:fill="auto"/>
            <w:vAlign w:val="center"/>
          </w:tcPr>
          <w:p w:rsidR="00EF718C" w:rsidRPr="00F30E35" w:rsidRDefault="00150FBC" w:rsidP="00EF718C">
            <w:pPr>
              <w:pStyle w:val="TableText"/>
              <w:rPr>
                <w:sz w:val="19"/>
                <w:szCs w:val="19"/>
              </w:rPr>
            </w:pPr>
            <w:r w:rsidRPr="00F30E35">
              <w:rPr>
                <w:sz w:val="19"/>
                <w:szCs w:val="19"/>
              </w:rPr>
              <w:t>Co-payments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noProof/>
                <w:color w:val="000000"/>
                <w:szCs w:val="20"/>
                <w:highlight w:val="black"/>
              </w:rPr>
              <w:t>'''''''''''''''''''</w:t>
            </w:r>
          </w:p>
        </w:tc>
      </w:tr>
      <w:tr w:rsidR="00EF718C" w:rsidRPr="00F30E35" w:rsidTr="00EF718C">
        <w:tc>
          <w:tcPr>
            <w:tcW w:w="1663" w:type="pct"/>
            <w:gridSpan w:val="2"/>
            <w:shd w:val="clear" w:color="auto" w:fill="auto"/>
            <w:vAlign w:val="center"/>
          </w:tcPr>
          <w:p w:rsidR="00EF718C" w:rsidRPr="00F30E35" w:rsidRDefault="00EF718C" w:rsidP="00EF718C">
            <w:pPr>
              <w:pStyle w:val="TableText"/>
              <w:rPr>
                <w:sz w:val="19"/>
                <w:szCs w:val="19"/>
              </w:rPr>
            </w:pPr>
            <w:r w:rsidRPr="00F30E35">
              <w:rPr>
                <w:sz w:val="19"/>
                <w:szCs w:val="19"/>
              </w:rPr>
              <w:t xml:space="preserve">Cost to PBS/RPBS less </w:t>
            </w:r>
            <w:r w:rsidR="00150FBC" w:rsidRPr="00F30E35">
              <w:rPr>
                <w:sz w:val="19"/>
                <w:szCs w:val="19"/>
              </w:rPr>
              <w:t>co-payments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r>
      <w:tr w:rsidR="00EF718C" w:rsidRPr="00F30E35" w:rsidTr="00607758">
        <w:tc>
          <w:tcPr>
            <w:tcW w:w="5000" w:type="pct"/>
            <w:gridSpan w:val="8"/>
            <w:shd w:val="clear" w:color="auto" w:fill="auto"/>
            <w:vAlign w:val="center"/>
          </w:tcPr>
          <w:p w:rsidR="00EF718C" w:rsidRPr="00F30E35" w:rsidRDefault="00EF718C" w:rsidP="00EF718C">
            <w:pPr>
              <w:pStyle w:val="TableText"/>
              <w:rPr>
                <w:bCs/>
                <w:color w:val="000000"/>
              </w:rPr>
            </w:pPr>
            <w:r w:rsidRPr="00F30E35">
              <w:rPr>
                <w:b/>
                <w:bCs/>
                <w:color w:val="000000"/>
              </w:rPr>
              <w:t>Estimated financial implications for chemotherapy for patients with FLT3 mutation positive AML</w:t>
            </w:r>
          </w:p>
        </w:tc>
      </w:tr>
      <w:tr w:rsidR="00EF718C" w:rsidRPr="00F30E35" w:rsidTr="00EF718C">
        <w:tc>
          <w:tcPr>
            <w:tcW w:w="1663" w:type="pct"/>
            <w:gridSpan w:val="2"/>
            <w:shd w:val="clear" w:color="auto" w:fill="auto"/>
            <w:vAlign w:val="center"/>
          </w:tcPr>
          <w:p w:rsidR="00EF718C" w:rsidRPr="00F30E35" w:rsidRDefault="00EF718C" w:rsidP="00EF718C">
            <w:pPr>
              <w:pStyle w:val="TableText"/>
              <w:rPr>
                <w:sz w:val="19"/>
                <w:szCs w:val="19"/>
              </w:rPr>
            </w:pPr>
            <w:r w:rsidRPr="00F30E35">
              <w:rPr>
                <w:sz w:val="19"/>
                <w:szCs w:val="19"/>
              </w:rPr>
              <w:t>Cost to PBS/RPBS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bCs/>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bCs/>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b/>
                <w:bCs/>
                <w:noProof/>
                <w:color w:val="000000"/>
                <w:szCs w:val="20"/>
                <w:highlight w:val="black"/>
              </w:rPr>
              <w:t>''''''''''''''''''''</w:t>
            </w:r>
          </w:p>
        </w:tc>
      </w:tr>
      <w:tr w:rsidR="00EF718C" w:rsidRPr="00F30E35" w:rsidTr="00607758">
        <w:tc>
          <w:tcPr>
            <w:tcW w:w="5000" w:type="pct"/>
            <w:gridSpan w:val="8"/>
            <w:shd w:val="clear" w:color="auto" w:fill="auto"/>
            <w:vAlign w:val="center"/>
          </w:tcPr>
          <w:p w:rsidR="00EF718C" w:rsidRPr="00F30E35" w:rsidRDefault="00EF718C" w:rsidP="00EF718C">
            <w:pPr>
              <w:pStyle w:val="TableText"/>
              <w:rPr>
                <w:b/>
                <w:bCs/>
                <w:color w:val="000000"/>
              </w:rPr>
            </w:pPr>
            <w:r w:rsidRPr="00F30E35">
              <w:rPr>
                <w:b/>
                <w:bCs/>
                <w:color w:val="000000"/>
              </w:rPr>
              <w:t>Net financial implications</w:t>
            </w:r>
            <w:r w:rsidRPr="00F30E35">
              <w:rPr>
                <w:b/>
                <w:bCs/>
                <w:color w:val="4472C4" w:themeColor="accent5"/>
              </w:rPr>
              <w:t xml:space="preserve"> </w:t>
            </w:r>
          </w:p>
        </w:tc>
      </w:tr>
      <w:tr w:rsidR="00EF718C" w:rsidRPr="00F30E35" w:rsidTr="00EF718C">
        <w:tc>
          <w:tcPr>
            <w:tcW w:w="1663" w:type="pct"/>
            <w:gridSpan w:val="2"/>
            <w:shd w:val="clear" w:color="auto" w:fill="auto"/>
            <w:vAlign w:val="center"/>
          </w:tcPr>
          <w:p w:rsidR="00EF718C" w:rsidRPr="00F30E35" w:rsidRDefault="00EF718C" w:rsidP="00EF718C">
            <w:pPr>
              <w:pStyle w:val="TableText"/>
              <w:rPr>
                <w:sz w:val="19"/>
                <w:szCs w:val="19"/>
              </w:rPr>
            </w:pPr>
            <w:r w:rsidRPr="00F30E35">
              <w:rPr>
                <w:sz w:val="19"/>
                <w:szCs w:val="19"/>
              </w:rPr>
              <w:t>Net cost to PBS/RPBS</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6" w:type="pct"/>
            <w:shd w:val="clear" w:color="auto" w:fill="auto"/>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c>
          <w:tcPr>
            <w:tcW w:w="557" w:type="pct"/>
            <w:vAlign w:val="center"/>
          </w:tcPr>
          <w:p w:rsidR="00EF718C" w:rsidRPr="007F271D" w:rsidRDefault="007F271D" w:rsidP="00EF718C">
            <w:pPr>
              <w:pStyle w:val="TableText"/>
              <w:jc w:val="center"/>
              <w:rPr>
                <w:bCs/>
                <w:color w:val="000000"/>
                <w:highlight w:val="black"/>
              </w:rPr>
            </w:pPr>
            <w:r>
              <w:rPr>
                <w:rFonts w:cs="Calibri"/>
                <w:b/>
                <w:noProof/>
                <w:color w:val="000000"/>
                <w:szCs w:val="20"/>
                <w:highlight w:val="black"/>
              </w:rPr>
              <w:t>''''''''''''''''''''''</w:t>
            </w:r>
          </w:p>
        </w:tc>
      </w:tr>
    </w:tbl>
    <w:p w:rsidR="00C317F3" w:rsidRPr="00F30E35" w:rsidRDefault="00C317F3" w:rsidP="00842AD7">
      <w:pPr>
        <w:pStyle w:val="TableFooter"/>
        <w:tabs>
          <w:tab w:val="left" w:pos="284"/>
        </w:tabs>
        <w:ind w:left="284" w:hanging="284"/>
      </w:pPr>
      <w:r w:rsidRPr="00F30E35">
        <w:rPr>
          <w:vertAlign w:val="superscript"/>
        </w:rPr>
        <w:t>a</w:t>
      </w:r>
      <w:r w:rsidR="00842AD7" w:rsidRPr="00F30E35">
        <w:tab/>
      </w:r>
      <w:r w:rsidRPr="00F30E35">
        <w:t xml:space="preserve">Assuming </w:t>
      </w:r>
      <w:r w:rsidR="007F271D">
        <w:rPr>
          <w:noProof/>
          <w:color w:val="000000"/>
          <w:highlight w:val="black"/>
        </w:rPr>
        <w:t>'''''''''</w:t>
      </w:r>
      <w:r w:rsidR="000A4D38" w:rsidRPr="00F30E35">
        <w:t xml:space="preserve">% of </w:t>
      </w:r>
      <w:r w:rsidR="00C63960" w:rsidRPr="00F30E35">
        <w:t xml:space="preserve">induction and </w:t>
      </w:r>
      <w:r w:rsidR="007F271D">
        <w:rPr>
          <w:noProof/>
          <w:color w:val="000000"/>
          <w:highlight w:val="black"/>
        </w:rPr>
        <w:t>'''''''</w:t>
      </w:r>
      <w:r w:rsidR="00C63960" w:rsidRPr="00F30E35">
        <w:t>% of consolidation packs are dispensed in hospital. Number of packs for induction, consolidation and maintenance based on RATIFY</w:t>
      </w:r>
    </w:p>
    <w:p w:rsidR="00C317F3" w:rsidRDefault="00C317F3" w:rsidP="00D1078F">
      <w:pPr>
        <w:pStyle w:val="TableFooter"/>
        <w:rPr>
          <w:szCs w:val="18"/>
        </w:rPr>
      </w:pPr>
      <w:r w:rsidRPr="00F30E35">
        <w:t>Source</w:t>
      </w:r>
      <w:r w:rsidR="00C63960" w:rsidRPr="00F30E35">
        <w:rPr>
          <w:szCs w:val="18"/>
        </w:rPr>
        <w:t>:</w:t>
      </w:r>
      <w:r w:rsidR="00842AD7" w:rsidRPr="00F30E35">
        <w:rPr>
          <w:szCs w:val="18"/>
        </w:rPr>
        <w:t xml:space="preserve"> Table 4.2.6, pp241-242; Table 4.3.1, pp244-245;</w:t>
      </w:r>
      <w:r w:rsidR="00C63960" w:rsidRPr="00F30E35">
        <w:rPr>
          <w:szCs w:val="18"/>
        </w:rPr>
        <w:t xml:space="preserve"> </w:t>
      </w:r>
      <w:r w:rsidR="00842AD7" w:rsidRPr="00F30E35">
        <w:rPr>
          <w:szCs w:val="18"/>
        </w:rPr>
        <w:t>Table 4.4.1, pp246 of the submission</w:t>
      </w:r>
    </w:p>
    <w:p w:rsidR="008774F0" w:rsidRDefault="008774F0" w:rsidP="00D1078F">
      <w:pPr>
        <w:pStyle w:val="TableFooter"/>
        <w:rPr>
          <w:szCs w:val="18"/>
        </w:rPr>
      </w:pPr>
    </w:p>
    <w:p w:rsidR="008774F0" w:rsidRPr="00F30E35" w:rsidRDefault="008774F0" w:rsidP="00D1078F">
      <w:pPr>
        <w:pStyle w:val="TableFooter"/>
      </w:pPr>
      <w:r w:rsidRPr="008774F0">
        <w:rPr>
          <w:rFonts w:ascii="Calibri" w:hAnsi="Calibri" w:cs="Times New Roman"/>
          <w:snapToGrid/>
          <w:sz w:val="24"/>
          <w:szCs w:val="24"/>
          <w:lang w:eastAsia="en-AU"/>
        </w:rPr>
        <w:t>The redacted table shows that at year 5, the estimated number of patients was less than 10,000 per year and the net cost to the PBS would be $</w:t>
      </w:r>
      <w:r w:rsidR="00FB2769">
        <w:rPr>
          <w:rFonts w:ascii="Calibri" w:hAnsi="Calibri" w:cs="Times New Roman"/>
          <w:snapToGrid/>
          <w:sz w:val="24"/>
          <w:szCs w:val="24"/>
          <w:lang w:eastAsia="en-AU"/>
        </w:rPr>
        <w:t>1</w:t>
      </w:r>
      <w:r w:rsidRPr="008774F0">
        <w:rPr>
          <w:rFonts w:ascii="Calibri" w:hAnsi="Calibri" w:cs="Times New Roman"/>
          <w:snapToGrid/>
          <w:sz w:val="24"/>
          <w:szCs w:val="24"/>
          <w:lang w:eastAsia="en-AU"/>
        </w:rPr>
        <w:t>0 - $</w:t>
      </w:r>
      <w:r w:rsidR="00FB2769">
        <w:rPr>
          <w:rFonts w:ascii="Calibri" w:hAnsi="Calibri" w:cs="Times New Roman"/>
          <w:snapToGrid/>
          <w:sz w:val="24"/>
          <w:szCs w:val="24"/>
          <w:lang w:eastAsia="en-AU"/>
        </w:rPr>
        <w:t>2</w:t>
      </w:r>
      <w:r w:rsidRPr="008774F0">
        <w:rPr>
          <w:rFonts w:ascii="Calibri" w:hAnsi="Calibri" w:cs="Times New Roman"/>
          <w:snapToGrid/>
          <w:sz w:val="24"/>
          <w:szCs w:val="24"/>
          <w:lang w:eastAsia="en-AU"/>
        </w:rPr>
        <w:t>0 million per year.</w:t>
      </w:r>
    </w:p>
    <w:p w:rsidR="00F73DEF" w:rsidRPr="00F30E35" w:rsidRDefault="000A4D38" w:rsidP="00EC5CD2">
      <w:pPr>
        <w:pStyle w:val="ListParagraph"/>
        <w:numPr>
          <w:ilvl w:val="1"/>
          <w:numId w:val="2"/>
        </w:numPr>
        <w:spacing w:before="0" w:after="120"/>
        <w:ind w:left="578" w:hanging="578"/>
        <w:jc w:val="both"/>
      </w:pPr>
      <w:r w:rsidRPr="00F30E35">
        <w:t>The accuracy of the estimates depended on</w:t>
      </w:r>
      <w:r w:rsidR="00F73DEF" w:rsidRPr="00F30E35">
        <w:t>:</w:t>
      </w:r>
      <w:r w:rsidRPr="00F30E35">
        <w:t xml:space="preserve"> </w:t>
      </w:r>
    </w:p>
    <w:p w:rsidR="00F73DEF" w:rsidRPr="00F30E35" w:rsidRDefault="000A4D38" w:rsidP="005B77E9">
      <w:pPr>
        <w:pStyle w:val="ListParagraph"/>
        <w:numPr>
          <w:ilvl w:val="0"/>
          <w:numId w:val="15"/>
        </w:numPr>
        <w:spacing w:before="0" w:after="0"/>
        <w:ind w:left="993" w:hanging="423"/>
        <w:jc w:val="both"/>
      </w:pPr>
      <w:r w:rsidRPr="00F30E35">
        <w:t>the proportion of AML patients with a FLT3 mutation</w:t>
      </w:r>
      <w:r w:rsidR="00F73DEF" w:rsidRPr="00F30E35">
        <w:t xml:space="preserve"> (assume 34%</w:t>
      </w:r>
      <w:r w:rsidR="00123848" w:rsidRPr="00F30E35">
        <w:t xml:space="preserve"> in the estima</w:t>
      </w:r>
      <w:r w:rsidR="00F73DEF" w:rsidRPr="00F30E35">
        <w:t xml:space="preserve">tes, however one Australian estimate suggests </w:t>
      </w:r>
      <w:r w:rsidR="007F271D">
        <w:rPr>
          <w:noProof/>
          <w:color w:val="000000"/>
          <w:highlight w:val="black"/>
        </w:rPr>
        <w:t>'''''</w:t>
      </w:r>
      <w:r w:rsidR="00F73DEF" w:rsidRPr="00F30E35">
        <w:t>%, based on a relatively small number of patients (</w:t>
      </w:r>
      <w:r w:rsidR="00F73DEF" w:rsidRPr="00586CF3">
        <w:t>n=</w:t>
      </w:r>
      <w:r w:rsidR="007F271D">
        <w:rPr>
          <w:noProof/>
          <w:color w:val="000000"/>
          <w:highlight w:val="black"/>
        </w:rPr>
        <w:t>''''''''</w:t>
      </w:r>
      <w:r w:rsidR="00F73DEF" w:rsidRPr="00F30E35">
        <w:t xml:space="preserve">) with a median age of </w:t>
      </w:r>
      <w:r w:rsidR="007F271D">
        <w:rPr>
          <w:noProof/>
          <w:color w:val="000000"/>
          <w:highlight w:val="black"/>
        </w:rPr>
        <w:t>'''''</w:t>
      </w:r>
      <w:r w:rsidR="00F73DEF" w:rsidRPr="00F30E35">
        <w:t xml:space="preserve"> years</w:t>
      </w:r>
      <w:r w:rsidR="003071D8" w:rsidRPr="00F30E35">
        <w:t xml:space="preserve">); </w:t>
      </w:r>
    </w:p>
    <w:p w:rsidR="00F73DEF" w:rsidRPr="00F30E35" w:rsidRDefault="000A4D38" w:rsidP="005B77E9">
      <w:pPr>
        <w:pStyle w:val="ListParagraph"/>
        <w:numPr>
          <w:ilvl w:val="0"/>
          <w:numId w:val="15"/>
        </w:numPr>
        <w:spacing w:before="0" w:after="0"/>
        <w:ind w:left="993" w:hanging="423"/>
        <w:jc w:val="both"/>
      </w:pPr>
      <w:r w:rsidRPr="00F30E35">
        <w:t>the uptake rate (</w:t>
      </w:r>
      <w:r w:rsidRPr="00586CF3">
        <w:t xml:space="preserve">assumed to be </w:t>
      </w:r>
      <w:r w:rsidR="007F271D">
        <w:rPr>
          <w:noProof/>
          <w:color w:val="000000"/>
          <w:highlight w:val="black"/>
        </w:rPr>
        <w:t>''''''''''''</w:t>
      </w:r>
      <w:r w:rsidRPr="00F30E35">
        <w:t>%)</w:t>
      </w:r>
      <w:r w:rsidR="00123848" w:rsidRPr="00F30E35">
        <w:t xml:space="preserve"> applied equivalently to all age groups</w:t>
      </w:r>
      <w:r w:rsidR="00F331AB" w:rsidRPr="00F30E35">
        <w:t xml:space="preserve">. The ESC considered </w:t>
      </w:r>
      <w:r w:rsidR="00362213" w:rsidRPr="00F30E35">
        <w:t>that while there might be some differences in uptake based on age, overall the uptake of midostaurin would be high across all age groups</w:t>
      </w:r>
      <w:r w:rsidR="004E7BC3" w:rsidRPr="00F30E35">
        <w:t xml:space="preserve">. </w:t>
      </w:r>
      <w:r w:rsidR="004E7BC3" w:rsidRPr="00F30E35">
        <w:lastRenderedPageBreak/>
        <w:t>However, the ESC advised that since fewer patients from the older population would be eligible for allografts, it was likely that a higher proportion of the older population would be eligible for maintenance therapy with midostaurin</w:t>
      </w:r>
      <w:r w:rsidR="00FA61E8">
        <w:t>;</w:t>
      </w:r>
    </w:p>
    <w:p w:rsidR="00F73DEF" w:rsidRPr="00F30E35" w:rsidRDefault="00056A0B" w:rsidP="005B77E9">
      <w:pPr>
        <w:pStyle w:val="ListParagraph"/>
        <w:numPr>
          <w:ilvl w:val="0"/>
          <w:numId w:val="15"/>
        </w:numPr>
        <w:tabs>
          <w:tab w:val="left" w:pos="567"/>
        </w:tabs>
        <w:spacing w:before="0" w:after="0"/>
        <w:ind w:left="993" w:hanging="423"/>
        <w:jc w:val="both"/>
      </w:pPr>
      <w:r w:rsidRPr="00F30E35">
        <w:t xml:space="preserve">the assumption </w:t>
      </w:r>
      <w:r w:rsidR="003071D8" w:rsidRPr="00F30E35">
        <w:t xml:space="preserve">that the dose and number of cycles of midostaurin would be the same as the mean dose and number of cycles in the RATIFY trial. The ESC considered that this </w:t>
      </w:r>
      <w:r w:rsidRPr="00F30E35">
        <w:t>wa</w:t>
      </w:r>
      <w:r w:rsidR="003071D8" w:rsidRPr="00F30E35">
        <w:t>s likely to be largely dependent on the rate of SCTs in the Australian population which is likely to be 70-80%</w:t>
      </w:r>
      <w:r w:rsidRPr="00F30E35">
        <w:t>,</w:t>
      </w:r>
      <w:r w:rsidR="003071D8" w:rsidRPr="00F30E35">
        <w:t xml:space="preserve"> as opposed to that observed in RATIFY (55-60%)</w:t>
      </w:r>
      <w:r w:rsidR="000A4D38" w:rsidRPr="00F30E35">
        <w:t xml:space="preserve">; </w:t>
      </w:r>
    </w:p>
    <w:p w:rsidR="00E53F7C" w:rsidRPr="00F30E35" w:rsidRDefault="00362213" w:rsidP="005B77E9">
      <w:pPr>
        <w:pStyle w:val="ListParagraph"/>
        <w:numPr>
          <w:ilvl w:val="0"/>
          <w:numId w:val="15"/>
        </w:numPr>
        <w:tabs>
          <w:tab w:val="left" w:pos="567"/>
        </w:tabs>
        <w:spacing w:before="0" w:after="0"/>
        <w:ind w:left="993" w:hanging="423"/>
        <w:jc w:val="both"/>
      </w:pPr>
      <w:r w:rsidRPr="00F30E35">
        <w:t xml:space="preserve">the proportion assumed to have consolidation therapy in hospital, which the ESC noted was more likely to be 90% rather than </w:t>
      </w:r>
      <w:r w:rsidR="007F271D">
        <w:rPr>
          <w:noProof/>
          <w:color w:val="000000"/>
          <w:highlight w:val="black"/>
        </w:rPr>
        <w:t>'''''</w:t>
      </w:r>
      <w:r w:rsidRPr="00F30E35">
        <w:t>% assumed by the submission (</w:t>
      </w:r>
      <w:r w:rsidR="00E53F7C" w:rsidRPr="00F30E35">
        <w:t>with the caveat that some patients may access midostaurin in an outpatient setting between the induction and consolidation periods for use as a hospital inpatient during the co</w:t>
      </w:r>
      <w:r w:rsidR="003071D8" w:rsidRPr="00F30E35">
        <w:t>nsolidation peri</w:t>
      </w:r>
      <w:r w:rsidR="00E53F7C" w:rsidRPr="00F30E35">
        <w:t>o</w:t>
      </w:r>
      <w:r w:rsidR="003071D8" w:rsidRPr="00F30E35">
        <w:t>d</w:t>
      </w:r>
      <w:r w:rsidRPr="00F30E35">
        <w:t>)</w:t>
      </w:r>
      <w:r w:rsidR="00736F80">
        <w:t xml:space="preserve">. </w:t>
      </w:r>
      <w:r w:rsidR="00EA3CAE">
        <w:t>The pre-PBAC response (p3) stated that patients undergoing consolidation with cytarabine in hospital would be likely to be “discharged after completion of (cytarabine) treatment, around Days 5-7 of the consolidation cycle. As midostaurin is prescribed sequentially following cytarabine consolidation on Day 8 … the majority of patients will receive midostaurin consolidation and maintenance therapy in the outpatient setting”. The PBAC considered that most patients would receive consolidation chemotherapy with cytarabine as hospital inpatient, but then access midostaurin consolidation therapy under the PBS</w:t>
      </w:r>
      <w:r w:rsidR="00EA3CAE" w:rsidRPr="00F30E35">
        <w:t>;</w:t>
      </w:r>
    </w:p>
    <w:p w:rsidR="00363C90" w:rsidRDefault="00E53F7C" w:rsidP="00544CB9">
      <w:pPr>
        <w:pStyle w:val="ListParagraph"/>
        <w:numPr>
          <w:ilvl w:val="0"/>
          <w:numId w:val="15"/>
        </w:numPr>
        <w:tabs>
          <w:tab w:val="left" w:pos="567"/>
        </w:tabs>
        <w:spacing w:before="0" w:after="0"/>
        <w:ind w:left="993" w:hanging="423"/>
        <w:jc w:val="both"/>
      </w:pPr>
      <w:r w:rsidRPr="00F30E35">
        <w:t>th</w:t>
      </w:r>
      <w:r w:rsidR="00EF718C" w:rsidRPr="00F30E35">
        <w:t>at there is no or limited risk of use beyond the restriction, for example, use post-SCT as maintenance therapy or among FLT3 wildtype patients</w:t>
      </w:r>
      <w:r w:rsidR="00FE126E" w:rsidRPr="00F30E35">
        <w:t>. The ESC considered that there was potential for use of midostaurin as maintenance post-allograft</w:t>
      </w:r>
      <w:r w:rsidR="004B6F38" w:rsidRPr="00F30E35">
        <w:t xml:space="preserve"> and noted that</w:t>
      </w:r>
      <w:r w:rsidR="00FE126E" w:rsidRPr="00F30E35">
        <w:t xml:space="preserve"> this </w:t>
      </w:r>
      <w:r w:rsidR="00606686">
        <w:t>is being explored</w:t>
      </w:r>
      <w:r w:rsidR="00606686" w:rsidRPr="00F30E35">
        <w:t xml:space="preserve"> </w:t>
      </w:r>
      <w:r w:rsidR="00FE126E" w:rsidRPr="00F30E35">
        <w:t xml:space="preserve">with other FLT3 inhibitors in clinical </w:t>
      </w:r>
      <w:r w:rsidR="00606686">
        <w:t>trials</w:t>
      </w:r>
      <w:r w:rsidR="00606686" w:rsidRPr="00F30E35">
        <w:t xml:space="preserve"> </w:t>
      </w:r>
      <w:r w:rsidR="00FE126E" w:rsidRPr="00F30E35">
        <w:t xml:space="preserve">and occurred </w:t>
      </w:r>
      <w:r w:rsidR="007F04B8" w:rsidRPr="00F30E35">
        <w:t>in AMLSG 16-10</w:t>
      </w:r>
      <w:r w:rsidR="00EF718C" w:rsidRPr="00F30E35">
        <w:t xml:space="preserve">; </w:t>
      </w:r>
      <w:r w:rsidR="00950F26">
        <w:t>and</w:t>
      </w:r>
    </w:p>
    <w:p w:rsidR="00EA3CAE" w:rsidRDefault="00EA3CAE" w:rsidP="00EA3CAE">
      <w:pPr>
        <w:pStyle w:val="ListParagraph"/>
        <w:numPr>
          <w:ilvl w:val="0"/>
          <w:numId w:val="15"/>
        </w:numPr>
        <w:tabs>
          <w:tab w:val="left" w:pos="567"/>
        </w:tabs>
        <w:spacing w:before="0"/>
        <w:ind w:left="993" w:hanging="423"/>
        <w:jc w:val="both"/>
      </w:pPr>
      <w:r>
        <w:t xml:space="preserve">the number of cycles of consolidation used in clinical practice. In Australian clinical practice, many patients receive two cycles of consolidation, rather than the four cycles assumed in the submission (see </w:t>
      </w:r>
      <w:r w:rsidRPr="00B378E6">
        <w:t>paragraph 4.8).</w:t>
      </w:r>
      <w:r w:rsidRPr="00F30E35">
        <w:t xml:space="preserve"> </w:t>
      </w:r>
      <w:r>
        <w:t xml:space="preserve">The PBAC considered that this assumption might overestimate use of midostaurin. </w:t>
      </w:r>
    </w:p>
    <w:p w:rsidR="00472216" w:rsidRPr="00F30E35" w:rsidRDefault="00472216" w:rsidP="00EC5CD2">
      <w:pPr>
        <w:pStyle w:val="ListParagraph"/>
        <w:numPr>
          <w:ilvl w:val="1"/>
          <w:numId w:val="2"/>
        </w:numPr>
        <w:spacing w:before="0" w:after="120"/>
        <w:ind w:left="578" w:hanging="578"/>
        <w:jc w:val="both"/>
      </w:pPr>
      <w:r w:rsidRPr="001E39AA">
        <w:rPr>
          <w:szCs w:val="24"/>
        </w:rPr>
        <w:t>The</w:t>
      </w:r>
      <w:r w:rsidRPr="00F30E35">
        <w:t xml:space="preserve"> ESC noted that induction is expected to occur in hospital and that the submission proposed that this be covered by the PBS; the financial estimates would be affected by changed assumptions for use and PBS coverage for induction and consolidation therapy.</w:t>
      </w:r>
    </w:p>
    <w:p w:rsidR="00C317F3" w:rsidRPr="00F30E35" w:rsidRDefault="000A4D38" w:rsidP="00EC5CD2">
      <w:pPr>
        <w:pStyle w:val="ListParagraph"/>
        <w:numPr>
          <w:ilvl w:val="1"/>
          <w:numId w:val="2"/>
        </w:numPr>
        <w:spacing w:before="0" w:after="120"/>
        <w:ind w:left="578" w:hanging="578"/>
        <w:jc w:val="both"/>
      </w:pPr>
      <w:r w:rsidRPr="00F30E35">
        <w:t>The inappropriate exclusion of costs to treat adverse events was likely to have underestimated the expected costs.</w:t>
      </w:r>
      <w:r w:rsidR="00056A0B" w:rsidRPr="00F30E35">
        <w:t xml:space="preserve"> </w:t>
      </w:r>
    </w:p>
    <w:p w:rsidR="00F304B8" w:rsidRPr="008D3D16" w:rsidRDefault="00F304B8" w:rsidP="00F304B8">
      <w:pPr>
        <w:pStyle w:val="Heading2"/>
      </w:pPr>
      <w:r w:rsidRPr="008D3D16">
        <w:t>Quality Use of Medicines</w:t>
      </w:r>
    </w:p>
    <w:p w:rsidR="00F304B8" w:rsidRPr="00F30E35" w:rsidRDefault="00F304B8" w:rsidP="00EC5CD2">
      <w:pPr>
        <w:pStyle w:val="ListParagraph"/>
        <w:numPr>
          <w:ilvl w:val="1"/>
          <w:numId w:val="2"/>
        </w:numPr>
        <w:spacing w:before="0" w:after="120"/>
        <w:ind w:left="578" w:hanging="578"/>
        <w:jc w:val="both"/>
      </w:pPr>
      <w:r w:rsidRPr="00F30E35">
        <w:t>The submission considered that the following two issues needed to be considered with respect to quality use of medicines:</w:t>
      </w:r>
    </w:p>
    <w:p w:rsidR="00F304B8" w:rsidRPr="00F30E35" w:rsidRDefault="00F304B8" w:rsidP="00B51A34">
      <w:pPr>
        <w:pStyle w:val="ListParagraph"/>
        <w:numPr>
          <w:ilvl w:val="0"/>
          <w:numId w:val="15"/>
        </w:numPr>
        <w:spacing w:before="0" w:after="0"/>
        <w:ind w:left="993" w:hanging="423"/>
        <w:jc w:val="both"/>
      </w:pPr>
      <w:r w:rsidRPr="00F30E35">
        <w:t>A requirement for midostaurin treatment to be commenced on Day 8 of the induction and consolidation cycles. To ensure supply, the submission suggests that midostaurin should be dispensed under the Section 100 (Highly Specialised Drugs Program); and</w:t>
      </w:r>
    </w:p>
    <w:p w:rsidR="00F304B8" w:rsidRDefault="00F304B8" w:rsidP="00B51A34">
      <w:pPr>
        <w:pStyle w:val="ListParagraph"/>
        <w:numPr>
          <w:ilvl w:val="0"/>
          <w:numId w:val="15"/>
        </w:numPr>
        <w:spacing w:before="0" w:after="0"/>
        <w:ind w:left="993" w:hanging="423"/>
        <w:jc w:val="both"/>
      </w:pPr>
      <w:r w:rsidRPr="00F30E35">
        <w:t>Consistency in the use of midostaurin in conjunction with standard intensive remission induction and consolidation regimens driven by patient tolerability across Australia. The sponsor would endeavour to help facilitate the introduction of standardised guidelines for treatment, and educational materials/protocols for clinicians and treatment centres and patients, including a patient support program with tools such as dosing reminders.</w:t>
      </w:r>
    </w:p>
    <w:p w:rsidR="00F304B8" w:rsidRPr="00F47303" w:rsidRDefault="00F304B8" w:rsidP="00F47303">
      <w:pPr>
        <w:spacing w:after="120"/>
        <w:jc w:val="both"/>
        <w:rPr>
          <w:i/>
        </w:rPr>
      </w:pPr>
      <w:r w:rsidRPr="00F47303">
        <w:rPr>
          <w:i/>
        </w:rPr>
        <w:t>For more detail on PBAC’s view, see section 7 PBAC outcome.</w:t>
      </w:r>
    </w:p>
    <w:p w:rsidR="00677F2B" w:rsidRPr="00B51A34" w:rsidRDefault="00677F2B" w:rsidP="0067449D">
      <w:pPr>
        <w:pStyle w:val="Heading1"/>
      </w:pPr>
      <w:r w:rsidRPr="00B51A34">
        <w:t>PBAC Outcome</w:t>
      </w:r>
    </w:p>
    <w:p w:rsidR="007D32C0" w:rsidRPr="007D32C0" w:rsidRDefault="007D32C0" w:rsidP="00EC5CD2">
      <w:pPr>
        <w:pStyle w:val="ListParagraph"/>
        <w:numPr>
          <w:ilvl w:val="1"/>
          <w:numId w:val="2"/>
        </w:numPr>
        <w:spacing w:before="0" w:after="120"/>
        <w:ind w:hanging="718"/>
        <w:jc w:val="both"/>
        <w:rPr>
          <w:rFonts w:cs="Arial"/>
          <w:bCs/>
          <w:snapToGrid w:val="0"/>
          <w:lang w:val="en-GB"/>
        </w:rPr>
      </w:pPr>
      <w:r w:rsidRPr="007D32C0">
        <w:rPr>
          <w:rFonts w:cs="Arial"/>
          <w:bCs/>
          <w:snapToGrid w:val="0"/>
          <w:lang w:val="en-GB"/>
        </w:rPr>
        <w:t xml:space="preserve">The PBAC </w:t>
      </w:r>
      <w:r>
        <w:rPr>
          <w:rFonts w:cs="Arial"/>
          <w:bCs/>
          <w:snapToGrid w:val="0"/>
          <w:lang w:val="en-GB"/>
        </w:rPr>
        <w:t>d</w:t>
      </w:r>
      <w:r w:rsidR="0072109F">
        <w:rPr>
          <w:rFonts w:cs="Arial"/>
          <w:bCs/>
          <w:snapToGrid w:val="0"/>
          <w:lang w:val="en-GB"/>
        </w:rPr>
        <w:t>id</w:t>
      </w:r>
      <w:r>
        <w:rPr>
          <w:rFonts w:cs="Arial"/>
          <w:bCs/>
          <w:snapToGrid w:val="0"/>
          <w:lang w:val="en-GB"/>
        </w:rPr>
        <w:t xml:space="preserve"> not recommend midostaurin </w:t>
      </w:r>
      <w:r w:rsidRPr="007D32C0">
        <w:rPr>
          <w:rFonts w:cs="Arial"/>
          <w:bCs/>
          <w:snapToGrid w:val="0"/>
          <w:lang w:val="en-GB"/>
        </w:rPr>
        <w:t>for the treatment of FLT3 mutation positive acute myeloid leukaemia. In reaching this outcome, the PBAC acknowledged the high unmet clinical need in this population</w:t>
      </w:r>
      <w:r w:rsidR="0072109F">
        <w:rPr>
          <w:rFonts w:cs="Arial"/>
          <w:bCs/>
          <w:snapToGrid w:val="0"/>
          <w:lang w:val="en-GB"/>
        </w:rPr>
        <w:t xml:space="preserve"> and demonstrated increase in overall survival in the clinical trial</w:t>
      </w:r>
      <w:r w:rsidR="00606686">
        <w:rPr>
          <w:rFonts w:cs="Arial"/>
          <w:bCs/>
          <w:snapToGrid w:val="0"/>
          <w:lang w:val="en-GB"/>
        </w:rPr>
        <w:t>. However, it</w:t>
      </w:r>
      <w:r w:rsidRPr="007D32C0">
        <w:rPr>
          <w:rFonts w:cs="Arial"/>
          <w:bCs/>
          <w:snapToGrid w:val="0"/>
          <w:lang w:val="en-GB"/>
        </w:rPr>
        <w:t xml:space="preserve"> noted that</w:t>
      </w:r>
      <w:r w:rsidR="0072109F">
        <w:rPr>
          <w:rFonts w:cs="Arial"/>
          <w:bCs/>
          <w:snapToGrid w:val="0"/>
          <w:lang w:val="en-GB"/>
        </w:rPr>
        <w:t xml:space="preserve"> TGA input was required regarding the role of midostaurin as maintenance therapy and </w:t>
      </w:r>
      <w:r w:rsidR="00606686">
        <w:rPr>
          <w:rFonts w:cs="Arial"/>
          <w:bCs/>
          <w:snapToGrid w:val="0"/>
          <w:lang w:val="en-GB"/>
        </w:rPr>
        <w:t xml:space="preserve">considered that, </w:t>
      </w:r>
      <w:r w:rsidR="00606686" w:rsidRPr="007D32C0">
        <w:rPr>
          <w:rFonts w:cs="Arial"/>
          <w:bCs/>
          <w:snapToGrid w:val="0"/>
          <w:lang w:val="en-GB"/>
        </w:rPr>
        <w:t>at the price proposed by the submission</w:t>
      </w:r>
      <w:r w:rsidR="00606686">
        <w:rPr>
          <w:rFonts w:cs="Arial"/>
          <w:bCs/>
          <w:snapToGrid w:val="0"/>
          <w:lang w:val="en-GB"/>
        </w:rPr>
        <w:t>,</w:t>
      </w:r>
      <w:r w:rsidR="00606686" w:rsidRPr="007D32C0">
        <w:rPr>
          <w:rFonts w:cs="Arial"/>
          <w:bCs/>
          <w:snapToGrid w:val="0"/>
          <w:lang w:val="en-GB"/>
        </w:rPr>
        <w:t xml:space="preserve"> </w:t>
      </w:r>
      <w:r w:rsidRPr="007D32C0">
        <w:rPr>
          <w:rFonts w:cs="Arial"/>
          <w:bCs/>
          <w:snapToGrid w:val="0"/>
          <w:lang w:val="en-GB"/>
        </w:rPr>
        <w:t xml:space="preserve">the cost effectiveness of midostaurin was unacceptably high and uncertain, particularly in the population over the age of sixty years. </w:t>
      </w:r>
    </w:p>
    <w:p w:rsidR="00D02EA8" w:rsidRPr="00B51A34" w:rsidRDefault="00D02EA8" w:rsidP="001E39AA">
      <w:pPr>
        <w:pStyle w:val="ListParagraph"/>
        <w:numPr>
          <w:ilvl w:val="1"/>
          <w:numId w:val="2"/>
        </w:numPr>
        <w:spacing w:before="0" w:after="120"/>
        <w:ind w:left="709" w:hanging="709"/>
        <w:jc w:val="both"/>
        <w:rPr>
          <w:rFonts w:cs="Arial"/>
          <w:bCs/>
          <w:snapToGrid w:val="0"/>
          <w:lang w:val="en-GB"/>
        </w:rPr>
      </w:pPr>
      <w:r w:rsidRPr="00B51A34">
        <w:rPr>
          <w:rFonts w:cs="Arial"/>
          <w:bCs/>
          <w:snapToGrid w:val="0"/>
          <w:lang w:val="en-GB"/>
        </w:rPr>
        <w:t xml:space="preserve">The PBAC </w:t>
      </w:r>
      <w:r w:rsidR="000A2C4B">
        <w:rPr>
          <w:rFonts w:cs="Arial"/>
          <w:bCs/>
          <w:snapToGrid w:val="0"/>
          <w:lang w:val="en-GB"/>
        </w:rPr>
        <w:t xml:space="preserve">acknowledged </w:t>
      </w:r>
      <w:r w:rsidRPr="00B51A34">
        <w:rPr>
          <w:rFonts w:cs="Arial"/>
          <w:bCs/>
          <w:snapToGrid w:val="0"/>
          <w:lang w:val="en-GB"/>
        </w:rPr>
        <w:t>that there was a</w:t>
      </w:r>
      <w:r w:rsidR="000A2C4B">
        <w:rPr>
          <w:rFonts w:cs="Arial"/>
          <w:bCs/>
          <w:snapToGrid w:val="0"/>
          <w:lang w:val="en-GB"/>
        </w:rPr>
        <w:t>n unmet</w:t>
      </w:r>
      <w:r w:rsidRPr="00B51A34">
        <w:rPr>
          <w:rFonts w:cs="Arial"/>
          <w:bCs/>
          <w:snapToGrid w:val="0"/>
          <w:lang w:val="en-GB"/>
        </w:rPr>
        <w:t xml:space="preserve"> clinical need for </w:t>
      </w:r>
      <w:r w:rsidR="00426FFD" w:rsidRPr="00B51A34">
        <w:rPr>
          <w:rFonts w:cs="Arial"/>
          <w:bCs/>
          <w:snapToGrid w:val="0"/>
          <w:lang w:val="en-GB"/>
        </w:rPr>
        <w:t>new effective</w:t>
      </w:r>
      <w:r w:rsidRPr="00B51A34">
        <w:rPr>
          <w:rFonts w:cs="Arial"/>
          <w:bCs/>
          <w:snapToGrid w:val="0"/>
          <w:lang w:val="en-GB"/>
        </w:rPr>
        <w:t xml:space="preserve"> therapies for </w:t>
      </w:r>
      <w:r w:rsidR="00B433BF" w:rsidRPr="00B51A34">
        <w:rPr>
          <w:rFonts w:cs="Arial"/>
          <w:bCs/>
          <w:snapToGrid w:val="0"/>
          <w:lang w:val="en-GB"/>
        </w:rPr>
        <w:t>AML</w:t>
      </w:r>
      <w:r w:rsidRPr="00B51A34">
        <w:rPr>
          <w:rFonts w:cs="Arial"/>
          <w:bCs/>
          <w:snapToGrid w:val="0"/>
          <w:lang w:val="en-GB"/>
        </w:rPr>
        <w:t xml:space="preserve">. </w:t>
      </w:r>
    </w:p>
    <w:p w:rsidR="00EF4942" w:rsidRPr="00B51A34" w:rsidRDefault="00931E63" w:rsidP="001E39AA">
      <w:pPr>
        <w:pStyle w:val="ListParagraph"/>
        <w:numPr>
          <w:ilvl w:val="1"/>
          <w:numId w:val="2"/>
        </w:numPr>
        <w:spacing w:before="0" w:after="120"/>
        <w:ind w:left="709" w:hanging="709"/>
        <w:jc w:val="both"/>
        <w:rPr>
          <w:rFonts w:cs="Arial"/>
          <w:bCs/>
          <w:snapToGrid w:val="0"/>
          <w:lang w:val="en-GB"/>
        </w:rPr>
      </w:pPr>
      <w:r>
        <w:rPr>
          <w:rFonts w:cs="Arial"/>
          <w:bCs/>
          <w:snapToGrid w:val="0"/>
          <w:lang w:val="en-GB"/>
        </w:rPr>
        <w:t>T</w:t>
      </w:r>
      <w:r w:rsidR="00846E03" w:rsidRPr="00B51A34">
        <w:rPr>
          <w:rFonts w:cs="Arial"/>
          <w:bCs/>
          <w:snapToGrid w:val="0"/>
          <w:lang w:val="en-GB"/>
        </w:rPr>
        <w:t xml:space="preserve">he PBAC </w:t>
      </w:r>
      <w:r w:rsidR="00453C2C">
        <w:rPr>
          <w:rFonts w:cs="Arial"/>
          <w:bCs/>
          <w:snapToGrid w:val="0"/>
          <w:lang w:val="en-GB"/>
        </w:rPr>
        <w:t>noted</w:t>
      </w:r>
      <w:r w:rsidR="00453C2C" w:rsidRPr="00B51A34">
        <w:rPr>
          <w:rFonts w:cs="Arial"/>
          <w:bCs/>
          <w:snapToGrid w:val="0"/>
          <w:lang w:val="en-GB"/>
        </w:rPr>
        <w:t xml:space="preserve"> </w:t>
      </w:r>
      <w:r w:rsidR="00846E03" w:rsidRPr="00B51A34">
        <w:rPr>
          <w:rFonts w:cs="Arial"/>
          <w:bCs/>
          <w:snapToGrid w:val="0"/>
          <w:lang w:val="en-GB"/>
        </w:rPr>
        <w:t xml:space="preserve">that midostaurin </w:t>
      </w:r>
      <w:r w:rsidR="00453C2C">
        <w:rPr>
          <w:rFonts w:cs="Arial"/>
          <w:bCs/>
          <w:snapToGrid w:val="0"/>
          <w:lang w:val="en-GB"/>
        </w:rPr>
        <w:t>w</w:t>
      </w:r>
      <w:r w:rsidR="00846E03" w:rsidRPr="00B51A34">
        <w:rPr>
          <w:rFonts w:cs="Arial"/>
          <w:bCs/>
          <w:snapToGrid w:val="0"/>
          <w:lang w:val="en-GB"/>
        </w:rPr>
        <w:t xml:space="preserve">ould not be </w:t>
      </w:r>
      <w:r w:rsidR="001F35DD">
        <w:rPr>
          <w:rFonts w:cs="Arial"/>
          <w:bCs/>
          <w:snapToGrid w:val="0"/>
          <w:lang w:val="en-GB"/>
        </w:rPr>
        <w:t>PBS subsidised</w:t>
      </w:r>
      <w:r w:rsidR="001F35DD" w:rsidRPr="00B51A34">
        <w:rPr>
          <w:rFonts w:cs="Arial"/>
          <w:bCs/>
          <w:snapToGrid w:val="0"/>
          <w:lang w:val="en-GB"/>
        </w:rPr>
        <w:t xml:space="preserve"> </w:t>
      </w:r>
      <w:r w:rsidR="001F35DD">
        <w:rPr>
          <w:rFonts w:cs="Arial"/>
          <w:bCs/>
          <w:snapToGrid w:val="0"/>
          <w:lang w:val="en-GB"/>
        </w:rPr>
        <w:t>for</w:t>
      </w:r>
      <w:r w:rsidR="00846E03" w:rsidRPr="00B51A34">
        <w:rPr>
          <w:rFonts w:cs="Arial"/>
          <w:bCs/>
          <w:snapToGrid w:val="0"/>
          <w:lang w:val="en-GB"/>
        </w:rPr>
        <w:t xml:space="preserve"> hospital inpatients.</w:t>
      </w:r>
      <w:r w:rsidR="00EF4942" w:rsidRPr="00B51A34">
        <w:rPr>
          <w:rFonts w:cs="Arial"/>
          <w:bCs/>
          <w:snapToGrid w:val="0"/>
          <w:lang w:val="en-GB"/>
        </w:rPr>
        <w:t xml:space="preserve"> </w:t>
      </w:r>
    </w:p>
    <w:p w:rsidR="005768A8" w:rsidRDefault="005768A8" w:rsidP="001E39AA">
      <w:pPr>
        <w:pStyle w:val="ListParagraph"/>
        <w:numPr>
          <w:ilvl w:val="1"/>
          <w:numId w:val="2"/>
        </w:numPr>
        <w:spacing w:before="0" w:after="120"/>
        <w:ind w:left="709" w:hanging="709"/>
        <w:jc w:val="both"/>
        <w:rPr>
          <w:rFonts w:cs="Arial"/>
          <w:bCs/>
          <w:snapToGrid w:val="0"/>
          <w:lang w:val="en-GB"/>
        </w:rPr>
      </w:pPr>
      <w:r w:rsidRPr="00B51A34">
        <w:rPr>
          <w:rFonts w:cs="Arial"/>
          <w:bCs/>
          <w:snapToGrid w:val="0"/>
          <w:lang w:val="en-GB"/>
        </w:rPr>
        <w:t xml:space="preserve">The PBAC </w:t>
      </w:r>
      <w:r w:rsidR="00BC606E">
        <w:rPr>
          <w:rFonts w:cs="Arial"/>
          <w:bCs/>
          <w:snapToGrid w:val="0"/>
          <w:lang w:val="en-GB"/>
        </w:rPr>
        <w:t xml:space="preserve">advised </w:t>
      </w:r>
      <w:r w:rsidR="00BF7BA9">
        <w:rPr>
          <w:rFonts w:cs="Arial"/>
          <w:bCs/>
          <w:snapToGrid w:val="0"/>
          <w:lang w:val="en-GB"/>
        </w:rPr>
        <w:t xml:space="preserve">that </w:t>
      </w:r>
      <w:r w:rsidR="00BC606E">
        <w:rPr>
          <w:rFonts w:cs="Arial"/>
          <w:bCs/>
          <w:snapToGrid w:val="0"/>
          <w:lang w:val="en-GB"/>
        </w:rPr>
        <w:t xml:space="preserve">significant changes </w:t>
      </w:r>
      <w:r w:rsidR="00606686">
        <w:rPr>
          <w:rFonts w:cs="Arial"/>
          <w:bCs/>
          <w:snapToGrid w:val="0"/>
          <w:lang w:val="en-GB"/>
        </w:rPr>
        <w:t xml:space="preserve">be made </w:t>
      </w:r>
      <w:r w:rsidR="00BC606E">
        <w:rPr>
          <w:rFonts w:cs="Arial"/>
          <w:bCs/>
          <w:snapToGrid w:val="0"/>
          <w:lang w:val="en-GB"/>
        </w:rPr>
        <w:t xml:space="preserve">to the proposed </w:t>
      </w:r>
      <w:r w:rsidR="00F6537B">
        <w:rPr>
          <w:rFonts w:cs="Arial"/>
          <w:bCs/>
          <w:snapToGrid w:val="0"/>
          <w:lang w:val="en-GB"/>
        </w:rPr>
        <w:t>restriction</w:t>
      </w:r>
      <w:r w:rsidR="00A3099A">
        <w:rPr>
          <w:rFonts w:cs="Arial"/>
          <w:bCs/>
          <w:snapToGrid w:val="0"/>
          <w:lang w:val="en-GB"/>
        </w:rPr>
        <w:t xml:space="preserve">. In doing so the PBAC </w:t>
      </w:r>
      <w:r w:rsidR="005D70BE">
        <w:rPr>
          <w:rFonts w:cs="Arial"/>
          <w:bCs/>
          <w:snapToGrid w:val="0"/>
          <w:lang w:val="en-GB"/>
        </w:rPr>
        <w:t xml:space="preserve">acknowledged </w:t>
      </w:r>
      <w:r w:rsidR="00BC606E">
        <w:rPr>
          <w:rFonts w:cs="Arial"/>
          <w:bCs/>
          <w:snapToGrid w:val="0"/>
          <w:lang w:val="en-GB"/>
        </w:rPr>
        <w:t xml:space="preserve">that </w:t>
      </w:r>
      <w:r w:rsidR="0085523E">
        <w:rPr>
          <w:rFonts w:cs="Arial"/>
          <w:bCs/>
          <w:snapToGrid w:val="0"/>
          <w:lang w:val="en-GB"/>
        </w:rPr>
        <w:t xml:space="preserve">further </w:t>
      </w:r>
      <w:r>
        <w:rPr>
          <w:rFonts w:cs="Arial"/>
          <w:bCs/>
          <w:snapToGrid w:val="0"/>
          <w:lang w:val="en-GB"/>
        </w:rPr>
        <w:t xml:space="preserve">consideration </w:t>
      </w:r>
      <w:r w:rsidR="00BC606E">
        <w:rPr>
          <w:rFonts w:cs="Arial"/>
          <w:bCs/>
          <w:snapToGrid w:val="0"/>
          <w:lang w:val="en-GB"/>
        </w:rPr>
        <w:t>via a future major resubmission would</w:t>
      </w:r>
      <w:r w:rsidR="0085523E">
        <w:rPr>
          <w:rFonts w:cs="Arial"/>
          <w:bCs/>
          <w:snapToGrid w:val="0"/>
          <w:lang w:val="en-GB"/>
        </w:rPr>
        <w:t xml:space="preserve"> be required </w:t>
      </w:r>
      <w:r>
        <w:rPr>
          <w:rFonts w:cs="Arial"/>
          <w:bCs/>
          <w:snapToGrid w:val="0"/>
          <w:lang w:val="en-GB"/>
        </w:rPr>
        <w:t>once the TGA-registered indication</w:t>
      </w:r>
      <w:r w:rsidR="00BC606E">
        <w:rPr>
          <w:rFonts w:cs="Arial"/>
          <w:bCs/>
          <w:snapToGrid w:val="0"/>
          <w:lang w:val="en-GB"/>
        </w:rPr>
        <w:t xml:space="preserve"> wa</w:t>
      </w:r>
      <w:r>
        <w:rPr>
          <w:rFonts w:cs="Arial"/>
          <w:bCs/>
          <w:snapToGrid w:val="0"/>
          <w:lang w:val="en-GB"/>
        </w:rPr>
        <w:t xml:space="preserve">s known. </w:t>
      </w:r>
    </w:p>
    <w:p w:rsidR="007E4DAA" w:rsidRPr="007E4DAA" w:rsidRDefault="007E4DAA" w:rsidP="00B51A34">
      <w:pPr>
        <w:pStyle w:val="ListParagraph"/>
        <w:numPr>
          <w:ilvl w:val="0"/>
          <w:numId w:val="15"/>
        </w:numPr>
        <w:spacing w:before="0" w:after="0"/>
        <w:ind w:left="993" w:hanging="423"/>
        <w:jc w:val="both"/>
        <w:rPr>
          <w:rFonts w:cs="Arial"/>
          <w:bCs/>
          <w:snapToGrid w:val="0"/>
          <w:lang w:val="en-GB"/>
        </w:rPr>
      </w:pPr>
      <w:r w:rsidRPr="007E4DAA">
        <w:rPr>
          <w:rFonts w:cs="Arial"/>
          <w:bCs/>
          <w:snapToGrid w:val="0"/>
          <w:lang w:val="en-GB"/>
        </w:rPr>
        <w:t>The PBAC did not consider it reasonable to restrict use of midostaurin to patients less than 60 years of age. The PBAC noted that, while the clinical trial limited use based on chronological age, this d</w:t>
      </w:r>
      <w:r w:rsidR="001D2116">
        <w:rPr>
          <w:rFonts w:cs="Arial"/>
          <w:bCs/>
          <w:snapToGrid w:val="0"/>
          <w:lang w:val="en-GB"/>
        </w:rPr>
        <w:t>oes</w:t>
      </w:r>
      <w:r w:rsidRPr="007E4DAA">
        <w:rPr>
          <w:rFonts w:cs="Arial"/>
          <w:bCs/>
          <w:snapToGrid w:val="0"/>
          <w:lang w:val="en-GB"/>
        </w:rPr>
        <w:t xml:space="preserve"> not reflect current clinical practice in Australia.</w:t>
      </w:r>
    </w:p>
    <w:p w:rsidR="007E4DAA" w:rsidRDefault="00330BF6" w:rsidP="00B51A34">
      <w:pPr>
        <w:pStyle w:val="ListParagraph"/>
        <w:numPr>
          <w:ilvl w:val="0"/>
          <w:numId w:val="15"/>
        </w:numPr>
        <w:spacing w:before="0" w:after="0"/>
        <w:ind w:left="993" w:hanging="423"/>
        <w:jc w:val="both"/>
        <w:rPr>
          <w:rFonts w:cs="Arial"/>
          <w:bCs/>
          <w:snapToGrid w:val="0"/>
          <w:lang w:val="en-GB"/>
        </w:rPr>
      </w:pPr>
      <w:r>
        <w:rPr>
          <w:rFonts w:cs="Arial"/>
          <w:bCs/>
          <w:snapToGrid w:val="0"/>
          <w:lang w:val="en-GB"/>
        </w:rPr>
        <w:t xml:space="preserve">The PBAC </w:t>
      </w:r>
      <w:r w:rsidR="00B22E5F">
        <w:rPr>
          <w:rFonts w:cs="Arial"/>
          <w:bCs/>
          <w:snapToGrid w:val="0"/>
          <w:lang w:val="en-GB"/>
        </w:rPr>
        <w:t>considered</w:t>
      </w:r>
      <w:r>
        <w:rPr>
          <w:rFonts w:cs="Arial"/>
          <w:bCs/>
          <w:snapToGrid w:val="0"/>
          <w:lang w:val="en-GB"/>
        </w:rPr>
        <w:t xml:space="preserve"> that </w:t>
      </w:r>
      <w:r w:rsidR="00EF4942">
        <w:rPr>
          <w:rFonts w:cs="Arial"/>
          <w:bCs/>
          <w:snapToGrid w:val="0"/>
          <w:lang w:val="en-GB"/>
        </w:rPr>
        <w:t xml:space="preserve">a telephone </w:t>
      </w:r>
      <w:r>
        <w:rPr>
          <w:rFonts w:cs="Arial"/>
          <w:bCs/>
          <w:snapToGrid w:val="0"/>
          <w:lang w:val="en-GB"/>
        </w:rPr>
        <w:t xml:space="preserve">authority was </w:t>
      </w:r>
      <w:r w:rsidR="00EF4942">
        <w:rPr>
          <w:rFonts w:cs="Arial"/>
          <w:bCs/>
          <w:snapToGrid w:val="0"/>
          <w:lang w:val="en-GB"/>
        </w:rPr>
        <w:t>a</w:t>
      </w:r>
      <w:r>
        <w:rPr>
          <w:rFonts w:cs="Arial"/>
          <w:bCs/>
          <w:snapToGrid w:val="0"/>
          <w:lang w:val="en-GB"/>
        </w:rPr>
        <w:t>ppropriate in</w:t>
      </w:r>
      <w:r w:rsidR="00EF4942">
        <w:rPr>
          <w:rFonts w:cs="Arial"/>
          <w:bCs/>
          <w:snapToGrid w:val="0"/>
          <w:lang w:val="en-GB"/>
        </w:rPr>
        <w:t xml:space="preserve"> the</w:t>
      </w:r>
      <w:r>
        <w:rPr>
          <w:rFonts w:cs="Arial"/>
          <w:bCs/>
          <w:snapToGrid w:val="0"/>
          <w:lang w:val="en-GB"/>
        </w:rPr>
        <w:t xml:space="preserve"> induction </w:t>
      </w:r>
      <w:r w:rsidR="00EF4942">
        <w:rPr>
          <w:rFonts w:cs="Arial"/>
          <w:bCs/>
          <w:snapToGrid w:val="0"/>
          <w:lang w:val="en-GB"/>
        </w:rPr>
        <w:t>setting where rapid approval w</w:t>
      </w:r>
      <w:r w:rsidR="00DE78F5">
        <w:rPr>
          <w:rFonts w:cs="Arial"/>
          <w:bCs/>
          <w:snapToGrid w:val="0"/>
          <w:lang w:val="en-GB"/>
        </w:rPr>
        <w:t>as</w:t>
      </w:r>
      <w:r w:rsidR="00EF4942">
        <w:rPr>
          <w:rFonts w:cs="Arial"/>
          <w:bCs/>
          <w:snapToGrid w:val="0"/>
          <w:lang w:val="en-GB"/>
        </w:rPr>
        <w:t xml:space="preserve"> required, noting the low potential for leakage outside the restriction </w:t>
      </w:r>
      <w:r w:rsidR="00B759CE">
        <w:rPr>
          <w:rFonts w:cs="Arial"/>
          <w:bCs/>
          <w:snapToGrid w:val="0"/>
          <w:lang w:val="en-GB"/>
        </w:rPr>
        <w:t>early in treatment</w:t>
      </w:r>
      <w:r w:rsidR="00EF4942">
        <w:rPr>
          <w:rFonts w:cs="Arial"/>
          <w:bCs/>
          <w:snapToGrid w:val="0"/>
          <w:lang w:val="en-GB"/>
        </w:rPr>
        <w:t xml:space="preserve">. </w:t>
      </w:r>
    </w:p>
    <w:p w:rsidR="00B029CA" w:rsidRDefault="005768A8" w:rsidP="00B51A34">
      <w:pPr>
        <w:pStyle w:val="ListParagraph"/>
        <w:numPr>
          <w:ilvl w:val="0"/>
          <w:numId w:val="15"/>
        </w:numPr>
        <w:spacing w:before="0" w:after="0"/>
        <w:ind w:left="993" w:hanging="423"/>
        <w:jc w:val="both"/>
        <w:rPr>
          <w:rFonts w:cs="Arial"/>
          <w:bCs/>
          <w:snapToGrid w:val="0"/>
          <w:lang w:val="en-GB"/>
        </w:rPr>
      </w:pPr>
      <w:r w:rsidRPr="00B51A34">
        <w:t>The</w:t>
      </w:r>
      <w:r>
        <w:rPr>
          <w:rFonts w:cs="Arial"/>
          <w:bCs/>
          <w:snapToGrid w:val="0"/>
          <w:lang w:val="en-GB"/>
        </w:rPr>
        <w:t xml:space="preserve"> PBAC considered that the restrictions for induction and consolidation could be combined given the parallels in doses and duration of treatment </w:t>
      </w:r>
      <w:r w:rsidR="00252836">
        <w:rPr>
          <w:rFonts w:cs="Arial"/>
          <w:bCs/>
          <w:snapToGrid w:val="0"/>
          <w:lang w:val="en-GB"/>
        </w:rPr>
        <w:t>across</w:t>
      </w:r>
      <w:r>
        <w:rPr>
          <w:rFonts w:cs="Arial"/>
          <w:bCs/>
          <w:snapToGrid w:val="0"/>
          <w:lang w:val="en-GB"/>
        </w:rPr>
        <w:t xml:space="preserve"> the two settings</w:t>
      </w:r>
      <w:r w:rsidR="007E4DAA">
        <w:rPr>
          <w:rFonts w:cs="Arial"/>
          <w:bCs/>
          <w:snapToGrid w:val="0"/>
          <w:lang w:val="en-GB"/>
        </w:rPr>
        <w:t xml:space="preserve">. </w:t>
      </w:r>
      <w:r w:rsidR="00252836">
        <w:rPr>
          <w:rFonts w:cs="Arial"/>
          <w:bCs/>
          <w:snapToGrid w:val="0"/>
          <w:lang w:val="en-GB"/>
        </w:rPr>
        <w:t>Th</w:t>
      </w:r>
      <w:r w:rsidR="00B22E5F">
        <w:rPr>
          <w:rFonts w:cs="Arial"/>
          <w:bCs/>
          <w:snapToGrid w:val="0"/>
          <w:lang w:val="en-GB"/>
        </w:rPr>
        <w:t xml:space="preserve">e combined </w:t>
      </w:r>
      <w:r w:rsidR="00DE78F5">
        <w:rPr>
          <w:rFonts w:cs="Arial"/>
          <w:bCs/>
          <w:snapToGrid w:val="0"/>
          <w:lang w:val="en-GB"/>
        </w:rPr>
        <w:t xml:space="preserve">restriction </w:t>
      </w:r>
      <w:r w:rsidR="00B22E5F">
        <w:rPr>
          <w:rFonts w:cs="Arial"/>
          <w:bCs/>
          <w:snapToGrid w:val="0"/>
          <w:lang w:val="en-GB"/>
        </w:rPr>
        <w:t>could be a telephone authority (per above), with</w:t>
      </w:r>
      <w:r w:rsidR="00DE78F5">
        <w:rPr>
          <w:rFonts w:cs="Arial"/>
          <w:bCs/>
          <w:snapToGrid w:val="0"/>
          <w:lang w:val="en-GB"/>
        </w:rPr>
        <w:t xml:space="preserve"> a </w:t>
      </w:r>
      <w:r w:rsidR="00252836">
        <w:rPr>
          <w:rFonts w:cs="Arial"/>
          <w:bCs/>
          <w:snapToGrid w:val="0"/>
          <w:lang w:val="en-GB"/>
        </w:rPr>
        <w:t xml:space="preserve">Treatment </w:t>
      </w:r>
      <w:r w:rsidR="00DE78F5">
        <w:rPr>
          <w:rFonts w:cs="Arial"/>
          <w:bCs/>
          <w:snapToGrid w:val="0"/>
          <w:lang w:val="en-GB"/>
        </w:rPr>
        <w:t>P</w:t>
      </w:r>
      <w:r w:rsidR="00252836">
        <w:rPr>
          <w:rFonts w:cs="Arial"/>
          <w:bCs/>
          <w:snapToGrid w:val="0"/>
          <w:lang w:val="en-GB"/>
        </w:rPr>
        <w:t>hase of “Induction/consolidation”</w:t>
      </w:r>
      <w:r w:rsidR="00B22E5F">
        <w:rPr>
          <w:rFonts w:cs="Arial"/>
          <w:bCs/>
          <w:snapToGrid w:val="0"/>
          <w:lang w:val="en-GB"/>
        </w:rPr>
        <w:t>, and</w:t>
      </w:r>
      <w:r w:rsidR="00252836">
        <w:rPr>
          <w:rFonts w:cs="Arial"/>
          <w:bCs/>
          <w:snapToGrid w:val="0"/>
          <w:lang w:val="en-GB"/>
        </w:rPr>
        <w:t xml:space="preserve"> Prescriber Instructions enabl</w:t>
      </w:r>
      <w:r w:rsidR="00B029CA">
        <w:rPr>
          <w:rFonts w:cs="Arial"/>
          <w:bCs/>
          <w:snapToGrid w:val="0"/>
          <w:lang w:val="en-GB"/>
        </w:rPr>
        <w:t>ing</w:t>
      </w:r>
      <w:r w:rsidR="00252836">
        <w:rPr>
          <w:rFonts w:cs="Arial"/>
          <w:bCs/>
          <w:snapToGrid w:val="0"/>
          <w:lang w:val="en-GB"/>
        </w:rPr>
        <w:t xml:space="preserve"> </w:t>
      </w:r>
      <w:r w:rsidR="00DE78F5">
        <w:rPr>
          <w:rFonts w:cs="Arial"/>
          <w:bCs/>
          <w:snapToGrid w:val="0"/>
          <w:lang w:val="en-GB"/>
        </w:rPr>
        <w:t>“</w:t>
      </w:r>
      <w:r w:rsidR="00252836">
        <w:rPr>
          <w:rFonts w:cs="Arial"/>
          <w:bCs/>
          <w:snapToGrid w:val="0"/>
          <w:lang w:val="en-GB"/>
        </w:rPr>
        <w:t xml:space="preserve">up to three cycles </w:t>
      </w:r>
      <w:r w:rsidR="00B029CA">
        <w:rPr>
          <w:rFonts w:cs="Arial"/>
          <w:bCs/>
          <w:snapToGrid w:val="0"/>
          <w:lang w:val="en-GB"/>
        </w:rPr>
        <w:t xml:space="preserve">to be </w:t>
      </w:r>
      <w:r w:rsidR="00252836">
        <w:rPr>
          <w:rFonts w:cs="Arial"/>
          <w:bCs/>
          <w:snapToGrid w:val="0"/>
          <w:lang w:val="en-GB"/>
        </w:rPr>
        <w:t xml:space="preserve">authorised initially, with a maximum of six </w:t>
      </w:r>
      <w:r w:rsidR="001E0B83">
        <w:rPr>
          <w:rFonts w:cs="Arial"/>
          <w:bCs/>
          <w:snapToGrid w:val="0"/>
          <w:lang w:val="en-GB"/>
        </w:rPr>
        <w:t xml:space="preserve">cycles [packs] </w:t>
      </w:r>
      <w:r w:rsidR="00252836">
        <w:rPr>
          <w:rFonts w:cs="Arial"/>
          <w:bCs/>
          <w:snapToGrid w:val="0"/>
          <w:lang w:val="en-GB"/>
        </w:rPr>
        <w:t>in total possible under this phase</w:t>
      </w:r>
      <w:r w:rsidR="00B51A34">
        <w:rPr>
          <w:rFonts w:cs="Arial"/>
          <w:bCs/>
          <w:snapToGrid w:val="0"/>
          <w:lang w:val="en-GB"/>
        </w:rPr>
        <w:t>”</w:t>
      </w:r>
      <w:r w:rsidR="00252836">
        <w:rPr>
          <w:rFonts w:cs="Arial"/>
          <w:bCs/>
          <w:snapToGrid w:val="0"/>
          <w:lang w:val="en-GB"/>
        </w:rPr>
        <w:t>.</w:t>
      </w:r>
      <w:r w:rsidR="00B029CA">
        <w:rPr>
          <w:rFonts w:cs="Arial"/>
          <w:bCs/>
          <w:snapToGrid w:val="0"/>
          <w:lang w:val="en-GB"/>
        </w:rPr>
        <w:t xml:space="preserve">  </w:t>
      </w:r>
    </w:p>
    <w:p w:rsidR="00B029CA" w:rsidRPr="00B51A34" w:rsidRDefault="00B029CA" w:rsidP="00B51A34">
      <w:pPr>
        <w:pStyle w:val="ListParagraph"/>
        <w:numPr>
          <w:ilvl w:val="0"/>
          <w:numId w:val="15"/>
        </w:numPr>
        <w:spacing w:before="0" w:after="0"/>
        <w:ind w:left="993" w:hanging="423"/>
        <w:jc w:val="both"/>
      </w:pPr>
      <w:r w:rsidRPr="00B51A34">
        <w:t xml:space="preserve">The PBAC considered that the Prescriber </w:t>
      </w:r>
      <w:r w:rsidR="0085523E" w:rsidRPr="00B51A34">
        <w:t>I</w:t>
      </w:r>
      <w:r w:rsidRPr="00B51A34">
        <w:t xml:space="preserve">nstruction </w:t>
      </w:r>
      <w:r w:rsidR="0085523E" w:rsidRPr="00B51A34">
        <w:t>regarding</w:t>
      </w:r>
      <w:r w:rsidRPr="00B51A34">
        <w:t xml:space="preserve"> </w:t>
      </w:r>
      <w:r w:rsidR="0085523E" w:rsidRPr="00B51A34">
        <w:t>e</w:t>
      </w:r>
      <w:r w:rsidRPr="00B51A34">
        <w:t xml:space="preserve">vidence of a FLT3 ITD or TKD mutation should specify that the date and result </w:t>
      </w:r>
      <w:r w:rsidR="005B2592" w:rsidRPr="00B51A34">
        <w:t xml:space="preserve">of the test </w:t>
      </w:r>
      <w:r w:rsidR="0085523E" w:rsidRPr="00B51A34">
        <w:t>must</w:t>
      </w:r>
      <w:r w:rsidRPr="00B51A34">
        <w:t xml:space="preserve"> be supplied. </w:t>
      </w:r>
    </w:p>
    <w:p w:rsidR="007E4DAA" w:rsidRPr="00B51A34" w:rsidRDefault="00B029CA" w:rsidP="00B51A34">
      <w:pPr>
        <w:pStyle w:val="ListParagraph"/>
        <w:numPr>
          <w:ilvl w:val="0"/>
          <w:numId w:val="15"/>
        </w:numPr>
        <w:spacing w:before="0" w:after="0"/>
        <w:ind w:left="993" w:hanging="423"/>
        <w:jc w:val="both"/>
      </w:pPr>
      <w:r w:rsidRPr="00B51A34">
        <w:t>In the maintenance setting, t</w:t>
      </w:r>
      <w:r w:rsidR="007E4DAA" w:rsidRPr="00B51A34">
        <w:t xml:space="preserve">he PBAC considered that the restriction should be amended to </w:t>
      </w:r>
      <w:r w:rsidR="00AA7D78" w:rsidRPr="00B51A34">
        <w:t>specify</w:t>
      </w:r>
      <w:r w:rsidR="007E4DAA" w:rsidRPr="00B51A34">
        <w:t xml:space="preserve"> that midostaurin </w:t>
      </w:r>
      <w:r w:rsidR="00EF19B1">
        <w:t xml:space="preserve">was not </w:t>
      </w:r>
      <w:r w:rsidR="00A25B27">
        <w:t xml:space="preserve">approved as maintenance </w:t>
      </w:r>
      <w:r w:rsidR="00C529A4" w:rsidRPr="00B51A34">
        <w:t>following a stem cell transplant</w:t>
      </w:r>
      <w:r w:rsidR="007E4DAA" w:rsidRPr="00B51A34">
        <w:t xml:space="preserve">.  </w:t>
      </w:r>
    </w:p>
    <w:p w:rsidR="004B18D1" w:rsidRPr="00B51A34" w:rsidRDefault="007E4DAA" w:rsidP="00B51A34">
      <w:pPr>
        <w:pStyle w:val="ListParagraph"/>
        <w:numPr>
          <w:ilvl w:val="0"/>
          <w:numId w:val="15"/>
        </w:numPr>
        <w:spacing w:before="0" w:after="0"/>
        <w:ind w:left="993" w:hanging="423"/>
        <w:jc w:val="both"/>
      </w:pPr>
      <w:r w:rsidRPr="00B51A34">
        <w:t xml:space="preserve">The PBAC considered that </w:t>
      </w:r>
      <w:r w:rsidR="00890055" w:rsidRPr="00B51A34">
        <w:t>the restriction for use in the maintenance setting should be split into initial and continuing restrictions</w:t>
      </w:r>
      <w:r w:rsidR="004B18D1" w:rsidRPr="00B51A34">
        <w:t>.</w:t>
      </w:r>
    </w:p>
    <w:p w:rsidR="00B378E6" w:rsidRPr="00EC5CD2" w:rsidRDefault="004B18D1" w:rsidP="00B378E6">
      <w:pPr>
        <w:pStyle w:val="ListParagraph"/>
        <w:numPr>
          <w:ilvl w:val="0"/>
          <w:numId w:val="15"/>
        </w:numPr>
        <w:spacing w:before="0" w:after="0"/>
        <w:ind w:left="993" w:hanging="423"/>
        <w:jc w:val="both"/>
        <w:rPr>
          <w:rFonts w:cs="Arial"/>
          <w:bCs/>
          <w:snapToGrid w:val="0"/>
          <w:lang w:val="en-GB"/>
        </w:rPr>
      </w:pPr>
      <w:r w:rsidRPr="00B51A34">
        <w:t xml:space="preserve">For the initial </w:t>
      </w:r>
      <w:r w:rsidR="00B22E5F" w:rsidRPr="00B51A34">
        <w:t xml:space="preserve">maintenance </w:t>
      </w:r>
      <w:r w:rsidRPr="00B51A34">
        <w:t>restric</w:t>
      </w:r>
      <w:r w:rsidR="002212CA" w:rsidRPr="00B51A34">
        <w:t>t</w:t>
      </w:r>
      <w:r w:rsidRPr="00B51A34">
        <w:t xml:space="preserve">ion, the PBAC considered that a written authority was </w:t>
      </w:r>
      <w:r w:rsidR="00DE78F5" w:rsidRPr="00B51A34">
        <w:t>necessary</w:t>
      </w:r>
      <w:r w:rsidRPr="00B51A34">
        <w:t xml:space="preserve"> to prevent </w:t>
      </w:r>
      <w:r w:rsidR="00F90A13">
        <w:t>assist minimising use outside the intended population</w:t>
      </w:r>
      <w:r w:rsidR="00B759CE" w:rsidRPr="00EC5CD2">
        <w:rPr>
          <w:rFonts w:cs="Arial"/>
          <w:bCs/>
          <w:snapToGrid w:val="0"/>
          <w:lang w:val="en-GB"/>
        </w:rPr>
        <w:t xml:space="preserve">. </w:t>
      </w:r>
      <w:r w:rsidR="00B22E5F" w:rsidRPr="00EC5CD2">
        <w:rPr>
          <w:rFonts w:cs="Arial"/>
          <w:bCs/>
          <w:snapToGrid w:val="0"/>
          <w:lang w:val="en-GB"/>
        </w:rPr>
        <w:t>For this restriction, the PBAC considered that u</w:t>
      </w:r>
      <w:r w:rsidRPr="00EC5CD2">
        <w:rPr>
          <w:rFonts w:cs="Arial"/>
          <w:bCs/>
          <w:snapToGrid w:val="0"/>
          <w:lang w:val="en-GB"/>
        </w:rPr>
        <w:t>p to three cycles could be authorised</w:t>
      </w:r>
      <w:r w:rsidR="00B22E5F" w:rsidRPr="00EC5CD2">
        <w:rPr>
          <w:rFonts w:cs="Arial"/>
          <w:bCs/>
          <w:snapToGrid w:val="0"/>
          <w:lang w:val="en-GB"/>
        </w:rPr>
        <w:t xml:space="preserve">, and the Clinical Criteria </w:t>
      </w:r>
      <w:r w:rsidR="002212CA" w:rsidRPr="00EC5CD2">
        <w:rPr>
          <w:rFonts w:cs="Arial"/>
          <w:bCs/>
          <w:snapToGrid w:val="0"/>
          <w:lang w:val="en-GB"/>
        </w:rPr>
        <w:t xml:space="preserve">should state </w:t>
      </w:r>
      <w:r w:rsidR="00B22E5F" w:rsidRPr="00EC5CD2">
        <w:rPr>
          <w:rFonts w:cs="Arial"/>
          <w:bCs/>
          <w:snapToGrid w:val="0"/>
          <w:lang w:val="en-GB"/>
        </w:rPr>
        <w:t xml:space="preserve">(among other criteria) </w:t>
      </w:r>
      <w:r w:rsidR="002212CA" w:rsidRPr="00EC5CD2">
        <w:rPr>
          <w:rFonts w:cs="Arial"/>
          <w:bCs/>
          <w:snapToGrid w:val="0"/>
          <w:lang w:val="en-GB"/>
        </w:rPr>
        <w:t>that the “Patient must not be planned for, or have undergone, a stem cell transplant in first remission OR Patient must be awaiting a stem cell transplant in first remission”.</w:t>
      </w:r>
    </w:p>
    <w:p w:rsidR="007E4DAA" w:rsidRPr="00B378E6" w:rsidRDefault="002212CA" w:rsidP="00B378E6">
      <w:pPr>
        <w:pStyle w:val="ListParagraph"/>
        <w:numPr>
          <w:ilvl w:val="1"/>
          <w:numId w:val="2"/>
        </w:numPr>
        <w:spacing w:before="0" w:after="120"/>
        <w:ind w:left="576"/>
        <w:jc w:val="both"/>
      </w:pPr>
      <w:r w:rsidRPr="00B51A34">
        <w:t>F</w:t>
      </w:r>
      <w:r w:rsidRPr="00AA7D78">
        <w:rPr>
          <w:rFonts w:cs="Arial"/>
          <w:bCs/>
          <w:snapToGrid w:val="0"/>
          <w:lang w:val="en-GB"/>
        </w:rPr>
        <w:t xml:space="preserve">or the continuing </w:t>
      </w:r>
      <w:r w:rsidR="00B22E5F">
        <w:rPr>
          <w:rFonts w:cs="Arial"/>
          <w:bCs/>
          <w:snapToGrid w:val="0"/>
          <w:lang w:val="en-GB"/>
        </w:rPr>
        <w:t xml:space="preserve">maintenance </w:t>
      </w:r>
      <w:r w:rsidRPr="00AA7D78">
        <w:rPr>
          <w:rFonts w:cs="Arial"/>
          <w:bCs/>
          <w:snapToGrid w:val="0"/>
          <w:lang w:val="en-GB"/>
        </w:rPr>
        <w:t xml:space="preserve">restriction, the PBAC considered that a telephone authority was appropriate, with </w:t>
      </w:r>
      <w:r w:rsidR="00F34488" w:rsidRPr="00AA7D78">
        <w:rPr>
          <w:rFonts w:cs="Arial"/>
          <w:bCs/>
          <w:snapToGrid w:val="0"/>
          <w:lang w:val="en-GB"/>
        </w:rPr>
        <w:t>u</w:t>
      </w:r>
      <w:r w:rsidRPr="00AA7D78">
        <w:rPr>
          <w:rFonts w:cs="Arial"/>
          <w:bCs/>
          <w:snapToGrid w:val="0"/>
          <w:lang w:val="en-GB"/>
        </w:rPr>
        <w:t xml:space="preserve">p to three cycles authorised </w:t>
      </w:r>
      <w:r w:rsidR="00F34488" w:rsidRPr="00AA7D78">
        <w:rPr>
          <w:rFonts w:cs="Arial"/>
          <w:bCs/>
          <w:snapToGrid w:val="0"/>
          <w:lang w:val="en-GB"/>
        </w:rPr>
        <w:t xml:space="preserve">initially with a maximum of nine cycles allowed under this </w:t>
      </w:r>
      <w:r w:rsidRPr="00AA7D78">
        <w:rPr>
          <w:rFonts w:cs="Arial"/>
          <w:bCs/>
          <w:snapToGrid w:val="0"/>
          <w:lang w:val="en-GB"/>
        </w:rPr>
        <w:t>restriction. The PBAC considered that this restriction should state that the “Patient must not be planned for, or have undergone, a stem cell transplant in first remission</w:t>
      </w:r>
      <w:r w:rsidR="00F34488" w:rsidRPr="00AA7D78">
        <w:rPr>
          <w:rFonts w:cs="Arial"/>
          <w:bCs/>
          <w:snapToGrid w:val="0"/>
          <w:lang w:val="en-GB"/>
        </w:rPr>
        <w:t xml:space="preserve">” and the following statement </w:t>
      </w:r>
      <w:r w:rsidR="0085523E" w:rsidRPr="00B378E6">
        <w:t xml:space="preserve">should be </w:t>
      </w:r>
      <w:r w:rsidR="00F34488" w:rsidRPr="00B378E6">
        <w:t>removed</w:t>
      </w:r>
      <w:r w:rsidRPr="00B378E6">
        <w:t xml:space="preserve"> </w:t>
      </w:r>
      <w:r w:rsidR="00F34488" w:rsidRPr="00B378E6">
        <w:t>“</w:t>
      </w:r>
      <w:r w:rsidRPr="00B378E6">
        <w:t>OR Patient must be awaiting a stem cell transplant”.</w:t>
      </w:r>
      <w:r w:rsidR="0085523E" w:rsidRPr="00B378E6">
        <w:t xml:space="preserve"> </w:t>
      </w:r>
    </w:p>
    <w:p w:rsidR="00A25B27" w:rsidRPr="00F30E35" w:rsidRDefault="00A25B27" w:rsidP="00BF7BA9">
      <w:pPr>
        <w:pStyle w:val="ListParagraph"/>
        <w:numPr>
          <w:ilvl w:val="1"/>
          <w:numId w:val="2"/>
        </w:numPr>
        <w:spacing w:before="0" w:after="120"/>
        <w:ind w:left="576"/>
        <w:jc w:val="both"/>
      </w:pPr>
      <w:r w:rsidRPr="00167921">
        <w:t xml:space="preserve">The PBAC </w:t>
      </w:r>
      <w:r>
        <w:t>advised</w:t>
      </w:r>
      <w:r w:rsidRPr="00167921">
        <w:t xml:space="preserve"> that</w:t>
      </w:r>
      <w:r>
        <w:t xml:space="preserve"> </w:t>
      </w:r>
      <w:r w:rsidRPr="00167921">
        <w:t>FLT3 mutation testing is routinely conducted as standard clinical practice for most patients diagnosed with AML</w:t>
      </w:r>
      <w:r>
        <w:t xml:space="preserve"> who are suitable for intensive induction therapy. In some centres, it is not performed</w:t>
      </w:r>
      <w:r w:rsidRPr="00167921">
        <w:t xml:space="preserve"> whe</w:t>
      </w:r>
      <w:r>
        <w:t>n</w:t>
      </w:r>
      <w:r w:rsidRPr="00167921">
        <w:t xml:space="preserve"> cytogen</w:t>
      </w:r>
      <w:r>
        <w:t>et</w:t>
      </w:r>
      <w:r w:rsidRPr="00167921">
        <w:t>ics indicated a favourable or unfavourable prognosis (as opposed to an intermediate prognosis, where the presence of FLT3 mutations has the most utility as a prognostic indicator)</w:t>
      </w:r>
      <w:r>
        <w:t>, but increasingly it is becoming uniform in line with international guidelines that antedate FDA approval of midostaurin</w:t>
      </w:r>
      <w:r w:rsidRPr="00167921">
        <w:t>.</w:t>
      </w:r>
      <w:r>
        <w:t xml:space="preserve"> </w:t>
      </w:r>
      <w:r w:rsidRPr="00167921">
        <w:t xml:space="preserve">As such, the PBAC </w:t>
      </w:r>
      <w:r>
        <w:t>foreshadowed that while the PBS listing of midostaurin may result in a</w:t>
      </w:r>
      <w:r w:rsidRPr="00167921">
        <w:t xml:space="preserve"> </w:t>
      </w:r>
      <w:r>
        <w:t>minor</w:t>
      </w:r>
      <w:r w:rsidRPr="00167921">
        <w:t xml:space="preserve"> </w:t>
      </w:r>
      <w:r>
        <w:t xml:space="preserve">increase in the </w:t>
      </w:r>
      <w:r w:rsidRPr="00167921">
        <w:t>service volumes of FLT3 testing</w:t>
      </w:r>
      <w:r>
        <w:t>, the overarching purpose of testing</w:t>
      </w:r>
      <w:r w:rsidR="004D0A6E">
        <w:t>,</w:t>
      </w:r>
      <w:r>
        <w:t xml:space="preserve"> </w:t>
      </w:r>
      <w:r w:rsidR="00BF7BA9">
        <w:t>i.e.</w:t>
      </w:r>
      <w:r w:rsidR="004D0A6E">
        <w:t xml:space="preserve"> </w:t>
      </w:r>
      <w:r>
        <w:t>to guide management</w:t>
      </w:r>
      <w:r w:rsidR="004D0A6E">
        <w:t>,</w:t>
      </w:r>
      <w:r>
        <w:t xml:space="preserve"> has not changed.</w:t>
      </w:r>
    </w:p>
    <w:p w:rsidR="00D02EA8" w:rsidRPr="00180373" w:rsidRDefault="00D02EA8" w:rsidP="00180373">
      <w:pPr>
        <w:pStyle w:val="ListParagraph"/>
        <w:numPr>
          <w:ilvl w:val="1"/>
          <w:numId w:val="2"/>
        </w:numPr>
        <w:spacing w:before="0" w:after="120"/>
        <w:ind w:left="576"/>
        <w:jc w:val="both"/>
      </w:pPr>
      <w:r w:rsidRPr="00180373">
        <w:t xml:space="preserve">The PBAC </w:t>
      </w:r>
      <w:r w:rsidR="00196483" w:rsidRPr="00180373">
        <w:t>considered that</w:t>
      </w:r>
      <w:r w:rsidRPr="00180373">
        <w:t xml:space="preserve"> placebo was the appropriate comparator.</w:t>
      </w:r>
    </w:p>
    <w:p w:rsidR="009D6F46" w:rsidRPr="00F30E35" w:rsidRDefault="009D6F46" w:rsidP="00180373">
      <w:pPr>
        <w:pStyle w:val="ListParagraph"/>
        <w:numPr>
          <w:ilvl w:val="1"/>
          <w:numId w:val="2"/>
        </w:numPr>
        <w:spacing w:before="0" w:after="120"/>
        <w:ind w:left="576"/>
        <w:jc w:val="both"/>
      </w:pPr>
      <w:r w:rsidRPr="00180373">
        <w:t xml:space="preserve">The PBAC noted that the submission was based on </w:t>
      </w:r>
      <w:r>
        <w:t xml:space="preserve">a direct randomised controlled </w:t>
      </w:r>
      <w:r w:rsidRPr="00F30E35">
        <w:t xml:space="preserve">trial comparing midostaurin versus placebo in the induction, consolidation, and maintenance </w:t>
      </w:r>
      <w:r w:rsidR="00BE6AD3">
        <w:t>phases of</w:t>
      </w:r>
      <w:r w:rsidRPr="00F30E35">
        <w:t xml:space="preserve"> treatment </w:t>
      </w:r>
      <w:r w:rsidR="00BE6AD3">
        <w:t>in</w:t>
      </w:r>
      <w:r w:rsidRPr="00F30E35">
        <w:t xml:space="preserve"> FLT3 mutation positive AML patients aged </w:t>
      </w:r>
      <w:r w:rsidRPr="00180373">
        <w:t>≤</w:t>
      </w:r>
      <w:r w:rsidRPr="00F30E35">
        <w:t xml:space="preserve">59 years (RATIFY). </w:t>
      </w:r>
    </w:p>
    <w:p w:rsidR="00330BF6" w:rsidRPr="009D6F46" w:rsidRDefault="009D6F46" w:rsidP="009D6F46">
      <w:pPr>
        <w:pStyle w:val="ListParagraph"/>
        <w:numPr>
          <w:ilvl w:val="1"/>
          <w:numId w:val="2"/>
        </w:numPr>
        <w:spacing w:before="0" w:after="120"/>
        <w:ind w:left="576"/>
        <w:jc w:val="both"/>
      </w:pPr>
      <w:r>
        <w:t>T</w:t>
      </w:r>
      <w:r w:rsidRPr="00790C0E">
        <w:t xml:space="preserve">he PBAC </w:t>
      </w:r>
      <w:r>
        <w:t xml:space="preserve">considered that RATIFY was a mature, well-conducted trial with similar </w:t>
      </w:r>
      <w:r w:rsidRPr="009F09BE">
        <w:t>results with and without censoring for SCT</w:t>
      </w:r>
      <w:r>
        <w:t xml:space="preserve">. The PBAC considered that </w:t>
      </w:r>
      <w:r w:rsidRPr="00790C0E">
        <w:t xml:space="preserve">the </w:t>
      </w:r>
      <w:r w:rsidR="004D0A6E">
        <w:t xml:space="preserve">numerical </w:t>
      </w:r>
      <w:r w:rsidRPr="00790C0E">
        <w:t xml:space="preserve">difference between </w:t>
      </w:r>
      <w:r>
        <w:t>arms</w:t>
      </w:r>
      <w:r w:rsidRPr="00790C0E">
        <w:t xml:space="preserve"> in median </w:t>
      </w:r>
      <w:r>
        <w:t>OS</w:t>
      </w:r>
      <w:r w:rsidRPr="00790C0E">
        <w:t xml:space="preserve"> (not censored at time of SCT) </w:t>
      </w:r>
      <w:r>
        <w:t xml:space="preserve">potentially </w:t>
      </w:r>
      <w:r w:rsidR="00BE6AD3">
        <w:t>overstated</w:t>
      </w:r>
      <w:r w:rsidR="00BE6AD3" w:rsidRPr="00790C0E">
        <w:t xml:space="preserve"> </w:t>
      </w:r>
      <w:r w:rsidRPr="00790C0E">
        <w:t>the survival benefit of midostaurin</w:t>
      </w:r>
      <w:r>
        <w:t xml:space="preserve">, as the survival </w:t>
      </w:r>
      <w:r w:rsidRPr="00790C0E">
        <w:t>curves beg</w:t>
      </w:r>
      <w:r>
        <w:t>an</w:t>
      </w:r>
      <w:r w:rsidRPr="00790C0E">
        <w:t xml:space="preserve"> to plateau just prior to the time of median </w:t>
      </w:r>
      <w:r>
        <w:t xml:space="preserve">OS. </w:t>
      </w:r>
    </w:p>
    <w:p w:rsidR="00BA0650" w:rsidRPr="00496CB6" w:rsidRDefault="009D6F46" w:rsidP="00B378E6">
      <w:pPr>
        <w:pStyle w:val="ListParagraph"/>
        <w:numPr>
          <w:ilvl w:val="1"/>
          <w:numId w:val="2"/>
        </w:numPr>
        <w:spacing w:before="0" w:after="120"/>
        <w:ind w:left="576"/>
        <w:jc w:val="both"/>
        <w:rPr>
          <w:rFonts w:cs="Arial"/>
          <w:bCs/>
          <w:snapToGrid w:val="0"/>
          <w:lang w:val="en-GB"/>
        </w:rPr>
      </w:pPr>
      <w:r w:rsidRPr="00B378E6">
        <w:t>The</w:t>
      </w:r>
      <w:r w:rsidRPr="00496CB6">
        <w:rPr>
          <w:rFonts w:cs="Arial"/>
          <w:bCs/>
          <w:snapToGrid w:val="0"/>
          <w:lang w:val="en-GB"/>
        </w:rPr>
        <w:t xml:space="preserve"> PBAC considered that the pivotal trial, RATIFY</w:t>
      </w:r>
      <w:r>
        <w:rPr>
          <w:rFonts w:cs="Arial"/>
          <w:bCs/>
          <w:snapToGrid w:val="0"/>
          <w:lang w:val="en-GB"/>
        </w:rPr>
        <w:t>,</w:t>
      </w:r>
      <w:r w:rsidRPr="00496CB6">
        <w:rPr>
          <w:rFonts w:cs="Arial"/>
          <w:bCs/>
          <w:snapToGrid w:val="0"/>
          <w:lang w:val="en-GB"/>
        </w:rPr>
        <w:t xml:space="preserve"> </w:t>
      </w:r>
      <w:r>
        <w:rPr>
          <w:rFonts w:cs="Arial"/>
          <w:bCs/>
          <w:snapToGrid w:val="0"/>
          <w:lang w:val="en-GB"/>
        </w:rPr>
        <w:t>demonstrate</w:t>
      </w:r>
      <w:r w:rsidRPr="00496CB6">
        <w:rPr>
          <w:rFonts w:cs="Arial"/>
          <w:bCs/>
          <w:snapToGrid w:val="0"/>
          <w:lang w:val="en-GB"/>
        </w:rPr>
        <w:t>d that midostaurin improved overall survival versus placebo</w:t>
      </w:r>
      <w:r>
        <w:rPr>
          <w:rFonts w:cs="Arial"/>
          <w:bCs/>
          <w:snapToGrid w:val="0"/>
          <w:lang w:val="en-GB"/>
        </w:rPr>
        <w:t xml:space="preserve"> in patients aged under 60 years. </w:t>
      </w:r>
      <w:r w:rsidR="00D85B7F">
        <w:rPr>
          <w:rFonts w:cs="Arial"/>
          <w:bCs/>
          <w:snapToGrid w:val="0"/>
          <w:lang w:val="en-GB"/>
        </w:rPr>
        <w:t xml:space="preserve">The PBAC noted that the RATIFY trial only enrolled patients </w:t>
      </w:r>
      <w:r w:rsidR="00D85B7F" w:rsidRPr="00154A48">
        <w:t xml:space="preserve">aged </w:t>
      </w:r>
      <w:r w:rsidR="00D85B7F" w:rsidRPr="00154A48">
        <w:rPr>
          <w:rFonts w:cstheme="minorHAnsi"/>
        </w:rPr>
        <w:t>≤</w:t>
      </w:r>
      <w:r w:rsidR="00D85B7F" w:rsidRPr="00154A48">
        <w:t>59 years</w:t>
      </w:r>
      <w:r w:rsidR="00D85B7F">
        <w:t xml:space="preserve">, and </w:t>
      </w:r>
      <w:r w:rsidR="00F33478">
        <w:t xml:space="preserve">the </w:t>
      </w:r>
      <w:r w:rsidR="00D85B7F">
        <w:t xml:space="preserve">presented evidence from the </w:t>
      </w:r>
      <w:r w:rsidR="00D85B7F">
        <w:rPr>
          <w:rFonts w:cs="Arial"/>
          <w:bCs/>
          <w:snapToGrid w:val="0"/>
          <w:lang w:val="en-GB"/>
        </w:rPr>
        <w:t xml:space="preserve">the single arm AMLSG 16-10 study, to support midostaurin’s effectiveness in the </w:t>
      </w:r>
      <w:r w:rsidR="00D85B7F" w:rsidRPr="00154A48">
        <w:t xml:space="preserve">aged </w:t>
      </w:r>
      <w:r w:rsidR="00D85B7F" w:rsidRPr="00154A48">
        <w:rPr>
          <w:rFonts w:cstheme="minorHAnsi"/>
        </w:rPr>
        <w:t>≥</w:t>
      </w:r>
      <w:r w:rsidR="00D85B7F" w:rsidRPr="00154A48">
        <w:t>60 years</w:t>
      </w:r>
      <w:r w:rsidR="00D85B7F">
        <w:t>.</w:t>
      </w:r>
      <w:r w:rsidR="00D85B7F">
        <w:rPr>
          <w:rFonts w:cs="Arial"/>
          <w:bCs/>
          <w:snapToGrid w:val="0"/>
          <w:lang w:val="en-GB"/>
        </w:rPr>
        <w:t xml:space="preserve"> The PBAC considered that while it was </w:t>
      </w:r>
      <w:r w:rsidR="002B0AAA" w:rsidRPr="002B0AAA">
        <w:rPr>
          <w:rFonts w:cs="Arial"/>
          <w:bCs/>
          <w:snapToGrid w:val="0"/>
          <w:lang w:val="en-GB"/>
        </w:rPr>
        <w:t>biologically</w:t>
      </w:r>
      <w:r w:rsidR="002B0AAA">
        <w:rPr>
          <w:rFonts w:cs="Arial"/>
          <w:bCs/>
          <w:snapToGrid w:val="0"/>
          <w:lang w:val="en-GB"/>
        </w:rPr>
        <w:t xml:space="preserve"> plausible for</w:t>
      </w:r>
      <w:r w:rsidR="00F33478">
        <w:rPr>
          <w:rFonts w:cs="Arial"/>
          <w:bCs/>
          <w:snapToGrid w:val="0"/>
          <w:lang w:val="en-GB"/>
        </w:rPr>
        <w:t xml:space="preserve"> older</w:t>
      </w:r>
      <w:r w:rsidR="002B0AAA">
        <w:rPr>
          <w:rFonts w:cs="Arial"/>
          <w:bCs/>
          <w:snapToGrid w:val="0"/>
          <w:lang w:val="en-GB"/>
        </w:rPr>
        <w:t xml:space="preserve"> patients to respond </w:t>
      </w:r>
      <w:r w:rsidR="00D85B7F">
        <w:rPr>
          <w:rFonts w:cs="Arial"/>
          <w:bCs/>
          <w:snapToGrid w:val="0"/>
          <w:lang w:val="en-GB"/>
        </w:rPr>
        <w:t>to midostaurin</w:t>
      </w:r>
      <w:r w:rsidR="002B0AAA">
        <w:rPr>
          <w:rFonts w:cs="Arial"/>
          <w:bCs/>
          <w:snapToGrid w:val="0"/>
          <w:lang w:val="en-GB"/>
        </w:rPr>
        <w:t xml:space="preserve">, </w:t>
      </w:r>
      <w:r w:rsidR="00F33478">
        <w:rPr>
          <w:rFonts w:cs="Arial"/>
          <w:bCs/>
          <w:snapToGrid w:val="0"/>
          <w:lang w:val="en-GB"/>
        </w:rPr>
        <w:t>it</w:t>
      </w:r>
      <w:r w:rsidR="002B0AAA">
        <w:rPr>
          <w:rFonts w:cs="Arial"/>
          <w:bCs/>
          <w:snapToGrid w:val="0"/>
          <w:lang w:val="en-GB"/>
        </w:rPr>
        <w:t xml:space="preserve"> </w:t>
      </w:r>
      <w:r w:rsidR="00D85B7F">
        <w:rPr>
          <w:rFonts w:cs="Arial"/>
          <w:bCs/>
          <w:snapToGrid w:val="0"/>
          <w:lang w:val="en-GB"/>
        </w:rPr>
        <w:t xml:space="preserve">was not convinced of the magnitude of incremental benefit in the older patient population </w:t>
      </w:r>
      <w:r w:rsidR="00BA0650">
        <w:rPr>
          <w:rFonts w:cs="Arial"/>
          <w:bCs/>
          <w:snapToGrid w:val="0"/>
          <w:lang w:val="en-GB"/>
        </w:rPr>
        <w:t>due to</w:t>
      </w:r>
      <w:r w:rsidR="000D421A">
        <w:rPr>
          <w:rFonts w:cs="Arial"/>
          <w:bCs/>
          <w:snapToGrid w:val="0"/>
          <w:lang w:val="en-GB"/>
        </w:rPr>
        <w:t xml:space="preserve"> the absence of a placebo comparison and a</w:t>
      </w:r>
      <w:r w:rsidR="00BA0650">
        <w:rPr>
          <w:rFonts w:cs="Arial"/>
          <w:bCs/>
          <w:snapToGrid w:val="0"/>
          <w:lang w:val="en-GB"/>
        </w:rPr>
        <w:t xml:space="preserve"> higher </w:t>
      </w:r>
      <w:r w:rsidR="00762FD9">
        <w:rPr>
          <w:rFonts w:cs="Arial"/>
          <w:bCs/>
          <w:snapToGrid w:val="0"/>
          <w:lang w:val="en-GB"/>
        </w:rPr>
        <w:t xml:space="preserve">background mortality (e.g. </w:t>
      </w:r>
      <w:r w:rsidR="00BA0650">
        <w:rPr>
          <w:rFonts w:cs="Arial"/>
          <w:bCs/>
          <w:snapToGrid w:val="0"/>
          <w:lang w:val="en-GB"/>
        </w:rPr>
        <w:t xml:space="preserve">transplant-related </w:t>
      </w:r>
      <w:r w:rsidR="00762FD9">
        <w:rPr>
          <w:rFonts w:cs="Arial"/>
          <w:bCs/>
          <w:snapToGrid w:val="0"/>
          <w:lang w:val="en-GB"/>
        </w:rPr>
        <w:t xml:space="preserve">or from </w:t>
      </w:r>
      <w:r w:rsidR="00BA0650">
        <w:rPr>
          <w:rFonts w:cs="Arial"/>
          <w:bCs/>
          <w:snapToGrid w:val="0"/>
          <w:lang w:val="en-GB"/>
        </w:rPr>
        <w:t>causes unrelated to AML</w:t>
      </w:r>
      <w:r w:rsidR="00762FD9">
        <w:rPr>
          <w:rFonts w:cs="Arial"/>
          <w:bCs/>
          <w:snapToGrid w:val="0"/>
          <w:lang w:val="en-GB"/>
        </w:rPr>
        <w:t>)</w:t>
      </w:r>
      <w:r w:rsidR="000D421A">
        <w:rPr>
          <w:rFonts w:cs="Arial"/>
          <w:bCs/>
          <w:snapToGrid w:val="0"/>
          <w:lang w:val="en-GB"/>
        </w:rPr>
        <w:t xml:space="preserve"> in the older population</w:t>
      </w:r>
      <w:r w:rsidR="00BA0650">
        <w:rPr>
          <w:rFonts w:cs="Arial"/>
          <w:bCs/>
          <w:snapToGrid w:val="0"/>
          <w:lang w:val="en-GB"/>
        </w:rPr>
        <w:t xml:space="preserve">. </w:t>
      </w:r>
      <w:r w:rsidR="00D85B7F">
        <w:rPr>
          <w:rFonts w:cs="Arial"/>
          <w:bCs/>
          <w:snapToGrid w:val="0"/>
          <w:lang w:val="en-GB"/>
        </w:rPr>
        <w:t xml:space="preserve">While the </w:t>
      </w:r>
      <w:r w:rsidR="00BA0650">
        <w:rPr>
          <w:rFonts w:cs="Arial"/>
          <w:bCs/>
          <w:snapToGrid w:val="0"/>
          <w:lang w:val="en-GB"/>
        </w:rPr>
        <w:t xml:space="preserve">PBAC </w:t>
      </w:r>
      <w:r w:rsidR="00D85B7F">
        <w:rPr>
          <w:rFonts w:cs="Arial"/>
          <w:bCs/>
          <w:snapToGrid w:val="0"/>
          <w:lang w:val="en-GB"/>
        </w:rPr>
        <w:t>advised against</w:t>
      </w:r>
      <w:r w:rsidR="00A43345" w:rsidRPr="00A43345">
        <w:rPr>
          <w:rFonts w:cs="Arial"/>
          <w:bCs/>
          <w:snapToGrid w:val="0"/>
          <w:lang w:val="en-GB"/>
        </w:rPr>
        <w:t xml:space="preserve"> restrict</w:t>
      </w:r>
      <w:r w:rsidR="00D85B7F">
        <w:rPr>
          <w:rFonts w:cs="Arial"/>
          <w:bCs/>
          <w:snapToGrid w:val="0"/>
          <w:lang w:val="en-GB"/>
        </w:rPr>
        <w:t>ing the</w:t>
      </w:r>
      <w:r w:rsidR="00A43345" w:rsidRPr="00A43345">
        <w:rPr>
          <w:rFonts w:cs="Arial"/>
          <w:bCs/>
          <w:snapToGrid w:val="0"/>
          <w:lang w:val="en-GB"/>
        </w:rPr>
        <w:t xml:space="preserve"> use of midostaurin </w:t>
      </w:r>
      <w:r w:rsidR="00C965A5">
        <w:rPr>
          <w:rFonts w:cs="Arial"/>
          <w:bCs/>
          <w:snapToGrid w:val="0"/>
          <w:lang w:val="en-GB"/>
        </w:rPr>
        <w:t>based on age</w:t>
      </w:r>
      <w:r w:rsidR="00C60B6C">
        <w:rPr>
          <w:rFonts w:cs="Arial"/>
          <w:bCs/>
          <w:snapToGrid w:val="0"/>
          <w:lang w:val="en-GB"/>
        </w:rPr>
        <w:t xml:space="preserve"> and considered </w:t>
      </w:r>
      <w:r w:rsidR="00C60B6C" w:rsidRPr="00F30E35">
        <w:t>the effect of age on treatment eligibility would be best regulated if left to the discretion of the prescriber</w:t>
      </w:r>
      <w:r w:rsidR="00A43345">
        <w:rPr>
          <w:rFonts w:cs="Arial"/>
          <w:bCs/>
          <w:snapToGrid w:val="0"/>
          <w:lang w:val="en-GB"/>
        </w:rPr>
        <w:t xml:space="preserve">, </w:t>
      </w:r>
      <w:r w:rsidR="00C60B6C">
        <w:rPr>
          <w:rFonts w:cs="Arial"/>
          <w:bCs/>
          <w:snapToGrid w:val="0"/>
          <w:lang w:val="en-GB"/>
        </w:rPr>
        <w:t>the Committee advised</w:t>
      </w:r>
      <w:r w:rsidR="00A43345">
        <w:rPr>
          <w:rFonts w:cs="Arial"/>
          <w:bCs/>
          <w:snapToGrid w:val="0"/>
          <w:lang w:val="en-GB"/>
        </w:rPr>
        <w:t xml:space="preserve"> th</w:t>
      </w:r>
      <w:r w:rsidR="00790C0E">
        <w:rPr>
          <w:rFonts w:cs="Arial"/>
          <w:bCs/>
          <w:snapToGrid w:val="0"/>
          <w:lang w:val="en-GB"/>
        </w:rPr>
        <w:t>at the</w:t>
      </w:r>
      <w:r w:rsidR="00A43345">
        <w:rPr>
          <w:rFonts w:cs="Arial"/>
          <w:bCs/>
          <w:snapToGrid w:val="0"/>
          <w:lang w:val="en-GB"/>
        </w:rPr>
        <w:t xml:space="preserve"> impact </w:t>
      </w:r>
      <w:r w:rsidR="00790C0E">
        <w:rPr>
          <w:rFonts w:cs="Arial"/>
          <w:bCs/>
          <w:snapToGrid w:val="0"/>
          <w:lang w:val="en-GB"/>
        </w:rPr>
        <w:t xml:space="preserve">of lower comparative effectiveness </w:t>
      </w:r>
      <w:r w:rsidR="004F1A09">
        <w:rPr>
          <w:rFonts w:cs="Arial"/>
          <w:bCs/>
          <w:snapToGrid w:val="0"/>
          <w:lang w:val="en-GB"/>
        </w:rPr>
        <w:t xml:space="preserve">in the older age group </w:t>
      </w:r>
      <w:r w:rsidR="00A43345">
        <w:rPr>
          <w:rFonts w:cs="Arial"/>
          <w:bCs/>
          <w:snapToGrid w:val="0"/>
          <w:lang w:val="en-GB"/>
        </w:rPr>
        <w:t xml:space="preserve">should be </w:t>
      </w:r>
      <w:r w:rsidR="00790C0E">
        <w:rPr>
          <w:rFonts w:cs="Arial"/>
          <w:bCs/>
          <w:snapToGrid w:val="0"/>
          <w:lang w:val="en-GB"/>
        </w:rPr>
        <w:t xml:space="preserve">adequately </w:t>
      </w:r>
      <w:r w:rsidR="00A43345">
        <w:rPr>
          <w:rFonts w:cs="Arial"/>
          <w:bCs/>
          <w:snapToGrid w:val="0"/>
          <w:lang w:val="en-GB"/>
        </w:rPr>
        <w:t>incorporated in the economic model.</w:t>
      </w:r>
    </w:p>
    <w:p w:rsidR="00180373" w:rsidRPr="00B378E6" w:rsidRDefault="00180373" w:rsidP="009218E4">
      <w:pPr>
        <w:pStyle w:val="ListParagraph"/>
        <w:numPr>
          <w:ilvl w:val="1"/>
          <w:numId w:val="2"/>
        </w:numPr>
        <w:spacing w:before="0" w:after="120"/>
        <w:ind w:left="576"/>
        <w:jc w:val="both"/>
      </w:pPr>
      <w:r w:rsidRPr="00B378E6">
        <w:t>Further, the PBAC noted that</w:t>
      </w:r>
      <w:r w:rsidRPr="00F30E35">
        <w:t xml:space="preserve"> midostaurin was used post-allograft in the AMLGS-16-10 study</w:t>
      </w:r>
      <w:r>
        <w:t>, but not in the RATIFY trial</w:t>
      </w:r>
      <w:r w:rsidRPr="00F30E35">
        <w:t xml:space="preserve">. </w:t>
      </w:r>
      <w:r>
        <w:t xml:space="preserve">The </w:t>
      </w:r>
      <w:r w:rsidR="00F33478">
        <w:t>P</w:t>
      </w:r>
      <w:r>
        <w:t>BAC noted that on being asked to clarify this matter by ESC, the pre-PBAC Response (p3) stated that the intent of the restriction was to limit use to patients who had not undergone an allograft, consistent with the RATIFY trial.</w:t>
      </w:r>
    </w:p>
    <w:p w:rsidR="0052383F" w:rsidRDefault="0052383F" w:rsidP="009218E4">
      <w:pPr>
        <w:pStyle w:val="ListParagraph"/>
        <w:numPr>
          <w:ilvl w:val="1"/>
          <w:numId w:val="2"/>
        </w:numPr>
        <w:spacing w:before="0" w:after="120"/>
        <w:ind w:left="576"/>
        <w:jc w:val="both"/>
      </w:pPr>
      <w:r w:rsidRPr="00B378E6">
        <w:t xml:space="preserve">The pre-PBAC Response (p1) amended the safety claim to one of inferior safety versus placebo. </w:t>
      </w:r>
      <w:r>
        <w:t>The PBAC considered that midostaurin was inferior in safety compared with placebo, but considered that</w:t>
      </w:r>
      <w:r w:rsidRPr="00B556E9">
        <w:t xml:space="preserve"> in the context of chemotherapy-induced morbidity and mortality</w:t>
      </w:r>
      <w:r>
        <w:t>,</w:t>
      </w:r>
      <w:r w:rsidRPr="00B556E9">
        <w:t xml:space="preserve"> the additional toxicity </w:t>
      </w:r>
      <w:r>
        <w:t xml:space="preserve">with midostaurin treatment </w:t>
      </w:r>
      <w:r w:rsidRPr="00B556E9">
        <w:t>is relatively minor</w:t>
      </w:r>
      <w:r>
        <w:t xml:space="preserve">.  </w:t>
      </w:r>
    </w:p>
    <w:p w:rsidR="00167921" w:rsidRPr="00B378E6" w:rsidRDefault="00167921" w:rsidP="009218E4">
      <w:pPr>
        <w:pStyle w:val="ListParagraph"/>
        <w:numPr>
          <w:ilvl w:val="1"/>
          <w:numId w:val="2"/>
        </w:numPr>
        <w:spacing w:before="0" w:after="120"/>
        <w:ind w:left="576"/>
        <w:jc w:val="both"/>
      </w:pPr>
      <w:r w:rsidRPr="00B378E6">
        <w:t xml:space="preserve">The PBAC noted that the submission </w:t>
      </w:r>
      <w:r w:rsidRPr="00F30E35">
        <w:t>presented a stepped economic evaluation, based on a direct randomised trial and implementing a modelled economic evaluation.</w:t>
      </w:r>
    </w:p>
    <w:p w:rsidR="0064016E" w:rsidRPr="00B378E6" w:rsidRDefault="00330BF6" w:rsidP="009218E4">
      <w:pPr>
        <w:pStyle w:val="ListParagraph"/>
        <w:numPr>
          <w:ilvl w:val="1"/>
          <w:numId w:val="2"/>
        </w:numPr>
        <w:spacing w:before="0" w:after="120"/>
        <w:ind w:left="576"/>
        <w:jc w:val="both"/>
      </w:pPr>
      <w:r w:rsidRPr="00B378E6">
        <w:t xml:space="preserve">The PBAC </w:t>
      </w:r>
      <w:r w:rsidR="00167921" w:rsidRPr="00B378E6">
        <w:t>considered</w:t>
      </w:r>
      <w:r w:rsidRPr="00B378E6">
        <w:t xml:space="preserve"> that the economic model was </w:t>
      </w:r>
      <w:r w:rsidR="00F33478" w:rsidRPr="00B378E6">
        <w:t>not</w:t>
      </w:r>
      <w:r w:rsidR="00F304B8" w:rsidRPr="00B378E6">
        <w:t xml:space="preserve"> sufficiently </w:t>
      </w:r>
      <w:r w:rsidRPr="00B378E6">
        <w:t>flexible</w:t>
      </w:r>
      <w:r w:rsidR="00F304B8" w:rsidRPr="00B378E6">
        <w:t xml:space="preserve"> to enable relevant</w:t>
      </w:r>
      <w:r w:rsidRPr="00B378E6">
        <w:t xml:space="preserve"> sensitivity analyses </w:t>
      </w:r>
      <w:r w:rsidR="00F304B8" w:rsidRPr="00B378E6">
        <w:t xml:space="preserve">to be conducted. </w:t>
      </w:r>
      <w:r w:rsidR="00167921" w:rsidRPr="00B378E6">
        <w:t>T</w:t>
      </w:r>
      <w:r w:rsidR="00790C0E" w:rsidRPr="00B378E6">
        <w:t>he PBAC</w:t>
      </w:r>
      <w:r w:rsidR="00167921" w:rsidRPr="00B378E6">
        <w:t xml:space="preserve"> was particularly concerned by the model’s inability to </w:t>
      </w:r>
      <w:r w:rsidR="00790C0E" w:rsidRPr="00B378E6">
        <w:t>assess</w:t>
      </w:r>
      <w:r w:rsidRPr="00B378E6">
        <w:t xml:space="preserve"> the impact of </w:t>
      </w:r>
      <w:r w:rsidR="004F1A09" w:rsidRPr="00B378E6">
        <w:t xml:space="preserve">the inputs and </w:t>
      </w:r>
      <w:r w:rsidRPr="00B378E6">
        <w:t xml:space="preserve">assumptions </w:t>
      </w:r>
      <w:r w:rsidR="00167921" w:rsidRPr="00B378E6">
        <w:t xml:space="preserve">related to </w:t>
      </w:r>
      <w:r w:rsidR="00DE78F5" w:rsidRPr="00B378E6">
        <w:t xml:space="preserve">SCT </w:t>
      </w:r>
      <w:r w:rsidRPr="00B378E6">
        <w:t>e</w:t>
      </w:r>
      <w:r w:rsidR="002C39B9" w:rsidRPr="00B378E6">
        <w:t xml:space="preserve">ligibility, </w:t>
      </w:r>
      <w:r w:rsidR="00CA69A2" w:rsidRPr="00B378E6">
        <w:t xml:space="preserve">use of </w:t>
      </w:r>
      <w:r w:rsidR="002C39B9" w:rsidRPr="00B378E6">
        <w:t xml:space="preserve">maintenance </w:t>
      </w:r>
      <w:r w:rsidR="00C965A5" w:rsidRPr="00B378E6">
        <w:t>therapy</w:t>
      </w:r>
      <w:r w:rsidR="0064016E" w:rsidRPr="00B378E6">
        <w:t>,</w:t>
      </w:r>
      <w:r w:rsidR="00C965A5" w:rsidRPr="00B378E6">
        <w:t xml:space="preserve"> </w:t>
      </w:r>
      <w:r w:rsidRPr="00B378E6">
        <w:t>duration of treatment</w:t>
      </w:r>
      <w:r w:rsidR="0064016E" w:rsidRPr="00B378E6">
        <w:t xml:space="preserve"> and</w:t>
      </w:r>
      <w:r w:rsidR="003A6FC2" w:rsidRPr="00B378E6">
        <w:t xml:space="preserve">, importantly, </w:t>
      </w:r>
      <w:r w:rsidR="0064016E" w:rsidRPr="00B378E6">
        <w:t>outcomes for patients aged 60 years and over</w:t>
      </w:r>
      <w:r w:rsidR="00167921" w:rsidRPr="00B378E6">
        <w:t>.</w:t>
      </w:r>
    </w:p>
    <w:p w:rsidR="0064016E" w:rsidRPr="00B378E6" w:rsidRDefault="0064016E" w:rsidP="009218E4">
      <w:pPr>
        <w:pStyle w:val="ListParagraph"/>
        <w:numPr>
          <w:ilvl w:val="1"/>
          <w:numId w:val="2"/>
        </w:numPr>
        <w:spacing w:before="0" w:after="120"/>
        <w:ind w:left="576"/>
        <w:jc w:val="both"/>
      </w:pPr>
      <w:r w:rsidRPr="00B378E6">
        <w:t xml:space="preserve">The PBAC noted that the </w:t>
      </w:r>
      <w:r w:rsidR="00167921" w:rsidRPr="00B378E6">
        <w:t xml:space="preserve">economic </w:t>
      </w:r>
      <w:r w:rsidRPr="00B378E6">
        <w:t xml:space="preserve">model </w:t>
      </w:r>
      <w:r w:rsidR="00F46FD3" w:rsidRPr="00B378E6">
        <w:t>adjusted</w:t>
      </w:r>
      <w:r w:rsidR="007A24BB" w:rsidRPr="00B378E6">
        <w:t xml:space="preserve"> background</w:t>
      </w:r>
      <w:r w:rsidR="00F46FD3" w:rsidRPr="00B378E6">
        <w:t xml:space="preserve"> mortality (for all health states other than SCT) for the proportion of AML patients in Australia assumed to be 60 years or over (32%). However</w:t>
      </w:r>
      <w:r w:rsidR="004D0A6E">
        <w:t>,</w:t>
      </w:r>
      <w:r w:rsidR="00F46FD3" w:rsidRPr="00B378E6">
        <w:t xml:space="preserve"> the PBAC w</w:t>
      </w:r>
      <w:r w:rsidR="0019512C" w:rsidRPr="00B378E6">
        <w:t>as</w:t>
      </w:r>
      <w:r w:rsidR="00F46FD3" w:rsidRPr="00B378E6">
        <w:t xml:space="preserve"> concerned that no changes were made to other outcomes or health care use (such as the reduced likelihood of receiving a SCT, or differences in the use of maintenance therapy). </w:t>
      </w:r>
      <w:r w:rsidR="009B1A0C" w:rsidRPr="00B378E6">
        <w:t>T</w:t>
      </w:r>
      <w:r w:rsidR="00F46FD3" w:rsidRPr="00B378E6">
        <w:t xml:space="preserve">he PBAC considered </w:t>
      </w:r>
      <w:r w:rsidR="007A24BB" w:rsidRPr="00B378E6">
        <w:t>that additional factors should have been</w:t>
      </w:r>
      <w:r w:rsidR="00F46FD3" w:rsidRPr="00B378E6">
        <w:t xml:space="preserve"> explored</w:t>
      </w:r>
      <w:r w:rsidR="0048078D" w:rsidRPr="00B378E6">
        <w:t xml:space="preserve"> in the economic model</w:t>
      </w:r>
      <w:r w:rsidR="00F46FD3" w:rsidRPr="00B378E6">
        <w:t>, such as by reducing the time horizon to better reflect life expectancy in this age group, increasing mortality in the induction phase in both arms</w:t>
      </w:r>
      <w:r w:rsidR="0019512C" w:rsidRPr="00B378E6">
        <w:t>,</w:t>
      </w:r>
      <w:r w:rsidR="00F46FD3" w:rsidRPr="00B378E6">
        <w:t xml:space="preserve"> and reducing the </w:t>
      </w:r>
      <w:r w:rsidR="006677F0" w:rsidRPr="00B378E6">
        <w:t>SCT</w:t>
      </w:r>
      <w:r w:rsidR="00F46FD3" w:rsidRPr="00B378E6">
        <w:t xml:space="preserve"> rate. </w:t>
      </w:r>
      <w:r w:rsidR="00903B5B" w:rsidRPr="00B378E6">
        <w:t xml:space="preserve">Agreeing with ESC’s advice on this matter, the PBAC considered </w:t>
      </w:r>
      <w:r w:rsidR="00F81870" w:rsidRPr="00B378E6">
        <w:t>that it would have been useful for the impact of age on treatment and outcomes to be explored in more detail in the cost-effectiveness analysis.</w:t>
      </w:r>
    </w:p>
    <w:p w:rsidR="001B694F" w:rsidRPr="00B378E6" w:rsidRDefault="001B694F" w:rsidP="009218E4">
      <w:pPr>
        <w:pStyle w:val="ListParagraph"/>
        <w:numPr>
          <w:ilvl w:val="1"/>
          <w:numId w:val="2"/>
        </w:numPr>
        <w:spacing w:before="0" w:after="120"/>
        <w:ind w:left="576"/>
        <w:jc w:val="both"/>
      </w:pPr>
      <w:r w:rsidRPr="00B378E6">
        <w:t>The PBAC considered that the utility values applied in the maintenance (</w:t>
      </w:r>
      <w:r w:rsidR="007F271D">
        <w:rPr>
          <w:noProof/>
          <w:color w:val="000000"/>
          <w:highlight w:val="black"/>
        </w:rPr>
        <w:t>'''''''''' ''' ''''''''</w:t>
      </w:r>
      <w:r w:rsidRPr="00B378E6">
        <w:t xml:space="preserve">) and post-SCT health states (first year post-SCT = </w:t>
      </w:r>
      <w:r w:rsidR="007F271D">
        <w:rPr>
          <w:noProof/>
          <w:color w:val="000000"/>
          <w:highlight w:val="black"/>
        </w:rPr>
        <w:t>''''''''</w:t>
      </w:r>
      <w:r w:rsidRPr="00B378E6">
        <w:t xml:space="preserve">; beyond the first year post-SCT = </w:t>
      </w:r>
      <w:r w:rsidR="007F271D">
        <w:rPr>
          <w:noProof/>
          <w:color w:val="000000"/>
          <w:highlight w:val="black"/>
        </w:rPr>
        <w:t>''''''''</w:t>
      </w:r>
      <w:r w:rsidRPr="00B378E6">
        <w:t xml:space="preserve">) were </w:t>
      </w:r>
      <w:r w:rsidR="007A24BB" w:rsidRPr="00B378E6">
        <w:t>high</w:t>
      </w:r>
      <w:r w:rsidRPr="00B378E6">
        <w:t xml:space="preserve">. In particular, the PBAC considered that the utility value applied beyond the first year post-SCT </w:t>
      </w:r>
      <w:r w:rsidR="007F271D">
        <w:rPr>
          <w:noProof/>
          <w:color w:val="000000"/>
          <w:highlight w:val="black"/>
        </w:rPr>
        <w:t>''''''''''''</w:t>
      </w:r>
      <w:r w:rsidRPr="00B378E6">
        <w:t xml:space="preserve"> was overestimated because it was based on (i) an underestimated incidence of graft-versus host disease; and (ii) an assumption that patients without complications would return to almost full health within one year post-transplant.</w:t>
      </w:r>
      <w:r w:rsidR="00DA4381">
        <w:t xml:space="preserve"> </w:t>
      </w:r>
      <w:r w:rsidR="005408EE">
        <w:t>The PBAC</w:t>
      </w:r>
      <w:r w:rsidR="00DA4381">
        <w:t xml:space="preserve"> recommended that any </w:t>
      </w:r>
      <w:r w:rsidR="008F1A1F">
        <w:t>re</w:t>
      </w:r>
      <w:r w:rsidR="00DA4381">
        <w:t xml:space="preserve">submission </w:t>
      </w:r>
      <w:r w:rsidR="005408EE">
        <w:t xml:space="preserve">should </w:t>
      </w:r>
      <w:r w:rsidR="00DA4381">
        <w:t>better justify the selection of utility values in the maintenance and post-treatment health states, especially post SCT.</w:t>
      </w:r>
      <w:r w:rsidRPr="00B378E6">
        <w:t xml:space="preserve"> </w:t>
      </w:r>
    </w:p>
    <w:p w:rsidR="001B694F" w:rsidRPr="00B378E6" w:rsidRDefault="001B694F" w:rsidP="009218E4">
      <w:pPr>
        <w:pStyle w:val="ListParagraph"/>
        <w:numPr>
          <w:ilvl w:val="1"/>
          <w:numId w:val="2"/>
        </w:numPr>
        <w:spacing w:before="0" w:after="120"/>
        <w:ind w:left="576"/>
        <w:jc w:val="both"/>
      </w:pPr>
      <w:r w:rsidRPr="00B378E6">
        <w:t xml:space="preserve">The PBAC also considered that the model time horizon of 50 years was not clinically plausible and that more reasonable time horizons would be 25 years in the group of patients aged 60 years and over, and 40 years in the group under 60 years of age. The PBAC acknowledged this would have minimal impact on the </w:t>
      </w:r>
      <w:r w:rsidR="00015B6F" w:rsidRPr="00B378E6">
        <w:t xml:space="preserve">cost-effectiveness </w:t>
      </w:r>
      <w:r w:rsidRPr="00B378E6">
        <w:t xml:space="preserve">as </w:t>
      </w:r>
      <w:r w:rsidR="007A24BB" w:rsidRPr="00B378E6">
        <w:t xml:space="preserve">death due to causes other </w:t>
      </w:r>
      <w:r w:rsidR="00015B6F" w:rsidRPr="00B378E6">
        <w:t>AML had been incorporated in the model</w:t>
      </w:r>
      <w:r w:rsidRPr="00B378E6">
        <w:t xml:space="preserve">. </w:t>
      </w:r>
    </w:p>
    <w:p w:rsidR="001B694F" w:rsidRPr="00B378E6" w:rsidRDefault="001B694F" w:rsidP="009218E4">
      <w:pPr>
        <w:pStyle w:val="ListParagraph"/>
        <w:numPr>
          <w:ilvl w:val="1"/>
          <w:numId w:val="2"/>
        </w:numPr>
        <w:spacing w:before="0" w:after="120"/>
        <w:ind w:left="576"/>
        <w:jc w:val="both"/>
      </w:pPr>
      <w:r w:rsidRPr="00B378E6">
        <w:t xml:space="preserve">The PBAC </w:t>
      </w:r>
      <w:r w:rsidR="003E2C0F" w:rsidRPr="00B378E6">
        <w:t xml:space="preserve">further </w:t>
      </w:r>
      <w:r w:rsidRPr="00B378E6">
        <w:t>considered that the following</w:t>
      </w:r>
      <w:r w:rsidR="00015B6F" w:rsidRPr="00B378E6">
        <w:t xml:space="preserve"> should be accounted for</w:t>
      </w:r>
      <w:r w:rsidRPr="00B378E6">
        <w:t xml:space="preserve"> in the economic model</w:t>
      </w:r>
      <w:r w:rsidR="003E2C0F" w:rsidRPr="00B378E6">
        <w:t>:</w:t>
      </w:r>
    </w:p>
    <w:p w:rsidR="001B694F" w:rsidRDefault="00CC67EC" w:rsidP="001B694F">
      <w:pPr>
        <w:pStyle w:val="ListParagraph"/>
        <w:numPr>
          <w:ilvl w:val="0"/>
          <w:numId w:val="15"/>
        </w:numPr>
        <w:spacing w:before="0" w:after="0"/>
        <w:ind w:left="993" w:hanging="423"/>
        <w:jc w:val="both"/>
        <w:rPr>
          <w:rFonts w:cs="Arial"/>
          <w:bCs/>
          <w:snapToGrid w:val="0"/>
          <w:lang w:val="en-GB"/>
        </w:rPr>
      </w:pPr>
      <w:r>
        <w:rPr>
          <w:rFonts w:cs="Arial"/>
          <w:bCs/>
          <w:snapToGrid w:val="0"/>
          <w:lang w:val="en-GB"/>
        </w:rPr>
        <w:t xml:space="preserve">the model </w:t>
      </w:r>
      <w:r w:rsidR="001B694F" w:rsidRPr="001B694F">
        <w:rPr>
          <w:rFonts w:cs="Arial"/>
          <w:bCs/>
          <w:snapToGrid w:val="0"/>
          <w:lang w:val="en-GB"/>
        </w:rPr>
        <w:t xml:space="preserve">assumed that </w:t>
      </w:r>
      <w:r w:rsidR="007F271D">
        <w:rPr>
          <w:rFonts w:cs="Arial"/>
          <w:bCs/>
          <w:noProof/>
          <w:snapToGrid w:val="0"/>
          <w:color w:val="000000"/>
          <w:highlight w:val="black"/>
          <w:lang w:val="en-GB"/>
        </w:rPr>
        <w:t>'''''''' ''''''</w:t>
      </w:r>
      <w:r w:rsidR="001B694F" w:rsidRPr="001B694F">
        <w:rPr>
          <w:rFonts w:cs="Arial"/>
          <w:bCs/>
          <w:snapToGrid w:val="0"/>
          <w:lang w:val="en-GB"/>
        </w:rPr>
        <w:t xml:space="preserve">% of patients would receive consolidation treatment as an inpatient. The PBAC considered that a significantly higher proportion of patients were likely to receive consolidation </w:t>
      </w:r>
      <w:r w:rsidR="00D032A9">
        <w:rPr>
          <w:rFonts w:cs="Arial"/>
          <w:bCs/>
          <w:snapToGrid w:val="0"/>
          <w:lang w:val="en-GB"/>
        </w:rPr>
        <w:t xml:space="preserve">treatment as </w:t>
      </w:r>
      <w:r w:rsidR="001B694F" w:rsidRPr="001B694F">
        <w:rPr>
          <w:rFonts w:cs="Arial"/>
          <w:bCs/>
          <w:snapToGrid w:val="0"/>
          <w:lang w:val="en-GB"/>
        </w:rPr>
        <w:t>an inpatient (e.g. closer to 80</w:t>
      </w:r>
      <w:r w:rsidR="000A6DE2">
        <w:rPr>
          <w:rFonts w:cs="Arial"/>
          <w:bCs/>
          <w:snapToGrid w:val="0"/>
          <w:lang w:val="en-GB"/>
        </w:rPr>
        <w:t>-90</w:t>
      </w:r>
      <w:r w:rsidR="001B694F" w:rsidRPr="001B694F">
        <w:rPr>
          <w:rFonts w:cs="Arial"/>
          <w:bCs/>
          <w:snapToGrid w:val="0"/>
          <w:lang w:val="en-GB"/>
        </w:rPr>
        <w:t xml:space="preserve">%), for example as a consequence of being admitted for fever, infection or other complications. </w:t>
      </w:r>
    </w:p>
    <w:p w:rsidR="003E2C0F" w:rsidRDefault="00511378" w:rsidP="00150771">
      <w:pPr>
        <w:pStyle w:val="ListParagraph"/>
        <w:numPr>
          <w:ilvl w:val="0"/>
          <w:numId w:val="15"/>
        </w:numPr>
        <w:spacing w:before="0" w:after="0"/>
        <w:ind w:left="993" w:hanging="423"/>
        <w:jc w:val="both"/>
        <w:rPr>
          <w:rFonts w:cs="Arial"/>
          <w:bCs/>
          <w:snapToGrid w:val="0"/>
          <w:lang w:val="en-GB"/>
        </w:rPr>
      </w:pPr>
      <w:r w:rsidRPr="00384083">
        <w:rPr>
          <w:rFonts w:cs="Arial"/>
          <w:bCs/>
          <w:snapToGrid w:val="0"/>
          <w:lang w:val="en-GB"/>
        </w:rPr>
        <w:t>that</w:t>
      </w:r>
      <w:r w:rsidR="004C05BF" w:rsidRPr="00384083">
        <w:rPr>
          <w:rFonts w:cs="Arial"/>
          <w:bCs/>
          <w:snapToGrid w:val="0"/>
          <w:lang w:val="en-GB"/>
        </w:rPr>
        <w:t>, on visual inspection,</w:t>
      </w:r>
      <w:r w:rsidRPr="00384083">
        <w:rPr>
          <w:rFonts w:cs="Arial"/>
          <w:bCs/>
          <w:snapToGrid w:val="0"/>
          <w:lang w:val="en-GB"/>
        </w:rPr>
        <w:t xml:space="preserve"> the extrapolation used in the model appeared to underestimate </w:t>
      </w:r>
      <w:r w:rsidR="00F42A46" w:rsidRPr="00384083">
        <w:rPr>
          <w:rFonts w:cs="Arial"/>
          <w:bCs/>
          <w:snapToGrid w:val="0"/>
          <w:lang w:val="en-GB"/>
        </w:rPr>
        <w:t>survival</w:t>
      </w:r>
      <w:r w:rsidRPr="00384083">
        <w:rPr>
          <w:rFonts w:cs="Arial"/>
          <w:bCs/>
          <w:snapToGrid w:val="0"/>
          <w:lang w:val="en-GB"/>
        </w:rPr>
        <w:t xml:space="preserve"> in the placebo arm which would favour midostaurin (</w:t>
      </w:r>
      <w:r w:rsidR="00150771">
        <w:rPr>
          <w:rFonts w:cs="Arial"/>
          <w:bCs/>
          <w:snapToGrid w:val="0"/>
          <w:lang w:val="en-GB"/>
        </w:rPr>
        <w:t xml:space="preserve">see </w:t>
      </w:r>
      <w:r w:rsidR="00150771" w:rsidRPr="00B378E6">
        <w:rPr>
          <w:rFonts w:cs="Arial"/>
          <w:bCs/>
          <w:snapToGrid w:val="0"/>
          <w:lang w:val="en-GB"/>
        </w:rPr>
        <w:t>p</w:t>
      </w:r>
      <w:r w:rsidRPr="00B378E6">
        <w:rPr>
          <w:rFonts w:cs="Arial"/>
          <w:bCs/>
          <w:snapToGrid w:val="0"/>
          <w:lang w:val="en-GB"/>
        </w:rPr>
        <w:t>aragraph 6.</w:t>
      </w:r>
      <w:r w:rsidR="00384083" w:rsidRPr="00B378E6">
        <w:rPr>
          <w:rFonts w:cs="Arial"/>
          <w:bCs/>
          <w:snapToGrid w:val="0"/>
          <w:lang w:val="en-GB"/>
        </w:rPr>
        <w:t>4</w:t>
      </w:r>
      <w:r w:rsidR="00B378E6" w:rsidRPr="00B378E6">
        <w:rPr>
          <w:rFonts w:cs="Arial"/>
          <w:bCs/>
          <w:snapToGrid w:val="0"/>
          <w:lang w:val="en-GB"/>
        </w:rPr>
        <w:t>3</w:t>
      </w:r>
      <w:r w:rsidRPr="00B378E6">
        <w:rPr>
          <w:rFonts w:cs="Arial"/>
          <w:bCs/>
          <w:snapToGrid w:val="0"/>
          <w:lang w:val="en-GB"/>
        </w:rPr>
        <w:t>).</w:t>
      </w:r>
      <w:r w:rsidRPr="00384083">
        <w:rPr>
          <w:rFonts w:cs="Arial"/>
          <w:bCs/>
          <w:snapToGrid w:val="0"/>
          <w:lang w:val="en-GB"/>
        </w:rPr>
        <w:t xml:space="preserve"> </w:t>
      </w:r>
    </w:p>
    <w:p w:rsidR="00150771" w:rsidRDefault="00150771" w:rsidP="00150771">
      <w:pPr>
        <w:pStyle w:val="ListParagraph"/>
        <w:numPr>
          <w:ilvl w:val="0"/>
          <w:numId w:val="15"/>
        </w:numPr>
        <w:spacing w:before="0" w:after="0"/>
        <w:ind w:left="993" w:hanging="423"/>
        <w:jc w:val="both"/>
        <w:rPr>
          <w:rFonts w:cs="Arial"/>
          <w:bCs/>
          <w:snapToGrid w:val="0"/>
          <w:lang w:val="en-GB"/>
        </w:rPr>
      </w:pPr>
      <w:r w:rsidRPr="00150771">
        <w:rPr>
          <w:rFonts w:cs="Arial"/>
          <w:bCs/>
          <w:snapToGrid w:val="0"/>
          <w:lang w:val="en-GB"/>
        </w:rPr>
        <w:t xml:space="preserve">Noting that the service volumes for FLT3 testing </w:t>
      </w:r>
      <w:r w:rsidR="00D032A9" w:rsidRPr="00150771">
        <w:rPr>
          <w:rFonts w:cs="Arial"/>
          <w:bCs/>
          <w:snapToGrid w:val="0"/>
          <w:lang w:val="en-GB"/>
        </w:rPr>
        <w:t>w</w:t>
      </w:r>
      <w:r w:rsidR="00D032A9">
        <w:rPr>
          <w:rFonts w:cs="Arial"/>
          <w:bCs/>
          <w:snapToGrid w:val="0"/>
          <w:lang w:val="en-GB"/>
        </w:rPr>
        <w:t>ere</w:t>
      </w:r>
      <w:r w:rsidR="00D032A9" w:rsidRPr="00150771">
        <w:rPr>
          <w:rFonts w:cs="Arial"/>
          <w:bCs/>
          <w:snapToGrid w:val="0"/>
          <w:lang w:val="en-GB"/>
        </w:rPr>
        <w:t xml:space="preserve"> </w:t>
      </w:r>
      <w:r w:rsidRPr="00150771">
        <w:rPr>
          <w:rFonts w:cs="Arial"/>
          <w:bCs/>
          <w:snapToGrid w:val="0"/>
          <w:lang w:val="en-GB"/>
        </w:rPr>
        <w:t xml:space="preserve">likely to </w:t>
      </w:r>
      <w:r w:rsidR="00D032A9">
        <w:rPr>
          <w:rFonts w:cs="Arial"/>
          <w:bCs/>
          <w:snapToGrid w:val="0"/>
          <w:lang w:val="en-GB"/>
        </w:rPr>
        <w:t xml:space="preserve">modestly </w:t>
      </w:r>
      <w:r w:rsidRPr="00150771">
        <w:rPr>
          <w:rFonts w:cs="Arial"/>
          <w:bCs/>
          <w:snapToGrid w:val="0"/>
          <w:lang w:val="en-GB"/>
        </w:rPr>
        <w:t xml:space="preserve">increase with the PBS listing of midostaurin, the PBAC advised that it would be appropriate to account for this increase in the economic model. </w:t>
      </w:r>
    </w:p>
    <w:p w:rsidR="0072356B" w:rsidRPr="00150771" w:rsidRDefault="0072356B" w:rsidP="0072356B">
      <w:pPr>
        <w:pStyle w:val="ListParagraph"/>
        <w:spacing w:before="0" w:after="0"/>
        <w:ind w:left="993"/>
        <w:jc w:val="both"/>
        <w:rPr>
          <w:rFonts w:cs="Arial"/>
          <w:bCs/>
          <w:snapToGrid w:val="0"/>
          <w:lang w:val="en-GB"/>
        </w:rPr>
      </w:pPr>
    </w:p>
    <w:p w:rsidR="00950F26" w:rsidRPr="00B378E6" w:rsidRDefault="004C05BF" w:rsidP="009218E4">
      <w:pPr>
        <w:pStyle w:val="ListParagraph"/>
        <w:numPr>
          <w:ilvl w:val="1"/>
          <w:numId w:val="2"/>
        </w:numPr>
        <w:spacing w:before="0" w:after="120"/>
        <w:ind w:left="576"/>
        <w:jc w:val="both"/>
      </w:pPr>
      <w:r w:rsidRPr="00B378E6">
        <w:t>Overall, the PBAC considered that the ICER presented</w:t>
      </w:r>
      <w:r w:rsidR="000723B4">
        <w:t xml:space="preserve"> </w:t>
      </w:r>
      <w:r w:rsidR="008774F0">
        <w:t>$45,000/QALY - $75,000/QALY gained</w:t>
      </w:r>
      <w:r w:rsidRPr="00B378E6">
        <w:t xml:space="preserve">) was </w:t>
      </w:r>
      <w:r w:rsidR="00950F26" w:rsidRPr="00B378E6">
        <w:t xml:space="preserve">unacceptably </w:t>
      </w:r>
      <w:r w:rsidRPr="00B378E6">
        <w:t>high</w:t>
      </w:r>
      <w:r w:rsidR="00950F26" w:rsidRPr="00B378E6">
        <w:t xml:space="preserve">, particularly as </w:t>
      </w:r>
      <w:r w:rsidR="001403EF" w:rsidRPr="00B378E6">
        <w:t>it was</w:t>
      </w:r>
      <w:r w:rsidR="00950F26" w:rsidRPr="00B378E6">
        <w:t xml:space="preserve"> highly uncertain</w:t>
      </w:r>
      <w:r w:rsidR="001403EF" w:rsidRPr="00B378E6">
        <w:t xml:space="preserve"> an</w:t>
      </w:r>
      <w:r w:rsidR="00950F26" w:rsidRPr="00B378E6">
        <w:t xml:space="preserve">d likely to </w:t>
      </w:r>
      <w:r w:rsidR="00015B6F" w:rsidRPr="00B378E6">
        <w:t xml:space="preserve">be an </w:t>
      </w:r>
      <w:r w:rsidR="00950F26" w:rsidRPr="00B378E6">
        <w:t>underestimate</w:t>
      </w:r>
      <w:r w:rsidR="007B25FE" w:rsidRPr="00B378E6">
        <w:t xml:space="preserve">. </w:t>
      </w:r>
    </w:p>
    <w:p w:rsidR="0057166E" w:rsidRPr="00B378E6" w:rsidRDefault="0057166E" w:rsidP="00EC5CD2">
      <w:pPr>
        <w:pStyle w:val="ListParagraph"/>
        <w:numPr>
          <w:ilvl w:val="1"/>
          <w:numId w:val="2"/>
        </w:numPr>
        <w:spacing w:before="0" w:after="120"/>
        <w:ind w:left="567"/>
        <w:jc w:val="both"/>
      </w:pPr>
      <w:r w:rsidRPr="00B378E6">
        <w:t xml:space="preserve">Acknowledging that midostaurin has clinical benefit in an area of unmet need, the PBAC advised that any future major resubmission should </w:t>
      </w:r>
      <w:r w:rsidR="007B25FE" w:rsidRPr="00B378E6">
        <w:t>be based on the use of midostaurin as</w:t>
      </w:r>
      <w:r w:rsidRPr="00B378E6">
        <w:t xml:space="preserve"> defined by the TGA</w:t>
      </w:r>
      <w:r w:rsidR="00886873" w:rsidRPr="00B378E6">
        <w:t xml:space="preserve"> and include:</w:t>
      </w:r>
    </w:p>
    <w:p w:rsidR="0057166E" w:rsidRDefault="0057166E" w:rsidP="0057166E">
      <w:pPr>
        <w:pStyle w:val="ListParagraph"/>
        <w:numPr>
          <w:ilvl w:val="0"/>
          <w:numId w:val="15"/>
        </w:numPr>
        <w:spacing w:before="0" w:after="0"/>
        <w:ind w:left="993" w:hanging="423"/>
        <w:jc w:val="both"/>
        <w:rPr>
          <w:szCs w:val="24"/>
        </w:rPr>
      </w:pPr>
      <w:r>
        <w:rPr>
          <w:szCs w:val="24"/>
        </w:rPr>
        <w:t xml:space="preserve">amendments to the restriction </w:t>
      </w:r>
      <w:r w:rsidR="001F560A">
        <w:rPr>
          <w:szCs w:val="24"/>
        </w:rPr>
        <w:t xml:space="preserve">considering </w:t>
      </w:r>
      <w:r>
        <w:rPr>
          <w:szCs w:val="24"/>
        </w:rPr>
        <w:t>the PBAC’s suggestions (</w:t>
      </w:r>
      <w:r w:rsidR="003E2C0F">
        <w:rPr>
          <w:szCs w:val="24"/>
        </w:rPr>
        <w:t xml:space="preserve">see </w:t>
      </w:r>
      <w:r>
        <w:rPr>
          <w:szCs w:val="24"/>
        </w:rPr>
        <w:t xml:space="preserve">paragraph </w:t>
      </w:r>
      <w:r w:rsidRPr="00B378E6">
        <w:rPr>
          <w:szCs w:val="24"/>
        </w:rPr>
        <w:t>7.</w:t>
      </w:r>
      <w:r w:rsidR="00B378E6" w:rsidRPr="00B378E6">
        <w:rPr>
          <w:szCs w:val="24"/>
        </w:rPr>
        <w:t>4</w:t>
      </w:r>
      <w:r w:rsidRPr="00B378E6">
        <w:rPr>
          <w:szCs w:val="24"/>
        </w:rPr>
        <w:t>) and</w:t>
      </w:r>
      <w:r>
        <w:rPr>
          <w:szCs w:val="24"/>
        </w:rPr>
        <w:t xml:space="preserve"> any future advice from the TGA;</w:t>
      </w:r>
    </w:p>
    <w:p w:rsidR="0057166E" w:rsidRDefault="0057166E" w:rsidP="0057166E">
      <w:pPr>
        <w:pStyle w:val="ListParagraph"/>
        <w:numPr>
          <w:ilvl w:val="0"/>
          <w:numId w:val="15"/>
        </w:numPr>
        <w:spacing w:before="0" w:after="0"/>
        <w:ind w:left="993" w:hanging="423"/>
        <w:jc w:val="both"/>
        <w:rPr>
          <w:szCs w:val="24"/>
        </w:rPr>
      </w:pPr>
      <w:r w:rsidRPr="001E39AA">
        <w:rPr>
          <w:szCs w:val="24"/>
        </w:rPr>
        <w:t xml:space="preserve">a revised economic model </w:t>
      </w:r>
      <w:r w:rsidRPr="00B378E6">
        <w:rPr>
          <w:szCs w:val="24"/>
        </w:rPr>
        <w:t>that addresses the issues identified in paragraphs 7.14 to 7.1</w:t>
      </w:r>
      <w:r w:rsidR="00B378E6" w:rsidRPr="00B378E6">
        <w:rPr>
          <w:szCs w:val="24"/>
        </w:rPr>
        <w:t>9</w:t>
      </w:r>
      <w:r w:rsidRPr="00B378E6">
        <w:rPr>
          <w:szCs w:val="24"/>
        </w:rPr>
        <w:t xml:space="preserve">, particularly the </w:t>
      </w:r>
      <w:r w:rsidR="00886873" w:rsidRPr="00B378E6">
        <w:rPr>
          <w:szCs w:val="24"/>
        </w:rPr>
        <w:t>flexibility</w:t>
      </w:r>
      <w:r w:rsidRPr="00B378E6">
        <w:rPr>
          <w:szCs w:val="24"/>
        </w:rPr>
        <w:t xml:space="preserve"> of the model</w:t>
      </w:r>
      <w:r w:rsidR="00886873" w:rsidRPr="00B378E6">
        <w:rPr>
          <w:szCs w:val="24"/>
        </w:rPr>
        <w:t xml:space="preserve"> to</w:t>
      </w:r>
      <w:r w:rsidRPr="00B378E6">
        <w:rPr>
          <w:szCs w:val="24"/>
        </w:rPr>
        <w:t xml:space="preserve"> </w:t>
      </w:r>
      <w:r w:rsidR="00886873" w:rsidRPr="00B378E6">
        <w:rPr>
          <w:szCs w:val="24"/>
        </w:rPr>
        <w:t xml:space="preserve">enable </w:t>
      </w:r>
      <w:r w:rsidRPr="00B378E6">
        <w:rPr>
          <w:szCs w:val="24"/>
        </w:rPr>
        <w:t>further exploration of the impact of age on treatment and</w:t>
      </w:r>
      <w:r w:rsidRPr="001E39AA">
        <w:rPr>
          <w:szCs w:val="24"/>
        </w:rPr>
        <w:t xml:space="preserve"> outcomes</w:t>
      </w:r>
      <w:r>
        <w:rPr>
          <w:szCs w:val="24"/>
        </w:rPr>
        <w:t>,</w:t>
      </w:r>
      <w:r w:rsidRPr="001E39AA">
        <w:rPr>
          <w:szCs w:val="24"/>
        </w:rPr>
        <w:t xml:space="preserve"> and the clinical plausibility</w:t>
      </w:r>
      <w:r>
        <w:rPr>
          <w:szCs w:val="24"/>
        </w:rPr>
        <w:t xml:space="preserve"> of the utility values;</w:t>
      </w:r>
    </w:p>
    <w:p w:rsidR="0057166E" w:rsidRDefault="0057166E" w:rsidP="0057166E">
      <w:pPr>
        <w:pStyle w:val="ListParagraph"/>
        <w:numPr>
          <w:ilvl w:val="0"/>
          <w:numId w:val="15"/>
        </w:numPr>
        <w:spacing w:before="0" w:after="0"/>
        <w:ind w:left="993" w:hanging="423"/>
        <w:jc w:val="both"/>
        <w:rPr>
          <w:szCs w:val="24"/>
        </w:rPr>
      </w:pPr>
      <w:r>
        <w:rPr>
          <w:szCs w:val="24"/>
        </w:rPr>
        <w:t xml:space="preserve">a reduced drug cost/patient/course and an </w:t>
      </w:r>
      <w:r>
        <w:rPr>
          <w:rFonts w:cs="Arial"/>
          <w:bCs/>
          <w:snapToGrid w:val="0"/>
          <w:lang w:val="en-GB"/>
        </w:rPr>
        <w:t>acceptably cost-effective ICER below</w:t>
      </w:r>
      <w:r w:rsidR="000723B4">
        <w:rPr>
          <w:rFonts w:cs="Arial"/>
          <w:bCs/>
          <w:snapToGrid w:val="0"/>
          <w:lang w:val="en-GB"/>
        </w:rPr>
        <w:t xml:space="preserve"> </w:t>
      </w:r>
      <w:r w:rsidR="008774F0">
        <w:t>$45,000/QALY - $75,000/QALY</w:t>
      </w:r>
      <w:r>
        <w:rPr>
          <w:szCs w:val="24"/>
        </w:rPr>
        <w:t>;</w:t>
      </w:r>
    </w:p>
    <w:p w:rsidR="0057166E" w:rsidRDefault="0057166E" w:rsidP="0057166E">
      <w:pPr>
        <w:pStyle w:val="ListParagraph"/>
        <w:numPr>
          <w:ilvl w:val="0"/>
          <w:numId w:val="15"/>
        </w:numPr>
        <w:spacing w:before="0" w:after="0"/>
        <w:ind w:left="993" w:hanging="423"/>
        <w:jc w:val="both"/>
        <w:rPr>
          <w:szCs w:val="24"/>
        </w:rPr>
      </w:pPr>
      <w:r>
        <w:rPr>
          <w:szCs w:val="24"/>
        </w:rPr>
        <w:t>a Risk Sharing Arrangement</w:t>
      </w:r>
      <w:r w:rsidR="0072356B">
        <w:rPr>
          <w:szCs w:val="24"/>
        </w:rPr>
        <w:t xml:space="preserve"> with 100% rebate beyond the agreed subsidisation caps to </w:t>
      </w:r>
      <w:r>
        <w:rPr>
          <w:szCs w:val="24"/>
        </w:rPr>
        <w:t>mitigate the risk of use beyond</w:t>
      </w:r>
      <w:r w:rsidR="0072356B">
        <w:rPr>
          <w:szCs w:val="24"/>
        </w:rPr>
        <w:t xml:space="preserve"> the proposed restriction and other uncertainties in the financial estimates.</w:t>
      </w:r>
    </w:p>
    <w:p w:rsidR="001B694F" w:rsidRDefault="001B694F" w:rsidP="00CC67EC">
      <w:pPr>
        <w:pStyle w:val="ListParagraph"/>
        <w:spacing w:before="0" w:after="0"/>
        <w:ind w:left="993"/>
        <w:jc w:val="both"/>
        <w:rPr>
          <w:szCs w:val="24"/>
        </w:rPr>
      </w:pPr>
    </w:p>
    <w:p w:rsidR="00330BF6" w:rsidRPr="00B57E79" w:rsidRDefault="00330BF6" w:rsidP="001E39AA">
      <w:pPr>
        <w:pStyle w:val="ListParagraph"/>
        <w:numPr>
          <w:ilvl w:val="1"/>
          <w:numId w:val="2"/>
        </w:numPr>
        <w:spacing w:before="0" w:after="120"/>
        <w:ind w:left="709" w:hanging="709"/>
        <w:jc w:val="both"/>
        <w:rPr>
          <w:rFonts w:cs="Arial"/>
          <w:bCs/>
          <w:snapToGrid w:val="0"/>
          <w:lang w:val="en-GB"/>
        </w:rPr>
      </w:pPr>
      <w:r w:rsidRPr="001E39AA">
        <w:rPr>
          <w:szCs w:val="24"/>
        </w:rPr>
        <w:t>The PBAC noted that this submission</w:t>
      </w:r>
      <w:r w:rsidRPr="00B57E79">
        <w:rPr>
          <w:rFonts w:cs="Arial"/>
          <w:bCs/>
          <w:snapToGrid w:val="0"/>
          <w:lang w:val="en-GB"/>
        </w:rPr>
        <w:t xml:space="preserve"> is elig</w:t>
      </w:r>
      <w:r w:rsidR="007F0FEA">
        <w:rPr>
          <w:rFonts w:cs="Arial"/>
          <w:bCs/>
          <w:snapToGrid w:val="0"/>
          <w:lang w:val="en-GB"/>
        </w:rPr>
        <w:t>ible for an Independent Review.</w:t>
      </w:r>
    </w:p>
    <w:p w:rsidR="00330BF6" w:rsidRPr="00677F2B" w:rsidRDefault="00330BF6" w:rsidP="00330BF6">
      <w:pPr>
        <w:spacing w:before="240"/>
        <w:jc w:val="both"/>
        <w:rPr>
          <w:rFonts w:cs="Arial"/>
          <w:b/>
          <w:bCs/>
          <w:snapToGrid w:val="0"/>
          <w:lang w:val="en-GB"/>
        </w:rPr>
      </w:pPr>
      <w:r w:rsidRPr="00677F2B">
        <w:rPr>
          <w:rFonts w:cs="Arial"/>
          <w:b/>
          <w:bCs/>
          <w:snapToGrid w:val="0"/>
          <w:lang w:val="en-GB"/>
        </w:rPr>
        <w:t>Outcome:</w:t>
      </w:r>
    </w:p>
    <w:p w:rsidR="00677F2B" w:rsidRDefault="00330BF6" w:rsidP="00D2090F">
      <w:pPr>
        <w:jc w:val="both"/>
        <w:rPr>
          <w:rFonts w:cs="Arial"/>
          <w:bCs/>
          <w:snapToGrid w:val="0"/>
          <w:lang w:val="en-GB"/>
        </w:rPr>
      </w:pPr>
      <w:r w:rsidRPr="00677F2B">
        <w:rPr>
          <w:rFonts w:cs="Arial"/>
          <w:bCs/>
          <w:snapToGrid w:val="0"/>
          <w:lang w:val="en-GB"/>
        </w:rPr>
        <w:t>Rejected</w:t>
      </w:r>
    </w:p>
    <w:p w:rsidR="0067449D" w:rsidRPr="0067449D" w:rsidRDefault="0067449D" w:rsidP="0067449D">
      <w:pPr>
        <w:pStyle w:val="Heading1"/>
      </w:pPr>
      <w:r w:rsidRPr="0067449D">
        <w:t>Context for Decision</w:t>
      </w:r>
    </w:p>
    <w:p w:rsidR="0067449D" w:rsidRPr="0067449D" w:rsidRDefault="0067449D" w:rsidP="0067449D">
      <w:pPr>
        <w:spacing w:after="120"/>
        <w:rPr>
          <w:szCs w:val="24"/>
        </w:rPr>
      </w:pPr>
      <w:r w:rsidRPr="0067449D">
        <w:rPr>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7449D" w:rsidRPr="00B544D4" w:rsidRDefault="0067449D" w:rsidP="00B544D4">
      <w:pPr>
        <w:pStyle w:val="Heading1"/>
      </w:pPr>
      <w:r w:rsidRPr="0067449D">
        <w:t>Sponsor’s Comment</w:t>
      </w:r>
    </w:p>
    <w:p w:rsidR="006C5A11" w:rsidRPr="00FD2A6D" w:rsidRDefault="006C5A11" w:rsidP="006C5A11">
      <w:pPr>
        <w:jc w:val="both"/>
        <w:rPr>
          <w:rFonts w:cs="Arial"/>
          <w:bCs/>
          <w:snapToGrid w:val="0"/>
        </w:rPr>
      </w:pPr>
      <w:r w:rsidRPr="006C5A11">
        <w:rPr>
          <w:bCs/>
        </w:rPr>
        <w:t>Novartis are pleased with the PBAC’s acknowledgement of the high clinical need for an effective treatment in this patient population.  Novartis are committed to working with the PBAC to achieve agreement on sustainable PBS listing conditions for midostaurin at the earliest opportunity.</w:t>
      </w:r>
    </w:p>
    <w:p w:rsidR="0067449D" w:rsidRPr="00D22501" w:rsidRDefault="0067449D" w:rsidP="006C5A11">
      <w:pPr>
        <w:jc w:val="both"/>
        <w:rPr>
          <w:rFonts w:cs="Arial"/>
          <w:bCs/>
          <w:snapToGrid w:val="0"/>
          <w:lang w:val="en-GB"/>
        </w:rPr>
      </w:pPr>
    </w:p>
    <w:sectPr w:rsidR="0067449D" w:rsidRPr="00D22501" w:rsidSect="00B710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903836" w15:done="0"/>
  <w15:commentEx w15:paraId="548764F8" w15:done="0"/>
  <w15:commentEx w15:paraId="0CAD8A25" w15:paraIdParent="548764F8" w15:done="0"/>
  <w15:commentEx w15:paraId="65246EB2" w15:done="0"/>
  <w15:commentEx w15:paraId="370E593D" w15:done="0"/>
  <w15:commentEx w15:paraId="382A93C1" w15:done="0"/>
  <w15:commentEx w15:paraId="34783054" w15:done="0"/>
  <w15:commentEx w15:paraId="28CF1522" w15:done="0"/>
  <w15:commentEx w15:paraId="01CCE7CB" w15:done="0"/>
  <w15:commentEx w15:paraId="17C2E909" w15:done="0"/>
  <w15:commentEx w15:paraId="3FE6D702" w15:paraIdParent="17C2E909" w15:done="0"/>
  <w15:commentEx w15:paraId="5170B920" w15:done="0"/>
  <w15:commentEx w15:paraId="5F47B569" w15:done="0"/>
  <w15:commentEx w15:paraId="0AC151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03836" w16cid:durableId="1DCBFCEB"/>
  <w16cid:commentId w16cid:paraId="548764F8" w16cid:durableId="1DCBFF91"/>
  <w16cid:commentId w16cid:paraId="34783054" w16cid:durableId="1DCC029B"/>
  <w16cid:commentId w16cid:paraId="28CF1522" w16cid:durableId="1DCC02DC"/>
  <w16cid:commentId w16cid:paraId="01CCE7CB" w16cid:durableId="1DCC04D6"/>
  <w16cid:commentId w16cid:paraId="17C2E909" w16cid:durableId="1DCBFB6D"/>
  <w16cid:commentId w16cid:paraId="5170B920" w16cid:durableId="1DCBFB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1D" w:rsidRDefault="007F271D" w:rsidP="00BA3306">
      <w:pPr>
        <w:spacing w:before="0" w:after="0"/>
      </w:pPr>
      <w:r>
        <w:separator/>
      </w:r>
    </w:p>
    <w:p w:rsidR="007F271D" w:rsidRDefault="007F271D"/>
  </w:endnote>
  <w:endnote w:type="continuationSeparator" w:id="0">
    <w:p w:rsidR="007F271D" w:rsidRDefault="007F271D" w:rsidP="00BA3306">
      <w:pPr>
        <w:spacing w:before="0" w:after="0"/>
      </w:pPr>
      <w:r>
        <w:continuationSeparator/>
      </w:r>
    </w:p>
    <w:p w:rsidR="007F271D" w:rsidRDefault="007F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abon">
    <w:altName w:val="Constantia"/>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1D" w:rsidRDefault="007F2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298685"/>
      <w:docPartObj>
        <w:docPartGallery w:val="Page Numbers (Bottom of Page)"/>
        <w:docPartUnique/>
      </w:docPartObj>
    </w:sdtPr>
    <w:sdtEndPr>
      <w:rPr>
        <w:rFonts w:ascii="Arial" w:hAnsi="Arial" w:cs="Arial"/>
        <w:noProof/>
        <w:szCs w:val="24"/>
      </w:rPr>
    </w:sdtEndPr>
    <w:sdtContent>
      <w:p w:rsidR="000723B4" w:rsidRPr="001233E8" w:rsidRDefault="000723B4" w:rsidP="00632843">
        <w:pPr>
          <w:pStyle w:val="Footer"/>
          <w:jc w:val="center"/>
          <w:rPr>
            <w:rFonts w:ascii="Arial" w:hAnsi="Arial" w:cs="Arial"/>
            <w:szCs w:val="24"/>
          </w:rPr>
        </w:pPr>
        <w:r w:rsidRPr="001233E8">
          <w:rPr>
            <w:rFonts w:ascii="Calibri" w:hAnsi="Calibri" w:cs="Arial"/>
            <w:b/>
            <w:szCs w:val="24"/>
          </w:rPr>
          <w:fldChar w:fldCharType="begin"/>
        </w:r>
        <w:r w:rsidRPr="001233E8">
          <w:rPr>
            <w:rFonts w:ascii="Calibri" w:hAnsi="Calibri" w:cs="Arial"/>
            <w:b/>
            <w:szCs w:val="24"/>
          </w:rPr>
          <w:instrText xml:space="preserve"> PAGE   \* MERGEFORMAT </w:instrText>
        </w:r>
        <w:r w:rsidRPr="001233E8">
          <w:rPr>
            <w:rFonts w:ascii="Calibri" w:hAnsi="Calibri" w:cs="Arial"/>
            <w:b/>
            <w:szCs w:val="24"/>
          </w:rPr>
          <w:fldChar w:fldCharType="separate"/>
        </w:r>
        <w:r w:rsidR="007F271D">
          <w:rPr>
            <w:rFonts w:ascii="Calibri" w:hAnsi="Calibri" w:cs="Arial"/>
            <w:b/>
            <w:noProof/>
            <w:szCs w:val="24"/>
          </w:rPr>
          <w:t>1</w:t>
        </w:r>
        <w:r w:rsidRPr="001233E8">
          <w:rPr>
            <w:rFonts w:ascii="Calibri" w:hAnsi="Calibri" w:cs="Arial"/>
            <w:b/>
            <w:noProof/>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1D" w:rsidRDefault="007F2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1D" w:rsidRDefault="007F271D" w:rsidP="00BA3306">
      <w:pPr>
        <w:spacing w:before="0" w:after="0"/>
      </w:pPr>
      <w:r>
        <w:separator/>
      </w:r>
    </w:p>
    <w:p w:rsidR="007F271D" w:rsidRDefault="007F271D"/>
  </w:footnote>
  <w:footnote w:type="continuationSeparator" w:id="0">
    <w:p w:rsidR="007F271D" w:rsidRDefault="007F271D" w:rsidP="00BA3306">
      <w:pPr>
        <w:spacing w:before="0" w:after="0"/>
      </w:pPr>
      <w:r>
        <w:continuationSeparator/>
      </w:r>
    </w:p>
    <w:p w:rsidR="007F271D" w:rsidRDefault="007F271D"/>
  </w:footnote>
  <w:footnote w:id="1">
    <w:p w:rsidR="000723B4" w:rsidRDefault="000723B4" w:rsidP="00EA3CAE">
      <w:pPr>
        <w:pStyle w:val="FootnoteText"/>
      </w:pPr>
      <w:r w:rsidRPr="00B378E6">
        <w:rPr>
          <w:rStyle w:val="FootnoteReference"/>
        </w:rPr>
        <w:footnoteRef/>
      </w:r>
      <w:r w:rsidRPr="00B378E6">
        <w:t>https://www.accessdata.fda.gov/drugsatfda_docs/label/2017/207997s000lbl.pdf</w:t>
      </w:r>
    </w:p>
  </w:footnote>
  <w:footnote w:id="2">
    <w:p w:rsidR="000723B4" w:rsidRPr="00957E7E" w:rsidRDefault="000723B4" w:rsidP="00BC4868">
      <w:pPr>
        <w:pStyle w:val="FootnoteText"/>
        <w:jc w:val="both"/>
        <w:rPr>
          <w:lang w:val="en-US"/>
        </w:rPr>
      </w:pPr>
      <w:r>
        <w:rPr>
          <w:rStyle w:val="FootnoteReference"/>
        </w:rPr>
        <w:footnoteRef/>
      </w:r>
      <w:r>
        <w:t xml:space="preserve"> </w:t>
      </w:r>
      <w:r w:rsidRPr="00957E7E">
        <w:t>Boddu, P., Kantarjian, H., Borthakur, G., Kadia, T., Daver, N., Pierce, S., Andreeff, M., Ravandi, F., Cortes, J., &amp; Kornblau, S. M. (2017). Co-occurrence of FLT3-TKD and NPM1 mutations defines a highly favorable prognostic AML group. Blood Advances, 1(19), 1546-1550. Accessed October 06, 2017.</w:t>
      </w:r>
    </w:p>
  </w:footnote>
  <w:footnote w:id="3">
    <w:p w:rsidR="000723B4" w:rsidRPr="00D412FC" w:rsidRDefault="000723B4" w:rsidP="00FF5E6D">
      <w:pPr>
        <w:rPr>
          <w:lang w:val="en-US"/>
        </w:rPr>
      </w:pPr>
      <w:r>
        <w:rPr>
          <w:rStyle w:val="FootnoteReference"/>
        </w:rPr>
        <w:footnoteRef/>
      </w:r>
      <w:r>
        <w:t xml:space="preserve"> </w:t>
      </w:r>
      <w:r w:rsidRPr="00D412FC">
        <w:rPr>
          <w:sz w:val="18"/>
          <w:szCs w:val="20"/>
        </w:rPr>
        <w:t>Stone RM, Mandrekar SJ, Sanford BL, et al. Midostaurin plus Chemotherapy for Acute Myeloid Leukemia with a FLT3 Mutation. New England Journal of Medicine. 2017;377(5):454-464.</w:t>
      </w:r>
    </w:p>
  </w:footnote>
  <w:footnote w:id="4">
    <w:p w:rsidR="000723B4" w:rsidRDefault="000723B4" w:rsidP="00EA3CAE">
      <w:pPr>
        <w:pStyle w:val="FootnoteText"/>
      </w:pPr>
      <w:r>
        <w:rPr>
          <w:rStyle w:val="FootnoteReference"/>
        </w:rPr>
        <w:footnoteRef/>
      </w:r>
      <w:r>
        <w:t xml:space="preserve"> Levis, M. (2017). Midostaurin approved for FLT3-mutated AML. Blood, 129(26), 3403-3406. Accessed November 06, 2017.</w:t>
      </w:r>
    </w:p>
  </w:footnote>
  <w:footnote w:id="5">
    <w:p w:rsidR="000723B4" w:rsidRDefault="000723B4">
      <w:pPr>
        <w:pStyle w:val="FootnoteText"/>
      </w:pPr>
      <w:r>
        <w:rPr>
          <w:rStyle w:val="FootnoteReference"/>
        </w:rPr>
        <w:footnoteRef/>
      </w:r>
      <w:r>
        <w:t xml:space="preserve"> </w:t>
      </w:r>
      <w:r w:rsidRPr="00952230">
        <w:t>https://canceraustralia.gov.au/affected-cancer/cancer-types/leukaemia/acute-myeloid-leukaemia-statistics</w:t>
      </w:r>
    </w:p>
  </w:footnote>
  <w:footnote w:id="6">
    <w:p w:rsidR="000723B4" w:rsidRDefault="000723B4">
      <w:pPr>
        <w:pStyle w:val="FootnoteText"/>
      </w:pPr>
      <w:r>
        <w:rPr>
          <w:rStyle w:val="FootnoteReference"/>
        </w:rPr>
        <w:footnoteRef/>
      </w:r>
      <w:r>
        <w:t xml:space="preserve"> </w:t>
      </w:r>
      <w:r w:rsidRPr="005408EE">
        <w:t>Economic impact of genomic diagnostics for intermediate‐risk acute myeloid leukaemia</w:t>
      </w:r>
      <w:r>
        <w:t xml:space="preserve">. </w:t>
      </w:r>
      <w:r w:rsidRPr="005408EE">
        <w:t>Br J Haematol. 2016 Aug; 174(4): 526–535.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1D" w:rsidRDefault="007F2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B4" w:rsidRPr="008D3D16" w:rsidRDefault="000723B4" w:rsidP="0012263E">
    <w:pPr>
      <w:pStyle w:val="Header"/>
      <w:tabs>
        <w:tab w:val="left" w:pos="1725"/>
        <w:tab w:val="left" w:pos="7725"/>
      </w:tabs>
      <w:jc w:val="center"/>
      <w:rPr>
        <w:rFonts w:cs="Arial"/>
        <w:i/>
        <w:szCs w:val="24"/>
      </w:rPr>
    </w:pPr>
    <w:r>
      <w:rPr>
        <w:rFonts w:cs="Arial"/>
        <w:i/>
        <w:szCs w:val="24"/>
      </w:rPr>
      <w:t>Public Summary Document</w:t>
    </w:r>
    <w:r w:rsidRPr="008D3D16">
      <w:rPr>
        <w:rFonts w:cs="Arial"/>
        <w:i/>
        <w:szCs w:val="24"/>
      </w:rPr>
      <w:t xml:space="preserve"> - November 2017 PBAC Meeting</w:t>
    </w:r>
  </w:p>
  <w:p w:rsidR="000723B4" w:rsidRPr="008D3D16" w:rsidRDefault="000723B4" w:rsidP="0012263E">
    <w:pPr>
      <w:spacing w:before="0" w:after="0"/>
      <w:jc w:val="center"/>
      <w:rPr>
        <w:rFonts w:cs="Arial"/>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1D" w:rsidRDefault="007F2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281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59777A"/>
    <w:multiLevelType w:val="multilevel"/>
    <w:tmpl w:val="86A61DFE"/>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FE6F44"/>
    <w:multiLevelType w:val="hybridMultilevel"/>
    <w:tmpl w:val="90B881B6"/>
    <w:lvl w:ilvl="0" w:tplc="BA5CE466">
      <w:start w:val="1"/>
      <w:numFmt w:val="bullet"/>
      <w:pStyle w:val="TableBullets"/>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4E6825"/>
    <w:multiLevelType w:val="multilevel"/>
    <w:tmpl w:val="0D2C90A4"/>
    <w:lvl w:ilvl="0">
      <w:start w:val="1"/>
      <w:numFmt w:val="decimal"/>
      <w:pStyle w:val="Heading1"/>
      <w:lvlText w:val="%1"/>
      <w:lvlJc w:val="left"/>
      <w:pPr>
        <w:ind w:left="7520" w:hanging="432"/>
      </w:pPr>
      <w:rPr>
        <w:rFonts w:hint="default"/>
      </w:rPr>
    </w:lvl>
    <w:lvl w:ilvl="1">
      <w:start w:val="1"/>
      <w:numFmt w:val="decimal"/>
      <w:lvlText w:val="%1.%2"/>
      <w:lvlJc w:val="left"/>
      <w:pPr>
        <w:ind w:left="718"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90507D"/>
    <w:multiLevelType w:val="hybridMultilevel"/>
    <w:tmpl w:val="1F94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A3B2A"/>
    <w:multiLevelType w:val="multilevel"/>
    <w:tmpl w:val="195E6E0C"/>
    <w:lvl w:ilvl="0">
      <w:start w:val="1"/>
      <w:numFmt w:val="decimal"/>
      <w:lvlText w:val="%1"/>
      <w:lvlJc w:val="left"/>
      <w:pPr>
        <w:ind w:left="7520"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AE605E"/>
    <w:multiLevelType w:val="hybridMultilevel"/>
    <w:tmpl w:val="696A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F759D3"/>
    <w:multiLevelType w:val="hybridMultilevel"/>
    <w:tmpl w:val="665A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0A6D69"/>
    <w:multiLevelType w:val="hybridMultilevel"/>
    <w:tmpl w:val="63FAED70"/>
    <w:lvl w:ilvl="0" w:tplc="0C090003">
      <w:start w:val="1"/>
      <w:numFmt w:val="bullet"/>
      <w:lvlText w:val="o"/>
      <w:lvlJc w:val="left"/>
      <w:pPr>
        <w:ind w:left="1290" w:hanging="720"/>
      </w:pPr>
      <w:rPr>
        <w:rFonts w:ascii="Courier New" w:hAnsi="Courier New" w:cs="Courier New"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nsid w:val="4D0F08DE"/>
    <w:multiLevelType w:val="hybridMultilevel"/>
    <w:tmpl w:val="9C68E3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4760FA"/>
    <w:multiLevelType w:val="multilevel"/>
    <w:tmpl w:val="195E6E0C"/>
    <w:lvl w:ilvl="0">
      <w:start w:val="1"/>
      <w:numFmt w:val="decimal"/>
      <w:lvlText w:val="%1"/>
      <w:lvlJc w:val="left"/>
      <w:pPr>
        <w:ind w:left="7520"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306F70"/>
    <w:multiLevelType w:val="hybridMultilevel"/>
    <w:tmpl w:val="B15E0472"/>
    <w:lvl w:ilvl="0" w:tplc="0C090001">
      <w:start w:val="1"/>
      <w:numFmt w:val="bullet"/>
      <w:lvlText w:val=""/>
      <w:lvlJc w:val="left"/>
      <w:pPr>
        <w:ind w:left="1290" w:hanging="720"/>
      </w:pPr>
      <w:rPr>
        <w:rFonts w:ascii="Symbol" w:hAnsi="Symbol"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A100796"/>
    <w:multiLevelType w:val="multilevel"/>
    <w:tmpl w:val="48FA2F3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6"/>
  </w:num>
  <w:num w:numId="3">
    <w:abstractNumId w:val="12"/>
  </w:num>
  <w:num w:numId="4">
    <w:abstractNumId w:val="1"/>
  </w:num>
  <w:num w:numId="5">
    <w:abstractNumId w:val="20"/>
  </w:num>
  <w:num w:numId="6">
    <w:abstractNumId w:val="7"/>
  </w:num>
  <w:num w:numId="7">
    <w:abstractNumId w:val="18"/>
  </w:num>
  <w:num w:numId="8">
    <w:abstractNumId w:val="11"/>
  </w:num>
  <w:num w:numId="9">
    <w:abstractNumId w:val="4"/>
  </w:num>
  <w:num w:numId="10">
    <w:abstractNumId w:val="21"/>
  </w:num>
  <w:num w:numId="11">
    <w:abstractNumId w:val="8"/>
  </w:num>
  <w:num w:numId="12">
    <w:abstractNumId w:val="10"/>
  </w:num>
  <w:num w:numId="13">
    <w:abstractNumId w:val="9"/>
  </w:num>
  <w:num w:numId="14">
    <w:abstractNumId w:val="16"/>
  </w:num>
  <w:num w:numId="15">
    <w:abstractNumId w:val="19"/>
  </w:num>
  <w:num w:numId="16">
    <w:abstractNumId w:val="13"/>
  </w:num>
  <w:num w:numId="17">
    <w:abstractNumId w:val="3"/>
  </w:num>
  <w:num w:numId="18">
    <w:abstractNumId w:val="15"/>
  </w:num>
  <w:num w:numId="19">
    <w:abstractNumId w:val="2"/>
  </w:num>
  <w:num w:numId="20">
    <w:abstractNumId w:val="0"/>
  </w:num>
  <w:num w:numId="21">
    <w:abstractNumId w:val="5"/>
  </w:num>
  <w:num w:numId="22">
    <w:abstractNumId w:val="14"/>
  </w:num>
  <w:num w:numId="23">
    <w:abstractNumId w:val="4"/>
  </w:num>
  <w:num w:numId="24">
    <w:abstractNumId w:val="4"/>
  </w:num>
  <w:num w:numId="25">
    <w:abstractNumId w:val="4"/>
  </w:num>
  <w:num w:numId="26">
    <w:abstractNumId w:val="4"/>
  </w:num>
  <w:num w:numId="27">
    <w:abstractNumId w:val="18"/>
  </w:num>
  <w:num w:numId="28">
    <w:abstractNumId w:val="18"/>
  </w:num>
  <w:num w:numId="29">
    <w:abstractNumId w:val="1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num>
  <w:num w:numId="33">
    <w:abstractNumId w:val="18"/>
  </w:num>
  <w:num w:numId="34">
    <w:abstractNumId w:val="1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6"/>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oberts">
    <w15:presenceInfo w15:providerId="None" w15:userId="Andrew Roberts"/>
  </w15:person>
  <w15:person w15:author="meb">
    <w15:presenceInfo w15:providerId="None" w15:userId="m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6E1"/>
    <w:rsid w:val="000014B6"/>
    <w:rsid w:val="000017D2"/>
    <w:rsid w:val="00001AB4"/>
    <w:rsid w:val="00004730"/>
    <w:rsid w:val="00005990"/>
    <w:rsid w:val="0000615F"/>
    <w:rsid w:val="00006B52"/>
    <w:rsid w:val="0000707A"/>
    <w:rsid w:val="0001066F"/>
    <w:rsid w:val="00011B03"/>
    <w:rsid w:val="00012014"/>
    <w:rsid w:val="00013222"/>
    <w:rsid w:val="00014CD9"/>
    <w:rsid w:val="00014FF5"/>
    <w:rsid w:val="00015B6F"/>
    <w:rsid w:val="00015CE5"/>
    <w:rsid w:val="00015DD0"/>
    <w:rsid w:val="00016CFB"/>
    <w:rsid w:val="0001744D"/>
    <w:rsid w:val="0002095B"/>
    <w:rsid w:val="00021004"/>
    <w:rsid w:val="0002127C"/>
    <w:rsid w:val="00023889"/>
    <w:rsid w:val="00030713"/>
    <w:rsid w:val="0003173C"/>
    <w:rsid w:val="00034404"/>
    <w:rsid w:val="00040B94"/>
    <w:rsid w:val="00040CF7"/>
    <w:rsid w:val="00044ADE"/>
    <w:rsid w:val="000461CF"/>
    <w:rsid w:val="0004770E"/>
    <w:rsid w:val="00051985"/>
    <w:rsid w:val="00056A0B"/>
    <w:rsid w:val="00057F71"/>
    <w:rsid w:val="00062067"/>
    <w:rsid w:val="00063A32"/>
    <w:rsid w:val="00063B84"/>
    <w:rsid w:val="0006592A"/>
    <w:rsid w:val="00065C62"/>
    <w:rsid w:val="00065CDE"/>
    <w:rsid w:val="00065F4A"/>
    <w:rsid w:val="00070D14"/>
    <w:rsid w:val="000723B4"/>
    <w:rsid w:val="000736E3"/>
    <w:rsid w:val="00074FC1"/>
    <w:rsid w:val="00075173"/>
    <w:rsid w:val="00077650"/>
    <w:rsid w:val="000801C8"/>
    <w:rsid w:val="00080FF3"/>
    <w:rsid w:val="00084187"/>
    <w:rsid w:val="000847FE"/>
    <w:rsid w:val="00085A3D"/>
    <w:rsid w:val="00086133"/>
    <w:rsid w:val="00087FE8"/>
    <w:rsid w:val="00095EC6"/>
    <w:rsid w:val="000969BE"/>
    <w:rsid w:val="00096F55"/>
    <w:rsid w:val="00097244"/>
    <w:rsid w:val="000A25D2"/>
    <w:rsid w:val="000A2694"/>
    <w:rsid w:val="000A2C4B"/>
    <w:rsid w:val="000A2C7A"/>
    <w:rsid w:val="000A2EF1"/>
    <w:rsid w:val="000A3827"/>
    <w:rsid w:val="000A4D38"/>
    <w:rsid w:val="000A60AB"/>
    <w:rsid w:val="000A6DE2"/>
    <w:rsid w:val="000A6FBD"/>
    <w:rsid w:val="000B3098"/>
    <w:rsid w:val="000B3CB9"/>
    <w:rsid w:val="000B44C2"/>
    <w:rsid w:val="000B56CD"/>
    <w:rsid w:val="000B6B69"/>
    <w:rsid w:val="000B6ED1"/>
    <w:rsid w:val="000C0142"/>
    <w:rsid w:val="000C636E"/>
    <w:rsid w:val="000C6A40"/>
    <w:rsid w:val="000D0023"/>
    <w:rsid w:val="000D283D"/>
    <w:rsid w:val="000D421A"/>
    <w:rsid w:val="000D43B2"/>
    <w:rsid w:val="000D62D0"/>
    <w:rsid w:val="000D7009"/>
    <w:rsid w:val="000D72AF"/>
    <w:rsid w:val="000D7C2D"/>
    <w:rsid w:val="000E101D"/>
    <w:rsid w:val="000E1E20"/>
    <w:rsid w:val="000E3124"/>
    <w:rsid w:val="000E37FB"/>
    <w:rsid w:val="000F1483"/>
    <w:rsid w:val="000F2534"/>
    <w:rsid w:val="000F3652"/>
    <w:rsid w:val="000F6C8E"/>
    <w:rsid w:val="000F7117"/>
    <w:rsid w:val="00101E42"/>
    <w:rsid w:val="00102049"/>
    <w:rsid w:val="00107AD7"/>
    <w:rsid w:val="001106DF"/>
    <w:rsid w:val="001107F4"/>
    <w:rsid w:val="00116832"/>
    <w:rsid w:val="00116956"/>
    <w:rsid w:val="00116F8B"/>
    <w:rsid w:val="0012263E"/>
    <w:rsid w:val="001233E8"/>
    <w:rsid w:val="00123848"/>
    <w:rsid w:val="00125858"/>
    <w:rsid w:val="001268EE"/>
    <w:rsid w:val="00126AEF"/>
    <w:rsid w:val="0012701F"/>
    <w:rsid w:val="001279AE"/>
    <w:rsid w:val="00130D50"/>
    <w:rsid w:val="00135C0C"/>
    <w:rsid w:val="00136E76"/>
    <w:rsid w:val="001403EF"/>
    <w:rsid w:val="00140EEB"/>
    <w:rsid w:val="0014328F"/>
    <w:rsid w:val="00146245"/>
    <w:rsid w:val="001468C6"/>
    <w:rsid w:val="00146C47"/>
    <w:rsid w:val="00150771"/>
    <w:rsid w:val="00150FBC"/>
    <w:rsid w:val="001528D8"/>
    <w:rsid w:val="0015298E"/>
    <w:rsid w:val="00154A48"/>
    <w:rsid w:val="001550B0"/>
    <w:rsid w:val="00162381"/>
    <w:rsid w:val="001635C1"/>
    <w:rsid w:val="00164D77"/>
    <w:rsid w:val="00165A49"/>
    <w:rsid w:val="00165CA1"/>
    <w:rsid w:val="001669A7"/>
    <w:rsid w:val="00167814"/>
    <w:rsid w:val="00167921"/>
    <w:rsid w:val="00173577"/>
    <w:rsid w:val="00176AA5"/>
    <w:rsid w:val="0017720E"/>
    <w:rsid w:val="00177893"/>
    <w:rsid w:val="00180373"/>
    <w:rsid w:val="00180BBD"/>
    <w:rsid w:val="001834A5"/>
    <w:rsid w:val="00184221"/>
    <w:rsid w:val="00186307"/>
    <w:rsid w:val="00186D4D"/>
    <w:rsid w:val="00186EBC"/>
    <w:rsid w:val="00187235"/>
    <w:rsid w:val="0018736E"/>
    <w:rsid w:val="0019043E"/>
    <w:rsid w:val="00190942"/>
    <w:rsid w:val="001915B2"/>
    <w:rsid w:val="00192A59"/>
    <w:rsid w:val="0019512C"/>
    <w:rsid w:val="00195DA4"/>
    <w:rsid w:val="00196483"/>
    <w:rsid w:val="001964EB"/>
    <w:rsid w:val="001A0142"/>
    <w:rsid w:val="001A07D7"/>
    <w:rsid w:val="001A07FF"/>
    <w:rsid w:val="001A44C9"/>
    <w:rsid w:val="001A7E0A"/>
    <w:rsid w:val="001A7FB0"/>
    <w:rsid w:val="001B00CE"/>
    <w:rsid w:val="001B1844"/>
    <w:rsid w:val="001B2B77"/>
    <w:rsid w:val="001B3C4D"/>
    <w:rsid w:val="001B6389"/>
    <w:rsid w:val="001B63CD"/>
    <w:rsid w:val="001B694F"/>
    <w:rsid w:val="001B7AF4"/>
    <w:rsid w:val="001C04CC"/>
    <w:rsid w:val="001C051E"/>
    <w:rsid w:val="001C1D1B"/>
    <w:rsid w:val="001C1F92"/>
    <w:rsid w:val="001C3A11"/>
    <w:rsid w:val="001C3BA2"/>
    <w:rsid w:val="001D19A3"/>
    <w:rsid w:val="001D2116"/>
    <w:rsid w:val="001D4AEC"/>
    <w:rsid w:val="001D5DE3"/>
    <w:rsid w:val="001D66BA"/>
    <w:rsid w:val="001D7520"/>
    <w:rsid w:val="001E0B83"/>
    <w:rsid w:val="001E1E47"/>
    <w:rsid w:val="001E3645"/>
    <w:rsid w:val="001E39AA"/>
    <w:rsid w:val="001E3C1D"/>
    <w:rsid w:val="001E5918"/>
    <w:rsid w:val="001F073C"/>
    <w:rsid w:val="001F2912"/>
    <w:rsid w:val="001F35DD"/>
    <w:rsid w:val="001F37EC"/>
    <w:rsid w:val="001F39A1"/>
    <w:rsid w:val="001F3DC8"/>
    <w:rsid w:val="001F497D"/>
    <w:rsid w:val="001F5249"/>
    <w:rsid w:val="001F5454"/>
    <w:rsid w:val="001F560A"/>
    <w:rsid w:val="00200296"/>
    <w:rsid w:val="00201ADB"/>
    <w:rsid w:val="00203813"/>
    <w:rsid w:val="002058E5"/>
    <w:rsid w:val="00207685"/>
    <w:rsid w:val="00207ECA"/>
    <w:rsid w:val="00210E8C"/>
    <w:rsid w:val="00210FAA"/>
    <w:rsid w:val="002144DA"/>
    <w:rsid w:val="0021573E"/>
    <w:rsid w:val="002200F6"/>
    <w:rsid w:val="002203E1"/>
    <w:rsid w:val="002212CA"/>
    <w:rsid w:val="00222F9D"/>
    <w:rsid w:val="002234A6"/>
    <w:rsid w:val="002249DA"/>
    <w:rsid w:val="002337AB"/>
    <w:rsid w:val="00233C9D"/>
    <w:rsid w:val="002376A2"/>
    <w:rsid w:val="00240EE3"/>
    <w:rsid w:val="0024222A"/>
    <w:rsid w:val="002425EA"/>
    <w:rsid w:val="00242EA0"/>
    <w:rsid w:val="00243685"/>
    <w:rsid w:val="00246008"/>
    <w:rsid w:val="00252836"/>
    <w:rsid w:val="0025443F"/>
    <w:rsid w:val="00255D13"/>
    <w:rsid w:val="0025613F"/>
    <w:rsid w:val="0025651E"/>
    <w:rsid w:val="002579A5"/>
    <w:rsid w:val="00260219"/>
    <w:rsid w:val="002614C5"/>
    <w:rsid w:val="00261DC6"/>
    <w:rsid w:val="00264623"/>
    <w:rsid w:val="002651DC"/>
    <w:rsid w:val="00266A58"/>
    <w:rsid w:val="00267999"/>
    <w:rsid w:val="00267A87"/>
    <w:rsid w:val="002719FA"/>
    <w:rsid w:val="0027516C"/>
    <w:rsid w:val="0027633D"/>
    <w:rsid w:val="002805B8"/>
    <w:rsid w:val="00280B5B"/>
    <w:rsid w:val="002836DF"/>
    <w:rsid w:val="00286FCE"/>
    <w:rsid w:val="00291EBF"/>
    <w:rsid w:val="002928F4"/>
    <w:rsid w:val="0029297C"/>
    <w:rsid w:val="00297467"/>
    <w:rsid w:val="002A3B39"/>
    <w:rsid w:val="002A4503"/>
    <w:rsid w:val="002A4981"/>
    <w:rsid w:val="002A6F47"/>
    <w:rsid w:val="002A788F"/>
    <w:rsid w:val="002B0AAA"/>
    <w:rsid w:val="002B0FB1"/>
    <w:rsid w:val="002B4941"/>
    <w:rsid w:val="002B5048"/>
    <w:rsid w:val="002B5D74"/>
    <w:rsid w:val="002B7ADB"/>
    <w:rsid w:val="002C0C81"/>
    <w:rsid w:val="002C1D2F"/>
    <w:rsid w:val="002C39B9"/>
    <w:rsid w:val="002C4B3A"/>
    <w:rsid w:val="002C4FD6"/>
    <w:rsid w:val="002C69D9"/>
    <w:rsid w:val="002D070C"/>
    <w:rsid w:val="002D2F03"/>
    <w:rsid w:val="002D2FCA"/>
    <w:rsid w:val="002D6614"/>
    <w:rsid w:val="002D7823"/>
    <w:rsid w:val="002E3AE9"/>
    <w:rsid w:val="002E42F9"/>
    <w:rsid w:val="002E4C2D"/>
    <w:rsid w:val="002E5DEA"/>
    <w:rsid w:val="002E624C"/>
    <w:rsid w:val="002E7070"/>
    <w:rsid w:val="002E724A"/>
    <w:rsid w:val="002F2106"/>
    <w:rsid w:val="002F311E"/>
    <w:rsid w:val="002F7094"/>
    <w:rsid w:val="002F71B8"/>
    <w:rsid w:val="00301273"/>
    <w:rsid w:val="00301EA1"/>
    <w:rsid w:val="00302FCC"/>
    <w:rsid w:val="003062AE"/>
    <w:rsid w:val="003071D8"/>
    <w:rsid w:val="0031164B"/>
    <w:rsid w:val="00315514"/>
    <w:rsid w:val="0031750C"/>
    <w:rsid w:val="00325B6D"/>
    <w:rsid w:val="00326A27"/>
    <w:rsid w:val="0033064F"/>
    <w:rsid w:val="00330AC1"/>
    <w:rsid w:val="00330BF6"/>
    <w:rsid w:val="00334ACF"/>
    <w:rsid w:val="00340FDF"/>
    <w:rsid w:val="00341A14"/>
    <w:rsid w:val="00341A80"/>
    <w:rsid w:val="00341EF1"/>
    <w:rsid w:val="003466C4"/>
    <w:rsid w:val="00347347"/>
    <w:rsid w:val="00350BDE"/>
    <w:rsid w:val="00351381"/>
    <w:rsid w:val="003530A6"/>
    <w:rsid w:val="00353627"/>
    <w:rsid w:val="00355A15"/>
    <w:rsid w:val="00355F72"/>
    <w:rsid w:val="0035613C"/>
    <w:rsid w:val="00357657"/>
    <w:rsid w:val="0036056F"/>
    <w:rsid w:val="00360FF2"/>
    <w:rsid w:val="00362213"/>
    <w:rsid w:val="003639A6"/>
    <w:rsid w:val="00363C90"/>
    <w:rsid w:val="00364F80"/>
    <w:rsid w:val="003679AE"/>
    <w:rsid w:val="00367CE0"/>
    <w:rsid w:val="0037673F"/>
    <w:rsid w:val="0038118C"/>
    <w:rsid w:val="0038281C"/>
    <w:rsid w:val="00384083"/>
    <w:rsid w:val="00385A64"/>
    <w:rsid w:val="00386D1A"/>
    <w:rsid w:val="0039014E"/>
    <w:rsid w:val="00392B33"/>
    <w:rsid w:val="00392D2A"/>
    <w:rsid w:val="0039695A"/>
    <w:rsid w:val="00397170"/>
    <w:rsid w:val="003A1777"/>
    <w:rsid w:val="003A2B5E"/>
    <w:rsid w:val="003A3433"/>
    <w:rsid w:val="003A3BC9"/>
    <w:rsid w:val="003A537E"/>
    <w:rsid w:val="003A660F"/>
    <w:rsid w:val="003A6FC2"/>
    <w:rsid w:val="003B0618"/>
    <w:rsid w:val="003B095E"/>
    <w:rsid w:val="003B0B16"/>
    <w:rsid w:val="003B37A4"/>
    <w:rsid w:val="003B385E"/>
    <w:rsid w:val="003B4148"/>
    <w:rsid w:val="003B6B56"/>
    <w:rsid w:val="003C0EAF"/>
    <w:rsid w:val="003C1A9F"/>
    <w:rsid w:val="003C1D33"/>
    <w:rsid w:val="003C209E"/>
    <w:rsid w:val="003C5046"/>
    <w:rsid w:val="003C56AA"/>
    <w:rsid w:val="003D11A9"/>
    <w:rsid w:val="003D2A37"/>
    <w:rsid w:val="003D385C"/>
    <w:rsid w:val="003D422B"/>
    <w:rsid w:val="003D69EF"/>
    <w:rsid w:val="003D6AF2"/>
    <w:rsid w:val="003D7F7F"/>
    <w:rsid w:val="003E0EDB"/>
    <w:rsid w:val="003E2C0F"/>
    <w:rsid w:val="003E46F9"/>
    <w:rsid w:val="003E5007"/>
    <w:rsid w:val="003E6475"/>
    <w:rsid w:val="003F105A"/>
    <w:rsid w:val="003F1D33"/>
    <w:rsid w:val="003F2B72"/>
    <w:rsid w:val="003F5B49"/>
    <w:rsid w:val="003F6199"/>
    <w:rsid w:val="004024D6"/>
    <w:rsid w:val="004033BF"/>
    <w:rsid w:val="0041392F"/>
    <w:rsid w:val="00413D45"/>
    <w:rsid w:val="004177B9"/>
    <w:rsid w:val="00421450"/>
    <w:rsid w:val="00422234"/>
    <w:rsid w:val="004244FE"/>
    <w:rsid w:val="00426FFD"/>
    <w:rsid w:val="0042706F"/>
    <w:rsid w:val="00427E55"/>
    <w:rsid w:val="00435F1F"/>
    <w:rsid w:val="004366E1"/>
    <w:rsid w:val="00437BB5"/>
    <w:rsid w:val="00437F41"/>
    <w:rsid w:val="0044403C"/>
    <w:rsid w:val="00445A95"/>
    <w:rsid w:val="00446E63"/>
    <w:rsid w:val="004478BA"/>
    <w:rsid w:val="0045218D"/>
    <w:rsid w:val="004535BB"/>
    <w:rsid w:val="00453BAE"/>
    <w:rsid w:val="00453C2C"/>
    <w:rsid w:val="00453D59"/>
    <w:rsid w:val="0045780D"/>
    <w:rsid w:val="004619BB"/>
    <w:rsid w:val="00465D3F"/>
    <w:rsid w:val="0046621E"/>
    <w:rsid w:val="00466FB8"/>
    <w:rsid w:val="00472216"/>
    <w:rsid w:val="00472D4D"/>
    <w:rsid w:val="0048069F"/>
    <w:rsid w:val="0048078D"/>
    <w:rsid w:val="004813FD"/>
    <w:rsid w:val="00482987"/>
    <w:rsid w:val="0048678E"/>
    <w:rsid w:val="004909EC"/>
    <w:rsid w:val="004919DD"/>
    <w:rsid w:val="00492776"/>
    <w:rsid w:val="00492912"/>
    <w:rsid w:val="00494F7C"/>
    <w:rsid w:val="00496CB6"/>
    <w:rsid w:val="004A2DF5"/>
    <w:rsid w:val="004A3BB6"/>
    <w:rsid w:val="004A4EF3"/>
    <w:rsid w:val="004A50B4"/>
    <w:rsid w:val="004A7A9E"/>
    <w:rsid w:val="004B18D1"/>
    <w:rsid w:val="004B1B0C"/>
    <w:rsid w:val="004B3C00"/>
    <w:rsid w:val="004B4993"/>
    <w:rsid w:val="004B6F38"/>
    <w:rsid w:val="004C05BF"/>
    <w:rsid w:val="004C1C7F"/>
    <w:rsid w:val="004C2063"/>
    <w:rsid w:val="004C51F0"/>
    <w:rsid w:val="004C5843"/>
    <w:rsid w:val="004C60F4"/>
    <w:rsid w:val="004C6EE2"/>
    <w:rsid w:val="004D0A6E"/>
    <w:rsid w:val="004D1006"/>
    <w:rsid w:val="004D1E72"/>
    <w:rsid w:val="004D45DF"/>
    <w:rsid w:val="004D4794"/>
    <w:rsid w:val="004E0C0B"/>
    <w:rsid w:val="004E1BF2"/>
    <w:rsid w:val="004E2125"/>
    <w:rsid w:val="004E7BC3"/>
    <w:rsid w:val="004F1077"/>
    <w:rsid w:val="004F1667"/>
    <w:rsid w:val="004F1A09"/>
    <w:rsid w:val="004F32F9"/>
    <w:rsid w:val="004F3688"/>
    <w:rsid w:val="004F3AA1"/>
    <w:rsid w:val="004F3AAE"/>
    <w:rsid w:val="004F4BDE"/>
    <w:rsid w:val="004F7CAC"/>
    <w:rsid w:val="005034A5"/>
    <w:rsid w:val="00503B79"/>
    <w:rsid w:val="00507B26"/>
    <w:rsid w:val="00511320"/>
    <w:rsid w:val="00511378"/>
    <w:rsid w:val="00512BD7"/>
    <w:rsid w:val="005143F9"/>
    <w:rsid w:val="0051583A"/>
    <w:rsid w:val="00516566"/>
    <w:rsid w:val="00516FC7"/>
    <w:rsid w:val="0051726D"/>
    <w:rsid w:val="00520C49"/>
    <w:rsid w:val="0052136B"/>
    <w:rsid w:val="005218C3"/>
    <w:rsid w:val="00522E83"/>
    <w:rsid w:val="0052383F"/>
    <w:rsid w:val="00526625"/>
    <w:rsid w:val="00527238"/>
    <w:rsid w:val="00530CE7"/>
    <w:rsid w:val="00531C02"/>
    <w:rsid w:val="00531C11"/>
    <w:rsid w:val="00531C88"/>
    <w:rsid w:val="00531D6F"/>
    <w:rsid w:val="005332A4"/>
    <w:rsid w:val="00534D19"/>
    <w:rsid w:val="00535C74"/>
    <w:rsid w:val="005361AB"/>
    <w:rsid w:val="00536A49"/>
    <w:rsid w:val="00536BFD"/>
    <w:rsid w:val="00537F23"/>
    <w:rsid w:val="005402BE"/>
    <w:rsid w:val="005408EE"/>
    <w:rsid w:val="00541D43"/>
    <w:rsid w:val="00542068"/>
    <w:rsid w:val="00543AF9"/>
    <w:rsid w:val="00544CB9"/>
    <w:rsid w:val="005459F6"/>
    <w:rsid w:val="00554C1D"/>
    <w:rsid w:val="0055532F"/>
    <w:rsid w:val="0055563D"/>
    <w:rsid w:val="005558A9"/>
    <w:rsid w:val="00555D4E"/>
    <w:rsid w:val="00555E36"/>
    <w:rsid w:val="005569C8"/>
    <w:rsid w:val="00556C08"/>
    <w:rsid w:val="005572A0"/>
    <w:rsid w:val="00561932"/>
    <w:rsid w:val="00561D24"/>
    <w:rsid w:val="00565FBB"/>
    <w:rsid w:val="00570096"/>
    <w:rsid w:val="00570240"/>
    <w:rsid w:val="00570B81"/>
    <w:rsid w:val="0057166E"/>
    <w:rsid w:val="005717B2"/>
    <w:rsid w:val="005748EC"/>
    <w:rsid w:val="0057627D"/>
    <w:rsid w:val="005768A8"/>
    <w:rsid w:val="00576ADE"/>
    <w:rsid w:val="00577831"/>
    <w:rsid w:val="00577CFD"/>
    <w:rsid w:val="00577DEF"/>
    <w:rsid w:val="00577E7E"/>
    <w:rsid w:val="00580A43"/>
    <w:rsid w:val="00586CF3"/>
    <w:rsid w:val="00587C6D"/>
    <w:rsid w:val="005906AA"/>
    <w:rsid w:val="00590A9E"/>
    <w:rsid w:val="00592AEF"/>
    <w:rsid w:val="00597972"/>
    <w:rsid w:val="005A0EFF"/>
    <w:rsid w:val="005A2B40"/>
    <w:rsid w:val="005A4C18"/>
    <w:rsid w:val="005B0A93"/>
    <w:rsid w:val="005B1D68"/>
    <w:rsid w:val="005B2592"/>
    <w:rsid w:val="005B77E9"/>
    <w:rsid w:val="005C3EAA"/>
    <w:rsid w:val="005C42F0"/>
    <w:rsid w:val="005D03E6"/>
    <w:rsid w:val="005D1573"/>
    <w:rsid w:val="005D5BA1"/>
    <w:rsid w:val="005D6408"/>
    <w:rsid w:val="005D70BE"/>
    <w:rsid w:val="005E49B2"/>
    <w:rsid w:val="005E51B3"/>
    <w:rsid w:val="005E6273"/>
    <w:rsid w:val="005E6CBF"/>
    <w:rsid w:val="005F071F"/>
    <w:rsid w:val="005F08C3"/>
    <w:rsid w:val="005F0AE8"/>
    <w:rsid w:val="005F1F1A"/>
    <w:rsid w:val="005F2A6B"/>
    <w:rsid w:val="005F40C1"/>
    <w:rsid w:val="005F50A7"/>
    <w:rsid w:val="005F5317"/>
    <w:rsid w:val="005F5938"/>
    <w:rsid w:val="00601E6C"/>
    <w:rsid w:val="006024D3"/>
    <w:rsid w:val="00606686"/>
    <w:rsid w:val="00606EF9"/>
    <w:rsid w:val="0060706A"/>
    <w:rsid w:val="00607758"/>
    <w:rsid w:val="00610D5E"/>
    <w:rsid w:val="006110E8"/>
    <w:rsid w:val="006123B8"/>
    <w:rsid w:val="00613467"/>
    <w:rsid w:val="00613930"/>
    <w:rsid w:val="00615E32"/>
    <w:rsid w:val="0061796C"/>
    <w:rsid w:val="00620799"/>
    <w:rsid w:val="00624315"/>
    <w:rsid w:val="0062545B"/>
    <w:rsid w:val="0062552A"/>
    <w:rsid w:val="0062657D"/>
    <w:rsid w:val="00632843"/>
    <w:rsid w:val="006329E5"/>
    <w:rsid w:val="006332BE"/>
    <w:rsid w:val="0063426F"/>
    <w:rsid w:val="00634938"/>
    <w:rsid w:val="00634BB1"/>
    <w:rsid w:val="006354E7"/>
    <w:rsid w:val="0064016E"/>
    <w:rsid w:val="006406F3"/>
    <w:rsid w:val="006408C3"/>
    <w:rsid w:val="006436CC"/>
    <w:rsid w:val="00644970"/>
    <w:rsid w:val="0064620D"/>
    <w:rsid w:val="006478BA"/>
    <w:rsid w:val="006505CD"/>
    <w:rsid w:val="006539ED"/>
    <w:rsid w:val="0065630B"/>
    <w:rsid w:val="00657651"/>
    <w:rsid w:val="00657754"/>
    <w:rsid w:val="0066127D"/>
    <w:rsid w:val="006625FE"/>
    <w:rsid w:val="00662DFF"/>
    <w:rsid w:val="00664356"/>
    <w:rsid w:val="0066494A"/>
    <w:rsid w:val="00664C88"/>
    <w:rsid w:val="006677F0"/>
    <w:rsid w:val="00672120"/>
    <w:rsid w:val="006722A6"/>
    <w:rsid w:val="006724DA"/>
    <w:rsid w:val="00672ACA"/>
    <w:rsid w:val="0067449D"/>
    <w:rsid w:val="00677F2B"/>
    <w:rsid w:val="00683373"/>
    <w:rsid w:val="00690410"/>
    <w:rsid w:val="00691913"/>
    <w:rsid w:val="00694E67"/>
    <w:rsid w:val="006A138B"/>
    <w:rsid w:val="006A163E"/>
    <w:rsid w:val="006A3D42"/>
    <w:rsid w:val="006A421F"/>
    <w:rsid w:val="006B140A"/>
    <w:rsid w:val="006B18A1"/>
    <w:rsid w:val="006B3281"/>
    <w:rsid w:val="006B4A3B"/>
    <w:rsid w:val="006B565B"/>
    <w:rsid w:val="006B640F"/>
    <w:rsid w:val="006B67CE"/>
    <w:rsid w:val="006C471D"/>
    <w:rsid w:val="006C4906"/>
    <w:rsid w:val="006C5A11"/>
    <w:rsid w:val="006D0018"/>
    <w:rsid w:val="006D0B49"/>
    <w:rsid w:val="006D0D16"/>
    <w:rsid w:val="006D3271"/>
    <w:rsid w:val="006D5038"/>
    <w:rsid w:val="006D6290"/>
    <w:rsid w:val="006E0A4A"/>
    <w:rsid w:val="006E14EA"/>
    <w:rsid w:val="006E3C12"/>
    <w:rsid w:val="006E4346"/>
    <w:rsid w:val="006E5033"/>
    <w:rsid w:val="006E5188"/>
    <w:rsid w:val="006E7302"/>
    <w:rsid w:val="006F161E"/>
    <w:rsid w:val="006F21CC"/>
    <w:rsid w:val="006F7930"/>
    <w:rsid w:val="006F7C82"/>
    <w:rsid w:val="00700506"/>
    <w:rsid w:val="007016AC"/>
    <w:rsid w:val="0070657E"/>
    <w:rsid w:val="00712667"/>
    <w:rsid w:val="00712C73"/>
    <w:rsid w:val="00712F28"/>
    <w:rsid w:val="00713253"/>
    <w:rsid w:val="007147E2"/>
    <w:rsid w:val="00720AF8"/>
    <w:rsid w:val="0072109F"/>
    <w:rsid w:val="0072356B"/>
    <w:rsid w:val="00723E1E"/>
    <w:rsid w:val="00725440"/>
    <w:rsid w:val="00727A48"/>
    <w:rsid w:val="0073124E"/>
    <w:rsid w:val="00735E76"/>
    <w:rsid w:val="00736F80"/>
    <w:rsid w:val="0073728A"/>
    <w:rsid w:val="0073792D"/>
    <w:rsid w:val="007408C7"/>
    <w:rsid w:val="00741CCF"/>
    <w:rsid w:val="00742182"/>
    <w:rsid w:val="00742DBE"/>
    <w:rsid w:val="00743006"/>
    <w:rsid w:val="00745A30"/>
    <w:rsid w:val="00747705"/>
    <w:rsid w:val="007509A6"/>
    <w:rsid w:val="00750B5A"/>
    <w:rsid w:val="00762FD9"/>
    <w:rsid w:val="007637C5"/>
    <w:rsid w:val="00771D7A"/>
    <w:rsid w:val="00772C70"/>
    <w:rsid w:val="00772E37"/>
    <w:rsid w:val="0077404A"/>
    <w:rsid w:val="007749D0"/>
    <w:rsid w:val="0077580B"/>
    <w:rsid w:val="00781737"/>
    <w:rsid w:val="007847FA"/>
    <w:rsid w:val="00787980"/>
    <w:rsid w:val="00790910"/>
    <w:rsid w:val="00790C0E"/>
    <w:rsid w:val="0079101E"/>
    <w:rsid w:val="00791A28"/>
    <w:rsid w:val="00791DE1"/>
    <w:rsid w:val="007979E9"/>
    <w:rsid w:val="007A24BB"/>
    <w:rsid w:val="007A3A8C"/>
    <w:rsid w:val="007A417E"/>
    <w:rsid w:val="007A4B6A"/>
    <w:rsid w:val="007A7A77"/>
    <w:rsid w:val="007B004C"/>
    <w:rsid w:val="007B0E0C"/>
    <w:rsid w:val="007B25FE"/>
    <w:rsid w:val="007B4DA3"/>
    <w:rsid w:val="007C0323"/>
    <w:rsid w:val="007C2041"/>
    <w:rsid w:val="007C26E5"/>
    <w:rsid w:val="007C720A"/>
    <w:rsid w:val="007D0803"/>
    <w:rsid w:val="007D1092"/>
    <w:rsid w:val="007D2621"/>
    <w:rsid w:val="007D32C0"/>
    <w:rsid w:val="007D37F4"/>
    <w:rsid w:val="007D3DF0"/>
    <w:rsid w:val="007D45B5"/>
    <w:rsid w:val="007D4F7F"/>
    <w:rsid w:val="007E0ADD"/>
    <w:rsid w:val="007E125F"/>
    <w:rsid w:val="007E4DAA"/>
    <w:rsid w:val="007F04B8"/>
    <w:rsid w:val="007F08CA"/>
    <w:rsid w:val="007F0FEA"/>
    <w:rsid w:val="007F271D"/>
    <w:rsid w:val="007F39E4"/>
    <w:rsid w:val="007F3B6E"/>
    <w:rsid w:val="007F5981"/>
    <w:rsid w:val="007F710C"/>
    <w:rsid w:val="008023E7"/>
    <w:rsid w:val="0080308A"/>
    <w:rsid w:val="00804EE5"/>
    <w:rsid w:val="00806434"/>
    <w:rsid w:val="00812F84"/>
    <w:rsid w:val="00813288"/>
    <w:rsid w:val="00817510"/>
    <w:rsid w:val="00817CBF"/>
    <w:rsid w:val="00821A29"/>
    <w:rsid w:val="00823233"/>
    <w:rsid w:val="00824426"/>
    <w:rsid w:val="00825AAE"/>
    <w:rsid w:val="00825F15"/>
    <w:rsid w:val="008261E9"/>
    <w:rsid w:val="00830E52"/>
    <w:rsid w:val="008323BD"/>
    <w:rsid w:val="008324E3"/>
    <w:rsid w:val="00836B54"/>
    <w:rsid w:val="00836E8D"/>
    <w:rsid w:val="008373DD"/>
    <w:rsid w:val="00837965"/>
    <w:rsid w:val="008412CC"/>
    <w:rsid w:val="00842AD7"/>
    <w:rsid w:val="008445BE"/>
    <w:rsid w:val="00845946"/>
    <w:rsid w:val="00846644"/>
    <w:rsid w:val="00846933"/>
    <w:rsid w:val="00846D90"/>
    <w:rsid w:val="00846E03"/>
    <w:rsid w:val="008476A0"/>
    <w:rsid w:val="00852F38"/>
    <w:rsid w:val="0085523E"/>
    <w:rsid w:val="00856B05"/>
    <w:rsid w:val="00856C34"/>
    <w:rsid w:val="008616E7"/>
    <w:rsid w:val="0086177D"/>
    <w:rsid w:val="00861ED4"/>
    <w:rsid w:val="008631B8"/>
    <w:rsid w:val="00863679"/>
    <w:rsid w:val="008652C2"/>
    <w:rsid w:val="008657AB"/>
    <w:rsid w:val="00865DC1"/>
    <w:rsid w:val="00866C03"/>
    <w:rsid w:val="00870315"/>
    <w:rsid w:val="00873C8A"/>
    <w:rsid w:val="008750F9"/>
    <w:rsid w:val="00875341"/>
    <w:rsid w:val="0087536F"/>
    <w:rsid w:val="008774F0"/>
    <w:rsid w:val="00880A40"/>
    <w:rsid w:val="0088174D"/>
    <w:rsid w:val="00886873"/>
    <w:rsid w:val="008869F4"/>
    <w:rsid w:val="00890055"/>
    <w:rsid w:val="008917A1"/>
    <w:rsid w:val="00892600"/>
    <w:rsid w:val="00893EEF"/>
    <w:rsid w:val="008A4880"/>
    <w:rsid w:val="008A52B1"/>
    <w:rsid w:val="008A6222"/>
    <w:rsid w:val="008A7075"/>
    <w:rsid w:val="008A7EF9"/>
    <w:rsid w:val="008B1860"/>
    <w:rsid w:val="008B2A51"/>
    <w:rsid w:val="008B4762"/>
    <w:rsid w:val="008B521E"/>
    <w:rsid w:val="008B5B32"/>
    <w:rsid w:val="008C0632"/>
    <w:rsid w:val="008C2169"/>
    <w:rsid w:val="008C3651"/>
    <w:rsid w:val="008C7529"/>
    <w:rsid w:val="008C780E"/>
    <w:rsid w:val="008C7C6F"/>
    <w:rsid w:val="008D0711"/>
    <w:rsid w:val="008D1E13"/>
    <w:rsid w:val="008D26A5"/>
    <w:rsid w:val="008D3D16"/>
    <w:rsid w:val="008D52B6"/>
    <w:rsid w:val="008D5CD3"/>
    <w:rsid w:val="008D679F"/>
    <w:rsid w:val="008D78FF"/>
    <w:rsid w:val="008E4289"/>
    <w:rsid w:val="008E4CEF"/>
    <w:rsid w:val="008F1A1F"/>
    <w:rsid w:val="008F1ED3"/>
    <w:rsid w:val="008F2946"/>
    <w:rsid w:val="008F5D3F"/>
    <w:rsid w:val="008F65A0"/>
    <w:rsid w:val="00902817"/>
    <w:rsid w:val="009035E8"/>
    <w:rsid w:val="00903B5B"/>
    <w:rsid w:val="00903F9D"/>
    <w:rsid w:val="009047A4"/>
    <w:rsid w:val="00905C7D"/>
    <w:rsid w:val="00910335"/>
    <w:rsid w:val="00910CFB"/>
    <w:rsid w:val="0091168C"/>
    <w:rsid w:val="00914DA7"/>
    <w:rsid w:val="00914F14"/>
    <w:rsid w:val="00915F63"/>
    <w:rsid w:val="0091738D"/>
    <w:rsid w:val="009177E9"/>
    <w:rsid w:val="00920020"/>
    <w:rsid w:val="009218E4"/>
    <w:rsid w:val="00922662"/>
    <w:rsid w:val="00922A5F"/>
    <w:rsid w:val="00923EB3"/>
    <w:rsid w:val="00924268"/>
    <w:rsid w:val="00924517"/>
    <w:rsid w:val="00924A52"/>
    <w:rsid w:val="00924BC7"/>
    <w:rsid w:val="00931E63"/>
    <w:rsid w:val="009321A2"/>
    <w:rsid w:val="009331CF"/>
    <w:rsid w:val="009334AC"/>
    <w:rsid w:val="009356F7"/>
    <w:rsid w:val="00936382"/>
    <w:rsid w:val="00942010"/>
    <w:rsid w:val="0094320A"/>
    <w:rsid w:val="00944B0D"/>
    <w:rsid w:val="00950F26"/>
    <w:rsid w:val="0095170D"/>
    <w:rsid w:val="00952230"/>
    <w:rsid w:val="0095289C"/>
    <w:rsid w:val="0095307F"/>
    <w:rsid w:val="00953466"/>
    <w:rsid w:val="00955526"/>
    <w:rsid w:val="0095592F"/>
    <w:rsid w:val="00956FF4"/>
    <w:rsid w:val="00957525"/>
    <w:rsid w:val="00957E7E"/>
    <w:rsid w:val="00964C1F"/>
    <w:rsid w:val="009668A3"/>
    <w:rsid w:val="00966C09"/>
    <w:rsid w:val="00971224"/>
    <w:rsid w:val="009720DB"/>
    <w:rsid w:val="0097493B"/>
    <w:rsid w:val="00974D82"/>
    <w:rsid w:val="00976DA3"/>
    <w:rsid w:val="00977049"/>
    <w:rsid w:val="0098189E"/>
    <w:rsid w:val="00981B04"/>
    <w:rsid w:val="00983E14"/>
    <w:rsid w:val="009840AD"/>
    <w:rsid w:val="00984441"/>
    <w:rsid w:val="009844CF"/>
    <w:rsid w:val="00984851"/>
    <w:rsid w:val="00984DD8"/>
    <w:rsid w:val="00986814"/>
    <w:rsid w:val="009875F6"/>
    <w:rsid w:val="0099085F"/>
    <w:rsid w:val="0099142C"/>
    <w:rsid w:val="009925DB"/>
    <w:rsid w:val="00993CC9"/>
    <w:rsid w:val="009A07AF"/>
    <w:rsid w:val="009A07D6"/>
    <w:rsid w:val="009A17A1"/>
    <w:rsid w:val="009A1A31"/>
    <w:rsid w:val="009A3AF6"/>
    <w:rsid w:val="009A5EB6"/>
    <w:rsid w:val="009A65E5"/>
    <w:rsid w:val="009A6F74"/>
    <w:rsid w:val="009A7521"/>
    <w:rsid w:val="009A7984"/>
    <w:rsid w:val="009B1A0C"/>
    <w:rsid w:val="009B63AE"/>
    <w:rsid w:val="009B6F83"/>
    <w:rsid w:val="009B7883"/>
    <w:rsid w:val="009C174A"/>
    <w:rsid w:val="009C24E9"/>
    <w:rsid w:val="009C3B88"/>
    <w:rsid w:val="009C542B"/>
    <w:rsid w:val="009C61F2"/>
    <w:rsid w:val="009C689D"/>
    <w:rsid w:val="009C7244"/>
    <w:rsid w:val="009D3628"/>
    <w:rsid w:val="009D419E"/>
    <w:rsid w:val="009D4C2A"/>
    <w:rsid w:val="009D587A"/>
    <w:rsid w:val="009D6214"/>
    <w:rsid w:val="009D6914"/>
    <w:rsid w:val="009D6C95"/>
    <w:rsid w:val="009D6F46"/>
    <w:rsid w:val="009D7CE7"/>
    <w:rsid w:val="009E1C22"/>
    <w:rsid w:val="009E2481"/>
    <w:rsid w:val="009E45DF"/>
    <w:rsid w:val="009E50ED"/>
    <w:rsid w:val="009E5AC3"/>
    <w:rsid w:val="009E6920"/>
    <w:rsid w:val="009E7D7F"/>
    <w:rsid w:val="009F05B3"/>
    <w:rsid w:val="009F09BE"/>
    <w:rsid w:val="009F1058"/>
    <w:rsid w:val="009F245A"/>
    <w:rsid w:val="009F2D90"/>
    <w:rsid w:val="009F3631"/>
    <w:rsid w:val="009F3790"/>
    <w:rsid w:val="009F38E1"/>
    <w:rsid w:val="009F504A"/>
    <w:rsid w:val="009F51AA"/>
    <w:rsid w:val="009F6BC0"/>
    <w:rsid w:val="009F7CEB"/>
    <w:rsid w:val="00A01896"/>
    <w:rsid w:val="00A040FD"/>
    <w:rsid w:val="00A0426A"/>
    <w:rsid w:val="00A04C0D"/>
    <w:rsid w:val="00A04F08"/>
    <w:rsid w:val="00A05E59"/>
    <w:rsid w:val="00A05F04"/>
    <w:rsid w:val="00A074EF"/>
    <w:rsid w:val="00A07BE0"/>
    <w:rsid w:val="00A122AA"/>
    <w:rsid w:val="00A1264B"/>
    <w:rsid w:val="00A1314B"/>
    <w:rsid w:val="00A17116"/>
    <w:rsid w:val="00A20B1A"/>
    <w:rsid w:val="00A21B0D"/>
    <w:rsid w:val="00A22A39"/>
    <w:rsid w:val="00A25B27"/>
    <w:rsid w:val="00A3099A"/>
    <w:rsid w:val="00A313BB"/>
    <w:rsid w:val="00A31719"/>
    <w:rsid w:val="00A40305"/>
    <w:rsid w:val="00A40E80"/>
    <w:rsid w:val="00A41E5D"/>
    <w:rsid w:val="00A43345"/>
    <w:rsid w:val="00A524CE"/>
    <w:rsid w:val="00A535FB"/>
    <w:rsid w:val="00A5582E"/>
    <w:rsid w:val="00A56D6A"/>
    <w:rsid w:val="00A60115"/>
    <w:rsid w:val="00A612F1"/>
    <w:rsid w:val="00A6260D"/>
    <w:rsid w:val="00A6374D"/>
    <w:rsid w:val="00A64A7A"/>
    <w:rsid w:val="00A650D5"/>
    <w:rsid w:val="00A65F99"/>
    <w:rsid w:val="00A67853"/>
    <w:rsid w:val="00A73469"/>
    <w:rsid w:val="00A73E7B"/>
    <w:rsid w:val="00A8070F"/>
    <w:rsid w:val="00A81F82"/>
    <w:rsid w:val="00A837E3"/>
    <w:rsid w:val="00A841B0"/>
    <w:rsid w:val="00A85A2B"/>
    <w:rsid w:val="00A87104"/>
    <w:rsid w:val="00A875D9"/>
    <w:rsid w:val="00A91E01"/>
    <w:rsid w:val="00A93543"/>
    <w:rsid w:val="00A94EFC"/>
    <w:rsid w:val="00AA0AB2"/>
    <w:rsid w:val="00AA1681"/>
    <w:rsid w:val="00AA2BCB"/>
    <w:rsid w:val="00AA2FA1"/>
    <w:rsid w:val="00AA51C1"/>
    <w:rsid w:val="00AA6156"/>
    <w:rsid w:val="00AA70A1"/>
    <w:rsid w:val="00AA73AC"/>
    <w:rsid w:val="00AA7B77"/>
    <w:rsid w:val="00AA7D78"/>
    <w:rsid w:val="00AB0A58"/>
    <w:rsid w:val="00AB187A"/>
    <w:rsid w:val="00AB30FD"/>
    <w:rsid w:val="00AB3226"/>
    <w:rsid w:val="00AB514A"/>
    <w:rsid w:val="00AC1AE9"/>
    <w:rsid w:val="00AC3934"/>
    <w:rsid w:val="00AC50E3"/>
    <w:rsid w:val="00AD29CB"/>
    <w:rsid w:val="00AD51C9"/>
    <w:rsid w:val="00AD56EC"/>
    <w:rsid w:val="00AE2A68"/>
    <w:rsid w:val="00AE329D"/>
    <w:rsid w:val="00AE53A0"/>
    <w:rsid w:val="00AE638E"/>
    <w:rsid w:val="00AF02F9"/>
    <w:rsid w:val="00AF0DF9"/>
    <w:rsid w:val="00AF1401"/>
    <w:rsid w:val="00AF2F5B"/>
    <w:rsid w:val="00AF49F0"/>
    <w:rsid w:val="00AF4BE4"/>
    <w:rsid w:val="00AF77C4"/>
    <w:rsid w:val="00B029CA"/>
    <w:rsid w:val="00B0355B"/>
    <w:rsid w:val="00B05A6C"/>
    <w:rsid w:val="00B060CD"/>
    <w:rsid w:val="00B10444"/>
    <w:rsid w:val="00B10ADA"/>
    <w:rsid w:val="00B11EA0"/>
    <w:rsid w:val="00B126DC"/>
    <w:rsid w:val="00B156A6"/>
    <w:rsid w:val="00B160FB"/>
    <w:rsid w:val="00B16849"/>
    <w:rsid w:val="00B16872"/>
    <w:rsid w:val="00B17FDB"/>
    <w:rsid w:val="00B21751"/>
    <w:rsid w:val="00B21BB1"/>
    <w:rsid w:val="00B226FA"/>
    <w:rsid w:val="00B2277D"/>
    <w:rsid w:val="00B22E5F"/>
    <w:rsid w:val="00B238FC"/>
    <w:rsid w:val="00B241AC"/>
    <w:rsid w:val="00B25D68"/>
    <w:rsid w:val="00B273CB"/>
    <w:rsid w:val="00B2777B"/>
    <w:rsid w:val="00B27BDE"/>
    <w:rsid w:val="00B31228"/>
    <w:rsid w:val="00B31685"/>
    <w:rsid w:val="00B32FEA"/>
    <w:rsid w:val="00B33185"/>
    <w:rsid w:val="00B36BC9"/>
    <w:rsid w:val="00B378E6"/>
    <w:rsid w:val="00B40141"/>
    <w:rsid w:val="00B41963"/>
    <w:rsid w:val="00B42868"/>
    <w:rsid w:val="00B433BF"/>
    <w:rsid w:val="00B457B4"/>
    <w:rsid w:val="00B46F9F"/>
    <w:rsid w:val="00B47099"/>
    <w:rsid w:val="00B51A34"/>
    <w:rsid w:val="00B52514"/>
    <w:rsid w:val="00B544D4"/>
    <w:rsid w:val="00B556E9"/>
    <w:rsid w:val="00B55C39"/>
    <w:rsid w:val="00B57E79"/>
    <w:rsid w:val="00B626E8"/>
    <w:rsid w:val="00B63B2F"/>
    <w:rsid w:val="00B650DC"/>
    <w:rsid w:val="00B65D88"/>
    <w:rsid w:val="00B66C37"/>
    <w:rsid w:val="00B67119"/>
    <w:rsid w:val="00B70605"/>
    <w:rsid w:val="00B710BD"/>
    <w:rsid w:val="00B71675"/>
    <w:rsid w:val="00B71B62"/>
    <w:rsid w:val="00B74DAE"/>
    <w:rsid w:val="00B759CE"/>
    <w:rsid w:val="00B75BC0"/>
    <w:rsid w:val="00B7796D"/>
    <w:rsid w:val="00B80B83"/>
    <w:rsid w:val="00B81870"/>
    <w:rsid w:val="00B823C5"/>
    <w:rsid w:val="00B82DDD"/>
    <w:rsid w:val="00B836B0"/>
    <w:rsid w:val="00B86389"/>
    <w:rsid w:val="00B863A0"/>
    <w:rsid w:val="00B86DFD"/>
    <w:rsid w:val="00B91DCC"/>
    <w:rsid w:val="00B936F6"/>
    <w:rsid w:val="00BA01AB"/>
    <w:rsid w:val="00BA0650"/>
    <w:rsid w:val="00BA0792"/>
    <w:rsid w:val="00BA0999"/>
    <w:rsid w:val="00BA3306"/>
    <w:rsid w:val="00BA3BA3"/>
    <w:rsid w:val="00BA5055"/>
    <w:rsid w:val="00BA73EE"/>
    <w:rsid w:val="00BB03FB"/>
    <w:rsid w:val="00BB11FE"/>
    <w:rsid w:val="00BB14BE"/>
    <w:rsid w:val="00BB2C2C"/>
    <w:rsid w:val="00BB304C"/>
    <w:rsid w:val="00BC00C3"/>
    <w:rsid w:val="00BC1BFA"/>
    <w:rsid w:val="00BC4868"/>
    <w:rsid w:val="00BC52ED"/>
    <w:rsid w:val="00BC606E"/>
    <w:rsid w:val="00BC6D17"/>
    <w:rsid w:val="00BD03EC"/>
    <w:rsid w:val="00BD07E8"/>
    <w:rsid w:val="00BD2053"/>
    <w:rsid w:val="00BD2835"/>
    <w:rsid w:val="00BD3718"/>
    <w:rsid w:val="00BD5E8F"/>
    <w:rsid w:val="00BE01EB"/>
    <w:rsid w:val="00BE3CAA"/>
    <w:rsid w:val="00BE3E5F"/>
    <w:rsid w:val="00BE583A"/>
    <w:rsid w:val="00BE641F"/>
    <w:rsid w:val="00BE6AD3"/>
    <w:rsid w:val="00BE6E33"/>
    <w:rsid w:val="00BF11DD"/>
    <w:rsid w:val="00BF1619"/>
    <w:rsid w:val="00BF1F87"/>
    <w:rsid w:val="00BF7B5D"/>
    <w:rsid w:val="00BF7BA9"/>
    <w:rsid w:val="00C016C8"/>
    <w:rsid w:val="00C03C02"/>
    <w:rsid w:val="00C0524C"/>
    <w:rsid w:val="00C07417"/>
    <w:rsid w:val="00C07BBA"/>
    <w:rsid w:val="00C1183F"/>
    <w:rsid w:val="00C1481E"/>
    <w:rsid w:val="00C175EE"/>
    <w:rsid w:val="00C23FEA"/>
    <w:rsid w:val="00C2791E"/>
    <w:rsid w:val="00C3004F"/>
    <w:rsid w:val="00C317F3"/>
    <w:rsid w:val="00C33D06"/>
    <w:rsid w:val="00C4041F"/>
    <w:rsid w:val="00C41A70"/>
    <w:rsid w:val="00C43BF0"/>
    <w:rsid w:val="00C44C37"/>
    <w:rsid w:val="00C459F8"/>
    <w:rsid w:val="00C46AE5"/>
    <w:rsid w:val="00C46DED"/>
    <w:rsid w:val="00C47654"/>
    <w:rsid w:val="00C529A4"/>
    <w:rsid w:val="00C53604"/>
    <w:rsid w:val="00C55CDD"/>
    <w:rsid w:val="00C57B12"/>
    <w:rsid w:val="00C57E4D"/>
    <w:rsid w:val="00C60B6C"/>
    <w:rsid w:val="00C618A7"/>
    <w:rsid w:val="00C626E2"/>
    <w:rsid w:val="00C628C8"/>
    <w:rsid w:val="00C63960"/>
    <w:rsid w:val="00C64201"/>
    <w:rsid w:val="00C67B70"/>
    <w:rsid w:val="00C73319"/>
    <w:rsid w:val="00C7408D"/>
    <w:rsid w:val="00C7519E"/>
    <w:rsid w:val="00C766E8"/>
    <w:rsid w:val="00C80B5E"/>
    <w:rsid w:val="00C81A12"/>
    <w:rsid w:val="00C83E9D"/>
    <w:rsid w:val="00C846BE"/>
    <w:rsid w:val="00C963DE"/>
    <w:rsid w:val="00C965A5"/>
    <w:rsid w:val="00C97DEA"/>
    <w:rsid w:val="00CA0C26"/>
    <w:rsid w:val="00CA39DF"/>
    <w:rsid w:val="00CA5ADB"/>
    <w:rsid w:val="00CA5DDD"/>
    <w:rsid w:val="00CA69A2"/>
    <w:rsid w:val="00CB07A8"/>
    <w:rsid w:val="00CB0AA4"/>
    <w:rsid w:val="00CB35F0"/>
    <w:rsid w:val="00CB43E2"/>
    <w:rsid w:val="00CB5389"/>
    <w:rsid w:val="00CB553D"/>
    <w:rsid w:val="00CB55ED"/>
    <w:rsid w:val="00CB7660"/>
    <w:rsid w:val="00CC10E1"/>
    <w:rsid w:val="00CC262C"/>
    <w:rsid w:val="00CC2B8D"/>
    <w:rsid w:val="00CC35CF"/>
    <w:rsid w:val="00CC4902"/>
    <w:rsid w:val="00CC6790"/>
    <w:rsid w:val="00CC67EC"/>
    <w:rsid w:val="00CD12E3"/>
    <w:rsid w:val="00CD14BA"/>
    <w:rsid w:val="00CD3C34"/>
    <w:rsid w:val="00CD6327"/>
    <w:rsid w:val="00CD6A05"/>
    <w:rsid w:val="00CE04A7"/>
    <w:rsid w:val="00CE1432"/>
    <w:rsid w:val="00CE2B78"/>
    <w:rsid w:val="00CE3A24"/>
    <w:rsid w:val="00CE3A92"/>
    <w:rsid w:val="00CE5ED2"/>
    <w:rsid w:val="00CE74A3"/>
    <w:rsid w:val="00CF2727"/>
    <w:rsid w:val="00D023CB"/>
    <w:rsid w:val="00D02EA8"/>
    <w:rsid w:val="00D032A9"/>
    <w:rsid w:val="00D034DD"/>
    <w:rsid w:val="00D04870"/>
    <w:rsid w:val="00D04952"/>
    <w:rsid w:val="00D04A13"/>
    <w:rsid w:val="00D053CF"/>
    <w:rsid w:val="00D06A16"/>
    <w:rsid w:val="00D07439"/>
    <w:rsid w:val="00D1078F"/>
    <w:rsid w:val="00D10E60"/>
    <w:rsid w:val="00D12CD2"/>
    <w:rsid w:val="00D14D23"/>
    <w:rsid w:val="00D15D8B"/>
    <w:rsid w:val="00D16165"/>
    <w:rsid w:val="00D16381"/>
    <w:rsid w:val="00D16AE1"/>
    <w:rsid w:val="00D17984"/>
    <w:rsid w:val="00D17B43"/>
    <w:rsid w:val="00D17C3D"/>
    <w:rsid w:val="00D2080C"/>
    <w:rsid w:val="00D2090F"/>
    <w:rsid w:val="00D2146F"/>
    <w:rsid w:val="00D220B1"/>
    <w:rsid w:val="00D22344"/>
    <w:rsid w:val="00D22501"/>
    <w:rsid w:val="00D24DAD"/>
    <w:rsid w:val="00D25916"/>
    <w:rsid w:val="00D27623"/>
    <w:rsid w:val="00D27CC6"/>
    <w:rsid w:val="00D31E79"/>
    <w:rsid w:val="00D329E6"/>
    <w:rsid w:val="00D344E7"/>
    <w:rsid w:val="00D346AC"/>
    <w:rsid w:val="00D37972"/>
    <w:rsid w:val="00D37B56"/>
    <w:rsid w:val="00D40084"/>
    <w:rsid w:val="00D40896"/>
    <w:rsid w:val="00D412FC"/>
    <w:rsid w:val="00D41534"/>
    <w:rsid w:val="00D444D1"/>
    <w:rsid w:val="00D451FC"/>
    <w:rsid w:val="00D5430E"/>
    <w:rsid w:val="00D62F2C"/>
    <w:rsid w:val="00D63C48"/>
    <w:rsid w:val="00D64289"/>
    <w:rsid w:val="00D648F2"/>
    <w:rsid w:val="00D652EF"/>
    <w:rsid w:val="00D6667B"/>
    <w:rsid w:val="00D71400"/>
    <w:rsid w:val="00D82A76"/>
    <w:rsid w:val="00D83F68"/>
    <w:rsid w:val="00D85B7F"/>
    <w:rsid w:val="00D90E7F"/>
    <w:rsid w:val="00D95394"/>
    <w:rsid w:val="00D953D2"/>
    <w:rsid w:val="00D96C29"/>
    <w:rsid w:val="00D96D21"/>
    <w:rsid w:val="00D96ED9"/>
    <w:rsid w:val="00D970E7"/>
    <w:rsid w:val="00DA032B"/>
    <w:rsid w:val="00DA0456"/>
    <w:rsid w:val="00DA4381"/>
    <w:rsid w:val="00DA55BB"/>
    <w:rsid w:val="00DA73EE"/>
    <w:rsid w:val="00DB0F2C"/>
    <w:rsid w:val="00DB4772"/>
    <w:rsid w:val="00DC0060"/>
    <w:rsid w:val="00DC0621"/>
    <w:rsid w:val="00DC1743"/>
    <w:rsid w:val="00DC2B98"/>
    <w:rsid w:val="00DC4349"/>
    <w:rsid w:val="00DC4CC9"/>
    <w:rsid w:val="00DC7746"/>
    <w:rsid w:val="00DD08B8"/>
    <w:rsid w:val="00DD3049"/>
    <w:rsid w:val="00DD3B0E"/>
    <w:rsid w:val="00DE30E2"/>
    <w:rsid w:val="00DE3A9A"/>
    <w:rsid w:val="00DE60C8"/>
    <w:rsid w:val="00DE6421"/>
    <w:rsid w:val="00DE78F5"/>
    <w:rsid w:val="00DE7F61"/>
    <w:rsid w:val="00DF16C0"/>
    <w:rsid w:val="00DF1EDE"/>
    <w:rsid w:val="00DF4AC3"/>
    <w:rsid w:val="00DF4C9E"/>
    <w:rsid w:val="00DF548B"/>
    <w:rsid w:val="00DF5682"/>
    <w:rsid w:val="00E0145C"/>
    <w:rsid w:val="00E05FBC"/>
    <w:rsid w:val="00E1094A"/>
    <w:rsid w:val="00E10B7D"/>
    <w:rsid w:val="00E12FE7"/>
    <w:rsid w:val="00E1565D"/>
    <w:rsid w:val="00E22467"/>
    <w:rsid w:val="00E227EA"/>
    <w:rsid w:val="00E2326B"/>
    <w:rsid w:val="00E23660"/>
    <w:rsid w:val="00E2531A"/>
    <w:rsid w:val="00E2761D"/>
    <w:rsid w:val="00E31A1E"/>
    <w:rsid w:val="00E34484"/>
    <w:rsid w:val="00E360DC"/>
    <w:rsid w:val="00E37424"/>
    <w:rsid w:val="00E408FE"/>
    <w:rsid w:val="00E43C5B"/>
    <w:rsid w:val="00E45180"/>
    <w:rsid w:val="00E45305"/>
    <w:rsid w:val="00E45F0C"/>
    <w:rsid w:val="00E46AC9"/>
    <w:rsid w:val="00E522F6"/>
    <w:rsid w:val="00E53DB6"/>
    <w:rsid w:val="00E53F7C"/>
    <w:rsid w:val="00E54FB3"/>
    <w:rsid w:val="00E55904"/>
    <w:rsid w:val="00E55E72"/>
    <w:rsid w:val="00E56889"/>
    <w:rsid w:val="00E57019"/>
    <w:rsid w:val="00E63A17"/>
    <w:rsid w:val="00E63CA2"/>
    <w:rsid w:val="00E640DF"/>
    <w:rsid w:val="00E64A3D"/>
    <w:rsid w:val="00E66614"/>
    <w:rsid w:val="00E67D75"/>
    <w:rsid w:val="00E7280A"/>
    <w:rsid w:val="00E73B7F"/>
    <w:rsid w:val="00E75C0E"/>
    <w:rsid w:val="00E76C65"/>
    <w:rsid w:val="00E809BC"/>
    <w:rsid w:val="00E8269B"/>
    <w:rsid w:val="00E8272A"/>
    <w:rsid w:val="00E91591"/>
    <w:rsid w:val="00E9228A"/>
    <w:rsid w:val="00E930FA"/>
    <w:rsid w:val="00E9363C"/>
    <w:rsid w:val="00E94319"/>
    <w:rsid w:val="00E95D57"/>
    <w:rsid w:val="00EA1256"/>
    <w:rsid w:val="00EA1B29"/>
    <w:rsid w:val="00EA3C11"/>
    <w:rsid w:val="00EA3CAE"/>
    <w:rsid w:val="00EA6189"/>
    <w:rsid w:val="00EA66E6"/>
    <w:rsid w:val="00EB3F20"/>
    <w:rsid w:val="00EB426B"/>
    <w:rsid w:val="00EB4983"/>
    <w:rsid w:val="00EB5E6D"/>
    <w:rsid w:val="00EB7FF2"/>
    <w:rsid w:val="00EC00DC"/>
    <w:rsid w:val="00EC0F46"/>
    <w:rsid w:val="00EC5CD2"/>
    <w:rsid w:val="00EC633F"/>
    <w:rsid w:val="00ED1502"/>
    <w:rsid w:val="00ED159A"/>
    <w:rsid w:val="00ED18E2"/>
    <w:rsid w:val="00ED31A0"/>
    <w:rsid w:val="00ED3794"/>
    <w:rsid w:val="00ED3F0D"/>
    <w:rsid w:val="00ED3F83"/>
    <w:rsid w:val="00ED6130"/>
    <w:rsid w:val="00ED66C3"/>
    <w:rsid w:val="00ED7A62"/>
    <w:rsid w:val="00ED7F76"/>
    <w:rsid w:val="00EE0000"/>
    <w:rsid w:val="00EE04BE"/>
    <w:rsid w:val="00EE3749"/>
    <w:rsid w:val="00EE6D0D"/>
    <w:rsid w:val="00EE72D2"/>
    <w:rsid w:val="00EF19B1"/>
    <w:rsid w:val="00EF27DF"/>
    <w:rsid w:val="00EF3278"/>
    <w:rsid w:val="00EF3998"/>
    <w:rsid w:val="00EF4942"/>
    <w:rsid w:val="00EF52F3"/>
    <w:rsid w:val="00EF718C"/>
    <w:rsid w:val="00F01447"/>
    <w:rsid w:val="00F049EC"/>
    <w:rsid w:val="00F13287"/>
    <w:rsid w:val="00F146D6"/>
    <w:rsid w:val="00F26B4B"/>
    <w:rsid w:val="00F2706C"/>
    <w:rsid w:val="00F275CD"/>
    <w:rsid w:val="00F279AB"/>
    <w:rsid w:val="00F3003F"/>
    <w:rsid w:val="00F304B8"/>
    <w:rsid w:val="00F3094A"/>
    <w:rsid w:val="00F30E35"/>
    <w:rsid w:val="00F32419"/>
    <w:rsid w:val="00F331AB"/>
    <w:rsid w:val="00F33478"/>
    <w:rsid w:val="00F34488"/>
    <w:rsid w:val="00F37711"/>
    <w:rsid w:val="00F40FBF"/>
    <w:rsid w:val="00F416CE"/>
    <w:rsid w:val="00F428A0"/>
    <w:rsid w:val="00F42A46"/>
    <w:rsid w:val="00F46FD3"/>
    <w:rsid w:val="00F47303"/>
    <w:rsid w:val="00F527D8"/>
    <w:rsid w:val="00F531D4"/>
    <w:rsid w:val="00F56314"/>
    <w:rsid w:val="00F56DBA"/>
    <w:rsid w:val="00F57756"/>
    <w:rsid w:val="00F6268E"/>
    <w:rsid w:val="00F63D67"/>
    <w:rsid w:val="00F652AB"/>
    <w:rsid w:val="00F6537B"/>
    <w:rsid w:val="00F661E4"/>
    <w:rsid w:val="00F71066"/>
    <w:rsid w:val="00F72B42"/>
    <w:rsid w:val="00F733F3"/>
    <w:rsid w:val="00F73A39"/>
    <w:rsid w:val="00F73DEF"/>
    <w:rsid w:val="00F75CB8"/>
    <w:rsid w:val="00F75D3A"/>
    <w:rsid w:val="00F76FC2"/>
    <w:rsid w:val="00F80139"/>
    <w:rsid w:val="00F80425"/>
    <w:rsid w:val="00F81870"/>
    <w:rsid w:val="00F87BF2"/>
    <w:rsid w:val="00F87C31"/>
    <w:rsid w:val="00F90A13"/>
    <w:rsid w:val="00F919AE"/>
    <w:rsid w:val="00F9212E"/>
    <w:rsid w:val="00F92D03"/>
    <w:rsid w:val="00F933A5"/>
    <w:rsid w:val="00F94CBC"/>
    <w:rsid w:val="00F9649E"/>
    <w:rsid w:val="00F96D81"/>
    <w:rsid w:val="00FA0329"/>
    <w:rsid w:val="00FA61E8"/>
    <w:rsid w:val="00FA78DE"/>
    <w:rsid w:val="00FA7B46"/>
    <w:rsid w:val="00FB2769"/>
    <w:rsid w:val="00FB4880"/>
    <w:rsid w:val="00FB57DB"/>
    <w:rsid w:val="00FB6384"/>
    <w:rsid w:val="00FB67E8"/>
    <w:rsid w:val="00FC0088"/>
    <w:rsid w:val="00FC06E3"/>
    <w:rsid w:val="00FC22AB"/>
    <w:rsid w:val="00FC4B6B"/>
    <w:rsid w:val="00FC594B"/>
    <w:rsid w:val="00FC695C"/>
    <w:rsid w:val="00FD0DA5"/>
    <w:rsid w:val="00FD1A48"/>
    <w:rsid w:val="00FD7841"/>
    <w:rsid w:val="00FD7BF3"/>
    <w:rsid w:val="00FE04A1"/>
    <w:rsid w:val="00FE08C3"/>
    <w:rsid w:val="00FE126E"/>
    <w:rsid w:val="00FE1A69"/>
    <w:rsid w:val="00FE2431"/>
    <w:rsid w:val="00FE3573"/>
    <w:rsid w:val="00FE3F2C"/>
    <w:rsid w:val="00FE4C58"/>
    <w:rsid w:val="00FE5162"/>
    <w:rsid w:val="00FE616B"/>
    <w:rsid w:val="00FE6746"/>
    <w:rsid w:val="00FF2550"/>
    <w:rsid w:val="00FF2BCE"/>
    <w:rsid w:val="00FF5E6D"/>
    <w:rsid w:val="00FF61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51"/>
    <w:pPr>
      <w:spacing w:before="120" w:line="240" w:lineRule="auto"/>
    </w:pPr>
    <w:rPr>
      <w:sz w:val="24"/>
    </w:rPr>
  </w:style>
  <w:style w:type="paragraph" w:styleId="Heading1">
    <w:name w:val="heading 1"/>
    <w:basedOn w:val="Normal"/>
    <w:next w:val="Normal"/>
    <w:link w:val="Heading1Char"/>
    <w:autoRedefine/>
    <w:uiPriority w:val="1"/>
    <w:qFormat/>
    <w:rsid w:val="0067449D"/>
    <w:pPr>
      <w:keepNext/>
      <w:keepLines/>
      <w:numPr>
        <w:numId w:val="2"/>
      </w:numPr>
      <w:spacing w:before="400" w:after="120"/>
      <w:ind w:left="0" w:hanging="7"/>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449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5"/>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6"/>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7"/>
      </w:numPr>
      <w:spacing w:before="0" w:after="240"/>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TableNotes1">
    <w:name w:val="Table Notes"/>
    <w:basedOn w:val="Normal"/>
    <w:link w:val="TableNotesChar"/>
    <w:uiPriority w:val="6"/>
    <w:qFormat/>
    <w:rsid w:val="0062657D"/>
    <w:pPr>
      <w:spacing w:before="0" w:after="0"/>
    </w:pPr>
    <w:rPr>
      <w:rFonts w:ascii="Arial Narrow" w:eastAsiaTheme="majorEastAsia" w:hAnsi="Arial Narrow" w:cstheme="majorBidi"/>
      <w:sz w:val="16"/>
      <w:lang w:bidi="en-US"/>
    </w:rPr>
  </w:style>
  <w:style w:type="character" w:customStyle="1" w:styleId="TableNotesChar">
    <w:name w:val="Table Notes Char"/>
    <w:basedOn w:val="DefaultParagraphFont"/>
    <w:link w:val="TableNotes1"/>
    <w:uiPriority w:val="6"/>
    <w:rsid w:val="0062657D"/>
    <w:rPr>
      <w:rFonts w:ascii="Arial Narrow" w:eastAsiaTheme="majorEastAsia" w:hAnsi="Arial Narrow" w:cstheme="majorBidi"/>
      <w:sz w:val="16"/>
      <w:lang w:bidi="en-US"/>
    </w:rPr>
  </w:style>
  <w:style w:type="character" w:customStyle="1" w:styleId="TableBold">
    <w:name w:val="Table Bold"/>
    <w:uiPriority w:val="4"/>
    <w:qFormat/>
    <w:rsid w:val="0062657D"/>
    <w:rPr>
      <w:rFonts w:ascii="Arial Narrow" w:hAnsi="Arial Narrow"/>
      <w:b/>
      <w:sz w:val="20"/>
      <w:lang w:val="en-AU"/>
    </w:rPr>
  </w:style>
  <w:style w:type="paragraph" w:customStyle="1" w:styleId="TableLeft">
    <w:name w:val="Table Left"/>
    <w:basedOn w:val="Normal"/>
    <w:link w:val="TableLeftChar"/>
    <w:uiPriority w:val="5"/>
    <w:qFormat/>
    <w:rsid w:val="0062657D"/>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5"/>
    <w:locked/>
    <w:rsid w:val="0062657D"/>
    <w:rPr>
      <w:rFonts w:ascii="Arial Narrow" w:eastAsiaTheme="majorEastAsia" w:hAnsi="Arial Narrow" w:cstheme="majorBidi"/>
      <w:sz w:val="20"/>
      <w:lang w:bidi="en-US"/>
    </w:rPr>
  </w:style>
  <w:style w:type="paragraph" w:customStyle="1" w:styleId="TableBullets">
    <w:name w:val="Table Bullets"/>
    <w:basedOn w:val="TableLeft"/>
    <w:uiPriority w:val="5"/>
    <w:qFormat/>
    <w:rsid w:val="0062657D"/>
    <w:pPr>
      <w:numPr>
        <w:numId w:val="9"/>
      </w:numPr>
    </w:pPr>
  </w:style>
  <w:style w:type="table" w:styleId="LightShading-Accent1">
    <w:name w:val="Light Shading Accent 1"/>
    <w:basedOn w:val="TableNormal"/>
    <w:uiPriority w:val="60"/>
    <w:rsid w:val="0062657D"/>
    <w:pPr>
      <w:spacing w:after="0" w:line="240" w:lineRule="auto"/>
    </w:pPr>
    <w:rPr>
      <w:rFonts w:ascii="Arial" w:eastAsia="SimSun" w:hAnsi="Arial" w:cs="Arial"/>
      <w:color w:val="2E74B5" w:themeColor="accent1" w:themeShade="BF"/>
      <w:sz w:val="21"/>
      <w:lang w:val="nl-NL" w:eastAsia="nl-N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ableCentred">
    <w:name w:val="Table Centred"/>
    <w:basedOn w:val="Normal"/>
    <w:uiPriority w:val="5"/>
    <w:qFormat/>
    <w:rsid w:val="0062657D"/>
    <w:pPr>
      <w:spacing w:before="0" w:after="40"/>
      <w:jc w:val="center"/>
    </w:pPr>
    <w:rPr>
      <w:rFonts w:ascii="Arial Narrow" w:eastAsiaTheme="majorEastAsia" w:hAnsi="Arial Narrow" w:cstheme="majorBidi"/>
      <w:sz w:val="20"/>
      <w:lang w:bidi="en-US"/>
    </w:rPr>
  </w:style>
  <w:style w:type="character" w:customStyle="1" w:styleId="Subscript">
    <w:name w:val="Subscript"/>
    <w:basedOn w:val="DefaultParagraphFont"/>
    <w:uiPriority w:val="1"/>
    <w:qFormat/>
    <w:rsid w:val="0062657D"/>
    <w:rPr>
      <w:rFonts w:ascii="Sabon" w:hAnsi="Sabon"/>
      <w:sz w:val="22"/>
      <w:vertAlign w:val="subscript"/>
    </w:rPr>
  </w:style>
  <w:style w:type="character" w:customStyle="1" w:styleId="Superscript">
    <w:name w:val="Superscript"/>
    <w:basedOn w:val="DefaultParagraphFont"/>
    <w:uiPriority w:val="1"/>
    <w:qFormat/>
    <w:rsid w:val="00D16AE1"/>
    <w:rPr>
      <w:rFonts w:ascii="Sabon" w:hAnsi="Sabon"/>
      <w:sz w:val="22"/>
      <w:vertAlign w:val="superscript"/>
    </w:rPr>
  </w:style>
  <w:style w:type="paragraph" w:styleId="EndnoteText">
    <w:name w:val="endnote text"/>
    <w:basedOn w:val="Normal"/>
    <w:link w:val="EndnoteTextChar"/>
    <w:uiPriority w:val="99"/>
    <w:semiHidden/>
    <w:unhideWhenUsed/>
    <w:rsid w:val="005408EE"/>
    <w:pPr>
      <w:spacing w:before="0" w:after="0"/>
    </w:pPr>
    <w:rPr>
      <w:sz w:val="20"/>
      <w:szCs w:val="20"/>
    </w:rPr>
  </w:style>
  <w:style w:type="character" w:customStyle="1" w:styleId="EndnoteTextChar">
    <w:name w:val="Endnote Text Char"/>
    <w:basedOn w:val="DefaultParagraphFont"/>
    <w:link w:val="EndnoteText"/>
    <w:uiPriority w:val="99"/>
    <w:semiHidden/>
    <w:rsid w:val="005408EE"/>
    <w:rPr>
      <w:sz w:val="20"/>
      <w:szCs w:val="20"/>
    </w:rPr>
  </w:style>
  <w:style w:type="character" w:styleId="EndnoteReference">
    <w:name w:val="endnote reference"/>
    <w:basedOn w:val="DefaultParagraphFont"/>
    <w:uiPriority w:val="99"/>
    <w:semiHidden/>
    <w:unhideWhenUsed/>
    <w:rsid w:val="005408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51"/>
    <w:pPr>
      <w:spacing w:before="120" w:line="240" w:lineRule="auto"/>
    </w:pPr>
    <w:rPr>
      <w:sz w:val="24"/>
    </w:rPr>
  </w:style>
  <w:style w:type="paragraph" w:styleId="Heading1">
    <w:name w:val="heading 1"/>
    <w:basedOn w:val="Normal"/>
    <w:next w:val="Normal"/>
    <w:link w:val="Heading1Char"/>
    <w:autoRedefine/>
    <w:uiPriority w:val="1"/>
    <w:qFormat/>
    <w:rsid w:val="0067449D"/>
    <w:pPr>
      <w:keepNext/>
      <w:keepLines/>
      <w:numPr>
        <w:numId w:val="2"/>
      </w:numPr>
      <w:spacing w:before="400" w:after="120"/>
      <w:ind w:left="0" w:hanging="7"/>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449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5"/>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6"/>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7"/>
      </w:numPr>
      <w:spacing w:before="0" w:after="240"/>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TableNotes1">
    <w:name w:val="Table Notes"/>
    <w:basedOn w:val="Normal"/>
    <w:link w:val="TableNotesChar"/>
    <w:uiPriority w:val="6"/>
    <w:qFormat/>
    <w:rsid w:val="0062657D"/>
    <w:pPr>
      <w:spacing w:before="0" w:after="0"/>
    </w:pPr>
    <w:rPr>
      <w:rFonts w:ascii="Arial Narrow" w:eastAsiaTheme="majorEastAsia" w:hAnsi="Arial Narrow" w:cstheme="majorBidi"/>
      <w:sz w:val="16"/>
      <w:lang w:bidi="en-US"/>
    </w:rPr>
  </w:style>
  <w:style w:type="character" w:customStyle="1" w:styleId="TableNotesChar">
    <w:name w:val="Table Notes Char"/>
    <w:basedOn w:val="DefaultParagraphFont"/>
    <w:link w:val="TableNotes1"/>
    <w:uiPriority w:val="6"/>
    <w:rsid w:val="0062657D"/>
    <w:rPr>
      <w:rFonts w:ascii="Arial Narrow" w:eastAsiaTheme="majorEastAsia" w:hAnsi="Arial Narrow" w:cstheme="majorBidi"/>
      <w:sz w:val="16"/>
      <w:lang w:bidi="en-US"/>
    </w:rPr>
  </w:style>
  <w:style w:type="character" w:customStyle="1" w:styleId="TableBold">
    <w:name w:val="Table Bold"/>
    <w:uiPriority w:val="4"/>
    <w:qFormat/>
    <w:rsid w:val="0062657D"/>
    <w:rPr>
      <w:rFonts w:ascii="Arial Narrow" w:hAnsi="Arial Narrow"/>
      <w:b/>
      <w:sz w:val="20"/>
      <w:lang w:val="en-AU"/>
    </w:rPr>
  </w:style>
  <w:style w:type="paragraph" w:customStyle="1" w:styleId="TableLeft">
    <w:name w:val="Table Left"/>
    <w:basedOn w:val="Normal"/>
    <w:link w:val="TableLeftChar"/>
    <w:uiPriority w:val="5"/>
    <w:qFormat/>
    <w:rsid w:val="0062657D"/>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5"/>
    <w:locked/>
    <w:rsid w:val="0062657D"/>
    <w:rPr>
      <w:rFonts w:ascii="Arial Narrow" w:eastAsiaTheme="majorEastAsia" w:hAnsi="Arial Narrow" w:cstheme="majorBidi"/>
      <w:sz w:val="20"/>
      <w:lang w:bidi="en-US"/>
    </w:rPr>
  </w:style>
  <w:style w:type="paragraph" w:customStyle="1" w:styleId="TableBullets">
    <w:name w:val="Table Bullets"/>
    <w:basedOn w:val="TableLeft"/>
    <w:uiPriority w:val="5"/>
    <w:qFormat/>
    <w:rsid w:val="0062657D"/>
    <w:pPr>
      <w:numPr>
        <w:numId w:val="9"/>
      </w:numPr>
    </w:pPr>
  </w:style>
  <w:style w:type="table" w:styleId="LightShading-Accent1">
    <w:name w:val="Light Shading Accent 1"/>
    <w:basedOn w:val="TableNormal"/>
    <w:uiPriority w:val="60"/>
    <w:rsid w:val="0062657D"/>
    <w:pPr>
      <w:spacing w:after="0" w:line="240" w:lineRule="auto"/>
    </w:pPr>
    <w:rPr>
      <w:rFonts w:ascii="Arial" w:eastAsia="SimSun" w:hAnsi="Arial" w:cs="Arial"/>
      <w:color w:val="2E74B5" w:themeColor="accent1" w:themeShade="BF"/>
      <w:sz w:val="21"/>
      <w:lang w:val="nl-NL" w:eastAsia="nl-N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ableCentred">
    <w:name w:val="Table Centred"/>
    <w:basedOn w:val="Normal"/>
    <w:uiPriority w:val="5"/>
    <w:qFormat/>
    <w:rsid w:val="0062657D"/>
    <w:pPr>
      <w:spacing w:before="0" w:after="40"/>
      <w:jc w:val="center"/>
    </w:pPr>
    <w:rPr>
      <w:rFonts w:ascii="Arial Narrow" w:eastAsiaTheme="majorEastAsia" w:hAnsi="Arial Narrow" w:cstheme="majorBidi"/>
      <w:sz w:val="20"/>
      <w:lang w:bidi="en-US"/>
    </w:rPr>
  </w:style>
  <w:style w:type="character" w:customStyle="1" w:styleId="Subscript">
    <w:name w:val="Subscript"/>
    <w:basedOn w:val="DefaultParagraphFont"/>
    <w:uiPriority w:val="1"/>
    <w:qFormat/>
    <w:rsid w:val="0062657D"/>
    <w:rPr>
      <w:rFonts w:ascii="Sabon" w:hAnsi="Sabon"/>
      <w:sz w:val="22"/>
      <w:vertAlign w:val="subscript"/>
    </w:rPr>
  </w:style>
  <w:style w:type="character" w:customStyle="1" w:styleId="Superscript">
    <w:name w:val="Superscript"/>
    <w:basedOn w:val="DefaultParagraphFont"/>
    <w:uiPriority w:val="1"/>
    <w:qFormat/>
    <w:rsid w:val="00D16AE1"/>
    <w:rPr>
      <w:rFonts w:ascii="Sabon" w:hAnsi="Sabon"/>
      <w:sz w:val="22"/>
      <w:vertAlign w:val="superscript"/>
    </w:rPr>
  </w:style>
  <w:style w:type="paragraph" w:styleId="EndnoteText">
    <w:name w:val="endnote text"/>
    <w:basedOn w:val="Normal"/>
    <w:link w:val="EndnoteTextChar"/>
    <w:uiPriority w:val="99"/>
    <w:semiHidden/>
    <w:unhideWhenUsed/>
    <w:rsid w:val="005408EE"/>
    <w:pPr>
      <w:spacing w:before="0" w:after="0"/>
    </w:pPr>
    <w:rPr>
      <w:sz w:val="20"/>
      <w:szCs w:val="20"/>
    </w:rPr>
  </w:style>
  <w:style w:type="character" w:customStyle="1" w:styleId="EndnoteTextChar">
    <w:name w:val="Endnote Text Char"/>
    <w:basedOn w:val="DefaultParagraphFont"/>
    <w:link w:val="EndnoteText"/>
    <w:uiPriority w:val="99"/>
    <w:semiHidden/>
    <w:rsid w:val="005408EE"/>
    <w:rPr>
      <w:sz w:val="20"/>
      <w:szCs w:val="20"/>
    </w:rPr>
  </w:style>
  <w:style w:type="character" w:styleId="EndnoteReference">
    <w:name w:val="endnote reference"/>
    <w:basedOn w:val="DefaultParagraphFont"/>
    <w:uiPriority w:val="99"/>
    <w:semiHidden/>
    <w:unhideWhenUsed/>
    <w:rsid w:val="00540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43023041">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627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EEE3-E099-4AF0-9688-8FC306F7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10854</Words>
  <Characters>61870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2018-02-20T04:48:00Z</dcterms:created>
  <dcterms:modified xsi:type="dcterms:W3CDTF">2018-02-20T04:48:00Z</dcterms:modified>
</cp:coreProperties>
</file>