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A03EB8" w:rsidRDefault="00695134" w:rsidP="00625BD2">
      <w:pPr>
        <w:ind w:left="992" w:hanging="992"/>
        <w:outlineLvl w:val="0"/>
        <w:rPr>
          <w:b/>
          <w:sz w:val="36"/>
          <w:szCs w:val="36"/>
        </w:rPr>
      </w:pPr>
      <w:bookmarkStart w:id="0" w:name="_GoBack"/>
      <w:bookmarkEnd w:id="0"/>
      <w:r w:rsidRPr="00A03EB8">
        <w:rPr>
          <w:b/>
          <w:sz w:val="36"/>
          <w:szCs w:val="36"/>
        </w:rPr>
        <w:t>5</w:t>
      </w:r>
      <w:r w:rsidR="00C317F3" w:rsidRPr="00A03EB8">
        <w:rPr>
          <w:b/>
          <w:sz w:val="36"/>
          <w:szCs w:val="36"/>
        </w:rPr>
        <w:t>.</w:t>
      </w:r>
      <w:r w:rsidRPr="00A03EB8">
        <w:rPr>
          <w:b/>
          <w:sz w:val="36"/>
          <w:szCs w:val="36"/>
        </w:rPr>
        <w:t>11</w:t>
      </w:r>
      <w:r w:rsidR="00C317F3" w:rsidRPr="00A03EB8">
        <w:rPr>
          <w:b/>
          <w:sz w:val="36"/>
          <w:szCs w:val="36"/>
        </w:rPr>
        <w:tab/>
      </w:r>
      <w:r w:rsidR="00C61B13" w:rsidRPr="00A03EB8">
        <w:rPr>
          <w:b/>
          <w:sz w:val="36"/>
          <w:szCs w:val="36"/>
        </w:rPr>
        <w:t>NUSINERSEN</w:t>
      </w:r>
      <w:r w:rsidR="00C317F3" w:rsidRPr="00A03EB8">
        <w:rPr>
          <w:b/>
          <w:sz w:val="36"/>
          <w:szCs w:val="36"/>
        </w:rPr>
        <w:t>,</w:t>
      </w:r>
      <w:r w:rsidR="009D4C2A" w:rsidRPr="00A03EB8">
        <w:rPr>
          <w:b/>
          <w:sz w:val="36"/>
          <w:szCs w:val="36"/>
        </w:rPr>
        <w:br/>
      </w:r>
      <w:r w:rsidR="00C61B13" w:rsidRPr="00A03EB8">
        <w:rPr>
          <w:b/>
          <w:sz w:val="36"/>
          <w:szCs w:val="36"/>
        </w:rPr>
        <w:t>12mg/5mL injection</w:t>
      </w:r>
      <w:r w:rsidR="00C317F3" w:rsidRPr="00A03EB8">
        <w:rPr>
          <w:b/>
          <w:sz w:val="36"/>
          <w:szCs w:val="36"/>
        </w:rPr>
        <w:t xml:space="preserve">, </w:t>
      </w:r>
      <w:r w:rsidR="009D4C2A" w:rsidRPr="00A03EB8">
        <w:rPr>
          <w:b/>
          <w:sz w:val="36"/>
          <w:szCs w:val="36"/>
        </w:rPr>
        <w:br/>
      </w:r>
      <w:r w:rsidR="00C61B13" w:rsidRPr="00A03EB8">
        <w:rPr>
          <w:b/>
          <w:sz w:val="36"/>
          <w:szCs w:val="36"/>
        </w:rPr>
        <w:t>Spinraza</w:t>
      </w:r>
      <w:r w:rsidR="00C317F3" w:rsidRPr="00A03EB8">
        <w:rPr>
          <w:b/>
          <w:sz w:val="36"/>
          <w:szCs w:val="36"/>
        </w:rPr>
        <w:t xml:space="preserve">®, </w:t>
      </w:r>
      <w:r w:rsidR="00C61B13" w:rsidRPr="00A03EB8">
        <w:rPr>
          <w:b/>
          <w:sz w:val="36"/>
          <w:szCs w:val="36"/>
        </w:rPr>
        <w:t>Biogen Australia Pty Ltd</w:t>
      </w:r>
    </w:p>
    <w:p w:rsidR="001334D8" w:rsidRPr="00A03EB8" w:rsidRDefault="001334D8" w:rsidP="001334D8">
      <w:pPr>
        <w:pStyle w:val="Heading1"/>
        <w:ind w:left="709" w:hanging="709"/>
      </w:pPr>
      <w:bookmarkStart w:id="1" w:name="_Toc413139271"/>
      <w:bookmarkStart w:id="2" w:name="_Toc490533765"/>
      <w:r w:rsidRPr="00A03EB8">
        <w:t>Purpose of application</w:t>
      </w:r>
      <w:bookmarkEnd w:id="1"/>
      <w:bookmarkEnd w:id="2"/>
    </w:p>
    <w:p w:rsidR="001334D8" w:rsidRPr="00A03EB8" w:rsidRDefault="001334D8" w:rsidP="001334D8">
      <w:pPr>
        <w:pStyle w:val="ListParagraph"/>
        <w:numPr>
          <w:ilvl w:val="1"/>
          <w:numId w:val="6"/>
        </w:numPr>
        <w:spacing w:before="0" w:after="120"/>
        <w:jc w:val="both"/>
      </w:pPr>
      <w:r w:rsidRPr="00A03EB8">
        <w:t>Authority Required listing for nusinersen for treatment of infantile-onset</w:t>
      </w:r>
      <w:r w:rsidR="007C3786" w:rsidRPr="00A03EB8">
        <w:t xml:space="preserve"> (Type I)</w:t>
      </w:r>
      <w:r w:rsidRPr="00A03EB8">
        <w:t xml:space="preserve"> and childhood-onset</w:t>
      </w:r>
      <w:r w:rsidR="007C3786" w:rsidRPr="00A03EB8">
        <w:t xml:space="preserve"> (Type</w:t>
      </w:r>
      <w:r w:rsidR="001B57DA" w:rsidRPr="00A03EB8">
        <w:t>s</w:t>
      </w:r>
      <w:r w:rsidR="007C3786" w:rsidRPr="00A03EB8">
        <w:t xml:space="preserve"> II &amp; Type III)</w:t>
      </w:r>
      <w:r w:rsidRPr="00A03EB8">
        <w:t xml:space="preserve"> spinal muscular atrophy (SMA). This was the first application to the PBAC for nusinersen.</w:t>
      </w:r>
    </w:p>
    <w:p w:rsidR="001334D8" w:rsidRPr="00A03EB8" w:rsidRDefault="001334D8" w:rsidP="001334D8">
      <w:pPr>
        <w:pStyle w:val="ListParagraph"/>
        <w:numPr>
          <w:ilvl w:val="1"/>
          <w:numId w:val="6"/>
        </w:numPr>
        <w:spacing w:before="0" w:after="120"/>
        <w:jc w:val="both"/>
      </w:pPr>
      <w:r w:rsidRPr="00A03EB8">
        <w:t xml:space="preserve">The requested basis for listing was a cost-effectiveness analysis of nusinersen and continuation of standard care compared with placebo and continuation of standard care. </w:t>
      </w:r>
    </w:p>
    <w:p w:rsidR="007A3413" w:rsidRPr="00A03EB8" w:rsidRDefault="001334D8" w:rsidP="00352D6A">
      <w:pPr>
        <w:spacing w:before="0" w:line="259" w:lineRule="auto"/>
        <w:rPr>
          <w:rFonts w:ascii="Arial Narrow" w:hAnsi="Arial Narrow"/>
          <w:sz w:val="18"/>
          <w:szCs w:val="18"/>
        </w:rPr>
      </w:pPr>
      <w:r w:rsidRPr="00A03EB8">
        <w:rPr>
          <w:rFonts w:ascii="Arial Narrow" w:hAnsi="Arial Narrow"/>
          <w:b/>
          <w:sz w:val="20"/>
          <w:szCs w:val="20"/>
        </w:rPr>
        <w:t>Table 1: Key components of the clinical issue addressed by the submission</w:t>
      </w:r>
      <w:r w:rsidRPr="00A03EB8">
        <w:rPr>
          <w:b/>
        </w:rPr>
        <w:t xml:space="preserve"> </w:t>
      </w:r>
      <w:bookmarkStart w:id="3" w:name="_Toc4131392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9"/>
        <w:gridCol w:w="7373"/>
      </w:tblGrid>
      <w:tr w:rsidR="007A3413" w:rsidRPr="00A03EB8" w:rsidTr="00880BEE">
        <w:trPr>
          <w:cantSplit/>
          <w:tblHeader/>
        </w:trPr>
        <w:tc>
          <w:tcPr>
            <w:tcW w:w="941" w:type="pct"/>
            <w:shd w:val="clear" w:color="auto" w:fill="auto"/>
          </w:tcPr>
          <w:p w:rsidR="007A3413" w:rsidRPr="00A03EB8" w:rsidRDefault="007A3413" w:rsidP="007A3413">
            <w:pPr>
              <w:keepNext/>
              <w:spacing w:before="40" w:after="40"/>
              <w:rPr>
                <w:rFonts w:ascii="Arial Narrow" w:hAnsi="Arial Narrow"/>
                <w:sz w:val="20"/>
              </w:rPr>
            </w:pPr>
            <w:r w:rsidRPr="00A03EB8">
              <w:rPr>
                <w:rFonts w:ascii="Arial Narrow" w:hAnsi="Arial Narrow"/>
                <w:b/>
                <w:sz w:val="20"/>
              </w:rPr>
              <w:t>Component</w:t>
            </w:r>
          </w:p>
        </w:tc>
        <w:tc>
          <w:tcPr>
            <w:tcW w:w="4059" w:type="pct"/>
            <w:shd w:val="clear" w:color="auto" w:fill="auto"/>
          </w:tcPr>
          <w:p w:rsidR="007A3413" w:rsidRPr="00A03EB8" w:rsidRDefault="007A3413" w:rsidP="007A3413">
            <w:pPr>
              <w:keepNext/>
              <w:spacing w:before="40" w:after="40"/>
              <w:rPr>
                <w:rFonts w:ascii="Arial Narrow" w:hAnsi="Arial Narrow"/>
                <w:sz w:val="20"/>
              </w:rPr>
            </w:pPr>
            <w:r w:rsidRPr="00A03EB8">
              <w:rPr>
                <w:rFonts w:ascii="Arial Narrow" w:hAnsi="Arial Narrow"/>
                <w:b/>
                <w:sz w:val="20"/>
              </w:rPr>
              <w:t>Description</w:t>
            </w:r>
          </w:p>
        </w:tc>
      </w:tr>
      <w:tr w:rsidR="007A3413" w:rsidRPr="00A03EB8" w:rsidTr="00880BEE">
        <w:trPr>
          <w:cantSplit/>
        </w:trPr>
        <w:tc>
          <w:tcPr>
            <w:tcW w:w="941" w:type="pct"/>
            <w:shd w:val="clear" w:color="auto" w:fill="auto"/>
          </w:tcPr>
          <w:p w:rsidR="007A3413" w:rsidRPr="00A03EB8" w:rsidRDefault="007A3413" w:rsidP="007A3413">
            <w:pPr>
              <w:keepNext/>
              <w:spacing w:before="40" w:after="40"/>
              <w:rPr>
                <w:rFonts w:ascii="Arial Narrow" w:hAnsi="Arial Narrow"/>
                <w:sz w:val="20"/>
              </w:rPr>
            </w:pPr>
            <w:r w:rsidRPr="00A03EB8">
              <w:rPr>
                <w:rFonts w:ascii="Arial Narrow" w:hAnsi="Arial Narrow"/>
                <w:sz w:val="20"/>
              </w:rPr>
              <w:t>Population</w:t>
            </w:r>
          </w:p>
        </w:tc>
        <w:tc>
          <w:tcPr>
            <w:tcW w:w="4059" w:type="pct"/>
            <w:shd w:val="clear" w:color="auto" w:fill="auto"/>
          </w:tcPr>
          <w:p w:rsidR="007A3413" w:rsidRPr="00A03EB8" w:rsidRDefault="007A3413" w:rsidP="005D071D">
            <w:pPr>
              <w:keepNext/>
              <w:spacing w:before="40" w:after="40"/>
              <w:rPr>
                <w:rFonts w:ascii="Times" w:eastAsia="Times New Roman" w:hAnsi="Times" w:cs="Times New Roman"/>
                <w:sz w:val="20"/>
              </w:rPr>
            </w:pPr>
            <w:r w:rsidRPr="00A03EB8">
              <w:rPr>
                <w:rFonts w:ascii="Arial Narrow" w:hAnsi="Arial Narrow"/>
                <w:sz w:val="20"/>
              </w:rPr>
              <w:t xml:space="preserve">Patients with infantile-onset and childhood-onset SMA (see Table </w:t>
            </w:r>
            <w:r w:rsidR="005D071D" w:rsidRPr="00A03EB8">
              <w:rPr>
                <w:rFonts w:ascii="Arial Narrow" w:hAnsi="Arial Narrow"/>
                <w:sz w:val="20"/>
              </w:rPr>
              <w:t>3</w:t>
            </w:r>
            <w:r w:rsidRPr="00A03EB8">
              <w:rPr>
                <w:rFonts w:ascii="Arial Narrow" w:hAnsi="Arial Narrow"/>
                <w:sz w:val="20"/>
              </w:rPr>
              <w:t xml:space="preserve"> below for definitions of onset).</w:t>
            </w:r>
          </w:p>
        </w:tc>
      </w:tr>
      <w:tr w:rsidR="007A3413" w:rsidRPr="00A03EB8" w:rsidTr="00880BEE">
        <w:trPr>
          <w:cantSplit/>
        </w:trPr>
        <w:tc>
          <w:tcPr>
            <w:tcW w:w="941" w:type="pct"/>
            <w:shd w:val="clear" w:color="auto" w:fill="auto"/>
          </w:tcPr>
          <w:p w:rsidR="007A3413" w:rsidRPr="00A03EB8" w:rsidRDefault="007A3413" w:rsidP="007A3413">
            <w:pPr>
              <w:keepNext/>
              <w:spacing w:before="40" w:after="40"/>
              <w:rPr>
                <w:rFonts w:ascii="Times" w:eastAsia="Times New Roman" w:hAnsi="Times" w:cs="Times New Roman"/>
                <w:sz w:val="20"/>
              </w:rPr>
            </w:pPr>
            <w:r w:rsidRPr="00A03EB8">
              <w:rPr>
                <w:rFonts w:ascii="Arial Narrow" w:hAnsi="Arial Narrow"/>
                <w:sz w:val="20"/>
              </w:rPr>
              <w:t>Intervention</w:t>
            </w:r>
          </w:p>
        </w:tc>
        <w:tc>
          <w:tcPr>
            <w:tcW w:w="4059" w:type="pct"/>
            <w:shd w:val="clear" w:color="auto" w:fill="auto"/>
          </w:tcPr>
          <w:p w:rsidR="007A3413" w:rsidRPr="00A03EB8" w:rsidRDefault="007A3413" w:rsidP="00312A32">
            <w:pPr>
              <w:keepNext/>
              <w:spacing w:before="40" w:after="40"/>
              <w:rPr>
                <w:rFonts w:ascii="Times" w:eastAsia="Times New Roman" w:hAnsi="Times" w:cs="Times New Roman"/>
                <w:sz w:val="20"/>
              </w:rPr>
            </w:pPr>
            <w:r w:rsidRPr="00A03EB8">
              <w:rPr>
                <w:rFonts w:ascii="Arial Narrow" w:hAnsi="Arial Narrow"/>
                <w:sz w:val="20"/>
              </w:rPr>
              <w:t xml:space="preserve">Nusinersen administered at a dose of 12mg via intrathecal injection with four loading doses and two maintenance doses in year 1 and three doses per year thereafter </w:t>
            </w:r>
          </w:p>
        </w:tc>
      </w:tr>
      <w:tr w:rsidR="007A3413" w:rsidRPr="00A03EB8" w:rsidTr="00880BEE">
        <w:trPr>
          <w:cantSplit/>
        </w:trPr>
        <w:tc>
          <w:tcPr>
            <w:tcW w:w="941" w:type="pct"/>
            <w:shd w:val="clear" w:color="auto" w:fill="auto"/>
          </w:tcPr>
          <w:p w:rsidR="007A3413" w:rsidRPr="00A03EB8" w:rsidRDefault="007A3413" w:rsidP="007A3413">
            <w:pPr>
              <w:keepNext/>
              <w:spacing w:before="40" w:after="40"/>
              <w:rPr>
                <w:rFonts w:ascii="Times" w:eastAsia="Times New Roman" w:hAnsi="Times" w:cs="Times New Roman"/>
                <w:sz w:val="20"/>
              </w:rPr>
            </w:pPr>
            <w:r w:rsidRPr="00A03EB8">
              <w:rPr>
                <w:rFonts w:ascii="Arial Narrow" w:hAnsi="Arial Narrow"/>
                <w:sz w:val="20"/>
              </w:rPr>
              <w:t>Comparator</w:t>
            </w:r>
          </w:p>
        </w:tc>
        <w:tc>
          <w:tcPr>
            <w:tcW w:w="4059" w:type="pct"/>
            <w:shd w:val="clear" w:color="auto" w:fill="auto"/>
          </w:tcPr>
          <w:p w:rsidR="007A3413" w:rsidRPr="00A03EB8" w:rsidRDefault="007A3413" w:rsidP="007A3413">
            <w:pPr>
              <w:keepNext/>
              <w:spacing w:before="40" w:after="40"/>
              <w:rPr>
                <w:rFonts w:ascii="Times" w:eastAsia="Times New Roman" w:hAnsi="Times" w:cs="Times New Roman"/>
                <w:sz w:val="20"/>
              </w:rPr>
            </w:pPr>
            <w:r w:rsidRPr="00A03EB8">
              <w:rPr>
                <w:rFonts w:ascii="Arial Narrow" w:hAnsi="Arial Narrow"/>
                <w:sz w:val="20"/>
              </w:rPr>
              <w:t>Placebo (for no treatment) when used in conjunction with standard of care.</w:t>
            </w:r>
          </w:p>
        </w:tc>
      </w:tr>
      <w:tr w:rsidR="007A3413" w:rsidRPr="00A03EB8" w:rsidTr="00880BEE">
        <w:trPr>
          <w:cantSplit/>
        </w:trPr>
        <w:tc>
          <w:tcPr>
            <w:tcW w:w="941" w:type="pct"/>
            <w:shd w:val="clear" w:color="auto" w:fill="auto"/>
          </w:tcPr>
          <w:p w:rsidR="007A3413" w:rsidRPr="00A03EB8" w:rsidRDefault="007A3413" w:rsidP="007A3413">
            <w:pPr>
              <w:keepNext/>
              <w:spacing w:before="40" w:after="40"/>
              <w:rPr>
                <w:rFonts w:ascii="Times" w:eastAsia="Times New Roman" w:hAnsi="Times" w:cs="Times New Roman"/>
                <w:sz w:val="20"/>
              </w:rPr>
            </w:pPr>
            <w:r w:rsidRPr="00A03EB8">
              <w:rPr>
                <w:rFonts w:ascii="Arial Narrow" w:hAnsi="Arial Narrow"/>
                <w:sz w:val="20"/>
              </w:rPr>
              <w:t>Outcomes</w:t>
            </w:r>
          </w:p>
        </w:tc>
        <w:tc>
          <w:tcPr>
            <w:tcW w:w="4059" w:type="pct"/>
            <w:shd w:val="clear" w:color="auto" w:fill="auto"/>
          </w:tcPr>
          <w:p w:rsidR="007A3413" w:rsidRPr="00A03EB8" w:rsidRDefault="007A3413" w:rsidP="007A3413">
            <w:pPr>
              <w:keepNext/>
              <w:spacing w:before="40" w:after="40"/>
              <w:rPr>
                <w:rFonts w:ascii="Arial Narrow" w:hAnsi="Arial Narrow"/>
                <w:sz w:val="20"/>
              </w:rPr>
            </w:pPr>
            <w:r w:rsidRPr="00A03EB8">
              <w:rPr>
                <w:rFonts w:ascii="Arial Narrow" w:hAnsi="Arial Narrow"/>
                <w:sz w:val="20"/>
              </w:rPr>
              <w:t>Infantile-onset (Type I): Percentage of motor milestone responders; event-free survival</w:t>
            </w:r>
          </w:p>
          <w:p w:rsidR="007A3413" w:rsidRPr="00A03EB8" w:rsidRDefault="007A3413" w:rsidP="007A3413">
            <w:pPr>
              <w:keepNext/>
              <w:spacing w:before="40" w:after="40"/>
              <w:rPr>
                <w:rFonts w:ascii="Times" w:eastAsia="Times New Roman" w:hAnsi="Times" w:cs="Times New Roman"/>
                <w:sz w:val="20"/>
              </w:rPr>
            </w:pPr>
            <w:r w:rsidRPr="00A03EB8">
              <w:rPr>
                <w:rFonts w:ascii="Arial Narrow" w:hAnsi="Arial Narrow"/>
                <w:sz w:val="20"/>
              </w:rPr>
              <w:t>Childhood-onset (Type II and III): Change from baseline in HFMSE score (Type II and III).</w:t>
            </w:r>
          </w:p>
        </w:tc>
      </w:tr>
      <w:tr w:rsidR="007A3413" w:rsidRPr="00A03EB8" w:rsidTr="00880BEE">
        <w:trPr>
          <w:cantSplit/>
        </w:trPr>
        <w:tc>
          <w:tcPr>
            <w:tcW w:w="941" w:type="pct"/>
            <w:shd w:val="clear" w:color="auto" w:fill="auto"/>
          </w:tcPr>
          <w:p w:rsidR="007A3413" w:rsidRPr="00A03EB8" w:rsidRDefault="007A3413" w:rsidP="007A3413">
            <w:pPr>
              <w:keepNext/>
              <w:spacing w:before="40" w:after="40"/>
              <w:rPr>
                <w:rFonts w:ascii="Times" w:eastAsia="Times New Roman" w:hAnsi="Times" w:cs="Times New Roman"/>
                <w:sz w:val="20"/>
              </w:rPr>
            </w:pPr>
            <w:r w:rsidRPr="00A03EB8">
              <w:rPr>
                <w:rFonts w:ascii="Arial Narrow" w:hAnsi="Arial Narrow"/>
                <w:sz w:val="20"/>
              </w:rPr>
              <w:t>Clinical claim</w:t>
            </w:r>
          </w:p>
        </w:tc>
        <w:tc>
          <w:tcPr>
            <w:tcW w:w="4059" w:type="pct"/>
            <w:shd w:val="clear" w:color="auto" w:fill="auto"/>
          </w:tcPr>
          <w:p w:rsidR="007A3413" w:rsidRPr="00A03EB8" w:rsidRDefault="007A3413" w:rsidP="007A3413">
            <w:pPr>
              <w:keepNext/>
              <w:spacing w:before="40" w:after="40"/>
              <w:rPr>
                <w:rFonts w:ascii="Times" w:eastAsia="Times New Roman" w:hAnsi="Times" w:cs="Times New Roman"/>
                <w:sz w:val="20"/>
              </w:rPr>
            </w:pPr>
            <w:r w:rsidRPr="00A03EB8">
              <w:rPr>
                <w:rFonts w:ascii="Arial Narrow" w:hAnsi="Arial Narrow"/>
                <w:sz w:val="20"/>
              </w:rPr>
              <w:t>In patients with infantile- and childhood-onset SMA, nusinersen is superior in terms of comparative clinical effectiveness and no worse in terms of comparative safety, compared to placebo (no treatment).</w:t>
            </w:r>
          </w:p>
        </w:tc>
      </w:tr>
    </w:tbl>
    <w:p w:rsidR="007A3413" w:rsidRPr="00A03EB8" w:rsidRDefault="007A3413" w:rsidP="007A3413">
      <w:pPr>
        <w:widowControl w:val="0"/>
        <w:spacing w:before="0" w:after="0"/>
        <w:rPr>
          <w:rFonts w:ascii="Arial Narrow" w:eastAsia="Times New Roman" w:hAnsi="Arial Narrow" w:cs="Arial"/>
          <w:snapToGrid w:val="0"/>
          <w:sz w:val="18"/>
          <w:szCs w:val="18"/>
        </w:rPr>
      </w:pPr>
      <w:r w:rsidRPr="00A03EB8">
        <w:rPr>
          <w:rFonts w:ascii="Arial Narrow" w:eastAsia="Times New Roman" w:hAnsi="Arial Narrow" w:cs="Arial"/>
          <w:snapToGrid w:val="0"/>
          <w:sz w:val="18"/>
          <w:szCs w:val="18"/>
        </w:rPr>
        <w:t>Source: Table 1.1.2, pp9-10 of the submission</w:t>
      </w:r>
    </w:p>
    <w:p w:rsidR="007A3413" w:rsidRPr="00A03EB8" w:rsidRDefault="007A3413" w:rsidP="007A3413">
      <w:pPr>
        <w:widowControl w:val="0"/>
        <w:spacing w:before="0" w:after="0"/>
        <w:rPr>
          <w:rFonts w:ascii="Arial Narrow" w:eastAsia="Times New Roman" w:hAnsi="Arial Narrow" w:cs="Arial"/>
          <w:snapToGrid w:val="0"/>
          <w:sz w:val="18"/>
          <w:szCs w:val="18"/>
        </w:rPr>
      </w:pPr>
      <w:r w:rsidRPr="00A03EB8">
        <w:rPr>
          <w:rFonts w:ascii="Arial Narrow" w:eastAsia="Times New Roman" w:hAnsi="Arial Narrow" w:cs="Arial"/>
          <w:snapToGrid w:val="0"/>
          <w:sz w:val="18"/>
          <w:szCs w:val="18"/>
        </w:rPr>
        <w:t>SMA = spinal muscular atrophy; HFMSE = Hammersmith Infant Neurological Examination</w:t>
      </w:r>
    </w:p>
    <w:p w:rsidR="001334D8" w:rsidRPr="00A03EB8" w:rsidRDefault="001334D8" w:rsidP="005D071D">
      <w:pPr>
        <w:pStyle w:val="Heading1"/>
        <w:ind w:left="709" w:hanging="709"/>
      </w:pPr>
      <w:bookmarkStart w:id="4" w:name="_Toc490533766"/>
      <w:r w:rsidRPr="00A03EB8">
        <w:t>Requested listing</w:t>
      </w:r>
      <w:bookmarkEnd w:id="3"/>
      <w:bookmarkEnd w:id="4"/>
      <w:r w:rsidRPr="00A03EB8">
        <w:t xml:space="preserve"> </w:t>
      </w:r>
    </w:p>
    <w:p w:rsidR="00996D48" w:rsidRPr="00A03EB8" w:rsidRDefault="00996D48" w:rsidP="00996D48">
      <w:pPr>
        <w:pStyle w:val="TableHeader"/>
        <w:spacing w:after="60"/>
      </w:pPr>
      <w:r w:rsidRPr="00A03EB8">
        <w:t>Table 2: Essential elements of the requested listing</w:t>
      </w:r>
    </w:p>
    <w:tbl>
      <w:tblPr>
        <w:tblStyle w:val="PlainTable21"/>
        <w:tblW w:w="9236" w:type="dxa"/>
        <w:tblLayout w:type="fixed"/>
        <w:tblCellMar>
          <w:left w:w="28" w:type="dxa"/>
          <w:right w:w="28" w:type="dxa"/>
        </w:tblCellMar>
        <w:tblLook w:val="04A0" w:firstRow="1" w:lastRow="0" w:firstColumn="1" w:lastColumn="0" w:noHBand="0" w:noVBand="1"/>
        <w:tblCaption w:val="Table 2: Essential elements of the requested listing"/>
      </w:tblPr>
      <w:tblGrid>
        <w:gridCol w:w="2835"/>
        <w:gridCol w:w="993"/>
        <w:gridCol w:w="1134"/>
        <w:gridCol w:w="794"/>
        <w:gridCol w:w="1899"/>
        <w:gridCol w:w="1581"/>
      </w:tblGrid>
      <w:tr w:rsidR="005D071D" w:rsidRPr="00A03EB8" w:rsidTr="00625B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rsidR="005D071D" w:rsidRPr="00A03EB8" w:rsidRDefault="005D071D" w:rsidP="0084396C">
            <w:pPr>
              <w:pStyle w:val="Tabletext0"/>
              <w:rPr>
                <w:b w:val="0"/>
                <w:bCs w:val="0"/>
              </w:rPr>
            </w:pPr>
            <w:r w:rsidRPr="00A03EB8">
              <w:t>Name, restriction, manner of administration, form</w:t>
            </w:r>
          </w:p>
        </w:tc>
        <w:tc>
          <w:tcPr>
            <w:tcW w:w="993" w:type="dxa"/>
            <w:vAlign w:val="center"/>
          </w:tcPr>
          <w:p w:rsidR="005D071D" w:rsidRPr="00A03EB8" w:rsidRDefault="005D071D" w:rsidP="0084396C">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A03EB8">
              <w:t>Maximum quantity (packs)</w:t>
            </w:r>
          </w:p>
        </w:tc>
        <w:tc>
          <w:tcPr>
            <w:tcW w:w="1134" w:type="dxa"/>
            <w:vAlign w:val="center"/>
          </w:tcPr>
          <w:p w:rsidR="005D071D" w:rsidRPr="00A03EB8" w:rsidRDefault="005D071D" w:rsidP="0084396C">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A03EB8">
              <w:t>Maximum quantity (units)</w:t>
            </w:r>
          </w:p>
        </w:tc>
        <w:tc>
          <w:tcPr>
            <w:tcW w:w="794" w:type="dxa"/>
            <w:vAlign w:val="center"/>
          </w:tcPr>
          <w:p w:rsidR="005D071D" w:rsidRPr="00A03EB8" w:rsidRDefault="005D071D" w:rsidP="0084396C">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A03EB8">
              <w:t>No. of repeats</w:t>
            </w:r>
          </w:p>
        </w:tc>
        <w:tc>
          <w:tcPr>
            <w:tcW w:w="1899" w:type="dxa"/>
            <w:vAlign w:val="center"/>
          </w:tcPr>
          <w:p w:rsidR="005D071D" w:rsidRPr="00A03EB8" w:rsidRDefault="005D071D" w:rsidP="0084396C">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A03EB8">
              <w:t>Dispensed price for maximum quantity</w:t>
            </w:r>
          </w:p>
        </w:tc>
        <w:tc>
          <w:tcPr>
            <w:tcW w:w="1581" w:type="dxa"/>
            <w:vAlign w:val="center"/>
          </w:tcPr>
          <w:p w:rsidR="005D071D" w:rsidRPr="00A03EB8" w:rsidRDefault="005D071D" w:rsidP="0084396C">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A03EB8">
              <w:t>Proprietary name and manufacturer</w:t>
            </w:r>
          </w:p>
        </w:tc>
      </w:tr>
      <w:tr w:rsidR="005D071D" w:rsidRPr="00A03EB8" w:rsidTr="00843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5D071D" w:rsidRPr="00A03EB8" w:rsidRDefault="005D071D" w:rsidP="0084396C">
            <w:pPr>
              <w:pStyle w:val="Tabletext0"/>
              <w:rPr>
                <w:b w:val="0"/>
              </w:rPr>
            </w:pPr>
            <w:r w:rsidRPr="00A03EB8">
              <w:t>NUSINERSEN</w:t>
            </w:r>
          </w:p>
          <w:p w:rsidR="005D071D" w:rsidRPr="00A03EB8" w:rsidRDefault="005D071D" w:rsidP="0084396C">
            <w:pPr>
              <w:pStyle w:val="Tabletext0"/>
              <w:rPr>
                <w:b w:val="0"/>
              </w:rPr>
            </w:pPr>
            <w:r w:rsidRPr="00A03EB8">
              <w:t>Initial treatment</w:t>
            </w:r>
          </w:p>
          <w:p w:rsidR="005D071D" w:rsidRPr="00A03EB8" w:rsidRDefault="005D071D" w:rsidP="0084396C">
            <w:pPr>
              <w:pStyle w:val="Tabletext0"/>
              <w:rPr>
                <w:b w:val="0"/>
              </w:rPr>
            </w:pPr>
            <w:r w:rsidRPr="00A03EB8">
              <w:t>12mg/5mL injection, 1 x 5mL vial</w:t>
            </w:r>
          </w:p>
          <w:p w:rsidR="005D071D" w:rsidRPr="00A03EB8" w:rsidRDefault="005D071D" w:rsidP="0084396C">
            <w:pPr>
              <w:pStyle w:val="Tabletext0"/>
              <w:rPr>
                <w:b w:val="0"/>
              </w:rPr>
            </w:pPr>
            <w:r w:rsidRPr="00A03EB8">
              <w:t>Continuing treatment</w:t>
            </w:r>
          </w:p>
          <w:p w:rsidR="005D071D" w:rsidRPr="00A03EB8" w:rsidRDefault="005D071D" w:rsidP="000B001C">
            <w:pPr>
              <w:pStyle w:val="Tabletext0"/>
              <w:rPr>
                <w:b w:val="0"/>
              </w:rPr>
            </w:pPr>
            <w:r w:rsidRPr="00A03EB8">
              <w:t>12mg/5mL injection, 1 x 5mL vial</w:t>
            </w:r>
          </w:p>
        </w:tc>
        <w:tc>
          <w:tcPr>
            <w:tcW w:w="993" w:type="dxa"/>
          </w:tcPr>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r w:rsidRPr="00A03EB8">
              <w:t>1</w:t>
            </w: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r w:rsidRPr="00A03EB8">
              <w:t>1</w:t>
            </w:r>
          </w:p>
        </w:tc>
        <w:tc>
          <w:tcPr>
            <w:tcW w:w="1134" w:type="dxa"/>
          </w:tcPr>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r w:rsidRPr="00A03EB8">
              <w:t>1</w:t>
            </w: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r w:rsidRPr="00A03EB8">
              <w:t>1</w:t>
            </w:r>
          </w:p>
        </w:tc>
        <w:tc>
          <w:tcPr>
            <w:tcW w:w="794" w:type="dxa"/>
          </w:tcPr>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r w:rsidRPr="00A03EB8">
              <w:t>3</w:t>
            </w: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r w:rsidRPr="00A03EB8">
              <w:t>2</w:t>
            </w:r>
          </w:p>
        </w:tc>
        <w:tc>
          <w:tcPr>
            <w:tcW w:w="1899" w:type="dxa"/>
          </w:tcPr>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r w:rsidRPr="00A03EB8">
              <w:t>$</w:t>
            </w:r>
            <w:r w:rsidR="005F0590">
              <w:rPr>
                <w:noProof/>
                <w:color w:val="000000"/>
                <w:highlight w:val="black"/>
              </w:rPr>
              <w:t>'''''''''''''''''''''</w:t>
            </w:r>
            <w:r w:rsidRPr="00A03EB8">
              <w:t xml:space="preserve"> (public)</w:t>
            </w: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r w:rsidRPr="00A03EB8">
              <w:t>$</w:t>
            </w:r>
            <w:r w:rsidR="005F0590">
              <w:rPr>
                <w:noProof/>
                <w:color w:val="000000"/>
                <w:highlight w:val="black"/>
              </w:rPr>
              <w:t>'''''''''''''''''''''''''''</w:t>
            </w:r>
            <w:r w:rsidRPr="00A03EB8">
              <w:t xml:space="preserve"> (private)</w:t>
            </w: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r w:rsidRPr="00A03EB8">
              <w:t>$</w:t>
            </w:r>
            <w:r w:rsidR="005F0590">
              <w:rPr>
                <w:noProof/>
                <w:color w:val="000000"/>
                <w:highlight w:val="black"/>
              </w:rPr>
              <w:t>'''''''''''''''''''</w:t>
            </w:r>
            <w:r w:rsidRPr="00A03EB8">
              <w:t xml:space="preserve"> (public)</w:t>
            </w:r>
          </w:p>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r w:rsidRPr="00A03EB8">
              <w:t>$</w:t>
            </w:r>
            <w:r w:rsidR="005F0590">
              <w:rPr>
                <w:noProof/>
                <w:color w:val="000000"/>
                <w:highlight w:val="black"/>
              </w:rPr>
              <w:t>''''''''''''''''''''''''</w:t>
            </w:r>
            <w:r w:rsidRPr="00A03EB8">
              <w:t xml:space="preserve"> (private)</w:t>
            </w:r>
          </w:p>
        </w:tc>
        <w:tc>
          <w:tcPr>
            <w:tcW w:w="1581" w:type="dxa"/>
            <w:vAlign w:val="center"/>
          </w:tcPr>
          <w:p w:rsidR="005D071D" w:rsidRPr="00A03EB8" w:rsidRDefault="005D071D" w:rsidP="0084396C">
            <w:pPr>
              <w:pStyle w:val="Tabletext0"/>
              <w:jc w:val="center"/>
              <w:cnfStyle w:val="000000100000" w:firstRow="0" w:lastRow="0" w:firstColumn="0" w:lastColumn="0" w:oddVBand="0" w:evenVBand="0" w:oddHBand="1" w:evenHBand="0" w:firstRowFirstColumn="0" w:firstRowLastColumn="0" w:lastRowFirstColumn="0" w:lastRowLastColumn="0"/>
            </w:pPr>
            <w:r w:rsidRPr="00A03EB8">
              <w:t>SPINRAZA, Biogen Australia Pty Ltd</w:t>
            </w:r>
          </w:p>
        </w:tc>
      </w:tr>
    </w:tbl>
    <w:p w:rsidR="00996D48" w:rsidRPr="00A03EB8" w:rsidRDefault="00996D48" w:rsidP="00996D48">
      <w:pPr>
        <w:pStyle w:val="TableFooter"/>
      </w:pPr>
      <w:r w:rsidRPr="00A03EB8">
        <w:t>As the submission did not suggest a DPMQ for private dispensing, a price for the dispensing of nusinersen in a private hospital setting was calculated during the evaluation</w:t>
      </w:r>
      <w:r w:rsidR="004364A7" w:rsidRPr="00A03EB8">
        <w:t xml:space="preserve">. </w:t>
      </w:r>
    </w:p>
    <w:tbl>
      <w:tblPr>
        <w:tblW w:w="9185" w:type="dxa"/>
        <w:tblInd w:w="-5" w:type="dxa"/>
        <w:tblLayout w:type="fixed"/>
        <w:tblCellMar>
          <w:left w:w="28" w:type="dxa"/>
          <w:right w:w="28" w:type="dxa"/>
        </w:tblCellMar>
        <w:tblLook w:val="0000" w:firstRow="0" w:lastRow="0" w:firstColumn="0" w:lastColumn="0" w:noHBand="0" w:noVBand="0"/>
        <w:tblCaption w:val="Essential elements of the requested listing"/>
      </w:tblPr>
      <w:tblGrid>
        <w:gridCol w:w="2127"/>
        <w:gridCol w:w="7058"/>
      </w:tblGrid>
      <w:tr w:rsidR="008E5DDC" w:rsidRPr="00A03EB8" w:rsidTr="00AC557E">
        <w:trPr>
          <w:cantSplit/>
          <w:trHeight w:val="360"/>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jc w:val="both"/>
              <w:rPr>
                <w:rFonts w:ascii="Arial Narrow" w:eastAsia="Times New Roman" w:hAnsi="Arial Narrow" w:cs="Arial"/>
                <w:b/>
                <w:sz w:val="20"/>
                <w:szCs w:val="20"/>
                <w:lang w:eastAsia="en-AU"/>
              </w:rPr>
            </w:pPr>
            <w:r w:rsidRPr="00A03EB8">
              <w:rPr>
                <w:rFonts w:ascii="Arial Narrow" w:eastAsia="Times New Roman" w:hAnsi="Arial Narrow" w:cs="Arial"/>
                <w:b/>
                <w:sz w:val="20"/>
                <w:szCs w:val="20"/>
                <w:lang w:eastAsia="en-AU"/>
              </w:rPr>
              <w:t>Condition:</w:t>
            </w: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rPr>
                <w:rFonts w:ascii="Arial Narrow" w:eastAsia="Times New Roman" w:hAnsi="Arial Narrow" w:cs="Times New Roman"/>
                <w:sz w:val="20"/>
                <w:szCs w:val="20"/>
                <w:lang w:eastAsia="en-AU"/>
              </w:rPr>
            </w:pPr>
            <w:r w:rsidRPr="00A03EB8">
              <w:rPr>
                <w:rFonts w:ascii="Arial Narrow" w:eastAsia="Times New Roman" w:hAnsi="Arial Narrow" w:cs="Times New Roman"/>
                <w:sz w:val="20"/>
                <w:szCs w:val="20"/>
                <w:lang w:eastAsia="en-AU"/>
              </w:rPr>
              <w:t>Spinal muscular atrophy (SMA)</w:t>
            </w:r>
          </w:p>
        </w:tc>
      </w:tr>
      <w:tr w:rsidR="008E5DDC" w:rsidRPr="00A03EB8" w:rsidTr="00AC557E">
        <w:trPr>
          <w:cantSplit/>
          <w:trHeight w:val="360"/>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jc w:val="both"/>
              <w:rPr>
                <w:rFonts w:ascii="Arial Narrow" w:eastAsia="Times New Roman" w:hAnsi="Arial Narrow" w:cs="Arial"/>
                <w:b/>
                <w:sz w:val="20"/>
                <w:szCs w:val="20"/>
                <w:lang w:eastAsia="en-AU"/>
              </w:rPr>
            </w:pPr>
            <w:r w:rsidRPr="00A03EB8">
              <w:rPr>
                <w:rFonts w:ascii="Arial Narrow" w:eastAsia="Times New Roman" w:hAnsi="Arial Narrow" w:cs="Arial"/>
                <w:b/>
                <w:sz w:val="20"/>
                <w:szCs w:val="20"/>
                <w:lang w:eastAsia="en-AU"/>
              </w:rPr>
              <w:t>PBS Indication:</w:t>
            </w: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rPr>
                <w:rFonts w:ascii="Arial Narrow" w:eastAsia="Times New Roman" w:hAnsi="Arial Narrow" w:cs="Times New Roman"/>
                <w:sz w:val="20"/>
                <w:szCs w:val="20"/>
                <w:lang w:eastAsia="en-AU"/>
              </w:rPr>
            </w:pPr>
            <w:r w:rsidRPr="00A03EB8">
              <w:rPr>
                <w:rFonts w:ascii="Arial Narrow" w:eastAsia="Times New Roman" w:hAnsi="Arial Narrow" w:cs="Times New Roman"/>
                <w:sz w:val="20"/>
                <w:szCs w:val="20"/>
                <w:lang w:eastAsia="en-AU"/>
              </w:rPr>
              <w:t xml:space="preserve">Treatment of </w:t>
            </w:r>
            <w:r w:rsidR="00387372" w:rsidRPr="00A03EB8">
              <w:rPr>
                <w:rFonts w:ascii="Arial Narrow" w:eastAsia="Times New Roman" w:hAnsi="Arial Narrow" w:cs="Times New Roman"/>
                <w:sz w:val="20"/>
                <w:szCs w:val="20"/>
                <w:lang w:eastAsia="en-AU"/>
              </w:rPr>
              <w:t>i</w:t>
            </w:r>
            <w:r w:rsidRPr="00A03EB8">
              <w:rPr>
                <w:rFonts w:ascii="Arial Narrow" w:eastAsia="Times New Roman" w:hAnsi="Arial Narrow" w:cs="Times New Roman"/>
                <w:sz w:val="20"/>
                <w:szCs w:val="20"/>
                <w:lang w:eastAsia="en-AU"/>
              </w:rPr>
              <w:t>nfantile-onset and childhood-onset spinal muscular atrophy</w:t>
            </w:r>
          </w:p>
        </w:tc>
      </w:tr>
      <w:tr w:rsidR="008E5DDC" w:rsidRPr="00A03EB8" w:rsidTr="00AC557E">
        <w:trPr>
          <w:cantSplit/>
          <w:trHeight w:val="360"/>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jc w:val="both"/>
              <w:rPr>
                <w:rFonts w:ascii="Arial Narrow" w:eastAsia="Times New Roman" w:hAnsi="Arial Narrow" w:cs="Arial"/>
                <w:sz w:val="20"/>
                <w:szCs w:val="20"/>
                <w:lang w:eastAsia="en-AU"/>
              </w:rPr>
            </w:pPr>
            <w:r w:rsidRPr="00A03EB8">
              <w:rPr>
                <w:rFonts w:ascii="Arial Narrow" w:eastAsia="Times New Roman" w:hAnsi="Arial Narrow" w:cs="Arial"/>
                <w:b/>
                <w:sz w:val="20"/>
                <w:szCs w:val="20"/>
                <w:lang w:eastAsia="en-AU"/>
              </w:rPr>
              <w:t>Treatment phase:</w:t>
            </w: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rPr>
                <w:rFonts w:ascii="Arial Narrow" w:eastAsia="Times New Roman" w:hAnsi="Arial Narrow" w:cs="Times New Roman"/>
                <w:sz w:val="20"/>
                <w:szCs w:val="20"/>
                <w:lang w:eastAsia="en-AU"/>
              </w:rPr>
            </w:pPr>
            <w:r w:rsidRPr="00A03EB8">
              <w:rPr>
                <w:rFonts w:ascii="Arial Narrow" w:eastAsia="Times New Roman" w:hAnsi="Arial Narrow" w:cs="Times New Roman"/>
                <w:sz w:val="20"/>
                <w:szCs w:val="20"/>
                <w:lang w:eastAsia="en-AU"/>
              </w:rPr>
              <w:t>Initial treatment – New patients</w:t>
            </w:r>
          </w:p>
        </w:tc>
      </w:tr>
      <w:tr w:rsidR="008E5DDC" w:rsidRPr="00A03EB8" w:rsidTr="00AC557E">
        <w:trPr>
          <w:cantSplit/>
          <w:trHeight w:val="360"/>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jc w:val="both"/>
              <w:rPr>
                <w:rFonts w:ascii="Arial Narrow" w:eastAsia="Times New Roman" w:hAnsi="Arial Narrow" w:cs="Arial"/>
                <w:sz w:val="20"/>
                <w:szCs w:val="20"/>
                <w:lang w:eastAsia="en-AU"/>
              </w:rPr>
            </w:pPr>
            <w:r w:rsidRPr="00A03EB8">
              <w:rPr>
                <w:rFonts w:ascii="Arial Narrow" w:eastAsia="Times New Roman" w:hAnsi="Arial Narrow" w:cs="Arial"/>
                <w:b/>
                <w:sz w:val="20"/>
                <w:szCs w:val="20"/>
                <w:lang w:eastAsia="en-AU"/>
              </w:rPr>
              <w:t>Restriction:</w:t>
            </w: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line="360" w:lineRule="auto"/>
              <w:rPr>
                <w:rFonts w:ascii="Arial Narrow" w:eastAsia="Times New Roman" w:hAnsi="Arial Narrow" w:cs="Times New Roman"/>
                <w:sz w:val="20"/>
                <w:szCs w:val="20"/>
                <w:lang w:eastAsia="en-AU"/>
              </w:rPr>
            </w:pPr>
            <w:r w:rsidRPr="00352D6A">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A03EB8">
              <w:rPr>
                <w:rFonts w:ascii="Arial Narrow" w:eastAsia="Times New Roman" w:hAnsi="Arial Narrow" w:cs="Arial"/>
                <w:sz w:val="20"/>
                <w:szCs w:val="20"/>
                <w:lang w:eastAsia="en-AU"/>
              </w:rPr>
              <w:instrText xml:space="preserve"> FORMCHECKBOX </w:instrText>
            </w:r>
            <w:r w:rsidR="002F5363">
              <w:rPr>
                <w:rFonts w:ascii="Arial Narrow" w:eastAsia="Times New Roman" w:hAnsi="Arial Narrow" w:cs="Arial"/>
                <w:sz w:val="20"/>
                <w:szCs w:val="20"/>
                <w:lang w:eastAsia="en-AU"/>
              </w:rPr>
            </w:r>
            <w:r w:rsidR="002F5363">
              <w:rPr>
                <w:rFonts w:ascii="Arial Narrow" w:eastAsia="Times New Roman" w:hAnsi="Arial Narrow" w:cs="Arial"/>
                <w:sz w:val="20"/>
                <w:szCs w:val="20"/>
                <w:lang w:eastAsia="en-AU"/>
              </w:rPr>
              <w:fldChar w:fldCharType="separate"/>
            </w:r>
            <w:r w:rsidRPr="00352D6A">
              <w:rPr>
                <w:rFonts w:ascii="Arial Narrow" w:eastAsia="Times New Roman" w:hAnsi="Arial Narrow" w:cs="Arial"/>
                <w:sz w:val="20"/>
                <w:szCs w:val="20"/>
                <w:lang w:eastAsia="en-AU"/>
              </w:rPr>
              <w:fldChar w:fldCharType="end"/>
            </w:r>
            <w:r w:rsidRPr="00A03EB8">
              <w:rPr>
                <w:rFonts w:ascii="Arial Narrow" w:eastAsia="Times New Roman" w:hAnsi="Arial Narrow" w:cs="Arial"/>
                <w:sz w:val="20"/>
                <w:szCs w:val="20"/>
                <w:lang w:eastAsia="en-AU"/>
              </w:rPr>
              <w:t>Authority Required - In Writing</w:t>
            </w:r>
          </w:p>
        </w:tc>
      </w:tr>
      <w:tr w:rsidR="008E5DDC" w:rsidRPr="00A03EB8" w:rsidTr="00AC557E">
        <w:trPr>
          <w:cantSplit/>
          <w:trHeight w:val="360"/>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rPr>
                <w:rFonts w:ascii="Arial Narrow" w:eastAsia="Times New Roman" w:hAnsi="Arial Narrow" w:cs="Arial"/>
                <w:b/>
                <w:sz w:val="20"/>
                <w:szCs w:val="20"/>
                <w:lang w:eastAsia="en-AU"/>
              </w:rPr>
            </w:pPr>
            <w:r w:rsidRPr="00A03EB8">
              <w:rPr>
                <w:rFonts w:ascii="Arial Narrow" w:eastAsia="Times New Roman" w:hAnsi="Arial Narrow" w:cs="Arial"/>
                <w:b/>
                <w:sz w:val="20"/>
                <w:szCs w:val="20"/>
                <w:lang w:eastAsia="en-AU"/>
              </w:rPr>
              <w:lastRenderedPageBreak/>
              <w:t>Treatment criteria:</w:t>
            </w:r>
          </w:p>
          <w:p w:rsidR="008E5DDC" w:rsidRPr="00A03EB8" w:rsidRDefault="008E5DDC" w:rsidP="00AC557E">
            <w:pPr>
              <w:spacing w:before="0" w:after="0"/>
              <w:rPr>
                <w:rFonts w:ascii="Arial Narrow" w:eastAsia="Times New Roman" w:hAnsi="Arial Narrow" w:cs="Arial"/>
                <w:sz w:val="20"/>
                <w:szCs w:val="20"/>
                <w:lang w:eastAsia="en-AU"/>
              </w:rPr>
            </w:pPr>
          </w:p>
          <w:p w:rsidR="008E5DDC" w:rsidRPr="00A03EB8" w:rsidRDefault="008E5DDC" w:rsidP="00AC557E">
            <w:pPr>
              <w:spacing w:before="0" w:after="0"/>
              <w:rPr>
                <w:rFonts w:ascii="Arial Narrow" w:eastAsia="Times New Roman" w:hAnsi="Arial Narrow" w:cs="Arial"/>
                <w:sz w:val="20"/>
                <w:szCs w:val="20"/>
                <w:lang w:eastAsia="en-AU"/>
              </w:rPr>
            </w:pP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numPr>
                <w:ilvl w:val="0"/>
                <w:numId w:val="21"/>
              </w:numPr>
              <w:spacing w:before="0" w:after="0"/>
              <w:ind w:left="255" w:hanging="255"/>
              <w:contextualSpacing/>
              <w:rPr>
                <w:rFonts w:ascii="Arial Narrow" w:eastAsia="Times New Roman" w:hAnsi="Arial Narrow" w:cs="Times New Roman"/>
                <w:sz w:val="20"/>
                <w:szCs w:val="20"/>
                <w:lang w:eastAsia="en-AU"/>
              </w:rPr>
            </w:pPr>
            <w:r w:rsidRPr="00A03EB8">
              <w:rPr>
                <w:rFonts w:ascii="Arial Narrow" w:eastAsia="Times New Roman" w:hAnsi="Arial Narrow" w:cs="Times New Roman"/>
                <w:sz w:val="20"/>
                <w:szCs w:val="20"/>
                <w:lang w:eastAsia="en-AU"/>
              </w:rPr>
              <w:t xml:space="preserve">The treatment </w:t>
            </w:r>
            <w:r w:rsidR="00B06CA7" w:rsidRPr="00A03EB8">
              <w:rPr>
                <w:rFonts w:ascii="Arial Narrow" w:eastAsia="Times New Roman" w:hAnsi="Arial Narrow" w:cs="Times New Roman"/>
                <w:sz w:val="20"/>
                <w:szCs w:val="20"/>
                <w:lang w:eastAsia="en-AU"/>
              </w:rPr>
              <w:t>m</w:t>
            </w:r>
            <w:r w:rsidRPr="00A03EB8">
              <w:rPr>
                <w:rFonts w:ascii="Arial Narrow" w:eastAsia="Times New Roman" w:hAnsi="Arial Narrow" w:cs="Times New Roman"/>
                <w:sz w:val="20"/>
                <w:szCs w:val="20"/>
                <w:lang w:eastAsia="en-AU"/>
              </w:rPr>
              <w:t xml:space="preserve">ust be prescribed by a neurologist, or by a physician in consultation with a neurologist with expertise in the treatment of spinal muscular atrophy; </w:t>
            </w:r>
            <w:r w:rsidRPr="00A03EB8">
              <w:rPr>
                <w:rFonts w:ascii="Arial Narrow" w:eastAsia="Times New Roman" w:hAnsi="Arial Narrow" w:cs="Times New Roman"/>
                <w:b/>
                <w:sz w:val="20"/>
                <w:szCs w:val="20"/>
                <w:lang w:eastAsia="en-AU"/>
              </w:rPr>
              <w:t>AND</w:t>
            </w:r>
          </w:p>
          <w:p w:rsidR="008E5DDC" w:rsidRPr="00A03EB8" w:rsidRDefault="008E5DDC" w:rsidP="00AC557E">
            <w:pPr>
              <w:pStyle w:val="ListParagraph"/>
              <w:numPr>
                <w:ilvl w:val="0"/>
                <w:numId w:val="21"/>
              </w:numPr>
              <w:spacing w:before="0" w:after="0"/>
              <w:ind w:left="255" w:hanging="255"/>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 xml:space="preserve">The treatment is administered intrathecally by, or under the direction of, healthcare professionals experienced in performing lumbar punctures; </w:t>
            </w:r>
            <w:r w:rsidRPr="00A03EB8">
              <w:rPr>
                <w:rFonts w:ascii="Arial Narrow" w:eastAsia="Times New Roman" w:hAnsi="Arial Narrow" w:cs="Arial"/>
                <w:b/>
                <w:sz w:val="20"/>
                <w:szCs w:val="20"/>
                <w:lang w:eastAsia="en-AU"/>
              </w:rPr>
              <w:t>AND</w:t>
            </w:r>
          </w:p>
          <w:p w:rsidR="008E5DDC" w:rsidRPr="00A03EB8" w:rsidRDefault="008E5DDC" w:rsidP="00AC557E">
            <w:pPr>
              <w:pStyle w:val="ListParagraph"/>
              <w:numPr>
                <w:ilvl w:val="0"/>
                <w:numId w:val="21"/>
              </w:numPr>
              <w:spacing w:before="0" w:after="0"/>
              <w:ind w:left="255" w:hanging="255"/>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The treatment must be given concomitantly with standard of care for this condition.</w:t>
            </w:r>
          </w:p>
        </w:tc>
      </w:tr>
      <w:tr w:rsidR="008E5DDC" w:rsidRPr="00A03EB8" w:rsidTr="00AC557E">
        <w:trPr>
          <w:cantSplit/>
          <w:trHeight w:val="360"/>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jc w:val="both"/>
              <w:rPr>
                <w:rFonts w:ascii="Arial Narrow" w:eastAsia="Times New Roman" w:hAnsi="Arial Narrow" w:cs="Arial"/>
                <w:b/>
                <w:sz w:val="20"/>
                <w:szCs w:val="20"/>
                <w:lang w:eastAsia="en-AU"/>
              </w:rPr>
            </w:pPr>
            <w:r w:rsidRPr="00A03EB8">
              <w:rPr>
                <w:rFonts w:ascii="Arial Narrow" w:eastAsia="Times New Roman" w:hAnsi="Arial Narrow" w:cs="Arial"/>
                <w:b/>
                <w:sz w:val="20"/>
                <w:szCs w:val="20"/>
                <w:lang w:eastAsia="en-AU"/>
              </w:rPr>
              <w:t>Clinical criteria:</w:t>
            </w:r>
          </w:p>
          <w:p w:rsidR="008E5DDC" w:rsidRPr="00A03EB8" w:rsidRDefault="008E5DDC" w:rsidP="00AC557E">
            <w:pPr>
              <w:spacing w:before="0" w:after="0"/>
              <w:jc w:val="both"/>
              <w:rPr>
                <w:rFonts w:ascii="Arial Narrow" w:eastAsia="Times New Roman" w:hAnsi="Arial Narrow" w:cs="Arial"/>
                <w:sz w:val="20"/>
                <w:szCs w:val="20"/>
                <w:lang w:eastAsia="en-AU"/>
              </w:rPr>
            </w:pPr>
          </w:p>
          <w:p w:rsidR="008E5DDC" w:rsidRPr="00A03EB8" w:rsidRDefault="008E5DDC" w:rsidP="00AC557E">
            <w:pPr>
              <w:spacing w:before="0" w:after="0"/>
              <w:jc w:val="both"/>
              <w:rPr>
                <w:rFonts w:ascii="Arial Narrow" w:eastAsia="Times New Roman" w:hAnsi="Arial Narrow" w:cs="Arial"/>
                <w:sz w:val="20"/>
                <w:szCs w:val="20"/>
                <w:lang w:eastAsia="en-AU"/>
              </w:rPr>
            </w:pP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numPr>
                <w:ilvl w:val="0"/>
                <w:numId w:val="21"/>
              </w:numPr>
              <w:spacing w:before="0" w:after="0"/>
              <w:ind w:left="255" w:hanging="255"/>
              <w:contextualSpacing/>
              <w:rPr>
                <w:rFonts w:ascii="Arial Narrow" w:eastAsia="Times New Roman" w:hAnsi="Arial Narrow" w:cs="Times New Roman"/>
                <w:sz w:val="20"/>
                <w:szCs w:val="20"/>
                <w:lang w:eastAsia="en-AU"/>
              </w:rPr>
            </w:pPr>
            <w:r w:rsidRPr="00A03EB8">
              <w:rPr>
                <w:rFonts w:ascii="Arial Narrow" w:eastAsia="Times New Roman" w:hAnsi="Arial Narrow" w:cs="Times New Roman"/>
                <w:sz w:val="20"/>
                <w:szCs w:val="20"/>
                <w:lang w:eastAsia="en-AU"/>
              </w:rPr>
              <w:t xml:space="preserve">Patient must be diagnosed by a neurologist, or by a physician in consultation with a neurologist with expertise in the treatment of SMA; </w:t>
            </w:r>
            <w:r w:rsidRPr="00A03EB8">
              <w:rPr>
                <w:rFonts w:ascii="Arial Narrow" w:eastAsia="Times New Roman" w:hAnsi="Arial Narrow" w:cs="Times New Roman"/>
                <w:b/>
                <w:sz w:val="20"/>
                <w:szCs w:val="20"/>
                <w:lang w:eastAsia="en-AU"/>
              </w:rPr>
              <w:t>AND</w:t>
            </w:r>
          </w:p>
          <w:p w:rsidR="008E5DDC" w:rsidRPr="00A03EB8" w:rsidRDefault="008E5DDC" w:rsidP="00AC557E">
            <w:pPr>
              <w:numPr>
                <w:ilvl w:val="0"/>
                <w:numId w:val="21"/>
              </w:numPr>
              <w:spacing w:before="0" w:after="0"/>
              <w:ind w:left="255" w:hanging="255"/>
              <w:contextualSpacing/>
              <w:jc w:val="both"/>
              <w:rPr>
                <w:rFonts w:ascii="Arial Narrow" w:eastAsia="Times New Roman" w:hAnsi="Arial Narrow" w:cs="Arial"/>
                <w:sz w:val="20"/>
                <w:szCs w:val="20"/>
                <w:lang w:eastAsia="en-AU"/>
              </w:rPr>
            </w:pPr>
            <w:r w:rsidRPr="00A03EB8">
              <w:rPr>
                <w:rFonts w:ascii="Arial Narrow" w:eastAsia="Times New Roman" w:hAnsi="Arial Narrow" w:cs="Times New Roman"/>
                <w:sz w:val="20"/>
                <w:szCs w:val="20"/>
                <w:lang w:eastAsia="en-AU"/>
              </w:rPr>
              <w:t>Patient must have genetic documentation of 5q survival-of-motor neuron (SMN) homozygous gene deletion, homozygous gene mutation, or compound heterozygote.</w:t>
            </w:r>
          </w:p>
        </w:tc>
      </w:tr>
      <w:tr w:rsidR="008E5DDC" w:rsidRPr="00A03EB8" w:rsidTr="00AC557E">
        <w:trPr>
          <w:cantSplit/>
          <w:trHeight w:val="360"/>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jc w:val="both"/>
              <w:rPr>
                <w:rFonts w:ascii="Arial Narrow" w:eastAsia="Times New Roman" w:hAnsi="Arial Narrow" w:cs="Arial"/>
                <w:sz w:val="20"/>
                <w:szCs w:val="20"/>
                <w:lang w:eastAsia="en-AU"/>
              </w:rPr>
            </w:pPr>
            <w:r w:rsidRPr="00A03EB8">
              <w:rPr>
                <w:rFonts w:ascii="Arial Narrow" w:eastAsia="Times New Roman" w:hAnsi="Arial Narrow" w:cs="Arial"/>
                <w:b/>
                <w:sz w:val="20"/>
                <w:szCs w:val="20"/>
                <w:lang w:eastAsia="en-AU"/>
              </w:rPr>
              <w:t>Population criteria:</w:t>
            </w:r>
          </w:p>
          <w:p w:rsidR="008E5DDC" w:rsidRPr="00A03EB8" w:rsidRDefault="008E5DDC" w:rsidP="00AC557E">
            <w:pPr>
              <w:spacing w:before="0" w:after="0"/>
              <w:rPr>
                <w:rFonts w:ascii="Arial Narrow" w:eastAsia="Times New Roman" w:hAnsi="Arial Narrow" w:cs="Arial"/>
                <w:sz w:val="20"/>
                <w:szCs w:val="20"/>
                <w:lang w:eastAsia="en-AU"/>
              </w:rPr>
            </w:pP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pStyle w:val="ListParagraph"/>
              <w:numPr>
                <w:ilvl w:val="0"/>
                <w:numId w:val="24"/>
              </w:numPr>
              <w:spacing w:before="0" w:after="0"/>
              <w:ind w:left="255" w:hanging="255"/>
              <w:contextualSpacing/>
              <w:rPr>
                <w:rFonts w:ascii="Arial Narrow" w:eastAsia="Times New Roman" w:hAnsi="Arial Narrow" w:cs="Arial"/>
                <w:sz w:val="20"/>
                <w:szCs w:val="20"/>
                <w:lang w:eastAsia="en-AU"/>
              </w:rPr>
            </w:pPr>
            <w:r w:rsidRPr="00A03EB8">
              <w:rPr>
                <w:rFonts w:ascii="Arial Narrow" w:eastAsia="Times New Roman" w:hAnsi="Arial Narrow" w:cs="Times New Roman"/>
                <w:sz w:val="20"/>
                <w:szCs w:val="20"/>
                <w:lang w:eastAsia="en-AU"/>
              </w:rPr>
              <w:t>Patient must have onset of clinical signs and symptoms consistent with infantile-onset or childhood-onset SMA.</w:t>
            </w:r>
          </w:p>
        </w:tc>
      </w:tr>
      <w:tr w:rsidR="008E5DDC" w:rsidRPr="00A03EB8" w:rsidTr="00AC557E">
        <w:trPr>
          <w:cantSplit/>
          <w:trHeight w:val="360"/>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jc w:val="both"/>
              <w:rPr>
                <w:rFonts w:ascii="Arial Narrow" w:eastAsia="Times New Roman" w:hAnsi="Arial Narrow" w:cs="Arial"/>
                <w:b/>
                <w:sz w:val="20"/>
                <w:szCs w:val="20"/>
                <w:lang w:eastAsia="en-AU"/>
              </w:rPr>
            </w:pPr>
            <w:r w:rsidRPr="00A03EB8">
              <w:rPr>
                <w:rFonts w:ascii="Arial Narrow" w:eastAsia="Times New Roman" w:hAnsi="Arial Narrow" w:cs="Arial"/>
                <w:b/>
                <w:sz w:val="20"/>
                <w:szCs w:val="20"/>
                <w:lang w:eastAsia="en-AU"/>
              </w:rPr>
              <w:t>Prescriber Instructions</w:t>
            </w:r>
          </w:p>
          <w:p w:rsidR="008E5DDC" w:rsidRPr="00A03EB8" w:rsidRDefault="008E5DDC" w:rsidP="00AC557E">
            <w:pPr>
              <w:spacing w:before="0" w:after="0"/>
              <w:jc w:val="both"/>
              <w:rPr>
                <w:rFonts w:ascii="Arial Narrow" w:eastAsia="Times New Roman" w:hAnsi="Arial Narrow" w:cs="Arial"/>
                <w:sz w:val="20"/>
                <w:szCs w:val="20"/>
                <w:lang w:eastAsia="en-AU"/>
              </w:rPr>
            </w:pP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pStyle w:val="ListParagraph"/>
              <w:numPr>
                <w:ilvl w:val="0"/>
                <w:numId w:val="23"/>
              </w:numPr>
              <w:spacing w:before="0" w:after="0"/>
              <w:ind w:left="255" w:hanging="255"/>
              <w:contextualSpacing/>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The authority application must be in writing and must include:</w:t>
            </w:r>
          </w:p>
          <w:p w:rsidR="008E5DDC" w:rsidRPr="00A03EB8" w:rsidRDefault="008E5DDC" w:rsidP="00AC557E">
            <w:pPr>
              <w:spacing w:before="0" w:after="0"/>
              <w:ind w:left="539" w:hanging="284"/>
              <w:contextualSpacing/>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(1)</w:t>
            </w:r>
            <w:r w:rsidRPr="00A03EB8">
              <w:rPr>
                <w:rFonts w:ascii="Arial Narrow" w:eastAsia="Times New Roman" w:hAnsi="Arial Narrow" w:cs="Arial"/>
                <w:sz w:val="20"/>
                <w:szCs w:val="20"/>
                <w:lang w:eastAsia="en-AU"/>
              </w:rPr>
              <w:tab/>
              <w:t>a completed authority prescription form; and</w:t>
            </w:r>
          </w:p>
          <w:p w:rsidR="008E5DDC" w:rsidRPr="00A03EB8" w:rsidRDefault="008E5DDC" w:rsidP="00AC557E">
            <w:pPr>
              <w:spacing w:before="0" w:after="0"/>
              <w:ind w:left="539" w:hanging="284"/>
              <w:contextualSpacing/>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(2)</w:t>
            </w:r>
            <w:r w:rsidRPr="00A03EB8">
              <w:rPr>
                <w:rFonts w:ascii="Arial Narrow" w:eastAsia="Times New Roman" w:hAnsi="Arial Narrow" w:cs="Arial"/>
                <w:sz w:val="20"/>
                <w:szCs w:val="20"/>
                <w:lang w:eastAsia="en-AU"/>
              </w:rPr>
              <w:tab/>
              <w:t>a signed patient acknowledgement; or an acknowledgement signed by a parent or authorised guardian, if applicable; and</w:t>
            </w:r>
          </w:p>
          <w:p w:rsidR="008E5DDC" w:rsidRPr="00A03EB8" w:rsidRDefault="008E5DDC" w:rsidP="00AC557E">
            <w:pPr>
              <w:spacing w:before="0" w:after="0"/>
              <w:ind w:left="539" w:hanging="284"/>
              <w:contextualSpacing/>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(3)</w:t>
            </w:r>
            <w:r w:rsidRPr="00A03EB8">
              <w:rPr>
                <w:rFonts w:ascii="Arial Narrow" w:eastAsia="Times New Roman" w:hAnsi="Arial Narrow" w:cs="Arial"/>
                <w:sz w:val="20"/>
                <w:szCs w:val="20"/>
                <w:lang w:eastAsia="en-AU"/>
              </w:rPr>
              <w:tab/>
              <w:t xml:space="preserve">a copy of the pathology report detailing the molecular testing for 5q SMN </w:t>
            </w:r>
            <w:r w:rsidRPr="00A03EB8">
              <w:rPr>
                <w:rFonts w:ascii="Arial Narrow" w:eastAsia="Calibri" w:hAnsi="Arial Narrow" w:cs="Arial"/>
                <w:sz w:val="20"/>
                <w:szCs w:val="20"/>
              </w:rPr>
              <w:t>homozygous gene deletion, homozygous gene mutation, or compound heterozygote</w:t>
            </w:r>
            <w:r w:rsidRPr="00A03EB8">
              <w:rPr>
                <w:rFonts w:ascii="Arial Narrow" w:eastAsia="Times New Roman" w:hAnsi="Arial Narrow" w:cs="Arial"/>
                <w:sz w:val="20"/>
                <w:szCs w:val="20"/>
                <w:lang w:eastAsia="en-AU"/>
              </w:rPr>
              <w:t>.</w:t>
            </w:r>
          </w:p>
        </w:tc>
      </w:tr>
      <w:tr w:rsidR="008E5DDC" w:rsidRPr="00A03EB8" w:rsidTr="00AC557E">
        <w:trPr>
          <w:cantSplit/>
          <w:trHeight w:val="360"/>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jc w:val="both"/>
              <w:rPr>
                <w:rFonts w:ascii="Arial Narrow" w:eastAsia="Times New Roman" w:hAnsi="Arial Narrow" w:cs="Arial"/>
                <w:b/>
                <w:sz w:val="20"/>
                <w:szCs w:val="20"/>
                <w:lang w:eastAsia="en-AU"/>
              </w:rPr>
            </w:pPr>
            <w:r w:rsidRPr="00A03EB8">
              <w:rPr>
                <w:rFonts w:ascii="Arial Narrow" w:eastAsia="Times New Roman" w:hAnsi="Arial Narrow" w:cs="Arial"/>
                <w:b/>
                <w:sz w:val="20"/>
                <w:szCs w:val="20"/>
                <w:lang w:eastAsia="en-AU"/>
              </w:rPr>
              <w:t>Administrative Advice</w:t>
            </w:r>
          </w:p>
          <w:p w:rsidR="008E5DDC" w:rsidRPr="00A03EB8" w:rsidRDefault="008E5DDC" w:rsidP="00AC557E">
            <w:pPr>
              <w:spacing w:before="0" w:after="0"/>
              <w:jc w:val="both"/>
              <w:rPr>
                <w:rFonts w:ascii="Arial Narrow" w:eastAsia="Times New Roman" w:hAnsi="Arial Narrow" w:cs="Arial"/>
                <w:sz w:val="20"/>
                <w:szCs w:val="20"/>
                <w:lang w:eastAsia="en-AU"/>
              </w:rPr>
            </w:pP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pStyle w:val="ListParagraph"/>
              <w:numPr>
                <w:ilvl w:val="0"/>
                <w:numId w:val="22"/>
              </w:numPr>
              <w:spacing w:before="0" w:after="0"/>
              <w:ind w:left="255" w:hanging="255"/>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Special Pricing Arrangements apply.</w:t>
            </w:r>
          </w:p>
          <w:p w:rsidR="008E5DDC" w:rsidRPr="00A03EB8" w:rsidRDefault="008E5DDC" w:rsidP="00AC557E">
            <w:pPr>
              <w:pStyle w:val="ListParagraph"/>
              <w:numPr>
                <w:ilvl w:val="0"/>
                <w:numId w:val="22"/>
              </w:numPr>
              <w:spacing w:before="0" w:after="0"/>
              <w:ind w:left="255" w:hanging="255"/>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No increase in the maximum number of repeats may be authorised.</w:t>
            </w:r>
          </w:p>
        </w:tc>
      </w:tr>
      <w:tr w:rsidR="008E5DDC" w:rsidRPr="00A03EB8" w:rsidTr="00AC557E">
        <w:trPr>
          <w:cantSplit/>
          <w:trHeight w:val="360"/>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jc w:val="both"/>
              <w:rPr>
                <w:rFonts w:ascii="Arial Narrow" w:eastAsia="Times New Roman" w:hAnsi="Arial Narrow" w:cs="Arial"/>
                <w:sz w:val="20"/>
                <w:szCs w:val="20"/>
                <w:lang w:eastAsia="en-AU"/>
              </w:rPr>
            </w:pPr>
            <w:r w:rsidRPr="00A03EB8">
              <w:rPr>
                <w:rFonts w:ascii="Arial Narrow" w:eastAsia="Times New Roman" w:hAnsi="Arial Narrow" w:cs="Arial"/>
                <w:b/>
                <w:sz w:val="20"/>
                <w:szCs w:val="20"/>
                <w:lang w:eastAsia="en-AU"/>
              </w:rPr>
              <w:t>Treatment phase:</w:t>
            </w: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ind w:left="255" w:hanging="255"/>
              <w:rPr>
                <w:rFonts w:ascii="Arial Narrow" w:eastAsia="Times New Roman" w:hAnsi="Arial Narrow" w:cs="Times New Roman"/>
                <w:sz w:val="20"/>
                <w:szCs w:val="20"/>
                <w:lang w:eastAsia="en-AU"/>
              </w:rPr>
            </w:pPr>
            <w:r w:rsidRPr="00A03EB8">
              <w:rPr>
                <w:rFonts w:ascii="Arial Narrow" w:eastAsia="Times New Roman" w:hAnsi="Arial Narrow" w:cs="Times New Roman"/>
                <w:sz w:val="20"/>
                <w:szCs w:val="20"/>
                <w:lang w:eastAsia="en-AU"/>
              </w:rPr>
              <w:t>Continuing treatment</w:t>
            </w:r>
          </w:p>
        </w:tc>
      </w:tr>
      <w:tr w:rsidR="008E5DDC" w:rsidRPr="00A03EB8" w:rsidTr="00AC557E">
        <w:trPr>
          <w:cantSplit/>
          <w:trHeight w:val="58"/>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jc w:val="both"/>
              <w:rPr>
                <w:rFonts w:ascii="Arial Narrow" w:eastAsia="Times New Roman" w:hAnsi="Arial Narrow" w:cs="Arial"/>
                <w:sz w:val="20"/>
                <w:szCs w:val="20"/>
                <w:lang w:eastAsia="en-AU"/>
              </w:rPr>
            </w:pPr>
            <w:r w:rsidRPr="00A03EB8">
              <w:rPr>
                <w:rFonts w:ascii="Arial Narrow" w:eastAsia="Times New Roman" w:hAnsi="Arial Narrow" w:cs="Arial"/>
                <w:b/>
                <w:sz w:val="20"/>
                <w:szCs w:val="20"/>
                <w:lang w:eastAsia="en-AU"/>
              </w:rPr>
              <w:t>Restriction:</w:t>
            </w: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line="360" w:lineRule="auto"/>
              <w:ind w:left="255" w:hanging="255"/>
              <w:rPr>
                <w:rFonts w:ascii="Arial Narrow" w:eastAsia="Times New Roman" w:hAnsi="Arial Narrow" w:cs="Times New Roman"/>
                <w:sz w:val="20"/>
                <w:szCs w:val="20"/>
                <w:lang w:eastAsia="en-AU"/>
              </w:rPr>
            </w:pPr>
            <w:r w:rsidRPr="00352D6A">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A03EB8">
              <w:rPr>
                <w:rFonts w:ascii="Arial Narrow" w:eastAsia="Times New Roman" w:hAnsi="Arial Narrow" w:cs="Arial"/>
                <w:sz w:val="20"/>
                <w:szCs w:val="20"/>
                <w:lang w:eastAsia="en-AU"/>
              </w:rPr>
              <w:instrText xml:space="preserve"> FORMCHECKBOX </w:instrText>
            </w:r>
            <w:r w:rsidR="002F5363">
              <w:rPr>
                <w:rFonts w:ascii="Arial Narrow" w:eastAsia="Times New Roman" w:hAnsi="Arial Narrow" w:cs="Arial"/>
                <w:sz w:val="20"/>
                <w:szCs w:val="20"/>
                <w:lang w:eastAsia="en-AU"/>
              </w:rPr>
            </w:r>
            <w:r w:rsidR="002F5363">
              <w:rPr>
                <w:rFonts w:ascii="Arial Narrow" w:eastAsia="Times New Roman" w:hAnsi="Arial Narrow" w:cs="Arial"/>
                <w:sz w:val="20"/>
                <w:szCs w:val="20"/>
                <w:lang w:eastAsia="en-AU"/>
              </w:rPr>
              <w:fldChar w:fldCharType="separate"/>
            </w:r>
            <w:r w:rsidRPr="00352D6A">
              <w:rPr>
                <w:rFonts w:ascii="Arial Narrow" w:eastAsia="Times New Roman" w:hAnsi="Arial Narrow" w:cs="Arial"/>
                <w:sz w:val="20"/>
                <w:szCs w:val="20"/>
                <w:lang w:eastAsia="en-AU"/>
              </w:rPr>
              <w:fldChar w:fldCharType="end"/>
            </w:r>
            <w:r w:rsidRPr="00A03EB8">
              <w:rPr>
                <w:rFonts w:ascii="Arial Narrow" w:eastAsia="Times New Roman" w:hAnsi="Arial Narrow" w:cs="Arial"/>
                <w:sz w:val="20"/>
                <w:szCs w:val="20"/>
                <w:lang w:eastAsia="en-AU"/>
              </w:rPr>
              <w:t>Authority Required - In Writing</w:t>
            </w:r>
          </w:p>
        </w:tc>
      </w:tr>
      <w:tr w:rsidR="008E5DDC" w:rsidRPr="00A03EB8" w:rsidTr="00AC557E">
        <w:trPr>
          <w:cantSplit/>
          <w:trHeight w:val="360"/>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rPr>
                <w:rFonts w:ascii="Arial Narrow" w:eastAsia="Times New Roman" w:hAnsi="Arial Narrow" w:cs="Arial"/>
                <w:b/>
                <w:sz w:val="20"/>
                <w:szCs w:val="20"/>
                <w:lang w:eastAsia="en-AU"/>
              </w:rPr>
            </w:pPr>
            <w:r w:rsidRPr="00A03EB8">
              <w:rPr>
                <w:rFonts w:ascii="Arial Narrow" w:eastAsia="Times New Roman" w:hAnsi="Arial Narrow" w:cs="Arial"/>
                <w:b/>
                <w:sz w:val="20"/>
                <w:szCs w:val="20"/>
                <w:lang w:eastAsia="en-AU"/>
              </w:rPr>
              <w:t>Treatment criteria:</w:t>
            </w:r>
          </w:p>
          <w:p w:rsidR="008E5DDC" w:rsidRPr="00A03EB8" w:rsidRDefault="008E5DDC" w:rsidP="00AC557E">
            <w:pPr>
              <w:spacing w:before="0" w:after="0"/>
              <w:rPr>
                <w:rFonts w:ascii="Arial Narrow" w:eastAsia="Times New Roman" w:hAnsi="Arial Narrow" w:cs="Arial"/>
                <w:sz w:val="20"/>
                <w:szCs w:val="20"/>
                <w:lang w:eastAsia="en-AU"/>
              </w:rPr>
            </w:pPr>
          </w:p>
          <w:p w:rsidR="008E5DDC" w:rsidRPr="00A03EB8" w:rsidRDefault="008E5DDC" w:rsidP="00AC557E">
            <w:pPr>
              <w:spacing w:before="0" w:after="0"/>
              <w:rPr>
                <w:rFonts w:ascii="Arial Narrow" w:eastAsia="Times New Roman" w:hAnsi="Arial Narrow" w:cs="Arial"/>
                <w:sz w:val="20"/>
                <w:szCs w:val="20"/>
                <w:lang w:eastAsia="en-AU"/>
              </w:rPr>
            </w:pP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numPr>
                <w:ilvl w:val="0"/>
                <w:numId w:val="21"/>
              </w:numPr>
              <w:spacing w:before="0" w:after="0"/>
              <w:ind w:left="255" w:hanging="255"/>
              <w:contextualSpacing/>
              <w:rPr>
                <w:rFonts w:ascii="Arial Narrow" w:eastAsia="Times New Roman" w:hAnsi="Arial Narrow" w:cs="Times New Roman"/>
                <w:sz w:val="20"/>
                <w:szCs w:val="20"/>
                <w:lang w:eastAsia="en-AU"/>
              </w:rPr>
            </w:pPr>
            <w:r w:rsidRPr="00A03EB8">
              <w:rPr>
                <w:rFonts w:ascii="Arial Narrow" w:eastAsia="Times New Roman" w:hAnsi="Arial Narrow" w:cs="Times New Roman"/>
                <w:sz w:val="20"/>
                <w:szCs w:val="20"/>
                <w:lang w:eastAsia="en-AU"/>
              </w:rPr>
              <w:t xml:space="preserve">The treatment </w:t>
            </w:r>
            <w:r w:rsidR="00B06CA7" w:rsidRPr="00A03EB8">
              <w:rPr>
                <w:rFonts w:ascii="Arial Narrow" w:eastAsia="Times New Roman" w:hAnsi="Arial Narrow" w:cs="Times New Roman"/>
                <w:sz w:val="20"/>
                <w:szCs w:val="20"/>
                <w:lang w:eastAsia="en-AU"/>
              </w:rPr>
              <w:t>m</w:t>
            </w:r>
            <w:r w:rsidRPr="00A03EB8">
              <w:rPr>
                <w:rFonts w:ascii="Arial Narrow" w:eastAsia="Times New Roman" w:hAnsi="Arial Narrow" w:cs="Times New Roman"/>
                <w:sz w:val="20"/>
                <w:szCs w:val="20"/>
                <w:lang w:eastAsia="en-AU"/>
              </w:rPr>
              <w:t xml:space="preserve">ust be prescribed by a neurologist, or by a physician in consultation with a neurologist with expertise in the treatment of spinal muscular atrophy; </w:t>
            </w:r>
            <w:r w:rsidRPr="00A03EB8">
              <w:rPr>
                <w:rFonts w:ascii="Arial Narrow" w:eastAsia="Times New Roman" w:hAnsi="Arial Narrow" w:cs="Times New Roman"/>
                <w:b/>
                <w:sz w:val="20"/>
                <w:szCs w:val="20"/>
                <w:lang w:eastAsia="en-AU"/>
              </w:rPr>
              <w:t>AND</w:t>
            </w:r>
          </w:p>
          <w:p w:rsidR="008E5DDC" w:rsidRPr="00A03EB8" w:rsidRDefault="008E5DDC" w:rsidP="00AC557E">
            <w:pPr>
              <w:pStyle w:val="ListParagraph"/>
              <w:numPr>
                <w:ilvl w:val="0"/>
                <w:numId w:val="21"/>
              </w:numPr>
              <w:spacing w:before="0" w:after="0"/>
              <w:ind w:left="255" w:hanging="255"/>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 xml:space="preserve">The treatment is administered intrathecally by, or under the direction of, healthcare professionals experienced in performing lumbar punctures; </w:t>
            </w:r>
            <w:r w:rsidRPr="00A03EB8">
              <w:rPr>
                <w:rFonts w:ascii="Arial Narrow" w:eastAsia="Times New Roman" w:hAnsi="Arial Narrow" w:cs="Arial"/>
                <w:b/>
                <w:sz w:val="20"/>
                <w:szCs w:val="20"/>
                <w:lang w:eastAsia="en-AU"/>
              </w:rPr>
              <w:t>AND</w:t>
            </w:r>
          </w:p>
          <w:p w:rsidR="008E5DDC" w:rsidRPr="00A03EB8" w:rsidRDefault="008E5DDC" w:rsidP="00AC557E">
            <w:pPr>
              <w:pStyle w:val="ListParagraph"/>
              <w:numPr>
                <w:ilvl w:val="0"/>
                <w:numId w:val="21"/>
              </w:numPr>
              <w:spacing w:before="0" w:after="0"/>
              <w:ind w:left="255" w:hanging="255"/>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The treatment must be given concomitantly with standard of care for this condition.</w:t>
            </w:r>
          </w:p>
        </w:tc>
      </w:tr>
      <w:tr w:rsidR="008E5DDC" w:rsidRPr="00A03EB8" w:rsidTr="00AC557E">
        <w:trPr>
          <w:cantSplit/>
          <w:trHeight w:val="360"/>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jc w:val="both"/>
              <w:rPr>
                <w:rFonts w:ascii="Arial Narrow" w:eastAsia="Times New Roman" w:hAnsi="Arial Narrow" w:cs="Arial"/>
                <w:sz w:val="20"/>
                <w:szCs w:val="20"/>
                <w:lang w:eastAsia="en-AU"/>
              </w:rPr>
            </w:pPr>
            <w:r w:rsidRPr="00A03EB8">
              <w:rPr>
                <w:rFonts w:ascii="Arial Narrow" w:eastAsia="Times New Roman" w:hAnsi="Arial Narrow" w:cs="Arial"/>
                <w:b/>
                <w:sz w:val="20"/>
                <w:szCs w:val="20"/>
                <w:lang w:eastAsia="en-AU"/>
              </w:rPr>
              <w:t>Clinical criteria:</w:t>
            </w:r>
          </w:p>
          <w:p w:rsidR="008E5DDC" w:rsidRPr="00A03EB8" w:rsidRDefault="008E5DDC" w:rsidP="00AC557E">
            <w:pPr>
              <w:spacing w:before="0" w:after="0"/>
              <w:jc w:val="both"/>
              <w:rPr>
                <w:rFonts w:ascii="Arial Narrow" w:eastAsia="Times New Roman" w:hAnsi="Arial Narrow" w:cs="Arial"/>
                <w:sz w:val="20"/>
                <w:szCs w:val="20"/>
                <w:lang w:eastAsia="en-AU"/>
              </w:rPr>
            </w:pP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6F16EC" w:rsidP="00AC557E">
            <w:pPr>
              <w:numPr>
                <w:ilvl w:val="0"/>
                <w:numId w:val="21"/>
              </w:numPr>
              <w:spacing w:before="0" w:after="0"/>
              <w:ind w:left="255" w:hanging="255"/>
              <w:contextualSpacing/>
              <w:rPr>
                <w:rFonts w:ascii="Arial Narrow" w:eastAsia="Times New Roman" w:hAnsi="Arial Narrow" w:cs="Arial"/>
                <w:sz w:val="20"/>
                <w:szCs w:val="20"/>
                <w:lang w:eastAsia="en-AU"/>
              </w:rPr>
            </w:pPr>
            <w:r w:rsidRPr="00A03EB8">
              <w:rPr>
                <w:rFonts w:ascii="Arial Narrow" w:eastAsia="Times New Roman" w:hAnsi="Arial Narrow" w:cs="Times New Roman"/>
                <w:sz w:val="20"/>
                <w:szCs w:val="20"/>
                <w:lang w:eastAsia="en-AU"/>
              </w:rPr>
              <w:t>Patient must have previously received PBS-subsidised initial therapy with nusinersen, given concomitantly with standard of care for this condition.</w:t>
            </w:r>
          </w:p>
        </w:tc>
      </w:tr>
      <w:tr w:rsidR="008E5DDC" w:rsidRPr="00A03EB8" w:rsidTr="00AC557E">
        <w:trPr>
          <w:cantSplit/>
          <w:trHeight w:val="360"/>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jc w:val="both"/>
              <w:rPr>
                <w:rFonts w:ascii="Arial Narrow" w:eastAsia="Times New Roman" w:hAnsi="Arial Narrow" w:cs="Arial"/>
                <w:sz w:val="20"/>
                <w:szCs w:val="20"/>
                <w:lang w:eastAsia="en-AU"/>
              </w:rPr>
            </w:pPr>
            <w:r w:rsidRPr="00A03EB8">
              <w:rPr>
                <w:rFonts w:ascii="Arial Narrow" w:eastAsia="Times New Roman" w:hAnsi="Arial Narrow" w:cs="Arial"/>
                <w:b/>
                <w:sz w:val="20"/>
                <w:szCs w:val="20"/>
                <w:lang w:eastAsia="en-AU"/>
              </w:rPr>
              <w:t>Population criteria:</w:t>
            </w:r>
          </w:p>
          <w:p w:rsidR="008E5DDC" w:rsidRPr="00A03EB8" w:rsidRDefault="008E5DDC" w:rsidP="00AC557E">
            <w:pPr>
              <w:spacing w:before="0" w:after="0"/>
              <w:rPr>
                <w:rFonts w:ascii="Arial Narrow" w:eastAsia="Times New Roman" w:hAnsi="Arial Narrow" w:cs="Arial"/>
                <w:sz w:val="20"/>
                <w:szCs w:val="20"/>
                <w:lang w:eastAsia="en-AU"/>
              </w:rPr>
            </w:pP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pStyle w:val="ListParagraph"/>
              <w:numPr>
                <w:ilvl w:val="0"/>
                <w:numId w:val="24"/>
              </w:numPr>
              <w:spacing w:before="0" w:after="0"/>
              <w:ind w:left="255" w:hanging="255"/>
              <w:contextualSpacing/>
              <w:rPr>
                <w:rFonts w:ascii="Arial Narrow" w:eastAsia="Times New Roman" w:hAnsi="Arial Narrow" w:cs="Arial"/>
                <w:sz w:val="20"/>
                <w:szCs w:val="20"/>
                <w:lang w:eastAsia="en-AU"/>
              </w:rPr>
            </w:pPr>
            <w:r w:rsidRPr="00A03EB8">
              <w:rPr>
                <w:rFonts w:ascii="Arial Narrow" w:eastAsia="Times New Roman" w:hAnsi="Arial Narrow" w:cs="Times New Roman"/>
                <w:sz w:val="20"/>
                <w:szCs w:val="20"/>
                <w:lang w:eastAsia="en-AU"/>
              </w:rPr>
              <w:t>Patient must have onset of clinical signs and symptoms consistent with infantile-onset or childhood-onset SMA.</w:t>
            </w:r>
          </w:p>
        </w:tc>
      </w:tr>
      <w:tr w:rsidR="008E5DDC" w:rsidRPr="00A03EB8" w:rsidTr="00AC557E">
        <w:trPr>
          <w:cantSplit/>
          <w:trHeight w:val="360"/>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jc w:val="both"/>
              <w:rPr>
                <w:rFonts w:ascii="Arial Narrow" w:eastAsia="Times New Roman" w:hAnsi="Arial Narrow" w:cs="Arial"/>
                <w:b/>
                <w:sz w:val="20"/>
                <w:szCs w:val="20"/>
                <w:lang w:eastAsia="en-AU"/>
              </w:rPr>
            </w:pPr>
            <w:r w:rsidRPr="00A03EB8">
              <w:rPr>
                <w:rFonts w:ascii="Arial Narrow" w:eastAsia="Times New Roman" w:hAnsi="Arial Narrow" w:cs="Arial"/>
                <w:b/>
                <w:sz w:val="20"/>
                <w:szCs w:val="20"/>
                <w:lang w:eastAsia="en-AU"/>
              </w:rPr>
              <w:t>Prescriber Instructions</w:t>
            </w:r>
          </w:p>
          <w:p w:rsidR="008E5DDC" w:rsidRPr="00A03EB8" w:rsidRDefault="008E5DDC" w:rsidP="00AC557E">
            <w:pPr>
              <w:spacing w:before="0" w:after="0"/>
              <w:jc w:val="both"/>
              <w:rPr>
                <w:rFonts w:ascii="Arial Narrow" w:eastAsia="Times New Roman" w:hAnsi="Arial Narrow" w:cs="Arial"/>
                <w:sz w:val="20"/>
                <w:szCs w:val="20"/>
                <w:lang w:eastAsia="en-AU"/>
              </w:rPr>
            </w:pP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pStyle w:val="ListParagraph"/>
              <w:numPr>
                <w:ilvl w:val="0"/>
                <w:numId w:val="23"/>
              </w:numPr>
              <w:spacing w:before="0" w:after="0"/>
              <w:ind w:left="255" w:hanging="255"/>
              <w:contextualSpacing/>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The authority application must be in writing and must include:</w:t>
            </w:r>
          </w:p>
          <w:p w:rsidR="008E5DDC" w:rsidRPr="00A03EB8" w:rsidRDefault="008E5DDC" w:rsidP="00AC557E">
            <w:pPr>
              <w:spacing w:before="0" w:after="0"/>
              <w:ind w:left="539" w:hanging="284"/>
              <w:contextualSpacing/>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(1)</w:t>
            </w:r>
            <w:r w:rsidRPr="00A03EB8">
              <w:rPr>
                <w:rFonts w:ascii="Arial Narrow" w:eastAsia="Times New Roman" w:hAnsi="Arial Narrow" w:cs="Arial"/>
                <w:sz w:val="20"/>
                <w:szCs w:val="20"/>
                <w:lang w:eastAsia="en-AU"/>
              </w:rPr>
              <w:tab/>
              <w:t>a completed authority prescription form; and</w:t>
            </w:r>
          </w:p>
          <w:p w:rsidR="008E5DDC" w:rsidRPr="00A03EB8" w:rsidRDefault="008E5DDC" w:rsidP="00AC557E">
            <w:pPr>
              <w:spacing w:before="0" w:after="0"/>
              <w:ind w:left="539" w:hanging="284"/>
              <w:contextualSpacing/>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(2)</w:t>
            </w:r>
            <w:r w:rsidRPr="00A03EB8">
              <w:rPr>
                <w:rFonts w:ascii="Arial Narrow" w:eastAsia="Times New Roman" w:hAnsi="Arial Narrow" w:cs="Arial"/>
                <w:sz w:val="20"/>
                <w:szCs w:val="20"/>
                <w:lang w:eastAsia="en-AU"/>
              </w:rPr>
              <w:tab/>
              <w:t>a signed patient acknowledgement; or an acknowledgement signed by a parent or authorised guardian, if applicable; and</w:t>
            </w:r>
          </w:p>
          <w:p w:rsidR="008E5DDC" w:rsidRPr="00A03EB8" w:rsidRDefault="008E5DDC" w:rsidP="00AC557E">
            <w:pPr>
              <w:spacing w:before="0" w:after="0"/>
              <w:ind w:left="539" w:hanging="284"/>
              <w:contextualSpacing/>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(3)</w:t>
            </w:r>
            <w:r w:rsidRPr="00A03EB8">
              <w:rPr>
                <w:rFonts w:ascii="Arial Narrow" w:eastAsia="Times New Roman" w:hAnsi="Arial Narrow" w:cs="Arial"/>
                <w:sz w:val="20"/>
                <w:szCs w:val="20"/>
                <w:lang w:eastAsia="en-AU"/>
              </w:rPr>
              <w:tab/>
              <w:t xml:space="preserve">a copy of the pathology report detailing the molecular testing for 5q SMN </w:t>
            </w:r>
            <w:r w:rsidRPr="00A03EB8">
              <w:rPr>
                <w:rFonts w:ascii="Arial Narrow" w:eastAsia="Calibri" w:hAnsi="Arial Narrow" w:cs="Arial"/>
                <w:sz w:val="20"/>
                <w:szCs w:val="20"/>
              </w:rPr>
              <w:t>homozygous gene deletion, homozygous gene mutation, or compound heterozygote</w:t>
            </w:r>
            <w:r w:rsidRPr="00A03EB8">
              <w:rPr>
                <w:rFonts w:ascii="Arial Narrow" w:eastAsia="Times New Roman" w:hAnsi="Arial Narrow" w:cs="Arial"/>
                <w:sz w:val="20"/>
                <w:szCs w:val="20"/>
                <w:lang w:eastAsia="en-AU"/>
              </w:rPr>
              <w:t>.</w:t>
            </w:r>
          </w:p>
        </w:tc>
      </w:tr>
      <w:tr w:rsidR="008E5DDC" w:rsidRPr="00A03EB8" w:rsidTr="00AC557E">
        <w:trPr>
          <w:cantSplit/>
          <w:trHeight w:val="360"/>
        </w:trPr>
        <w:tc>
          <w:tcPr>
            <w:tcW w:w="2127"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spacing w:before="0" w:after="0"/>
              <w:jc w:val="both"/>
              <w:rPr>
                <w:rFonts w:ascii="Arial Narrow" w:eastAsia="Times New Roman" w:hAnsi="Arial Narrow" w:cs="Arial"/>
                <w:b/>
                <w:sz w:val="20"/>
                <w:szCs w:val="20"/>
                <w:lang w:eastAsia="en-AU"/>
              </w:rPr>
            </w:pPr>
            <w:r w:rsidRPr="00A03EB8">
              <w:rPr>
                <w:rFonts w:ascii="Arial Narrow" w:eastAsia="Times New Roman" w:hAnsi="Arial Narrow" w:cs="Arial"/>
                <w:b/>
                <w:sz w:val="20"/>
                <w:szCs w:val="20"/>
                <w:lang w:eastAsia="en-AU"/>
              </w:rPr>
              <w:t>Administrative Advice</w:t>
            </w:r>
          </w:p>
          <w:p w:rsidR="008E5DDC" w:rsidRPr="00A03EB8" w:rsidRDefault="008E5DDC" w:rsidP="00AC557E">
            <w:pPr>
              <w:spacing w:before="0" w:after="0"/>
              <w:jc w:val="both"/>
              <w:rPr>
                <w:rFonts w:ascii="Arial Narrow" w:eastAsia="Times New Roman" w:hAnsi="Arial Narrow" w:cs="Arial"/>
                <w:sz w:val="20"/>
                <w:szCs w:val="20"/>
                <w:lang w:eastAsia="en-AU"/>
              </w:rPr>
            </w:pPr>
          </w:p>
        </w:tc>
        <w:tc>
          <w:tcPr>
            <w:tcW w:w="7058" w:type="dxa"/>
            <w:tcBorders>
              <w:top w:val="single" w:sz="4" w:space="0" w:color="auto"/>
              <w:left w:val="single" w:sz="4" w:space="0" w:color="auto"/>
              <w:bottom w:val="single" w:sz="4" w:space="0" w:color="auto"/>
              <w:right w:val="single" w:sz="4" w:space="0" w:color="auto"/>
            </w:tcBorders>
          </w:tcPr>
          <w:p w:rsidR="008E5DDC" w:rsidRPr="00A03EB8" w:rsidRDefault="008E5DDC" w:rsidP="00AC557E">
            <w:pPr>
              <w:pStyle w:val="ListParagraph"/>
              <w:numPr>
                <w:ilvl w:val="0"/>
                <w:numId w:val="22"/>
              </w:numPr>
              <w:spacing w:before="0" w:after="0"/>
              <w:ind w:left="255" w:hanging="255"/>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Special Pricing Arrangements apply.</w:t>
            </w:r>
          </w:p>
          <w:p w:rsidR="008E5DDC" w:rsidRPr="00A03EB8" w:rsidRDefault="008E5DDC" w:rsidP="00AC557E">
            <w:pPr>
              <w:pStyle w:val="ListParagraph"/>
              <w:numPr>
                <w:ilvl w:val="0"/>
                <w:numId w:val="22"/>
              </w:numPr>
              <w:spacing w:before="0" w:after="0"/>
              <w:ind w:left="255" w:hanging="255"/>
              <w:rPr>
                <w:rFonts w:ascii="Arial Narrow" w:eastAsia="Times New Roman" w:hAnsi="Arial Narrow" w:cs="Arial"/>
                <w:sz w:val="20"/>
                <w:szCs w:val="20"/>
                <w:lang w:eastAsia="en-AU"/>
              </w:rPr>
            </w:pPr>
            <w:r w:rsidRPr="00A03EB8">
              <w:rPr>
                <w:rFonts w:ascii="Arial Narrow" w:eastAsia="Times New Roman" w:hAnsi="Arial Narrow" w:cs="Arial"/>
                <w:sz w:val="20"/>
                <w:szCs w:val="20"/>
                <w:lang w:eastAsia="en-AU"/>
              </w:rPr>
              <w:t>No increase in the maximum number of repeats may be authorised.</w:t>
            </w:r>
          </w:p>
        </w:tc>
      </w:tr>
    </w:tbl>
    <w:p w:rsidR="005D30DD" w:rsidRPr="00352D6A" w:rsidRDefault="005D30DD" w:rsidP="005D30DD">
      <w:pPr>
        <w:pStyle w:val="ListParagraph"/>
        <w:numPr>
          <w:ilvl w:val="1"/>
          <w:numId w:val="2"/>
        </w:numPr>
        <w:jc w:val="both"/>
      </w:pPr>
      <w:r w:rsidRPr="00352D6A">
        <w:t xml:space="preserve">The DUSC noted that the restriction is broader than the trial population as it includes 15-18 year old patients and adults who developed symptoms in childhood. </w:t>
      </w:r>
      <w:r w:rsidR="00720D06" w:rsidRPr="00352D6A">
        <w:t>Additionally t</w:t>
      </w:r>
      <w:r w:rsidRPr="00352D6A">
        <w:t>he age of symptom onset may be subject to recall bias.</w:t>
      </w:r>
    </w:p>
    <w:p w:rsidR="001334D8" w:rsidRPr="00A03EB8" w:rsidRDefault="001334D8" w:rsidP="005D071D">
      <w:pPr>
        <w:pStyle w:val="ListParagraph"/>
        <w:numPr>
          <w:ilvl w:val="1"/>
          <w:numId w:val="2"/>
        </w:numPr>
        <w:jc w:val="both"/>
      </w:pPr>
      <w:r w:rsidRPr="00A03EB8">
        <w:t xml:space="preserve">The submission proposed a special pricing arrangement </w:t>
      </w:r>
      <w:r w:rsidR="005F0590">
        <w:rPr>
          <w:noProof/>
          <w:color w:val="000000"/>
          <w:highlight w:val="black"/>
        </w:rPr>
        <w:t>''''''''' ''''''''''''' ''''''''''' ''''''' '''''''' '''' ''''''' '''' ''''''' '''''''' '''''''' '''''''''''''' ''''''''''' '''''''''''''''''''' ''''''''''''''''' '''''' '''''''''''' ''''' '''''''''''''''''''''' ''''' '''''''''''''''' '''''' '''''''''''''''''' '''''''''''''''' ''''''''''''' '''''' ''''''' '''''''' ''''''''' '''''''''' '''''' ''''''''''''''' '''''''''''''''''' '''''''''''''''''''</w:t>
      </w:r>
      <w:r w:rsidRPr="00A03EB8">
        <w:t xml:space="preserve">  </w:t>
      </w:r>
    </w:p>
    <w:p w:rsidR="00E311E2" w:rsidRPr="00A03EB8" w:rsidRDefault="00E311E2" w:rsidP="00E311E2">
      <w:pPr>
        <w:pStyle w:val="ListParagraph"/>
        <w:ind w:left="576"/>
        <w:jc w:val="both"/>
      </w:pPr>
      <w:r w:rsidRPr="00352D6A">
        <w:rPr>
          <w:rFonts w:ascii="Calibri" w:eastAsia="Times New Roman" w:hAnsi="Calibri" w:cs="Times New Roman"/>
          <w:i/>
        </w:rPr>
        <w:t>For more detail on PBAC’s view, see section 7 PBAC outcome</w:t>
      </w:r>
    </w:p>
    <w:p w:rsidR="001334D8" w:rsidRPr="00A03EB8" w:rsidRDefault="001334D8" w:rsidP="007A3413">
      <w:pPr>
        <w:pStyle w:val="Heading1"/>
        <w:ind w:left="709" w:hanging="709"/>
        <w:jc w:val="both"/>
      </w:pPr>
      <w:bookmarkStart w:id="5" w:name="_Toc413139273"/>
      <w:bookmarkStart w:id="6" w:name="_Toc490533767"/>
      <w:r w:rsidRPr="00A03EB8">
        <w:lastRenderedPageBreak/>
        <w:t>Background</w:t>
      </w:r>
      <w:bookmarkEnd w:id="5"/>
      <w:bookmarkEnd w:id="6"/>
    </w:p>
    <w:p w:rsidR="001334D8" w:rsidRPr="00A03EB8" w:rsidRDefault="001334D8" w:rsidP="007A3413">
      <w:pPr>
        <w:pStyle w:val="Heading2"/>
        <w:jc w:val="both"/>
        <w:rPr>
          <w:i w:val="0"/>
        </w:rPr>
      </w:pPr>
      <w:bookmarkStart w:id="7" w:name="_Toc490533768"/>
      <w:r w:rsidRPr="00A03EB8">
        <w:rPr>
          <w:i w:val="0"/>
        </w:rPr>
        <w:t>Registration status</w:t>
      </w:r>
      <w:bookmarkEnd w:id="7"/>
    </w:p>
    <w:p w:rsidR="001334D8" w:rsidRPr="00A03EB8" w:rsidRDefault="001334D8" w:rsidP="005D071D">
      <w:pPr>
        <w:pStyle w:val="ListParagraph"/>
        <w:numPr>
          <w:ilvl w:val="1"/>
          <w:numId w:val="2"/>
        </w:numPr>
        <w:spacing w:before="0" w:after="120"/>
        <w:jc w:val="both"/>
      </w:pPr>
      <w:r w:rsidRPr="00A03EB8">
        <w:t>TGA status: The submission was made un</w:t>
      </w:r>
      <w:r w:rsidR="005D071D" w:rsidRPr="00A03EB8">
        <w:t xml:space="preserve">der TGA/PBAC Parallel Process. </w:t>
      </w:r>
      <w:r w:rsidRPr="00A03EB8">
        <w:t xml:space="preserve">At the time of evaluation for PBAC consideration, the </w:t>
      </w:r>
      <w:r w:rsidR="002D5456" w:rsidRPr="00A03EB8">
        <w:t>TGA D</w:t>
      </w:r>
      <w:r w:rsidR="00C74537" w:rsidRPr="00A03EB8">
        <w:t>elegate’</w:t>
      </w:r>
      <w:r w:rsidR="002D5456" w:rsidRPr="00A03EB8">
        <w:t>s O</w:t>
      </w:r>
      <w:r w:rsidR="00C74537" w:rsidRPr="00A03EB8">
        <w:t xml:space="preserve">verview was available. </w:t>
      </w:r>
    </w:p>
    <w:p w:rsidR="001334D8" w:rsidRPr="00A03EB8" w:rsidRDefault="001334D8" w:rsidP="007A3413">
      <w:pPr>
        <w:pStyle w:val="Heading1"/>
        <w:ind w:left="709" w:hanging="709"/>
        <w:jc w:val="both"/>
      </w:pPr>
      <w:bookmarkStart w:id="8" w:name="_Toc490533769"/>
      <w:r w:rsidRPr="00A03EB8">
        <w:t>Population and disease</w:t>
      </w:r>
      <w:bookmarkEnd w:id="8"/>
    </w:p>
    <w:p w:rsidR="008E7E21" w:rsidRPr="00352D6A" w:rsidRDefault="001334D8" w:rsidP="005D071D">
      <w:pPr>
        <w:pStyle w:val="ListParagraph"/>
        <w:numPr>
          <w:ilvl w:val="1"/>
          <w:numId w:val="2"/>
        </w:numPr>
        <w:jc w:val="both"/>
      </w:pPr>
      <w:r w:rsidRPr="00A03EB8">
        <w:t>Spinal muscular atrophy is an autosomal recessive progressive neuromuscular disease caused by mutations or deletions in the survival-of-motor-neuron 1 (SMN-1) gene on chromosome 5q. Alterations to this gene result in deficiency of SMN protein, which in turn results in loss of motor function and respiratory failure. Respiratory muscle failure is the major cause of morbidity and mortality for patients with SMA.</w:t>
      </w:r>
      <w:r w:rsidRPr="00A03EB8" w:rsidDel="003679AE">
        <w:t xml:space="preserve"> </w:t>
      </w:r>
      <w:r w:rsidRPr="00A03EB8">
        <w:t xml:space="preserve">As patients have a varying number of SMN-2 gene copies, there is a clinical spectrum of disease with earlier age of onset being associated with increased severity of symptoms. The disease affects motor function, survival, growth and electrophysiology. Table </w:t>
      </w:r>
      <w:r w:rsidR="00996D48" w:rsidRPr="00A03EB8">
        <w:t>3</w:t>
      </w:r>
      <w:r w:rsidRPr="00A03EB8">
        <w:t xml:space="preserve"> details the typical features of each SMA type. </w:t>
      </w:r>
      <w:r w:rsidR="001B57DA" w:rsidRPr="00352D6A">
        <w:rPr>
          <w:i/>
        </w:rPr>
        <w:t xml:space="preserve"> </w:t>
      </w:r>
    </w:p>
    <w:p w:rsidR="001334D8" w:rsidRPr="00A03EB8" w:rsidRDefault="00F45CC6" w:rsidP="005D071D">
      <w:pPr>
        <w:pStyle w:val="ListParagraph"/>
        <w:numPr>
          <w:ilvl w:val="1"/>
          <w:numId w:val="2"/>
        </w:numPr>
        <w:jc w:val="both"/>
      </w:pPr>
      <w:r w:rsidRPr="00A03EB8">
        <w:t>The correlation between the number of SMN-2 gene copies and clinical manifestation</w:t>
      </w:r>
      <w:r w:rsidR="001E701B" w:rsidRPr="00A03EB8">
        <w:t xml:space="preserve"> (i.e. </w:t>
      </w:r>
      <w:r w:rsidR="002E255F" w:rsidRPr="00A03EB8">
        <w:t>the SMA type)</w:t>
      </w:r>
      <w:r w:rsidRPr="00A03EB8">
        <w:t xml:space="preserve"> of SMA is poor as other factors such as </w:t>
      </w:r>
      <w:r w:rsidR="00567C4B" w:rsidRPr="00A03EB8">
        <w:t>sequence variations within the SMN-2 gene may modify the phenotype.</w:t>
      </w:r>
      <w:r w:rsidR="00582E1E" w:rsidRPr="00A03EB8">
        <w:rPr>
          <w:i/>
        </w:rPr>
        <w:t xml:space="preserve"> </w:t>
      </w:r>
      <w:r w:rsidR="00567C4B" w:rsidRPr="00A03EB8">
        <w:rPr>
          <w:i/>
        </w:rPr>
        <w:t xml:space="preserve"> </w:t>
      </w:r>
    </w:p>
    <w:p w:rsidR="007A3413" w:rsidRPr="00352D6A" w:rsidRDefault="001334D8" w:rsidP="00352D6A">
      <w:pPr>
        <w:spacing w:before="0" w:line="259" w:lineRule="auto"/>
        <w:rPr>
          <w:rFonts w:ascii="Arial Narrow" w:hAnsi="Arial Narrow"/>
          <w:sz w:val="18"/>
          <w:szCs w:val="18"/>
        </w:rPr>
      </w:pPr>
      <w:r w:rsidRPr="00352D6A">
        <w:rPr>
          <w:rFonts w:ascii="Arial Narrow" w:hAnsi="Arial Narrow"/>
          <w:b/>
          <w:sz w:val="20"/>
          <w:szCs w:val="20"/>
        </w:rPr>
        <w:t xml:space="preserve">Table </w:t>
      </w:r>
      <w:r w:rsidR="00996D48" w:rsidRPr="00352D6A">
        <w:rPr>
          <w:rFonts w:ascii="Arial Narrow" w:hAnsi="Arial Narrow"/>
          <w:b/>
          <w:sz w:val="20"/>
          <w:szCs w:val="20"/>
        </w:rPr>
        <w:t>3</w:t>
      </w:r>
      <w:r w:rsidRPr="00352D6A">
        <w:rPr>
          <w:rFonts w:ascii="Arial Narrow" w:hAnsi="Arial Narrow"/>
          <w:b/>
          <w:sz w:val="20"/>
          <w:szCs w:val="20"/>
        </w:rPr>
        <w:t>: Classification of SMA based on age of onset and maximal motor function achieved</w:t>
      </w:r>
      <w:r w:rsidRPr="00352D6A">
        <w:rPr>
          <w:rFonts w:ascii="Arial Narrow" w:hAnsi="Arial Narrow"/>
          <w:sz w:val="18"/>
          <w:szCs w:val="18"/>
        </w:rPr>
        <w:t xml:space="preserve">  </w:t>
      </w:r>
    </w:p>
    <w:tbl>
      <w:tblPr>
        <w:tblW w:w="5000" w:type="pct"/>
        <w:tblCellMar>
          <w:left w:w="28" w:type="dxa"/>
          <w:right w:w="28" w:type="dxa"/>
        </w:tblCellMar>
        <w:tblLook w:val="04A0" w:firstRow="1" w:lastRow="0" w:firstColumn="1" w:lastColumn="0" w:noHBand="0" w:noVBand="1"/>
      </w:tblPr>
      <w:tblGrid>
        <w:gridCol w:w="1340"/>
        <w:gridCol w:w="1132"/>
        <w:gridCol w:w="1377"/>
        <w:gridCol w:w="1184"/>
        <w:gridCol w:w="961"/>
        <w:gridCol w:w="1858"/>
        <w:gridCol w:w="1230"/>
      </w:tblGrid>
      <w:tr w:rsidR="007A3413" w:rsidRPr="00A03EB8" w:rsidTr="00880BEE">
        <w:trPr>
          <w:cantSplit/>
        </w:trPr>
        <w:tc>
          <w:tcPr>
            <w:tcW w:w="738" w:type="pct"/>
            <w:tcBorders>
              <w:top w:val="single" w:sz="4" w:space="0" w:color="auto"/>
              <w:left w:val="single" w:sz="8" w:space="0" w:color="000000"/>
              <w:bottom w:val="single" w:sz="8" w:space="0" w:color="000000"/>
              <w:right w:val="single" w:sz="8" w:space="0" w:color="000000"/>
            </w:tcBorders>
            <w:vAlign w:val="center"/>
          </w:tcPr>
          <w:p w:rsidR="007A3413" w:rsidRPr="00A03EB8" w:rsidRDefault="007A3413" w:rsidP="00880BEE">
            <w:pPr>
              <w:snapToGrid w:val="0"/>
              <w:spacing w:before="40" w:after="40"/>
              <w:rPr>
                <w:rFonts w:ascii="Arial Narrow" w:hAnsi="Arial Narrow"/>
                <w:bCs/>
                <w:sz w:val="20"/>
                <w:szCs w:val="20"/>
              </w:rPr>
            </w:pPr>
            <w:r w:rsidRPr="00A03EB8">
              <w:rPr>
                <w:rFonts w:ascii="Arial Narrow" w:hAnsi="Arial Narrow"/>
                <w:b/>
                <w:bCs/>
                <w:sz w:val="20"/>
                <w:szCs w:val="20"/>
              </w:rPr>
              <w:t>Classification</w:t>
            </w:r>
          </w:p>
        </w:tc>
        <w:tc>
          <w:tcPr>
            <w:tcW w:w="623"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7A3413" w:rsidRPr="00A03EB8" w:rsidRDefault="007A3413" w:rsidP="00880BEE">
            <w:pPr>
              <w:snapToGrid w:val="0"/>
              <w:spacing w:before="40" w:after="40"/>
              <w:jc w:val="center"/>
              <w:rPr>
                <w:rFonts w:ascii="Arial Narrow" w:hAnsi="Arial Narrow"/>
                <w:bCs/>
                <w:sz w:val="20"/>
                <w:szCs w:val="20"/>
              </w:rPr>
            </w:pPr>
            <w:r w:rsidRPr="00A03EB8">
              <w:rPr>
                <w:rFonts w:ascii="Arial Narrow" w:hAnsi="Arial Narrow"/>
                <w:b/>
                <w:bCs/>
                <w:sz w:val="20"/>
                <w:szCs w:val="20"/>
              </w:rPr>
              <w:t>SMA type</w:t>
            </w:r>
          </w:p>
        </w:tc>
        <w:tc>
          <w:tcPr>
            <w:tcW w:w="758"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b/>
                <w:bCs/>
                <w:sz w:val="20"/>
                <w:szCs w:val="20"/>
              </w:rPr>
              <w:t>Age at symptom onset</w:t>
            </w:r>
          </w:p>
        </w:tc>
        <w:tc>
          <w:tcPr>
            <w:tcW w:w="652" w:type="pct"/>
            <w:tcBorders>
              <w:top w:val="single" w:sz="4" w:space="0" w:color="auto"/>
              <w:left w:val="nil"/>
              <w:bottom w:val="single" w:sz="8" w:space="0" w:color="000000"/>
              <w:right w:val="single" w:sz="8" w:space="0" w:color="000000"/>
            </w:tcBorders>
            <w:vAlign w:val="center"/>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b/>
                <w:bCs/>
                <w:sz w:val="20"/>
                <w:szCs w:val="20"/>
              </w:rPr>
              <w:t>Maximal motor milestone</w:t>
            </w:r>
          </w:p>
        </w:tc>
        <w:tc>
          <w:tcPr>
            <w:tcW w:w="529" w:type="pct"/>
            <w:tcBorders>
              <w:top w:val="single" w:sz="4" w:space="0" w:color="auto"/>
              <w:left w:val="nil"/>
              <w:bottom w:val="single" w:sz="8" w:space="0" w:color="000000"/>
              <w:right w:val="single" w:sz="4" w:space="0" w:color="auto"/>
            </w:tcBorders>
            <w:vAlign w:val="center"/>
          </w:tcPr>
          <w:p w:rsidR="007A3413" w:rsidRPr="00A03EB8" w:rsidRDefault="007A3413" w:rsidP="00880BEE">
            <w:pPr>
              <w:pStyle w:val="Default"/>
              <w:spacing w:before="40" w:after="40"/>
              <w:jc w:val="center"/>
              <w:rPr>
                <w:rFonts w:ascii="Arial Narrow" w:hAnsi="Arial Narrow"/>
                <w:b/>
                <w:color w:val="auto"/>
                <w:sz w:val="20"/>
                <w:szCs w:val="20"/>
                <w:lang w:val="en-AU"/>
              </w:rPr>
            </w:pPr>
            <w:r w:rsidRPr="00A03EB8">
              <w:rPr>
                <w:rFonts w:ascii="Arial Narrow" w:hAnsi="Arial Narrow"/>
                <w:b/>
                <w:bCs/>
                <w:sz w:val="20"/>
                <w:szCs w:val="20"/>
              </w:rPr>
              <w:t>SMN-2 copy number</w:t>
            </w:r>
          </w:p>
        </w:tc>
        <w:tc>
          <w:tcPr>
            <w:tcW w:w="1023" w:type="pct"/>
            <w:tcBorders>
              <w:top w:val="single" w:sz="4" w:space="0" w:color="auto"/>
              <w:left w:val="single" w:sz="4" w:space="0" w:color="auto"/>
              <w:bottom w:val="single" w:sz="8" w:space="0" w:color="000000"/>
              <w:right w:val="single" w:sz="4" w:space="0" w:color="auto"/>
            </w:tcBorders>
            <w:vAlign w:val="center"/>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b/>
                <w:bCs/>
                <w:sz w:val="20"/>
                <w:szCs w:val="20"/>
              </w:rPr>
              <w:t>Motor ability and additional features</w:t>
            </w:r>
          </w:p>
        </w:tc>
        <w:tc>
          <w:tcPr>
            <w:tcW w:w="677" w:type="pct"/>
            <w:tcBorders>
              <w:top w:val="single" w:sz="4" w:space="0" w:color="auto"/>
              <w:left w:val="single" w:sz="4" w:space="0" w:color="auto"/>
              <w:bottom w:val="single" w:sz="8" w:space="0" w:color="000000"/>
              <w:right w:val="single" w:sz="8" w:space="0" w:color="000000"/>
            </w:tcBorders>
            <w:vAlign w:val="center"/>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b/>
                <w:bCs/>
                <w:sz w:val="20"/>
                <w:szCs w:val="20"/>
              </w:rPr>
              <w:t>Prognosis^</w:t>
            </w:r>
          </w:p>
        </w:tc>
      </w:tr>
      <w:tr w:rsidR="007A3413" w:rsidRPr="00A03EB8" w:rsidTr="00880BEE">
        <w:trPr>
          <w:cantSplit/>
        </w:trPr>
        <w:tc>
          <w:tcPr>
            <w:tcW w:w="738" w:type="pct"/>
            <w:tcBorders>
              <w:top w:val="nil"/>
              <w:left w:val="single" w:sz="8" w:space="0" w:color="000000"/>
              <w:bottom w:val="single" w:sz="8" w:space="0" w:color="000000"/>
              <w:right w:val="single" w:sz="8" w:space="0" w:color="000000"/>
            </w:tcBorders>
            <w:vAlign w:val="center"/>
            <w:hideMark/>
          </w:tcPr>
          <w:p w:rsidR="007A3413" w:rsidRPr="00A03EB8" w:rsidRDefault="007A3413" w:rsidP="00880BEE">
            <w:pPr>
              <w:snapToGrid w:val="0"/>
              <w:spacing w:before="40" w:after="40"/>
              <w:rPr>
                <w:rFonts w:ascii="Arial Narrow" w:hAnsi="Arial Narrow"/>
                <w:bCs/>
                <w:sz w:val="20"/>
                <w:szCs w:val="20"/>
              </w:rPr>
            </w:pPr>
            <w:r w:rsidRPr="00A03EB8">
              <w:rPr>
                <w:rFonts w:ascii="Arial Narrow" w:hAnsi="Arial Narrow"/>
                <w:bCs/>
                <w:sz w:val="20"/>
                <w:szCs w:val="20"/>
              </w:rPr>
              <w:t>Pre-natal</w:t>
            </w:r>
          </w:p>
        </w:tc>
        <w:tc>
          <w:tcPr>
            <w:tcW w:w="6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A3413" w:rsidRPr="00A03EB8" w:rsidRDefault="007A3413" w:rsidP="00880BEE">
            <w:pPr>
              <w:snapToGrid w:val="0"/>
              <w:spacing w:before="40" w:after="40"/>
              <w:jc w:val="center"/>
              <w:rPr>
                <w:rFonts w:ascii="Arial Narrow" w:hAnsi="Arial Narrow"/>
                <w:bCs/>
                <w:sz w:val="20"/>
                <w:szCs w:val="20"/>
              </w:rPr>
            </w:pPr>
            <w:r w:rsidRPr="00A03EB8">
              <w:rPr>
                <w:rFonts w:ascii="Arial Narrow" w:hAnsi="Arial Narrow"/>
                <w:bCs/>
                <w:sz w:val="20"/>
                <w:szCs w:val="20"/>
              </w:rPr>
              <w:t>0</w:t>
            </w:r>
          </w:p>
        </w:tc>
        <w:tc>
          <w:tcPr>
            <w:tcW w:w="7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 xml:space="preserve">Pre-natal </w:t>
            </w:r>
            <w:r w:rsidRPr="00A03EB8">
              <w:rPr>
                <w:rFonts w:ascii="Arial Narrow" w:hAnsi="Arial Narrow"/>
                <w:color w:val="auto"/>
                <w:sz w:val="20"/>
                <w:szCs w:val="20"/>
                <w:lang w:val="en-AU"/>
              </w:rPr>
              <w:br/>
              <w:t>(before birth)</w:t>
            </w:r>
          </w:p>
        </w:tc>
        <w:tc>
          <w:tcPr>
            <w:tcW w:w="652" w:type="pct"/>
            <w:tcBorders>
              <w:top w:val="nil"/>
              <w:left w:val="nil"/>
              <w:bottom w:val="single" w:sz="8" w:space="0" w:color="000000"/>
              <w:right w:val="single" w:sz="8" w:space="0" w:color="000000"/>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None</w:t>
            </w:r>
          </w:p>
        </w:tc>
        <w:tc>
          <w:tcPr>
            <w:tcW w:w="529" w:type="pct"/>
            <w:tcBorders>
              <w:top w:val="single" w:sz="8" w:space="0" w:color="000000"/>
              <w:left w:val="nil"/>
              <w:bottom w:val="single" w:sz="8" w:space="0" w:color="000000"/>
              <w:right w:val="single" w:sz="4" w:space="0" w:color="auto"/>
            </w:tcBorders>
            <w:vAlign w:val="center"/>
            <w:hideMark/>
          </w:tcPr>
          <w:p w:rsidR="007A3413" w:rsidRPr="00A03EB8" w:rsidRDefault="007A3413" w:rsidP="00880BEE">
            <w:pPr>
              <w:pStyle w:val="Default"/>
              <w:spacing w:before="40" w:after="40"/>
              <w:jc w:val="center"/>
              <w:rPr>
                <w:rFonts w:ascii="Arial Narrow" w:hAnsi="Arial Narrow"/>
                <w:b/>
                <w:color w:val="auto"/>
                <w:sz w:val="20"/>
                <w:szCs w:val="20"/>
                <w:lang w:val="en-AU"/>
              </w:rPr>
            </w:pPr>
            <w:r w:rsidRPr="00A03EB8">
              <w:rPr>
                <w:rFonts w:ascii="Arial Narrow" w:hAnsi="Arial Narrow"/>
                <w:b/>
                <w:color w:val="auto"/>
                <w:sz w:val="20"/>
                <w:szCs w:val="20"/>
                <w:lang w:val="en-AU"/>
              </w:rPr>
              <w:t>1</w:t>
            </w:r>
          </w:p>
        </w:tc>
        <w:tc>
          <w:tcPr>
            <w:tcW w:w="1023" w:type="pct"/>
            <w:tcBorders>
              <w:top w:val="nil"/>
              <w:left w:val="single" w:sz="4" w:space="0" w:color="auto"/>
              <w:bottom w:val="single" w:sz="8" w:space="0" w:color="000000"/>
              <w:right w:val="single" w:sz="4" w:space="0" w:color="auto"/>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Severe hypotonia;</w:t>
            </w:r>
          </w:p>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Unable to sit or roll*</w:t>
            </w:r>
          </w:p>
        </w:tc>
        <w:tc>
          <w:tcPr>
            <w:tcW w:w="677" w:type="pct"/>
            <w:tcBorders>
              <w:top w:val="nil"/>
              <w:left w:val="single" w:sz="4" w:space="0" w:color="auto"/>
              <w:bottom w:val="single" w:sz="8" w:space="0" w:color="000000"/>
              <w:right w:val="single" w:sz="8" w:space="0" w:color="000000"/>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Death within weeks</w:t>
            </w:r>
          </w:p>
        </w:tc>
      </w:tr>
      <w:tr w:rsidR="007A3413" w:rsidRPr="00A03EB8" w:rsidTr="00880BEE">
        <w:trPr>
          <w:cantSplit/>
        </w:trPr>
        <w:tc>
          <w:tcPr>
            <w:tcW w:w="738" w:type="pct"/>
            <w:tcBorders>
              <w:top w:val="nil"/>
              <w:left w:val="single" w:sz="8" w:space="0" w:color="000000"/>
              <w:bottom w:val="single" w:sz="8" w:space="0" w:color="000000"/>
              <w:right w:val="single" w:sz="8" w:space="0" w:color="000000"/>
            </w:tcBorders>
            <w:vAlign w:val="center"/>
            <w:hideMark/>
          </w:tcPr>
          <w:p w:rsidR="007A3413" w:rsidRPr="00A03EB8" w:rsidRDefault="007A3413" w:rsidP="00880BEE">
            <w:pPr>
              <w:snapToGrid w:val="0"/>
              <w:spacing w:before="40" w:after="40"/>
              <w:rPr>
                <w:rFonts w:ascii="Arial Narrow" w:hAnsi="Arial Narrow"/>
                <w:bCs/>
                <w:sz w:val="20"/>
                <w:szCs w:val="20"/>
              </w:rPr>
            </w:pPr>
            <w:r w:rsidRPr="00A03EB8">
              <w:rPr>
                <w:rFonts w:ascii="Arial Narrow" w:hAnsi="Arial Narrow"/>
                <w:bCs/>
                <w:sz w:val="20"/>
                <w:szCs w:val="20"/>
              </w:rPr>
              <w:t>Infantile-onset</w:t>
            </w:r>
          </w:p>
        </w:tc>
        <w:tc>
          <w:tcPr>
            <w:tcW w:w="6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A3413" w:rsidRPr="00A03EB8" w:rsidRDefault="007A3413" w:rsidP="00880BEE">
            <w:pPr>
              <w:snapToGrid w:val="0"/>
              <w:spacing w:before="40" w:after="40"/>
              <w:jc w:val="center"/>
              <w:rPr>
                <w:rFonts w:ascii="Arial Narrow" w:hAnsi="Arial Narrow"/>
                <w:bCs/>
                <w:sz w:val="20"/>
                <w:szCs w:val="20"/>
                <w:lang w:eastAsia="ja-JP"/>
              </w:rPr>
            </w:pPr>
            <w:r w:rsidRPr="00A03EB8">
              <w:rPr>
                <w:rFonts w:ascii="Arial Narrow" w:hAnsi="Arial Narrow"/>
                <w:bCs/>
                <w:sz w:val="20"/>
                <w:szCs w:val="20"/>
              </w:rPr>
              <w:t>I</w:t>
            </w:r>
          </w:p>
        </w:tc>
        <w:tc>
          <w:tcPr>
            <w:tcW w:w="7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 xml:space="preserve">&lt;6 months </w:t>
            </w:r>
          </w:p>
        </w:tc>
        <w:tc>
          <w:tcPr>
            <w:tcW w:w="652" w:type="pct"/>
            <w:tcBorders>
              <w:top w:val="nil"/>
              <w:left w:val="nil"/>
              <w:bottom w:val="single" w:sz="8" w:space="0" w:color="000000"/>
              <w:right w:val="single" w:sz="8" w:space="0" w:color="000000"/>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None</w:t>
            </w:r>
          </w:p>
        </w:tc>
        <w:tc>
          <w:tcPr>
            <w:tcW w:w="529" w:type="pct"/>
            <w:tcBorders>
              <w:top w:val="single" w:sz="8" w:space="0" w:color="000000"/>
              <w:left w:val="nil"/>
              <w:bottom w:val="single" w:sz="8" w:space="0" w:color="000000"/>
              <w:right w:val="single" w:sz="4" w:space="0" w:color="auto"/>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 xml:space="preserve">1, </w:t>
            </w:r>
            <w:r w:rsidRPr="00A03EB8">
              <w:rPr>
                <w:rFonts w:ascii="Arial Narrow" w:hAnsi="Arial Narrow"/>
                <w:b/>
                <w:color w:val="auto"/>
                <w:sz w:val="20"/>
                <w:szCs w:val="20"/>
                <w:lang w:val="en-AU"/>
              </w:rPr>
              <w:t>2</w:t>
            </w:r>
            <w:r w:rsidRPr="00A03EB8">
              <w:rPr>
                <w:rFonts w:ascii="Arial Narrow" w:hAnsi="Arial Narrow"/>
                <w:color w:val="auto"/>
                <w:sz w:val="20"/>
                <w:szCs w:val="20"/>
                <w:lang w:val="en-AU"/>
              </w:rPr>
              <w:t>, 3</w:t>
            </w:r>
          </w:p>
        </w:tc>
        <w:tc>
          <w:tcPr>
            <w:tcW w:w="1023" w:type="pct"/>
            <w:tcBorders>
              <w:top w:val="nil"/>
              <w:left w:val="single" w:sz="4" w:space="0" w:color="auto"/>
              <w:bottom w:val="single" w:sz="8" w:space="0" w:color="000000"/>
              <w:right w:val="single" w:sz="4" w:space="0" w:color="auto"/>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Severe hypotonia;</w:t>
            </w:r>
          </w:p>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Unable to sit or roll</w:t>
            </w:r>
            <w:r w:rsidRPr="00A03EB8">
              <w:rPr>
                <w:rFonts w:ascii="Arial Narrow" w:hAnsi="Arial Narrow"/>
                <w:color w:val="auto"/>
                <w:sz w:val="20"/>
                <w:szCs w:val="20"/>
                <w:vertAlign w:val="superscript"/>
                <w:lang w:val="en-AU"/>
              </w:rPr>
              <w:t>#</w:t>
            </w:r>
          </w:p>
        </w:tc>
        <w:tc>
          <w:tcPr>
            <w:tcW w:w="677" w:type="pct"/>
            <w:tcBorders>
              <w:top w:val="nil"/>
              <w:left w:val="single" w:sz="4" w:space="0" w:color="auto"/>
              <w:bottom w:val="single" w:sz="8" w:space="0" w:color="000000"/>
              <w:right w:val="single" w:sz="8" w:space="0" w:color="000000"/>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Death by 2 years</w:t>
            </w:r>
          </w:p>
        </w:tc>
      </w:tr>
      <w:tr w:rsidR="007A3413" w:rsidRPr="00A03EB8" w:rsidTr="00880BEE">
        <w:trPr>
          <w:cantSplit/>
        </w:trPr>
        <w:tc>
          <w:tcPr>
            <w:tcW w:w="738" w:type="pct"/>
            <w:vMerge w:val="restart"/>
            <w:tcBorders>
              <w:top w:val="nil"/>
              <w:left w:val="single" w:sz="8" w:space="0" w:color="000000"/>
              <w:bottom w:val="single" w:sz="8" w:space="0" w:color="000000"/>
              <w:right w:val="single" w:sz="8" w:space="0" w:color="000000"/>
            </w:tcBorders>
            <w:vAlign w:val="center"/>
            <w:hideMark/>
          </w:tcPr>
          <w:p w:rsidR="007A3413" w:rsidRPr="00A03EB8" w:rsidRDefault="007A3413" w:rsidP="00880BEE">
            <w:pPr>
              <w:snapToGrid w:val="0"/>
              <w:spacing w:before="40" w:after="40"/>
              <w:rPr>
                <w:rFonts w:ascii="Arial Narrow" w:hAnsi="Arial Narrow"/>
                <w:bCs/>
                <w:sz w:val="20"/>
                <w:szCs w:val="20"/>
                <w:lang w:eastAsia="ja-JP"/>
              </w:rPr>
            </w:pPr>
            <w:r w:rsidRPr="00A03EB8">
              <w:rPr>
                <w:rFonts w:ascii="Arial Narrow" w:hAnsi="Arial Narrow"/>
                <w:bCs/>
                <w:sz w:val="20"/>
                <w:szCs w:val="20"/>
                <w:lang w:eastAsia="ja-JP"/>
              </w:rPr>
              <w:t>Childhood-onset</w:t>
            </w:r>
          </w:p>
        </w:tc>
        <w:tc>
          <w:tcPr>
            <w:tcW w:w="6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A3413" w:rsidRPr="00A03EB8" w:rsidRDefault="007A3413" w:rsidP="00880BEE">
            <w:pPr>
              <w:snapToGrid w:val="0"/>
              <w:spacing w:before="40" w:after="40"/>
              <w:jc w:val="center"/>
              <w:rPr>
                <w:rFonts w:ascii="Arial Narrow" w:hAnsi="Arial Narrow"/>
                <w:bCs/>
                <w:sz w:val="20"/>
                <w:szCs w:val="20"/>
                <w:lang w:eastAsia="ja-JP"/>
              </w:rPr>
            </w:pPr>
            <w:r w:rsidRPr="00A03EB8">
              <w:rPr>
                <w:rFonts w:ascii="Arial Narrow" w:hAnsi="Arial Narrow"/>
                <w:bCs/>
                <w:sz w:val="20"/>
                <w:szCs w:val="20"/>
                <w:lang w:eastAsia="ja-JP"/>
              </w:rPr>
              <w:t>II</w:t>
            </w:r>
          </w:p>
        </w:tc>
        <w:tc>
          <w:tcPr>
            <w:tcW w:w="7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 xml:space="preserve">6 - 18 months </w:t>
            </w:r>
          </w:p>
        </w:tc>
        <w:tc>
          <w:tcPr>
            <w:tcW w:w="652" w:type="pct"/>
            <w:tcBorders>
              <w:top w:val="nil"/>
              <w:left w:val="nil"/>
              <w:bottom w:val="single" w:sz="8" w:space="0" w:color="000000"/>
              <w:right w:val="single" w:sz="8" w:space="0" w:color="000000"/>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Sitting</w:t>
            </w:r>
          </w:p>
        </w:tc>
        <w:tc>
          <w:tcPr>
            <w:tcW w:w="529" w:type="pct"/>
            <w:tcBorders>
              <w:top w:val="single" w:sz="8" w:space="0" w:color="000000"/>
              <w:left w:val="nil"/>
              <w:bottom w:val="single" w:sz="8" w:space="0" w:color="000000"/>
              <w:right w:val="single" w:sz="4" w:space="0" w:color="auto"/>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 xml:space="preserve">2, </w:t>
            </w:r>
            <w:r w:rsidRPr="00A03EB8">
              <w:rPr>
                <w:rFonts w:ascii="Arial Narrow" w:hAnsi="Arial Narrow"/>
                <w:b/>
                <w:color w:val="auto"/>
                <w:sz w:val="20"/>
                <w:szCs w:val="20"/>
                <w:lang w:val="en-AU"/>
              </w:rPr>
              <w:t>3</w:t>
            </w:r>
            <w:r w:rsidRPr="00A03EB8">
              <w:rPr>
                <w:rFonts w:ascii="Arial Narrow" w:hAnsi="Arial Narrow"/>
                <w:color w:val="auto"/>
                <w:sz w:val="20"/>
                <w:szCs w:val="20"/>
                <w:lang w:val="en-AU"/>
              </w:rPr>
              <w:t>, 4</w:t>
            </w:r>
          </w:p>
        </w:tc>
        <w:tc>
          <w:tcPr>
            <w:tcW w:w="1023" w:type="pct"/>
            <w:tcBorders>
              <w:top w:val="nil"/>
              <w:left w:val="single" w:sz="4" w:space="0" w:color="auto"/>
              <w:bottom w:val="single" w:sz="8" w:space="0" w:color="000000"/>
              <w:right w:val="single" w:sz="4" w:space="0" w:color="auto"/>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Proximal weakness; Unable to walk independently</w:t>
            </w:r>
          </w:p>
        </w:tc>
        <w:tc>
          <w:tcPr>
            <w:tcW w:w="677" w:type="pct"/>
            <w:tcBorders>
              <w:top w:val="nil"/>
              <w:left w:val="single" w:sz="4" w:space="0" w:color="auto"/>
              <w:bottom w:val="single" w:sz="8" w:space="0" w:color="000000"/>
              <w:right w:val="single" w:sz="8" w:space="0" w:color="000000"/>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Survival into adulthood</w:t>
            </w:r>
          </w:p>
        </w:tc>
      </w:tr>
      <w:tr w:rsidR="007A3413" w:rsidRPr="00A03EB8" w:rsidTr="00880BEE">
        <w:trPr>
          <w:cantSplit/>
        </w:trPr>
        <w:tc>
          <w:tcPr>
            <w:tcW w:w="738" w:type="pct"/>
            <w:vMerge/>
            <w:tcBorders>
              <w:top w:val="nil"/>
              <w:left w:val="single" w:sz="8" w:space="0" w:color="000000"/>
              <w:bottom w:val="single" w:sz="8" w:space="0" w:color="000000"/>
              <w:right w:val="single" w:sz="8" w:space="0" w:color="000000"/>
            </w:tcBorders>
            <w:vAlign w:val="center"/>
            <w:hideMark/>
          </w:tcPr>
          <w:p w:rsidR="007A3413" w:rsidRPr="00A03EB8" w:rsidRDefault="007A3413" w:rsidP="00880BEE">
            <w:pPr>
              <w:spacing w:before="40" w:after="40"/>
              <w:rPr>
                <w:rFonts w:ascii="Arial Narrow" w:hAnsi="Arial Narrow"/>
                <w:bCs/>
                <w:sz w:val="20"/>
                <w:szCs w:val="20"/>
                <w:lang w:eastAsia="ja-JP"/>
              </w:rPr>
            </w:pPr>
          </w:p>
        </w:tc>
        <w:tc>
          <w:tcPr>
            <w:tcW w:w="6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A3413" w:rsidRPr="00A03EB8" w:rsidRDefault="007A3413" w:rsidP="00880BEE">
            <w:pPr>
              <w:snapToGrid w:val="0"/>
              <w:spacing w:before="40" w:after="40"/>
              <w:jc w:val="center"/>
              <w:rPr>
                <w:rFonts w:ascii="Arial Narrow" w:hAnsi="Arial Narrow"/>
                <w:bCs/>
                <w:sz w:val="20"/>
                <w:szCs w:val="20"/>
                <w:lang w:eastAsia="ja-JP"/>
              </w:rPr>
            </w:pPr>
            <w:r w:rsidRPr="00A03EB8">
              <w:rPr>
                <w:rFonts w:ascii="Arial Narrow" w:hAnsi="Arial Narrow"/>
                <w:bCs/>
                <w:sz w:val="20"/>
                <w:szCs w:val="20"/>
              </w:rPr>
              <w:t>III</w:t>
            </w:r>
          </w:p>
        </w:tc>
        <w:tc>
          <w:tcPr>
            <w:tcW w:w="7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&lt;3 years (IIIa)</w:t>
            </w:r>
          </w:p>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&gt;3 years (IIIb)</w:t>
            </w:r>
          </w:p>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 xml:space="preserve">&gt;12 to </w:t>
            </w:r>
            <w:r w:rsidRPr="00A03EB8">
              <w:rPr>
                <w:rFonts w:ascii="Arial Narrow" w:hAnsi="Arial Narrow" w:cs="Arial"/>
                <w:color w:val="auto"/>
                <w:sz w:val="20"/>
                <w:szCs w:val="20"/>
              </w:rPr>
              <w:t>≤</w:t>
            </w:r>
            <w:r w:rsidRPr="00A03EB8">
              <w:rPr>
                <w:rFonts w:ascii="Arial Narrow" w:hAnsi="Arial Narrow"/>
                <w:color w:val="auto"/>
                <w:sz w:val="20"/>
                <w:szCs w:val="20"/>
                <w:lang w:val="en-AU"/>
              </w:rPr>
              <w:t>18 years (IIIc)</w:t>
            </w:r>
          </w:p>
        </w:tc>
        <w:tc>
          <w:tcPr>
            <w:tcW w:w="652" w:type="pct"/>
            <w:tcBorders>
              <w:top w:val="nil"/>
              <w:left w:val="nil"/>
              <w:bottom w:val="single" w:sz="8" w:space="0" w:color="000000"/>
              <w:right w:val="single" w:sz="8" w:space="0" w:color="000000"/>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Walking</w:t>
            </w:r>
          </w:p>
        </w:tc>
        <w:tc>
          <w:tcPr>
            <w:tcW w:w="529" w:type="pct"/>
            <w:tcBorders>
              <w:top w:val="single" w:sz="8" w:space="0" w:color="000000"/>
              <w:left w:val="nil"/>
              <w:bottom w:val="single" w:sz="8" w:space="0" w:color="000000"/>
              <w:right w:val="single" w:sz="4" w:space="0" w:color="auto"/>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b/>
                <w:color w:val="auto"/>
                <w:sz w:val="20"/>
                <w:szCs w:val="20"/>
                <w:lang w:val="en-AU"/>
              </w:rPr>
              <w:t>3</w:t>
            </w:r>
            <w:r w:rsidRPr="00A03EB8">
              <w:rPr>
                <w:rFonts w:ascii="Arial Narrow" w:hAnsi="Arial Narrow"/>
                <w:color w:val="auto"/>
                <w:sz w:val="20"/>
                <w:szCs w:val="20"/>
                <w:lang w:val="en-AU"/>
              </w:rPr>
              <w:t>,</w:t>
            </w:r>
            <w:r w:rsidRPr="00A03EB8">
              <w:rPr>
                <w:rFonts w:ascii="Arial Narrow" w:hAnsi="Arial Narrow"/>
                <w:b/>
                <w:color w:val="auto"/>
                <w:sz w:val="20"/>
                <w:szCs w:val="20"/>
                <w:lang w:val="en-AU"/>
              </w:rPr>
              <w:t xml:space="preserve"> 4</w:t>
            </w:r>
            <w:r w:rsidRPr="00A03EB8">
              <w:rPr>
                <w:rFonts w:ascii="Arial Narrow" w:hAnsi="Arial Narrow"/>
                <w:color w:val="auto"/>
                <w:sz w:val="20"/>
                <w:szCs w:val="20"/>
                <w:lang w:val="en-AU"/>
              </w:rPr>
              <w:t>, 5</w:t>
            </w:r>
          </w:p>
        </w:tc>
        <w:tc>
          <w:tcPr>
            <w:tcW w:w="1023" w:type="pct"/>
            <w:tcBorders>
              <w:top w:val="nil"/>
              <w:left w:val="single" w:sz="4" w:space="0" w:color="auto"/>
              <w:bottom w:val="single" w:sz="8" w:space="0" w:color="000000"/>
              <w:right w:val="single" w:sz="4" w:space="0" w:color="auto"/>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May lose ability to walk</w:t>
            </w:r>
          </w:p>
        </w:tc>
        <w:tc>
          <w:tcPr>
            <w:tcW w:w="677" w:type="pct"/>
            <w:tcBorders>
              <w:top w:val="nil"/>
              <w:left w:val="single" w:sz="4" w:space="0" w:color="auto"/>
              <w:bottom w:val="single" w:sz="8" w:space="0" w:color="000000"/>
              <w:right w:val="single" w:sz="8" w:space="0" w:color="000000"/>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Normal lifespan</w:t>
            </w:r>
          </w:p>
        </w:tc>
      </w:tr>
      <w:tr w:rsidR="007A3413" w:rsidRPr="00A03EB8" w:rsidTr="00880BEE">
        <w:trPr>
          <w:cantSplit/>
        </w:trPr>
        <w:tc>
          <w:tcPr>
            <w:tcW w:w="738" w:type="pct"/>
            <w:tcBorders>
              <w:top w:val="nil"/>
              <w:left w:val="single" w:sz="8" w:space="0" w:color="000000"/>
              <w:bottom w:val="single" w:sz="8" w:space="0" w:color="000000"/>
              <w:right w:val="single" w:sz="8" w:space="0" w:color="000000"/>
            </w:tcBorders>
            <w:vAlign w:val="center"/>
            <w:hideMark/>
          </w:tcPr>
          <w:p w:rsidR="007A3413" w:rsidRPr="00A03EB8" w:rsidRDefault="007A3413" w:rsidP="00880BEE">
            <w:pPr>
              <w:snapToGrid w:val="0"/>
              <w:spacing w:before="40" w:after="40"/>
              <w:rPr>
                <w:rFonts w:ascii="Arial Narrow" w:hAnsi="Arial Narrow"/>
                <w:bCs/>
                <w:sz w:val="20"/>
                <w:szCs w:val="20"/>
              </w:rPr>
            </w:pPr>
            <w:r w:rsidRPr="00A03EB8">
              <w:rPr>
                <w:rFonts w:ascii="Arial Narrow" w:hAnsi="Arial Narrow"/>
                <w:bCs/>
                <w:sz w:val="20"/>
                <w:szCs w:val="20"/>
              </w:rPr>
              <w:t>Adult-onset</w:t>
            </w:r>
          </w:p>
        </w:tc>
        <w:tc>
          <w:tcPr>
            <w:tcW w:w="6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A3413" w:rsidRPr="00A03EB8" w:rsidRDefault="007A3413" w:rsidP="00880BEE">
            <w:pPr>
              <w:snapToGrid w:val="0"/>
              <w:spacing w:before="40" w:after="40"/>
              <w:jc w:val="center"/>
              <w:rPr>
                <w:rFonts w:ascii="Arial Narrow" w:hAnsi="Arial Narrow"/>
                <w:bCs/>
                <w:sz w:val="20"/>
                <w:szCs w:val="20"/>
                <w:lang w:eastAsia="ja-JP"/>
              </w:rPr>
            </w:pPr>
            <w:r w:rsidRPr="00A03EB8">
              <w:rPr>
                <w:rFonts w:ascii="Arial Narrow" w:hAnsi="Arial Narrow"/>
                <w:bCs/>
                <w:sz w:val="20"/>
                <w:szCs w:val="20"/>
              </w:rPr>
              <w:t>IV</w:t>
            </w:r>
          </w:p>
        </w:tc>
        <w:tc>
          <w:tcPr>
            <w:tcW w:w="7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&gt;18 years</w:t>
            </w:r>
          </w:p>
        </w:tc>
        <w:tc>
          <w:tcPr>
            <w:tcW w:w="652" w:type="pct"/>
            <w:tcBorders>
              <w:top w:val="nil"/>
              <w:left w:val="nil"/>
              <w:bottom w:val="single" w:sz="8" w:space="0" w:color="000000"/>
              <w:right w:val="single" w:sz="8" w:space="0" w:color="000000"/>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Normal</w:t>
            </w:r>
          </w:p>
        </w:tc>
        <w:tc>
          <w:tcPr>
            <w:tcW w:w="529" w:type="pct"/>
            <w:tcBorders>
              <w:top w:val="single" w:sz="8" w:space="0" w:color="000000"/>
              <w:left w:val="nil"/>
              <w:bottom w:val="single" w:sz="8" w:space="0" w:color="000000"/>
              <w:right w:val="single" w:sz="4" w:space="0" w:color="auto"/>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b/>
                <w:color w:val="auto"/>
                <w:sz w:val="20"/>
                <w:szCs w:val="20"/>
                <w:lang w:val="en-AU"/>
              </w:rPr>
              <w:t>4</w:t>
            </w:r>
            <w:r w:rsidRPr="00A03EB8">
              <w:rPr>
                <w:rFonts w:ascii="Arial Narrow" w:hAnsi="Arial Narrow"/>
                <w:color w:val="auto"/>
                <w:sz w:val="20"/>
                <w:szCs w:val="20"/>
                <w:lang w:val="en-AU"/>
              </w:rPr>
              <w:t>,</w:t>
            </w:r>
            <w:r w:rsidRPr="00A03EB8">
              <w:rPr>
                <w:rFonts w:ascii="Arial Narrow" w:hAnsi="Arial Narrow"/>
                <w:b/>
                <w:color w:val="auto"/>
                <w:sz w:val="20"/>
                <w:szCs w:val="20"/>
                <w:lang w:val="en-AU"/>
              </w:rPr>
              <w:t xml:space="preserve"> 5</w:t>
            </w:r>
            <w:r w:rsidRPr="00A03EB8">
              <w:rPr>
                <w:rFonts w:ascii="Arial Narrow" w:hAnsi="Arial Narrow"/>
                <w:color w:val="auto"/>
                <w:sz w:val="20"/>
                <w:szCs w:val="20"/>
                <w:lang w:val="en-AU"/>
              </w:rPr>
              <w:t>, 6</w:t>
            </w:r>
          </w:p>
        </w:tc>
        <w:tc>
          <w:tcPr>
            <w:tcW w:w="1023" w:type="pct"/>
            <w:tcBorders>
              <w:top w:val="nil"/>
              <w:left w:val="single" w:sz="4" w:space="0" w:color="auto"/>
              <w:bottom w:val="single" w:sz="8" w:space="0" w:color="000000"/>
              <w:right w:val="single" w:sz="4" w:space="0" w:color="auto"/>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Mild motor impairment</w:t>
            </w:r>
          </w:p>
        </w:tc>
        <w:tc>
          <w:tcPr>
            <w:tcW w:w="677" w:type="pct"/>
            <w:tcBorders>
              <w:top w:val="nil"/>
              <w:left w:val="single" w:sz="4" w:space="0" w:color="auto"/>
              <w:bottom w:val="single" w:sz="8" w:space="0" w:color="000000"/>
              <w:right w:val="single" w:sz="8" w:space="0" w:color="000000"/>
            </w:tcBorders>
            <w:vAlign w:val="center"/>
            <w:hideMark/>
          </w:tcPr>
          <w:p w:rsidR="007A3413" w:rsidRPr="00A03EB8" w:rsidRDefault="007A3413" w:rsidP="00880BEE">
            <w:pPr>
              <w:pStyle w:val="Default"/>
              <w:spacing w:before="40" w:after="40"/>
              <w:jc w:val="center"/>
              <w:rPr>
                <w:rFonts w:ascii="Arial Narrow" w:hAnsi="Arial Narrow"/>
                <w:color w:val="auto"/>
                <w:sz w:val="20"/>
                <w:szCs w:val="20"/>
                <w:lang w:val="en-AU"/>
              </w:rPr>
            </w:pPr>
            <w:r w:rsidRPr="00A03EB8">
              <w:rPr>
                <w:rFonts w:ascii="Arial Narrow" w:hAnsi="Arial Narrow"/>
                <w:color w:val="auto"/>
                <w:sz w:val="20"/>
                <w:szCs w:val="20"/>
                <w:lang w:val="en-AU"/>
              </w:rPr>
              <w:t>Normal lifespan</w:t>
            </w:r>
          </w:p>
        </w:tc>
      </w:tr>
    </w:tbl>
    <w:p w:rsidR="007A3413" w:rsidRPr="00A03EB8" w:rsidRDefault="007A3413" w:rsidP="007A3413">
      <w:pPr>
        <w:pStyle w:val="V50Instructions"/>
        <w:spacing w:before="0" w:after="0"/>
        <w:rPr>
          <w:rFonts w:ascii="Arial Narrow" w:hAnsi="Arial Narrow"/>
          <w:color w:val="auto"/>
          <w:sz w:val="18"/>
          <w:szCs w:val="18"/>
        </w:rPr>
      </w:pPr>
      <w:r w:rsidRPr="00A03EB8">
        <w:rPr>
          <w:rFonts w:ascii="Arial Narrow" w:hAnsi="Arial Narrow"/>
          <w:color w:val="auto"/>
          <w:sz w:val="18"/>
          <w:szCs w:val="18"/>
        </w:rPr>
        <w:t>Source: Table 1.1.1, p5 of the submission</w:t>
      </w:r>
    </w:p>
    <w:p w:rsidR="007A3413" w:rsidRPr="00A03EB8" w:rsidRDefault="007A3413" w:rsidP="007A3413">
      <w:pPr>
        <w:pStyle w:val="V50Instructions"/>
        <w:spacing w:before="0" w:after="0"/>
        <w:rPr>
          <w:rFonts w:ascii="Arial Narrow" w:hAnsi="Arial Narrow"/>
          <w:color w:val="auto"/>
          <w:sz w:val="18"/>
          <w:szCs w:val="18"/>
        </w:rPr>
      </w:pPr>
      <w:r w:rsidRPr="00A03EB8">
        <w:rPr>
          <w:rFonts w:ascii="Arial Narrow" w:hAnsi="Arial Narrow"/>
          <w:color w:val="auto"/>
          <w:sz w:val="18"/>
          <w:szCs w:val="18"/>
        </w:rPr>
        <w:t xml:space="preserve">SMA = spinal muscular atrophy; SMN-2 = survival-of-motor-neuron 2 gene </w:t>
      </w:r>
    </w:p>
    <w:p w:rsidR="007A3413" w:rsidRPr="00A03EB8" w:rsidRDefault="007A3413" w:rsidP="007A3413">
      <w:pPr>
        <w:tabs>
          <w:tab w:val="left" w:pos="284"/>
        </w:tabs>
        <w:spacing w:before="0" w:after="0"/>
        <w:rPr>
          <w:rFonts w:ascii="Arial Narrow" w:hAnsi="Arial Narrow"/>
          <w:sz w:val="18"/>
          <w:szCs w:val="18"/>
        </w:rPr>
      </w:pPr>
      <w:r w:rsidRPr="00A03EB8">
        <w:rPr>
          <w:rFonts w:ascii="Arial Narrow" w:hAnsi="Arial Narrow"/>
          <w:sz w:val="18"/>
          <w:szCs w:val="18"/>
        </w:rPr>
        <w:t>*</w:t>
      </w:r>
      <w:r w:rsidRPr="00A03EB8">
        <w:rPr>
          <w:rFonts w:ascii="Arial Narrow" w:hAnsi="Arial Narrow"/>
          <w:sz w:val="18"/>
          <w:szCs w:val="18"/>
        </w:rPr>
        <w:tab/>
        <w:t>Need for respiratory support at birth; contractures at birth, reduced foetal movements.</w:t>
      </w:r>
    </w:p>
    <w:p w:rsidR="007A3413" w:rsidRPr="00A03EB8" w:rsidRDefault="007A3413" w:rsidP="007A3413">
      <w:pPr>
        <w:tabs>
          <w:tab w:val="left" w:pos="284"/>
        </w:tabs>
        <w:spacing w:before="0" w:after="0"/>
        <w:rPr>
          <w:rFonts w:ascii="Arial Narrow" w:hAnsi="Arial Narrow"/>
          <w:sz w:val="18"/>
          <w:szCs w:val="18"/>
        </w:rPr>
      </w:pPr>
      <w:r w:rsidRPr="00A03EB8">
        <w:rPr>
          <w:rFonts w:ascii="Arial Narrow" w:hAnsi="Arial Narrow"/>
          <w:sz w:val="18"/>
          <w:szCs w:val="18"/>
        </w:rPr>
        <w:t>^</w:t>
      </w:r>
      <w:r w:rsidRPr="00A03EB8">
        <w:rPr>
          <w:rFonts w:ascii="Arial Narrow" w:hAnsi="Arial Narrow"/>
          <w:sz w:val="18"/>
          <w:szCs w:val="18"/>
        </w:rPr>
        <w:tab/>
        <w:t>Prognosis varies with phenotype and standard of care interventions</w:t>
      </w:r>
    </w:p>
    <w:p w:rsidR="007A3413" w:rsidRPr="00A03EB8" w:rsidRDefault="007A3413" w:rsidP="007A3413">
      <w:pPr>
        <w:tabs>
          <w:tab w:val="left" w:pos="284"/>
        </w:tabs>
        <w:spacing w:before="0" w:after="0"/>
        <w:rPr>
          <w:rFonts w:ascii="Arial Narrow" w:hAnsi="Arial Narrow"/>
          <w:sz w:val="18"/>
          <w:szCs w:val="18"/>
        </w:rPr>
      </w:pPr>
      <w:r w:rsidRPr="00A03EB8">
        <w:rPr>
          <w:rFonts w:ascii="Arial Narrow" w:hAnsi="Arial Narrow"/>
          <w:sz w:val="18"/>
          <w:szCs w:val="18"/>
        </w:rPr>
        <w:t>#</w:t>
      </w:r>
      <w:r w:rsidRPr="00A03EB8">
        <w:rPr>
          <w:rFonts w:ascii="Arial Narrow" w:hAnsi="Arial Narrow"/>
          <w:sz w:val="18"/>
          <w:szCs w:val="18"/>
        </w:rPr>
        <w:tab/>
        <w:t>Ia joint contractures present at birth; Ic may achieve head control.</w:t>
      </w:r>
    </w:p>
    <w:p w:rsidR="007A3413" w:rsidRPr="00A03EB8" w:rsidRDefault="007A3413" w:rsidP="005D071D">
      <w:pPr>
        <w:spacing w:before="0"/>
        <w:rPr>
          <w:rFonts w:ascii="Arial Narrow" w:hAnsi="Arial Narrow"/>
          <w:sz w:val="18"/>
          <w:szCs w:val="18"/>
        </w:rPr>
      </w:pPr>
      <w:r w:rsidRPr="00A03EB8">
        <w:rPr>
          <w:rFonts w:ascii="Arial Narrow" w:hAnsi="Arial Narrow"/>
          <w:sz w:val="18"/>
          <w:szCs w:val="18"/>
        </w:rPr>
        <w:t xml:space="preserve">Note: The most common number of copies of the SMN-2 gene for each type of SMA is bolded.  </w:t>
      </w:r>
    </w:p>
    <w:p w:rsidR="00E311E2" w:rsidRPr="00A03EB8" w:rsidRDefault="001334D8" w:rsidP="00352D6A">
      <w:pPr>
        <w:numPr>
          <w:ilvl w:val="1"/>
          <w:numId w:val="2"/>
        </w:numPr>
        <w:spacing w:before="0" w:after="120"/>
        <w:jc w:val="both"/>
      </w:pPr>
      <w:r w:rsidRPr="00A03EB8">
        <w:t xml:space="preserve">As there </w:t>
      </w:r>
      <w:r w:rsidR="007A3413" w:rsidRPr="00A03EB8">
        <w:t>i</w:t>
      </w:r>
      <w:r w:rsidRPr="00A03EB8">
        <w:t xml:space="preserve">s no therapy currently approved for the treatment of SMA, the submission proposed that nusinersen would be used first-line in addition to continuation of standard care. The proposed treatment algorithm included cessation of treatment for patients not meeting the continuation criteria, however continuation criteria were not proposed </w:t>
      </w:r>
      <w:r w:rsidR="008B178D" w:rsidRPr="00A03EB8">
        <w:t>in the requested restriction</w:t>
      </w:r>
      <w:r w:rsidRPr="00A03EB8">
        <w:t xml:space="preserve">. </w:t>
      </w:r>
      <w:r w:rsidR="005D30DD" w:rsidRPr="00352D6A">
        <w:t xml:space="preserve">The DUSC considered that patients are likely to </w:t>
      </w:r>
      <w:r w:rsidR="005D30DD" w:rsidRPr="00352D6A">
        <w:lastRenderedPageBreak/>
        <w:t>want to remain on treatment long term, noting the lack of alternative treatments and the progressive nature of the condition.</w:t>
      </w:r>
      <w:r w:rsidR="005D30DD" w:rsidRPr="00A03EB8">
        <w:rPr>
          <w:i/>
        </w:rPr>
        <w:t xml:space="preserve"> </w:t>
      </w:r>
    </w:p>
    <w:p w:rsidR="00E311E2" w:rsidRPr="00A03EB8" w:rsidRDefault="00E311E2" w:rsidP="00E311E2">
      <w:pPr>
        <w:spacing w:before="0" w:after="120"/>
        <w:ind w:left="576"/>
        <w:jc w:val="both"/>
      </w:pPr>
      <w:r w:rsidRPr="00352D6A">
        <w:rPr>
          <w:rFonts w:ascii="Calibri" w:eastAsia="Times New Roman" w:hAnsi="Calibri" w:cs="Times New Roman"/>
          <w:i/>
        </w:rPr>
        <w:t>For more detail on PBAC’s view, see section 7 PBAC outcome</w:t>
      </w:r>
    </w:p>
    <w:p w:rsidR="001334D8" w:rsidRPr="00A03EB8" w:rsidRDefault="001334D8" w:rsidP="007A3413">
      <w:pPr>
        <w:pStyle w:val="Heading1"/>
        <w:ind w:left="709" w:hanging="709"/>
        <w:jc w:val="both"/>
      </w:pPr>
      <w:bookmarkStart w:id="9" w:name="_Toc413139275"/>
      <w:bookmarkStart w:id="10" w:name="_Toc490533770"/>
      <w:r w:rsidRPr="00A03EB8">
        <w:t>Comparator</w:t>
      </w:r>
      <w:bookmarkEnd w:id="9"/>
      <w:bookmarkEnd w:id="10"/>
    </w:p>
    <w:p w:rsidR="001334D8" w:rsidRPr="00A03EB8" w:rsidRDefault="001334D8" w:rsidP="00CE6D98">
      <w:pPr>
        <w:pStyle w:val="ListParagraph"/>
        <w:numPr>
          <w:ilvl w:val="1"/>
          <w:numId w:val="2"/>
        </w:numPr>
        <w:jc w:val="both"/>
        <w:rPr>
          <w:lang w:val="en-GB"/>
        </w:rPr>
      </w:pPr>
      <w:r w:rsidRPr="00A03EB8">
        <w:t>The submission nominated placebo (</w:t>
      </w:r>
      <w:r w:rsidR="005D071D" w:rsidRPr="00A03EB8">
        <w:t xml:space="preserve">for </w:t>
      </w:r>
      <w:r w:rsidRPr="00A03EB8">
        <w:t>no treatment) and continuation of individualised standar</w:t>
      </w:r>
      <w:r w:rsidR="005D071D" w:rsidRPr="00A03EB8">
        <w:t xml:space="preserve">d care as the main comparator. </w:t>
      </w:r>
      <w:r w:rsidRPr="00A03EB8">
        <w:t>The submission proposed that nusinersen would be used in</w:t>
      </w:r>
      <w:r w:rsidR="005D071D" w:rsidRPr="00A03EB8">
        <w:t xml:space="preserve"> addition to standard of care. </w:t>
      </w:r>
      <w:r w:rsidRPr="00A03EB8">
        <w:t xml:space="preserve">The submission’s nomination of </w:t>
      </w:r>
      <w:r w:rsidR="00A538C9" w:rsidRPr="00A03EB8">
        <w:t>placebo for no treatment as the comparator was</w:t>
      </w:r>
      <w:r w:rsidRPr="00A03EB8">
        <w:t xml:space="preserve"> considered appropriate.</w:t>
      </w:r>
      <w:r w:rsidRPr="00A03EB8">
        <w:rPr>
          <w:iCs/>
          <w:lang w:val="en-GB"/>
        </w:rPr>
        <w:t xml:space="preserve"> </w:t>
      </w:r>
      <w:r w:rsidR="00CE6D98" w:rsidRPr="00A03EB8">
        <w:rPr>
          <w:iCs/>
          <w:lang w:val="en-GB"/>
        </w:rPr>
        <w:t xml:space="preserve">The </w:t>
      </w:r>
      <w:r w:rsidR="00720D06" w:rsidRPr="00A03EB8">
        <w:rPr>
          <w:iCs/>
          <w:lang w:val="en-GB"/>
        </w:rPr>
        <w:t xml:space="preserve">PBAC </w:t>
      </w:r>
      <w:r w:rsidR="00CE6D98" w:rsidRPr="00A03EB8">
        <w:rPr>
          <w:iCs/>
          <w:lang w:val="en-GB"/>
        </w:rPr>
        <w:t>considered this was the appropriate comparator.</w:t>
      </w:r>
    </w:p>
    <w:p w:rsidR="001334D8" w:rsidRPr="00A03EB8" w:rsidRDefault="001334D8" w:rsidP="007A3413">
      <w:pPr>
        <w:pStyle w:val="Heading1"/>
        <w:ind w:left="709" w:hanging="709"/>
        <w:jc w:val="both"/>
      </w:pPr>
      <w:bookmarkStart w:id="11" w:name="_Toc413139276"/>
      <w:bookmarkStart w:id="12" w:name="_Toc490533771"/>
      <w:r w:rsidRPr="00A03EB8">
        <w:t>Consideration of the evidence</w:t>
      </w:r>
      <w:bookmarkEnd w:id="11"/>
      <w:bookmarkEnd w:id="12"/>
    </w:p>
    <w:p w:rsidR="0035229D" w:rsidRPr="00A03EB8" w:rsidRDefault="0035229D" w:rsidP="00706F2B">
      <w:pPr>
        <w:pStyle w:val="Heading2"/>
        <w:jc w:val="both"/>
      </w:pPr>
      <w:bookmarkStart w:id="13" w:name="_Toc413139277"/>
      <w:bookmarkStart w:id="14" w:name="_Toc490533772"/>
      <w:r w:rsidRPr="00A03EB8">
        <w:t>Sponsor hearing</w:t>
      </w:r>
    </w:p>
    <w:p w:rsidR="00665665" w:rsidRPr="00A03EB8" w:rsidRDefault="00052A04" w:rsidP="0035229D">
      <w:pPr>
        <w:pStyle w:val="ListParagraph"/>
        <w:numPr>
          <w:ilvl w:val="1"/>
          <w:numId w:val="2"/>
        </w:numPr>
        <w:spacing w:before="0" w:after="0"/>
        <w:ind w:left="578" w:hanging="578"/>
        <w:jc w:val="both"/>
      </w:pPr>
      <w:r w:rsidRPr="00A03EB8">
        <w:t xml:space="preserve">The Sponsor requested a hearing for this item. The clinician discussed the natural history of </w:t>
      </w:r>
      <w:r w:rsidR="00580643" w:rsidRPr="00A03EB8">
        <w:t>childhood-onset SMA</w:t>
      </w:r>
      <w:r w:rsidRPr="00A03EB8">
        <w:t xml:space="preserve"> in comparison </w:t>
      </w:r>
      <w:r w:rsidR="00D6560C" w:rsidRPr="00A03EB8">
        <w:t>to</w:t>
      </w:r>
      <w:r w:rsidR="00580643" w:rsidRPr="00A03EB8">
        <w:t xml:space="preserve"> the clinical evidence</w:t>
      </w:r>
      <w:r w:rsidR="00D6560C" w:rsidRPr="00A03EB8">
        <w:t xml:space="preserve"> in the key trial. The clinician highlighted the benefit</w:t>
      </w:r>
      <w:r w:rsidR="00393AF7" w:rsidRPr="00A03EB8">
        <w:t xml:space="preserve">s of treatment with nusinersen on mortality in </w:t>
      </w:r>
      <w:r w:rsidR="009917E8" w:rsidRPr="00A03EB8">
        <w:t>infantile-onset SMA and motor function as assessed by the HFMSE</w:t>
      </w:r>
      <w:r w:rsidR="00B8367D">
        <w:t xml:space="preserve"> in childhood onset SMA</w:t>
      </w:r>
      <w:r w:rsidR="009917E8" w:rsidRPr="00A03EB8">
        <w:t>.</w:t>
      </w:r>
      <w:r w:rsidR="009704F0" w:rsidRPr="00A03EB8">
        <w:t xml:space="preserve"> </w:t>
      </w:r>
      <w:r w:rsidR="009917E8" w:rsidRPr="00A03EB8">
        <w:t>The clinician presented a range of clinical case studies</w:t>
      </w:r>
      <w:r w:rsidR="008D18C1" w:rsidRPr="00A03EB8">
        <w:t xml:space="preserve"> and emphasised</w:t>
      </w:r>
      <w:r w:rsidR="004F5CE1" w:rsidRPr="00A03EB8">
        <w:t xml:space="preserve"> </w:t>
      </w:r>
      <w:r w:rsidR="009704F0" w:rsidRPr="00A03EB8">
        <w:t xml:space="preserve">the impact of early treatment </w:t>
      </w:r>
      <w:r w:rsidR="00740669" w:rsidRPr="00A03EB8">
        <w:t>on</w:t>
      </w:r>
      <w:r w:rsidR="009704F0" w:rsidRPr="00A03EB8">
        <w:t xml:space="preserve"> the extent of benefit</w:t>
      </w:r>
      <w:r w:rsidR="008D18C1" w:rsidRPr="00A03EB8">
        <w:t>.</w:t>
      </w:r>
      <w:r w:rsidR="009704F0" w:rsidRPr="00A03EB8">
        <w:t xml:space="preserve"> The clinician</w:t>
      </w:r>
      <w:r w:rsidR="00E95F06" w:rsidRPr="00A03EB8">
        <w:t xml:space="preserve"> explained h</w:t>
      </w:r>
      <w:r w:rsidR="005D2D30" w:rsidRPr="00A03EB8">
        <w:t>ow the HFMSE is used to assess motor function and clinical progression in patients with SMA. However, the clinician noted that the HFMSE does not capture all aspects of the disease course</w:t>
      </w:r>
      <w:r w:rsidR="00D725EF" w:rsidRPr="00A03EB8">
        <w:t xml:space="preserve"> and that the extent of benefit that is meaningful for older patients was patient specific</w:t>
      </w:r>
      <w:r w:rsidR="00640F65" w:rsidRPr="00A03EB8">
        <w:t xml:space="preserve">. The clinician highlighted that in addition to the different SMA types, the condition also encompasses </w:t>
      </w:r>
      <w:r w:rsidR="00E420DC" w:rsidRPr="00A03EB8">
        <w:t>different stages with more severe symptoms in end stage disease</w:t>
      </w:r>
      <w:r w:rsidR="00C554DD" w:rsidRPr="00A03EB8">
        <w:t xml:space="preserve">. </w:t>
      </w:r>
      <w:r w:rsidR="00BC20CD" w:rsidRPr="00A03EB8">
        <w:t xml:space="preserve">The clinician indicated that the intrathecal injection procedure is well tolerated in most patients, and addressed other matters in response to the Committee’s questions. </w:t>
      </w:r>
      <w:r w:rsidR="009917E8" w:rsidRPr="00A03EB8">
        <w:t xml:space="preserve">The PBAC considered that the hearing was informative as it provided a clinical perspective on the treatment </w:t>
      </w:r>
      <w:r w:rsidR="00F95537" w:rsidRPr="00A03EB8">
        <w:t xml:space="preserve">and progression </w:t>
      </w:r>
      <w:r w:rsidR="009917E8" w:rsidRPr="00A03EB8">
        <w:t>of this uncommon condition.</w:t>
      </w:r>
      <w:r w:rsidR="0056291A" w:rsidRPr="00A03EB8">
        <w:t xml:space="preserve"> </w:t>
      </w:r>
      <w:r w:rsidR="009917E8" w:rsidRPr="00A03EB8">
        <w:t xml:space="preserve">  </w:t>
      </w:r>
    </w:p>
    <w:p w:rsidR="0035229D" w:rsidRPr="00A03EB8" w:rsidRDefault="0035229D" w:rsidP="00706F2B">
      <w:pPr>
        <w:pStyle w:val="Heading2"/>
        <w:jc w:val="both"/>
      </w:pPr>
      <w:r w:rsidRPr="00A03EB8">
        <w:t>Consumer comments</w:t>
      </w:r>
    </w:p>
    <w:p w:rsidR="0063461C" w:rsidRPr="00A03EB8" w:rsidRDefault="00925FF9" w:rsidP="0035229D">
      <w:pPr>
        <w:pStyle w:val="ListParagraph"/>
        <w:numPr>
          <w:ilvl w:val="1"/>
          <w:numId w:val="2"/>
        </w:numPr>
        <w:spacing w:before="0" w:after="0"/>
        <w:ind w:left="578" w:hanging="578"/>
        <w:jc w:val="both"/>
      </w:pPr>
      <w:r w:rsidRPr="00A03EB8">
        <w:t xml:space="preserve">The PBAC noted and welcomed the input from individuals (1087), health professionals (33) and organisations (3) via the Consumer Comments facility on the PBS website. </w:t>
      </w:r>
      <w:r w:rsidR="006E58B7" w:rsidRPr="00A03EB8">
        <w:t>The comments described a range of benefits of treatment with nusinersen for patients with SMA including increased mobility</w:t>
      </w:r>
      <w:r w:rsidR="007C738B" w:rsidRPr="00A03EB8">
        <w:t xml:space="preserve">, improved quality of life and slowing of disease progression. </w:t>
      </w:r>
    </w:p>
    <w:p w:rsidR="00925FF9" w:rsidRPr="00A03EB8" w:rsidRDefault="006E58B7" w:rsidP="00352D6A">
      <w:pPr>
        <w:pStyle w:val="ListParagraph"/>
        <w:spacing w:before="0" w:after="0"/>
        <w:ind w:left="578"/>
        <w:jc w:val="both"/>
      </w:pPr>
      <w:r w:rsidRPr="00A03EB8">
        <w:t xml:space="preserve"> </w:t>
      </w:r>
    </w:p>
    <w:p w:rsidR="006E54E9" w:rsidRDefault="00DA11CA" w:rsidP="0035229D">
      <w:pPr>
        <w:pStyle w:val="ListParagraph"/>
        <w:numPr>
          <w:ilvl w:val="1"/>
          <w:numId w:val="2"/>
        </w:numPr>
        <w:spacing w:before="0" w:after="0"/>
        <w:ind w:left="578" w:hanging="578"/>
        <w:jc w:val="both"/>
      </w:pPr>
      <w:r w:rsidRPr="00A03EB8">
        <w:t>SMA Australia and the</w:t>
      </w:r>
      <w:r w:rsidR="006E54E9" w:rsidRPr="00A03EB8">
        <w:t xml:space="preserve"> Muscular </w:t>
      </w:r>
      <w:r w:rsidRPr="00A03EB8">
        <w:t>Dystrophy Association of NSW emphasised the high clinical need for treatment for this patient population which currently ha</w:t>
      </w:r>
      <w:r w:rsidR="0063461C" w:rsidRPr="00A03EB8">
        <w:t>s</w:t>
      </w:r>
      <w:r w:rsidRPr="00A03EB8">
        <w:t xml:space="preserve"> no</w:t>
      </w:r>
      <w:r w:rsidR="005F7542" w:rsidRPr="00A03EB8">
        <w:t xml:space="preserve"> other</w:t>
      </w:r>
      <w:r w:rsidRPr="00A03EB8">
        <w:t xml:space="preserve"> treatment options.</w:t>
      </w:r>
    </w:p>
    <w:p w:rsidR="00442DA7" w:rsidRPr="00A03EB8" w:rsidRDefault="00442DA7" w:rsidP="00442DA7">
      <w:pPr>
        <w:spacing w:before="0" w:after="0"/>
        <w:jc w:val="both"/>
      </w:pPr>
    </w:p>
    <w:p w:rsidR="000C36E4" w:rsidRPr="00A03EB8" w:rsidRDefault="005F7542" w:rsidP="0035229D">
      <w:pPr>
        <w:pStyle w:val="ListParagraph"/>
        <w:numPr>
          <w:ilvl w:val="1"/>
          <w:numId w:val="2"/>
        </w:numPr>
        <w:spacing w:before="0" w:after="0"/>
        <w:ind w:left="578" w:hanging="578"/>
        <w:jc w:val="both"/>
      </w:pPr>
      <w:r w:rsidRPr="00A03EB8">
        <w:t>The Centr</w:t>
      </w:r>
      <w:r w:rsidR="007415E1" w:rsidRPr="00A03EB8">
        <w:t xml:space="preserve">e for Community-Driven Research presented </w:t>
      </w:r>
      <w:r w:rsidR="00BF6C11" w:rsidRPr="00A03EB8">
        <w:t xml:space="preserve">a summary of </w:t>
      </w:r>
      <w:r w:rsidR="007415E1" w:rsidRPr="00A03EB8">
        <w:t xml:space="preserve">results </w:t>
      </w:r>
      <w:r w:rsidR="00E6491F" w:rsidRPr="00A03EB8">
        <w:t xml:space="preserve">from a recent </w:t>
      </w:r>
      <w:r w:rsidR="007415E1" w:rsidRPr="00A03EB8">
        <w:t xml:space="preserve">patient experience </w:t>
      </w:r>
      <w:r w:rsidR="00E6491F" w:rsidRPr="00A03EB8">
        <w:t>survey in SMA</w:t>
      </w:r>
      <w:r w:rsidR="000C665F" w:rsidRPr="00A03EB8">
        <w:t xml:space="preserve"> consisting of 50 participants, which</w:t>
      </w:r>
      <w:r w:rsidR="00E6491F" w:rsidRPr="00A03EB8">
        <w:t xml:space="preserve"> aimed </w:t>
      </w:r>
      <w:r w:rsidR="000C665F" w:rsidRPr="00A03EB8">
        <w:t>to collect data</w:t>
      </w:r>
      <w:r w:rsidR="00E6491F" w:rsidRPr="00A03EB8">
        <w:t xml:space="preserve"> to further understanding of SMA from a patient’s perspective. </w:t>
      </w:r>
      <w:r w:rsidR="00AE4571" w:rsidRPr="00A03EB8">
        <w:t xml:space="preserve">Of the </w:t>
      </w:r>
      <w:r w:rsidR="00AE4571" w:rsidRPr="00A03EB8">
        <w:lastRenderedPageBreak/>
        <w:t>three SMA Type I participants described as being able to access nusinersen,</w:t>
      </w:r>
      <w:r w:rsidR="00761253" w:rsidRPr="00A03EB8">
        <w:t xml:space="preserve"> it was noted that two </w:t>
      </w:r>
      <w:r w:rsidR="00BF6C11" w:rsidRPr="00A03EB8">
        <w:t>were described as having</w:t>
      </w:r>
      <w:r w:rsidR="00761253" w:rsidRPr="00A03EB8">
        <w:t xml:space="preserve"> improvements in their child in relation to muscle strength while</w:t>
      </w:r>
      <w:r w:rsidR="00AE4571" w:rsidRPr="00A03EB8">
        <w:t xml:space="preserve"> </w:t>
      </w:r>
      <w:r w:rsidR="0032221A" w:rsidRPr="00A03EB8">
        <w:t xml:space="preserve">none of the participants noted any side effects associated with treatment. </w:t>
      </w:r>
      <w:r w:rsidR="00F046B4" w:rsidRPr="00A03EB8">
        <w:t>Overall, it was reported that</w:t>
      </w:r>
      <w:r w:rsidR="000C665F" w:rsidRPr="00A03EB8">
        <w:t xml:space="preserve"> the majority of</w:t>
      </w:r>
      <w:r w:rsidR="00F046B4" w:rsidRPr="00A03EB8">
        <w:t xml:space="preserve"> </w:t>
      </w:r>
      <w:r w:rsidR="000C665F" w:rsidRPr="00A03EB8">
        <w:t>participants</w:t>
      </w:r>
      <w:r w:rsidR="00BF6C11" w:rsidRPr="00A03EB8">
        <w:t xml:space="preserve"> had a high level of anxiety in relation</w:t>
      </w:r>
      <w:r w:rsidR="000C665F" w:rsidRPr="00A03EB8">
        <w:t xml:space="preserve"> to fear of disease progression</w:t>
      </w:r>
      <w:r w:rsidR="00BF6C11" w:rsidRPr="00A03EB8">
        <w:t xml:space="preserve"> </w:t>
      </w:r>
      <w:r w:rsidR="000C665F" w:rsidRPr="00A03EB8">
        <w:t xml:space="preserve">and supported access to nusinersen specifically. </w:t>
      </w:r>
    </w:p>
    <w:p w:rsidR="001334D8" w:rsidRPr="00A03EB8" w:rsidRDefault="001334D8" w:rsidP="007A3413">
      <w:pPr>
        <w:pStyle w:val="Heading2"/>
        <w:jc w:val="both"/>
        <w:rPr>
          <w:i w:val="0"/>
        </w:rPr>
      </w:pPr>
      <w:r w:rsidRPr="00A03EB8">
        <w:rPr>
          <w:i w:val="0"/>
        </w:rPr>
        <w:t>Clinical trials</w:t>
      </w:r>
      <w:bookmarkEnd w:id="13"/>
      <w:bookmarkEnd w:id="14"/>
    </w:p>
    <w:p w:rsidR="00073CCB" w:rsidRPr="00A03EB8" w:rsidRDefault="001334D8" w:rsidP="000D4205">
      <w:pPr>
        <w:pStyle w:val="ListParagraph"/>
        <w:numPr>
          <w:ilvl w:val="1"/>
          <w:numId w:val="2"/>
        </w:numPr>
        <w:spacing w:before="0" w:after="0"/>
        <w:ind w:left="578" w:hanging="578"/>
        <w:jc w:val="both"/>
      </w:pPr>
      <w:r w:rsidRPr="00A03EB8">
        <w:t xml:space="preserve">The submission was based on two head-to-head trials comparing nusinersen to sham-control: </w:t>
      </w:r>
    </w:p>
    <w:p w:rsidR="00073CCB" w:rsidRPr="00A03EB8" w:rsidRDefault="001334D8" w:rsidP="00073CCB">
      <w:pPr>
        <w:pStyle w:val="ListParagraph"/>
        <w:numPr>
          <w:ilvl w:val="0"/>
          <w:numId w:val="61"/>
        </w:numPr>
        <w:spacing w:before="0" w:after="0"/>
        <w:ind w:left="851" w:hanging="284"/>
        <w:jc w:val="both"/>
      </w:pPr>
      <w:r w:rsidRPr="00A03EB8">
        <w:t xml:space="preserve">ENDEAR (n=121) in infantile-onset SMA (Type I) and </w:t>
      </w:r>
    </w:p>
    <w:p w:rsidR="00073CCB" w:rsidRPr="00A03EB8" w:rsidRDefault="001334D8" w:rsidP="000D4205">
      <w:pPr>
        <w:pStyle w:val="ListParagraph"/>
        <w:numPr>
          <w:ilvl w:val="0"/>
          <w:numId w:val="61"/>
        </w:numPr>
        <w:spacing w:before="0"/>
        <w:ind w:left="851" w:hanging="284"/>
        <w:jc w:val="both"/>
      </w:pPr>
      <w:r w:rsidRPr="00A03EB8">
        <w:t xml:space="preserve">CHERISH (n=126) in childhood-onset SMA (Type II).  </w:t>
      </w:r>
    </w:p>
    <w:p w:rsidR="001334D8" w:rsidRPr="00A03EB8" w:rsidRDefault="001334D8" w:rsidP="000D4205">
      <w:pPr>
        <w:pStyle w:val="ListParagraph"/>
        <w:numPr>
          <w:ilvl w:val="1"/>
          <w:numId w:val="2"/>
        </w:numPr>
        <w:spacing w:before="0" w:after="120"/>
        <w:jc w:val="both"/>
      </w:pPr>
      <w:r w:rsidRPr="00A03EB8">
        <w:t xml:space="preserve">Three supplementary single-arm trials were also included in the submission: NURTURE (pre-symptomatic infants) (n=20) and CS3A for (infantile-onset SMA Type I) (n=20), and CS12 for childhood-onset SMA (SMA Types II and III) (n=47). </w:t>
      </w:r>
    </w:p>
    <w:p w:rsidR="001334D8" w:rsidRPr="00A03EB8" w:rsidRDefault="001334D8" w:rsidP="005D071D">
      <w:pPr>
        <w:pStyle w:val="ListParagraph"/>
        <w:numPr>
          <w:ilvl w:val="1"/>
          <w:numId w:val="2"/>
        </w:numPr>
        <w:spacing w:before="0" w:after="120"/>
        <w:jc w:val="both"/>
      </w:pPr>
      <w:r w:rsidRPr="00A03EB8">
        <w:t xml:space="preserve">Details of the trials presented in the submission are provided in Table </w:t>
      </w:r>
      <w:r w:rsidR="00073CCB" w:rsidRPr="00A03EB8">
        <w:t>4</w:t>
      </w:r>
      <w:r w:rsidRPr="00A03EB8">
        <w:t xml:space="preserve">.  </w:t>
      </w:r>
    </w:p>
    <w:p w:rsidR="001334D8" w:rsidRPr="00A03EB8" w:rsidRDefault="001334D8" w:rsidP="007A3413">
      <w:pPr>
        <w:pStyle w:val="TableHeading0"/>
        <w:jc w:val="both"/>
      </w:pPr>
      <w:r w:rsidRPr="00A03EB8">
        <w:lastRenderedPageBreak/>
        <w:t xml:space="preserve">Table </w:t>
      </w:r>
      <w:r w:rsidR="00101C4E" w:rsidRPr="00A03EB8">
        <w:t>4</w:t>
      </w:r>
      <w:r w:rsidRPr="00A03EB8">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5258"/>
        <w:gridCol w:w="2091"/>
      </w:tblGrid>
      <w:tr w:rsidR="001334D8" w:rsidRPr="00A03EB8" w:rsidTr="007A2311">
        <w:tc>
          <w:tcPr>
            <w:tcW w:w="954" w:type="pct"/>
          </w:tcPr>
          <w:p w:rsidR="001334D8" w:rsidRPr="00A03EB8" w:rsidRDefault="001334D8" w:rsidP="007A3413">
            <w:pPr>
              <w:keepNext/>
              <w:spacing w:before="40" w:after="40"/>
              <w:jc w:val="both"/>
              <w:rPr>
                <w:rFonts w:ascii="Arial Narrow" w:hAnsi="Arial Narrow"/>
                <w:b/>
                <w:sz w:val="20"/>
              </w:rPr>
            </w:pPr>
            <w:r w:rsidRPr="00A03EB8">
              <w:rPr>
                <w:rFonts w:ascii="Arial Narrow" w:hAnsi="Arial Narrow"/>
                <w:b/>
                <w:sz w:val="20"/>
              </w:rPr>
              <w:t>Trial ID</w:t>
            </w:r>
          </w:p>
        </w:tc>
        <w:tc>
          <w:tcPr>
            <w:tcW w:w="2895" w:type="pct"/>
            <w:vAlign w:val="center"/>
          </w:tcPr>
          <w:p w:rsidR="001334D8" w:rsidRPr="00A03EB8" w:rsidRDefault="001334D8" w:rsidP="007A2311">
            <w:pPr>
              <w:keepNext/>
              <w:spacing w:before="40" w:after="40"/>
              <w:rPr>
                <w:rFonts w:ascii="Arial Narrow" w:hAnsi="Arial Narrow"/>
                <w:b/>
                <w:sz w:val="20"/>
              </w:rPr>
            </w:pPr>
            <w:r w:rsidRPr="00A03EB8">
              <w:rPr>
                <w:rFonts w:ascii="Arial Narrow" w:hAnsi="Arial Narrow"/>
                <w:b/>
                <w:sz w:val="20"/>
              </w:rPr>
              <w:t>Protocol title/ Publication title</w:t>
            </w:r>
          </w:p>
        </w:tc>
        <w:tc>
          <w:tcPr>
            <w:tcW w:w="1151" w:type="pct"/>
          </w:tcPr>
          <w:p w:rsidR="001334D8" w:rsidRPr="00A03EB8" w:rsidRDefault="001334D8" w:rsidP="007A2311">
            <w:pPr>
              <w:keepNext/>
              <w:spacing w:before="40" w:after="40"/>
              <w:rPr>
                <w:rFonts w:ascii="Arial Narrow" w:hAnsi="Arial Narrow"/>
                <w:b/>
                <w:sz w:val="20"/>
              </w:rPr>
            </w:pPr>
            <w:r w:rsidRPr="00A03EB8">
              <w:rPr>
                <w:rFonts w:ascii="Arial Narrow" w:hAnsi="Arial Narrow"/>
                <w:b/>
                <w:sz w:val="20"/>
              </w:rPr>
              <w:t>Publication citation</w:t>
            </w:r>
          </w:p>
        </w:tc>
      </w:tr>
      <w:tr w:rsidR="001334D8" w:rsidRPr="00A03EB8" w:rsidTr="007A2311">
        <w:tc>
          <w:tcPr>
            <w:tcW w:w="5000" w:type="pct"/>
            <w:gridSpan w:val="3"/>
            <w:vAlign w:val="center"/>
          </w:tcPr>
          <w:p w:rsidR="001334D8" w:rsidRPr="00A03EB8" w:rsidRDefault="001334D8" w:rsidP="007A2311">
            <w:pPr>
              <w:keepNext/>
              <w:spacing w:before="40" w:after="40"/>
              <w:rPr>
                <w:rFonts w:ascii="Arial Narrow" w:hAnsi="Arial Narrow"/>
                <w:b/>
                <w:sz w:val="20"/>
              </w:rPr>
            </w:pPr>
            <w:r w:rsidRPr="00A03EB8">
              <w:rPr>
                <w:rFonts w:ascii="Arial Narrow" w:hAnsi="Arial Narrow"/>
                <w:b/>
                <w:sz w:val="20"/>
              </w:rPr>
              <w:t>Direct randomised trials</w:t>
            </w:r>
          </w:p>
        </w:tc>
      </w:tr>
      <w:tr w:rsidR="001334D8" w:rsidRPr="00A03EB8" w:rsidTr="007A2311">
        <w:tc>
          <w:tcPr>
            <w:tcW w:w="954" w:type="pct"/>
          </w:tcPr>
          <w:p w:rsidR="001334D8" w:rsidRPr="00A03EB8" w:rsidRDefault="001334D8" w:rsidP="007A3413">
            <w:pPr>
              <w:keepNext/>
              <w:spacing w:before="40" w:after="40"/>
              <w:jc w:val="both"/>
              <w:rPr>
                <w:rFonts w:ascii="Arial Narrow" w:hAnsi="Arial Narrow"/>
                <w:sz w:val="20"/>
              </w:rPr>
            </w:pPr>
            <w:r w:rsidRPr="00A03EB8">
              <w:rPr>
                <w:rFonts w:ascii="Arial Narrow" w:hAnsi="Arial Narrow"/>
                <w:sz w:val="20"/>
              </w:rPr>
              <w:t>CS3B/ENDEAR</w:t>
            </w:r>
          </w:p>
        </w:tc>
        <w:tc>
          <w:tcPr>
            <w:tcW w:w="2895" w:type="pct"/>
            <w:vAlign w:val="center"/>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A Study to Assess the Efficacy and Safety of Nusinersen (ISIS 396443) in Infants With Spinal Muscular Atrophy [NCT02193074]</w:t>
            </w:r>
          </w:p>
        </w:tc>
        <w:tc>
          <w:tcPr>
            <w:tcW w:w="1151" w:type="pct"/>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10 February 2017</w:t>
            </w:r>
          </w:p>
          <w:p w:rsidR="001334D8" w:rsidRPr="00A03EB8" w:rsidRDefault="001334D8" w:rsidP="007A2311">
            <w:pPr>
              <w:keepNext/>
              <w:spacing w:before="40" w:after="40"/>
              <w:rPr>
                <w:rFonts w:ascii="Arial Narrow" w:hAnsi="Arial Narrow"/>
                <w:sz w:val="20"/>
              </w:rPr>
            </w:pPr>
          </w:p>
        </w:tc>
      </w:tr>
      <w:tr w:rsidR="001334D8" w:rsidRPr="00A03EB8" w:rsidTr="007A2311">
        <w:tc>
          <w:tcPr>
            <w:tcW w:w="954" w:type="pct"/>
          </w:tcPr>
          <w:p w:rsidR="001334D8" w:rsidRPr="00A03EB8" w:rsidRDefault="001334D8" w:rsidP="007A3413">
            <w:pPr>
              <w:keepNext/>
              <w:spacing w:before="40" w:after="40"/>
              <w:jc w:val="both"/>
              <w:rPr>
                <w:rFonts w:ascii="Arial Narrow" w:hAnsi="Arial Narrow"/>
                <w:sz w:val="20"/>
              </w:rPr>
            </w:pPr>
            <w:r w:rsidRPr="00A03EB8">
              <w:rPr>
                <w:rFonts w:ascii="Arial Narrow" w:hAnsi="Arial Narrow"/>
                <w:sz w:val="20"/>
              </w:rPr>
              <w:t>CS4/CHERISH</w:t>
            </w:r>
          </w:p>
        </w:tc>
        <w:tc>
          <w:tcPr>
            <w:tcW w:w="2895" w:type="pct"/>
            <w:vAlign w:val="center"/>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A Study to Assess the Efficacy and Safety of Nusinersen (ISIS 396443) in Participants With Later-onset Spinal Muscular Atrophy (SMA) [NCT02292537]</w:t>
            </w:r>
          </w:p>
        </w:tc>
        <w:tc>
          <w:tcPr>
            <w:tcW w:w="1151" w:type="pct"/>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6 June 2017</w:t>
            </w:r>
          </w:p>
          <w:p w:rsidR="001334D8" w:rsidRPr="00A03EB8" w:rsidRDefault="001334D8" w:rsidP="007A2311">
            <w:pPr>
              <w:keepNext/>
              <w:spacing w:before="40" w:after="40"/>
              <w:rPr>
                <w:rFonts w:ascii="Arial Narrow" w:hAnsi="Arial Narrow"/>
                <w:sz w:val="20"/>
              </w:rPr>
            </w:pPr>
          </w:p>
        </w:tc>
      </w:tr>
      <w:tr w:rsidR="001334D8" w:rsidRPr="00A03EB8" w:rsidTr="007A2311">
        <w:tc>
          <w:tcPr>
            <w:tcW w:w="5000" w:type="pct"/>
            <w:gridSpan w:val="3"/>
            <w:vAlign w:val="center"/>
          </w:tcPr>
          <w:p w:rsidR="001334D8" w:rsidRPr="00A03EB8" w:rsidRDefault="001334D8" w:rsidP="007A2311">
            <w:pPr>
              <w:keepNext/>
              <w:spacing w:before="40" w:after="40"/>
              <w:rPr>
                <w:rFonts w:ascii="Arial Narrow" w:hAnsi="Arial Narrow"/>
                <w:b/>
                <w:sz w:val="20"/>
              </w:rPr>
            </w:pPr>
            <w:r w:rsidRPr="00A03EB8">
              <w:rPr>
                <w:rFonts w:ascii="Arial Narrow" w:hAnsi="Arial Narrow"/>
                <w:b/>
                <w:sz w:val="20"/>
              </w:rPr>
              <w:t>Supplementary non-randomised trials</w:t>
            </w:r>
          </w:p>
        </w:tc>
      </w:tr>
      <w:tr w:rsidR="001334D8" w:rsidRPr="00A03EB8" w:rsidTr="007A2311">
        <w:tc>
          <w:tcPr>
            <w:tcW w:w="954" w:type="pct"/>
          </w:tcPr>
          <w:p w:rsidR="001334D8" w:rsidRPr="00A03EB8" w:rsidRDefault="001334D8" w:rsidP="007A3413">
            <w:pPr>
              <w:keepNext/>
              <w:spacing w:before="40" w:after="40"/>
              <w:jc w:val="both"/>
              <w:rPr>
                <w:rFonts w:ascii="Arial Narrow" w:hAnsi="Arial Narrow"/>
                <w:sz w:val="20"/>
              </w:rPr>
            </w:pPr>
            <w:r w:rsidRPr="00A03EB8">
              <w:rPr>
                <w:rFonts w:ascii="Arial Narrow" w:hAnsi="Arial Narrow"/>
                <w:sz w:val="20"/>
              </w:rPr>
              <w:t>SM291/NURTURE</w:t>
            </w:r>
          </w:p>
        </w:tc>
        <w:tc>
          <w:tcPr>
            <w:tcW w:w="2895" w:type="pct"/>
            <w:vAlign w:val="center"/>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A Study of Multiple Doses of Nusinersen (ISIS 396443) Delivered to Infants With Genetically Diagnosed and Pre-symptomatic Spinal Muscular Atrophy [NCT02386553]</w:t>
            </w:r>
          </w:p>
        </w:tc>
        <w:tc>
          <w:tcPr>
            <w:tcW w:w="1151" w:type="pct"/>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10 February 2017</w:t>
            </w:r>
          </w:p>
        </w:tc>
      </w:tr>
      <w:tr w:rsidR="001334D8" w:rsidRPr="00A03EB8" w:rsidTr="007A2311">
        <w:tc>
          <w:tcPr>
            <w:tcW w:w="954" w:type="pct"/>
            <w:vMerge w:val="restart"/>
          </w:tcPr>
          <w:p w:rsidR="001334D8" w:rsidRPr="00A03EB8" w:rsidRDefault="001334D8" w:rsidP="007A3413">
            <w:pPr>
              <w:keepNext/>
              <w:spacing w:before="40" w:after="40"/>
              <w:jc w:val="both"/>
              <w:rPr>
                <w:rFonts w:ascii="Arial Narrow" w:hAnsi="Arial Narrow"/>
                <w:sz w:val="20"/>
              </w:rPr>
            </w:pPr>
            <w:r w:rsidRPr="00A03EB8">
              <w:rPr>
                <w:rFonts w:ascii="Arial Narrow" w:hAnsi="Arial Narrow"/>
                <w:sz w:val="20"/>
              </w:rPr>
              <w:t>CS3A</w:t>
            </w:r>
          </w:p>
        </w:tc>
        <w:tc>
          <w:tcPr>
            <w:tcW w:w="2895" w:type="pct"/>
            <w:tcBorders>
              <w:bottom w:val="nil"/>
            </w:tcBorders>
            <w:vAlign w:val="center"/>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A Study to Assess the Efficacy, Safety and Pharmacokinetics of Nusinersen (ISIS 396443) in Infants With Spinal Muscular Atrophy (SMA) [NCT01839656]</w:t>
            </w:r>
          </w:p>
        </w:tc>
        <w:tc>
          <w:tcPr>
            <w:tcW w:w="1151" w:type="pct"/>
            <w:tcBorders>
              <w:bottom w:val="nil"/>
            </w:tcBorders>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21 August 2016</w:t>
            </w:r>
          </w:p>
          <w:p w:rsidR="001334D8" w:rsidRPr="00A03EB8" w:rsidRDefault="001334D8" w:rsidP="007A2311">
            <w:pPr>
              <w:keepNext/>
              <w:spacing w:before="40" w:after="40"/>
              <w:rPr>
                <w:rFonts w:ascii="Arial Narrow" w:hAnsi="Arial Narrow"/>
                <w:sz w:val="20"/>
              </w:rPr>
            </w:pPr>
          </w:p>
        </w:tc>
      </w:tr>
      <w:tr w:rsidR="001334D8" w:rsidRPr="00A03EB8" w:rsidTr="007A2311">
        <w:tc>
          <w:tcPr>
            <w:tcW w:w="954" w:type="pct"/>
            <w:vMerge/>
          </w:tcPr>
          <w:p w:rsidR="001334D8" w:rsidRPr="00A03EB8" w:rsidRDefault="001334D8" w:rsidP="007A3413">
            <w:pPr>
              <w:keepNext/>
              <w:spacing w:before="40" w:after="40"/>
              <w:jc w:val="both"/>
              <w:rPr>
                <w:rFonts w:ascii="Arial Narrow" w:hAnsi="Arial Narrow"/>
                <w:sz w:val="20"/>
              </w:rPr>
            </w:pPr>
          </w:p>
        </w:tc>
        <w:tc>
          <w:tcPr>
            <w:tcW w:w="2895" w:type="pct"/>
            <w:tcBorders>
              <w:top w:val="nil"/>
              <w:bottom w:val="nil"/>
            </w:tcBorders>
            <w:vAlign w:val="center"/>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Finkel et al. Treatment of infantile-onset spinal muscular atrophy with nusinersen: a phase 2, open-label, dose escalation study.</w:t>
            </w:r>
          </w:p>
        </w:tc>
        <w:tc>
          <w:tcPr>
            <w:tcW w:w="1151" w:type="pct"/>
            <w:tcBorders>
              <w:top w:val="nil"/>
              <w:bottom w:val="nil"/>
            </w:tcBorders>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The Lancet 2016. 388 (10063): 3017-3026</w:t>
            </w:r>
          </w:p>
        </w:tc>
      </w:tr>
      <w:tr w:rsidR="001334D8" w:rsidRPr="00A03EB8" w:rsidTr="007A2311">
        <w:tc>
          <w:tcPr>
            <w:tcW w:w="954" w:type="pct"/>
            <w:vMerge/>
          </w:tcPr>
          <w:p w:rsidR="001334D8" w:rsidRPr="00A03EB8" w:rsidRDefault="001334D8" w:rsidP="007A3413">
            <w:pPr>
              <w:keepNext/>
              <w:spacing w:before="40" w:after="40"/>
              <w:jc w:val="both"/>
              <w:rPr>
                <w:rFonts w:ascii="Arial Narrow" w:hAnsi="Arial Narrow"/>
                <w:sz w:val="20"/>
              </w:rPr>
            </w:pPr>
          </w:p>
        </w:tc>
        <w:tc>
          <w:tcPr>
            <w:tcW w:w="2895" w:type="pct"/>
            <w:tcBorders>
              <w:top w:val="nil"/>
              <w:bottom w:val="nil"/>
            </w:tcBorders>
            <w:vAlign w:val="center"/>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 xml:space="preserve">Finkel et al. Interim results of a phase 2 clinical study of nusinersen (ISIS-SMNRX) in patients with infantile-onset spinal muscular atrophy. </w:t>
            </w:r>
          </w:p>
        </w:tc>
        <w:tc>
          <w:tcPr>
            <w:tcW w:w="1151" w:type="pct"/>
            <w:tcBorders>
              <w:top w:val="nil"/>
              <w:bottom w:val="nil"/>
            </w:tcBorders>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Annual of Neurology 2016. 80; S371-372</w:t>
            </w:r>
          </w:p>
        </w:tc>
      </w:tr>
      <w:tr w:rsidR="001334D8" w:rsidRPr="00A03EB8" w:rsidTr="007A2311">
        <w:tc>
          <w:tcPr>
            <w:tcW w:w="954" w:type="pct"/>
            <w:vMerge/>
          </w:tcPr>
          <w:p w:rsidR="001334D8" w:rsidRPr="00A03EB8" w:rsidRDefault="001334D8" w:rsidP="007A3413">
            <w:pPr>
              <w:keepNext/>
              <w:spacing w:before="40" w:after="40"/>
              <w:jc w:val="both"/>
              <w:rPr>
                <w:rFonts w:ascii="Arial Narrow" w:hAnsi="Arial Narrow"/>
                <w:sz w:val="20"/>
              </w:rPr>
            </w:pPr>
          </w:p>
        </w:tc>
        <w:tc>
          <w:tcPr>
            <w:tcW w:w="2895" w:type="pct"/>
            <w:tcBorders>
              <w:top w:val="nil"/>
              <w:bottom w:val="nil"/>
            </w:tcBorders>
            <w:vAlign w:val="center"/>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 xml:space="preserve">Finkel et al. Interim results of a phase 2 clinical study of nusinersen (ISIS-SMNRX) in patients with infantile-onset spinal muscular atrophy. </w:t>
            </w:r>
          </w:p>
        </w:tc>
        <w:tc>
          <w:tcPr>
            <w:tcW w:w="1151" w:type="pct"/>
            <w:tcBorders>
              <w:top w:val="nil"/>
              <w:bottom w:val="nil"/>
            </w:tcBorders>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Neurology 2016. 86 (16); Supplement P5.004</w:t>
            </w:r>
          </w:p>
        </w:tc>
      </w:tr>
      <w:tr w:rsidR="001334D8" w:rsidRPr="00A03EB8" w:rsidTr="007A2311">
        <w:tc>
          <w:tcPr>
            <w:tcW w:w="954" w:type="pct"/>
            <w:vMerge/>
          </w:tcPr>
          <w:p w:rsidR="001334D8" w:rsidRPr="00A03EB8" w:rsidRDefault="001334D8" w:rsidP="007A3413">
            <w:pPr>
              <w:keepNext/>
              <w:spacing w:before="40" w:after="40"/>
              <w:jc w:val="both"/>
              <w:rPr>
                <w:rFonts w:ascii="Arial Narrow" w:hAnsi="Arial Narrow"/>
                <w:sz w:val="20"/>
              </w:rPr>
            </w:pPr>
          </w:p>
        </w:tc>
        <w:tc>
          <w:tcPr>
            <w:tcW w:w="2895" w:type="pct"/>
            <w:tcBorders>
              <w:top w:val="nil"/>
              <w:bottom w:val="nil"/>
            </w:tcBorders>
            <w:vAlign w:val="center"/>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 xml:space="preserve">Finkel et al. Results of a phase 2 open-label study of ISIS-SMNRx in patients with infantile (type 1) spinal muscular atrophy. </w:t>
            </w:r>
          </w:p>
        </w:tc>
        <w:tc>
          <w:tcPr>
            <w:tcW w:w="1151" w:type="pct"/>
            <w:tcBorders>
              <w:top w:val="nil"/>
              <w:bottom w:val="nil"/>
            </w:tcBorders>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Neurology 2014. 82 (10); Supplement S6.003</w:t>
            </w:r>
          </w:p>
        </w:tc>
      </w:tr>
      <w:tr w:rsidR="001334D8" w:rsidRPr="00A03EB8" w:rsidTr="007A2311">
        <w:tc>
          <w:tcPr>
            <w:tcW w:w="954" w:type="pct"/>
            <w:vMerge/>
          </w:tcPr>
          <w:p w:rsidR="001334D8" w:rsidRPr="00A03EB8" w:rsidRDefault="001334D8" w:rsidP="007A3413">
            <w:pPr>
              <w:keepNext/>
              <w:spacing w:before="40" w:after="40"/>
              <w:jc w:val="both"/>
              <w:rPr>
                <w:rFonts w:ascii="Arial Narrow" w:hAnsi="Arial Narrow"/>
                <w:sz w:val="20"/>
              </w:rPr>
            </w:pPr>
          </w:p>
        </w:tc>
        <w:tc>
          <w:tcPr>
            <w:tcW w:w="2895" w:type="pct"/>
            <w:tcBorders>
              <w:top w:val="nil"/>
            </w:tcBorders>
            <w:vAlign w:val="center"/>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 xml:space="preserve">Finkel et al. Results of a phase 2 open-label study of ISIS-SMNRx in patients with infantile (Type 1) spinal muscular atrophy. </w:t>
            </w:r>
          </w:p>
        </w:tc>
        <w:tc>
          <w:tcPr>
            <w:tcW w:w="1151" w:type="pct"/>
            <w:tcBorders>
              <w:top w:val="nil"/>
            </w:tcBorders>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Neuromuscular disorders 2014. 24 (9-10); 920</w:t>
            </w:r>
          </w:p>
        </w:tc>
      </w:tr>
      <w:tr w:rsidR="001334D8" w:rsidRPr="00A03EB8" w:rsidTr="007A2311">
        <w:tc>
          <w:tcPr>
            <w:tcW w:w="954" w:type="pct"/>
            <w:vMerge w:val="restart"/>
          </w:tcPr>
          <w:p w:rsidR="001334D8" w:rsidRPr="00A03EB8" w:rsidRDefault="001334D8" w:rsidP="007A3413">
            <w:pPr>
              <w:keepNext/>
              <w:spacing w:before="40" w:after="40"/>
              <w:jc w:val="both"/>
              <w:rPr>
                <w:rFonts w:ascii="Arial Narrow" w:hAnsi="Arial Narrow"/>
                <w:sz w:val="20"/>
              </w:rPr>
            </w:pPr>
            <w:r w:rsidRPr="00A03EB8">
              <w:rPr>
                <w:rFonts w:ascii="Arial Narrow" w:hAnsi="Arial Narrow"/>
                <w:sz w:val="20"/>
              </w:rPr>
              <w:t>CS12</w:t>
            </w:r>
          </w:p>
        </w:tc>
        <w:tc>
          <w:tcPr>
            <w:tcW w:w="2895" w:type="pct"/>
            <w:vAlign w:val="center"/>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An Open-label Safety and Tolerability Study of Nusinersen (ISIS 396443) in Participants With Spinal Muscular Atrophy (SMA) Who Previously Participated in ISIS 396443-CS2 (NCT01703988) or ISIS 396443-CS10 (NCT01780246) [NCT02052791]</w:t>
            </w:r>
          </w:p>
        </w:tc>
        <w:tc>
          <w:tcPr>
            <w:tcW w:w="1151" w:type="pct"/>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8 June 2017</w:t>
            </w:r>
          </w:p>
        </w:tc>
      </w:tr>
      <w:tr w:rsidR="001334D8" w:rsidRPr="00A03EB8" w:rsidTr="007A2311">
        <w:tc>
          <w:tcPr>
            <w:tcW w:w="954" w:type="pct"/>
            <w:vMerge/>
          </w:tcPr>
          <w:p w:rsidR="001334D8" w:rsidRPr="00A03EB8" w:rsidRDefault="001334D8" w:rsidP="007A3413">
            <w:pPr>
              <w:keepNext/>
              <w:spacing w:before="40" w:after="40"/>
              <w:jc w:val="both"/>
              <w:rPr>
                <w:rFonts w:ascii="Arial Narrow" w:hAnsi="Arial Narrow"/>
                <w:sz w:val="20"/>
              </w:rPr>
            </w:pPr>
          </w:p>
        </w:tc>
        <w:tc>
          <w:tcPr>
            <w:tcW w:w="2895" w:type="pct"/>
            <w:vAlign w:val="center"/>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 xml:space="preserve">Luu et al. Population Pharmacokinetics of Nusinersen in the Cerebral Spinal Fluid and Plasma of Paediatric Patients With Spinal Muscular Atrophy Following Intrathecal Administrations. </w:t>
            </w:r>
          </w:p>
        </w:tc>
        <w:tc>
          <w:tcPr>
            <w:tcW w:w="1151" w:type="pct"/>
          </w:tcPr>
          <w:p w:rsidR="001334D8" w:rsidRPr="00A03EB8" w:rsidRDefault="001334D8" w:rsidP="007A2311">
            <w:pPr>
              <w:keepNext/>
              <w:spacing w:before="40" w:after="40"/>
              <w:rPr>
                <w:rFonts w:ascii="Arial Narrow" w:hAnsi="Arial Narrow"/>
                <w:sz w:val="20"/>
              </w:rPr>
            </w:pPr>
            <w:r w:rsidRPr="00A03EB8">
              <w:rPr>
                <w:rFonts w:ascii="Arial Narrow" w:hAnsi="Arial Narrow"/>
                <w:sz w:val="20"/>
              </w:rPr>
              <w:t>J Clinical Pharmacology 2017. Epub</w:t>
            </w:r>
          </w:p>
        </w:tc>
      </w:tr>
    </w:tbl>
    <w:p w:rsidR="001334D8" w:rsidRPr="00A03EB8" w:rsidRDefault="001334D8" w:rsidP="007A3413">
      <w:pPr>
        <w:pStyle w:val="TableFooter"/>
      </w:pPr>
      <w:r w:rsidRPr="00A03EB8">
        <w:t>Source: Table 2.2.3, p48-49 of the submission</w:t>
      </w:r>
    </w:p>
    <w:p w:rsidR="001334D8" w:rsidRPr="00A03EB8" w:rsidRDefault="001334D8" w:rsidP="007A3413">
      <w:pPr>
        <w:pStyle w:val="TableFooter"/>
      </w:pPr>
    </w:p>
    <w:p w:rsidR="001334D8" w:rsidRPr="00A03EB8" w:rsidRDefault="001334D8" w:rsidP="005D071D">
      <w:pPr>
        <w:pStyle w:val="ListParagraph"/>
        <w:numPr>
          <w:ilvl w:val="1"/>
          <w:numId w:val="2"/>
        </w:numPr>
        <w:spacing w:before="0" w:after="120"/>
        <w:jc w:val="both"/>
      </w:pPr>
      <w:r w:rsidRPr="00A03EB8">
        <w:t xml:space="preserve">The key features of the direct randomised trials are summarised in Table </w:t>
      </w:r>
      <w:r w:rsidR="00101C4E" w:rsidRPr="00A03EB8">
        <w:t>5</w:t>
      </w:r>
      <w:r w:rsidRPr="00A03EB8">
        <w:t xml:space="preserve">.  </w:t>
      </w:r>
    </w:p>
    <w:p w:rsidR="001334D8" w:rsidRPr="00A03EB8" w:rsidRDefault="001334D8" w:rsidP="007A3413">
      <w:pPr>
        <w:pStyle w:val="TableHeading0"/>
        <w:jc w:val="both"/>
      </w:pPr>
      <w:r w:rsidRPr="00A03EB8">
        <w:t xml:space="preserve">Table </w:t>
      </w:r>
      <w:r w:rsidR="00101C4E" w:rsidRPr="00A03EB8">
        <w:t>5</w:t>
      </w:r>
      <w:r w:rsidRPr="00A03EB8">
        <w:t>: Key features of the included evidence</w:t>
      </w:r>
      <w:r w:rsidR="00101C4E" w:rsidRPr="00A03EB8">
        <w:t>, nusinersen versus</w:t>
      </w:r>
      <w:r w:rsidRPr="00A03EB8">
        <w:t xml:space="preserve"> sham-control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3"/>
        <w:gridCol w:w="774"/>
        <w:gridCol w:w="1415"/>
        <w:gridCol w:w="999"/>
        <w:gridCol w:w="1856"/>
        <w:gridCol w:w="1428"/>
        <w:gridCol w:w="1377"/>
      </w:tblGrid>
      <w:tr w:rsidR="001334D8" w:rsidRPr="00A03EB8" w:rsidTr="008B178D">
        <w:tc>
          <w:tcPr>
            <w:tcW w:w="679" w:type="pct"/>
            <w:shd w:val="clear" w:color="auto" w:fill="auto"/>
            <w:vAlign w:val="center"/>
          </w:tcPr>
          <w:p w:rsidR="001334D8" w:rsidRPr="00A03EB8" w:rsidRDefault="001334D8" w:rsidP="007A3413">
            <w:pPr>
              <w:pStyle w:val="TableText"/>
              <w:jc w:val="both"/>
              <w:rPr>
                <w:b/>
              </w:rPr>
            </w:pPr>
            <w:r w:rsidRPr="00A03EB8">
              <w:rPr>
                <w:b/>
              </w:rPr>
              <w:t>Trial</w:t>
            </w:r>
          </w:p>
        </w:tc>
        <w:tc>
          <w:tcPr>
            <w:tcW w:w="426" w:type="pct"/>
            <w:shd w:val="clear" w:color="auto" w:fill="auto"/>
            <w:vAlign w:val="center"/>
          </w:tcPr>
          <w:p w:rsidR="001334D8" w:rsidRPr="00A03EB8" w:rsidRDefault="001334D8" w:rsidP="00A538C9">
            <w:pPr>
              <w:pStyle w:val="TableText"/>
              <w:jc w:val="center"/>
              <w:rPr>
                <w:b/>
              </w:rPr>
            </w:pPr>
            <w:r w:rsidRPr="00A03EB8">
              <w:rPr>
                <w:b/>
              </w:rPr>
              <w:t>N</w:t>
            </w:r>
          </w:p>
        </w:tc>
        <w:tc>
          <w:tcPr>
            <w:tcW w:w="779" w:type="pct"/>
            <w:shd w:val="clear" w:color="auto" w:fill="auto"/>
            <w:vAlign w:val="center"/>
          </w:tcPr>
          <w:p w:rsidR="001334D8" w:rsidRPr="00A03EB8" w:rsidRDefault="001334D8" w:rsidP="00A538C9">
            <w:pPr>
              <w:pStyle w:val="TableText"/>
              <w:jc w:val="center"/>
              <w:rPr>
                <w:b/>
              </w:rPr>
            </w:pPr>
            <w:r w:rsidRPr="00A03EB8">
              <w:rPr>
                <w:b/>
              </w:rPr>
              <w:t xml:space="preserve">Design/ </w:t>
            </w:r>
            <w:r w:rsidR="00B8367D">
              <w:rPr>
                <w:b/>
              </w:rPr>
              <w:t xml:space="preserve">Median </w:t>
            </w:r>
            <w:r w:rsidRPr="00A03EB8">
              <w:rPr>
                <w:b/>
              </w:rPr>
              <w:t>duration of follow-up</w:t>
            </w:r>
          </w:p>
        </w:tc>
        <w:tc>
          <w:tcPr>
            <w:tcW w:w="550" w:type="pct"/>
            <w:shd w:val="clear" w:color="auto" w:fill="auto"/>
            <w:vAlign w:val="center"/>
          </w:tcPr>
          <w:p w:rsidR="001334D8" w:rsidRPr="00A03EB8" w:rsidRDefault="001334D8" w:rsidP="00A538C9">
            <w:pPr>
              <w:pStyle w:val="TableText"/>
              <w:jc w:val="center"/>
              <w:rPr>
                <w:b/>
              </w:rPr>
            </w:pPr>
            <w:r w:rsidRPr="00A03EB8">
              <w:rPr>
                <w:b/>
              </w:rPr>
              <w:t>Risk of bias</w:t>
            </w:r>
          </w:p>
        </w:tc>
        <w:tc>
          <w:tcPr>
            <w:tcW w:w="1022" w:type="pct"/>
            <w:shd w:val="clear" w:color="auto" w:fill="auto"/>
            <w:vAlign w:val="center"/>
          </w:tcPr>
          <w:p w:rsidR="001334D8" w:rsidRPr="00A03EB8" w:rsidRDefault="001334D8" w:rsidP="00A538C9">
            <w:pPr>
              <w:pStyle w:val="TableText"/>
              <w:jc w:val="center"/>
              <w:rPr>
                <w:b/>
              </w:rPr>
            </w:pPr>
            <w:r w:rsidRPr="00A03EB8">
              <w:rPr>
                <w:b/>
              </w:rPr>
              <w:t>Patient population</w:t>
            </w:r>
          </w:p>
        </w:tc>
        <w:tc>
          <w:tcPr>
            <w:tcW w:w="786" w:type="pct"/>
            <w:shd w:val="clear" w:color="auto" w:fill="auto"/>
            <w:vAlign w:val="center"/>
          </w:tcPr>
          <w:p w:rsidR="001334D8" w:rsidRPr="00A03EB8" w:rsidRDefault="001334D8" w:rsidP="00A538C9">
            <w:pPr>
              <w:pStyle w:val="TableText"/>
              <w:jc w:val="center"/>
              <w:rPr>
                <w:b/>
              </w:rPr>
            </w:pPr>
            <w:r w:rsidRPr="00A03EB8">
              <w:rPr>
                <w:b/>
              </w:rPr>
              <w:t>Outcomes</w:t>
            </w:r>
          </w:p>
        </w:tc>
        <w:tc>
          <w:tcPr>
            <w:tcW w:w="758" w:type="pct"/>
            <w:shd w:val="clear" w:color="auto" w:fill="auto"/>
            <w:vAlign w:val="center"/>
          </w:tcPr>
          <w:p w:rsidR="001334D8" w:rsidRPr="00A03EB8" w:rsidRDefault="001334D8" w:rsidP="00A538C9">
            <w:pPr>
              <w:pStyle w:val="TableText"/>
              <w:jc w:val="center"/>
              <w:rPr>
                <w:b/>
              </w:rPr>
            </w:pPr>
            <w:r w:rsidRPr="00A03EB8">
              <w:rPr>
                <w:b/>
              </w:rPr>
              <w:t>Use in modelled evaluation</w:t>
            </w:r>
          </w:p>
        </w:tc>
      </w:tr>
      <w:tr w:rsidR="001334D8" w:rsidRPr="00A03EB8" w:rsidTr="008B178D">
        <w:tc>
          <w:tcPr>
            <w:tcW w:w="679" w:type="pct"/>
            <w:shd w:val="clear" w:color="auto" w:fill="auto"/>
            <w:vAlign w:val="center"/>
          </w:tcPr>
          <w:p w:rsidR="001334D8" w:rsidRPr="00A03EB8" w:rsidRDefault="001334D8" w:rsidP="007A3413">
            <w:pPr>
              <w:pStyle w:val="TableText"/>
              <w:jc w:val="both"/>
            </w:pPr>
            <w:r w:rsidRPr="00A03EB8">
              <w:t>ENDEAR</w:t>
            </w:r>
          </w:p>
        </w:tc>
        <w:tc>
          <w:tcPr>
            <w:tcW w:w="426" w:type="pct"/>
            <w:shd w:val="clear" w:color="auto" w:fill="auto"/>
            <w:vAlign w:val="center"/>
          </w:tcPr>
          <w:p w:rsidR="001334D8" w:rsidRPr="00A03EB8" w:rsidRDefault="001334D8" w:rsidP="00A538C9">
            <w:pPr>
              <w:pStyle w:val="TableText"/>
              <w:jc w:val="center"/>
              <w:rPr>
                <w:rFonts w:ascii="Times" w:eastAsia="Times New Roman" w:hAnsi="Times" w:cs="Times New Roman"/>
              </w:rPr>
            </w:pPr>
            <w:r w:rsidRPr="00A03EB8">
              <w:t>121</w:t>
            </w:r>
          </w:p>
        </w:tc>
        <w:tc>
          <w:tcPr>
            <w:tcW w:w="779" w:type="pct"/>
            <w:shd w:val="clear" w:color="auto" w:fill="auto"/>
            <w:vAlign w:val="center"/>
          </w:tcPr>
          <w:p w:rsidR="001334D8" w:rsidRPr="00A03EB8" w:rsidRDefault="001334D8" w:rsidP="00A538C9">
            <w:pPr>
              <w:pStyle w:val="TableText"/>
              <w:jc w:val="center"/>
              <w:rPr>
                <w:rFonts w:ascii="Times" w:eastAsia="Times New Roman" w:hAnsi="Times" w:cs="Times New Roman"/>
              </w:rPr>
            </w:pPr>
            <w:r w:rsidRPr="00A03EB8">
              <w:t>R, DB, MC</w:t>
            </w:r>
          </w:p>
          <w:p w:rsidR="001334D8" w:rsidRPr="00A03EB8" w:rsidRDefault="001334D8" w:rsidP="00A538C9">
            <w:pPr>
              <w:pStyle w:val="TableText"/>
              <w:jc w:val="center"/>
              <w:rPr>
                <w:rFonts w:ascii="Times" w:eastAsia="Times New Roman" w:hAnsi="Times" w:cs="Times New Roman"/>
              </w:rPr>
            </w:pPr>
            <w:r w:rsidRPr="00A03EB8">
              <w:t>280 days</w:t>
            </w:r>
          </w:p>
        </w:tc>
        <w:tc>
          <w:tcPr>
            <w:tcW w:w="550" w:type="pct"/>
            <w:shd w:val="clear" w:color="auto" w:fill="auto"/>
            <w:vAlign w:val="center"/>
          </w:tcPr>
          <w:p w:rsidR="001334D8" w:rsidRPr="00A03EB8" w:rsidRDefault="001334D8" w:rsidP="00A538C9">
            <w:pPr>
              <w:pStyle w:val="TableText"/>
              <w:jc w:val="center"/>
              <w:rPr>
                <w:rFonts w:ascii="Times" w:eastAsia="Times New Roman" w:hAnsi="Times" w:cs="Times New Roman"/>
              </w:rPr>
            </w:pPr>
            <w:r w:rsidRPr="00A03EB8">
              <w:t>Low</w:t>
            </w:r>
          </w:p>
        </w:tc>
        <w:tc>
          <w:tcPr>
            <w:tcW w:w="1022" w:type="pct"/>
            <w:shd w:val="clear" w:color="auto" w:fill="auto"/>
            <w:vAlign w:val="center"/>
          </w:tcPr>
          <w:p w:rsidR="001334D8" w:rsidRPr="00A03EB8" w:rsidRDefault="001334D8" w:rsidP="00A538C9">
            <w:pPr>
              <w:pStyle w:val="TableText"/>
              <w:jc w:val="center"/>
              <w:rPr>
                <w:rFonts w:ascii="Times" w:eastAsia="Times New Roman" w:hAnsi="Times" w:cs="Times New Roman"/>
              </w:rPr>
            </w:pPr>
            <w:r w:rsidRPr="00A03EB8">
              <w:t>Infantile-onset SMA (Type I)</w:t>
            </w:r>
          </w:p>
        </w:tc>
        <w:tc>
          <w:tcPr>
            <w:tcW w:w="786" w:type="pct"/>
            <w:shd w:val="clear" w:color="auto" w:fill="auto"/>
            <w:vAlign w:val="center"/>
          </w:tcPr>
          <w:p w:rsidR="001334D8" w:rsidRPr="00A03EB8" w:rsidRDefault="001334D8" w:rsidP="00A538C9">
            <w:pPr>
              <w:pStyle w:val="TableText"/>
              <w:jc w:val="center"/>
              <w:rPr>
                <w:rFonts w:eastAsia="Times New Roman" w:cs="Times New Roman"/>
              </w:rPr>
            </w:pPr>
            <w:r w:rsidRPr="00A03EB8">
              <w:rPr>
                <w:rFonts w:eastAsia="Times New Roman" w:cs="Times New Roman"/>
              </w:rPr>
              <w:t>EFS, OS, HINE (Section 2)</w:t>
            </w:r>
          </w:p>
        </w:tc>
        <w:tc>
          <w:tcPr>
            <w:tcW w:w="758" w:type="pct"/>
            <w:shd w:val="clear" w:color="auto" w:fill="auto"/>
            <w:vAlign w:val="center"/>
          </w:tcPr>
          <w:p w:rsidR="001334D8" w:rsidRPr="00A03EB8" w:rsidRDefault="001334D8" w:rsidP="00A538C9">
            <w:pPr>
              <w:pStyle w:val="TableText"/>
              <w:jc w:val="center"/>
              <w:rPr>
                <w:rFonts w:eastAsia="Times New Roman" w:cs="Times New Roman"/>
              </w:rPr>
            </w:pPr>
            <w:r w:rsidRPr="00A03EB8">
              <w:rPr>
                <w:rFonts w:eastAsia="Times New Roman" w:cs="Times New Roman"/>
              </w:rPr>
              <w:t>EFS used as a proxy for OS</w:t>
            </w:r>
          </w:p>
        </w:tc>
      </w:tr>
      <w:tr w:rsidR="001334D8" w:rsidRPr="00A03EB8" w:rsidTr="008B178D">
        <w:tc>
          <w:tcPr>
            <w:tcW w:w="679" w:type="pct"/>
            <w:shd w:val="clear" w:color="auto" w:fill="auto"/>
            <w:vAlign w:val="center"/>
          </w:tcPr>
          <w:p w:rsidR="001334D8" w:rsidRPr="00A03EB8" w:rsidRDefault="001334D8" w:rsidP="007A3413">
            <w:pPr>
              <w:pStyle w:val="TableText"/>
              <w:jc w:val="both"/>
              <w:rPr>
                <w:rFonts w:ascii="Times" w:eastAsia="Times New Roman" w:hAnsi="Times" w:cs="Times New Roman"/>
              </w:rPr>
            </w:pPr>
            <w:r w:rsidRPr="00A03EB8">
              <w:t>CHERISH</w:t>
            </w:r>
          </w:p>
        </w:tc>
        <w:tc>
          <w:tcPr>
            <w:tcW w:w="426" w:type="pct"/>
            <w:shd w:val="clear" w:color="auto" w:fill="auto"/>
            <w:vAlign w:val="center"/>
          </w:tcPr>
          <w:p w:rsidR="001334D8" w:rsidRPr="00A03EB8" w:rsidRDefault="001334D8" w:rsidP="00A538C9">
            <w:pPr>
              <w:pStyle w:val="TableText"/>
              <w:jc w:val="center"/>
              <w:rPr>
                <w:rFonts w:ascii="Times" w:eastAsia="Times New Roman" w:hAnsi="Times" w:cs="Times New Roman"/>
              </w:rPr>
            </w:pPr>
            <w:r w:rsidRPr="00A03EB8">
              <w:t>126</w:t>
            </w:r>
          </w:p>
        </w:tc>
        <w:tc>
          <w:tcPr>
            <w:tcW w:w="779" w:type="pct"/>
            <w:shd w:val="clear" w:color="auto" w:fill="auto"/>
            <w:vAlign w:val="center"/>
          </w:tcPr>
          <w:p w:rsidR="001334D8" w:rsidRPr="00A03EB8" w:rsidRDefault="001334D8" w:rsidP="00A538C9">
            <w:pPr>
              <w:pStyle w:val="TableText"/>
              <w:jc w:val="center"/>
              <w:rPr>
                <w:rFonts w:ascii="Times" w:eastAsia="Times New Roman" w:hAnsi="Times" w:cs="Times New Roman"/>
              </w:rPr>
            </w:pPr>
            <w:r w:rsidRPr="00A03EB8">
              <w:t>R, DB, MC</w:t>
            </w:r>
          </w:p>
          <w:p w:rsidR="001334D8" w:rsidRPr="00A03EB8" w:rsidRDefault="001334D8" w:rsidP="00A538C9">
            <w:pPr>
              <w:pStyle w:val="TableText"/>
              <w:jc w:val="center"/>
              <w:rPr>
                <w:rFonts w:ascii="Times" w:eastAsia="Times New Roman" w:hAnsi="Times" w:cs="Times New Roman"/>
              </w:rPr>
            </w:pPr>
            <w:r w:rsidRPr="00A03EB8">
              <w:t>450 days</w:t>
            </w:r>
          </w:p>
        </w:tc>
        <w:tc>
          <w:tcPr>
            <w:tcW w:w="550" w:type="pct"/>
            <w:shd w:val="clear" w:color="auto" w:fill="auto"/>
            <w:vAlign w:val="center"/>
          </w:tcPr>
          <w:p w:rsidR="001334D8" w:rsidRPr="00A03EB8" w:rsidRDefault="001334D8" w:rsidP="00A538C9">
            <w:pPr>
              <w:pStyle w:val="TableText"/>
              <w:jc w:val="center"/>
              <w:rPr>
                <w:rFonts w:ascii="Times" w:eastAsia="Times New Roman" w:hAnsi="Times" w:cs="Times New Roman"/>
              </w:rPr>
            </w:pPr>
            <w:r w:rsidRPr="00A03EB8">
              <w:t>Low</w:t>
            </w:r>
          </w:p>
        </w:tc>
        <w:tc>
          <w:tcPr>
            <w:tcW w:w="1022" w:type="pct"/>
            <w:shd w:val="clear" w:color="auto" w:fill="auto"/>
            <w:vAlign w:val="center"/>
          </w:tcPr>
          <w:p w:rsidR="001334D8" w:rsidRPr="00A03EB8" w:rsidRDefault="001334D8" w:rsidP="00A538C9">
            <w:pPr>
              <w:pStyle w:val="TableText"/>
              <w:jc w:val="center"/>
              <w:rPr>
                <w:rFonts w:ascii="Times" w:eastAsia="Times New Roman" w:hAnsi="Times" w:cs="Times New Roman"/>
              </w:rPr>
            </w:pPr>
            <w:r w:rsidRPr="00A03EB8">
              <w:t>Childhood-onset SMA (Type II)</w:t>
            </w:r>
          </w:p>
        </w:tc>
        <w:tc>
          <w:tcPr>
            <w:tcW w:w="786" w:type="pct"/>
            <w:shd w:val="clear" w:color="auto" w:fill="auto"/>
            <w:vAlign w:val="center"/>
          </w:tcPr>
          <w:p w:rsidR="001334D8" w:rsidRPr="00A03EB8" w:rsidRDefault="001334D8" w:rsidP="00A538C9">
            <w:pPr>
              <w:pStyle w:val="TableText"/>
              <w:jc w:val="center"/>
              <w:rPr>
                <w:rFonts w:eastAsia="Times New Roman" w:cs="Times New Roman"/>
              </w:rPr>
            </w:pPr>
            <w:r w:rsidRPr="00A03EB8">
              <w:rPr>
                <w:rFonts w:eastAsia="Times New Roman" w:cs="Times New Roman"/>
              </w:rPr>
              <w:t>HFMSE</w:t>
            </w:r>
          </w:p>
        </w:tc>
        <w:tc>
          <w:tcPr>
            <w:tcW w:w="758" w:type="pct"/>
            <w:shd w:val="clear" w:color="auto" w:fill="auto"/>
            <w:vAlign w:val="center"/>
          </w:tcPr>
          <w:p w:rsidR="001334D8" w:rsidRPr="00A03EB8" w:rsidRDefault="001334D8" w:rsidP="00A538C9">
            <w:pPr>
              <w:pStyle w:val="TableText"/>
              <w:jc w:val="center"/>
              <w:rPr>
                <w:rFonts w:eastAsia="Times New Roman" w:cs="Times New Roman"/>
              </w:rPr>
            </w:pPr>
            <w:r w:rsidRPr="00A03EB8">
              <w:rPr>
                <w:rFonts w:eastAsia="Times New Roman" w:cs="Times New Roman"/>
              </w:rPr>
              <w:t>HFMSE</w:t>
            </w:r>
          </w:p>
        </w:tc>
      </w:tr>
    </w:tbl>
    <w:p w:rsidR="001334D8" w:rsidRPr="00A03EB8" w:rsidRDefault="001334D8" w:rsidP="007A3413">
      <w:pPr>
        <w:pStyle w:val="TableFooter"/>
      </w:pPr>
      <w:r w:rsidRPr="00A03EB8">
        <w:t>DB=double blind; R=randomised; SMA = spinal muscular atrophy; EFS = event-free survival; OS = overall survival; HINE = Hammersmith Infant Neurological Examination; HFMSE = Hammersmith Functional Motor Scale-Expanded</w:t>
      </w:r>
    </w:p>
    <w:p w:rsidR="001334D8" w:rsidRPr="00A03EB8" w:rsidRDefault="001334D8" w:rsidP="007A3413">
      <w:pPr>
        <w:pStyle w:val="TableFooter"/>
      </w:pPr>
      <w:r w:rsidRPr="00A03EB8">
        <w:t>Source: compiled during the evaluation</w:t>
      </w:r>
    </w:p>
    <w:p w:rsidR="001334D8" w:rsidRPr="00A03EB8" w:rsidRDefault="001334D8" w:rsidP="005D071D">
      <w:pPr>
        <w:pStyle w:val="ListParagraph"/>
        <w:numPr>
          <w:ilvl w:val="1"/>
          <w:numId w:val="2"/>
        </w:numPr>
        <w:spacing w:before="0" w:after="120"/>
        <w:jc w:val="both"/>
      </w:pPr>
      <w:r w:rsidRPr="00A03EB8">
        <w:t>As the CHERISH trial did</w:t>
      </w:r>
      <w:r w:rsidR="000676C4" w:rsidRPr="00A03EB8">
        <w:t xml:space="preserve"> not</w:t>
      </w:r>
      <w:r w:rsidRPr="00A03EB8">
        <w:t xml:space="preserve"> enrol any patients with Type III childhood-onset SMA, the evidence for nusinersen in this patient population came from the single-arm, non-randomised, open-label CS12 </w:t>
      </w:r>
      <w:r w:rsidR="00101C4E" w:rsidRPr="00A03EB8">
        <w:t>study</w:t>
      </w:r>
      <w:r w:rsidRPr="00A03EB8">
        <w:t xml:space="preserve"> </w:t>
      </w:r>
      <w:r w:rsidR="00101C4E" w:rsidRPr="00A03EB8">
        <w:t>enrolling</w:t>
      </w:r>
      <w:r w:rsidRPr="00A03EB8">
        <w:t xml:space="preserve"> 47 patients with Type II and Type III SMA, with 25 patients having SMA Type III. The submission compared the Hammersmith </w:t>
      </w:r>
      <w:r w:rsidRPr="00A03EB8">
        <w:lastRenderedPageBreak/>
        <w:t xml:space="preserve">Functional Motor Scale-Expanded (HFMSE) results from this </w:t>
      </w:r>
      <w:r w:rsidR="00101C4E" w:rsidRPr="00A03EB8">
        <w:t>study</w:t>
      </w:r>
      <w:r w:rsidRPr="00A03EB8">
        <w:t xml:space="preserve"> to HFMSE results reported in </w:t>
      </w:r>
      <w:r w:rsidR="00101C4E" w:rsidRPr="00A03EB8">
        <w:t>studies</w:t>
      </w:r>
      <w:r w:rsidRPr="00A03EB8">
        <w:t xml:space="preserve"> that investigated the natural history of SMA (Sivo et al, 2015 and Kaufmann et al, 2012).</w:t>
      </w:r>
    </w:p>
    <w:p w:rsidR="00F37A04" w:rsidRPr="00A03EB8" w:rsidRDefault="000676C4" w:rsidP="00DF59CF">
      <w:pPr>
        <w:pStyle w:val="ListParagraph"/>
        <w:numPr>
          <w:ilvl w:val="1"/>
          <w:numId w:val="2"/>
        </w:numPr>
        <w:spacing w:before="0" w:after="120"/>
        <w:jc w:val="both"/>
      </w:pPr>
      <w:r w:rsidRPr="00A03EB8">
        <w:t xml:space="preserve">The HFMSE assesses 33 functional motor tasks such as sitting, rolling, 4-point kneeling, crawling, transitioning from floor to sitting and sitting to standing, standing with support and assistance, walking with support and assistance and stair ascent and descent. Each item HFMSE is allocated a score of 2, 1 or 0 according to pre-determined criteria (for a total score of 66). A score of 0 indicates inability to complete the task, a score of 1 meaning the task can be completed with compensation and a score of 2 meaning the task can be completed normally, without compensation. </w:t>
      </w:r>
    </w:p>
    <w:p w:rsidR="00004DCC" w:rsidRPr="00A03EB8" w:rsidRDefault="00602A37" w:rsidP="00004DCC">
      <w:pPr>
        <w:pStyle w:val="ListParagraph"/>
        <w:numPr>
          <w:ilvl w:val="1"/>
          <w:numId w:val="2"/>
        </w:numPr>
      </w:pPr>
      <w:r w:rsidRPr="00A03EB8">
        <w:t xml:space="preserve">The submission considered that a 3-point increase in the HFMSE would be clinically significant for patients with childhood-onset SMA, and that stabilisation of disease without deterioration, as evidenced by a 0-point improvement in HFMSE would be clinically meaningful.  </w:t>
      </w:r>
      <w:r w:rsidR="00004DCC" w:rsidRPr="00A03EB8">
        <w:t xml:space="preserve">For example, the submission explained that the ability to roll and sit up in bed independently would require a 3-point change in specific items of the HFMSE. </w:t>
      </w:r>
    </w:p>
    <w:p w:rsidR="0063461C" w:rsidRPr="00A03EB8" w:rsidRDefault="00602A37" w:rsidP="00DF59CF">
      <w:pPr>
        <w:pStyle w:val="ListParagraph"/>
        <w:numPr>
          <w:ilvl w:val="1"/>
          <w:numId w:val="2"/>
        </w:numPr>
        <w:spacing w:before="0" w:after="120"/>
        <w:jc w:val="both"/>
      </w:pPr>
      <w:r w:rsidRPr="00A03EB8">
        <w:t>The nomination of a 3-point change as being clinically significant for patients was based on a publication (Swoboda et al. 2010) using the Modified Hammersmith Functional Motor Scale (MHFMS)-SMA (includes 20 items). The authors reported that the standard deviation for the results of the MHFMS-SMA at 6 months was 3.19 and that a clinically meaningful change in the MHFMS-SMA would be 3-points at 6 months. Thus, while a 3-point change could be statistically significant, the clinical significance of the change has not been established. No data w</w:t>
      </w:r>
      <w:r w:rsidR="00EC2ACB">
        <w:t>ere</w:t>
      </w:r>
      <w:r w:rsidRPr="00A03EB8">
        <w:t xml:space="preserve"> provided in the submission to substantiate the clinical significance of the 3-point change in HFMSE. The submission provided illustrative examples of what a 3-point increase in specific items of the HFMSE would mean for a patient, however the overall clinical significance of a 3-point change is unclear, and the submission acknowledges that an “examination of individual item scores is the only way to understand the clinical significance of 3 point improvements”. </w:t>
      </w:r>
    </w:p>
    <w:p w:rsidR="00004DCC" w:rsidRPr="00A03EB8" w:rsidRDefault="00602A37" w:rsidP="00DF59CF">
      <w:pPr>
        <w:pStyle w:val="ListParagraph"/>
        <w:numPr>
          <w:ilvl w:val="1"/>
          <w:numId w:val="2"/>
        </w:numPr>
        <w:spacing w:before="0" w:after="120"/>
        <w:jc w:val="both"/>
      </w:pPr>
      <w:r w:rsidRPr="00A03EB8">
        <w:t xml:space="preserve">The Pre-Sub-Committee Response </w:t>
      </w:r>
      <w:r w:rsidR="005A1D23" w:rsidRPr="00A03EB8">
        <w:t xml:space="preserve">(PSCR) </w:t>
      </w:r>
      <w:r w:rsidRPr="00A03EB8">
        <w:t xml:space="preserve">(p2) presented results from Pera et al 2017 which outlined individual items of the HFMSE and how these related to daily activities as perceived by patients and caregivers surveyed during the study. The PSCR (p3) claimed that the results of the study indicates that the HFMSE assesses motor function tasks which are relevant and meaningful and reiterated the conclusion from Pera et al 2017 that the study findings suggest that ‘any improvement is considered to be meaningful, regardless as to whether the baseline score is very low, in the middle, or very high’. </w:t>
      </w:r>
    </w:p>
    <w:p w:rsidR="00602A37" w:rsidRPr="00A03EB8" w:rsidRDefault="00602A37" w:rsidP="00DF59CF">
      <w:pPr>
        <w:pStyle w:val="ListParagraph"/>
        <w:numPr>
          <w:ilvl w:val="1"/>
          <w:numId w:val="2"/>
        </w:numPr>
        <w:spacing w:before="0" w:after="120"/>
        <w:jc w:val="both"/>
      </w:pPr>
      <w:r w:rsidRPr="00A03EB8">
        <w:t xml:space="preserve">The </w:t>
      </w:r>
      <w:r w:rsidR="00004DCC" w:rsidRPr="00352D6A">
        <w:t>PBAC</w:t>
      </w:r>
      <w:r w:rsidR="00004DCC" w:rsidRPr="00A03EB8">
        <w:t xml:space="preserve"> </w:t>
      </w:r>
      <w:r w:rsidRPr="00A03EB8">
        <w:t xml:space="preserve">considered that the nomination of a 3-point change in HFMSE as a MCID was not adequately supported for Type II SMA noting that, in addition to the issues above, the Swoboda et al. 2010 publication from which this figure was based, used the (MHFMS)-SMA consisting of only 20 items rather than the full HFMSE (consisting of 33 items) for which data was collected in the CHERISH trial. </w:t>
      </w:r>
    </w:p>
    <w:p w:rsidR="001334D8" w:rsidRPr="00A03EB8" w:rsidRDefault="001334D8" w:rsidP="004C4A2F">
      <w:pPr>
        <w:pStyle w:val="Heading2"/>
        <w:jc w:val="both"/>
        <w:rPr>
          <w:i w:val="0"/>
        </w:rPr>
      </w:pPr>
      <w:bookmarkStart w:id="15" w:name="_Toc413139278"/>
      <w:bookmarkStart w:id="16" w:name="_Toc490533773"/>
      <w:r w:rsidRPr="00A03EB8">
        <w:rPr>
          <w:i w:val="0"/>
        </w:rPr>
        <w:t>Comparative effectiveness</w:t>
      </w:r>
      <w:bookmarkEnd w:id="15"/>
      <w:bookmarkEnd w:id="16"/>
      <w:r w:rsidRPr="00A03EB8">
        <w:rPr>
          <w:i w:val="0"/>
        </w:rPr>
        <w:t xml:space="preserve"> </w:t>
      </w:r>
    </w:p>
    <w:p w:rsidR="00844699" w:rsidRPr="00352D6A" w:rsidRDefault="00844699" w:rsidP="00352D6A">
      <w:pPr>
        <w:rPr>
          <w:i/>
        </w:rPr>
      </w:pPr>
      <w:r w:rsidRPr="00352D6A">
        <w:rPr>
          <w:b/>
          <w:i/>
        </w:rPr>
        <w:t>Type I SMA</w:t>
      </w:r>
    </w:p>
    <w:p w:rsidR="001334D8" w:rsidRPr="00A03EB8" w:rsidRDefault="001334D8" w:rsidP="005D071D">
      <w:pPr>
        <w:pStyle w:val="ListParagraph"/>
        <w:numPr>
          <w:ilvl w:val="1"/>
          <w:numId w:val="2"/>
        </w:numPr>
        <w:spacing w:before="0" w:after="120"/>
        <w:jc w:val="both"/>
      </w:pPr>
      <w:r w:rsidRPr="00A03EB8">
        <w:lastRenderedPageBreak/>
        <w:t>Results for the primary outcome of motor milestone re</w:t>
      </w:r>
      <w:r w:rsidR="008C046D" w:rsidRPr="00A03EB8">
        <w:t>s</w:t>
      </w:r>
      <w:r w:rsidRPr="00A03EB8">
        <w:t xml:space="preserve">ponse (MMR) </w:t>
      </w:r>
      <w:r w:rsidR="00101C4E" w:rsidRPr="00A03EB8">
        <w:t>based on the Hammersmith Infant Neurological Examination (HINE) in the ENDEAR trial for patients with Type I SMA are summarised in Table 6. A responder was defined as ≥2-point increase in</w:t>
      </w:r>
      <w:r w:rsidR="00BB33EC" w:rsidRPr="00A03EB8">
        <w:t xml:space="preserve"> motor milestone (</w:t>
      </w:r>
      <w:r w:rsidR="00101C4E" w:rsidRPr="00A03EB8">
        <w:t>MM</w:t>
      </w:r>
      <w:r w:rsidR="009E233A" w:rsidRPr="00A03EB8">
        <w:t>)</w:t>
      </w:r>
      <w:r w:rsidR="00101C4E" w:rsidRPr="00A03EB8">
        <w:t xml:space="preserve"> category of ability to kick or achievement of maximal score in that category (touching toes) or ≥1-point increase in MM of head control, rolling, sitting, crawling, standing or walking AND improvement (as defined previously) in more categories than worsening (worsening defined as ≥2-point decrease or decrease to lowest score of kicking or ≥1-point decrease in any other category)</w:t>
      </w:r>
      <w:r w:rsidRPr="00A03EB8">
        <w:t>.</w:t>
      </w:r>
    </w:p>
    <w:p w:rsidR="00101C4E" w:rsidRPr="00A03EB8" w:rsidRDefault="00101C4E" w:rsidP="00101C4E">
      <w:pPr>
        <w:pStyle w:val="ListParagraph"/>
        <w:numPr>
          <w:ilvl w:val="1"/>
          <w:numId w:val="2"/>
        </w:numPr>
        <w:jc w:val="both"/>
      </w:pPr>
      <w:r w:rsidRPr="00A03EB8">
        <w:t xml:space="preserve">The results based on the final analysis set showed that patients treated with nusinersen experienced significant improvement in the ability to acquire milestones as well as in the number of milestones achieved. There was a </w:t>
      </w:r>
      <w:r w:rsidR="00925591" w:rsidRPr="00A03EB8">
        <w:t xml:space="preserve">significant </w:t>
      </w:r>
      <w:r w:rsidRPr="00A03EB8">
        <w:t>difference in the percentage of MMR between the two groups of 50.68% (95% CI: 31.81%, 66.48</w:t>
      </w:r>
      <w:r w:rsidR="00925591" w:rsidRPr="00A03EB8">
        <w:t xml:space="preserve">; </w:t>
      </w:r>
      <w:r w:rsidRPr="00A03EB8">
        <w:t xml:space="preserve">p&lt;0.0001 Fisher’s exact test). The results were consistent with those from the interim analysis, which showed a difference in percentage of responders of 41% </w:t>
      </w:r>
      <w:r w:rsidR="004A01DC" w:rsidRPr="00A03EB8">
        <w:t>(</w:t>
      </w:r>
      <w:r w:rsidRPr="00A03EB8">
        <w:t>95% CI: 18%, 61%</w:t>
      </w:r>
      <w:r w:rsidR="004A01DC" w:rsidRPr="00A03EB8">
        <w:t>)</w:t>
      </w:r>
      <w:r w:rsidRPr="00A03EB8">
        <w:t>.</w:t>
      </w:r>
    </w:p>
    <w:p w:rsidR="00101C4E" w:rsidRPr="00A03EB8" w:rsidRDefault="00101C4E" w:rsidP="00101C4E">
      <w:pPr>
        <w:pStyle w:val="ListParagraph"/>
        <w:numPr>
          <w:ilvl w:val="1"/>
          <w:numId w:val="2"/>
        </w:numPr>
        <w:spacing w:before="0" w:after="120"/>
        <w:jc w:val="both"/>
      </w:pPr>
      <w:r w:rsidRPr="00A03EB8">
        <w:t xml:space="preserve">The total number of motor milestones achieved over time from baseline increased from a mean change of </w:t>
      </w:r>
      <w:r w:rsidR="005F0590">
        <w:rPr>
          <w:noProof/>
          <w:color w:val="000000"/>
          <w:highlight w:val="black"/>
        </w:rPr>
        <w:t>''''''''</w:t>
      </w:r>
      <w:r w:rsidRPr="00A03EB8">
        <w:t xml:space="preserve"> for nusinersen treated patients and </w:t>
      </w:r>
      <w:r w:rsidR="005F0590">
        <w:rPr>
          <w:noProof/>
          <w:color w:val="000000"/>
          <w:highlight w:val="black"/>
        </w:rPr>
        <w:t>'''''''''</w:t>
      </w:r>
      <w:r w:rsidRPr="00A03EB8">
        <w:t xml:space="preserve"> for sham-control patients at Day 64 to </w:t>
      </w:r>
      <w:r w:rsidR="005F0590">
        <w:rPr>
          <w:noProof/>
          <w:color w:val="000000"/>
          <w:highlight w:val="black"/>
        </w:rPr>
        <w:t>''''''''</w:t>
      </w:r>
      <w:r w:rsidRPr="00A03EB8">
        <w:t xml:space="preserve"> and </w:t>
      </w:r>
      <w:r w:rsidR="005F0590">
        <w:rPr>
          <w:noProof/>
          <w:color w:val="000000"/>
          <w:highlight w:val="black"/>
        </w:rPr>
        <w:t>''''''''''</w:t>
      </w:r>
      <w:r w:rsidRPr="00A03EB8">
        <w:t xml:space="preserve"> respectively, by Day 394, with a mean difference in favour of nusinersen of </w:t>
      </w:r>
      <w:r w:rsidR="005F0590">
        <w:rPr>
          <w:noProof/>
          <w:color w:val="000000"/>
          <w:highlight w:val="black"/>
        </w:rPr>
        <w:t>'''''''' '''''''''' ''''' ''''''''''''' ''''''''''''</w:t>
      </w:r>
      <w:r w:rsidRPr="00A03EB8">
        <w:t>.</w:t>
      </w:r>
    </w:p>
    <w:p w:rsidR="001334D8" w:rsidRPr="00A03EB8" w:rsidRDefault="001334D8" w:rsidP="007A3413">
      <w:pPr>
        <w:pStyle w:val="TableHeading0"/>
        <w:jc w:val="both"/>
      </w:pPr>
      <w:r w:rsidRPr="00A03EB8">
        <w:lastRenderedPageBreak/>
        <w:t xml:space="preserve">Table </w:t>
      </w:r>
      <w:r w:rsidR="00101C4E" w:rsidRPr="00A03EB8">
        <w:t>6</w:t>
      </w:r>
      <w:r w:rsidRPr="00A03EB8">
        <w:t xml:space="preserve">: Results of motor milestone response for the ENDEAR trial  </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29"/>
        <w:gridCol w:w="1828"/>
        <w:gridCol w:w="1830"/>
      </w:tblGrid>
      <w:tr w:rsidR="001334D8" w:rsidRPr="00A03EB8" w:rsidTr="00101C4E">
        <w:trPr>
          <w:trHeight w:val="72"/>
        </w:trPr>
        <w:tc>
          <w:tcPr>
            <w:tcW w:w="2987" w:type="pct"/>
            <w:shd w:val="clear" w:color="auto" w:fill="FFFFFF" w:themeFill="background1"/>
          </w:tcPr>
          <w:p w:rsidR="001334D8" w:rsidRPr="00A03EB8" w:rsidRDefault="001334D8" w:rsidP="007A3413">
            <w:pPr>
              <w:pStyle w:val="TableText"/>
              <w:jc w:val="both"/>
              <w:rPr>
                <w:b/>
                <w:szCs w:val="20"/>
              </w:rPr>
            </w:pPr>
            <w:r w:rsidRPr="00A03EB8">
              <w:rPr>
                <w:b/>
                <w:szCs w:val="20"/>
              </w:rPr>
              <w:t>Analysis population</w:t>
            </w:r>
          </w:p>
        </w:tc>
        <w:tc>
          <w:tcPr>
            <w:tcW w:w="2013" w:type="pct"/>
            <w:gridSpan w:val="2"/>
            <w:shd w:val="clear" w:color="auto" w:fill="FFFFFF" w:themeFill="background1"/>
          </w:tcPr>
          <w:p w:rsidR="001334D8" w:rsidRPr="00A03EB8" w:rsidRDefault="001334D8" w:rsidP="009D512D">
            <w:pPr>
              <w:pStyle w:val="TableText"/>
              <w:jc w:val="center"/>
              <w:rPr>
                <w:b/>
                <w:szCs w:val="20"/>
              </w:rPr>
            </w:pPr>
            <w:r w:rsidRPr="00A03EB8">
              <w:rPr>
                <w:b/>
                <w:szCs w:val="20"/>
              </w:rPr>
              <w:t>Efficacy set</w:t>
            </w:r>
          </w:p>
        </w:tc>
      </w:tr>
      <w:tr w:rsidR="001334D8" w:rsidRPr="00A03EB8" w:rsidTr="00101C4E">
        <w:trPr>
          <w:trHeight w:val="72"/>
        </w:trPr>
        <w:tc>
          <w:tcPr>
            <w:tcW w:w="2987" w:type="pct"/>
          </w:tcPr>
          <w:p w:rsidR="001334D8" w:rsidRPr="00A03EB8" w:rsidRDefault="001334D8" w:rsidP="007A3413">
            <w:pPr>
              <w:pStyle w:val="TableText"/>
              <w:jc w:val="both"/>
              <w:rPr>
                <w:szCs w:val="20"/>
              </w:rPr>
            </w:pPr>
            <w:r w:rsidRPr="00A03EB8">
              <w:rPr>
                <w:szCs w:val="20"/>
              </w:rPr>
              <w:t>Treatment group</w:t>
            </w:r>
          </w:p>
        </w:tc>
        <w:tc>
          <w:tcPr>
            <w:tcW w:w="1006" w:type="pct"/>
          </w:tcPr>
          <w:p w:rsidR="001334D8" w:rsidRPr="00A03EB8" w:rsidRDefault="001334D8" w:rsidP="009D512D">
            <w:pPr>
              <w:pStyle w:val="TableText"/>
              <w:jc w:val="center"/>
              <w:rPr>
                <w:b/>
                <w:szCs w:val="20"/>
              </w:rPr>
            </w:pPr>
            <w:r w:rsidRPr="00A03EB8">
              <w:rPr>
                <w:b/>
                <w:szCs w:val="20"/>
              </w:rPr>
              <w:t>Sham-controls</w:t>
            </w:r>
          </w:p>
        </w:tc>
        <w:tc>
          <w:tcPr>
            <w:tcW w:w="1007" w:type="pct"/>
          </w:tcPr>
          <w:p w:rsidR="001334D8" w:rsidRPr="00A03EB8" w:rsidRDefault="001334D8" w:rsidP="009D512D">
            <w:pPr>
              <w:pStyle w:val="TableText"/>
              <w:jc w:val="center"/>
              <w:rPr>
                <w:b/>
                <w:szCs w:val="20"/>
              </w:rPr>
            </w:pPr>
            <w:r w:rsidRPr="00A03EB8">
              <w:rPr>
                <w:b/>
                <w:szCs w:val="20"/>
              </w:rPr>
              <w:t>Nusinersen</w:t>
            </w:r>
          </w:p>
        </w:tc>
      </w:tr>
      <w:tr w:rsidR="001334D8" w:rsidRPr="00A03EB8" w:rsidTr="00101C4E">
        <w:trPr>
          <w:trHeight w:val="72"/>
        </w:trPr>
        <w:tc>
          <w:tcPr>
            <w:tcW w:w="2987" w:type="pct"/>
          </w:tcPr>
          <w:p w:rsidR="001334D8" w:rsidRPr="00A03EB8" w:rsidRDefault="001334D8" w:rsidP="007A3413">
            <w:pPr>
              <w:pStyle w:val="TableText"/>
              <w:jc w:val="both"/>
              <w:rPr>
                <w:szCs w:val="20"/>
              </w:rPr>
            </w:pPr>
            <w:r w:rsidRPr="00A03EB8">
              <w:rPr>
                <w:szCs w:val="20"/>
              </w:rPr>
              <w:t>Number of evaluable subjects</w:t>
            </w:r>
            <w:r w:rsidRPr="00A03EB8">
              <w:rPr>
                <w:szCs w:val="20"/>
                <w:vertAlign w:val="superscript"/>
              </w:rPr>
              <w:t>a</w:t>
            </w:r>
            <w:r w:rsidRPr="00A03EB8">
              <w:rPr>
                <w:szCs w:val="20"/>
              </w:rPr>
              <w:t>, N (%)</w:t>
            </w:r>
          </w:p>
        </w:tc>
        <w:tc>
          <w:tcPr>
            <w:tcW w:w="1006" w:type="pct"/>
          </w:tcPr>
          <w:p w:rsidR="001334D8" w:rsidRPr="00A03EB8" w:rsidRDefault="001334D8" w:rsidP="009D512D">
            <w:pPr>
              <w:pStyle w:val="TableText"/>
              <w:jc w:val="center"/>
              <w:rPr>
                <w:szCs w:val="20"/>
              </w:rPr>
            </w:pPr>
            <w:r w:rsidRPr="00A03EB8">
              <w:rPr>
                <w:szCs w:val="20"/>
              </w:rPr>
              <w:t>37 (100)</w:t>
            </w:r>
          </w:p>
        </w:tc>
        <w:tc>
          <w:tcPr>
            <w:tcW w:w="1007" w:type="pct"/>
          </w:tcPr>
          <w:p w:rsidR="001334D8" w:rsidRPr="00A03EB8" w:rsidRDefault="001334D8" w:rsidP="009D512D">
            <w:pPr>
              <w:pStyle w:val="TableText"/>
              <w:jc w:val="center"/>
              <w:rPr>
                <w:szCs w:val="20"/>
              </w:rPr>
            </w:pPr>
            <w:r w:rsidRPr="00A03EB8">
              <w:rPr>
                <w:szCs w:val="20"/>
              </w:rPr>
              <w:t>73 (100)</w:t>
            </w:r>
          </w:p>
        </w:tc>
      </w:tr>
      <w:tr w:rsidR="001334D8" w:rsidRPr="00A03EB8" w:rsidTr="00101C4E">
        <w:trPr>
          <w:trHeight w:val="72"/>
        </w:trPr>
        <w:tc>
          <w:tcPr>
            <w:tcW w:w="2987" w:type="pct"/>
          </w:tcPr>
          <w:p w:rsidR="001334D8" w:rsidRPr="00A03EB8" w:rsidRDefault="001334D8" w:rsidP="00B06CA7">
            <w:pPr>
              <w:pStyle w:val="TableText"/>
              <w:jc w:val="both"/>
              <w:rPr>
                <w:szCs w:val="20"/>
              </w:rPr>
            </w:pPr>
            <w:r w:rsidRPr="00A03EB8">
              <w:rPr>
                <w:szCs w:val="20"/>
              </w:rPr>
              <w:t>Number of subjects who died</w:t>
            </w:r>
            <w:r w:rsidRPr="00A03EB8">
              <w:rPr>
                <w:szCs w:val="20"/>
                <w:vertAlign w:val="superscript"/>
              </w:rPr>
              <w:t>b</w:t>
            </w:r>
            <w:r w:rsidR="00123F25" w:rsidRPr="00A03EB8">
              <w:rPr>
                <w:szCs w:val="20"/>
              </w:rPr>
              <w:t xml:space="preserve">, </w:t>
            </w:r>
            <w:r w:rsidR="00B06CA7" w:rsidRPr="00A03EB8">
              <w:rPr>
                <w:szCs w:val="20"/>
              </w:rPr>
              <w:t xml:space="preserve">n </w:t>
            </w:r>
            <w:r w:rsidR="00123F25" w:rsidRPr="00A03EB8">
              <w:rPr>
                <w:szCs w:val="20"/>
              </w:rPr>
              <w:t>(%)</w:t>
            </w:r>
          </w:p>
        </w:tc>
        <w:tc>
          <w:tcPr>
            <w:tcW w:w="1006" w:type="pct"/>
          </w:tcPr>
          <w:p w:rsidR="001334D8" w:rsidRPr="00A03EB8" w:rsidRDefault="001334D8" w:rsidP="009D512D">
            <w:pPr>
              <w:pStyle w:val="TableText"/>
              <w:jc w:val="center"/>
              <w:rPr>
                <w:szCs w:val="20"/>
              </w:rPr>
            </w:pPr>
            <w:r w:rsidRPr="00A03EB8">
              <w:rPr>
                <w:szCs w:val="20"/>
              </w:rPr>
              <w:t>16 (43)</w:t>
            </w:r>
          </w:p>
        </w:tc>
        <w:tc>
          <w:tcPr>
            <w:tcW w:w="1007" w:type="pct"/>
          </w:tcPr>
          <w:p w:rsidR="001334D8" w:rsidRPr="00A03EB8" w:rsidRDefault="001334D8" w:rsidP="009D512D">
            <w:pPr>
              <w:pStyle w:val="TableText"/>
              <w:jc w:val="center"/>
              <w:rPr>
                <w:szCs w:val="20"/>
              </w:rPr>
            </w:pPr>
            <w:r w:rsidRPr="00A03EB8">
              <w:rPr>
                <w:szCs w:val="20"/>
              </w:rPr>
              <w:t>13 (18)</w:t>
            </w:r>
          </w:p>
        </w:tc>
      </w:tr>
      <w:tr w:rsidR="001334D8" w:rsidRPr="00A03EB8" w:rsidTr="00101C4E">
        <w:trPr>
          <w:trHeight w:val="172"/>
        </w:trPr>
        <w:tc>
          <w:tcPr>
            <w:tcW w:w="2987" w:type="pct"/>
          </w:tcPr>
          <w:p w:rsidR="001334D8" w:rsidRPr="00A03EB8" w:rsidRDefault="001334D8" w:rsidP="007A3413">
            <w:pPr>
              <w:pStyle w:val="TableText"/>
              <w:jc w:val="both"/>
              <w:rPr>
                <w:szCs w:val="20"/>
              </w:rPr>
            </w:pPr>
            <w:r w:rsidRPr="00A03EB8">
              <w:rPr>
                <w:szCs w:val="20"/>
              </w:rPr>
              <w:t>Number of subjects withdrawn for reasons other than death</w:t>
            </w:r>
            <w:r w:rsidRPr="00A03EB8">
              <w:rPr>
                <w:szCs w:val="20"/>
                <w:vertAlign w:val="superscript"/>
              </w:rPr>
              <w:t>b</w:t>
            </w:r>
          </w:p>
        </w:tc>
        <w:tc>
          <w:tcPr>
            <w:tcW w:w="1006" w:type="pct"/>
          </w:tcPr>
          <w:p w:rsidR="001334D8" w:rsidRPr="00A03EB8" w:rsidRDefault="001334D8" w:rsidP="009D512D">
            <w:pPr>
              <w:pStyle w:val="TableText"/>
              <w:jc w:val="center"/>
              <w:rPr>
                <w:szCs w:val="20"/>
              </w:rPr>
            </w:pPr>
            <w:r w:rsidRPr="00A03EB8">
              <w:rPr>
                <w:szCs w:val="20"/>
              </w:rPr>
              <w:t>1 (3)</w:t>
            </w:r>
          </w:p>
        </w:tc>
        <w:tc>
          <w:tcPr>
            <w:tcW w:w="1007" w:type="pct"/>
          </w:tcPr>
          <w:p w:rsidR="001334D8" w:rsidRPr="00A03EB8" w:rsidRDefault="001334D8" w:rsidP="009D512D">
            <w:pPr>
              <w:pStyle w:val="TableText"/>
              <w:jc w:val="center"/>
              <w:rPr>
                <w:szCs w:val="20"/>
              </w:rPr>
            </w:pPr>
            <w:r w:rsidRPr="00A03EB8">
              <w:rPr>
                <w:szCs w:val="20"/>
              </w:rPr>
              <w:t>2 (3)</w:t>
            </w:r>
          </w:p>
        </w:tc>
      </w:tr>
      <w:tr w:rsidR="001334D8" w:rsidRPr="00A03EB8" w:rsidTr="00101C4E">
        <w:trPr>
          <w:trHeight w:val="374"/>
        </w:trPr>
        <w:tc>
          <w:tcPr>
            <w:tcW w:w="2987" w:type="pct"/>
          </w:tcPr>
          <w:p w:rsidR="001334D8" w:rsidRPr="00796DC0" w:rsidRDefault="001334D8" w:rsidP="007A3413">
            <w:pPr>
              <w:pStyle w:val="TableText"/>
              <w:jc w:val="both"/>
              <w:rPr>
                <w:szCs w:val="20"/>
              </w:rPr>
            </w:pPr>
            <w:r w:rsidRPr="00796DC0">
              <w:rPr>
                <w:szCs w:val="20"/>
              </w:rPr>
              <w:t xml:space="preserve">Ability to kick: </w:t>
            </w:r>
          </w:p>
          <w:p w:rsidR="001334D8" w:rsidRPr="00796DC0" w:rsidRDefault="001334D8" w:rsidP="007A3413">
            <w:pPr>
              <w:pStyle w:val="TableText"/>
              <w:jc w:val="both"/>
              <w:rPr>
                <w:szCs w:val="20"/>
              </w:rPr>
            </w:pPr>
            <w:r w:rsidRPr="00796DC0">
              <w:rPr>
                <w:szCs w:val="20"/>
              </w:rPr>
              <w:t>At least a 2-point increase</w:t>
            </w:r>
          </w:p>
          <w:p w:rsidR="001334D8" w:rsidRPr="005F0590" w:rsidRDefault="001334D8" w:rsidP="007A3413">
            <w:pPr>
              <w:pStyle w:val="TableText"/>
              <w:jc w:val="both"/>
              <w:rPr>
                <w:szCs w:val="20"/>
              </w:rPr>
            </w:pPr>
            <w:r w:rsidRPr="00796DC0">
              <w:rPr>
                <w:szCs w:val="20"/>
              </w:rPr>
              <w:t>Achievement of touching toes</w:t>
            </w:r>
          </w:p>
        </w:tc>
        <w:tc>
          <w:tcPr>
            <w:tcW w:w="1006" w:type="pct"/>
          </w:tcPr>
          <w:p w:rsidR="001334D8" w:rsidRPr="005F0590" w:rsidRDefault="001334D8" w:rsidP="009D512D">
            <w:pPr>
              <w:pStyle w:val="TableText"/>
              <w:jc w:val="center"/>
              <w:rPr>
                <w:szCs w:val="20"/>
              </w:rPr>
            </w:pPr>
          </w:p>
          <w:p w:rsidR="001334D8" w:rsidRPr="005F0590" w:rsidRDefault="005F0590" w:rsidP="009D512D">
            <w:pPr>
              <w:pStyle w:val="TableText"/>
              <w:jc w:val="center"/>
              <w:rPr>
                <w:szCs w:val="20"/>
                <w:highlight w:val="black"/>
              </w:rPr>
            </w:pPr>
            <w:r>
              <w:rPr>
                <w:noProof/>
                <w:color w:val="000000"/>
                <w:szCs w:val="20"/>
                <w:highlight w:val="black"/>
              </w:rPr>
              <w:t>'''</w:t>
            </w:r>
          </w:p>
          <w:p w:rsidR="001334D8" w:rsidRPr="005F0590" w:rsidRDefault="005F0590" w:rsidP="009D512D">
            <w:pPr>
              <w:pStyle w:val="TableText"/>
              <w:jc w:val="center"/>
              <w:rPr>
                <w:szCs w:val="20"/>
                <w:highlight w:val="black"/>
              </w:rPr>
            </w:pPr>
            <w:r>
              <w:rPr>
                <w:noProof/>
                <w:color w:val="000000"/>
                <w:szCs w:val="20"/>
                <w:highlight w:val="black"/>
              </w:rPr>
              <w:t>''''</w:t>
            </w:r>
          </w:p>
        </w:tc>
        <w:tc>
          <w:tcPr>
            <w:tcW w:w="1007" w:type="pct"/>
          </w:tcPr>
          <w:p w:rsidR="001334D8" w:rsidRPr="005F0590" w:rsidRDefault="001334D8" w:rsidP="009D512D">
            <w:pPr>
              <w:pStyle w:val="TableText"/>
              <w:jc w:val="center"/>
              <w:rPr>
                <w:szCs w:val="20"/>
              </w:rPr>
            </w:pPr>
          </w:p>
          <w:p w:rsidR="001334D8" w:rsidRPr="005F0590" w:rsidRDefault="005F0590" w:rsidP="009D512D">
            <w:pPr>
              <w:pStyle w:val="TableText"/>
              <w:jc w:val="center"/>
              <w:rPr>
                <w:szCs w:val="20"/>
                <w:highlight w:val="black"/>
              </w:rPr>
            </w:pPr>
            <w:r>
              <w:rPr>
                <w:noProof/>
                <w:color w:val="000000"/>
                <w:szCs w:val="20"/>
                <w:highlight w:val="black"/>
              </w:rPr>
              <w:t>'''''' '''''''''</w:t>
            </w:r>
          </w:p>
          <w:p w:rsidR="001334D8" w:rsidRPr="005F0590" w:rsidRDefault="005F0590" w:rsidP="009D512D">
            <w:pPr>
              <w:pStyle w:val="TableText"/>
              <w:jc w:val="center"/>
              <w:rPr>
                <w:szCs w:val="20"/>
                <w:highlight w:val="black"/>
              </w:rPr>
            </w:pPr>
            <w:r>
              <w:rPr>
                <w:noProof/>
                <w:color w:val="000000"/>
                <w:szCs w:val="20"/>
                <w:highlight w:val="black"/>
              </w:rPr>
              <w:t>''' '''''''</w:t>
            </w:r>
          </w:p>
        </w:tc>
      </w:tr>
      <w:tr w:rsidR="001334D8" w:rsidRPr="00A03EB8" w:rsidTr="00101C4E">
        <w:trPr>
          <w:trHeight w:val="72"/>
        </w:trPr>
        <w:tc>
          <w:tcPr>
            <w:tcW w:w="2987" w:type="pct"/>
          </w:tcPr>
          <w:p w:rsidR="001334D8" w:rsidRPr="005F0590" w:rsidRDefault="001334D8" w:rsidP="007A3413">
            <w:pPr>
              <w:pStyle w:val="TableText"/>
              <w:jc w:val="both"/>
              <w:rPr>
                <w:szCs w:val="20"/>
              </w:rPr>
            </w:pPr>
            <w:r w:rsidRPr="00796DC0">
              <w:rPr>
                <w:szCs w:val="20"/>
              </w:rPr>
              <w:t xml:space="preserve">Head control: at least a 1-point increase </w:t>
            </w:r>
          </w:p>
        </w:tc>
        <w:tc>
          <w:tcPr>
            <w:tcW w:w="1006" w:type="pct"/>
          </w:tcPr>
          <w:p w:rsidR="001334D8" w:rsidRPr="005F0590" w:rsidRDefault="005F0590" w:rsidP="009D512D">
            <w:pPr>
              <w:pStyle w:val="TableText"/>
              <w:jc w:val="center"/>
              <w:rPr>
                <w:szCs w:val="20"/>
                <w:highlight w:val="black"/>
              </w:rPr>
            </w:pPr>
            <w:r>
              <w:rPr>
                <w:noProof/>
                <w:color w:val="000000"/>
                <w:szCs w:val="20"/>
                <w:highlight w:val="black"/>
              </w:rPr>
              <w:t>'''</w:t>
            </w:r>
          </w:p>
        </w:tc>
        <w:tc>
          <w:tcPr>
            <w:tcW w:w="1007" w:type="pct"/>
          </w:tcPr>
          <w:p w:rsidR="001334D8" w:rsidRPr="005F0590" w:rsidRDefault="005F0590" w:rsidP="009D512D">
            <w:pPr>
              <w:pStyle w:val="TableText"/>
              <w:jc w:val="center"/>
              <w:rPr>
                <w:szCs w:val="20"/>
                <w:highlight w:val="black"/>
              </w:rPr>
            </w:pPr>
            <w:r>
              <w:rPr>
                <w:noProof/>
                <w:color w:val="000000"/>
                <w:szCs w:val="20"/>
                <w:highlight w:val="black"/>
              </w:rPr>
              <w:t>'''''' ''''''''''</w:t>
            </w:r>
          </w:p>
        </w:tc>
      </w:tr>
      <w:tr w:rsidR="001334D8" w:rsidRPr="00A03EB8" w:rsidTr="00101C4E">
        <w:trPr>
          <w:trHeight w:val="72"/>
        </w:trPr>
        <w:tc>
          <w:tcPr>
            <w:tcW w:w="2987" w:type="pct"/>
          </w:tcPr>
          <w:p w:rsidR="001334D8" w:rsidRPr="005F0590" w:rsidRDefault="001334D8" w:rsidP="007A3413">
            <w:pPr>
              <w:pStyle w:val="TableText"/>
              <w:jc w:val="both"/>
              <w:rPr>
                <w:szCs w:val="20"/>
              </w:rPr>
            </w:pPr>
            <w:r w:rsidRPr="00796DC0">
              <w:rPr>
                <w:szCs w:val="20"/>
              </w:rPr>
              <w:t xml:space="preserve">Rolling: at least a 1-point increase </w:t>
            </w:r>
          </w:p>
        </w:tc>
        <w:tc>
          <w:tcPr>
            <w:tcW w:w="1006" w:type="pct"/>
          </w:tcPr>
          <w:p w:rsidR="001334D8" w:rsidRPr="005F0590" w:rsidRDefault="005F0590" w:rsidP="009D512D">
            <w:pPr>
              <w:pStyle w:val="TableText"/>
              <w:jc w:val="center"/>
              <w:rPr>
                <w:szCs w:val="20"/>
                <w:highlight w:val="black"/>
              </w:rPr>
            </w:pPr>
            <w:r>
              <w:rPr>
                <w:noProof/>
                <w:color w:val="000000"/>
                <w:szCs w:val="20"/>
                <w:highlight w:val="black"/>
              </w:rPr>
              <w:t>'''' '''''''</w:t>
            </w:r>
          </w:p>
        </w:tc>
        <w:tc>
          <w:tcPr>
            <w:tcW w:w="1007" w:type="pct"/>
          </w:tcPr>
          <w:p w:rsidR="001334D8" w:rsidRPr="005F0590" w:rsidRDefault="005F0590" w:rsidP="009D512D">
            <w:pPr>
              <w:pStyle w:val="TableText"/>
              <w:jc w:val="center"/>
              <w:rPr>
                <w:szCs w:val="20"/>
                <w:highlight w:val="black"/>
              </w:rPr>
            </w:pPr>
            <w:r>
              <w:rPr>
                <w:noProof/>
                <w:color w:val="000000"/>
                <w:szCs w:val="20"/>
                <w:highlight w:val="black"/>
              </w:rPr>
              <w:t>'''''' ''''''''''</w:t>
            </w:r>
          </w:p>
        </w:tc>
      </w:tr>
      <w:tr w:rsidR="001334D8" w:rsidRPr="00A03EB8" w:rsidTr="00101C4E">
        <w:trPr>
          <w:trHeight w:val="72"/>
        </w:trPr>
        <w:tc>
          <w:tcPr>
            <w:tcW w:w="2987" w:type="pct"/>
          </w:tcPr>
          <w:p w:rsidR="001334D8" w:rsidRPr="005F0590" w:rsidRDefault="001334D8" w:rsidP="007A3413">
            <w:pPr>
              <w:pStyle w:val="TableText"/>
              <w:jc w:val="both"/>
              <w:rPr>
                <w:szCs w:val="20"/>
              </w:rPr>
            </w:pPr>
            <w:r w:rsidRPr="00796DC0">
              <w:rPr>
                <w:szCs w:val="20"/>
              </w:rPr>
              <w:t xml:space="preserve">Sitting: at least a 1-point increase </w:t>
            </w:r>
          </w:p>
        </w:tc>
        <w:tc>
          <w:tcPr>
            <w:tcW w:w="1006" w:type="pct"/>
          </w:tcPr>
          <w:p w:rsidR="001334D8" w:rsidRPr="005F0590" w:rsidRDefault="005F0590" w:rsidP="009D512D">
            <w:pPr>
              <w:pStyle w:val="TableText"/>
              <w:jc w:val="center"/>
              <w:rPr>
                <w:szCs w:val="20"/>
                <w:highlight w:val="black"/>
              </w:rPr>
            </w:pPr>
            <w:r>
              <w:rPr>
                <w:noProof/>
                <w:color w:val="000000"/>
                <w:szCs w:val="20"/>
                <w:highlight w:val="black"/>
              </w:rPr>
              <w:t>'''</w:t>
            </w:r>
          </w:p>
        </w:tc>
        <w:tc>
          <w:tcPr>
            <w:tcW w:w="1007" w:type="pct"/>
          </w:tcPr>
          <w:p w:rsidR="001334D8" w:rsidRPr="005F0590" w:rsidRDefault="005F0590" w:rsidP="009D512D">
            <w:pPr>
              <w:pStyle w:val="TableText"/>
              <w:jc w:val="center"/>
              <w:rPr>
                <w:szCs w:val="20"/>
                <w:highlight w:val="black"/>
              </w:rPr>
            </w:pPr>
            <w:r>
              <w:rPr>
                <w:noProof/>
                <w:color w:val="000000"/>
                <w:szCs w:val="20"/>
                <w:highlight w:val="black"/>
              </w:rPr>
              <w:t>''''''' ''''''''''</w:t>
            </w:r>
          </w:p>
        </w:tc>
      </w:tr>
      <w:tr w:rsidR="001334D8" w:rsidRPr="00A03EB8" w:rsidTr="00101C4E">
        <w:trPr>
          <w:trHeight w:val="72"/>
        </w:trPr>
        <w:tc>
          <w:tcPr>
            <w:tcW w:w="2987" w:type="pct"/>
          </w:tcPr>
          <w:p w:rsidR="001334D8" w:rsidRPr="005F0590" w:rsidRDefault="001334D8" w:rsidP="007A3413">
            <w:pPr>
              <w:pStyle w:val="TableText"/>
              <w:jc w:val="both"/>
              <w:rPr>
                <w:szCs w:val="20"/>
              </w:rPr>
            </w:pPr>
            <w:r w:rsidRPr="00796DC0">
              <w:rPr>
                <w:szCs w:val="20"/>
              </w:rPr>
              <w:t xml:space="preserve">Crawling: at least a 1-point increase </w:t>
            </w:r>
          </w:p>
        </w:tc>
        <w:tc>
          <w:tcPr>
            <w:tcW w:w="1006" w:type="pct"/>
          </w:tcPr>
          <w:p w:rsidR="001334D8" w:rsidRPr="005F0590" w:rsidRDefault="005F0590" w:rsidP="009D512D">
            <w:pPr>
              <w:pStyle w:val="TableText"/>
              <w:jc w:val="center"/>
              <w:rPr>
                <w:szCs w:val="20"/>
                <w:highlight w:val="black"/>
              </w:rPr>
            </w:pPr>
            <w:r>
              <w:rPr>
                <w:noProof/>
                <w:color w:val="000000"/>
                <w:szCs w:val="20"/>
                <w:highlight w:val="black"/>
              </w:rPr>
              <w:t>''''</w:t>
            </w:r>
          </w:p>
        </w:tc>
        <w:tc>
          <w:tcPr>
            <w:tcW w:w="1007" w:type="pct"/>
          </w:tcPr>
          <w:p w:rsidR="001334D8" w:rsidRPr="005F0590" w:rsidRDefault="005F0590" w:rsidP="009D512D">
            <w:pPr>
              <w:pStyle w:val="TableText"/>
              <w:jc w:val="center"/>
              <w:rPr>
                <w:szCs w:val="20"/>
                <w:highlight w:val="black"/>
              </w:rPr>
            </w:pPr>
            <w:r>
              <w:rPr>
                <w:noProof/>
                <w:color w:val="000000"/>
                <w:szCs w:val="20"/>
                <w:highlight w:val="black"/>
              </w:rPr>
              <w:t>''' '''''''''</w:t>
            </w:r>
          </w:p>
        </w:tc>
      </w:tr>
      <w:tr w:rsidR="001334D8" w:rsidRPr="00A03EB8" w:rsidTr="00101C4E">
        <w:trPr>
          <w:trHeight w:val="72"/>
        </w:trPr>
        <w:tc>
          <w:tcPr>
            <w:tcW w:w="2987" w:type="pct"/>
          </w:tcPr>
          <w:p w:rsidR="001334D8" w:rsidRPr="005F0590" w:rsidRDefault="001334D8" w:rsidP="007A3413">
            <w:pPr>
              <w:pStyle w:val="TableText"/>
              <w:jc w:val="both"/>
              <w:rPr>
                <w:szCs w:val="20"/>
              </w:rPr>
            </w:pPr>
            <w:r w:rsidRPr="00796DC0">
              <w:rPr>
                <w:szCs w:val="20"/>
              </w:rPr>
              <w:t xml:space="preserve">Standing: at least a 1-point increase </w:t>
            </w:r>
          </w:p>
        </w:tc>
        <w:tc>
          <w:tcPr>
            <w:tcW w:w="1006" w:type="pct"/>
          </w:tcPr>
          <w:p w:rsidR="001334D8" w:rsidRPr="005F0590" w:rsidRDefault="005F0590" w:rsidP="009D512D">
            <w:pPr>
              <w:pStyle w:val="TableText"/>
              <w:jc w:val="center"/>
              <w:rPr>
                <w:szCs w:val="20"/>
                <w:highlight w:val="black"/>
              </w:rPr>
            </w:pPr>
            <w:r>
              <w:rPr>
                <w:noProof/>
                <w:color w:val="000000"/>
                <w:szCs w:val="20"/>
                <w:highlight w:val="black"/>
              </w:rPr>
              <w:t>'''</w:t>
            </w:r>
          </w:p>
        </w:tc>
        <w:tc>
          <w:tcPr>
            <w:tcW w:w="1007" w:type="pct"/>
          </w:tcPr>
          <w:p w:rsidR="001334D8" w:rsidRPr="005F0590" w:rsidRDefault="005F0590" w:rsidP="009D512D">
            <w:pPr>
              <w:pStyle w:val="TableText"/>
              <w:jc w:val="center"/>
              <w:rPr>
                <w:szCs w:val="20"/>
                <w:highlight w:val="black"/>
              </w:rPr>
            </w:pPr>
            <w:r>
              <w:rPr>
                <w:noProof/>
                <w:color w:val="000000"/>
                <w:szCs w:val="20"/>
                <w:highlight w:val="black"/>
              </w:rPr>
              <w:t>'''' ''''''''''</w:t>
            </w:r>
          </w:p>
        </w:tc>
      </w:tr>
      <w:tr w:rsidR="001334D8" w:rsidRPr="00A03EB8" w:rsidTr="00101C4E">
        <w:trPr>
          <w:trHeight w:val="72"/>
        </w:trPr>
        <w:tc>
          <w:tcPr>
            <w:tcW w:w="2987" w:type="pct"/>
          </w:tcPr>
          <w:p w:rsidR="001334D8" w:rsidRPr="005F0590" w:rsidRDefault="001334D8" w:rsidP="007A3413">
            <w:pPr>
              <w:pStyle w:val="TableText"/>
              <w:jc w:val="both"/>
              <w:rPr>
                <w:szCs w:val="20"/>
              </w:rPr>
            </w:pPr>
            <w:r w:rsidRPr="00796DC0">
              <w:rPr>
                <w:szCs w:val="20"/>
              </w:rPr>
              <w:t xml:space="preserve">Walking: at least a 1-point increase </w:t>
            </w:r>
          </w:p>
        </w:tc>
        <w:tc>
          <w:tcPr>
            <w:tcW w:w="1006" w:type="pct"/>
          </w:tcPr>
          <w:p w:rsidR="001334D8" w:rsidRPr="005F0590" w:rsidRDefault="005F0590" w:rsidP="009D512D">
            <w:pPr>
              <w:pStyle w:val="TableText"/>
              <w:jc w:val="center"/>
              <w:rPr>
                <w:szCs w:val="20"/>
                <w:highlight w:val="black"/>
              </w:rPr>
            </w:pPr>
            <w:r>
              <w:rPr>
                <w:noProof/>
                <w:color w:val="000000"/>
                <w:szCs w:val="20"/>
                <w:highlight w:val="black"/>
              </w:rPr>
              <w:t>'''</w:t>
            </w:r>
          </w:p>
        </w:tc>
        <w:tc>
          <w:tcPr>
            <w:tcW w:w="1007" w:type="pct"/>
          </w:tcPr>
          <w:p w:rsidR="001334D8" w:rsidRPr="005F0590" w:rsidRDefault="005F0590" w:rsidP="009D512D">
            <w:pPr>
              <w:pStyle w:val="TableText"/>
              <w:jc w:val="center"/>
              <w:rPr>
                <w:szCs w:val="20"/>
                <w:highlight w:val="black"/>
              </w:rPr>
            </w:pPr>
            <w:r>
              <w:rPr>
                <w:noProof/>
                <w:color w:val="000000"/>
                <w:szCs w:val="20"/>
                <w:highlight w:val="black"/>
              </w:rPr>
              <w:t>'''</w:t>
            </w:r>
          </w:p>
        </w:tc>
      </w:tr>
      <w:tr w:rsidR="001334D8" w:rsidRPr="00A03EB8" w:rsidTr="00101C4E">
        <w:trPr>
          <w:trHeight w:val="273"/>
        </w:trPr>
        <w:tc>
          <w:tcPr>
            <w:tcW w:w="2987" w:type="pct"/>
          </w:tcPr>
          <w:p w:rsidR="001334D8" w:rsidRPr="00A03EB8" w:rsidRDefault="001334D8" w:rsidP="007A3413">
            <w:pPr>
              <w:pStyle w:val="TableText"/>
              <w:jc w:val="both"/>
              <w:rPr>
                <w:szCs w:val="20"/>
              </w:rPr>
            </w:pPr>
            <w:r w:rsidRPr="00A03EB8">
              <w:rPr>
                <w:szCs w:val="20"/>
              </w:rPr>
              <w:t>Number of patients (%)</w:t>
            </w:r>
            <w:r w:rsidRPr="00A03EB8">
              <w:rPr>
                <w:szCs w:val="20"/>
                <w:vertAlign w:val="superscript"/>
              </w:rPr>
              <w:t>d</w:t>
            </w:r>
          </w:p>
        </w:tc>
        <w:tc>
          <w:tcPr>
            <w:tcW w:w="1006" w:type="pct"/>
          </w:tcPr>
          <w:p w:rsidR="001334D8" w:rsidRPr="00A03EB8" w:rsidRDefault="001334D8" w:rsidP="009D512D">
            <w:pPr>
              <w:pStyle w:val="TableText"/>
              <w:jc w:val="center"/>
              <w:rPr>
                <w:szCs w:val="20"/>
              </w:rPr>
            </w:pPr>
            <w:r w:rsidRPr="00A03EB8">
              <w:rPr>
                <w:szCs w:val="20"/>
              </w:rPr>
              <w:t>0</w:t>
            </w:r>
          </w:p>
        </w:tc>
        <w:tc>
          <w:tcPr>
            <w:tcW w:w="1007" w:type="pct"/>
          </w:tcPr>
          <w:p w:rsidR="001334D8" w:rsidRPr="00A03EB8" w:rsidRDefault="001334D8" w:rsidP="009D512D">
            <w:pPr>
              <w:pStyle w:val="TableText"/>
              <w:jc w:val="center"/>
              <w:rPr>
                <w:szCs w:val="20"/>
              </w:rPr>
            </w:pPr>
            <w:r w:rsidRPr="00A03EB8">
              <w:rPr>
                <w:szCs w:val="20"/>
              </w:rPr>
              <w:t>37 (51)</w:t>
            </w:r>
          </w:p>
        </w:tc>
      </w:tr>
      <w:tr w:rsidR="00101C4E" w:rsidRPr="00A03EB8" w:rsidTr="00101C4E">
        <w:trPr>
          <w:trHeight w:val="273"/>
        </w:trPr>
        <w:tc>
          <w:tcPr>
            <w:tcW w:w="2987" w:type="pct"/>
            <w:shd w:val="clear" w:color="auto" w:fill="auto"/>
          </w:tcPr>
          <w:p w:rsidR="00101C4E" w:rsidRPr="00A03EB8" w:rsidRDefault="00101C4E" w:rsidP="007A3413">
            <w:pPr>
              <w:pStyle w:val="TableText"/>
              <w:jc w:val="both"/>
              <w:rPr>
                <w:szCs w:val="20"/>
              </w:rPr>
            </w:pPr>
            <w:r w:rsidRPr="00A03EB8">
              <w:rPr>
                <w:szCs w:val="20"/>
              </w:rPr>
              <w:t>Difference in percentage of responders (nusinersen - control)</w:t>
            </w:r>
          </w:p>
        </w:tc>
        <w:tc>
          <w:tcPr>
            <w:tcW w:w="2013" w:type="pct"/>
            <w:gridSpan w:val="2"/>
            <w:shd w:val="clear" w:color="auto" w:fill="auto"/>
          </w:tcPr>
          <w:p w:rsidR="00101C4E" w:rsidRPr="00A03EB8" w:rsidRDefault="00101C4E" w:rsidP="009D512D">
            <w:pPr>
              <w:pStyle w:val="TableText"/>
              <w:jc w:val="center"/>
              <w:rPr>
                <w:szCs w:val="20"/>
              </w:rPr>
            </w:pPr>
            <w:r w:rsidRPr="00A03EB8">
              <w:rPr>
                <w:szCs w:val="20"/>
              </w:rPr>
              <w:t>50.68</w:t>
            </w:r>
          </w:p>
        </w:tc>
      </w:tr>
      <w:tr w:rsidR="00101C4E" w:rsidRPr="00A03EB8" w:rsidTr="00101C4E">
        <w:trPr>
          <w:trHeight w:val="273"/>
        </w:trPr>
        <w:tc>
          <w:tcPr>
            <w:tcW w:w="2987" w:type="pct"/>
            <w:shd w:val="clear" w:color="auto" w:fill="auto"/>
          </w:tcPr>
          <w:p w:rsidR="00101C4E" w:rsidRPr="00A03EB8" w:rsidRDefault="00101C4E" w:rsidP="007A3413">
            <w:pPr>
              <w:pStyle w:val="TableText"/>
              <w:jc w:val="both"/>
              <w:rPr>
                <w:szCs w:val="20"/>
                <w:vertAlign w:val="superscript"/>
              </w:rPr>
            </w:pPr>
            <w:r w:rsidRPr="00A03EB8">
              <w:rPr>
                <w:szCs w:val="20"/>
              </w:rPr>
              <w:t>(95% CI)</w:t>
            </w:r>
            <w:r w:rsidRPr="00A03EB8">
              <w:rPr>
                <w:szCs w:val="20"/>
                <w:vertAlign w:val="superscript"/>
              </w:rPr>
              <w:t>e</w:t>
            </w:r>
          </w:p>
        </w:tc>
        <w:tc>
          <w:tcPr>
            <w:tcW w:w="2013" w:type="pct"/>
            <w:gridSpan w:val="2"/>
            <w:shd w:val="clear" w:color="auto" w:fill="auto"/>
          </w:tcPr>
          <w:p w:rsidR="00101C4E" w:rsidRPr="00A03EB8" w:rsidRDefault="00101C4E" w:rsidP="009D512D">
            <w:pPr>
              <w:pStyle w:val="TableText"/>
              <w:jc w:val="center"/>
              <w:rPr>
                <w:szCs w:val="20"/>
              </w:rPr>
            </w:pPr>
            <w:r w:rsidRPr="00A03EB8">
              <w:rPr>
                <w:szCs w:val="20"/>
              </w:rPr>
              <w:t>31.81, 66.48</w:t>
            </w:r>
          </w:p>
        </w:tc>
      </w:tr>
      <w:tr w:rsidR="00101C4E" w:rsidRPr="00A03EB8" w:rsidTr="00101C4E">
        <w:trPr>
          <w:trHeight w:val="273"/>
        </w:trPr>
        <w:tc>
          <w:tcPr>
            <w:tcW w:w="2987" w:type="pct"/>
            <w:shd w:val="clear" w:color="auto" w:fill="auto"/>
          </w:tcPr>
          <w:p w:rsidR="00101C4E" w:rsidRPr="00A03EB8" w:rsidRDefault="00101C4E" w:rsidP="007A3413">
            <w:pPr>
              <w:pStyle w:val="TableText"/>
              <w:jc w:val="both"/>
              <w:rPr>
                <w:szCs w:val="20"/>
                <w:vertAlign w:val="superscript"/>
              </w:rPr>
            </w:pPr>
            <w:r w:rsidRPr="00A03EB8">
              <w:rPr>
                <w:szCs w:val="20"/>
              </w:rPr>
              <w:t>p-value (compared to control)</w:t>
            </w:r>
            <w:r w:rsidRPr="00A03EB8">
              <w:rPr>
                <w:szCs w:val="20"/>
                <w:vertAlign w:val="superscript"/>
              </w:rPr>
              <w:t>f</w:t>
            </w:r>
          </w:p>
        </w:tc>
        <w:tc>
          <w:tcPr>
            <w:tcW w:w="2013" w:type="pct"/>
            <w:gridSpan w:val="2"/>
            <w:shd w:val="clear" w:color="auto" w:fill="auto"/>
          </w:tcPr>
          <w:p w:rsidR="00101C4E" w:rsidRPr="00A03EB8" w:rsidRDefault="00101C4E" w:rsidP="009D512D">
            <w:pPr>
              <w:pStyle w:val="TableText"/>
              <w:jc w:val="center"/>
              <w:rPr>
                <w:szCs w:val="20"/>
              </w:rPr>
            </w:pPr>
            <w:r w:rsidRPr="00A03EB8">
              <w:rPr>
                <w:szCs w:val="20"/>
              </w:rPr>
              <w:t>&lt;0.0001</w:t>
            </w:r>
          </w:p>
        </w:tc>
      </w:tr>
    </w:tbl>
    <w:p w:rsidR="001334D8" w:rsidRPr="00A03EB8" w:rsidRDefault="001334D8" w:rsidP="007A3413">
      <w:pPr>
        <w:keepNext/>
        <w:keepLines/>
        <w:spacing w:before="60" w:after="240"/>
        <w:contextualSpacing/>
        <w:jc w:val="both"/>
        <w:rPr>
          <w:rFonts w:ascii="Arial Narrow" w:eastAsia="Times New Roman" w:hAnsi="Arial Narrow" w:cs="Times New Roman"/>
          <w:sz w:val="18"/>
          <w:szCs w:val="18"/>
          <w:lang w:eastAsia="en-AU"/>
        </w:rPr>
      </w:pPr>
      <w:bookmarkStart w:id="17" w:name="_Toc413139279"/>
      <w:r w:rsidRPr="00A03EB8">
        <w:rPr>
          <w:rFonts w:ascii="Arial Narrow" w:eastAsia="Times New Roman" w:hAnsi="Arial Narrow" w:cs="Times New Roman"/>
          <w:sz w:val="18"/>
          <w:szCs w:val="18"/>
          <w:lang w:eastAsia="en-AU"/>
        </w:rPr>
        <w:t>CI = confidence interval; N = number</w:t>
      </w:r>
    </w:p>
    <w:p w:rsidR="001334D8" w:rsidRPr="00A03EB8" w:rsidRDefault="001334D8" w:rsidP="007A3413">
      <w:pPr>
        <w:keepNext/>
        <w:keepLines/>
        <w:spacing w:before="60" w:after="240"/>
        <w:contextualSpacing/>
        <w:jc w:val="both"/>
        <w:rPr>
          <w:rFonts w:ascii="Arial Narrow" w:eastAsia="Times New Roman" w:hAnsi="Arial Narrow" w:cs="Times New Roman"/>
          <w:sz w:val="18"/>
          <w:szCs w:val="18"/>
          <w:lang w:eastAsia="en-AU"/>
        </w:rPr>
      </w:pPr>
      <w:r w:rsidRPr="00A03EB8">
        <w:rPr>
          <w:rFonts w:ascii="Arial Narrow" w:eastAsia="Times New Roman" w:hAnsi="Arial Narrow" w:cs="Times New Roman"/>
          <w:sz w:val="18"/>
          <w:szCs w:val="18"/>
          <w:vertAlign w:val="superscript"/>
          <w:lang w:eastAsia="en-AU"/>
        </w:rPr>
        <w:t>a</w:t>
      </w:r>
      <w:r w:rsidR="009D512D" w:rsidRPr="00A03EB8">
        <w:rPr>
          <w:rFonts w:ascii="Arial Narrow" w:eastAsia="Times New Roman" w:hAnsi="Arial Narrow" w:cs="Times New Roman"/>
          <w:sz w:val="18"/>
          <w:szCs w:val="18"/>
          <w:vertAlign w:val="superscript"/>
          <w:lang w:eastAsia="en-AU"/>
        </w:rPr>
        <w:t xml:space="preserve"> </w:t>
      </w:r>
      <w:r w:rsidRPr="00A03EB8">
        <w:rPr>
          <w:rFonts w:ascii="Arial Narrow" w:eastAsia="Times New Roman" w:hAnsi="Arial Narrow" w:cs="Times New Roman"/>
          <w:sz w:val="18"/>
          <w:szCs w:val="18"/>
          <w:lang w:eastAsia="en-AU"/>
        </w:rPr>
        <w:t>Subjects with opportunity for at least a 6-month (Day 183) assessment</w:t>
      </w:r>
    </w:p>
    <w:p w:rsidR="001334D8" w:rsidRPr="00A03EB8" w:rsidRDefault="001334D8" w:rsidP="007A3413">
      <w:pPr>
        <w:keepNext/>
        <w:keepLines/>
        <w:spacing w:before="60" w:after="240"/>
        <w:contextualSpacing/>
        <w:jc w:val="both"/>
        <w:rPr>
          <w:rFonts w:ascii="Arial Narrow" w:eastAsia="Times New Roman" w:hAnsi="Arial Narrow" w:cs="Times New Roman"/>
          <w:sz w:val="18"/>
          <w:szCs w:val="18"/>
          <w:lang w:eastAsia="en-AU"/>
        </w:rPr>
      </w:pPr>
      <w:r w:rsidRPr="00A03EB8">
        <w:rPr>
          <w:rFonts w:ascii="Arial Narrow" w:eastAsia="Times New Roman" w:hAnsi="Arial Narrow" w:cs="Times New Roman"/>
          <w:sz w:val="18"/>
          <w:szCs w:val="18"/>
          <w:vertAlign w:val="superscript"/>
          <w:lang w:eastAsia="en-AU"/>
        </w:rPr>
        <w:t>b</w:t>
      </w:r>
      <w:r w:rsidRPr="00A03EB8">
        <w:rPr>
          <w:rFonts w:ascii="Arial Narrow" w:eastAsia="Times New Roman" w:hAnsi="Arial Narrow" w:cs="Times New Roman"/>
          <w:sz w:val="18"/>
          <w:szCs w:val="18"/>
          <w:lang w:eastAsia="en-AU"/>
        </w:rPr>
        <w:t xml:space="preserve"> Subjects who died or who were withdrawn are considered non-responders</w:t>
      </w:r>
    </w:p>
    <w:p w:rsidR="001334D8" w:rsidRPr="00A03EB8" w:rsidRDefault="001334D8" w:rsidP="007A3413">
      <w:pPr>
        <w:keepNext/>
        <w:keepLines/>
        <w:spacing w:before="60" w:after="240"/>
        <w:contextualSpacing/>
        <w:jc w:val="both"/>
        <w:rPr>
          <w:rFonts w:ascii="Arial Narrow" w:eastAsia="Times New Roman" w:hAnsi="Arial Narrow" w:cs="Times New Roman"/>
          <w:sz w:val="18"/>
          <w:szCs w:val="18"/>
          <w:lang w:eastAsia="en-AU"/>
        </w:rPr>
      </w:pPr>
      <w:r w:rsidRPr="00A03EB8">
        <w:rPr>
          <w:rFonts w:ascii="Arial Narrow" w:eastAsia="Times New Roman" w:hAnsi="Arial Narrow" w:cs="Times New Roman"/>
          <w:sz w:val="18"/>
          <w:szCs w:val="18"/>
          <w:vertAlign w:val="superscript"/>
          <w:lang w:eastAsia="en-AU"/>
        </w:rPr>
        <w:t>c</w:t>
      </w:r>
      <w:r w:rsidRPr="00A03EB8">
        <w:rPr>
          <w:rFonts w:ascii="Arial Narrow" w:eastAsia="Times New Roman" w:hAnsi="Arial Narrow" w:cs="Times New Roman"/>
          <w:sz w:val="18"/>
          <w:szCs w:val="18"/>
          <w:lang w:eastAsia="en-AU"/>
        </w:rPr>
        <w:t xml:space="preserve"> Subjects with 6-month (Day 183), 10-month (Day 302), or 13-month (Day 394) data. The last available assessment is used.</w:t>
      </w:r>
    </w:p>
    <w:p w:rsidR="001334D8" w:rsidRPr="00A03EB8" w:rsidRDefault="001334D8" w:rsidP="007A3413">
      <w:pPr>
        <w:keepNext/>
        <w:keepLines/>
        <w:spacing w:before="60" w:after="240"/>
        <w:contextualSpacing/>
        <w:jc w:val="both"/>
        <w:rPr>
          <w:rFonts w:ascii="Arial Narrow" w:eastAsia="Times New Roman" w:hAnsi="Arial Narrow" w:cs="Times New Roman"/>
          <w:sz w:val="18"/>
          <w:szCs w:val="18"/>
          <w:lang w:eastAsia="en-AU"/>
        </w:rPr>
      </w:pPr>
      <w:r w:rsidRPr="00A03EB8">
        <w:rPr>
          <w:rFonts w:ascii="Arial Narrow" w:eastAsia="Times New Roman" w:hAnsi="Arial Narrow" w:cs="Times New Roman"/>
          <w:sz w:val="18"/>
          <w:szCs w:val="18"/>
          <w:vertAlign w:val="superscript"/>
          <w:lang w:eastAsia="en-AU"/>
        </w:rPr>
        <w:t>d</w:t>
      </w:r>
      <w:r w:rsidRPr="00A03EB8">
        <w:rPr>
          <w:rFonts w:ascii="Arial Narrow" w:eastAsia="Times New Roman" w:hAnsi="Arial Narrow" w:cs="Times New Roman"/>
          <w:sz w:val="18"/>
          <w:szCs w:val="18"/>
          <w:lang w:eastAsia="en-AU"/>
        </w:rPr>
        <w:t xml:space="preserve"> Endpoint used for analysis. For category of ability to kick, similar to the definition of improvement, worsening is defined as at least 2-point decrease or decrease to the lowest possible score of no kicking. For the other 6 categories, worsening is defined as at least 1-point decrease.</w:t>
      </w:r>
    </w:p>
    <w:p w:rsidR="001334D8" w:rsidRPr="00A03EB8" w:rsidRDefault="001334D8" w:rsidP="007A3413">
      <w:pPr>
        <w:keepNext/>
        <w:keepLines/>
        <w:spacing w:before="60" w:after="240"/>
        <w:contextualSpacing/>
        <w:jc w:val="both"/>
        <w:rPr>
          <w:rFonts w:ascii="Arial Narrow" w:eastAsia="Times New Roman" w:hAnsi="Arial Narrow" w:cs="Times New Roman"/>
          <w:sz w:val="18"/>
          <w:szCs w:val="18"/>
          <w:lang w:eastAsia="en-AU"/>
        </w:rPr>
      </w:pPr>
      <w:r w:rsidRPr="00A03EB8">
        <w:rPr>
          <w:rFonts w:ascii="Arial Narrow" w:eastAsia="Times New Roman" w:hAnsi="Arial Narrow" w:cs="Times New Roman"/>
          <w:sz w:val="18"/>
          <w:szCs w:val="18"/>
          <w:vertAlign w:val="superscript"/>
          <w:lang w:eastAsia="en-AU"/>
        </w:rPr>
        <w:t>e</w:t>
      </w:r>
      <w:r w:rsidRPr="00A03EB8">
        <w:rPr>
          <w:rFonts w:ascii="Arial Narrow" w:eastAsia="Times New Roman" w:hAnsi="Arial Narrow" w:cs="Times New Roman"/>
          <w:sz w:val="18"/>
          <w:szCs w:val="18"/>
          <w:lang w:eastAsia="en-AU"/>
        </w:rPr>
        <w:t xml:space="preserve"> Exact unconditional confidence interval. </w:t>
      </w:r>
    </w:p>
    <w:p w:rsidR="001334D8" w:rsidRPr="00A03EB8" w:rsidRDefault="001334D8" w:rsidP="007A3413">
      <w:pPr>
        <w:keepNext/>
        <w:keepLines/>
        <w:spacing w:before="60" w:after="240"/>
        <w:contextualSpacing/>
        <w:jc w:val="both"/>
        <w:rPr>
          <w:rFonts w:ascii="Arial Narrow" w:eastAsia="Times New Roman" w:hAnsi="Arial Narrow" w:cs="Times New Roman"/>
          <w:sz w:val="18"/>
          <w:szCs w:val="18"/>
          <w:lang w:eastAsia="en-AU"/>
        </w:rPr>
      </w:pPr>
      <w:r w:rsidRPr="00A03EB8">
        <w:rPr>
          <w:rFonts w:ascii="Arial Narrow" w:eastAsia="Times New Roman" w:hAnsi="Arial Narrow" w:cs="Times New Roman"/>
          <w:sz w:val="18"/>
          <w:szCs w:val="18"/>
          <w:vertAlign w:val="superscript"/>
          <w:lang w:eastAsia="en-AU"/>
        </w:rPr>
        <w:t>f</w:t>
      </w:r>
      <w:r w:rsidRPr="00A03EB8">
        <w:rPr>
          <w:rFonts w:ascii="Arial Narrow" w:eastAsia="Times New Roman" w:hAnsi="Arial Narrow" w:cs="Times New Roman"/>
          <w:sz w:val="18"/>
          <w:szCs w:val="18"/>
          <w:lang w:eastAsia="en-AU"/>
        </w:rPr>
        <w:t xml:space="preserve"> From Fisher’s exact test.</w:t>
      </w:r>
    </w:p>
    <w:p w:rsidR="001334D8" w:rsidRPr="00A03EB8" w:rsidRDefault="001334D8" w:rsidP="007A3413">
      <w:pPr>
        <w:keepNext/>
        <w:keepLines/>
        <w:spacing w:before="60" w:after="240"/>
        <w:contextualSpacing/>
        <w:jc w:val="both"/>
        <w:rPr>
          <w:rFonts w:ascii="Arial Narrow" w:eastAsia="Times New Roman" w:hAnsi="Arial Narrow" w:cs="Times New Roman"/>
          <w:sz w:val="18"/>
          <w:szCs w:val="18"/>
          <w:lang w:eastAsia="en-AU"/>
        </w:rPr>
      </w:pPr>
      <w:r w:rsidRPr="00A03EB8">
        <w:rPr>
          <w:rFonts w:ascii="Arial Narrow" w:eastAsia="Times New Roman" w:hAnsi="Arial Narrow" w:cs="Times New Roman"/>
          <w:sz w:val="18"/>
          <w:szCs w:val="18"/>
          <w:lang w:eastAsia="en-AU"/>
        </w:rPr>
        <w:t>Source: Table 2.5.2, p107 of the submission</w:t>
      </w:r>
    </w:p>
    <w:p w:rsidR="001334D8" w:rsidRPr="00A03EB8" w:rsidRDefault="001334D8" w:rsidP="005D071D">
      <w:pPr>
        <w:pStyle w:val="ListParagraph"/>
        <w:numPr>
          <w:ilvl w:val="1"/>
          <w:numId w:val="2"/>
        </w:numPr>
        <w:spacing w:before="0" w:after="120"/>
        <w:jc w:val="both"/>
      </w:pPr>
      <w:r w:rsidRPr="00A03EB8">
        <w:t xml:space="preserve">Table </w:t>
      </w:r>
      <w:r w:rsidR="00101C4E" w:rsidRPr="00A03EB8">
        <w:t>7</w:t>
      </w:r>
      <w:r w:rsidRPr="00A03EB8">
        <w:t xml:space="preserve"> and Figure </w:t>
      </w:r>
      <w:r w:rsidR="00101C4E" w:rsidRPr="00A03EB8">
        <w:t>1</w:t>
      </w:r>
      <w:r w:rsidRPr="00A03EB8">
        <w:t xml:space="preserve"> present the results for the primary outcome of event-free survival from the ENDEAR trial. </w:t>
      </w:r>
    </w:p>
    <w:p w:rsidR="001334D8" w:rsidRPr="00A03EB8" w:rsidRDefault="001334D8" w:rsidP="00081E38">
      <w:pPr>
        <w:pStyle w:val="TableHeading0"/>
      </w:pPr>
      <w:r w:rsidRPr="00A03EB8">
        <w:lastRenderedPageBreak/>
        <w:t xml:space="preserve">Table </w:t>
      </w:r>
      <w:r w:rsidR="00101C4E" w:rsidRPr="00A03EB8">
        <w:t>7</w:t>
      </w:r>
      <w:r w:rsidRPr="00A03EB8">
        <w:t>: Summary of event-free survival based on Expert Advisory Committee review – ITT analysis, ENDEAR trial</w:t>
      </w:r>
    </w:p>
    <w:tbl>
      <w:tblPr>
        <w:tblStyle w:val="TableGrid"/>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Summary of event-free survival based on Expert Advisory Committee review – ITT analysis, ENDEAR trial"/>
      </w:tblPr>
      <w:tblGrid>
        <w:gridCol w:w="4245"/>
        <w:gridCol w:w="2413"/>
        <w:gridCol w:w="2409"/>
      </w:tblGrid>
      <w:tr w:rsidR="001334D8" w:rsidRPr="00A03EB8" w:rsidTr="00625BD2">
        <w:trPr>
          <w:cnfStyle w:val="100000000000" w:firstRow="1" w:lastRow="0" w:firstColumn="0" w:lastColumn="0" w:oddVBand="0" w:evenVBand="0" w:oddHBand="0" w:evenHBand="0" w:firstRowFirstColumn="0" w:firstRowLastColumn="0" w:lastRowFirstColumn="0" w:lastRowLastColumn="0"/>
          <w:tblHeader/>
        </w:trPr>
        <w:tc>
          <w:tcPr>
            <w:tcW w:w="4245" w:type="dxa"/>
            <w:shd w:val="clear" w:color="auto" w:fill="FFFFFF" w:themeFill="background1"/>
          </w:tcPr>
          <w:p w:rsidR="001334D8" w:rsidRPr="00A03EB8" w:rsidRDefault="001334D8" w:rsidP="00AE540E">
            <w:pPr>
              <w:pStyle w:val="TableText"/>
              <w:contextualSpacing/>
              <w:jc w:val="both"/>
            </w:pPr>
            <w:r w:rsidRPr="00A03EB8">
              <w:t>Parameter</w:t>
            </w:r>
          </w:p>
        </w:tc>
        <w:tc>
          <w:tcPr>
            <w:tcW w:w="2413" w:type="dxa"/>
            <w:shd w:val="clear" w:color="auto" w:fill="FFFFFF" w:themeFill="background1"/>
          </w:tcPr>
          <w:p w:rsidR="001334D8" w:rsidRPr="00A03EB8" w:rsidRDefault="001334D8" w:rsidP="00AE540E">
            <w:pPr>
              <w:pStyle w:val="TableText"/>
              <w:contextualSpacing/>
              <w:jc w:val="center"/>
            </w:pPr>
            <w:r w:rsidRPr="00A03EB8">
              <w:t>Sham-controls</w:t>
            </w:r>
          </w:p>
        </w:tc>
        <w:tc>
          <w:tcPr>
            <w:tcW w:w="2409" w:type="dxa"/>
            <w:shd w:val="clear" w:color="auto" w:fill="FFFFFF" w:themeFill="background1"/>
          </w:tcPr>
          <w:p w:rsidR="001334D8" w:rsidRPr="00A03EB8" w:rsidRDefault="001334D8" w:rsidP="00AE540E">
            <w:pPr>
              <w:pStyle w:val="TableText"/>
              <w:contextualSpacing/>
              <w:jc w:val="center"/>
            </w:pPr>
            <w:r w:rsidRPr="00A03EB8">
              <w:t>Nusinersen</w:t>
            </w:r>
          </w:p>
        </w:tc>
      </w:tr>
      <w:tr w:rsidR="001334D8" w:rsidRPr="00A03EB8" w:rsidTr="00AE540E">
        <w:tc>
          <w:tcPr>
            <w:tcW w:w="4245" w:type="dxa"/>
          </w:tcPr>
          <w:p w:rsidR="001334D8" w:rsidRPr="00A03EB8" w:rsidRDefault="001334D8" w:rsidP="00AE540E">
            <w:pPr>
              <w:pStyle w:val="TableText"/>
              <w:contextualSpacing/>
              <w:jc w:val="both"/>
            </w:pPr>
            <w:r w:rsidRPr="00A03EB8">
              <w:t>Number of patients (%)</w:t>
            </w:r>
          </w:p>
        </w:tc>
        <w:tc>
          <w:tcPr>
            <w:tcW w:w="2413" w:type="dxa"/>
          </w:tcPr>
          <w:p w:rsidR="001334D8" w:rsidRPr="00A03EB8" w:rsidRDefault="001334D8" w:rsidP="00AE540E">
            <w:pPr>
              <w:pStyle w:val="TableText"/>
              <w:contextualSpacing/>
              <w:jc w:val="center"/>
            </w:pPr>
            <w:r w:rsidRPr="00A03EB8">
              <w:t>41 (100)</w:t>
            </w:r>
          </w:p>
        </w:tc>
        <w:tc>
          <w:tcPr>
            <w:tcW w:w="2409" w:type="dxa"/>
          </w:tcPr>
          <w:p w:rsidR="001334D8" w:rsidRPr="00A03EB8" w:rsidRDefault="001334D8" w:rsidP="00AE540E">
            <w:pPr>
              <w:pStyle w:val="TableText"/>
              <w:contextualSpacing/>
              <w:jc w:val="center"/>
            </w:pPr>
            <w:r w:rsidRPr="00A03EB8">
              <w:t>80 (100)</w:t>
            </w:r>
          </w:p>
        </w:tc>
      </w:tr>
      <w:tr w:rsidR="001334D8" w:rsidRPr="00A03EB8" w:rsidTr="00AE540E">
        <w:tc>
          <w:tcPr>
            <w:tcW w:w="4245" w:type="dxa"/>
          </w:tcPr>
          <w:p w:rsidR="001334D8" w:rsidRPr="00A03EB8" w:rsidRDefault="001334D8" w:rsidP="00AE540E">
            <w:pPr>
              <w:pStyle w:val="TableText"/>
              <w:contextualSpacing/>
              <w:jc w:val="both"/>
            </w:pPr>
            <w:r w:rsidRPr="00A03EB8">
              <w:t>Number of events (%)</w:t>
            </w:r>
          </w:p>
        </w:tc>
        <w:tc>
          <w:tcPr>
            <w:tcW w:w="2413" w:type="dxa"/>
          </w:tcPr>
          <w:p w:rsidR="001334D8" w:rsidRPr="00A03EB8" w:rsidRDefault="001334D8" w:rsidP="00AE540E">
            <w:pPr>
              <w:pStyle w:val="TableText"/>
              <w:contextualSpacing/>
              <w:jc w:val="center"/>
            </w:pPr>
            <w:r w:rsidRPr="00A03EB8">
              <w:t>28 (68)</w:t>
            </w:r>
          </w:p>
        </w:tc>
        <w:tc>
          <w:tcPr>
            <w:tcW w:w="2409" w:type="dxa"/>
          </w:tcPr>
          <w:p w:rsidR="001334D8" w:rsidRPr="00A03EB8" w:rsidRDefault="001334D8" w:rsidP="00AE540E">
            <w:pPr>
              <w:pStyle w:val="TableText"/>
              <w:contextualSpacing/>
              <w:jc w:val="center"/>
            </w:pPr>
            <w:r w:rsidRPr="00A03EB8">
              <w:t>31 (39)</w:t>
            </w:r>
          </w:p>
        </w:tc>
      </w:tr>
      <w:tr w:rsidR="001334D8" w:rsidRPr="00A03EB8" w:rsidTr="00AE540E">
        <w:tc>
          <w:tcPr>
            <w:tcW w:w="4245" w:type="dxa"/>
          </w:tcPr>
          <w:p w:rsidR="001334D8" w:rsidRPr="00A03EB8" w:rsidRDefault="001334D8" w:rsidP="00AE540E">
            <w:pPr>
              <w:pStyle w:val="TableText"/>
              <w:contextualSpacing/>
              <w:jc w:val="both"/>
            </w:pPr>
            <w:r w:rsidRPr="00A03EB8">
              <w:t>Median time to event</w:t>
            </w:r>
          </w:p>
        </w:tc>
        <w:tc>
          <w:tcPr>
            <w:tcW w:w="2413" w:type="dxa"/>
          </w:tcPr>
          <w:p w:rsidR="001334D8" w:rsidRPr="00A03EB8" w:rsidRDefault="001334D8" w:rsidP="00AE540E">
            <w:pPr>
              <w:pStyle w:val="TableText"/>
              <w:contextualSpacing/>
              <w:jc w:val="center"/>
            </w:pPr>
            <w:r w:rsidRPr="00A03EB8">
              <w:t>22.6 weeks</w:t>
            </w:r>
          </w:p>
        </w:tc>
        <w:tc>
          <w:tcPr>
            <w:tcW w:w="2409" w:type="dxa"/>
          </w:tcPr>
          <w:p w:rsidR="001334D8" w:rsidRPr="00A03EB8" w:rsidRDefault="001334D8" w:rsidP="00AE540E">
            <w:pPr>
              <w:pStyle w:val="TableText"/>
              <w:contextualSpacing/>
              <w:jc w:val="center"/>
            </w:pPr>
            <w:r w:rsidRPr="00A03EB8">
              <w:t>Not reached</w:t>
            </w:r>
          </w:p>
        </w:tc>
      </w:tr>
      <w:tr w:rsidR="001334D8" w:rsidRPr="00A03EB8" w:rsidTr="00AE540E">
        <w:tc>
          <w:tcPr>
            <w:tcW w:w="4245" w:type="dxa"/>
          </w:tcPr>
          <w:p w:rsidR="001334D8" w:rsidRPr="005F0590" w:rsidRDefault="001334D8" w:rsidP="00AE540E">
            <w:pPr>
              <w:pStyle w:val="TableText"/>
              <w:contextualSpacing/>
              <w:jc w:val="both"/>
            </w:pPr>
            <w:r w:rsidRPr="00D93B69">
              <w:t>95% CI for median time to event</w:t>
            </w:r>
          </w:p>
        </w:tc>
        <w:tc>
          <w:tcPr>
            <w:tcW w:w="2413" w:type="dxa"/>
          </w:tcPr>
          <w:p w:rsidR="001334D8" w:rsidRPr="005F0590" w:rsidRDefault="005F0590" w:rsidP="00AE540E">
            <w:pPr>
              <w:pStyle w:val="TableText"/>
              <w:contextualSpacing/>
              <w:jc w:val="center"/>
              <w:rPr>
                <w:highlight w:val="black"/>
              </w:rPr>
            </w:pPr>
            <w:r>
              <w:rPr>
                <w:noProof/>
                <w:color w:val="000000"/>
                <w:highlight w:val="black"/>
              </w:rPr>
              <w:t>''''''''''''' ''''''''''</w:t>
            </w:r>
          </w:p>
        </w:tc>
        <w:tc>
          <w:tcPr>
            <w:tcW w:w="2409" w:type="dxa"/>
          </w:tcPr>
          <w:p w:rsidR="001334D8" w:rsidRPr="005F0590" w:rsidRDefault="005F0590" w:rsidP="00AE540E">
            <w:pPr>
              <w:pStyle w:val="TableText"/>
              <w:contextualSpacing/>
              <w:jc w:val="center"/>
              <w:rPr>
                <w:highlight w:val="black"/>
              </w:rPr>
            </w:pPr>
            <w:r>
              <w:rPr>
                <w:noProof/>
                <w:color w:val="000000"/>
                <w:highlight w:val="black"/>
              </w:rPr>
              <w:t>''''''''''''' '''''''''</w:t>
            </w:r>
          </w:p>
        </w:tc>
      </w:tr>
      <w:tr w:rsidR="001334D8" w:rsidRPr="00A03EB8" w:rsidTr="00AE540E">
        <w:tc>
          <w:tcPr>
            <w:tcW w:w="4245" w:type="dxa"/>
          </w:tcPr>
          <w:p w:rsidR="001334D8" w:rsidRPr="00D93B69" w:rsidRDefault="001334D8" w:rsidP="00AE540E">
            <w:pPr>
              <w:pStyle w:val="TableText"/>
              <w:contextualSpacing/>
              <w:jc w:val="both"/>
            </w:pPr>
            <w:r w:rsidRPr="00D93B69">
              <w:t>Event rate</w:t>
            </w:r>
            <w:r w:rsidRPr="00D93B69">
              <w:rPr>
                <w:vertAlign w:val="superscript"/>
              </w:rPr>
              <w:t>a</w:t>
            </w:r>
            <w:r w:rsidRPr="00D93B69">
              <w:t xml:space="preserve"> at:</w:t>
            </w:r>
          </w:p>
          <w:p w:rsidR="001334D8" w:rsidRPr="00D93B69" w:rsidRDefault="001334D8" w:rsidP="00AE540E">
            <w:pPr>
              <w:pStyle w:val="TableText"/>
              <w:contextualSpacing/>
              <w:jc w:val="both"/>
            </w:pPr>
            <w:r w:rsidRPr="00D93B69">
              <w:t>3 months</w:t>
            </w:r>
          </w:p>
          <w:p w:rsidR="001334D8" w:rsidRPr="00D93B69" w:rsidRDefault="001334D8" w:rsidP="00AE540E">
            <w:pPr>
              <w:pStyle w:val="TableText"/>
              <w:contextualSpacing/>
              <w:jc w:val="both"/>
            </w:pPr>
            <w:r w:rsidRPr="00D93B69">
              <w:t>6 months</w:t>
            </w:r>
          </w:p>
          <w:p w:rsidR="001334D8" w:rsidRPr="00D93B69" w:rsidRDefault="001334D8" w:rsidP="00AE540E">
            <w:pPr>
              <w:pStyle w:val="TableText"/>
              <w:contextualSpacing/>
              <w:jc w:val="both"/>
            </w:pPr>
            <w:r w:rsidRPr="00D93B69">
              <w:t>9 months</w:t>
            </w:r>
          </w:p>
          <w:p w:rsidR="001334D8" w:rsidRPr="00D93B69" w:rsidRDefault="001334D8" w:rsidP="00AE540E">
            <w:pPr>
              <w:pStyle w:val="TableText"/>
              <w:contextualSpacing/>
              <w:jc w:val="both"/>
            </w:pPr>
            <w:r w:rsidRPr="00D93B69">
              <w:t>12 months</w:t>
            </w:r>
          </w:p>
          <w:p w:rsidR="001334D8" w:rsidRPr="005F0590" w:rsidRDefault="001334D8" w:rsidP="00AE540E">
            <w:pPr>
              <w:pStyle w:val="TableText"/>
              <w:contextualSpacing/>
              <w:jc w:val="both"/>
            </w:pPr>
            <w:r w:rsidRPr="00D93B69">
              <w:t>13 months</w:t>
            </w:r>
          </w:p>
        </w:tc>
        <w:tc>
          <w:tcPr>
            <w:tcW w:w="2413" w:type="dxa"/>
          </w:tcPr>
          <w:p w:rsidR="001334D8" w:rsidRPr="005F0590" w:rsidRDefault="001334D8" w:rsidP="00AE540E">
            <w:pPr>
              <w:pStyle w:val="TableText"/>
              <w:contextualSpacing/>
              <w:jc w:val="center"/>
            </w:pPr>
          </w:p>
          <w:p w:rsidR="001334D8" w:rsidRPr="005F0590" w:rsidRDefault="005F0590" w:rsidP="00AE540E">
            <w:pPr>
              <w:pStyle w:val="TableText"/>
              <w:contextualSpacing/>
              <w:jc w:val="center"/>
              <w:rPr>
                <w:highlight w:val="black"/>
              </w:rPr>
            </w:pPr>
            <w:r>
              <w:rPr>
                <w:noProof/>
                <w:color w:val="000000"/>
                <w:highlight w:val="black"/>
              </w:rPr>
              <w:t>''''''''''''''</w:t>
            </w:r>
          </w:p>
          <w:p w:rsidR="001334D8" w:rsidRPr="005F0590" w:rsidRDefault="005F0590" w:rsidP="00AE540E">
            <w:pPr>
              <w:pStyle w:val="TableText"/>
              <w:contextualSpacing/>
              <w:jc w:val="center"/>
              <w:rPr>
                <w:highlight w:val="black"/>
              </w:rPr>
            </w:pPr>
            <w:r>
              <w:rPr>
                <w:noProof/>
                <w:color w:val="000000"/>
                <w:highlight w:val="black"/>
              </w:rPr>
              <w:t>''''''''''''''</w:t>
            </w:r>
          </w:p>
          <w:p w:rsidR="001334D8" w:rsidRPr="005F0590" w:rsidRDefault="005F0590" w:rsidP="00AE540E">
            <w:pPr>
              <w:pStyle w:val="TableText"/>
              <w:contextualSpacing/>
              <w:jc w:val="center"/>
              <w:rPr>
                <w:highlight w:val="black"/>
              </w:rPr>
            </w:pPr>
            <w:r>
              <w:rPr>
                <w:noProof/>
                <w:color w:val="000000"/>
                <w:highlight w:val="black"/>
              </w:rPr>
              <w:t>''''''''''''''''</w:t>
            </w:r>
          </w:p>
          <w:p w:rsidR="001334D8" w:rsidRPr="005F0590" w:rsidRDefault="005F0590" w:rsidP="00AE540E">
            <w:pPr>
              <w:pStyle w:val="TableText"/>
              <w:contextualSpacing/>
              <w:jc w:val="center"/>
              <w:rPr>
                <w:highlight w:val="black"/>
              </w:rPr>
            </w:pPr>
            <w:r>
              <w:rPr>
                <w:noProof/>
                <w:color w:val="000000"/>
                <w:highlight w:val="black"/>
              </w:rPr>
              <w:t>'''''''''''''''</w:t>
            </w:r>
          </w:p>
          <w:p w:rsidR="001334D8" w:rsidRPr="005F0590" w:rsidRDefault="005F0590" w:rsidP="00AE540E">
            <w:pPr>
              <w:pStyle w:val="TableText"/>
              <w:contextualSpacing/>
              <w:jc w:val="center"/>
              <w:rPr>
                <w:highlight w:val="black"/>
              </w:rPr>
            </w:pPr>
            <w:r>
              <w:rPr>
                <w:noProof/>
                <w:color w:val="000000"/>
                <w:highlight w:val="black"/>
              </w:rPr>
              <w:t>'''''''''''''''</w:t>
            </w:r>
          </w:p>
        </w:tc>
        <w:tc>
          <w:tcPr>
            <w:tcW w:w="2409" w:type="dxa"/>
          </w:tcPr>
          <w:p w:rsidR="001334D8" w:rsidRPr="005F0590" w:rsidRDefault="001334D8" w:rsidP="00AE540E">
            <w:pPr>
              <w:pStyle w:val="TableText"/>
              <w:contextualSpacing/>
              <w:jc w:val="center"/>
            </w:pPr>
          </w:p>
          <w:p w:rsidR="001334D8" w:rsidRPr="005F0590" w:rsidRDefault="005F0590" w:rsidP="00AE540E">
            <w:pPr>
              <w:pStyle w:val="TableText"/>
              <w:contextualSpacing/>
              <w:jc w:val="center"/>
              <w:rPr>
                <w:highlight w:val="black"/>
              </w:rPr>
            </w:pPr>
            <w:r>
              <w:rPr>
                <w:noProof/>
                <w:color w:val="000000"/>
                <w:highlight w:val="black"/>
              </w:rPr>
              <w:t>''''''''''''''</w:t>
            </w:r>
          </w:p>
          <w:p w:rsidR="001334D8" w:rsidRPr="005F0590" w:rsidRDefault="005F0590" w:rsidP="00AE540E">
            <w:pPr>
              <w:pStyle w:val="TableText"/>
              <w:contextualSpacing/>
              <w:jc w:val="center"/>
              <w:rPr>
                <w:highlight w:val="black"/>
              </w:rPr>
            </w:pPr>
            <w:r>
              <w:rPr>
                <w:noProof/>
                <w:color w:val="000000"/>
                <w:highlight w:val="black"/>
              </w:rPr>
              <w:t>''''''''''''''''</w:t>
            </w:r>
          </w:p>
          <w:p w:rsidR="001334D8" w:rsidRPr="005F0590" w:rsidRDefault="005F0590" w:rsidP="00AE540E">
            <w:pPr>
              <w:pStyle w:val="TableText"/>
              <w:contextualSpacing/>
              <w:jc w:val="center"/>
              <w:rPr>
                <w:highlight w:val="black"/>
              </w:rPr>
            </w:pPr>
            <w:r>
              <w:rPr>
                <w:noProof/>
                <w:color w:val="000000"/>
                <w:highlight w:val="black"/>
              </w:rPr>
              <w:t>'''''''''''''''</w:t>
            </w:r>
          </w:p>
          <w:p w:rsidR="001334D8" w:rsidRPr="005F0590" w:rsidRDefault="005F0590" w:rsidP="00AE540E">
            <w:pPr>
              <w:pStyle w:val="TableText"/>
              <w:contextualSpacing/>
              <w:jc w:val="center"/>
              <w:rPr>
                <w:highlight w:val="black"/>
              </w:rPr>
            </w:pPr>
            <w:r>
              <w:rPr>
                <w:noProof/>
                <w:color w:val="000000"/>
                <w:highlight w:val="black"/>
              </w:rPr>
              <w:t>'''''''''''''''</w:t>
            </w:r>
          </w:p>
          <w:p w:rsidR="001334D8" w:rsidRPr="005F0590" w:rsidRDefault="005F0590" w:rsidP="00AE540E">
            <w:pPr>
              <w:pStyle w:val="TableText"/>
              <w:contextualSpacing/>
              <w:jc w:val="center"/>
              <w:rPr>
                <w:highlight w:val="black"/>
              </w:rPr>
            </w:pPr>
            <w:r>
              <w:rPr>
                <w:noProof/>
                <w:color w:val="000000"/>
                <w:highlight w:val="black"/>
              </w:rPr>
              <w:t>''''''''''''''</w:t>
            </w:r>
          </w:p>
        </w:tc>
      </w:tr>
      <w:tr w:rsidR="00AE540E" w:rsidRPr="00A03EB8" w:rsidTr="0084396C">
        <w:tc>
          <w:tcPr>
            <w:tcW w:w="4245" w:type="dxa"/>
          </w:tcPr>
          <w:p w:rsidR="00AE540E" w:rsidRPr="00A03EB8" w:rsidRDefault="00AE540E" w:rsidP="00AE540E">
            <w:pPr>
              <w:pStyle w:val="TableText"/>
              <w:contextualSpacing/>
              <w:jc w:val="both"/>
              <w:rPr>
                <w:vertAlign w:val="superscript"/>
              </w:rPr>
            </w:pPr>
            <w:r w:rsidRPr="00A03EB8">
              <w:t>p-value compared to control</w:t>
            </w:r>
            <w:r w:rsidRPr="00A03EB8">
              <w:rPr>
                <w:vertAlign w:val="superscript"/>
              </w:rPr>
              <w:t>b</w:t>
            </w:r>
          </w:p>
        </w:tc>
        <w:tc>
          <w:tcPr>
            <w:tcW w:w="4822" w:type="dxa"/>
            <w:gridSpan w:val="2"/>
          </w:tcPr>
          <w:p w:rsidR="00AE540E" w:rsidRPr="00A03EB8" w:rsidRDefault="00AE540E" w:rsidP="00AE540E">
            <w:pPr>
              <w:pStyle w:val="TableText"/>
              <w:contextualSpacing/>
              <w:jc w:val="center"/>
            </w:pPr>
            <w:r w:rsidRPr="00A03EB8">
              <w:t>0.0046*</w:t>
            </w:r>
          </w:p>
        </w:tc>
      </w:tr>
      <w:tr w:rsidR="00AE540E" w:rsidRPr="00A03EB8" w:rsidTr="0084396C">
        <w:tc>
          <w:tcPr>
            <w:tcW w:w="4245" w:type="dxa"/>
          </w:tcPr>
          <w:p w:rsidR="00AE540E" w:rsidRPr="00A03EB8" w:rsidRDefault="00AE540E" w:rsidP="00AE540E">
            <w:pPr>
              <w:pStyle w:val="TableText"/>
              <w:contextualSpacing/>
              <w:jc w:val="both"/>
            </w:pPr>
            <w:r w:rsidRPr="00A03EB8">
              <w:t>Hazard ratio of nusinersen to controls (95% CI)</w:t>
            </w:r>
          </w:p>
        </w:tc>
        <w:tc>
          <w:tcPr>
            <w:tcW w:w="4822" w:type="dxa"/>
            <w:gridSpan w:val="2"/>
          </w:tcPr>
          <w:p w:rsidR="00AE540E" w:rsidRPr="00A03EB8" w:rsidRDefault="00AE540E" w:rsidP="00AE540E">
            <w:pPr>
              <w:pStyle w:val="TableText"/>
              <w:contextualSpacing/>
              <w:jc w:val="center"/>
            </w:pPr>
            <w:r w:rsidRPr="00A03EB8">
              <w:t>0.530 (0.3156, 0.8902)</w:t>
            </w:r>
          </w:p>
        </w:tc>
      </w:tr>
      <w:tr w:rsidR="00AE540E" w:rsidRPr="00A03EB8" w:rsidTr="0084396C">
        <w:tc>
          <w:tcPr>
            <w:tcW w:w="4245" w:type="dxa"/>
          </w:tcPr>
          <w:p w:rsidR="00AE540E" w:rsidRPr="00A03EB8" w:rsidRDefault="00AE540E" w:rsidP="00AE540E">
            <w:pPr>
              <w:pStyle w:val="TableText"/>
              <w:contextualSpacing/>
              <w:jc w:val="both"/>
            </w:pPr>
            <w:r w:rsidRPr="00A03EB8">
              <w:t>p-value compared to control</w:t>
            </w:r>
            <w:r w:rsidRPr="00A03EB8">
              <w:rPr>
                <w:vertAlign w:val="superscript"/>
              </w:rPr>
              <w:t>c</w:t>
            </w:r>
          </w:p>
        </w:tc>
        <w:tc>
          <w:tcPr>
            <w:tcW w:w="4822" w:type="dxa"/>
            <w:gridSpan w:val="2"/>
          </w:tcPr>
          <w:p w:rsidR="00AE540E" w:rsidRPr="00A03EB8" w:rsidRDefault="00AE540E" w:rsidP="00AE540E">
            <w:pPr>
              <w:pStyle w:val="TableText"/>
              <w:contextualSpacing/>
              <w:jc w:val="center"/>
            </w:pPr>
            <w:r w:rsidRPr="00A03EB8">
              <w:t>0.0164</w:t>
            </w:r>
          </w:p>
        </w:tc>
      </w:tr>
    </w:tbl>
    <w:p w:rsidR="001334D8" w:rsidRPr="00A03EB8" w:rsidRDefault="001334D8" w:rsidP="00081E38">
      <w:pPr>
        <w:pStyle w:val="TableNotes1"/>
        <w:rPr>
          <w:rFonts w:ascii="Arial Narrow" w:hAnsi="Arial Narrow"/>
          <w:sz w:val="18"/>
        </w:rPr>
      </w:pPr>
      <w:r w:rsidRPr="00A03EB8">
        <w:rPr>
          <w:rFonts w:ascii="Arial Narrow" w:hAnsi="Arial Narrow"/>
          <w:sz w:val="18"/>
        </w:rPr>
        <w:t xml:space="preserve">Notes: </w:t>
      </w:r>
      <w:r w:rsidRPr="00A03EB8">
        <w:rPr>
          <w:rFonts w:ascii="Arial Narrow" w:hAnsi="Arial Narrow"/>
          <w:sz w:val="18"/>
          <w:vertAlign w:val="superscript"/>
        </w:rPr>
        <w:t>a</w:t>
      </w:r>
      <w:r w:rsidRPr="00A03EB8">
        <w:rPr>
          <w:rFonts w:ascii="Arial Narrow" w:hAnsi="Arial Narrow"/>
          <w:sz w:val="18"/>
        </w:rPr>
        <w:t>Based on the Kaplan-Meier product-limit method.</w:t>
      </w:r>
    </w:p>
    <w:p w:rsidR="001334D8" w:rsidRPr="00A03EB8" w:rsidRDefault="001334D8" w:rsidP="00081E38">
      <w:pPr>
        <w:pStyle w:val="TableNotes1"/>
        <w:rPr>
          <w:rFonts w:ascii="Arial Narrow" w:hAnsi="Arial Narrow"/>
          <w:sz w:val="18"/>
        </w:rPr>
      </w:pPr>
      <w:r w:rsidRPr="00A03EB8">
        <w:rPr>
          <w:rFonts w:ascii="Arial Narrow" w:hAnsi="Arial Narrow"/>
          <w:sz w:val="18"/>
          <w:vertAlign w:val="superscript"/>
        </w:rPr>
        <w:t>b</w:t>
      </w:r>
      <w:r w:rsidRPr="00A03EB8">
        <w:rPr>
          <w:rFonts w:ascii="Arial Narrow" w:hAnsi="Arial Narrow"/>
          <w:sz w:val="18"/>
        </w:rPr>
        <w:t>Based on log-rank test stratified by disease duration.</w:t>
      </w:r>
    </w:p>
    <w:p w:rsidR="001334D8" w:rsidRPr="00A03EB8" w:rsidRDefault="001334D8" w:rsidP="00081E38">
      <w:pPr>
        <w:pStyle w:val="TableNotes1"/>
        <w:rPr>
          <w:rFonts w:ascii="Arial Narrow" w:hAnsi="Arial Narrow"/>
          <w:sz w:val="18"/>
        </w:rPr>
      </w:pPr>
      <w:r w:rsidRPr="00A03EB8">
        <w:rPr>
          <w:rFonts w:ascii="Arial Narrow" w:hAnsi="Arial Narrow"/>
          <w:sz w:val="18"/>
          <w:vertAlign w:val="superscript"/>
        </w:rPr>
        <w:t>c</w:t>
      </w:r>
      <w:r w:rsidRPr="00A03EB8">
        <w:rPr>
          <w:rFonts w:ascii="Arial Narrow" w:hAnsi="Arial Narrow"/>
          <w:sz w:val="18"/>
        </w:rPr>
        <w:t>Based on Cox proportional hazards model adjusted for each subject’s disease duration at screening.</w:t>
      </w:r>
    </w:p>
    <w:p w:rsidR="001334D8" w:rsidRPr="00A03EB8" w:rsidRDefault="001334D8" w:rsidP="00081E38">
      <w:pPr>
        <w:pStyle w:val="TableNotes1"/>
        <w:rPr>
          <w:rFonts w:ascii="Arial Narrow" w:hAnsi="Arial Narrow"/>
          <w:sz w:val="18"/>
        </w:rPr>
      </w:pPr>
      <w:r w:rsidRPr="00A03EB8">
        <w:rPr>
          <w:rFonts w:ascii="Arial Narrow" w:hAnsi="Arial Narrow"/>
          <w:sz w:val="18"/>
        </w:rPr>
        <w:t>CI = confidence interval.</w:t>
      </w:r>
    </w:p>
    <w:p w:rsidR="001334D8" w:rsidRPr="00A03EB8" w:rsidRDefault="001334D8" w:rsidP="00081E38">
      <w:pPr>
        <w:pStyle w:val="TableNotes1"/>
        <w:rPr>
          <w:rFonts w:ascii="Arial Narrow" w:hAnsi="Arial Narrow"/>
          <w:sz w:val="18"/>
        </w:rPr>
      </w:pPr>
      <w:r w:rsidRPr="00A03EB8">
        <w:rPr>
          <w:rFonts w:ascii="Arial Narrow" w:hAnsi="Arial Narrow"/>
          <w:sz w:val="18"/>
        </w:rPr>
        <w:t>Source: Table 2.5.6, p112 of the submission</w:t>
      </w:r>
    </w:p>
    <w:p w:rsidR="001334D8" w:rsidRPr="00A03EB8" w:rsidRDefault="001334D8" w:rsidP="007A3413">
      <w:pPr>
        <w:spacing w:before="0" w:after="120"/>
        <w:jc w:val="both"/>
        <w:rPr>
          <w:rFonts w:ascii="Arial Narrow" w:hAnsi="Arial Narrow"/>
          <w:b/>
          <w:sz w:val="20"/>
          <w:szCs w:val="20"/>
        </w:rPr>
      </w:pPr>
      <w:r w:rsidRPr="00A03EB8">
        <w:rPr>
          <w:rFonts w:ascii="Arial Narrow" w:hAnsi="Arial Narrow"/>
          <w:b/>
          <w:sz w:val="20"/>
          <w:szCs w:val="20"/>
        </w:rPr>
        <w:t xml:space="preserve">Figure </w:t>
      </w:r>
      <w:r w:rsidR="00101C4E" w:rsidRPr="00A03EB8">
        <w:rPr>
          <w:rFonts w:ascii="Arial Narrow" w:hAnsi="Arial Narrow"/>
          <w:b/>
          <w:sz w:val="20"/>
          <w:szCs w:val="20"/>
        </w:rPr>
        <w:t>1</w:t>
      </w:r>
      <w:r w:rsidRPr="00A03EB8">
        <w:rPr>
          <w:rFonts w:ascii="Arial Narrow" w:hAnsi="Arial Narrow"/>
          <w:b/>
          <w:sz w:val="20"/>
          <w:szCs w:val="20"/>
        </w:rPr>
        <w:t>: Kaplan-Meier curves for event-free survival - ITT analysis, ENDEAR trial</w:t>
      </w:r>
    </w:p>
    <w:p w:rsidR="001334D8" w:rsidRPr="00A03EB8" w:rsidRDefault="001334D8" w:rsidP="00101C4E">
      <w:pPr>
        <w:spacing w:before="0" w:after="120"/>
        <w:jc w:val="center"/>
      </w:pPr>
      <w:r w:rsidRPr="00352D6A">
        <w:rPr>
          <w:noProof/>
          <w:color w:val="4472C4" w:themeColor="accent5"/>
          <w:lang w:eastAsia="en-AU"/>
        </w:rPr>
        <w:drawing>
          <wp:inline distT="0" distB="0" distL="0" distR="0" wp14:anchorId="4FDF373D" wp14:editId="415706C9">
            <wp:extent cx="5224780" cy="2121535"/>
            <wp:effectExtent l="0" t="0" r="0" b="0"/>
            <wp:docPr id="23" name="Picture 23" title="Figure 1: Kaplan-Meier curves for event-free survival - ITT analysis, ENDEAR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4780" cy="2121535"/>
                    </a:xfrm>
                    <a:prstGeom prst="rect">
                      <a:avLst/>
                    </a:prstGeom>
                    <a:noFill/>
                  </pic:spPr>
                </pic:pic>
              </a:graphicData>
            </a:graphic>
          </wp:inline>
        </w:drawing>
      </w:r>
    </w:p>
    <w:p w:rsidR="001334D8" w:rsidRPr="00A03EB8" w:rsidRDefault="001334D8" w:rsidP="007A3413">
      <w:pPr>
        <w:spacing w:before="0" w:after="120"/>
        <w:jc w:val="both"/>
      </w:pPr>
      <w:r w:rsidRPr="00A03EB8">
        <w:rPr>
          <w:rFonts w:ascii="Arial Narrow" w:hAnsi="Arial Narrow"/>
          <w:sz w:val="18"/>
          <w:szCs w:val="18"/>
        </w:rPr>
        <w:t>Source: Figure ES.2, p5 of the submission</w:t>
      </w:r>
    </w:p>
    <w:p w:rsidR="001334D8" w:rsidRPr="00A03EB8" w:rsidRDefault="001334D8" w:rsidP="005D071D">
      <w:pPr>
        <w:pStyle w:val="ListParagraph"/>
        <w:numPr>
          <w:ilvl w:val="1"/>
          <w:numId w:val="2"/>
        </w:numPr>
        <w:spacing w:before="0" w:after="120"/>
        <w:jc w:val="both"/>
      </w:pPr>
      <w:r w:rsidRPr="00A03EB8">
        <w:t>The data showed that time to death or permanent ventilation was prolonged in patients treated with nusinersen: there was a 47% reduction in the risk of death or permanent ventilation compared to patients who received the sham-control procedure (p=0.0046) based on the ITT analysis. The median time to an event was 22.6 weeks in the sham-control group (</w:t>
      </w:r>
      <w:r w:rsidR="005F0590">
        <w:rPr>
          <w:noProof/>
          <w:color w:val="000000"/>
          <w:highlight w:val="black"/>
        </w:rPr>
        <w:t>''''''''' ''''' '''''''''' ''''''''</w:t>
      </w:r>
      <w:r w:rsidRPr="00A03EB8">
        <w:t>), with median time to an event not being reached in the nusinersen treatment arm (</w:t>
      </w:r>
      <w:r w:rsidR="005F0590">
        <w:rPr>
          <w:noProof/>
          <w:color w:val="000000"/>
          <w:highlight w:val="black"/>
        </w:rPr>
        <w:t>'''''''' ''''' '''''''''' ''''''</w:t>
      </w:r>
      <w:r w:rsidRPr="00A03EB8">
        <w:t xml:space="preserve">) at the time of the analysis (16 December 2016). Based on a Cox proportional hazards model that adjusted for disease duration at screening, the hazard ratio was 0.530 (95% CI: 0.316, 0.890; p=0.0164), indicating a 47% reduction in the risk of death or permanent ventilation following treatment with nusinersen. </w:t>
      </w:r>
    </w:p>
    <w:p w:rsidR="001334D8" w:rsidRPr="00A03EB8" w:rsidRDefault="001334D8" w:rsidP="00101C4E">
      <w:pPr>
        <w:pStyle w:val="ListParagraph"/>
        <w:numPr>
          <w:ilvl w:val="1"/>
          <w:numId w:val="2"/>
        </w:numPr>
        <w:spacing w:before="0"/>
        <w:ind w:left="578" w:hanging="578"/>
        <w:jc w:val="both"/>
      </w:pPr>
      <w:r w:rsidRPr="00A03EB8">
        <w:t>Time to death in the ITT population of the ENDEAR trial was a secondary endpoint and the Kaplan-Meier curve for this secondary endpoint is presented in Figure 2</w:t>
      </w:r>
      <w:r w:rsidR="00101C4E" w:rsidRPr="00A03EB8">
        <w:rPr>
          <w:rStyle w:val="CommentReference"/>
        </w:rPr>
        <w:t>.</w:t>
      </w:r>
      <w:r w:rsidRPr="00A03EB8">
        <w:t xml:space="preserve"> </w:t>
      </w:r>
      <w:r w:rsidR="008C714B" w:rsidRPr="00A03EB8">
        <w:t xml:space="preserve">The hazard ratio for time </w:t>
      </w:r>
      <w:r w:rsidR="00844699" w:rsidRPr="00A03EB8">
        <w:t xml:space="preserve">to </w:t>
      </w:r>
      <w:r w:rsidR="008C714B" w:rsidRPr="00A03EB8">
        <w:t xml:space="preserve">death </w:t>
      </w:r>
      <w:r w:rsidR="00101C4E" w:rsidRPr="00A03EB8">
        <w:t xml:space="preserve">was 0.372 </w:t>
      </w:r>
      <w:r w:rsidR="008C714B" w:rsidRPr="00A03EB8">
        <w:t>(95%CI: 0.179, 0.775), indicating a 62.8% reduction in the risk of death with nusinersen in comparison to sham-control (p=0.0041)</w:t>
      </w:r>
      <w:r w:rsidR="00101C4E" w:rsidRPr="00A03EB8">
        <w:t>.</w:t>
      </w:r>
      <w:r w:rsidR="003573D8" w:rsidRPr="00A03EB8">
        <w:t xml:space="preserve"> </w:t>
      </w:r>
    </w:p>
    <w:p w:rsidR="001334D8" w:rsidRPr="00A03EB8" w:rsidRDefault="001334D8" w:rsidP="00101C4E">
      <w:pPr>
        <w:pStyle w:val="TableHeading0"/>
      </w:pPr>
      <w:r w:rsidRPr="00A03EB8">
        <w:lastRenderedPageBreak/>
        <w:t xml:space="preserve">Figure </w:t>
      </w:r>
      <w:r w:rsidR="00101C4E" w:rsidRPr="00A03EB8">
        <w:t>2</w:t>
      </w:r>
      <w:r w:rsidRPr="00A03EB8">
        <w:t>: Kaplan-Meier curve for time to death – ITT population, ENDEAR trial</w:t>
      </w:r>
    </w:p>
    <w:p w:rsidR="001334D8" w:rsidRPr="00A03EB8" w:rsidRDefault="001334D8" w:rsidP="00101C4E">
      <w:pPr>
        <w:spacing w:before="0" w:after="120"/>
        <w:jc w:val="center"/>
      </w:pPr>
      <w:r w:rsidRPr="00352D6A">
        <w:rPr>
          <w:noProof/>
          <w:lang w:eastAsia="en-AU"/>
        </w:rPr>
        <w:drawing>
          <wp:inline distT="0" distB="0" distL="0" distR="0" wp14:anchorId="42AC2EE0" wp14:editId="628F29C1">
            <wp:extent cx="4709160" cy="2730746"/>
            <wp:effectExtent l="0" t="0" r="0" b="0"/>
            <wp:docPr id="24" name="Picture 24" title="Figure 2: Kaplan-Meier curve for time to death – ITT population, ENDEAR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9903" cy="2736976"/>
                    </a:xfrm>
                    <a:prstGeom prst="rect">
                      <a:avLst/>
                    </a:prstGeom>
                    <a:noFill/>
                  </pic:spPr>
                </pic:pic>
              </a:graphicData>
            </a:graphic>
          </wp:inline>
        </w:drawing>
      </w:r>
    </w:p>
    <w:p w:rsidR="001334D8" w:rsidRPr="00A03EB8" w:rsidRDefault="001334D8" w:rsidP="007A3413">
      <w:pPr>
        <w:spacing w:before="0" w:after="120"/>
        <w:jc w:val="both"/>
        <w:rPr>
          <w:rFonts w:ascii="Arial Narrow" w:hAnsi="Arial Narrow"/>
          <w:sz w:val="18"/>
          <w:szCs w:val="18"/>
        </w:rPr>
      </w:pPr>
      <w:r w:rsidRPr="00A03EB8">
        <w:rPr>
          <w:rFonts w:ascii="Arial Narrow" w:hAnsi="Arial Narrow"/>
          <w:sz w:val="18"/>
          <w:szCs w:val="18"/>
        </w:rPr>
        <w:t>Source: Figure 2.5.5, p118 of the submission</w:t>
      </w:r>
    </w:p>
    <w:p w:rsidR="001334D8" w:rsidRPr="00A03EB8" w:rsidRDefault="001334D8" w:rsidP="005D071D">
      <w:pPr>
        <w:pStyle w:val="ListParagraph"/>
        <w:numPr>
          <w:ilvl w:val="1"/>
          <w:numId w:val="2"/>
        </w:numPr>
        <w:spacing w:before="0" w:after="120"/>
        <w:jc w:val="both"/>
      </w:pPr>
      <w:r w:rsidRPr="00A03EB8">
        <w:t xml:space="preserve">The </w:t>
      </w:r>
      <w:r w:rsidR="00004DCC" w:rsidRPr="00352D6A">
        <w:t xml:space="preserve">PBAC agreed that the </w:t>
      </w:r>
      <w:r w:rsidRPr="00A03EB8">
        <w:t xml:space="preserve">submission </w:t>
      </w:r>
      <w:r w:rsidR="00101C4E" w:rsidRPr="00A03EB8">
        <w:t xml:space="preserve">reasonably </w:t>
      </w:r>
      <w:r w:rsidRPr="00A03EB8">
        <w:t xml:space="preserve">indicated that since patients with Type I SMA requiring permanent ventilation will usually be placed onto palliative care in Australia, that event-free survival was </w:t>
      </w:r>
      <w:r w:rsidR="00101C4E" w:rsidRPr="00A03EB8">
        <w:t>a better</w:t>
      </w:r>
      <w:r w:rsidRPr="00A03EB8">
        <w:t xml:space="preserve"> proxy for overall survival in the economic evaluation for patients with Type I SMA. </w:t>
      </w:r>
      <w:r w:rsidR="00004DCC" w:rsidRPr="00A03EB8">
        <w:t xml:space="preserve"> </w:t>
      </w:r>
    </w:p>
    <w:p w:rsidR="00844699" w:rsidRPr="00352D6A" w:rsidRDefault="00844699" w:rsidP="00352D6A">
      <w:pPr>
        <w:spacing w:before="0" w:after="120"/>
        <w:jc w:val="both"/>
        <w:rPr>
          <w:b/>
          <w:i/>
        </w:rPr>
      </w:pPr>
      <w:r w:rsidRPr="00352D6A">
        <w:rPr>
          <w:b/>
          <w:i/>
        </w:rPr>
        <w:t>Type</w:t>
      </w:r>
      <w:r w:rsidRPr="00A03EB8">
        <w:rPr>
          <w:b/>
          <w:i/>
        </w:rPr>
        <w:t>s</w:t>
      </w:r>
      <w:r w:rsidRPr="00352D6A">
        <w:rPr>
          <w:b/>
          <w:i/>
        </w:rPr>
        <w:t xml:space="preserve"> II</w:t>
      </w:r>
      <w:r w:rsidRPr="00A03EB8">
        <w:rPr>
          <w:b/>
          <w:i/>
        </w:rPr>
        <w:t xml:space="preserve"> and III</w:t>
      </w:r>
      <w:r w:rsidRPr="00352D6A">
        <w:rPr>
          <w:b/>
          <w:i/>
        </w:rPr>
        <w:t xml:space="preserve"> SMA</w:t>
      </w:r>
    </w:p>
    <w:p w:rsidR="001334D8" w:rsidRPr="00A03EB8" w:rsidRDefault="001334D8" w:rsidP="005D071D">
      <w:pPr>
        <w:pStyle w:val="ListParagraph"/>
        <w:numPr>
          <w:ilvl w:val="1"/>
          <w:numId w:val="2"/>
        </w:numPr>
        <w:spacing w:before="0" w:after="120"/>
        <w:jc w:val="both"/>
      </w:pPr>
      <w:r w:rsidRPr="00A03EB8">
        <w:t>Results for the primary outcome</w:t>
      </w:r>
      <w:r w:rsidR="008C046D" w:rsidRPr="00A03EB8">
        <w:t xml:space="preserve">, change in </w:t>
      </w:r>
      <w:r w:rsidR="008C046D" w:rsidRPr="00A03EB8">
        <w:rPr>
          <w:szCs w:val="24"/>
        </w:rPr>
        <w:t>Hammersmith Functional Motor Scale-Expanded (</w:t>
      </w:r>
      <w:r w:rsidR="008C046D" w:rsidRPr="00A03EB8">
        <w:t>HFMSE) score</w:t>
      </w:r>
      <w:r w:rsidRPr="00A03EB8">
        <w:t xml:space="preserve"> from the CHERISH trial for patients with Type II SMA are presented in Table </w:t>
      </w:r>
      <w:r w:rsidR="00101C4E" w:rsidRPr="00A03EB8">
        <w:t>8</w:t>
      </w:r>
      <w:r w:rsidRPr="00A03EB8">
        <w:t xml:space="preserve">. </w:t>
      </w:r>
    </w:p>
    <w:p w:rsidR="001334D8" w:rsidRPr="00A03EB8" w:rsidRDefault="001334D8" w:rsidP="00081E38">
      <w:pPr>
        <w:pStyle w:val="TableHeader"/>
      </w:pPr>
      <w:r w:rsidRPr="00A03EB8">
        <w:t xml:space="preserve">Table </w:t>
      </w:r>
      <w:r w:rsidR="00101C4E" w:rsidRPr="00A03EB8">
        <w:t>8</w:t>
      </w:r>
      <w:r w:rsidRPr="00A03EB8">
        <w:t>: Change from baseline in HFMSE to month 15 (multiple imputation) – ITT set, CHERISH trial</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984"/>
        <w:gridCol w:w="1985"/>
      </w:tblGrid>
      <w:tr w:rsidR="001334D8" w:rsidRPr="00A03EB8" w:rsidTr="00101C4E">
        <w:trPr>
          <w:trHeight w:val="72"/>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334D8" w:rsidRPr="005F0590" w:rsidRDefault="001334D8" w:rsidP="007A3413">
            <w:pPr>
              <w:pStyle w:val="TableText"/>
              <w:spacing w:before="0" w:after="0"/>
              <w:jc w:val="both"/>
              <w:rPr>
                <w:b/>
                <w:sz w:val="18"/>
                <w:szCs w:val="18"/>
              </w:rPr>
            </w:pPr>
            <w:r w:rsidRPr="00D93B69">
              <w:rPr>
                <w:b/>
              </w:rPr>
              <w:t>Parameter</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334D8" w:rsidRPr="005F0590" w:rsidRDefault="001334D8" w:rsidP="009D512D">
            <w:pPr>
              <w:pStyle w:val="TableText"/>
              <w:jc w:val="center"/>
              <w:rPr>
                <w:b/>
              </w:rPr>
            </w:pPr>
            <w:r w:rsidRPr="00D93B69">
              <w:rPr>
                <w:b/>
              </w:rPr>
              <w:t>Sham-controls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334D8" w:rsidRPr="005F0590" w:rsidRDefault="001334D8" w:rsidP="009D512D">
            <w:pPr>
              <w:pStyle w:val="TableText"/>
              <w:jc w:val="center"/>
              <w:rPr>
                <w:b/>
              </w:rPr>
            </w:pPr>
            <w:r w:rsidRPr="00D93B69">
              <w:rPr>
                <w:b/>
              </w:rPr>
              <w:t>Nusinersen</w:t>
            </w:r>
          </w:p>
        </w:tc>
      </w:tr>
      <w:tr w:rsidR="001334D8" w:rsidRPr="00A03EB8" w:rsidTr="00101C4E">
        <w:trPr>
          <w:trHeight w:val="72"/>
        </w:trPr>
        <w:tc>
          <w:tcPr>
            <w:tcW w:w="5103" w:type="dxa"/>
            <w:tcBorders>
              <w:top w:val="single" w:sz="4" w:space="0" w:color="auto"/>
              <w:left w:val="single" w:sz="4" w:space="0" w:color="auto"/>
              <w:bottom w:val="single" w:sz="4" w:space="0" w:color="auto"/>
              <w:right w:val="single" w:sz="4" w:space="0" w:color="auto"/>
            </w:tcBorders>
            <w:hideMark/>
          </w:tcPr>
          <w:p w:rsidR="001334D8" w:rsidRPr="005F0590" w:rsidRDefault="001334D8" w:rsidP="007A3413">
            <w:pPr>
              <w:pStyle w:val="TableText"/>
              <w:jc w:val="both"/>
            </w:pPr>
            <w:r w:rsidRPr="00D93B69">
              <w:t xml:space="preserve">Number of patients in ITT Set </w:t>
            </w:r>
          </w:p>
        </w:tc>
        <w:tc>
          <w:tcPr>
            <w:tcW w:w="1984" w:type="dxa"/>
            <w:tcBorders>
              <w:top w:val="single" w:sz="4" w:space="0" w:color="auto"/>
              <w:left w:val="single" w:sz="4" w:space="0" w:color="auto"/>
              <w:bottom w:val="single" w:sz="4" w:space="0" w:color="auto"/>
              <w:right w:val="single" w:sz="4" w:space="0" w:color="auto"/>
            </w:tcBorders>
            <w:hideMark/>
          </w:tcPr>
          <w:p w:rsidR="001334D8" w:rsidRPr="00DD06C2" w:rsidRDefault="001334D8" w:rsidP="009D512D">
            <w:pPr>
              <w:pStyle w:val="TableText"/>
              <w:jc w:val="center"/>
            </w:pPr>
            <w:r w:rsidRPr="00DD06C2">
              <w:t>42 (100)</w:t>
            </w:r>
          </w:p>
        </w:tc>
        <w:tc>
          <w:tcPr>
            <w:tcW w:w="1985" w:type="dxa"/>
            <w:tcBorders>
              <w:top w:val="single" w:sz="4" w:space="0" w:color="auto"/>
              <w:left w:val="single" w:sz="4" w:space="0" w:color="auto"/>
              <w:bottom w:val="single" w:sz="4" w:space="0" w:color="auto"/>
              <w:right w:val="single" w:sz="4" w:space="0" w:color="auto"/>
            </w:tcBorders>
            <w:hideMark/>
          </w:tcPr>
          <w:p w:rsidR="001334D8" w:rsidRPr="00DD06C2" w:rsidRDefault="001334D8" w:rsidP="009D512D">
            <w:pPr>
              <w:pStyle w:val="TableText"/>
              <w:jc w:val="center"/>
            </w:pPr>
            <w:r w:rsidRPr="00DD06C2">
              <w:t>84 (100)</w:t>
            </w:r>
          </w:p>
        </w:tc>
      </w:tr>
      <w:tr w:rsidR="001334D8" w:rsidRPr="00A03EB8" w:rsidTr="00101C4E">
        <w:trPr>
          <w:trHeight w:val="174"/>
        </w:trPr>
        <w:tc>
          <w:tcPr>
            <w:tcW w:w="5103" w:type="dxa"/>
            <w:tcBorders>
              <w:top w:val="single" w:sz="4" w:space="0" w:color="auto"/>
              <w:left w:val="single" w:sz="4" w:space="0" w:color="auto"/>
              <w:bottom w:val="single" w:sz="4" w:space="0" w:color="auto"/>
              <w:right w:val="single" w:sz="4" w:space="0" w:color="auto"/>
            </w:tcBorders>
            <w:hideMark/>
          </w:tcPr>
          <w:p w:rsidR="001334D8" w:rsidRPr="00D93B69" w:rsidRDefault="001334D8" w:rsidP="007A3413">
            <w:pPr>
              <w:pStyle w:val="TableText"/>
              <w:jc w:val="both"/>
            </w:pPr>
            <w:r w:rsidRPr="00D93B69">
              <w:t xml:space="preserve">Number of patients with observed Month 15 value </w:t>
            </w:r>
          </w:p>
        </w:tc>
        <w:tc>
          <w:tcPr>
            <w:tcW w:w="1984" w:type="dxa"/>
            <w:tcBorders>
              <w:top w:val="single" w:sz="4" w:space="0" w:color="auto"/>
              <w:left w:val="single" w:sz="4" w:space="0" w:color="auto"/>
              <w:bottom w:val="single" w:sz="4" w:space="0" w:color="auto"/>
              <w:right w:val="single" w:sz="4" w:space="0" w:color="auto"/>
            </w:tcBorders>
            <w:hideMark/>
          </w:tcPr>
          <w:p w:rsidR="001334D8" w:rsidRPr="00DD06C2" w:rsidRDefault="001334D8" w:rsidP="009D512D">
            <w:pPr>
              <w:pStyle w:val="TableText"/>
              <w:jc w:val="center"/>
            </w:pPr>
            <w:r w:rsidRPr="00DD06C2">
              <w:t>34 (81)</w:t>
            </w:r>
          </w:p>
        </w:tc>
        <w:tc>
          <w:tcPr>
            <w:tcW w:w="1985" w:type="dxa"/>
            <w:tcBorders>
              <w:top w:val="single" w:sz="4" w:space="0" w:color="auto"/>
              <w:left w:val="single" w:sz="4" w:space="0" w:color="auto"/>
              <w:bottom w:val="single" w:sz="4" w:space="0" w:color="auto"/>
              <w:right w:val="single" w:sz="4" w:space="0" w:color="auto"/>
            </w:tcBorders>
            <w:hideMark/>
          </w:tcPr>
          <w:p w:rsidR="001334D8" w:rsidRPr="00DD06C2" w:rsidRDefault="001334D8" w:rsidP="009D512D">
            <w:pPr>
              <w:pStyle w:val="TableText"/>
              <w:jc w:val="center"/>
            </w:pPr>
            <w:r w:rsidRPr="00DD06C2">
              <w:t>66 (79)</w:t>
            </w:r>
          </w:p>
        </w:tc>
      </w:tr>
      <w:tr w:rsidR="001334D8" w:rsidRPr="00A03EB8" w:rsidTr="00101C4E">
        <w:trPr>
          <w:trHeight w:val="174"/>
        </w:trPr>
        <w:tc>
          <w:tcPr>
            <w:tcW w:w="5103" w:type="dxa"/>
            <w:tcBorders>
              <w:top w:val="single" w:sz="4" w:space="0" w:color="auto"/>
              <w:left w:val="single" w:sz="4" w:space="0" w:color="auto"/>
              <w:bottom w:val="single" w:sz="4" w:space="0" w:color="auto"/>
              <w:right w:val="single" w:sz="4" w:space="0" w:color="auto"/>
            </w:tcBorders>
          </w:tcPr>
          <w:p w:rsidR="001334D8" w:rsidRPr="00D93B69" w:rsidRDefault="001334D8" w:rsidP="007A3413">
            <w:pPr>
              <w:pStyle w:val="TableText"/>
              <w:jc w:val="both"/>
            </w:pPr>
            <w:r w:rsidRPr="00D93B69">
              <w:t>Number of patients with imputed Month 15 value</w:t>
            </w:r>
          </w:p>
        </w:tc>
        <w:tc>
          <w:tcPr>
            <w:tcW w:w="1984" w:type="dxa"/>
            <w:tcBorders>
              <w:top w:val="single" w:sz="4" w:space="0" w:color="auto"/>
              <w:left w:val="single" w:sz="4" w:space="0" w:color="auto"/>
              <w:bottom w:val="single" w:sz="4" w:space="0" w:color="auto"/>
              <w:right w:val="single" w:sz="4" w:space="0" w:color="auto"/>
            </w:tcBorders>
          </w:tcPr>
          <w:p w:rsidR="001334D8" w:rsidRPr="00DD06C2" w:rsidRDefault="001334D8" w:rsidP="009D512D">
            <w:pPr>
              <w:pStyle w:val="TableText"/>
              <w:jc w:val="center"/>
            </w:pPr>
            <w:r w:rsidRPr="00DD06C2">
              <w:t>8 (19)</w:t>
            </w:r>
          </w:p>
        </w:tc>
        <w:tc>
          <w:tcPr>
            <w:tcW w:w="1985" w:type="dxa"/>
            <w:tcBorders>
              <w:top w:val="single" w:sz="4" w:space="0" w:color="auto"/>
              <w:left w:val="single" w:sz="4" w:space="0" w:color="auto"/>
              <w:bottom w:val="single" w:sz="4" w:space="0" w:color="auto"/>
              <w:right w:val="single" w:sz="4" w:space="0" w:color="auto"/>
            </w:tcBorders>
          </w:tcPr>
          <w:p w:rsidR="001334D8" w:rsidRPr="00DD06C2" w:rsidRDefault="001334D8" w:rsidP="009D512D">
            <w:pPr>
              <w:pStyle w:val="TableText"/>
              <w:jc w:val="center"/>
            </w:pPr>
            <w:r w:rsidRPr="00DD06C2">
              <w:t>18 (21)</w:t>
            </w:r>
          </w:p>
        </w:tc>
      </w:tr>
      <w:tr w:rsidR="001334D8" w:rsidRPr="00A03EB8" w:rsidTr="00101C4E">
        <w:trPr>
          <w:trHeight w:val="174"/>
        </w:trPr>
        <w:tc>
          <w:tcPr>
            <w:tcW w:w="5103" w:type="dxa"/>
            <w:tcBorders>
              <w:top w:val="single" w:sz="4" w:space="0" w:color="auto"/>
              <w:left w:val="single" w:sz="4" w:space="0" w:color="auto"/>
              <w:bottom w:val="nil"/>
              <w:right w:val="single" w:sz="4" w:space="0" w:color="auto"/>
            </w:tcBorders>
            <w:hideMark/>
          </w:tcPr>
          <w:p w:rsidR="001334D8" w:rsidRPr="00D93B69" w:rsidRDefault="001334D8" w:rsidP="007A3413">
            <w:pPr>
              <w:pStyle w:val="TableText"/>
              <w:jc w:val="both"/>
            </w:pPr>
            <w:r w:rsidRPr="00D93B69">
              <w:t>Change in HFSME to Month 15</w:t>
            </w:r>
          </w:p>
        </w:tc>
        <w:tc>
          <w:tcPr>
            <w:tcW w:w="1984" w:type="dxa"/>
            <w:tcBorders>
              <w:top w:val="single" w:sz="4" w:space="0" w:color="auto"/>
              <w:left w:val="single" w:sz="4" w:space="0" w:color="auto"/>
              <w:bottom w:val="nil"/>
              <w:right w:val="single" w:sz="4" w:space="0" w:color="auto"/>
            </w:tcBorders>
            <w:hideMark/>
          </w:tcPr>
          <w:p w:rsidR="001334D8" w:rsidRPr="00DD06C2" w:rsidRDefault="001334D8" w:rsidP="009D512D">
            <w:pPr>
              <w:pStyle w:val="TableText"/>
              <w:jc w:val="center"/>
            </w:pPr>
          </w:p>
        </w:tc>
        <w:tc>
          <w:tcPr>
            <w:tcW w:w="1985" w:type="dxa"/>
            <w:tcBorders>
              <w:top w:val="single" w:sz="4" w:space="0" w:color="auto"/>
              <w:left w:val="single" w:sz="4" w:space="0" w:color="auto"/>
              <w:bottom w:val="nil"/>
              <w:right w:val="single" w:sz="4" w:space="0" w:color="auto"/>
            </w:tcBorders>
            <w:hideMark/>
          </w:tcPr>
          <w:p w:rsidR="001334D8" w:rsidRPr="00DD06C2" w:rsidRDefault="001334D8" w:rsidP="009D512D">
            <w:pPr>
              <w:pStyle w:val="TableText"/>
              <w:jc w:val="center"/>
            </w:pPr>
          </w:p>
        </w:tc>
      </w:tr>
      <w:tr w:rsidR="001334D8" w:rsidRPr="00A03EB8" w:rsidTr="00101C4E">
        <w:trPr>
          <w:trHeight w:val="174"/>
        </w:trPr>
        <w:tc>
          <w:tcPr>
            <w:tcW w:w="5103" w:type="dxa"/>
            <w:tcBorders>
              <w:top w:val="nil"/>
              <w:left w:val="single" w:sz="4" w:space="0" w:color="auto"/>
              <w:bottom w:val="nil"/>
              <w:right w:val="single" w:sz="4" w:space="0" w:color="auto"/>
            </w:tcBorders>
          </w:tcPr>
          <w:p w:rsidR="001334D8" w:rsidRPr="00D93B69" w:rsidRDefault="001334D8" w:rsidP="007A3413">
            <w:pPr>
              <w:pStyle w:val="TableText"/>
              <w:jc w:val="both"/>
            </w:pPr>
            <w:r w:rsidRPr="00D93B69">
              <w:t>Least squares mean (95% CI)</w:t>
            </w:r>
            <w:r w:rsidRPr="00D93B69">
              <w:rPr>
                <w:vertAlign w:val="superscript"/>
              </w:rPr>
              <w:t>a</w:t>
            </w:r>
          </w:p>
        </w:tc>
        <w:tc>
          <w:tcPr>
            <w:tcW w:w="1984" w:type="dxa"/>
            <w:tcBorders>
              <w:top w:val="nil"/>
              <w:left w:val="single" w:sz="4" w:space="0" w:color="auto"/>
              <w:bottom w:val="nil"/>
              <w:right w:val="single" w:sz="4" w:space="0" w:color="auto"/>
            </w:tcBorders>
          </w:tcPr>
          <w:p w:rsidR="001334D8" w:rsidRPr="00DD06C2" w:rsidRDefault="001334D8" w:rsidP="009D512D">
            <w:pPr>
              <w:pStyle w:val="TableText"/>
              <w:jc w:val="center"/>
            </w:pPr>
            <w:r w:rsidRPr="00DD06C2">
              <w:t>-1.0 (-2.5, 0.5)</w:t>
            </w:r>
          </w:p>
        </w:tc>
        <w:tc>
          <w:tcPr>
            <w:tcW w:w="1985" w:type="dxa"/>
            <w:tcBorders>
              <w:top w:val="nil"/>
              <w:left w:val="single" w:sz="4" w:space="0" w:color="auto"/>
              <w:bottom w:val="nil"/>
              <w:right w:val="single" w:sz="4" w:space="0" w:color="auto"/>
            </w:tcBorders>
          </w:tcPr>
          <w:p w:rsidR="001334D8" w:rsidRPr="00DD06C2" w:rsidRDefault="001334D8" w:rsidP="009D512D">
            <w:pPr>
              <w:pStyle w:val="TableText"/>
              <w:jc w:val="center"/>
            </w:pPr>
            <w:r w:rsidRPr="00DD06C2">
              <w:t>3.9 (3.0, 4.9)</w:t>
            </w:r>
          </w:p>
        </w:tc>
      </w:tr>
      <w:tr w:rsidR="001334D8" w:rsidRPr="00A03EB8" w:rsidTr="00101C4E">
        <w:trPr>
          <w:trHeight w:val="174"/>
        </w:trPr>
        <w:tc>
          <w:tcPr>
            <w:tcW w:w="5103" w:type="dxa"/>
            <w:tcBorders>
              <w:top w:val="nil"/>
              <w:left w:val="single" w:sz="4" w:space="0" w:color="auto"/>
              <w:bottom w:val="single" w:sz="4" w:space="0" w:color="auto"/>
              <w:right w:val="single" w:sz="4" w:space="0" w:color="auto"/>
            </w:tcBorders>
          </w:tcPr>
          <w:p w:rsidR="001334D8" w:rsidRPr="00D93B69" w:rsidRDefault="001334D8" w:rsidP="007A3413">
            <w:pPr>
              <w:pStyle w:val="TableText"/>
              <w:jc w:val="both"/>
            </w:pPr>
            <w:r w:rsidRPr="00D93B69">
              <w:t>SE</w:t>
            </w:r>
          </w:p>
        </w:tc>
        <w:tc>
          <w:tcPr>
            <w:tcW w:w="1984" w:type="dxa"/>
            <w:tcBorders>
              <w:top w:val="nil"/>
              <w:left w:val="single" w:sz="4" w:space="0" w:color="auto"/>
              <w:bottom w:val="single" w:sz="4" w:space="0" w:color="auto"/>
              <w:right w:val="single" w:sz="4" w:space="0" w:color="auto"/>
            </w:tcBorders>
          </w:tcPr>
          <w:p w:rsidR="001334D8" w:rsidRPr="00DD06C2" w:rsidRDefault="001334D8" w:rsidP="009D512D">
            <w:pPr>
              <w:pStyle w:val="TableText"/>
              <w:jc w:val="center"/>
            </w:pPr>
            <w:r w:rsidRPr="00DD06C2">
              <w:t>0.76</w:t>
            </w:r>
          </w:p>
        </w:tc>
        <w:tc>
          <w:tcPr>
            <w:tcW w:w="1985" w:type="dxa"/>
            <w:tcBorders>
              <w:top w:val="nil"/>
              <w:left w:val="single" w:sz="4" w:space="0" w:color="auto"/>
              <w:bottom w:val="single" w:sz="4" w:space="0" w:color="auto"/>
              <w:right w:val="single" w:sz="4" w:space="0" w:color="auto"/>
            </w:tcBorders>
          </w:tcPr>
          <w:p w:rsidR="001334D8" w:rsidRPr="00DD06C2" w:rsidRDefault="001334D8" w:rsidP="009D512D">
            <w:pPr>
              <w:pStyle w:val="TableText"/>
              <w:jc w:val="center"/>
            </w:pPr>
            <w:r w:rsidRPr="00DD06C2">
              <w:t>0.49</w:t>
            </w:r>
          </w:p>
        </w:tc>
      </w:tr>
      <w:tr w:rsidR="00101C4E" w:rsidRPr="00A03EB8" w:rsidTr="0084396C">
        <w:trPr>
          <w:trHeight w:val="174"/>
        </w:trPr>
        <w:tc>
          <w:tcPr>
            <w:tcW w:w="5103" w:type="dxa"/>
            <w:tcBorders>
              <w:top w:val="single" w:sz="4" w:space="0" w:color="auto"/>
              <w:left w:val="single" w:sz="4" w:space="0" w:color="auto"/>
              <w:bottom w:val="single" w:sz="4" w:space="0" w:color="auto"/>
              <w:right w:val="single" w:sz="4" w:space="0" w:color="auto"/>
            </w:tcBorders>
          </w:tcPr>
          <w:p w:rsidR="00101C4E" w:rsidRPr="00D93B69" w:rsidRDefault="00101C4E" w:rsidP="007A3413">
            <w:pPr>
              <w:pStyle w:val="TableText"/>
              <w:jc w:val="both"/>
            </w:pPr>
            <w:r w:rsidRPr="00D93B69">
              <w:t>Least squares mean difference (95% CI)</w:t>
            </w:r>
            <w:r w:rsidRPr="00D93B69">
              <w:rPr>
                <w:vertAlign w:val="superscript"/>
              </w:rPr>
              <w:t>a</w:t>
            </w:r>
          </w:p>
        </w:tc>
        <w:tc>
          <w:tcPr>
            <w:tcW w:w="3969" w:type="dxa"/>
            <w:gridSpan w:val="2"/>
            <w:tcBorders>
              <w:top w:val="single" w:sz="4" w:space="0" w:color="auto"/>
              <w:left w:val="single" w:sz="4" w:space="0" w:color="auto"/>
              <w:bottom w:val="single" w:sz="4" w:space="0" w:color="auto"/>
              <w:right w:val="single" w:sz="4" w:space="0" w:color="auto"/>
            </w:tcBorders>
          </w:tcPr>
          <w:p w:rsidR="00101C4E" w:rsidRPr="00DD06C2" w:rsidRDefault="00101C4E" w:rsidP="009D512D">
            <w:pPr>
              <w:pStyle w:val="TableText"/>
              <w:jc w:val="center"/>
            </w:pPr>
            <w:r w:rsidRPr="00DD06C2">
              <w:t>4.9 (3.1, 6.7)</w:t>
            </w:r>
          </w:p>
        </w:tc>
      </w:tr>
      <w:tr w:rsidR="00101C4E" w:rsidRPr="00A03EB8" w:rsidTr="0084396C">
        <w:trPr>
          <w:trHeight w:val="174"/>
        </w:trPr>
        <w:tc>
          <w:tcPr>
            <w:tcW w:w="5103" w:type="dxa"/>
            <w:tcBorders>
              <w:top w:val="single" w:sz="4" w:space="0" w:color="auto"/>
              <w:left w:val="single" w:sz="4" w:space="0" w:color="auto"/>
              <w:bottom w:val="single" w:sz="4" w:space="0" w:color="auto"/>
              <w:right w:val="single" w:sz="4" w:space="0" w:color="auto"/>
            </w:tcBorders>
          </w:tcPr>
          <w:p w:rsidR="00101C4E" w:rsidRPr="00D93B69" w:rsidRDefault="00101C4E" w:rsidP="007A3413">
            <w:pPr>
              <w:pStyle w:val="TableText"/>
              <w:jc w:val="both"/>
            </w:pPr>
            <w:r w:rsidRPr="00D93B69">
              <w:t>SE</w:t>
            </w:r>
          </w:p>
        </w:tc>
        <w:tc>
          <w:tcPr>
            <w:tcW w:w="3969" w:type="dxa"/>
            <w:gridSpan w:val="2"/>
            <w:tcBorders>
              <w:top w:val="single" w:sz="4" w:space="0" w:color="auto"/>
              <w:left w:val="single" w:sz="4" w:space="0" w:color="auto"/>
              <w:bottom w:val="single" w:sz="4" w:space="0" w:color="auto"/>
              <w:right w:val="single" w:sz="4" w:space="0" w:color="auto"/>
            </w:tcBorders>
          </w:tcPr>
          <w:p w:rsidR="00101C4E" w:rsidRPr="00DD06C2" w:rsidRDefault="00101C4E" w:rsidP="009D512D">
            <w:pPr>
              <w:pStyle w:val="TableText"/>
              <w:jc w:val="center"/>
            </w:pPr>
            <w:r w:rsidRPr="00DD06C2">
              <w:t>0.91</w:t>
            </w:r>
          </w:p>
        </w:tc>
      </w:tr>
      <w:tr w:rsidR="00101C4E" w:rsidRPr="00A03EB8" w:rsidTr="0084396C">
        <w:trPr>
          <w:trHeight w:val="174"/>
        </w:trPr>
        <w:tc>
          <w:tcPr>
            <w:tcW w:w="5103" w:type="dxa"/>
            <w:tcBorders>
              <w:top w:val="single" w:sz="4" w:space="0" w:color="auto"/>
              <w:left w:val="single" w:sz="4" w:space="0" w:color="auto"/>
              <w:bottom w:val="single" w:sz="4" w:space="0" w:color="auto"/>
              <w:right w:val="single" w:sz="4" w:space="0" w:color="auto"/>
            </w:tcBorders>
          </w:tcPr>
          <w:p w:rsidR="00101C4E" w:rsidRPr="00D93B69" w:rsidRDefault="00101C4E" w:rsidP="007A3413">
            <w:pPr>
              <w:pStyle w:val="TableText"/>
              <w:jc w:val="both"/>
            </w:pPr>
            <w:r w:rsidRPr="00D93B69">
              <w:t>p-value (compared to control)</w:t>
            </w:r>
            <w:r w:rsidRPr="00D93B69">
              <w:rPr>
                <w:vertAlign w:val="superscript"/>
              </w:rPr>
              <w:t>a</w:t>
            </w:r>
          </w:p>
        </w:tc>
        <w:tc>
          <w:tcPr>
            <w:tcW w:w="3969" w:type="dxa"/>
            <w:gridSpan w:val="2"/>
            <w:tcBorders>
              <w:top w:val="single" w:sz="4" w:space="0" w:color="auto"/>
              <w:left w:val="single" w:sz="4" w:space="0" w:color="auto"/>
              <w:bottom w:val="single" w:sz="4" w:space="0" w:color="auto"/>
              <w:right w:val="single" w:sz="4" w:space="0" w:color="auto"/>
            </w:tcBorders>
          </w:tcPr>
          <w:p w:rsidR="00101C4E" w:rsidRPr="00DD06C2" w:rsidRDefault="00101C4E" w:rsidP="009D512D">
            <w:pPr>
              <w:pStyle w:val="TableText"/>
              <w:jc w:val="center"/>
            </w:pPr>
            <w:r w:rsidRPr="00DD06C2">
              <w:t>0.0000001</w:t>
            </w:r>
          </w:p>
        </w:tc>
      </w:tr>
    </w:tbl>
    <w:p w:rsidR="001334D8" w:rsidRPr="00A03EB8" w:rsidRDefault="001334D8" w:rsidP="00081E38">
      <w:pPr>
        <w:pStyle w:val="TableNotes"/>
        <w:spacing w:after="0"/>
        <w:rPr>
          <w:rFonts w:ascii="Arial Narrow" w:hAnsi="Arial Narrow"/>
          <w:sz w:val="18"/>
          <w:szCs w:val="18"/>
        </w:rPr>
      </w:pPr>
      <w:r w:rsidRPr="00A03EB8">
        <w:rPr>
          <w:rFonts w:ascii="Arial Narrow" w:hAnsi="Arial Narrow"/>
          <w:sz w:val="18"/>
          <w:szCs w:val="18"/>
        </w:rPr>
        <w:t>ANCOVA = analysis of covariance; CI = confidence interval; ITT = intention to treat; MI = multiple imputation; S =, standard error; HFMSE = Hammersmith Functional Motor Scale-Expanded</w:t>
      </w:r>
    </w:p>
    <w:p w:rsidR="001334D8" w:rsidRPr="00A03EB8" w:rsidRDefault="001334D8" w:rsidP="00081E38">
      <w:pPr>
        <w:pStyle w:val="TableNotes"/>
        <w:spacing w:after="0"/>
        <w:rPr>
          <w:rFonts w:ascii="Arial Narrow" w:hAnsi="Arial Narrow"/>
          <w:sz w:val="18"/>
          <w:szCs w:val="18"/>
        </w:rPr>
      </w:pPr>
      <w:r w:rsidRPr="00A03EB8">
        <w:rPr>
          <w:rFonts w:ascii="Arial Narrow" w:hAnsi="Arial Narrow"/>
          <w:sz w:val="18"/>
          <w:szCs w:val="18"/>
        </w:rPr>
        <w:t>Note: This table is based on multiply imputed data.</w:t>
      </w:r>
    </w:p>
    <w:p w:rsidR="001334D8" w:rsidRPr="00A03EB8" w:rsidRDefault="001334D8" w:rsidP="00081E38">
      <w:pPr>
        <w:pStyle w:val="TableNotes"/>
        <w:spacing w:after="0"/>
        <w:rPr>
          <w:rFonts w:ascii="Arial Narrow" w:hAnsi="Arial Narrow"/>
          <w:sz w:val="18"/>
          <w:szCs w:val="18"/>
        </w:rPr>
      </w:pPr>
      <w:r w:rsidRPr="00A03EB8">
        <w:rPr>
          <w:rFonts w:ascii="Arial Narrow" w:hAnsi="Arial Narrow"/>
          <w:sz w:val="18"/>
          <w:szCs w:val="18"/>
          <w:vertAlign w:val="superscript"/>
        </w:rPr>
        <w:t>a</w:t>
      </w:r>
      <w:r w:rsidRPr="00A03EB8">
        <w:rPr>
          <w:rFonts w:ascii="Arial Narrow" w:hAnsi="Arial Narrow"/>
          <w:sz w:val="18"/>
          <w:szCs w:val="18"/>
        </w:rPr>
        <w:t xml:space="preserve"> From MI procedure, based on ANCOVA with treatment as a fixed effect and adjustment for each subject's age at screening and HFMSE at baseline. These estimates are constructed from fitting the ANCOVA model to each of the imputed datasets.</w:t>
      </w:r>
    </w:p>
    <w:p w:rsidR="001334D8" w:rsidRPr="00A03EB8" w:rsidRDefault="001334D8" w:rsidP="00081E38">
      <w:pPr>
        <w:pStyle w:val="TableNotes"/>
        <w:spacing w:after="160"/>
      </w:pPr>
      <w:r w:rsidRPr="00A03EB8">
        <w:rPr>
          <w:rFonts w:ascii="Arial Narrow" w:hAnsi="Arial Narrow"/>
          <w:sz w:val="18"/>
          <w:szCs w:val="18"/>
        </w:rPr>
        <w:t>Source: Table 2.5.16, p142 of the submission</w:t>
      </w:r>
    </w:p>
    <w:p w:rsidR="003900E8" w:rsidRPr="00625BD2" w:rsidRDefault="001334D8" w:rsidP="00352D6A">
      <w:pPr>
        <w:pStyle w:val="ListParagraph"/>
        <w:numPr>
          <w:ilvl w:val="1"/>
          <w:numId w:val="2"/>
        </w:numPr>
        <w:spacing w:before="0" w:after="120" w:line="259" w:lineRule="auto"/>
        <w:jc w:val="both"/>
        <w:rPr>
          <w:rFonts w:ascii="Arial Narrow" w:hAnsi="Arial Narrow"/>
          <w:b/>
          <w:sz w:val="20"/>
          <w:szCs w:val="20"/>
        </w:rPr>
      </w:pPr>
      <w:r w:rsidRPr="00A03EB8">
        <w:t>Figure 3 illustrates the least squares mean change in HFMSE scores from baseline over time.</w:t>
      </w:r>
    </w:p>
    <w:p w:rsidR="00625BD2" w:rsidRPr="00A03EB8" w:rsidRDefault="00625BD2" w:rsidP="00625BD2">
      <w:pPr>
        <w:pStyle w:val="ListParagraph"/>
        <w:spacing w:before="0" w:after="120" w:line="259" w:lineRule="auto"/>
        <w:ind w:left="576"/>
        <w:jc w:val="both"/>
        <w:rPr>
          <w:rFonts w:ascii="Arial Narrow" w:hAnsi="Arial Narrow"/>
          <w:b/>
          <w:sz w:val="20"/>
          <w:szCs w:val="20"/>
        </w:rPr>
      </w:pPr>
    </w:p>
    <w:p w:rsidR="001334D8" w:rsidRPr="00A03EB8" w:rsidRDefault="001334D8" w:rsidP="007A3413">
      <w:pPr>
        <w:spacing w:before="0" w:after="120"/>
        <w:jc w:val="both"/>
        <w:rPr>
          <w:rFonts w:ascii="Arial Narrow" w:hAnsi="Arial Narrow"/>
          <w:b/>
          <w:sz w:val="20"/>
          <w:szCs w:val="20"/>
        </w:rPr>
      </w:pPr>
      <w:r w:rsidRPr="00A03EB8">
        <w:rPr>
          <w:rFonts w:ascii="Arial Narrow" w:hAnsi="Arial Narrow"/>
          <w:b/>
          <w:sz w:val="20"/>
          <w:szCs w:val="20"/>
        </w:rPr>
        <w:lastRenderedPageBreak/>
        <w:t xml:space="preserve">Figure 3: </w:t>
      </w:r>
      <w:r w:rsidR="00877AC0" w:rsidRPr="00A03EB8">
        <w:rPr>
          <w:rFonts w:ascii="Arial Narrow" w:hAnsi="Arial Narrow"/>
          <w:b/>
          <w:sz w:val="20"/>
          <w:szCs w:val="20"/>
        </w:rPr>
        <w:t>Least squares m</w:t>
      </w:r>
      <w:r w:rsidRPr="00A03EB8">
        <w:rPr>
          <w:rFonts w:ascii="Arial Narrow" w:hAnsi="Arial Narrow"/>
          <w:b/>
          <w:sz w:val="20"/>
          <w:szCs w:val="20"/>
        </w:rPr>
        <w:t>ean change in HFMSE score from baseline (multiple imputation) over time – ITT set, CHERISH trial</w:t>
      </w:r>
    </w:p>
    <w:p w:rsidR="001334D8" w:rsidRPr="00A03EB8" w:rsidRDefault="001334D8" w:rsidP="00AE540E">
      <w:pPr>
        <w:spacing w:before="0" w:after="120"/>
        <w:jc w:val="center"/>
      </w:pPr>
      <w:r w:rsidRPr="00101876">
        <w:rPr>
          <w:noProof/>
          <w:lang w:eastAsia="en-AU"/>
        </w:rPr>
        <w:drawing>
          <wp:inline distT="0" distB="0" distL="0" distR="0" wp14:anchorId="2941BDE9" wp14:editId="5A1F6397">
            <wp:extent cx="3885565" cy="2162943"/>
            <wp:effectExtent l="0" t="0" r="635" b="8890"/>
            <wp:docPr id="25" name="Picture 25" title="Figure 3: Least squares mean change in HFMSE score from baseline (multiple imputation) over time – ITT set, CHERISH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0807" cy="2171428"/>
                    </a:xfrm>
                    <a:prstGeom prst="rect">
                      <a:avLst/>
                    </a:prstGeom>
                    <a:noFill/>
                  </pic:spPr>
                </pic:pic>
              </a:graphicData>
            </a:graphic>
          </wp:inline>
        </w:drawing>
      </w:r>
    </w:p>
    <w:p w:rsidR="001334D8" w:rsidRPr="00A03EB8" w:rsidRDefault="001334D8" w:rsidP="007A3413">
      <w:pPr>
        <w:spacing w:before="0" w:after="120"/>
        <w:jc w:val="both"/>
        <w:rPr>
          <w:rFonts w:ascii="Arial Narrow" w:hAnsi="Arial Narrow"/>
          <w:sz w:val="18"/>
          <w:szCs w:val="18"/>
        </w:rPr>
      </w:pPr>
      <w:r w:rsidRPr="00DD06C2">
        <w:rPr>
          <w:rFonts w:ascii="Arial Narrow" w:hAnsi="Arial Narrow"/>
          <w:sz w:val="18"/>
          <w:szCs w:val="18"/>
        </w:rPr>
        <w:t>Source: Figure 2.5.12. p144 of the submission</w:t>
      </w:r>
    </w:p>
    <w:p w:rsidR="001334D8" w:rsidRPr="00A03EB8" w:rsidRDefault="001334D8" w:rsidP="005D071D">
      <w:pPr>
        <w:pStyle w:val="ListParagraph"/>
        <w:numPr>
          <w:ilvl w:val="1"/>
          <w:numId w:val="2"/>
        </w:numPr>
        <w:spacing w:before="0" w:after="120"/>
        <w:jc w:val="both"/>
      </w:pPr>
      <w:r w:rsidRPr="00A03EB8">
        <w:t>Consistent with the natural history of SMA, the results indicate that there was an overall decline in motor function in the sham-control group over time, whereas a difference between nusinersen and the sham-control group emerged</w:t>
      </w:r>
      <w:r w:rsidR="00004DCC" w:rsidRPr="00A03EB8">
        <w:t xml:space="preserve"> after 6 months</w:t>
      </w:r>
      <w:r w:rsidRPr="00A03EB8">
        <w:t>.</w:t>
      </w:r>
    </w:p>
    <w:p w:rsidR="001334D8" w:rsidRPr="00A03EB8" w:rsidRDefault="001334D8" w:rsidP="005D071D">
      <w:pPr>
        <w:pStyle w:val="ListParagraph"/>
        <w:numPr>
          <w:ilvl w:val="1"/>
          <w:numId w:val="2"/>
        </w:numPr>
        <w:spacing w:before="0" w:after="120"/>
        <w:jc w:val="both"/>
      </w:pPr>
      <w:r w:rsidRPr="00A03EB8">
        <w:t>For the secondary endpoint of a three-point increase in HFMSE score, results from the CHERISH trial indicated that at Month 15, a significantly higher proportion of patients treated with nusinersen achieved an increase of 3 or points in HFMSE score compared to sham-control (</w:t>
      </w:r>
      <w:r w:rsidRPr="00DD06C2">
        <w:t>56.8% vs. 26.3%,</w:t>
      </w:r>
      <w:r w:rsidRPr="00A03EB8">
        <w:t xml:space="preserve"> p=0.00006). </w:t>
      </w:r>
    </w:p>
    <w:p w:rsidR="007964A3" w:rsidRPr="00A03EB8" w:rsidRDefault="001334D8" w:rsidP="005D071D">
      <w:pPr>
        <w:pStyle w:val="ListParagraph"/>
        <w:numPr>
          <w:ilvl w:val="1"/>
          <w:numId w:val="2"/>
        </w:numPr>
        <w:spacing w:before="0" w:after="120"/>
        <w:jc w:val="both"/>
      </w:pPr>
      <w:r w:rsidRPr="00A03EB8">
        <w:t>The submission also presented an indirect comparison of data from the phase I study CS12 and data on the natural history of SMA in patients with Type</w:t>
      </w:r>
      <w:r w:rsidR="00844699" w:rsidRPr="00A03EB8">
        <w:t>s</w:t>
      </w:r>
      <w:r w:rsidRPr="00A03EB8">
        <w:t xml:space="preserve"> II and III SMA, although no statistical comparisons were presented. Based on this naïve comparison, it appeared that while motor function on average decreased in untreated patients, patients treated with nusinersen achieved maintenance or a small increase in motor function. </w:t>
      </w:r>
      <w:r w:rsidR="007964A3" w:rsidRPr="00A03EB8">
        <w:t xml:space="preserve"> </w:t>
      </w:r>
    </w:p>
    <w:p w:rsidR="001334D8" w:rsidRPr="00A03EB8" w:rsidRDefault="007964A3" w:rsidP="005D071D">
      <w:pPr>
        <w:pStyle w:val="ListParagraph"/>
        <w:numPr>
          <w:ilvl w:val="1"/>
          <w:numId w:val="2"/>
        </w:numPr>
        <w:spacing w:before="0" w:after="120"/>
        <w:jc w:val="both"/>
      </w:pPr>
      <w:r w:rsidRPr="00A03EB8">
        <w:t>The PBAC noted that w</w:t>
      </w:r>
      <w:r w:rsidR="001334D8" w:rsidRPr="00A03EB8">
        <w:t>hile this may suggest that nusinersen helps to prevent the decline in motor function that is typical for patients with Type II and III SMA without treatment, given the lack of a randomised comparison and the lack of a statistical analysis, both the existence of a benefit and the degree of any benefit of nusinersen in terms of motor function b</w:t>
      </w:r>
      <w:r w:rsidR="00AE540E" w:rsidRPr="00A03EB8">
        <w:t xml:space="preserve">ased on this data </w:t>
      </w:r>
      <w:r w:rsidR="00844699" w:rsidRPr="00A03EB8">
        <w:t xml:space="preserve">is </w:t>
      </w:r>
      <w:r w:rsidR="00AE540E" w:rsidRPr="00A03EB8">
        <w:t>unclear.</w:t>
      </w:r>
      <w:r w:rsidR="00BE2D2E" w:rsidRPr="00A03EB8">
        <w:t xml:space="preserve"> </w:t>
      </w:r>
      <w:r w:rsidR="00844699" w:rsidRPr="00352D6A">
        <w:t>T</w:t>
      </w:r>
      <w:r w:rsidR="00BE2D2E" w:rsidRPr="00352D6A">
        <w:t xml:space="preserve">he unknown distribution of Type IIIA and Type IIIB SMA in the CS12 study </w:t>
      </w:r>
      <w:r w:rsidR="00844699" w:rsidRPr="00352D6A">
        <w:t xml:space="preserve">also </w:t>
      </w:r>
      <w:r w:rsidR="00BE2D2E" w:rsidRPr="00352D6A">
        <w:t>limit</w:t>
      </w:r>
      <w:r w:rsidR="00844699" w:rsidRPr="00352D6A">
        <w:t>s</w:t>
      </w:r>
      <w:r w:rsidR="00BE2D2E" w:rsidRPr="00352D6A">
        <w:t xml:space="preserve"> the interpretation and comparison with natural history data.</w:t>
      </w:r>
      <w:r w:rsidR="00AE540E" w:rsidRPr="00A03EB8">
        <w:t xml:space="preserve"> </w:t>
      </w:r>
      <w:r w:rsidR="001334D8" w:rsidRPr="00A03EB8">
        <w:t xml:space="preserve">In addition, while the submission suggested that maintenance of motor function constitutes a </w:t>
      </w:r>
      <w:r w:rsidR="00BE2D2E" w:rsidRPr="00A03EB8">
        <w:t>minimally clinically important difference (</w:t>
      </w:r>
      <w:r w:rsidR="001334D8" w:rsidRPr="00A03EB8">
        <w:t>MCID</w:t>
      </w:r>
      <w:r w:rsidR="00BE2D2E" w:rsidRPr="00A03EB8">
        <w:t>)</w:t>
      </w:r>
      <w:r w:rsidR="001334D8" w:rsidRPr="00A03EB8">
        <w:t xml:space="preserve">, it did not present sufficient data to justify this assertion. </w:t>
      </w:r>
    </w:p>
    <w:p w:rsidR="007964A3" w:rsidRPr="00A03EB8" w:rsidRDefault="007964A3" w:rsidP="005D071D">
      <w:pPr>
        <w:pStyle w:val="ListParagraph"/>
        <w:numPr>
          <w:ilvl w:val="1"/>
          <w:numId w:val="2"/>
        </w:numPr>
        <w:spacing w:before="0" w:after="120"/>
        <w:jc w:val="both"/>
      </w:pPr>
      <w:r w:rsidRPr="00A03EB8">
        <w:t xml:space="preserve">The PBAC noted that the </w:t>
      </w:r>
      <w:r w:rsidR="003308CE" w:rsidRPr="00A03EB8">
        <w:t xml:space="preserve">CHERISH and C12 trials both </w:t>
      </w:r>
      <w:r w:rsidR="00FD629F" w:rsidRPr="00A03EB8">
        <w:t xml:space="preserve">utilised a </w:t>
      </w:r>
      <w:r w:rsidR="001C2FD5" w:rsidRPr="00A03EB8">
        <w:t xml:space="preserve">6 monthly dosing regimen whereas the Product Information recommends 4 monthly dosing.  The PBAC considered that the incremental benefit of using more frequent dosing in Types II and III SMA is unknown. </w:t>
      </w:r>
    </w:p>
    <w:p w:rsidR="001334D8" w:rsidRPr="00A03EB8" w:rsidRDefault="001334D8" w:rsidP="007A3413">
      <w:pPr>
        <w:pStyle w:val="Heading2"/>
        <w:jc w:val="both"/>
        <w:rPr>
          <w:i w:val="0"/>
        </w:rPr>
      </w:pPr>
      <w:bookmarkStart w:id="18" w:name="_Toc490533774"/>
      <w:r w:rsidRPr="00A03EB8">
        <w:rPr>
          <w:i w:val="0"/>
        </w:rPr>
        <w:t>Comparative harms</w:t>
      </w:r>
      <w:bookmarkEnd w:id="17"/>
      <w:bookmarkEnd w:id="18"/>
    </w:p>
    <w:p w:rsidR="00844699" w:rsidRPr="00352D6A" w:rsidRDefault="001334D8" w:rsidP="005D071D">
      <w:pPr>
        <w:pStyle w:val="ListParagraph"/>
        <w:numPr>
          <w:ilvl w:val="1"/>
          <w:numId w:val="2"/>
        </w:numPr>
        <w:spacing w:before="0" w:after="120"/>
        <w:jc w:val="both"/>
      </w:pPr>
      <w:r w:rsidRPr="00A03EB8">
        <w:t>The comparative harms for nusinersen and sham-control are summarised as follows: There were some variations in the</w:t>
      </w:r>
      <w:r w:rsidR="00664343" w:rsidRPr="00A03EB8">
        <w:t xml:space="preserve"> treatment-emergent adverse events</w:t>
      </w:r>
      <w:r w:rsidRPr="00A03EB8">
        <w:t xml:space="preserve"> </w:t>
      </w:r>
      <w:r w:rsidR="00664343" w:rsidRPr="00A03EB8">
        <w:t>(</w:t>
      </w:r>
      <w:r w:rsidRPr="00A03EB8">
        <w:t>TEAEs</w:t>
      </w:r>
      <w:r w:rsidR="00664343" w:rsidRPr="00A03EB8">
        <w:t>)</w:t>
      </w:r>
      <w:r w:rsidRPr="00A03EB8">
        <w:t xml:space="preserve"> </w:t>
      </w:r>
      <w:r w:rsidRPr="00A03EB8">
        <w:lastRenderedPageBreak/>
        <w:t>between treatment groups in the ENDEAR and CHERISH trials, but in general the results did not reveal that nusinersen was associated with greater annualised rates overall than sham-control in the ENDEAR trial</w:t>
      </w:r>
      <w:r w:rsidR="00844699" w:rsidRPr="00A03EB8">
        <w:t>.</w:t>
      </w:r>
      <w:r w:rsidRPr="00A03EB8">
        <w:t xml:space="preserve"> </w:t>
      </w:r>
      <w:r w:rsidR="00844699" w:rsidRPr="00A03EB8">
        <w:t>I</w:t>
      </w:r>
      <w:r w:rsidRPr="00A03EB8">
        <w:t>n the CHERISH trial</w:t>
      </w:r>
      <w:r w:rsidR="00844699" w:rsidRPr="00A03EB8">
        <w:t>,</w:t>
      </w:r>
      <w:r w:rsidRPr="00A03EB8">
        <w:t xml:space="preserve"> nusinersen was associated with a greater incidence of back pain and vomiting (</w:t>
      </w:r>
      <w:r w:rsidRPr="00795D7D">
        <w:t xml:space="preserve">annualised rates of </w:t>
      </w:r>
      <w:r w:rsidR="005F0590">
        <w:rPr>
          <w:noProof/>
          <w:color w:val="000000"/>
          <w:highlight w:val="black"/>
        </w:rPr>
        <w:t>'''''</w:t>
      </w:r>
      <w:r w:rsidRPr="00114D2F">
        <w:t xml:space="preserve">% for nusinersen versus </w:t>
      </w:r>
      <w:r w:rsidR="005F0590">
        <w:rPr>
          <w:noProof/>
          <w:color w:val="000000"/>
          <w:highlight w:val="black"/>
        </w:rPr>
        <w:t>'''</w:t>
      </w:r>
      <w:r w:rsidRPr="00114D2F">
        <w:t xml:space="preserve">% for sham-control for back pain, and </w:t>
      </w:r>
      <w:r w:rsidR="005F0590">
        <w:rPr>
          <w:noProof/>
          <w:color w:val="000000"/>
          <w:highlight w:val="black"/>
        </w:rPr>
        <w:t>'''''</w:t>
      </w:r>
      <w:r w:rsidRPr="00114D2F">
        <w:t xml:space="preserve">% versus </w:t>
      </w:r>
      <w:r w:rsidR="005F0590">
        <w:rPr>
          <w:noProof/>
          <w:color w:val="000000"/>
          <w:highlight w:val="black"/>
        </w:rPr>
        <w:t>'''</w:t>
      </w:r>
      <w:r w:rsidRPr="00114D2F">
        <w:t>% for vomiting respectively</w:t>
      </w:r>
      <w:r w:rsidRPr="00A03EB8">
        <w:t>).</w:t>
      </w:r>
      <w:r w:rsidR="00F54859" w:rsidRPr="00A03EB8">
        <w:rPr>
          <w:i/>
        </w:rPr>
        <w:t xml:space="preserve"> </w:t>
      </w:r>
    </w:p>
    <w:p w:rsidR="001334D8" w:rsidRPr="00A03EB8" w:rsidRDefault="00F54859" w:rsidP="005D071D">
      <w:pPr>
        <w:pStyle w:val="ListParagraph"/>
        <w:numPr>
          <w:ilvl w:val="1"/>
          <w:numId w:val="2"/>
        </w:numPr>
        <w:spacing w:before="0" w:after="120"/>
        <w:jc w:val="both"/>
      </w:pPr>
      <w:r w:rsidRPr="00A03EB8">
        <w:t xml:space="preserve">The </w:t>
      </w:r>
      <w:r w:rsidR="001C2FD5" w:rsidRPr="00352D6A">
        <w:t>PBAC</w:t>
      </w:r>
      <w:r w:rsidR="001C2FD5" w:rsidRPr="00A03EB8">
        <w:t xml:space="preserve"> </w:t>
      </w:r>
      <w:r w:rsidRPr="00A03EB8">
        <w:t xml:space="preserve">noted that maintenance doses in the CHERISH trial </w:t>
      </w:r>
      <w:r w:rsidR="00393057" w:rsidRPr="00A03EB8">
        <w:t>were administered every 6</w:t>
      </w:r>
      <w:r w:rsidR="001966D3" w:rsidRPr="00A03EB8">
        <w:t xml:space="preserve"> </w:t>
      </w:r>
      <w:r w:rsidR="00393057" w:rsidRPr="00A03EB8">
        <w:t xml:space="preserve">months in comparison to the </w:t>
      </w:r>
      <w:r w:rsidR="00011162" w:rsidRPr="00A03EB8">
        <w:t>4</w:t>
      </w:r>
      <w:r w:rsidR="00320606" w:rsidRPr="00A03EB8">
        <w:t xml:space="preserve"> </w:t>
      </w:r>
      <w:r w:rsidR="00E24C4C" w:rsidRPr="00A03EB8">
        <w:t xml:space="preserve">monthly doses recommended in the draft Product Information. </w:t>
      </w:r>
      <w:r w:rsidR="001966D3" w:rsidRPr="00A03EB8">
        <w:t xml:space="preserve">The </w:t>
      </w:r>
      <w:r w:rsidR="001C2FD5" w:rsidRPr="00352D6A">
        <w:t>PBAC</w:t>
      </w:r>
      <w:r w:rsidR="001C2FD5" w:rsidRPr="00A03EB8">
        <w:t xml:space="preserve"> </w:t>
      </w:r>
      <w:r w:rsidR="001966D3" w:rsidRPr="00A03EB8">
        <w:t>considered that in</w:t>
      </w:r>
      <w:r w:rsidR="00346086" w:rsidRPr="00A03EB8">
        <w:t xml:space="preserve"> clinical</w:t>
      </w:r>
      <w:r w:rsidR="001966D3" w:rsidRPr="00A03EB8">
        <w:t xml:space="preserve"> practice</w:t>
      </w:r>
      <w:r w:rsidR="00016BBF" w:rsidRPr="00A03EB8">
        <w:t>,</w:t>
      </w:r>
      <w:r w:rsidR="001966D3" w:rsidRPr="00A03EB8">
        <w:t xml:space="preserve"> the rate of adverse events may be higher than those reported in the CHERISH trial based on more frequent administration</w:t>
      </w:r>
      <w:r w:rsidR="00016BBF" w:rsidRPr="00A03EB8">
        <w:t>s</w:t>
      </w:r>
      <w:r w:rsidR="001966D3" w:rsidRPr="00A03EB8">
        <w:t>.</w:t>
      </w:r>
    </w:p>
    <w:p w:rsidR="001334D8" w:rsidRPr="00A03EB8" w:rsidRDefault="001334D8" w:rsidP="005D071D">
      <w:pPr>
        <w:pStyle w:val="ListParagraph"/>
        <w:numPr>
          <w:ilvl w:val="1"/>
          <w:numId w:val="2"/>
        </w:numPr>
        <w:spacing w:before="0" w:after="120"/>
        <w:jc w:val="both"/>
      </w:pPr>
      <w:r w:rsidRPr="00A03EB8">
        <w:t xml:space="preserve">While adverse event rates appeared similar for sham-control compared to nusinersen in the ENDEAR and CHERISH trials, in clinical practice </w:t>
      </w:r>
      <w:r w:rsidRPr="00114D2F">
        <w:t>patients</w:t>
      </w:r>
      <w:r w:rsidRPr="00A03EB8">
        <w:t xml:space="preserve"> will receive standard care without a sham-control procedure and there are likely to be reactions associated with administration via lumbar puncture, including a risk of infection that would not occur in patients who receive standard care.  </w:t>
      </w:r>
    </w:p>
    <w:p w:rsidR="001334D8" w:rsidRPr="00A03EB8" w:rsidRDefault="001334D8" w:rsidP="007A3413">
      <w:pPr>
        <w:pStyle w:val="Heading2"/>
        <w:jc w:val="both"/>
        <w:rPr>
          <w:i w:val="0"/>
        </w:rPr>
      </w:pPr>
      <w:bookmarkStart w:id="19" w:name="_Toc490533775"/>
      <w:bookmarkStart w:id="20" w:name="_Toc413139281"/>
      <w:r w:rsidRPr="00A03EB8">
        <w:rPr>
          <w:i w:val="0"/>
        </w:rPr>
        <w:t>Benefits and harms</w:t>
      </w:r>
      <w:bookmarkEnd w:id="19"/>
    </w:p>
    <w:p w:rsidR="001334D8" w:rsidRPr="00A03EB8" w:rsidRDefault="001334D8" w:rsidP="005D071D">
      <w:pPr>
        <w:pStyle w:val="ListParagraph"/>
        <w:numPr>
          <w:ilvl w:val="1"/>
          <w:numId w:val="2"/>
        </w:numPr>
        <w:spacing w:before="0" w:after="120"/>
        <w:jc w:val="both"/>
      </w:pPr>
      <w:r w:rsidRPr="00A03EB8">
        <w:t xml:space="preserve">A summary of the comparative benefits and harms for nusinersen versus sham-control is presented in </w:t>
      </w:r>
      <w:r w:rsidR="00AE540E" w:rsidRPr="00A03EB8">
        <w:t>Table 9</w:t>
      </w:r>
      <w:r w:rsidRPr="00A03EB8">
        <w:t xml:space="preserve">. </w:t>
      </w:r>
    </w:p>
    <w:p w:rsidR="001334D8" w:rsidRPr="00A03EB8" w:rsidRDefault="001334D8" w:rsidP="007A3413">
      <w:pPr>
        <w:pStyle w:val="TableHeading0"/>
        <w:jc w:val="both"/>
      </w:pPr>
      <w:r w:rsidRPr="00A03EB8">
        <w:t xml:space="preserve">Table </w:t>
      </w:r>
      <w:r w:rsidR="00AE540E" w:rsidRPr="00A03EB8">
        <w:t>9</w:t>
      </w:r>
      <w:r w:rsidRPr="00A03EB8">
        <w:t>: Summary of comparative benefits and harms for nusinersen and sham-control</w:t>
      </w:r>
    </w:p>
    <w:tbl>
      <w:tblPr>
        <w:tblStyle w:val="TableGrid"/>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Summary of comparative benefits and harms for nusinersen and sham-control"/>
      </w:tblPr>
      <w:tblGrid>
        <w:gridCol w:w="1249"/>
        <w:gridCol w:w="430"/>
        <w:gridCol w:w="143"/>
        <w:gridCol w:w="572"/>
        <w:gridCol w:w="1003"/>
        <w:gridCol w:w="143"/>
        <w:gridCol w:w="653"/>
        <w:gridCol w:w="483"/>
        <w:gridCol w:w="296"/>
        <w:gridCol w:w="1140"/>
        <w:gridCol w:w="421"/>
        <w:gridCol w:w="604"/>
        <w:gridCol w:w="259"/>
        <w:gridCol w:w="1677"/>
      </w:tblGrid>
      <w:tr w:rsidR="001334D8" w:rsidRPr="00A03EB8" w:rsidTr="00625BD2">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14"/>
            <w:shd w:val="clear" w:color="auto" w:fill="auto"/>
            <w:vAlign w:val="center"/>
          </w:tcPr>
          <w:p w:rsidR="001334D8" w:rsidRPr="00A03EB8" w:rsidRDefault="001334D8" w:rsidP="007A3413">
            <w:pPr>
              <w:pStyle w:val="TableText"/>
              <w:jc w:val="both"/>
              <w:rPr>
                <w:u w:val="single"/>
              </w:rPr>
            </w:pPr>
            <w:r w:rsidRPr="00A03EB8">
              <w:rPr>
                <w:u w:val="single"/>
              </w:rPr>
              <w:t>Benefits</w:t>
            </w:r>
          </w:p>
        </w:tc>
      </w:tr>
      <w:tr w:rsidR="001334D8" w:rsidRPr="00A03EB8" w:rsidTr="00880BEE">
        <w:trPr>
          <w:trHeight w:val="150"/>
        </w:trPr>
        <w:tc>
          <w:tcPr>
            <w:tcW w:w="5000" w:type="pct"/>
            <w:gridSpan w:val="14"/>
            <w:shd w:val="clear" w:color="auto" w:fill="auto"/>
            <w:vAlign w:val="center"/>
          </w:tcPr>
          <w:p w:rsidR="001334D8" w:rsidRPr="00A03EB8" w:rsidRDefault="001334D8" w:rsidP="007A3413">
            <w:pPr>
              <w:pStyle w:val="TableText"/>
              <w:jc w:val="both"/>
            </w:pPr>
            <w:r w:rsidRPr="00A03EB8">
              <w:rPr>
                <w:b/>
              </w:rPr>
              <w:t>Motor milestone responder</w:t>
            </w:r>
          </w:p>
        </w:tc>
      </w:tr>
      <w:tr w:rsidR="00AE540E" w:rsidRPr="00A03EB8" w:rsidTr="00AE540E">
        <w:trPr>
          <w:trHeight w:val="150"/>
        </w:trPr>
        <w:tc>
          <w:tcPr>
            <w:tcW w:w="688" w:type="pct"/>
            <w:vMerge w:val="restart"/>
            <w:shd w:val="clear" w:color="auto" w:fill="auto"/>
            <w:vAlign w:val="center"/>
          </w:tcPr>
          <w:p w:rsidR="001334D8" w:rsidRPr="00A03EB8" w:rsidRDefault="001334D8" w:rsidP="007A3413">
            <w:pPr>
              <w:pStyle w:val="TableText"/>
              <w:jc w:val="both"/>
              <w:rPr>
                <w:b/>
              </w:rPr>
            </w:pPr>
            <w:r w:rsidRPr="00A03EB8">
              <w:rPr>
                <w:b/>
              </w:rPr>
              <w:t>Trial</w:t>
            </w:r>
          </w:p>
        </w:tc>
        <w:tc>
          <w:tcPr>
            <w:tcW w:w="631" w:type="pct"/>
            <w:gridSpan w:val="3"/>
            <w:vMerge w:val="restart"/>
            <w:shd w:val="clear" w:color="auto" w:fill="auto"/>
            <w:vAlign w:val="center"/>
          </w:tcPr>
          <w:p w:rsidR="001334D8" w:rsidRPr="00A03EB8" w:rsidRDefault="001334D8" w:rsidP="009D512D">
            <w:pPr>
              <w:pStyle w:val="TableText"/>
              <w:jc w:val="center"/>
              <w:rPr>
                <w:b/>
              </w:rPr>
            </w:pPr>
            <w:r w:rsidRPr="00A03EB8">
              <w:rPr>
                <w:b/>
              </w:rPr>
              <w:t>Nusinersen</w:t>
            </w:r>
          </w:p>
        </w:tc>
        <w:tc>
          <w:tcPr>
            <w:tcW w:w="632" w:type="pct"/>
            <w:gridSpan w:val="2"/>
            <w:vMerge w:val="restart"/>
            <w:shd w:val="clear" w:color="auto" w:fill="auto"/>
            <w:vAlign w:val="center"/>
          </w:tcPr>
          <w:p w:rsidR="001334D8" w:rsidRPr="00A03EB8" w:rsidRDefault="001334D8" w:rsidP="009D512D">
            <w:pPr>
              <w:pStyle w:val="TableText"/>
              <w:jc w:val="center"/>
              <w:rPr>
                <w:b/>
              </w:rPr>
            </w:pPr>
            <w:r w:rsidRPr="00A03EB8">
              <w:rPr>
                <w:b/>
              </w:rPr>
              <w:t>Sham-control</w:t>
            </w:r>
            <w:r w:rsidR="0040015D" w:rsidRPr="00A03EB8">
              <w:rPr>
                <w:b/>
              </w:rPr>
              <w:t>s</w:t>
            </w:r>
          </w:p>
        </w:tc>
        <w:tc>
          <w:tcPr>
            <w:tcW w:w="789" w:type="pct"/>
            <w:gridSpan w:val="3"/>
            <w:vMerge w:val="restart"/>
            <w:shd w:val="clear" w:color="auto" w:fill="auto"/>
            <w:vAlign w:val="center"/>
          </w:tcPr>
          <w:p w:rsidR="001334D8" w:rsidRPr="00A03EB8" w:rsidRDefault="001334D8" w:rsidP="009D512D">
            <w:pPr>
              <w:pStyle w:val="TableText"/>
              <w:jc w:val="center"/>
              <w:rPr>
                <w:b/>
              </w:rPr>
            </w:pPr>
            <w:r w:rsidRPr="00A03EB8">
              <w:rPr>
                <w:b/>
              </w:rPr>
              <w:t>RR</w:t>
            </w:r>
          </w:p>
          <w:p w:rsidR="001334D8" w:rsidRPr="00A03EB8" w:rsidRDefault="001334D8" w:rsidP="009D512D">
            <w:pPr>
              <w:pStyle w:val="TableText"/>
              <w:jc w:val="center"/>
              <w:rPr>
                <w:b/>
              </w:rPr>
            </w:pPr>
            <w:r w:rsidRPr="00A03EB8">
              <w:rPr>
                <w:b/>
              </w:rPr>
              <w:t>(95% CI)</w:t>
            </w:r>
          </w:p>
        </w:tc>
        <w:tc>
          <w:tcPr>
            <w:tcW w:w="1336" w:type="pct"/>
            <w:gridSpan w:val="4"/>
            <w:shd w:val="clear" w:color="auto" w:fill="auto"/>
            <w:vAlign w:val="center"/>
          </w:tcPr>
          <w:p w:rsidR="001334D8" w:rsidRPr="00A03EB8" w:rsidRDefault="001334D8" w:rsidP="009D512D">
            <w:pPr>
              <w:pStyle w:val="TableText"/>
              <w:jc w:val="center"/>
              <w:rPr>
                <w:b/>
              </w:rPr>
            </w:pPr>
            <w:r w:rsidRPr="00A03EB8">
              <w:rPr>
                <w:b/>
              </w:rPr>
              <w:t>Events/100 patients</w:t>
            </w:r>
          </w:p>
        </w:tc>
        <w:tc>
          <w:tcPr>
            <w:tcW w:w="924" w:type="pct"/>
            <w:vMerge w:val="restart"/>
            <w:shd w:val="clear" w:color="auto" w:fill="auto"/>
            <w:vAlign w:val="center"/>
          </w:tcPr>
          <w:p w:rsidR="001334D8" w:rsidRPr="00A03EB8" w:rsidRDefault="001334D8" w:rsidP="009D512D">
            <w:pPr>
              <w:pStyle w:val="TableText"/>
              <w:jc w:val="center"/>
              <w:rPr>
                <w:b/>
              </w:rPr>
            </w:pPr>
            <w:r w:rsidRPr="00A03EB8">
              <w:rPr>
                <w:b/>
              </w:rPr>
              <w:t>RD</w:t>
            </w:r>
          </w:p>
          <w:p w:rsidR="001334D8" w:rsidRPr="00A03EB8" w:rsidRDefault="001334D8" w:rsidP="009D512D">
            <w:pPr>
              <w:pStyle w:val="TableText"/>
              <w:jc w:val="center"/>
              <w:rPr>
                <w:b/>
              </w:rPr>
            </w:pPr>
            <w:r w:rsidRPr="00A03EB8">
              <w:rPr>
                <w:b/>
              </w:rPr>
              <w:t>(95% CI)</w:t>
            </w:r>
          </w:p>
        </w:tc>
      </w:tr>
      <w:tr w:rsidR="00AE540E" w:rsidRPr="00A03EB8" w:rsidTr="00AE540E">
        <w:trPr>
          <w:trHeight w:val="315"/>
        </w:trPr>
        <w:tc>
          <w:tcPr>
            <w:tcW w:w="688" w:type="pct"/>
            <w:vMerge/>
            <w:shd w:val="clear" w:color="auto" w:fill="auto"/>
            <w:vAlign w:val="center"/>
          </w:tcPr>
          <w:p w:rsidR="001334D8" w:rsidRPr="00A03EB8" w:rsidRDefault="001334D8" w:rsidP="007A3413">
            <w:pPr>
              <w:pStyle w:val="TableText"/>
              <w:jc w:val="both"/>
            </w:pPr>
          </w:p>
        </w:tc>
        <w:tc>
          <w:tcPr>
            <w:tcW w:w="631" w:type="pct"/>
            <w:gridSpan w:val="3"/>
            <w:vMerge/>
            <w:shd w:val="clear" w:color="auto" w:fill="auto"/>
            <w:vAlign w:val="center"/>
          </w:tcPr>
          <w:p w:rsidR="001334D8" w:rsidRPr="00A03EB8" w:rsidRDefault="001334D8" w:rsidP="009D512D">
            <w:pPr>
              <w:pStyle w:val="TableText"/>
              <w:jc w:val="center"/>
            </w:pPr>
          </w:p>
        </w:tc>
        <w:tc>
          <w:tcPr>
            <w:tcW w:w="632" w:type="pct"/>
            <w:gridSpan w:val="2"/>
            <w:vMerge/>
            <w:shd w:val="clear" w:color="auto" w:fill="auto"/>
            <w:vAlign w:val="center"/>
          </w:tcPr>
          <w:p w:rsidR="001334D8" w:rsidRPr="00A03EB8" w:rsidRDefault="001334D8" w:rsidP="009D512D">
            <w:pPr>
              <w:pStyle w:val="TableText"/>
              <w:jc w:val="center"/>
            </w:pPr>
          </w:p>
        </w:tc>
        <w:tc>
          <w:tcPr>
            <w:tcW w:w="789" w:type="pct"/>
            <w:gridSpan w:val="3"/>
            <w:vMerge/>
            <w:shd w:val="clear" w:color="auto" w:fill="auto"/>
            <w:vAlign w:val="center"/>
          </w:tcPr>
          <w:p w:rsidR="001334D8" w:rsidRPr="00A03EB8" w:rsidRDefault="001334D8" w:rsidP="009D512D">
            <w:pPr>
              <w:pStyle w:val="TableText"/>
              <w:jc w:val="center"/>
            </w:pPr>
          </w:p>
        </w:tc>
        <w:tc>
          <w:tcPr>
            <w:tcW w:w="628" w:type="pct"/>
            <w:shd w:val="clear" w:color="auto" w:fill="auto"/>
            <w:vAlign w:val="center"/>
          </w:tcPr>
          <w:p w:rsidR="001334D8" w:rsidRPr="00A03EB8" w:rsidRDefault="001334D8" w:rsidP="009D512D">
            <w:pPr>
              <w:pStyle w:val="TableText"/>
              <w:jc w:val="center"/>
              <w:rPr>
                <w:b/>
              </w:rPr>
            </w:pPr>
            <w:r w:rsidRPr="00A03EB8">
              <w:rPr>
                <w:b/>
              </w:rPr>
              <w:t>Nusinersen</w:t>
            </w:r>
          </w:p>
        </w:tc>
        <w:tc>
          <w:tcPr>
            <w:tcW w:w="708" w:type="pct"/>
            <w:gridSpan w:val="3"/>
            <w:shd w:val="clear" w:color="auto" w:fill="auto"/>
            <w:vAlign w:val="center"/>
          </w:tcPr>
          <w:p w:rsidR="001334D8" w:rsidRPr="00A03EB8" w:rsidRDefault="001334D8" w:rsidP="009D512D">
            <w:pPr>
              <w:pStyle w:val="TableText"/>
              <w:jc w:val="center"/>
              <w:rPr>
                <w:b/>
              </w:rPr>
            </w:pPr>
            <w:r w:rsidRPr="00A03EB8">
              <w:rPr>
                <w:b/>
              </w:rPr>
              <w:t>Sham-control</w:t>
            </w:r>
            <w:r w:rsidR="0040015D" w:rsidRPr="00A03EB8">
              <w:rPr>
                <w:b/>
              </w:rPr>
              <w:t>s</w:t>
            </w:r>
          </w:p>
        </w:tc>
        <w:tc>
          <w:tcPr>
            <w:tcW w:w="924" w:type="pct"/>
            <w:vMerge/>
            <w:shd w:val="clear" w:color="auto" w:fill="auto"/>
            <w:vAlign w:val="center"/>
          </w:tcPr>
          <w:p w:rsidR="001334D8" w:rsidRPr="00A03EB8" w:rsidRDefault="001334D8" w:rsidP="009D512D">
            <w:pPr>
              <w:pStyle w:val="TableText"/>
              <w:jc w:val="center"/>
            </w:pPr>
          </w:p>
        </w:tc>
      </w:tr>
      <w:tr w:rsidR="00AE540E" w:rsidRPr="00A03EB8" w:rsidTr="00AE540E">
        <w:tc>
          <w:tcPr>
            <w:tcW w:w="688" w:type="pct"/>
            <w:shd w:val="clear" w:color="auto" w:fill="auto"/>
            <w:vAlign w:val="center"/>
          </w:tcPr>
          <w:p w:rsidR="001334D8" w:rsidRPr="00A03EB8" w:rsidRDefault="001334D8" w:rsidP="007A3413">
            <w:pPr>
              <w:pStyle w:val="TableText"/>
              <w:jc w:val="both"/>
            </w:pPr>
            <w:r w:rsidRPr="00A03EB8">
              <w:t>ENDEAR*</w:t>
            </w:r>
          </w:p>
        </w:tc>
        <w:tc>
          <w:tcPr>
            <w:tcW w:w="631" w:type="pct"/>
            <w:gridSpan w:val="3"/>
            <w:shd w:val="clear" w:color="auto" w:fill="auto"/>
            <w:vAlign w:val="center"/>
          </w:tcPr>
          <w:p w:rsidR="001334D8" w:rsidRPr="00A03EB8" w:rsidRDefault="001334D8" w:rsidP="009D512D">
            <w:pPr>
              <w:pStyle w:val="TableText"/>
              <w:jc w:val="center"/>
            </w:pPr>
            <w:r w:rsidRPr="00A03EB8">
              <w:t>37/73</w:t>
            </w:r>
          </w:p>
        </w:tc>
        <w:tc>
          <w:tcPr>
            <w:tcW w:w="632" w:type="pct"/>
            <w:gridSpan w:val="2"/>
            <w:shd w:val="clear" w:color="auto" w:fill="auto"/>
            <w:vAlign w:val="center"/>
          </w:tcPr>
          <w:p w:rsidR="001334D8" w:rsidRPr="00A03EB8" w:rsidRDefault="001334D8" w:rsidP="009D512D">
            <w:pPr>
              <w:pStyle w:val="TableText"/>
              <w:jc w:val="center"/>
            </w:pPr>
            <w:r w:rsidRPr="00A03EB8">
              <w:t>0/37</w:t>
            </w:r>
          </w:p>
        </w:tc>
        <w:tc>
          <w:tcPr>
            <w:tcW w:w="789" w:type="pct"/>
            <w:gridSpan w:val="3"/>
            <w:shd w:val="clear" w:color="auto" w:fill="auto"/>
            <w:vAlign w:val="center"/>
          </w:tcPr>
          <w:p w:rsidR="001334D8" w:rsidRPr="00A03EB8" w:rsidRDefault="001334D8" w:rsidP="009D512D">
            <w:pPr>
              <w:pStyle w:val="TableText"/>
              <w:jc w:val="center"/>
            </w:pPr>
            <w:r w:rsidRPr="00A03EB8">
              <w:t>Not calculable</w:t>
            </w:r>
          </w:p>
        </w:tc>
        <w:tc>
          <w:tcPr>
            <w:tcW w:w="628" w:type="pct"/>
            <w:shd w:val="clear" w:color="auto" w:fill="auto"/>
            <w:vAlign w:val="center"/>
          </w:tcPr>
          <w:p w:rsidR="001334D8" w:rsidRPr="00A03EB8" w:rsidRDefault="001334D8" w:rsidP="009D512D">
            <w:pPr>
              <w:pStyle w:val="TableText"/>
              <w:jc w:val="center"/>
            </w:pPr>
            <w:r w:rsidRPr="00A03EB8">
              <w:t>50.7</w:t>
            </w:r>
          </w:p>
        </w:tc>
        <w:tc>
          <w:tcPr>
            <w:tcW w:w="708" w:type="pct"/>
            <w:gridSpan w:val="3"/>
            <w:shd w:val="clear" w:color="auto" w:fill="auto"/>
            <w:vAlign w:val="center"/>
          </w:tcPr>
          <w:p w:rsidR="001334D8" w:rsidRPr="00A03EB8" w:rsidRDefault="001334D8" w:rsidP="009D512D">
            <w:pPr>
              <w:pStyle w:val="TableText"/>
              <w:jc w:val="center"/>
            </w:pPr>
            <w:r w:rsidRPr="00A03EB8">
              <w:t>0</w:t>
            </w:r>
          </w:p>
        </w:tc>
        <w:tc>
          <w:tcPr>
            <w:tcW w:w="924" w:type="pct"/>
            <w:shd w:val="clear" w:color="auto" w:fill="auto"/>
            <w:vAlign w:val="center"/>
          </w:tcPr>
          <w:p w:rsidR="001334D8" w:rsidRPr="00A03EB8" w:rsidRDefault="001334D8" w:rsidP="009D512D">
            <w:pPr>
              <w:pStyle w:val="TableText"/>
              <w:jc w:val="center"/>
            </w:pPr>
            <w:r w:rsidRPr="00A03EB8">
              <w:t>0.507 (0.318, 0.665)</w:t>
            </w:r>
          </w:p>
        </w:tc>
      </w:tr>
      <w:tr w:rsidR="001334D8" w:rsidRPr="00A03EB8" w:rsidTr="00880BEE">
        <w:tc>
          <w:tcPr>
            <w:tcW w:w="5000" w:type="pct"/>
            <w:gridSpan w:val="14"/>
            <w:shd w:val="clear" w:color="auto" w:fill="auto"/>
            <w:vAlign w:val="center"/>
          </w:tcPr>
          <w:p w:rsidR="001334D8" w:rsidRPr="00A03EB8" w:rsidRDefault="001334D8" w:rsidP="007A3413">
            <w:pPr>
              <w:pStyle w:val="TableText"/>
              <w:jc w:val="both"/>
              <w:rPr>
                <w:b/>
              </w:rPr>
            </w:pPr>
            <w:r w:rsidRPr="00A03EB8">
              <w:rPr>
                <w:b/>
              </w:rPr>
              <w:t>Continuous Outcome I: Change from Baseline to Month 15 in HFMSE score</w:t>
            </w:r>
          </w:p>
        </w:tc>
      </w:tr>
      <w:tr w:rsidR="001334D8" w:rsidRPr="00A03EB8" w:rsidTr="00AE540E">
        <w:trPr>
          <w:trHeight w:val="225"/>
        </w:trPr>
        <w:tc>
          <w:tcPr>
            <w:tcW w:w="688" w:type="pct"/>
            <w:vMerge w:val="restart"/>
            <w:shd w:val="clear" w:color="auto" w:fill="auto"/>
            <w:vAlign w:val="center"/>
          </w:tcPr>
          <w:p w:rsidR="001334D8" w:rsidRPr="00A03EB8" w:rsidRDefault="001334D8" w:rsidP="007A3413">
            <w:pPr>
              <w:pStyle w:val="TableText"/>
              <w:jc w:val="both"/>
              <w:rPr>
                <w:b/>
              </w:rPr>
            </w:pPr>
            <w:r w:rsidRPr="00A03EB8">
              <w:rPr>
                <w:b/>
              </w:rPr>
              <w:t>Trial</w:t>
            </w:r>
          </w:p>
        </w:tc>
        <w:tc>
          <w:tcPr>
            <w:tcW w:w="1623" w:type="pct"/>
            <w:gridSpan w:val="6"/>
            <w:shd w:val="clear" w:color="auto" w:fill="auto"/>
            <w:vAlign w:val="center"/>
          </w:tcPr>
          <w:p w:rsidR="001334D8" w:rsidRPr="00A03EB8" w:rsidRDefault="001334D8" w:rsidP="009D512D">
            <w:pPr>
              <w:pStyle w:val="TableText"/>
              <w:jc w:val="center"/>
              <w:rPr>
                <w:b/>
              </w:rPr>
            </w:pPr>
            <w:r w:rsidRPr="00A03EB8">
              <w:rPr>
                <w:b/>
              </w:rPr>
              <w:t>Nusinersen</w:t>
            </w:r>
          </w:p>
        </w:tc>
        <w:tc>
          <w:tcPr>
            <w:tcW w:w="1622" w:type="pct"/>
            <w:gridSpan w:val="5"/>
            <w:shd w:val="clear" w:color="auto" w:fill="auto"/>
            <w:vAlign w:val="center"/>
          </w:tcPr>
          <w:p w:rsidR="001334D8" w:rsidRPr="00A03EB8" w:rsidRDefault="001334D8" w:rsidP="009D512D">
            <w:pPr>
              <w:pStyle w:val="TableText"/>
              <w:jc w:val="center"/>
              <w:rPr>
                <w:b/>
              </w:rPr>
            </w:pPr>
            <w:r w:rsidRPr="00A03EB8">
              <w:rPr>
                <w:b/>
              </w:rPr>
              <w:t>Sham-control</w:t>
            </w:r>
            <w:r w:rsidR="0040015D" w:rsidRPr="00A03EB8">
              <w:rPr>
                <w:b/>
              </w:rPr>
              <w:t>s</w:t>
            </w:r>
          </w:p>
        </w:tc>
        <w:tc>
          <w:tcPr>
            <w:tcW w:w="1067" w:type="pct"/>
            <w:gridSpan w:val="2"/>
            <w:vMerge w:val="restart"/>
            <w:shd w:val="clear" w:color="auto" w:fill="auto"/>
            <w:vAlign w:val="center"/>
          </w:tcPr>
          <w:p w:rsidR="001334D8" w:rsidRPr="00A03EB8" w:rsidRDefault="00982110" w:rsidP="00AE540E">
            <w:pPr>
              <w:pStyle w:val="TableText"/>
              <w:jc w:val="center"/>
            </w:pPr>
            <w:r w:rsidRPr="00A03EB8">
              <w:rPr>
                <w:b/>
              </w:rPr>
              <w:t>Least squares m</w:t>
            </w:r>
            <w:r w:rsidR="001334D8" w:rsidRPr="00A03EB8">
              <w:rPr>
                <w:b/>
              </w:rPr>
              <w:t>ean difference*</w:t>
            </w:r>
          </w:p>
        </w:tc>
      </w:tr>
      <w:tr w:rsidR="00AE540E" w:rsidRPr="00A03EB8" w:rsidTr="00AE540E">
        <w:trPr>
          <w:trHeight w:val="225"/>
        </w:trPr>
        <w:tc>
          <w:tcPr>
            <w:tcW w:w="688" w:type="pct"/>
            <w:vMerge/>
            <w:shd w:val="clear" w:color="auto" w:fill="auto"/>
            <w:vAlign w:val="center"/>
          </w:tcPr>
          <w:p w:rsidR="001334D8" w:rsidRPr="00A03EB8" w:rsidRDefault="001334D8" w:rsidP="007A3413">
            <w:pPr>
              <w:pStyle w:val="TableText"/>
              <w:jc w:val="both"/>
            </w:pPr>
          </w:p>
        </w:tc>
        <w:tc>
          <w:tcPr>
            <w:tcW w:w="237" w:type="pct"/>
            <w:shd w:val="clear" w:color="auto" w:fill="auto"/>
            <w:vAlign w:val="center"/>
          </w:tcPr>
          <w:p w:rsidR="001334D8" w:rsidRPr="00A03EB8" w:rsidRDefault="001334D8" w:rsidP="00AE540E">
            <w:pPr>
              <w:pStyle w:val="TableText"/>
              <w:jc w:val="center"/>
              <w:rPr>
                <w:b/>
              </w:rPr>
            </w:pPr>
            <w:r w:rsidRPr="00A03EB8">
              <w:rPr>
                <w:b/>
              </w:rPr>
              <w:t>n</w:t>
            </w:r>
          </w:p>
        </w:tc>
        <w:tc>
          <w:tcPr>
            <w:tcW w:w="1025" w:type="pct"/>
            <w:gridSpan w:val="4"/>
            <w:shd w:val="clear" w:color="auto" w:fill="auto"/>
            <w:vAlign w:val="center"/>
          </w:tcPr>
          <w:p w:rsidR="001334D8" w:rsidRPr="00A03EB8" w:rsidRDefault="00982110" w:rsidP="00982110">
            <w:pPr>
              <w:pStyle w:val="TableText"/>
              <w:jc w:val="center"/>
              <w:rPr>
                <w:b/>
              </w:rPr>
            </w:pPr>
            <w:r w:rsidRPr="00A03EB8">
              <w:rPr>
                <w:b/>
              </w:rPr>
              <w:t>Least squares m</w:t>
            </w:r>
            <w:r w:rsidR="001334D8" w:rsidRPr="00A03EB8">
              <w:rPr>
                <w:b/>
              </w:rPr>
              <w:t xml:space="preserve">ean ∆ Baseline HFMSE </w:t>
            </w:r>
          </w:p>
        </w:tc>
        <w:tc>
          <w:tcPr>
            <w:tcW w:w="360" w:type="pct"/>
            <w:shd w:val="clear" w:color="auto" w:fill="auto"/>
            <w:vAlign w:val="center"/>
          </w:tcPr>
          <w:p w:rsidR="001334D8" w:rsidRPr="00A03EB8" w:rsidRDefault="001334D8" w:rsidP="009D512D">
            <w:pPr>
              <w:pStyle w:val="TableText"/>
              <w:jc w:val="center"/>
              <w:rPr>
                <w:b/>
              </w:rPr>
            </w:pPr>
            <w:r w:rsidRPr="00A03EB8">
              <w:rPr>
                <w:b/>
              </w:rPr>
              <w:t>SE</w:t>
            </w:r>
          </w:p>
        </w:tc>
        <w:tc>
          <w:tcPr>
            <w:tcW w:w="266" w:type="pct"/>
            <w:shd w:val="clear" w:color="auto" w:fill="auto"/>
            <w:vAlign w:val="center"/>
          </w:tcPr>
          <w:p w:rsidR="001334D8" w:rsidRPr="00A03EB8" w:rsidRDefault="001334D8" w:rsidP="009D512D">
            <w:pPr>
              <w:pStyle w:val="TableText"/>
              <w:jc w:val="center"/>
              <w:rPr>
                <w:b/>
              </w:rPr>
            </w:pPr>
            <w:r w:rsidRPr="00A03EB8">
              <w:rPr>
                <w:b/>
              </w:rPr>
              <w:t>n</w:t>
            </w:r>
          </w:p>
        </w:tc>
        <w:tc>
          <w:tcPr>
            <w:tcW w:w="1023" w:type="pct"/>
            <w:gridSpan w:val="3"/>
            <w:shd w:val="clear" w:color="auto" w:fill="auto"/>
            <w:vAlign w:val="center"/>
          </w:tcPr>
          <w:p w:rsidR="001334D8" w:rsidRPr="00A03EB8" w:rsidRDefault="00982110" w:rsidP="00982110">
            <w:pPr>
              <w:pStyle w:val="TableText"/>
              <w:jc w:val="center"/>
              <w:rPr>
                <w:b/>
              </w:rPr>
            </w:pPr>
            <w:r w:rsidRPr="00A03EB8">
              <w:rPr>
                <w:b/>
              </w:rPr>
              <w:t>Least squares m</w:t>
            </w:r>
            <w:r w:rsidR="001334D8" w:rsidRPr="00A03EB8">
              <w:rPr>
                <w:b/>
              </w:rPr>
              <w:t xml:space="preserve">ean ∆ Baseline HFMSE </w:t>
            </w:r>
          </w:p>
        </w:tc>
        <w:tc>
          <w:tcPr>
            <w:tcW w:w="333" w:type="pct"/>
            <w:shd w:val="clear" w:color="auto" w:fill="auto"/>
            <w:vAlign w:val="center"/>
          </w:tcPr>
          <w:p w:rsidR="001334D8" w:rsidRPr="00A03EB8" w:rsidRDefault="001334D8" w:rsidP="009D512D">
            <w:pPr>
              <w:pStyle w:val="TableText"/>
              <w:jc w:val="center"/>
              <w:rPr>
                <w:b/>
              </w:rPr>
            </w:pPr>
            <w:r w:rsidRPr="00A03EB8">
              <w:rPr>
                <w:b/>
              </w:rPr>
              <w:t>SE</w:t>
            </w:r>
          </w:p>
        </w:tc>
        <w:tc>
          <w:tcPr>
            <w:tcW w:w="1067" w:type="pct"/>
            <w:gridSpan w:val="2"/>
            <w:vMerge/>
            <w:shd w:val="clear" w:color="auto" w:fill="auto"/>
            <w:vAlign w:val="center"/>
          </w:tcPr>
          <w:p w:rsidR="001334D8" w:rsidRPr="00A03EB8" w:rsidRDefault="001334D8" w:rsidP="009D512D">
            <w:pPr>
              <w:pStyle w:val="TableText"/>
              <w:jc w:val="center"/>
            </w:pPr>
          </w:p>
        </w:tc>
      </w:tr>
      <w:tr w:rsidR="00AE540E" w:rsidRPr="00A03EB8" w:rsidTr="00AE540E">
        <w:tc>
          <w:tcPr>
            <w:tcW w:w="688" w:type="pct"/>
            <w:shd w:val="clear" w:color="auto" w:fill="auto"/>
            <w:vAlign w:val="center"/>
          </w:tcPr>
          <w:p w:rsidR="001334D8" w:rsidRPr="00A03EB8" w:rsidRDefault="001334D8" w:rsidP="007A3413">
            <w:pPr>
              <w:pStyle w:val="TableText"/>
              <w:jc w:val="both"/>
            </w:pPr>
            <w:r w:rsidRPr="00A03EB8">
              <w:t>CHERISH</w:t>
            </w:r>
          </w:p>
        </w:tc>
        <w:tc>
          <w:tcPr>
            <w:tcW w:w="237" w:type="pct"/>
            <w:shd w:val="clear" w:color="auto" w:fill="auto"/>
            <w:vAlign w:val="center"/>
          </w:tcPr>
          <w:p w:rsidR="001334D8" w:rsidRPr="00A03EB8" w:rsidRDefault="001334D8" w:rsidP="00AE540E">
            <w:pPr>
              <w:pStyle w:val="TableText"/>
              <w:jc w:val="center"/>
            </w:pPr>
            <w:r w:rsidRPr="00A03EB8">
              <w:t>84</w:t>
            </w:r>
          </w:p>
        </w:tc>
        <w:tc>
          <w:tcPr>
            <w:tcW w:w="1025" w:type="pct"/>
            <w:gridSpan w:val="4"/>
            <w:shd w:val="clear" w:color="auto" w:fill="auto"/>
            <w:vAlign w:val="center"/>
          </w:tcPr>
          <w:p w:rsidR="001334D8" w:rsidRPr="00DD06C2" w:rsidRDefault="001334D8" w:rsidP="00AE540E">
            <w:pPr>
              <w:pStyle w:val="TableText"/>
              <w:jc w:val="center"/>
            </w:pPr>
            <w:r w:rsidRPr="00DD06C2">
              <w:t>3.9</w:t>
            </w:r>
          </w:p>
        </w:tc>
        <w:tc>
          <w:tcPr>
            <w:tcW w:w="360" w:type="pct"/>
            <w:shd w:val="clear" w:color="auto" w:fill="auto"/>
            <w:vAlign w:val="center"/>
          </w:tcPr>
          <w:p w:rsidR="001334D8" w:rsidRPr="00DD06C2" w:rsidRDefault="001334D8" w:rsidP="00AE540E">
            <w:pPr>
              <w:pStyle w:val="TableText"/>
              <w:jc w:val="center"/>
            </w:pPr>
            <w:r w:rsidRPr="00DD06C2">
              <w:t>0.49</w:t>
            </w:r>
          </w:p>
        </w:tc>
        <w:tc>
          <w:tcPr>
            <w:tcW w:w="266" w:type="pct"/>
            <w:shd w:val="clear" w:color="auto" w:fill="auto"/>
            <w:vAlign w:val="center"/>
          </w:tcPr>
          <w:p w:rsidR="001334D8" w:rsidRPr="00DD06C2" w:rsidRDefault="001334D8" w:rsidP="00AE540E">
            <w:pPr>
              <w:pStyle w:val="TableText"/>
              <w:jc w:val="center"/>
            </w:pPr>
            <w:r w:rsidRPr="00DD06C2">
              <w:t>42</w:t>
            </w:r>
          </w:p>
        </w:tc>
        <w:tc>
          <w:tcPr>
            <w:tcW w:w="1023" w:type="pct"/>
            <w:gridSpan w:val="3"/>
            <w:shd w:val="clear" w:color="auto" w:fill="auto"/>
            <w:vAlign w:val="center"/>
          </w:tcPr>
          <w:p w:rsidR="001334D8" w:rsidRPr="00DD06C2" w:rsidRDefault="001334D8" w:rsidP="00AE540E">
            <w:pPr>
              <w:pStyle w:val="TableText"/>
              <w:jc w:val="center"/>
            </w:pPr>
            <w:r w:rsidRPr="00DD06C2">
              <w:t>-1.0</w:t>
            </w:r>
          </w:p>
        </w:tc>
        <w:tc>
          <w:tcPr>
            <w:tcW w:w="333" w:type="pct"/>
            <w:shd w:val="clear" w:color="auto" w:fill="auto"/>
            <w:vAlign w:val="center"/>
          </w:tcPr>
          <w:p w:rsidR="001334D8" w:rsidRPr="00DD06C2" w:rsidRDefault="001334D8" w:rsidP="00AE540E">
            <w:pPr>
              <w:pStyle w:val="TableText"/>
              <w:jc w:val="center"/>
            </w:pPr>
            <w:r w:rsidRPr="00DD06C2">
              <w:t>0.76</w:t>
            </w:r>
          </w:p>
        </w:tc>
        <w:tc>
          <w:tcPr>
            <w:tcW w:w="1067" w:type="pct"/>
            <w:gridSpan w:val="2"/>
            <w:shd w:val="clear" w:color="auto" w:fill="auto"/>
            <w:vAlign w:val="center"/>
          </w:tcPr>
          <w:p w:rsidR="001334D8" w:rsidRPr="00DD06C2" w:rsidRDefault="001334D8" w:rsidP="00AE540E">
            <w:pPr>
              <w:pStyle w:val="TableText"/>
              <w:jc w:val="center"/>
            </w:pPr>
            <w:r w:rsidRPr="00DD06C2">
              <w:t>4.9 (3.1, 6.7)</w:t>
            </w:r>
          </w:p>
        </w:tc>
      </w:tr>
      <w:tr w:rsidR="001334D8" w:rsidRPr="00A03EB8" w:rsidTr="00880BEE">
        <w:tc>
          <w:tcPr>
            <w:tcW w:w="5000" w:type="pct"/>
            <w:gridSpan w:val="14"/>
            <w:shd w:val="clear" w:color="auto" w:fill="auto"/>
            <w:vAlign w:val="center"/>
          </w:tcPr>
          <w:p w:rsidR="001334D8" w:rsidRPr="00A03EB8" w:rsidRDefault="001334D8" w:rsidP="007A3413">
            <w:pPr>
              <w:pStyle w:val="TableText"/>
              <w:jc w:val="both"/>
              <w:rPr>
                <w:b/>
              </w:rPr>
            </w:pPr>
            <w:r w:rsidRPr="00A03EB8">
              <w:rPr>
                <w:b/>
              </w:rPr>
              <w:t>Time-to-event : Event-free survival in the ENDEAR trial**</w:t>
            </w:r>
          </w:p>
        </w:tc>
      </w:tr>
      <w:tr w:rsidR="00AE540E" w:rsidRPr="00A03EB8" w:rsidTr="00AE540E">
        <w:tc>
          <w:tcPr>
            <w:tcW w:w="1004" w:type="pct"/>
            <w:gridSpan w:val="3"/>
            <w:shd w:val="clear" w:color="auto" w:fill="auto"/>
            <w:vAlign w:val="center"/>
          </w:tcPr>
          <w:p w:rsidR="001334D8" w:rsidRPr="00A03EB8" w:rsidRDefault="001334D8" w:rsidP="007A3413">
            <w:pPr>
              <w:pStyle w:val="TableText"/>
              <w:jc w:val="both"/>
              <w:rPr>
                <w:b/>
              </w:rPr>
            </w:pPr>
            <w:r w:rsidRPr="00A03EB8">
              <w:rPr>
                <w:b/>
              </w:rPr>
              <w:t>Event</w:t>
            </w:r>
          </w:p>
        </w:tc>
        <w:tc>
          <w:tcPr>
            <w:tcW w:w="868" w:type="pct"/>
            <w:gridSpan w:val="2"/>
            <w:shd w:val="clear" w:color="auto" w:fill="auto"/>
            <w:vAlign w:val="center"/>
          </w:tcPr>
          <w:p w:rsidR="001334D8" w:rsidRPr="00A03EB8" w:rsidRDefault="001334D8" w:rsidP="009D512D">
            <w:pPr>
              <w:pStyle w:val="TableText"/>
              <w:jc w:val="center"/>
              <w:rPr>
                <w:b/>
              </w:rPr>
            </w:pPr>
            <w:r w:rsidRPr="00A03EB8">
              <w:rPr>
                <w:b/>
              </w:rPr>
              <w:t>Nusinersen</w:t>
            </w:r>
          </w:p>
        </w:tc>
        <w:tc>
          <w:tcPr>
            <w:tcW w:w="868" w:type="pct"/>
            <w:gridSpan w:val="4"/>
            <w:shd w:val="clear" w:color="auto" w:fill="auto"/>
            <w:vAlign w:val="center"/>
          </w:tcPr>
          <w:p w:rsidR="001334D8" w:rsidRPr="00A03EB8" w:rsidRDefault="001334D8" w:rsidP="009D512D">
            <w:pPr>
              <w:pStyle w:val="TableText"/>
              <w:jc w:val="center"/>
              <w:rPr>
                <w:b/>
              </w:rPr>
            </w:pPr>
            <w:r w:rsidRPr="00A03EB8">
              <w:rPr>
                <w:b/>
              </w:rPr>
              <w:t>Sham-control</w:t>
            </w:r>
            <w:r w:rsidR="0040015D" w:rsidRPr="00A03EB8">
              <w:rPr>
                <w:b/>
              </w:rPr>
              <w:t>s</w:t>
            </w:r>
          </w:p>
        </w:tc>
        <w:tc>
          <w:tcPr>
            <w:tcW w:w="1193" w:type="pct"/>
            <w:gridSpan w:val="3"/>
            <w:shd w:val="clear" w:color="auto" w:fill="auto"/>
            <w:vAlign w:val="center"/>
          </w:tcPr>
          <w:p w:rsidR="001334D8" w:rsidRPr="00A03EB8" w:rsidRDefault="001334D8" w:rsidP="009D512D">
            <w:pPr>
              <w:pStyle w:val="TableText"/>
              <w:jc w:val="center"/>
              <w:rPr>
                <w:rFonts w:asciiTheme="minorHAnsi" w:hAnsiTheme="minorHAnsi"/>
                <w:b/>
              </w:rPr>
            </w:pPr>
            <w:r w:rsidRPr="00A03EB8">
              <w:rPr>
                <w:b/>
              </w:rPr>
              <w:t>Absolute Difference</w:t>
            </w:r>
          </w:p>
        </w:tc>
        <w:tc>
          <w:tcPr>
            <w:tcW w:w="1067" w:type="pct"/>
            <w:gridSpan w:val="2"/>
            <w:shd w:val="clear" w:color="auto" w:fill="auto"/>
            <w:vAlign w:val="center"/>
          </w:tcPr>
          <w:p w:rsidR="001334D8" w:rsidRPr="00A03EB8" w:rsidRDefault="001334D8" w:rsidP="009D512D">
            <w:pPr>
              <w:pStyle w:val="TableText"/>
              <w:jc w:val="center"/>
              <w:rPr>
                <w:b/>
              </w:rPr>
            </w:pPr>
            <w:r w:rsidRPr="00A03EB8">
              <w:rPr>
                <w:b/>
              </w:rPr>
              <w:t>HR (95% CI)</w:t>
            </w:r>
          </w:p>
        </w:tc>
      </w:tr>
      <w:tr w:rsidR="00AE540E" w:rsidRPr="00A03EB8" w:rsidTr="00AE540E">
        <w:tc>
          <w:tcPr>
            <w:tcW w:w="1004" w:type="pct"/>
            <w:gridSpan w:val="3"/>
            <w:shd w:val="clear" w:color="auto" w:fill="auto"/>
            <w:vAlign w:val="center"/>
          </w:tcPr>
          <w:p w:rsidR="001334D8" w:rsidRPr="00A03EB8" w:rsidRDefault="001334D8" w:rsidP="007A3413">
            <w:pPr>
              <w:pStyle w:val="TableText"/>
              <w:jc w:val="both"/>
            </w:pPr>
            <w:r w:rsidRPr="00A03EB8">
              <w:t>Number of events, n (%)</w:t>
            </w:r>
          </w:p>
        </w:tc>
        <w:tc>
          <w:tcPr>
            <w:tcW w:w="868" w:type="pct"/>
            <w:gridSpan w:val="2"/>
            <w:shd w:val="clear" w:color="auto" w:fill="auto"/>
          </w:tcPr>
          <w:p w:rsidR="001334D8" w:rsidRPr="00352D6A" w:rsidRDefault="001334D8" w:rsidP="009D512D">
            <w:pPr>
              <w:pStyle w:val="TableText"/>
              <w:jc w:val="center"/>
            </w:pPr>
            <w:r w:rsidRPr="00A03EB8">
              <w:t>31/80 (39)</w:t>
            </w:r>
          </w:p>
        </w:tc>
        <w:tc>
          <w:tcPr>
            <w:tcW w:w="868" w:type="pct"/>
            <w:gridSpan w:val="4"/>
            <w:shd w:val="clear" w:color="auto" w:fill="auto"/>
          </w:tcPr>
          <w:p w:rsidR="001334D8" w:rsidRPr="00352D6A" w:rsidRDefault="001334D8" w:rsidP="009D512D">
            <w:pPr>
              <w:pStyle w:val="TableText"/>
              <w:jc w:val="center"/>
            </w:pPr>
            <w:r w:rsidRPr="00A03EB8">
              <w:t>28/41 (68)</w:t>
            </w:r>
          </w:p>
        </w:tc>
        <w:tc>
          <w:tcPr>
            <w:tcW w:w="1193" w:type="pct"/>
            <w:gridSpan w:val="3"/>
            <w:shd w:val="clear" w:color="auto" w:fill="auto"/>
            <w:vAlign w:val="center"/>
          </w:tcPr>
          <w:p w:rsidR="001334D8" w:rsidRPr="00352D6A" w:rsidRDefault="001334D8" w:rsidP="009D512D">
            <w:pPr>
              <w:pStyle w:val="TableText"/>
              <w:jc w:val="center"/>
              <w:rPr>
                <w:rFonts w:asciiTheme="minorHAnsi" w:hAnsiTheme="minorHAnsi"/>
              </w:rPr>
            </w:pPr>
            <w:r w:rsidRPr="00A03EB8">
              <w:t>29%</w:t>
            </w:r>
          </w:p>
        </w:tc>
        <w:tc>
          <w:tcPr>
            <w:tcW w:w="1067" w:type="pct"/>
            <w:gridSpan w:val="2"/>
            <w:shd w:val="clear" w:color="auto" w:fill="auto"/>
            <w:vAlign w:val="center"/>
          </w:tcPr>
          <w:p w:rsidR="001334D8" w:rsidRPr="00352D6A" w:rsidRDefault="001334D8" w:rsidP="009D512D">
            <w:pPr>
              <w:pStyle w:val="TableText"/>
              <w:jc w:val="center"/>
            </w:pPr>
            <w:r w:rsidRPr="00A03EB8">
              <w:t>0.53 (0.32 to 0.89)</w:t>
            </w:r>
          </w:p>
        </w:tc>
      </w:tr>
      <w:tr w:rsidR="001334D8" w:rsidRPr="00A03EB8" w:rsidTr="00880BEE">
        <w:tc>
          <w:tcPr>
            <w:tcW w:w="5000" w:type="pct"/>
            <w:gridSpan w:val="14"/>
            <w:shd w:val="clear" w:color="auto" w:fill="auto"/>
            <w:vAlign w:val="center"/>
          </w:tcPr>
          <w:p w:rsidR="001334D8" w:rsidRPr="00A03EB8" w:rsidRDefault="001334D8" w:rsidP="007A3413">
            <w:pPr>
              <w:pStyle w:val="TableText"/>
              <w:jc w:val="both"/>
              <w:rPr>
                <w:b/>
              </w:rPr>
            </w:pPr>
            <w:r w:rsidRPr="00A03EB8">
              <w:rPr>
                <w:b/>
              </w:rPr>
              <w:t>Time-to-event : Death in the ENDEAR trial</w:t>
            </w:r>
          </w:p>
        </w:tc>
      </w:tr>
      <w:tr w:rsidR="00AE540E" w:rsidRPr="00A03EB8" w:rsidTr="00AE540E">
        <w:tc>
          <w:tcPr>
            <w:tcW w:w="1004" w:type="pct"/>
            <w:gridSpan w:val="3"/>
            <w:shd w:val="clear" w:color="auto" w:fill="auto"/>
            <w:vAlign w:val="center"/>
          </w:tcPr>
          <w:p w:rsidR="001334D8" w:rsidRPr="00A03EB8" w:rsidRDefault="001334D8" w:rsidP="007A3413">
            <w:pPr>
              <w:pStyle w:val="TableText"/>
              <w:jc w:val="both"/>
              <w:rPr>
                <w:b/>
              </w:rPr>
            </w:pPr>
            <w:r w:rsidRPr="00A03EB8">
              <w:rPr>
                <w:b/>
              </w:rPr>
              <w:t>Event</w:t>
            </w:r>
          </w:p>
        </w:tc>
        <w:tc>
          <w:tcPr>
            <w:tcW w:w="868" w:type="pct"/>
            <w:gridSpan w:val="2"/>
            <w:shd w:val="clear" w:color="auto" w:fill="auto"/>
            <w:vAlign w:val="center"/>
          </w:tcPr>
          <w:p w:rsidR="001334D8" w:rsidRPr="00A03EB8" w:rsidRDefault="001334D8" w:rsidP="009D512D">
            <w:pPr>
              <w:pStyle w:val="TableText"/>
              <w:jc w:val="center"/>
              <w:rPr>
                <w:b/>
              </w:rPr>
            </w:pPr>
            <w:r w:rsidRPr="00A03EB8">
              <w:rPr>
                <w:b/>
              </w:rPr>
              <w:t>Nusinersen</w:t>
            </w:r>
          </w:p>
        </w:tc>
        <w:tc>
          <w:tcPr>
            <w:tcW w:w="868" w:type="pct"/>
            <w:gridSpan w:val="4"/>
            <w:shd w:val="clear" w:color="auto" w:fill="auto"/>
            <w:vAlign w:val="center"/>
          </w:tcPr>
          <w:p w:rsidR="001334D8" w:rsidRPr="00A03EB8" w:rsidRDefault="001334D8" w:rsidP="009D512D">
            <w:pPr>
              <w:pStyle w:val="TableText"/>
              <w:jc w:val="center"/>
              <w:rPr>
                <w:b/>
              </w:rPr>
            </w:pPr>
            <w:r w:rsidRPr="00A03EB8">
              <w:rPr>
                <w:b/>
              </w:rPr>
              <w:t>Sham-control</w:t>
            </w:r>
            <w:r w:rsidR="0040015D" w:rsidRPr="00A03EB8">
              <w:rPr>
                <w:b/>
              </w:rPr>
              <w:t>s</w:t>
            </w:r>
          </w:p>
        </w:tc>
        <w:tc>
          <w:tcPr>
            <w:tcW w:w="1193" w:type="pct"/>
            <w:gridSpan w:val="3"/>
            <w:shd w:val="clear" w:color="auto" w:fill="auto"/>
            <w:vAlign w:val="center"/>
          </w:tcPr>
          <w:p w:rsidR="001334D8" w:rsidRPr="00A03EB8" w:rsidRDefault="001334D8" w:rsidP="009D512D">
            <w:pPr>
              <w:pStyle w:val="TableText"/>
              <w:jc w:val="center"/>
              <w:rPr>
                <w:rFonts w:asciiTheme="minorHAnsi" w:hAnsiTheme="minorHAnsi"/>
                <w:b/>
              </w:rPr>
            </w:pPr>
            <w:r w:rsidRPr="00A03EB8">
              <w:rPr>
                <w:b/>
              </w:rPr>
              <w:t>Absolute Difference</w:t>
            </w:r>
          </w:p>
        </w:tc>
        <w:tc>
          <w:tcPr>
            <w:tcW w:w="1067" w:type="pct"/>
            <w:gridSpan w:val="2"/>
            <w:shd w:val="clear" w:color="auto" w:fill="auto"/>
            <w:vAlign w:val="center"/>
          </w:tcPr>
          <w:p w:rsidR="001334D8" w:rsidRPr="00A03EB8" w:rsidRDefault="001334D8" w:rsidP="009D512D">
            <w:pPr>
              <w:pStyle w:val="TableText"/>
              <w:jc w:val="center"/>
              <w:rPr>
                <w:b/>
              </w:rPr>
            </w:pPr>
            <w:r w:rsidRPr="00A03EB8">
              <w:rPr>
                <w:b/>
              </w:rPr>
              <w:t>HR (95% CI)</w:t>
            </w:r>
          </w:p>
        </w:tc>
      </w:tr>
      <w:tr w:rsidR="00AE540E" w:rsidRPr="00A03EB8" w:rsidTr="00AE540E">
        <w:tc>
          <w:tcPr>
            <w:tcW w:w="1004" w:type="pct"/>
            <w:gridSpan w:val="3"/>
            <w:shd w:val="clear" w:color="auto" w:fill="auto"/>
            <w:vAlign w:val="center"/>
          </w:tcPr>
          <w:p w:rsidR="001334D8" w:rsidRPr="00A03EB8" w:rsidRDefault="001334D8" w:rsidP="007A3413">
            <w:pPr>
              <w:pStyle w:val="TableText"/>
              <w:jc w:val="both"/>
            </w:pPr>
            <w:r w:rsidRPr="00A03EB8">
              <w:t>Number of events, n (%)</w:t>
            </w:r>
          </w:p>
        </w:tc>
        <w:tc>
          <w:tcPr>
            <w:tcW w:w="868" w:type="pct"/>
            <w:gridSpan w:val="2"/>
            <w:shd w:val="clear" w:color="auto" w:fill="auto"/>
          </w:tcPr>
          <w:p w:rsidR="001334D8" w:rsidRPr="00352D6A" w:rsidRDefault="001334D8" w:rsidP="009D512D">
            <w:pPr>
              <w:pStyle w:val="TableText"/>
              <w:jc w:val="center"/>
            </w:pPr>
            <w:r w:rsidRPr="00A03EB8">
              <w:t>13/80 (16)</w:t>
            </w:r>
          </w:p>
        </w:tc>
        <w:tc>
          <w:tcPr>
            <w:tcW w:w="868" w:type="pct"/>
            <w:gridSpan w:val="4"/>
            <w:shd w:val="clear" w:color="auto" w:fill="auto"/>
          </w:tcPr>
          <w:p w:rsidR="001334D8" w:rsidRPr="00352D6A" w:rsidRDefault="001334D8" w:rsidP="009D512D">
            <w:pPr>
              <w:pStyle w:val="TableText"/>
              <w:jc w:val="center"/>
            </w:pPr>
            <w:r w:rsidRPr="00A03EB8">
              <w:t>16/41 (39)</w:t>
            </w:r>
          </w:p>
        </w:tc>
        <w:tc>
          <w:tcPr>
            <w:tcW w:w="1193" w:type="pct"/>
            <w:gridSpan w:val="3"/>
            <w:shd w:val="clear" w:color="auto" w:fill="auto"/>
            <w:vAlign w:val="center"/>
          </w:tcPr>
          <w:p w:rsidR="001334D8" w:rsidRPr="00352D6A" w:rsidRDefault="001334D8" w:rsidP="009D512D">
            <w:pPr>
              <w:pStyle w:val="TableText"/>
              <w:jc w:val="center"/>
              <w:rPr>
                <w:rFonts w:asciiTheme="minorHAnsi" w:hAnsiTheme="minorHAnsi"/>
              </w:rPr>
            </w:pPr>
            <w:r w:rsidRPr="00A03EB8">
              <w:t>23%</w:t>
            </w:r>
          </w:p>
        </w:tc>
        <w:tc>
          <w:tcPr>
            <w:tcW w:w="1067" w:type="pct"/>
            <w:gridSpan w:val="2"/>
            <w:shd w:val="clear" w:color="auto" w:fill="auto"/>
            <w:vAlign w:val="center"/>
          </w:tcPr>
          <w:p w:rsidR="001334D8" w:rsidRPr="00352D6A" w:rsidRDefault="001334D8" w:rsidP="009D512D">
            <w:pPr>
              <w:pStyle w:val="TableText"/>
              <w:jc w:val="center"/>
            </w:pPr>
            <w:r w:rsidRPr="00A03EB8">
              <w:t>0.37 (0.18 to 0.78)</w:t>
            </w:r>
          </w:p>
        </w:tc>
      </w:tr>
    </w:tbl>
    <w:p w:rsidR="001334D8" w:rsidRPr="00A03EB8" w:rsidRDefault="001334D8" w:rsidP="007A3413">
      <w:pPr>
        <w:pStyle w:val="TableFooter"/>
      </w:pPr>
      <w:r w:rsidRPr="00A03EB8">
        <w:t>*Based on Hammersmith Infant Neurological Examination (HINE) Section 2; HFMSE = Hammersmith Functional Motor Scale-Expanded; RD = risk difference; RR = risk ratio; SE = standard error</w:t>
      </w:r>
    </w:p>
    <w:p w:rsidR="001334D8" w:rsidRPr="00A03EB8" w:rsidRDefault="001334D8" w:rsidP="007A3413">
      <w:pPr>
        <w:pStyle w:val="TableFooter"/>
      </w:pPr>
      <w:r w:rsidRPr="00A03EB8">
        <w:t>**Median duration of follow-up 280 days</w:t>
      </w:r>
    </w:p>
    <w:p w:rsidR="001334D8" w:rsidRPr="00A03EB8" w:rsidRDefault="001334D8" w:rsidP="007A3413">
      <w:pPr>
        <w:pStyle w:val="TableFooter"/>
      </w:pPr>
      <w:r w:rsidRPr="00A03EB8">
        <w:t>Source: Compiled during the evaluation/Tables 2.5.1-2.5.16, pp105-142 of the submission</w:t>
      </w:r>
    </w:p>
    <w:p w:rsidR="001334D8" w:rsidRPr="00A03EB8" w:rsidRDefault="001334D8" w:rsidP="005D071D">
      <w:pPr>
        <w:pStyle w:val="ListParagraph"/>
        <w:numPr>
          <w:ilvl w:val="1"/>
          <w:numId w:val="2"/>
        </w:numPr>
        <w:spacing w:before="0" w:after="0"/>
        <w:jc w:val="both"/>
      </w:pPr>
      <w:r w:rsidRPr="00A03EB8">
        <w:t xml:space="preserve">On the basis of direct evidence presented by the submission, for every 100 patients </w:t>
      </w:r>
      <w:r w:rsidR="007B1F30" w:rsidRPr="00A03EB8">
        <w:t xml:space="preserve">with Type I SMA </w:t>
      </w:r>
      <w:r w:rsidRPr="00A03EB8">
        <w:t>treated with nusinersen in comparison to sham-control:</w:t>
      </w:r>
    </w:p>
    <w:p w:rsidR="001334D8" w:rsidRPr="00A03EB8" w:rsidRDefault="001334D8" w:rsidP="007A3413">
      <w:pPr>
        <w:pStyle w:val="ListParagraph"/>
        <w:numPr>
          <w:ilvl w:val="0"/>
          <w:numId w:val="9"/>
        </w:numPr>
        <w:autoSpaceDE w:val="0"/>
        <w:autoSpaceDN w:val="0"/>
        <w:adjustRightInd w:val="0"/>
        <w:spacing w:before="0" w:after="0"/>
        <w:ind w:left="1069"/>
        <w:jc w:val="both"/>
        <w:rPr>
          <w:lang w:val="en-US"/>
        </w:rPr>
      </w:pPr>
      <w:r w:rsidRPr="00A03EB8">
        <w:lastRenderedPageBreak/>
        <w:t>Approximately 51 additional patients would be classified as a motor milestone responder</w:t>
      </w:r>
      <w:r w:rsidRPr="00A03EB8">
        <w:rPr>
          <w:rStyle w:val="FootnoteReference"/>
        </w:rPr>
        <w:footnoteReference w:id="1"/>
      </w:r>
      <w:r w:rsidRPr="00A03EB8">
        <w:t xml:space="preserve"> over a median duration of follow-up of 280 days.</w:t>
      </w:r>
    </w:p>
    <w:p w:rsidR="001334D8" w:rsidRPr="00A03EB8" w:rsidRDefault="001334D8" w:rsidP="007A3413">
      <w:pPr>
        <w:pStyle w:val="ListParagraph"/>
        <w:numPr>
          <w:ilvl w:val="0"/>
          <w:numId w:val="9"/>
        </w:numPr>
        <w:autoSpaceDE w:val="0"/>
        <w:autoSpaceDN w:val="0"/>
        <w:adjustRightInd w:val="0"/>
        <w:spacing w:before="0" w:after="0"/>
        <w:ind w:left="1069"/>
        <w:jc w:val="both"/>
        <w:rPr>
          <w:lang w:val="en-US"/>
        </w:rPr>
      </w:pPr>
      <w:r w:rsidRPr="00A03EB8">
        <w:rPr>
          <w:lang w:val="en-US"/>
        </w:rPr>
        <w:t xml:space="preserve">Approximately 23 </w:t>
      </w:r>
      <w:r w:rsidR="00AE540E" w:rsidRPr="00A03EB8">
        <w:rPr>
          <w:lang w:val="en-US"/>
        </w:rPr>
        <w:t>additional</w:t>
      </w:r>
      <w:r w:rsidRPr="00A03EB8">
        <w:rPr>
          <w:lang w:val="en-US"/>
        </w:rPr>
        <w:t xml:space="preserve"> patients would remain alive over a median duration of follow-up of 280 days. </w:t>
      </w:r>
    </w:p>
    <w:p w:rsidR="001334D8" w:rsidRPr="00A03EB8" w:rsidRDefault="001334D8" w:rsidP="007A3413">
      <w:pPr>
        <w:pStyle w:val="ListParagraph"/>
        <w:numPr>
          <w:ilvl w:val="0"/>
          <w:numId w:val="9"/>
        </w:numPr>
        <w:autoSpaceDE w:val="0"/>
        <w:autoSpaceDN w:val="0"/>
        <w:adjustRightInd w:val="0"/>
        <w:spacing w:before="0" w:after="0"/>
        <w:ind w:left="1069"/>
        <w:jc w:val="both"/>
        <w:rPr>
          <w:lang w:val="en-US"/>
        </w:rPr>
      </w:pPr>
      <w:r w:rsidRPr="00A03EB8">
        <w:rPr>
          <w:lang w:val="en-US"/>
        </w:rPr>
        <w:t xml:space="preserve">Approximately 29 more patients would remain alive or ventilator-free over a median duration of follow-up of 280 days. </w:t>
      </w:r>
    </w:p>
    <w:p w:rsidR="001334D8" w:rsidRPr="00A03EB8" w:rsidRDefault="001334D8" w:rsidP="005D071D">
      <w:pPr>
        <w:pStyle w:val="ListParagraph"/>
        <w:numPr>
          <w:ilvl w:val="1"/>
          <w:numId w:val="2"/>
        </w:numPr>
        <w:jc w:val="both"/>
        <w:rPr>
          <w:lang w:val="en-US"/>
        </w:rPr>
      </w:pPr>
      <w:r w:rsidRPr="00A03EB8">
        <w:rPr>
          <w:lang w:val="en-US"/>
        </w:rPr>
        <w:t xml:space="preserve">On the basis of direct evidence presented by the submission, treatment with nusinersen in comparison to sham-control </w:t>
      </w:r>
      <w:r w:rsidR="007B1F30" w:rsidRPr="00A03EB8">
        <w:rPr>
          <w:lang w:val="en-US"/>
        </w:rPr>
        <w:t xml:space="preserve">in patients with Type II SMA </w:t>
      </w:r>
      <w:r w:rsidRPr="00A03EB8">
        <w:rPr>
          <w:lang w:val="en-US"/>
        </w:rPr>
        <w:t xml:space="preserve">over 450 days resulted in an improvement in HFMSE score (least squares mean difference) </w:t>
      </w:r>
      <w:r w:rsidRPr="00DD06C2">
        <w:rPr>
          <w:lang w:val="en-US"/>
        </w:rPr>
        <w:t>of 4.9</w:t>
      </w:r>
      <w:r w:rsidRPr="00A03EB8">
        <w:rPr>
          <w:lang w:val="en-US"/>
        </w:rPr>
        <w:t>.</w:t>
      </w:r>
    </w:p>
    <w:p w:rsidR="001334D8" w:rsidRPr="00A03EB8" w:rsidRDefault="001334D8" w:rsidP="007A3413">
      <w:pPr>
        <w:pStyle w:val="Heading2"/>
        <w:jc w:val="both"/>
        <w:rPr>
          <w:i w:val="0"/>
        </w:rPr>
      </w:pPr>
      <w:bookmarkStart w:id="21" w:name="_Toc490533776"/>
      <w:bookmarkEnd w:id="20"/>
      <w:r w:rsidRPr="00A03EB8">
        <w:rPr>
          <w:i w:val="0"/>
        </w:rPr>
        <w:t>Interpretation of clinical evidence</w:t>
      </w:r>
      <w:bookmarkEnd w:id="21"/>
    </w:p>
    <w:p w:rsidR="001334D8" w:rsidRPr="00A03EB8" w:rsidRDefault="001334D8" w:rsidP="005D071D">
      <w:pPr>
        <w:pStyle w:val="ListParagraph"/>
        <w:numPr>
          <w:ilvl w:val="1"/>
          <w:numId w:val="2"/>
        </w:numPr>
        <w:spacing w:before="0" w:after="120"/>
        <w:jc w:val="both"/>
      </w:pPr>
      <w:r w:rsidRPr="00A03EB8">
        <w:t xml:space="preserve">The submission claimed that nusinersen was superior in terms of comparative effectiveness compared to sham-control and no worse in terms of safety for the treatment of patients with SMA. </w:t>
      </w:r>
    </w:p>
    <w:p w:rsidR="00573489" w:rsidRPr="00A03EB8" w:rsidRDefault="001334D8" w:rsidP="00435C72">
      <w:pPr>
        <w:pStyle w:val="ListParagraph"/>
        <w:numPr>
          <w:ilvl w:val="1"/>
          <w:numId w:val="2"/>
        </w:numPr>
        <w:spacing w:before="0" w:after="120"/>
        <w:jc w:val="both"/>
      </w:pPr>
      <w:r w:rsidRPr="00A03EB8">
        <w:t xml:space="preserve">The </w:t>
      </w:r>
      <w:r w:rsidR="001C2FD5" w:rsidRPr="00352D6A">
        <w:t xml:space="preserve">PBAC considered that </w:t>
      </w:r>
      <w:r w:rsidRPr="00A03EB8">
        <w:t>claim of superior comparative effectiveness of nusinersen compared to sham-control was adequately supported</w:t>
      </w:r>
      <w:r w:rsidR="001C2FD5" w:rsidRPr="00352D6A">
        <w:t xml:space="preserve"> by the evidence</w:t>
      </w:r>
      <w:r w:rsidRPr="00A03EB8">
        <w:t xml:space="preserve"> for patients with Type I </w:t>
      </w:r>
      <w:r w:rsidR="004A01DC" w:rsidRPr="00A03EB8">
        <w:t xml:space="preserve">SMA. </w:t>
      </w:r>
      <w:r w:rsidR="00BC6231" w:rsidRPr="00A03EB8">
        <w:t>However,</w:t>
      </w:r>
      <w:r w:rsidR="001C2FD5" w:rsidRPr="00352D6A">
        <w:t xml:space="preserve"> the extent of benefit</w:t>
      </w:r>
      <w:r w:rsidR="00FF4AEF" w:rsidRPr="00352D6A">
        <w:t xml:space="preserve"> in terms of event free survival</w:t>
      </w:r>
      <w:r w:rsidR="001C2FD5" w:rsidRPr="00352D6A">
        <w:t xml:space="preserve"> was not </w:t>
      </w:r>
      <w:r w:rsidR="00FF4AEF" w:rsidRPr="00352D6A">
        <w:t>yet known</w:t>
      </w:r>
      <w:r w:rsidR="001C2FD5" w:rsidRPr="00352D6A">
        <w:t xml:space="preserve"> and</w:t>
      </w:r>
      <w:r w:rsidR="00BC6231" w:rsidRPr="00A03EB8">
        <w:t xml:space="preserve"> it was not clear whether the observed would persist over the longer-term or whether similar benefits to those seen in the ENDEAR trial could be expected initially for the likely PBS population.</w:t>
      </w:r>
      <w:r w:rsidR="00CE428C" w:rsidRPr="00A03EB8">
        <w:t xml:space="preserve"> </w:t>
      </w:r>
    </w:p>
    <w:p w:rsidR="00FF4AEF" w:rsidRPr="00352D6A" w:rsidRDefault="004A01DC" w:rsidP="00642CF0">
      <w:pPr>
        <w:pStyle w:val="ListParagraph"/>
        <w:numPr>
          <w:ilvl w:val="1"/>
          <w:numId w:val="2"/>
        </w:numPr>
        <w:spacing w:before="0" w:after="120"/>
        <w:jc w:val="both"/>
      </w:pPr>
      <w:r w:rsidRPr="00A03EB8">
        <w:t xml:space="preserve">The </w:t>
      </w:r>
      <w:r w:rsidR="001C2FD5" w:rsidRPr="00352D6A">
        <w:t xml:space="preserve">PBAC considered the </w:t>
      </w:r>
      <w:r w:rsidRPr="00A03EB8">
        <w:t xml:space="preserve">claim </w:t>
      </w:r>
      <w:r w:rsidR="001C2FD5" w:rsidRPr="00352D6A">
        <w:t xml:space="preserve">of superior comparative effectiveness was not well supported </w:t>
      </w:r>
      <w:r w:rsidRPr="00A03EB8">
        <w:t xml:space="preserve">for patients with </w:t>
      </w:r>
      <w:r w:rsidR="001334D8" w:rsidRPr="00A03EB8">
        <w:t>Type II SMA</w:t>
      </w:r>
      <w:r w:rsidR="00FF4AEF" w:rsidRPr="00352D6A">
        <w:t xml:space="preserve"> as the clinical relevance </w:t>
      </w:r>
      <w:r w:rsidR="00FF4AEF" w:rsidRPr="00DD06C2">
        <w:t>of a 4.9</w:t>
      </w:r>
      <w:r w:rsidR="00FF4AEF" w:rsidRPr="00352D6A">
        <w:t xml:space="preserve"> point difference in HMSE is not clear and as it is not clear if this benefit is sustained for a longer period.</w:t>
      </w:r>
    </w:p>
    <w:p w:rsidR="00FF4AEF" w:rsidRPr="00352D6A" w:rsidRDefault="00FF4AEF">
      <w:pPr>
        <w:pStyle w:val="ListParagraph"/>
        <w:numPr>
          <w:ilvl w:val="1"/>
          <w:numId w:val="2"/>
        </w:numPr>
        <w:spacing w:before="0" w:after="120"/>
        <w:jc w:val="both"/>
      </w:pPr>
      <w:r w:rsidRPr="00352D6A">
        <w:t>The</w:t>
      </w:r>
      <w:r w:rsidRPr="00A03EB8">
        <w:t xml:space="preserve"> PBAC considered the claim of superior comparative effectiveness </w:t>
      </w:r>
      <w:r w:rsidRPr="00352D6A">
        <w:t>was</w:t>
      </w:r>
      <w:r w:rsidR="001C2FD5" w:rsidRPr="00352D6A">
        <w:t xml:space="preserve"> </w:t>
      </w:r>
      <w:r w:rsidR="001334D8" w:rsidRPr="00A03EB8">
        <w:t>not supported for patients with Type III SMA, with a lack of randomised comparative evidence in this patient population compared to sham-control.</w:t>
      </w:r>
    </w:p>
    <w:p w:rsidR="00BC6231" w:rsidRPr="00A03EB8" w:rsidRDefault="00FF4AEF" w:rsidP="009363AC">
      <w:pPr>
        <w:pStyle w:val="ListParagraph"/>
        <w:numPr>
          <w:ilvl w:val="1"/>
          <w:numId w:val="2"/>
        </w:numPr>
      </w:pPr>
      <w:r w:rsidRPr="00A03EB8">
        <w:t xml:space="preserve">The PSCR (p2) indicated that data from the current ongoing phase 3, open label extension study (SHINE) which aims to assess efficacy and safety of nusinersen over 3 years in  patients (n=274) with SMA previously in the ENDEAR, CHERISH, CS3A and CS12 trials would address uncertainty of the long-term benefit of treatment with nusinersen. The PBAC considered that while data from the SHINE study may support an effect over a longer period, it would not address its concerns regarding comparative effectiveness over a lifetime. </w:t>
      </w:r>
    </w:p>
    <w:p w:rsidR="001334D8" w:rsidRPr="00A03EB8" w:rsidRDefault="00FF4AEF">
      <w:pPr>
        <w:pStyle w:val="ListParagraph"/>
        <w:numPr>
          <w:ilvl w:val="1"/>
          <w:numId w:val="2"/>
        </w:numPr>
        <w:spacing w:before="0" w:after="120"/>
        <w:jc w:val="both"/>
      </w:pPr>
      <w:r w:rsidRPr="00A03EB8">
        <w:t>The PBAC noted that i</w:t>
      </w:r>
      <w:r w:rsidR="001334D8" w:rsidRPr="00A03EB8">
        <w:t>n relation to safety, while adverse event rates appeared similar for sham-control compared to nusinersen in the ENDEAR and CHERISH trials, in clinical practice there would not be a sham-control procedure and there could be reactions associated with administration via lumbar puncture, including a risk of infection that would not occur in patients receiving</w:t>
      </w:r>
      <w:r w:rsidR="007B1F30" w:rsidRPr="00A03EB8">
        <w:t xml:space="preserve"> standard care. </w:t>
      </w:r>
      <w:r w:rsidR="001334D8" w:rsidRPr="00A03EB8">
        <w:t xml:space="preserve">Overall, it was not apparent that </w:t>
      </w:r>
      <w:r w:rsidR="001334D8" w:rsidRPr="00A03EB8">
        <w:lastRenderedPageBreak/>
        <w:t xml:space="preserve">nusinersen would be no worse compared to placebo (no treatment), and it was particularly not apparent that the claim would be supported over the longer-term. </w:t>
      </w:r>
    </w:p>
    <w:p w:rsidR="001334D8" w:rsidRPr="00A03EB8" w:rsidRDefault="001334D8">
      <w:pPr>
        <w:pStyle w:val="Heading2"/>
        <w:jc w:val="both"/>
        <w:rPr>
          <w:i w:val="0"/>
        </w:rPr>
      </w:pPr>
      <w:bookmarkStart w:id="22" w:name="_Toc413139282"/>
      <w:bookmarkStart w:id="23" w:name="_Toc490533777"/>
      <w:r w:rsidRPr="00A03EB8">
        <w:rPr>
          <w:i w:val="0"/>
        </w:rPr>
        <w:t>Economic analysis</w:t>
      </w:r>
      <w:bookmarkEnd w:id="22"/>
      <w:bookmarkEnd w:id="23"/>
    </w:p>
    <w:p w:rsidR="007B1F30" w:rsidRPr="00A03EB8" w:rsidRDefault="007B1F30" w:rsidP="00022804">
      <w:pPr>
        <w:pStyle w:val="ListParagraph"/>
        <w:numPr>
          <w:ilvl w:val="1"/>
          <w:numId w:val="2"/>
        </w:numPr>
        <w:spacing w:before="0"/>
        <w:ind w:left="578" w:hanging="578"/>
        <w:jc w:val="both"/>
      </w:pPr>
      <w:bookmarkStart w:id="24" w:name="_Toc413139284"/>
      <w:r w:rsidRPr="00A03EB8">
        <w:t xml:space="preserve">The submission presented a separate cost-effectiveness evaluation for each of the three SMA Types </w:t>
      </w:r>
      <w:r w:rsidR="00BC6231" w:rsidRPr="00A03EB8">
        <w:t xml:space="preserve">(Types </w:t>
      </w:r>
      <w:r w:rsidRPr="00A03EB8">
        <w:t>I, II and III</w:t>
      </w:r>
      <w:r w:rsidR="00BC6231" w:rsidRPr="00A03EB8">
        <w:t>)</w:t>
      </w:r>
      <w:r w:rsidRPr="00A03EB8">
        <w:t xml:space="preserve">. </w:t>
      </w:r>
      <w:r w:rsidR="00DB4A6F" w:rsidRPr="00A03EB8">
        <w:t>A</w:t>
      </w:r>
      <w:r w:rsidRPr="00A03EB8">
        <w:t xml:space="preserve"> summary of the modelled economic evaluation presented for SMA Type I is presented in Table 10. </w:t>
      </w:r>
    </w:p>
    <w:p w:rsidR="007B1F30" w:rsidRPr="00A03EB8" w:rsidRDefault="007B1F30" w:rsidP="007B1F30">
      <w:pPr>
        <w:pStyle w:val="TableHeading0"/>
      </w:pPr>
      <w:r w:rsidRPr="00A03EB8">
        <w:t>Table 10: SMA Type I;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96"/>
        <w:gridCol w:w="6786"/>
      </w:tblGrid>
      <w:tr w:rsidR="007B1F30" w:rsidRPr="00A03EB8" w:rsidTr="0084396C">
        <w:trPr>
          <w:tblHeader/>
        </w:trPr>
        <w:tc>
          <w:tcPr>
            <w:tcW w:w="1264" w:type="pct"/>
            <w:shd w:val="clear" w:color="auto" w:fill="auto"/>
            <w:vAlign w:val="center"/>
          </w:tcPr>
          <w:p w:rsidR="007B1F30" w:rsidRPr="00A03EB8" w:rsidRDefault="007B1F30" w:rsidP="0084396C">
            <w:pPr>
              <w:pStyle w:val="TableText"/>
              <w:rPr>
                <w:b/>
              </w:rPr>
            </w:pPr>
            <w:r w:rsidRPr="00A03EB8">
              <w:rPr>
                <w:b/>
              </w:rPr>
              <w:t>Component</w:t>
            </w:r>
          </w:p>
        </w:tc>
        <w:tc>
          <w:tcPr>
            <w:tcW w:w="3736" w:type="pct"/>
            <w:shd w:val="clear" w:color="auto" w:fill="auto"/>
            <w:vAlign w:val="center"/>
          </w:tcPr>
          <w:p w:rsidR="007B1F30" w:rsidRPr="00A03EB8" w:rsidRDefault="007B1F30" w:rsidP="0084396C">
            <w:pPr>
              <w:pStyle w:val="TableText"/>
              <w:rPr>
                <w:b/>
              </w:rPr>
            </w:pPr>
            <w:r w:rsidRPr="00A03EB8">
              <w:rPr>
                <w:b/>
              </w:rPr>
              <w:t>Summary</w:t>
            </w:r>
          </w:p>
        </w:tc>
      </w:tr>
      <w:tr w:rsidR="007B1F30" w:rsidRPr="00A03EB8" w:rsidTr="0084396C">
        <w:tc>
          <w:tcPr>
            <w:tcW w:w="1264" w:type="pct"/>
            <w:shd w:val="clear" w:color="auto" w:fill="auto"/>
            <w:vAlign w:val="center"/>
          </w:tcPr>
          <w:p w:rsidR="007B1F30" w:rsidRPr="00A03EB8" w:rsidRDefault="007B1F30" w:rsidP="0084396C">
            <w:pPr>
              <w:pStyle w:val="TableText"/>
            </w:pPr>
            <w:r w:rsidRPr="00A03EB8">
              <w:t>Time horizon</w:t>
            </w:r>
          </w:p>
        </w:tc>
        <w:tc>
          <w:tcPr>
            <w:tcW w:w="3736" w:type="pct"/>
            <w:shd w:val="clear" w:color="auto" w:fill="auto"/>
            <w:vAlign w:val="center"/>
          </w:tcPr>
          <w:p w:rsidR="007B1F30" w:rsidRPr="00A03EB8" w:rsidRDefault="007B1F30" w:rsidP="0084396C">
            <w:pPr>
              <w:pStyle w:val="TableText"/>
              <w:rPr>
                <w:rFonts w:ascii="Times" w:eastAsia="Times New Roman" w:hAnsi="Times" w:cs="Times New Roman"/>
              </w:rPr>
            </w:pPr>
            <w:r w:rsidRPr="00A03EB8">
              <w:t>100 years in the model base case versus 13 months in trial</w:t>
            </w:r>
          </w:p>
        </w:tc>
      </w:tr>
      <w:tr w:rsidR="007B1F30" w:rsidRPr="00A03EB8" w:rsidTr="0084396C">
        <w:tc>
          <w:tcPr>
            <w:tcW w:w="1264" w:type="pct"/>
            <w:shd w:val="clear" w:color="auto" w:fill="auto"/>
            <w:vAlign w:val="center"/>
          </w:tcPr>
          <w:p w:rsidR="007B1F30" w:rsidRPr="00A03EB8" w:rsidRDefault="007B1F30" w:rsidP="0084396C">
            <w:pPr>
              <w:pStyle w:val="TableText"/>
              <w:rPr>
                <w:rFonts w:ascii="Times" w:eastAsia="Times New Roman" w:hAnsi="Times" w:cs="Times New Roman"/>
              </w:rPr>
            </w:pPr>
            <w:r w:rsidRPr="00A03EB8">
              <w:t>Outcomes</w:t>
            </w:r>
          </w:p>
        </w:tc>
        <w:tc>
          <w:tcPr>
            <w:tcW w:w="3736" w:type="pct"/>
            <w:shd w:val="clear" w:color="auto" w:fill="auto"/>
            <w:vAlign w:val="center"/>
          </w:tcPr>
          <w:p w:rsidR="007B1F30" w:rsidRPr="00A03EB8" w:rsidRDefault="007B1F30" w:rsidP="0084396C">
            <w:pPr>
              <w:pStyle w:val="TableText"/>
              <w:rPr>
                <w:rFonts w:ascii="Times" w:eastAsia="Times New Roman" w:hAnsi="Times" w:cs="Times New Roman"/>
              </w:rPr>
            </w:pPr>
            <w:r w:rsidRPr="00A03EB8">
              <w:t xml:space="preserve">LYG </w:t>
            </w:r>
          </w:p>
        </w:tc>
      </w:tr>
      <w:tr w:rsidR="007B1F30" w:rsidRPr="00A03EB8" w:rsidTr="0084396C">
        <w:tc>
          <w:tcPr>
            <w:tcW w:w="1264" w:type="pct"/>
            <w:shd w:val="clear" w:color="auto" w:fill="auto"/>
            <w:vAlign w:val="center"/>
          </w:tcPr>
          <w:p w:rsidR="007B1F30" w:rsidRPr="00A03EB8" w:rsidRDefault="007B1F30" w:rsidP="0084396C">
            <w:pPr>
              <w:pStyle w:val="TableText"/>
              <w:rPr>
                <w:rFonts w:ascii="Times" w:eastAsia="Times New Roman" w:hAnsi="Times" w:cs="Times New Roman"/>
              </w:rPr>
            </w:pPr>
            <w:r w:rsidRPr="00A03EB8">
              <w:t>Methods used to generate results</w:t>
            </w:r>
          </w:p>
        </w:tc>
        <w:tc>
          <w:tcPr>
            <w:tcW w:w="3736" w:type="pct"/>
            <w:shd w:val="clear" w:color="auto" w:fill="auto"/>
            <w:vAlign w:val="center"/>
          </w:tcPr>
          <w:p w:rsidR="007B1F30" w:rsidRPr="00A03EB8" w:rsidRDefault="007B1F30" w:rsidP="00BC6231">
            <w:pPr>
              <w:pStyle w:val="TableText"/>
              <w:rPr>
                <w:rFonts w:ascii="Times" w:eastAsia="Times New Roman" w:hAnsi="Times" w:cs="Times New Roman"/>
              </w:rPr>
            </w:pPr>
            <w:r w:rsidRPr="00A03EB8">
              <w:t xml:space="preserve">SMA Type I: A partitioned survival model with two health states (alive or dead). Kaplan Meier data from the standard care arm of ENDEAR (13 month trial) was extrapolated by fitting a Weibull model of the survival data from a natural history study of SMA (Farrar 2013) which was fitted to the Kaplan Meier data at 12 months.  Survival for nusinersen patients was estimated by applying the HR for overall survival (0.372). As the submission claimed the more appropriate outcome is Event Free Survival (EFS), the correct HR would </w:t>
            </w:r>
            <w:r w:rsidR="009147B0" w:rsidRPr="00A03EB8">
              <w:t xml:space="preserve">be the </w:t>
            </w:r>
            <w:r w:rsidRPr="00A03EB8">
              <w:t xml:space="preserve">HR </w:t>
            </w:r>
            <w:r w:rsidR="009147B0" w:rsidRPr="00A03EB8">
              <w:t xml:space="preserve">for </w:t>
            </w:r>
            <w:r w:rsidRPr="00A03EB8">
              <w:t>EFS (0.530).</w:t>
            </w:r>
          </w:p>
        </w:tc>
      </w:tr>
      <w:tr w:rsidR="007B1F30" w:rsidRPr="00A03EB8" w:rsidTr="0084396C">
        <w:tc>
          <w:tcPr>
            <w:tcW w:w="1264" w:type="pct"/>
            <w:shd w:val="clear" w:color="auto" w:fill="auto"/>
            <w:vAlign w:val="center"/>
          </w:tcPr>
          <w:p w:rsidR="007B1F30" w:rsidRPr="00A03EB8" w:rsidRDefault="007B1F30" w:rsidP="0084396C">
            <w:pPr>
              <w:pStyle w:val="TableText"/>
              <w:rPr>
                <w:rFonts w:ascii="Times" w:eastAsia="Times New Roman" w:hAnsi="Times" w:cs="Times New Roman"/>
              </w:rPr>
            </w:pPr>
            <w:r w:rsidRPr="00A03EB8">
              <w:t>Health states</w:t>
            </w:r>
          </w:p>
        </w:tc>
        <w:tc>
          <w:tcPr>
            <w:tcW w:w="3736" w:type="pct"/>
            <w:shd w:val="clear" w:color="auto" w:fill="auto"/>
            <w:vAlign w:val="center"/>
          </w:tcPr>
          <w:p w:rsidR="007B1F30" w:rsidRPr="00A03EB8" w:rsidRDefault="007B1F30" w:rsidP="0084396C">
            <w:pPr>
              <w:pStyle w:val="TableText"/>
              <w:rPr>
                <w:rFonts w:ascii="Times" w:eastAsia="Times New Roman" w:hAnsi="Times" w:cs="Times New Roman"/>
              </w:rPr>
            </w:pPr>
            <w:r w:rsidRPr="00A03EB8">
              <w:t xml:space="preserve">SMA Type I modelled two states, alive or dead </w:t>
            </w:r>
          </w:p>
        </w:tc>
      </w:tr>
      <w:tr w:rsidR="007B1F30" w:rsidRPr="00A03EB8" w:rsidTr="0084396C">
        <w:tc>
          <w:tcPr>
            <w:tcW w:w="1264" w:type="pct"/>
            <w:shd w:val="clear" w:color="auto" w:fill="auto"/>
            <w:vAlign w:val="center"/>
          </w:tcPr>
          <w:p w:rsidR="007B1F30" w:rsidRPr="00A03EB8" w:rsidRDefault="007B1F30" w:rsidP="0084396C">
            <w:pPr>
              <w:pStyle w:val="TableText"/>
              <w:rPr>
                <w:rFonts w:ascii="Times" w:eastAsia="Times New Roman" w:hAnsi="Times" w:cs="Times New Roman"/>
              </w:rPr>
            </w:pPr>
            <w:r w:rsidRPr="00A03EB8">
              <w:t>Utilities</w:t>
            </w:r>
          </w:p>
        </w:tc>
        <w:tc>
          <w:tcPr>
            <w:tcW w:w="3736" w:type="pct"/>
            <w:shd w:val="clear" w:color="auto" w:fill="auto"/>
            <w:vAlign w:val="center"/>
          </w:tcPr>
          <w:p w:rsidR="007B1F30" w:rsidRPr="00A03EB8" w:rsidRDefault="007B1F30" w:rsidP="0084396C">
            <w:pPr>
              <w:pStyle w:val="TableText"/>
              <w:rPr>
                <w:rFonts w:ascii="Times" w:eastAsia="Times New Roman" w:hAnsi="Times" w:cs="Times New Roman"/>
              </w:rPr>
            </w:pPr>
            <w:r w:rsidRPr="00A03EB8">
              <w:t xml:space="preserve">No utilities were used in the submission  </w:t>
            </w:r>
          </w:p>
        </w:tc>
      </w:tr>
      <w:tr w:rsidR="007B1F30" w:rsidRPr="00A03EB8" w:rsidTr="0084396C">
        <w:tc>
          <w:tcPr>
            <w:tcW w:w="1264" w:type="pct"/>
            <w:shd w:val="clear" w:color="auto" w:fill="auto"/>
            <w:vAlign w:val="center"/>
          </w:tcPr>
          <w:p w:rsidR="007B1F30" w:rsidRPr="00A03EB8" w:rsidRDefault="007B1F30" w:rsidP="0084396C">
            <w:pPr>
              <w:pStyle w:val="TableText"/>
              <w:rPr>
                <w:rFonts w:ascii="Times" w:eastAsia="Times New Roman" w:hAnsi="Times" w:cs="Times New Roman"/>
              </w:rPr>
            </w:pPr>
            <w:r w:rsidRPr="00A03EB8">
              <w:t>Cycle length</w:t>
            </w:r>
          </w:p>
        </w:tc>
        <w:tc>
          <w:tcPr>
            <w:tcW w:w="3736" w:type="pct"/>
            <w:shd w:val="clear" w:color="auto" w:fill="auto"/>
            <w:vAlign w:val="center"/>
          </w:tcPr>
          <w:p w:rsidR="007B1F30" w:rsidRPr="00A03EB8" w:rsidRDefault="007B1F30" w:rsidP="0084396C">
            <w:pPr>
              <w:pStyle w:val="TableText"/>
              <w:rPr>
                <w:rFonts w:ascii="Times" w:eastAsia="Times New Roman" w:hAnsi="Times" w:cs="Times New Roman"/>
              </w:rPr>
            </w:pPr>
            <w:r w:rsidRPr="00A03EB8">
              <w:t>4 months which is consistent with the</w:t>
            </w:r>
            <w:r w:rsidR="00BB753E" w:rsidRPr="00A03EB8">
              <w:t xml:space="preserve"> dosing interval in the</w:t>
            </w:r>
            <w:r w:rsidRPr="00A03EB8">
              <w:t xml:space="preserve"> draft PI</w:t>
            </w:r>
          </w:p>
        </w:tc>
      </w:tr>
      <w:tr w:rsidR="007B1F30" w:rsidRPr="00A03EB8" w:rsidTr="0084396C">
        <w:tc>
          <w:tcPr>
            <w:tcW w:w="1264" w:type="pct"/>
            <w:shd w:val="clear" w:color="auto" w:fill="auto"/>
            <w:vAlign w:val="center"/>
          </w:tcPr>
          <w:p w:rsidR="007B1F30" w:rsidRPr="00A03EB8" w:rsidRDefault="007B1F30" w:rsidP="0084396C">
            <w:pPr>
              <w:pStyle w:val="TableText"/>
              <w:rPr>
                <w:rFonts w:ascii="Times" w:eastAsia="Times New Roman" w:hAnsi="Times" w:cs="Times New Roman"/>
              </w:rPr>
            </w:pPr>
            <w:r w:rsidRPr="00A03EB8">
              <w:t>Transition probabilities</w:t>
            </w:r>
          </w:p>
        </w:tc>
        <w:tc>
          <w:tcPr>
            <w:tcW w:w="3736" w:type="pct"/>
            <w:shd w:val="clear" w:color="auto" w:fill="auto"/>
            <w:vAlign w:val="center"/>
          </w:tcPr>
          <w:p w:rsidR="007B1F30" w:rsidRPr="00A03EB8" w:rsidRDefault="007B1F30" w:rsidP="0084396C">
            <w:pPr>
              <w:pStyle w:val="TableText"/>
              <w:rPr>
                <w:rFonts w:ascii="Times" w:eastAsia="Times New Roman" w:hAnsi="Times" w:cs="Times New Roman"/>
              </w:rPr>
            </w:pPr>
            <w:r w:rsidRPr="00A03EB8">
              <w:t>Not applicable</w:t>
            </w:r>
          </w:p>
        </w:tc>
      </w:tr>
    </w:tbl>
    <w:p w:rsidR="007B1F30" w:rsidRPr="00A03EB8" w:rsidRDefault="007B1F30" w:rsidP="007B1F30">
      <w:pPr>
        <w:pStyle w:val="TableFooter"/>
      </w:pPr>
      <w:r w:rsidRPr="00A03EB8">
        <w:t>Source: reference sections/tables/spreadsheets within the submission</w:t>
      </w:r>
    </w:p>
    <w:p w:rsidR="007B1F30" w:rsidRPr="00A03EB8" w:rsidRDefault="007B1F30" w:rsidP="00022804">
      <w:pPr>
        <w:pStyle w:val="ListParagraph"/>
        <w:numPr>
          <w:ilvl w:val="1"/>
          <w:numId w:val="2"/>
        </w:numPr>
        <w:ind w:left="578" w:hanging="578"/>
        <w:jc w:val="both"/>
      </w:pPr>
      <w:r w:rsidRPr="00A03EB8">
        <w:t>The evaluations of SMA Types II and III were restricted to trial based evaluations of CHERISH and CS12</w:t>
      </w:r>
      <w:r w:rsidR="00DB4A6F" w:rsidRPr="00A03EB8">
        <w:t xml:space="preserve">, and were reported as a cost per responder, defined differentially as a </w:t>
      </w:r>
      <w:r w:rsidR="00DB4A6F" w:rsidRPr="00A03EB8">
        <w:rPr>
          <w:rFonts w:cstheme="minorHAnsi"/>
        </w:rPr>
        <w:t>≥</w:t>
      </w:r>
      <w:r w:rsidR="00DB4A6F" w:rsidRPr="00A03EB8">
        <w:t xml:space="preserve">3-point increase </w:t>
      </w:r>
      <w:r w:rsidR="000D4205" w:rsidRPr="00A03EB8">
        <w:t xml:space="preserve">over 15 months </w:t>
      </w:r>
      <w:r w:rsidR="00DB4A6F" w:rsidRPr="00A03EB8">
        <w:t xml:space="preserve">or </w:t>
      </w:r>
      <w:r w:rsidR="00DB4A6F" w:rsidRPr="00A03EB8">
        <w:rPr>
          <w:rFonts w:cstheme="minorHAnsi"/>
        </w:rPr>
        <w:t>≥</w:t>
      </w:r>
      <w:r w:rsidR="00DB4A6F" w:rsidRPr="00A03EB8">
        <w:t xml:space="preserve">0-point increase in the HFMSE score </w:t>
      </w:r>
      <w:r w:rsidR="000D4205" w:rsidRPr="00A03EB8">
        <w:t xml:space="preserve">over two years </w:t>
      </w:r>
      <w:r w:rsidR="00DB4A6F" w:rsidRPr="00A03EB8">
        <w:t>for SMA Type</w:t>
      </w:r>
      <w:r w:rsidR="006F4F1C" w:rsidRPr="00A03EB8">
        <w:t>s</w:t>
      </w:r>
      <w:r w:rsidR="00DB4A6F" w:rsidRPr="00A03EB8">
        <w:t xml:space="preserve"> II and III, respectively</w:t>
      </w:r>
      <w:r w:rsidRPr="00A03EB8">
        <w:t xml:space="preserve">.  </w:t>
      </w:r>
    </w:p>
    <w:p w:rsidR="00022804" w:rsidRPr="00A03EB8" w:rsidRDefault="00022804" w:rsidP="00022804">
      <w:pPr>
        <w:pStyle w:val="ListParagraph"/>
        <w:numPr>
          <w:ilvl w:val="1"/>
          <w:numId w:val="2"/>
        </w:numPr>
        <w:ind w:left="578" w:hanging="578"/>
        <w:jc w:val="both"/>
      </w:pPr>
      <w:r w:rsidRPr="00A03EB8">
        <w:t xml:space="preserve">All cost-effectiveness analyses were based on the special pricing arrangement proposed in the submission, </w:t>
      </w:r>
      <w:r w:rsidR="005F0590">
        <w:rPr>
          <w:noProof/>
          <w:color w:val="000000"/>
          <w:highlight w:val="black"/>
        </w:rPr>
        <w:t>'''''''' ''''''' '''' ''''''' '''''''' ''''''' '''''''''''''' ''''''''''' '''''''''''' ''''' '''''''''''''''</w:t>
      </w:r>
      <w:r w:rsidRPr="00A03EB8">
        <w:t>.</w:t>
      </w:r>
    </w:p>
    <w:p w:rsidR="00A03EB8" w:rsidRPr="00352D6A" w:rsidRDefault="00A03EB8" w:rsidP="00352D6A">
      <w:pPr>
        <w:jc w:val="both"/>
        <w:rPr>
          <w:b/>
          <w:i/>
        </w:rPr>
      </w:pPr>
      <w:r>
        <w:rPr>
          <w:b/>
          <w:i/>
        </w:rPr>
        <w:t xml:space="preserve">Type 1 </w:t>
      </w:r>
      <w:r w:rsidRPr="00352D6A">
        <w:rPr>
          <w:b/>
          <w:i/>
        </w:rPr>
        <w:t>SMA</w:t>
      </w:r>
    </w:p>
    <w:p w:rsidR="00390226" w:rsidRPr="00A03EB8" w:rsidRDefault="007B1F30" w:rsidP="00352D6A">
      <w:pPr>
        <w:pStyle w:val="ListParagraph"/>
        <w:numPr>
          <w:ilvl w:val="1"/>
          <w:numId w:val="2"/>
        </w:numPr>
        <w:spacing w:before="0" w:after="120" w:line="259" w:lineRule="auto"/>
        <w:ind w:left="578" w:hanging="578"/>
        <w:jc w:val="both"/>
        <w:rPr>
          <w:rFonts w:ascii="Arial Narrow" w:hAnsi="Arial Narrow"/>
          <w:b/>
          <w:sz w:val="20"/>
        </w:rPr>
      </w:pPr>
      <w:r w:rsidRPr="00A03EB8">
        <w:t xml:space="preserve">The key drivers of the SMA Type I model are shown in Table 11. </w:t>
      </w:r>
    </w:p>
    <w:p w:rsidR="007B1F30" w:rsidRPr="00A03EB8" w:rsidRDefault="007B1F30" w:rsidP="007B1F30">
      <w:pPr>
        <w:pStyle w:val="TableHeading0"/>
      </w:pPr>
      <w:r w:rsidRPr="00A03EB8">
        <w:t>Table 11: Key drivers of the model for SMA Type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51"/>
        <w:gridCol w:w="4285"/>
        <w:gridCol w:w="2946"/>
      </w:tblGrid>
      <w:tr w:rsidR="007B1F30" w:rsidRPr="00A03EB8" w:rsidTr="007B1F30">
        <w:trPr>
          <w:tblHeader/>
        </w:trPr>
        <w:tc>
          <w:tcPr>
            <w:tcW w:w="1019" w:type="pct"/>
            <w:shd w:val="clear" w:color="auto" w:fill="auto"/>
            <w:vAlign w:val="center"/>
          </w:tcPr>
          <w:p w:rsidR="007B1F30" w:rsidRPr="00A03EB8" w:rsidRDefault="007B1F30" w:rsidP="0084396C">
            <w:pPr>
              <w:pStyle w:val="TableText"/>
              <w:rPr>
                <w:b/>
              </w:rPr>
            </w:pPr>
            <w:r w:rsidRPr="00A03EB8">
              <w:rPr>
                <w:b/>
              </w:rPr>
              <w:t>Description</w:t>
            </w:r>
          </w:p>
        </w:tc>
        <w:tc>
          <w:tcPr>
            <w:tcW w:w="2359" w:type="pct"/>
            <w:shd w:val="clear" w:color="auto" w:fill="auto"/>
            <w:vAlign w:val="center"/>
          </w:tcPr>
          <w:p w:rsidR="007B1F30" w:rsidRPr="00A03EB8" w:rsidRDefault="007B1F30" w:rsidP="007B1F30">
            <w:pPr>
              <w:pStyle w:val="TableText"/>
              <w:jc w:val="center"/>
              <w:rPr>
                <w:b/>
              </w:rPr>
            </w:pPr>
            <w:r w:rsidRPr="00A03EB8">
              <w:rPr>
                <w:b/>
              </w:rPr>
              <w:t>Method/Value</w:t>
            </w:r>
          </w:p>
        </w:tc>
        <w:tc>
          <w:tcPr>
            <w:tcW w:w="1622" w:type="pct"/>
            <w:shd w:val="clear" w:color="auto" w:fill="auto"/>
            <w:vAlign w:val="center"/>
          </w:tcPr>
          <w:p w:rsidR="007B1F30" w:rsidRPr="00A03EB8" w:rsidRDefault="007B1F30" w:rsidP="007B1F30">
            <w:pPr>
              <w:pStyle w:val="TableText"/>
              <w:jc w:val="center"/>
              <w:rPr>
                <w:b/>
              </w:rPr>
            </w:pPr>
            <w:r w:rsidRPr="00A03EB8">
              <w:rPr>
                <w:b/>
              </w:rPr>
              <w:t>Impact</w:t>
            </w:r>
          </w:p>
        </w:tc>
      </w:tr>
      <w:tr w:rsidR="007B1F30" w:rsidRPr="00A03EB8" w:rsidTr="007B1F30">
        <w:trPr>
          <w:tblHeader/>
        </w:trPr>
        <w:tc>
          <w:tcPr>
            <w:tcW w:w="1019" w:type="pct"/>
            <w:shd w:val="clear" w:color="auto" w:fill="auto"/>
            <w:vAlign w:val="center"/>
          </w:tcPr>
          <w:p w:rsidR="007B1F30" w:rsidRPr="00A03EB8" w:rsidRDefault="007B1F30" w:rsidP="0084396C">
            <w:pPr>
              <w:pStyle w:val="TableText"/>
            </w:pPr>
            <w:r w:rsidRPr="00A03EB8">
              <w:t>Cost of nusinersen</w:t>
            </w:r>
          </w:p>
        </w:tc>
        <w:tc>
          <w:tcPr>
            <w:tcW w:w="2359" w:type="pct"/>
            <w:shd w:val="clear" w:color="auto" w:fill="auto"/>
            <w:vAlign w:val="center"/>
          </w:tcPr>
          <w:p w:rsidR="007B1F30" w:rsidRPr="00A03EB8" w:rsidRDefault="007B1F30" w:rsidP="0084396C">
            <w:pPr>
              <w:pStyle w:val="TableText"/>
            </w:pPr>
            <w:r w:rsidRPr="00A03EB8">
              <w:t>Proposed price (including special pricing arrangement)</w:t>
            </w:r>
          </w:p>
        </w:tc>
        <w:tc>
          <w:tcPr>
            <w:tcW w:w="1622" w:type="pct"/>
            <w:shd w:val="clear" w:color="auto" w:fill="auto"/>
            <w:vAlign w:val="center"/>
          </w:tcPr>
          <w:p w:rsidR="007B1F30" w:rsidRPr="00A03EB8" w:rsidRDefault="007B1F30" w:rsidP="0084396C">
            <w:pPr>
              <w:pStyle w:val="TableText"/>
            </w:pPr>
            <w:r w:rsidRPr="00A03EB8">
              <w:t>High, favours placebo (standard care)</w:t>
            </w:r>
          </w:p>
        </w:tc>
      </w:tr>
      <w:tr w:rsidR="007B1F30" w:rsidRPr="00A03EB8" w:rsidTr="007B1F30">
        <w:tc>
          <w:tcPr>
            <w:tcW w:w="1019" w:type="pct"/>
            <w:shd w:val="clear" w:color="auto" w:fill="auto"/>
            <w:vAlign w:val="center"/>
          </w:tcPr>
          <w:p w:rsidR="007B1F30" w:rsidRPr="00A03EB8" w:rsidRDefault="007B1F30" w:rsidP="0084396C">
            <w:pPr>
              <w:pStyle w:val="TableText"/>
            </w:pPr>
            <w:r w:rsidRPr="00A03EB8">
              <w:t>Extrapolation</w:t>
            </w:r>
          </w:p>
        </w:tc>
        <w:tc>
          <w:tcPr>
            <w:tcW w:w="2359" w:type="pct"/>
            <w:shd w:val="clear" w:color="auto" w:fill="auto"/>
            <w:vAlign w:val="center"/>
          </w:tcPr>
          <w:p w:rsidR="007B1F30" w:rsidRPr="00A03EB8" w:rsidRDefault="007B1F30" w:rsidP="0084396C">
            <w:pPr>
              <w:pStyle w:val="TableText"/>
            </w:pPr>
            <w:r w:rsidRPr="00A03EB8">
              <w:t xml:space="preserve">Treatment effect continued beyond 13 month trial period for up to 100 years (although median survival is predicted to be only a 2-3 years); </w:t>
            </w:r>
          </w:p>
        </w:tc>
        <w:tc>
          <w:tcPr>
            <w:tcW w:w="1622" w:type="pct"/>
            <w:shd w:val="clear" w:color="auto" w:fill="auto"/>
            <w:vAlign w:val="center"/>
          </w:tcPr>
          <w:p w:rsidR="007B1F30" w:rsidRPr="00A03EB8" w:rsidRDefault="007B1F30" w:rsidP="0084396C">
            <w:pPr>
              <w:pStyle w:val="TableText"/>
            </w:pPr>
            <w:r w:rsidRPr="00A03EB8">
              <w:t>High, favours nusinersen</w:t>
            </w:r>
          </w:p>
        </w:tc>
      </w:tr>
      <w:tr w:rsidR="007B1F30" w:rsidRPr="00A03EB8" w:rsidTr="007B1F30">
        <w:tc>
          <w:tcPr>
            <w:tcW w:w="1019" w:type="pct"/>
            <w:shd w:val="clear" w:color="auto" w:fill="auto"/>
            <w:vAlign w:val="center"/>
          </w:tcPr>
          <w:p w:rsidR="007B1F30" w:rsidRPr="00A03EB8" w:rsidRDefault="007B1F30" w:rsidP="0084396C">
            <w:pPr>
              <w:pStyle w:val="TableText"/>
            </w:pPr>
            <w:r w:rsidRPr="00A03EB8">
              <w:t>Utilities</w:t>
            </w:r>
          </w:p>
        </w:tc>
        <w:tc>
          <w:tcPr>
            <w:tcW w:w="2359" w:type="pct"/>
            <w:shd w:val="clear" w:color="auto" w:fill="auto"/>
            <w:vAlign w:val="center"/>
          </w:tcPr>
          <w:p w:rsidR="007B1F30" w:rsidRPr="00A03EB8" w:rsidRDefault="007B1F30" w:rsidP="0084396C">
            <w:pPr>
              <w:pStyle w:val="TableText"/>
            </w:pPr>
            <w:r w:rsidRPr="00A03EB8">
              <w:t>No utility values are used</w:t>
            </w:r>
          </w:p>
        </w:tc>
        <w:tc>
          <w:tcPr>
            <w:tcW w:w="1622" w:type="pct"/>
            <w:shd w:val="clear" w:color="auto" w:fill="auto"/>
            <w:vAlign w:val="center"/>
          </w:tcPr>
          <w:p w:rsidR="007B1F30" w:rsidRPr="00A03EB8" w:rsidRDefault="007B1F30" w:rsidP="0084396C">
            <w:pPr>
              <w:pStyle w:val="TableText"/>
            </w:pPr>
            <w:r w:rsidRPr="00A03EB8">
              <w:t>High, favours nusinersen</w:t>
            </w:r>
          </w:p>
        </w:tc>
      </w:tr>
    </w:tbl>
    <w:p w:rsidR="007B1F30" w:rsidRPr="00A03EB8" w:rsidRDefault="007B1F30" w:rsidP="007B1F30">
      <w:pPr>
        <w:pStyle w:val="TableFooter"/>
      </w:pPr>
      <w:r w:rsidRPr="00A03EB8">
        <w:t>Source: compiled during the evaluation</w:t>
      </w:r>
    </w:p>
    <w:p w:rsidR="007B1F30" w:rsidRPr="00A03EB8" w:rsidRDefault="0084396C" w:rsidP="00022804">
      <w:pPr>
        <w:pStyle w:val="ListParagraph"/>
        <w:numPr>
          <w:ilvl w:val="1"/>
          <w:numId w:val="2"/>
        </w:numPr>
        <w:spacing w:before="0"/>
        <w:ind w:left="578" w:hanging="578"/>
        <w:jc w:val="both"/>
      </w:pPr>
      <w:r w:rsidRPr="00A03EB8">
        <w:t>For SMA Type I, t</w:t>
      </w:r>
      <w:r w:rsidR="007B1F30" w:rsidRPr="00A03EB8">
        <w:t>he submission presented a number of ‘steps’ both in the main body of the submission (and in the Excel file ‘Section 3 Nusinersen July 2017 PBAC Type I.xlsx’) including some which are more appropriately considered to be sensitivity analyses. The key steps are shown in Table 12.</w:t>
      </w:r>
    </w:p>
    <w:p w:rsidR="007B1F30" w:rsidRPr="00A03EB8" w:rsidRDefault="007B1F30" w:rsidP="007B1F30">
      <w:pPr>
        <w:pStyle w:val="TableHeading0"/>
      </w:pPr>
      <w:r w:rsidRPr="00A03EB8">
        <w:lastRenderedPageBreak/>
        <w:t>Table 12: SMA Type I: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80"/>
        <w:gridCol w:w="2102"/>
        <w:gridCol w:w="2102"/>
        <w:gridCol w:w="2098"/>
      </w:tblGrid>
      <w:tr w:rsidR="007B1F30" w:rsidRPr="00A03EB8" w:rsidTr="007B1F30">
        <w:trPr>
          <w:tblHeader/>
        </w:trPr>
        <w:tc>
          <w:tcPr>
            <w:tcW w:w="1531" w:type="pct"/>
            <w:vAlign w:val="center"/>
          </w:tcPr>
          <w:p w:rsidR="007B1F30" w:rsidRPr="00A03EB8" w:rsidRDefault="007B1F30" w:rsidP="0084396C">
            <w:pPr>
              <w:pStyle w:val="TableText"/>
              <w:rPr>
                <w:b/>
              </w:rPr>
            </w:pPr>
            <w:r w:rsidRPr="00A03EB8">
              <w:rPr>
                <w:b/>
              </w:rPr>
              <w:t>Step and component</w:t>
            </w:r>
          </w:p>
        </w:tc>
        <w:tc>
          <w:tcPr>
            <w:tcW w:w="1157" w:type="pct"/>
            <w:vAlign w:val="center"/>
          </w:tcPr>
          <w:p w:rsidR="007B1F30" w:rsidRPr="00A03EB8" w:rsidRDefault="007B1F30" w:rsidP="007B1F30">
            <w:pPr>
              <w:pStyle w:val="TableText"/>
              <w:jc w:val="center"/>
              <w:rPr>
                <w:b/>
              </w:rPr>
            </w:pPr>
            <w:r w:rsidRPr="00A03EB8">
              <w:rPr>
                <w:b/>
              </w:rPr>
              <w:t>Nusinersen</w:t>
            </w:r>
          </w:p>
        </w:tc>
        <w:tc>
          <w:tcPr>
            <w:tcW w:w="1157" w:type="pct"/>
            <w:vAlign w:val="center"/>
          </w:tcPr>
          <w:p w:rsidR="007B1F30" w:rsidRPr="00A03EB8" w:rsidRDefault="007B1F30" w:rsidP="007B1F30">
            <w:pPr>
              <w:pStyle w:val="TableText"/>
              <w:jc w:val="center"/>
              <w:rPr>
                <w:b/>
              </w:rPr>
            </w:pPr>
            <w:r w:rsidRPr="00A03EB8">
              <w:rPr>
                <w:b/>
              </w:rPr>
              <w:t>Placebo (standard care)</w:t>
            </w:r>
          </w:p>
        </w:tc>
        <w:tc>
          <w:tcPr>
            <w:tcW w:w="1155" w:type="pct"/>
            <w:vAlign w:val="center"/>
          </w:tcPr>
          <w:p w:rsidR="007B1F30" w:rsidRPr="00A03EB8" w:rsidRDefault="007B1F30" w:rsidP="007B1F30">
            <w:pPr>
              <w:pStyle w:val="TableText"/>
              <w:jc w:val="center"/>
              <w:rPr>
                <w:b/>
              </w:rPr>
            </w:pPr>
            <w:r w:rsidRPr="00A03EB8">
              <w:rPr>
                <w:b/>
              </w:rPr>
              <w:t>Increment</w:t>
            </w:r>
          </w:p>
        </w:tc>
      </w:tr>
      <w:tr w:rsidR="007B1F30" w:rsidRPr="00A03EB8" w:rsidTr="0084396C">
        <w:tc>
          <w:tcPr>
            <w:tcW w:w="5000" w:type="pct"/>
            <w:gridSpan w:val="4"/>
            <w:vAlign w:val="center"/>
          </w:tcPr>
          <w:p w:rsidR="007B1F30" w:rsidRPr="00A03EB8" w:rsidRDefault="007B1F30" w:rsidP="0084396C">
            <w:pPr>
              <w:pStyle w:val="TableText"/>
              <w:rPr>
                <w:b/>
                <w:snapToGrid w:val="0"/>
              </w:rPr>
            </w:pPr>
            <w:r w:rsidRPr="00A03EB8">
              <w:rPr>
                <w:b/>
                <w:snapToGrid w:val="0"/>
              </w:rPr>
              <w:t>Step 1: ENDEAR-based costs and outcomes</w:t>
            </w:r>
          </w:p>
        </w:tc>
      </w:tr>
      <w:tr w:rsidR="007B1F30" w:rsidRPr="00A03EB8" w:rsidTr="007B1F30">
        <w:tc>
          <w:tcPr>
            <w:tcW w:w="1531" w:type="pct"/>
            <w:vAlign w:val="center"/>
          </w:tcPr>
          <w:p w:rsidR="007B1F30" w:rsidRPr="00A03EB8" w:rsidRDefault="007B1F30" w:rsidP="0084396C">
            <w:pPr>
              <w:pStyle w:val="TableText"/>
              <w:rPr>
                <w:rFonts w:ascii="Times" w:eastAsia="Times New Roman" w:hAnsi="Times" w:cs="Times New Roman"/>
              </w:rPr>
            </w:pPr>
            <w:r w:rsidRPr="00A03EB8">
              <w:t>Costs</w:t>
            </w:r>
          </w:p>
        </w:tc>
        <w:tc>
          <w:tcPr>
            <w:tcW w:w="1157"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w:t>
            </w:r>
            <w:r w:rsidR="005F0590">
              <w:rPr>
                <w:noProof/>
                <w:color w:val="000000"/>
                <w:szCs w:val="20"/>
                <w:highlight w:val="black"/>
              </w:rPr>
              <w:t>''''''''''''''''''''</w:t>
            </w:r>
          </w:p>
        </w:tc>
        <w:tc>
          <w:tcPr>
            <w:tcW w:w="1157"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w:t>
            </w:r>
            <w:r w:rsidR="005F0590">
              <w:rPr>
                <w:noProof/>
                <w:color w:val="000000"/>
                <w:szCs w:val="20"/>
                <w:highlight w:val="black"/>
              </w:rPr>
              <w:t>''''</w:t>
            </w:r>
          </w:p>
        </w:tc>
        <w:tc>
          <w:tcPr>
            <w:tcW w:w="1155"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w:t>
            </w:r>
            <w:r w:rsidR="005F0590">
              <w:rPr>
                <w:noProof/>
                <w:color w:val="000000"/>
                <w:szCs w:val="20"/>
                <w:highlight w:val="black"/>
              </w:rPr>
              <w:t>''''''''''''''''''</w:t>
            </w:r>
          </w:p>
        </w:tc>
      </w:tr>
      <w:tr w:rsidR="007B1F30" w:rsidRPr="00A03EB8" w:rsidTr="007B1F30">
        <w:tc>
          <w:tcPr>
            <w:tcW w:w="1531" w:type="pct"/>
            <w:vAlign w:val="center"/>
          </w:tcPr>
          <w:p w:rsidR="007B1F30" w:rsidRPr="00A03EB8" w:rsidRDefault="007B1F30" w:rsidP="0084396C">
            <w:pPr>
              <w:pStyle w:val="TableText"/>
              <w:rPr>
                <w:rFonts w:ascii="Times" w:eastAsia="Times New Roman" w:hAnsi="Times" w:cs="Times New Roman"/>
              </w:rPr>
            </w:pPr>
            <w:r w:rsidRPr="00A03EB8">
              <w:t>Responder</w:t>
            </w:r>
          </w:p>
        </w:tc>
        <w:tc>
          <w:tcPr>
            <w:tcW w:w="1157"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51%</w:t>
            </w:r>
          </w:p>
        </w:tc>
        <w:tc>
          <w:tcPr>
            <w:tcW w:w="1157"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0%</w:t>
            </w:r>
          </w:p>
        </w:tc>
        <w:tc>
          <w:tcPr>
            <w:tcW w:w="1155" w:type="pct"/>
            <w:vAlign w:val="center"/>
          </w:tcPr>
          <w:p w:rsidR="007B1F30" w:rsidRPr="00A03EB8" w:rsidRDefault="007B1F30" w:rsidP="007B1F30">
            <w:pPr>
              <w:pStyle w:val="TableText"/>
              <w:jc w:val="center"/>
            </w:pPr>
            <w:r w:rsidRPr="00A03EB8">
              <w:t>51%</w:t>
            </w:r>
          </w:p>
        </w:tc>
      </w:tr>
      <w:tr w:rsidR="007B1F30" w:rsidRPr="00A03EB8" w:rsidTr="007B1F30">
        <w:tc>
          <w:tcPr>
            <w:tcW w:w="3845" w:type="pct"/>
            <w:gridSpan w:val="3"/>
            <w:vAlign w:val="center"/>
          </w:tcPr>
          <w:p w:rsidR="007B1F30" w:rsidRPr="00A03EB8" w:rsidRDefault="007B1F30" w:rsidP="0084396C">
            <w:pPr>
              <w:pStyle w:val="TableText"/>
              <w:rPr>
                <w:rFonts w:ascii="Times" w:eastAsia="Times New Roman" w:hAnsi="Times" w:cs="Times New Roman"/>
                <w:snapToGrid w:val="0"/>
              </w:rPr>
            </w:pPr>
            <w:r w:rsidRPr="00A03EB8">
              <w:t>Incremental cost/extra responder gained</w:t>
            </w:r>
          </w:p>
        </w:tc>
        <w:tc>
          <w:tcPr>
            <w:tcW w:w="1155"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w:t>
            </w:r>
            <w:r w:rsidR="005F0590">
              <w:rPr>
                <w:noProof/>
                <w:color w:val="000000"/>
                <w:szCs w:val="20"/>
                <w:highlight w:val="black"/>
              </w:rPr>
              <w:t>'''''''''''''''''''''</w:t>
            </w:r>
          </w:p>
        </w:tc>
      </w:tr>
      <w:tr w:rsidR="007B1F30" w:rsidRPr="00A03EB8" w:rsidTr="0084396C">
        <w:tc>
          <w:tcPr>
            <w:tcW w:w="5000" w:type="pct"/>
            <w:gridSpan w:val="4"/>
            <w:vAlign w:val="center"/>
          </w:tcPr>
          <w:p w:rsidR="007B1F30" w:rsidRPr="00A03EB8" w:rsidRDefault="007B1F30" w:rsidP="0084396C">
            <w:pPr>
              <w:pStyle w:val="TableText"/>
              <w:rPr>
                <w:b/>
                <w:snapToGrid w:val="0"/>
              </w:rPr>
            </w:pPr>
            <w:r w:rsidRPr="00A03EB8">
              <w:rPr>
                <w:b/>
                <w:snapToGrid w:val="0"/>
              </w:rPr>
              <w:t>Step 2: ENDEAR evidence transformed to clinical outcome (using Weibull model of trial outcome of EFS)</w:t>
            </w:r>
          </w:p>
        </w:tc>
      </w:tr>
      <w:tr w:rsidR="007B1F30" w:rsidRPr="00A03EB8" w:rsidTr="007B1F30">
        <w:tc>
          <w:tcPr>
            <w:tcW w:w="1531" w:type="pct"/>
            <w:vAlign w:val="center"/>
          </w:tcPr>
          <w:p w:rsidR="007B1F30" w:rsidRPr="00A03EB8" w:rsidRDefault="007B1F30" w:rsidP="0084396C">
            <w:pPr>
              <w:pStyle w:val="TableText"/>
              <w:rPr>
                <w:rFonts w:ascii="Times" w:eastAsia="Times New Roman" w:hAnsi="Times" w:cs="Times New Roman"/>
              </w:rPr>
            </w:pPr>
            <w:r w:rsidRPr="00A03EB8">
              <w:t>Costs</w:t>
            </w:r>
          </w:p>
        </w:tc>
        <w:tc>
          <w:tcPr>
            <w:tcW w:w="1157"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w:t>
            </w:r>
            <w:r w:rsidR="005F0590">
              <w:rPr>
                <w:noProof/>
                <w:color w:val="000000"/>
                <w:szCs w:val="20"/>
                <w:highlight w:val="black"/>
              </w:rPr>
              <w:t>''''''''''''''''''''</w:t>
            </w:r>
          </w:p>
        </w:tc>
        <w:tc>
          <w:tcPr>
            <w:tcW w:w="1157"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w:t>
            </w:r>
            <w:r w:rsidR="005F0590">
              <w:rPr>
                <w:noProof/>
                <w:color w:val="000000"/>
                <w:szCs w:val="20"/>
                <w:highlight w:val="black"/>
              </w:rPr>
              <w:t>'''</w:t>
            </w:r>
          </w:p>
        </w:tc>
        <w:tc>
          <w:tcPr>
            <w:tcW w:w="1155"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w:t>
            </w:r>
            <w:r w:rsidR="005F0590">
              <w:rPr>
                <w:noProof/>
                <w:color w:val="000000"/>
                <w:szCs w:val="20"/>
                <w:highlight w:val="black"/>
              </w:rPr>
              <w:t>'''''''''''''''''</w:t>
            </w:r>
          </w:p>
        </w:tc>
      </w:tr>
      <w:tr w:rsidR="007B1F30" w:rsidRPr="00A03EB8" w:rsidTr="007B1F30">
        <w:tc>
          <w:tcPr>
            <w:tcW w:w="1531" w:type="pct"/>
            <w:vAlign w:val="center"/>
          </w:tcPr>
          <w:p w:rsidR="007B1F30" w:rsidRPr="00A03EB8" w:rsidRDefault="007B1F30" w:rsidP="0084396C">
            <w:pPr>
              <w:pStyle w:val="TableText"/>
              <w:rPr>
                <w:rFonts w:ascii="Times" w:eastAsia="Times New Roman" w:hAnsi="Times" w:cs="Times New Roman"/>
              </w:rPr>
            </w:pPr>
            <w:r w:rsidRPr="00A03EB8">
              <w:t>LYG</w:t>
            </w:r>
          </w:p>
        </w:tc>
        <w:tc>
          <w:tcPr>
            <w:tcW w:w="1157"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0.7096</w:t>
            </w:r>
          </w:p>
        </w:tc>
        <w:tc>
          <w:tcPr>
            <w:tcW w:w="1157"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0.5144</w:t>
            </w:r>
          </w:p>
        </w:tc>
        <w:tc>
          <w:tcPr>
            <w:tcW w:w="1155" w:type="pct"/>
            <w:vAlign w:val="center"/>
          </w:tcPr>
          <w:p w:rsidR="007B1F30" w:rsidRPr="00A03EB8" w:rsidRDefault="007B1F30" w:rsidP="007B1F30">
            <w:pPr>
              <w:pStyle w:val="TableText"/>
              <w:jc w:val="center"/>
            </w:pPr>
            <w:r w:rsidRPr="00A03EB8">
              <w:rPr>
                <w:szCs w:val="20"/>
              </w:rPr>
              <w:t>0.19525</w:t>
            </w:r>
          </w:p>
        </w:tc>
      </w:tr>
      <w:tr w:rsidR="007B1F30" w:rsidRPr="00A03EB8" w:rsidTr="007B1F30">
        <w:tc>
          <w:tcPr>
            <w:tcW w:w="3845" w:type="pct"/>
            <w:gridSpan w:val="3"/>
            <w:vAlign w:val="center"/>
          </w:tcPr>
          <w:p w:rsidR="007B1F30" w:rsidRPr="00A03EB8" w:rsidRDefault="007B1F30" w:rsidP="0084396C">
            <w:pPr>
              <w:pStyle w:val="TableText"/>
              <w:rPr>
                <w:rFonts w:ascii="Times" w:eastAsia="Times New Roman" w:hAnsi="Times" w:cs="Times New Roman"/>
                <w:snapToGrid w:val="0"/>
              </w:rPr>
            </w:pPr>
            <w:r w:rsidRPr="00A03EB8">
              <w:t>Incremental cost/extra LYG</w:t>
            </w:r>
          </w:p>
        </w:tc>
        <w:tc>
          <w:tcPr>
            <w:tcW w:w="1155"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w:t>
            </w:r>
            <w:r w:rsidR="005F0590">
              <w:rPr>
                <w:noProof/>
                <w:color w:val="000000"/>
                <w:szCs w:val="20"/>
                <w:highlight w:val="black"/>
              </w:rPr>
              <w:t>'''''''''''''''''''''''''</w:t>
            </w:r>
          </w:p>
        </w:tc>
      </w:tr>
      <w:tr w:rsidR="007B1F30" w:rsidRPr="00A03EB8" w:rsidTr="0084396C">
        <w:tc>
          <w:tcPr>
            <w:tcW w:w="5000" w:type="pct"/>
            <w:gridSpan w:val="4"/>
            <w:vAlign w:val="center"/>
          </w:tcPr>
          <w:p w:rsidR="007B1F30" w:rsidRPr="00A03EB8" w:rsidRDefault="007B1F30" w:rsidP="0084396C">
            <w:pPr>
              <w:pStyle w:val="TableText"/>
              <w:rPr>
                <w:b/>
                <w:snapToGrid w:val="0"/>
              </w:rPr>
            </w:pPr>
            <w:r w:rsidRPr="00A03EB8">
              <w:rPr>
                <w:b/>
                <w:snapToGrid w:val="0"/>
              </w:rPr>
              <w:t>Step 3: ENDEAR evidence extrapolated to the appropriate time horizon (using Weibull model of trial of EFS)</w:t>
            </w:r>
          </w:p>
        </w:tc>
      </w:tr>
      <w:tr w:rsidR="007B1F30" w:rsidRPr="00A03EB8" w:rsidTr="007B1F30">
        <w:tc>
          <w:tcPr>
            <w:tcW w:w="1531" w:type="pct"/>
            <w:vAlign w:val="center"/>
          </w:tcPr>
          <w:p w:rsidR="007B1F30" w:rsidRPr="00A03EB8" w:rsidRDefault="007B1F30" w:rsidP="0084396C">
            <w:pPr>
              <w:pStyle w:val="TableText"/>
              <w:rPr>
                <w:rFonts w:ascii="Times" w:eastAsia="Times New Roman" w:hAnsi="Times" w:cs="Times New Roman"/>
              </w:rPr>
            </w:pPr>
            <w:r w:rsidRPr="00A03EB8">
              <w:t>Costs</w:t>
            </w:r>
          </w:p>
        </w:tc>
        <w:tc>
          <w:tcPr>
            <w:tcW w:w="1157" w:type="pct"/>
            <w:vAlign w:val="center"/>
          </w:tcPr>
          <w:p w:rsidR="007B1F30" w:rsidRPr="00A03EB8" w:rsidRDefault="007B1F30" w:rsidP="007B1F30">
            <w:pPr>
              <w:pStyle w:val="TableText"/>
              <w:jc w:val="center"/>
              <w:rPr>
                <w:rFonts w:ascii="Times" w:eastAsia="Times New Roman" w:hAnsi="Times" w:cs="Times New Roman"/>
              </w:rPr>
            </w:pPr>
            <w:r w:rsidRPr="00A03EB8">
              <w:t>$</w:t>
            </w:r>
            <w:r w:rsidR="005F0590">
              <w:rPr>
                <w:noProof/>
                <w:color w:val="000000"/>
                <w:highlight w:val="black"/>
              </w:rPr>
              <w:t>'''''''''''''''''''''''</w:t>
            </w:r>
          </w:p>
        </w:tc>
        <w:tc>
          <w:tcPr>
            <w:tcW w:w="1157" w:type="pct"/>
            <w:vAlign w:val="center"/>
          </w:tcPr>
          <w:p w:rsidR="007B1F30" w:rsidRPr="00A03EB8" w:rsidRDefault="007B1F30" w:rsidP="007B1F30">
            <w:pPr>
              <w:pStyle w:val="TableText"/>
              <w:jc w:val="center"/>
              <w:rPr>
                <w:rFonts w:ascii="Times" w:eastAsia="Times New Roman" w:hAnsi="Times" w:cs="Times New Roman"/>
              </w:rPr>
            </w:pPr>
            <w:r w:rsidRPr="00A03EB8">
              <w:t>$</w:t>
            </w:r>
            <w:r w:rsidR="005F0590">
              <w:rPr>
                <w:noProof/>
                <w:color w:val="000000"/>
                <w:highlight w:val="black"/>
              </w:rPr>
              <w:t>'''</w:t>
            </w:r>
          </w:p>
        </w:tc>
        <w:tc>
          <w:tcPr>
            <w:tcW w:w="1155" w:type="pct"/>
            <w:vAlign w:val="center"/>
          </w:tcPr>
          <w:p w:rsidR="007B1F30" w:rsidRPr="00A03EB8" w:rsidRDefault="007B1F30" w:rsidP="007B1F30">
            <w:pPr>
              <w:pStyle w:val="TableText"/>
              <w:jc w:val="center"/>
              <w:rPr>
                <w:rFonts w:ascii="Times" w:eastAsia="Times New Roman" w:hAnsi="Times" w:cs="Times New Roman"/>
              </w:rPr>
            </w:pPr>
            <w:r w:rsidRPr="00A03EB8">
              <w:t>$</w:t>
            </w:r>
            <w:r w:rsidR="005F0590">
              <w:rPr>
                <w:noProof/>
                <w:color w:val="000000"/>
                <w:highlight w:val="black"/>
              </w:rPr>
              <w:t>'''''''''''''''''''''''</w:t>
            </w:r>
          </w:p>
        </w:tc>
      </w:tr>
      <w:tr w:rsidR="007B1F30" w:rsidRPr="00A03EB8" w:rsidTr="007B1F30">
        <w:tc>
          <w:tcPr>
            <w:tcW w:w="1531" w:type="pct"/>
            <w:vAlign w:val="center"/>
          </w:tcPr>
          <w:p w:rsidR="007B1F30" w:rsidRPr="00A03EB8" w:rsidRDefault="007B1F30" w:rsidP="0084396C">
            <w:pPr>
              <w:pStyle w:val="TableText"/>
              <w:rPr>
                <w:rFonts w:ascii="Times" w:eastAsia="Times New Roman" w:hAnsi="Times" w:cs="Times New Roman"/>
              </w:rPr>
            </w:pPr>
            <w:r w:rsidRPr="00A03EB8">
              <w:t>LYG</w:t>
            </w:r>
          </w:p>
        </w:tc>
        <w:tc>
          <w:tcPr>
            <w:tcW w:w="1157" w:type="pct"/>
            <w:vAlign w:val="center"/>
          </w:tcPr>
          <w:p w:rsidR="007B1F30" w:rsidRPr="00A03EB8" w:rsidRDefault="007B1F30" w:rsidP="007B1F30">
            <w:pPr>
              <w:pStyle w:val="TableText"/>
              <w:jc w:val="center"/>
              <w:rPr>
                <w:rFonts w:ascii="Times" w:eastAsia="Times New Roman" w:hAnsi="Times" w:cs="Times New Roman"/>
              </w:rPr>
            </w:pPr>
            <w:r w:rsidRPr="00A03EB8">
              <w:t>2.7733</w:t>
            </w:r>
          </w:p>
        </w:tc>
        <w:tc>
          <w:tcPr>
            <w:tcW w:w="1157" w:type="pct"/>
            <w:vAlign w:val="center"/>
          </w:tcPr>
          <w:p w:rsidR="007B1F30" w:rsidRPr="00A03EB8" w:rsidRDefault="007B1F30" w:rsidP="007B1F30">
            <w:pPr>
              <w:pStyle w:val="TableText"/>
              <w:jc w:val="center"/>
              <w:rPr>
                <w:rFonts w:ascii="Times" w:eastAsia="Times New Roman" w:hAnsi="Times" w:cs="Times New Roman"/>
              </w:rPr>
            </w:pPr>
            <w:r w:rsidRPr="00A03EB8">
              <w:t>0.6478</w:t>
            </w:r>
          </w:p>
        </w:tc>
        <w:tc>
          <w:tcPr>
            <w:tcW w:w="1155" w:type="pct"/>
            <w:vAlign w:val="center"/>
          </w:tcPr>
          <w:p w:rsidR="007B1F30" w:rsidRPr="00A03EB8" w:rsidRDefault="007B1F30" w:rsidP="007B1F30">
            <w:pPr>
              <w:pStyle w:val="TableText"/>
              <w:jc w:val="center"/>
            </w:pPr>
            <w:r w:rsidRPr="00A03EB8">
              <w:t>2.1254</w:t>
            </w:r>
          </w:p>
        </w:tc>
      </w:tr>
      <w:tr w:rsidR="007B1F30" w:rsidRPr="00A03EB8" w:rsidTr="007B1F30">
        <w:tc>
          <w:tcPr>
            <w:tcW w:w="3845" w:type="pct"/>
            <w:gridSpan w:val="3"/>
            <w:vAlign w:val="center"/>
          </w:tcPr>
          <w:p w:rsidR="007B1F30" w:rsidRPr="00A03EB8" w:rsidRDefault="007B1F30" w:rsidP="0084396C">
            <w:pPr>
              <w:pStyle w:val="TableText"/>
              <w:rPr>
                <w:rFonts w:ascii="Times" w:eastAsia="Times New Roman" w:hAnsi="Times" w:cs="Times New Roman"/>
              </w:rPr>
            </w:pPr>
            <w:r w:rsidRPr="00A03EB8">
              <w:t>Incremental cost/extra LYG</w:t>
            </w:r>
          </w:p>
        </w:tc>
        <w:tc>
          <w:tcPr>
            <w:tcW w:w="1155" w:type="pct"/>
            <w:vAlign w:val="center"/>
          </w:tcPr>
          <w:p w:rsidR="007B1F30" w:rsidRPr="00A03EB8" w:rsidRDefault="007B1F30" w:rsidP="007B1F30">
            <w:pPr>
              <w:pStyle w:val="TableText"/>
              <w:jc w:val="center"/>
              <w:rPr>
                <w:rFonts w:ascii="Times" w:eastAsia="Times New Roman" w:hAnsi="Times" w:cs="Times New Roman"/>
              </w:rPr>
            </w:pPr>
            <w:r w:rsidRPr="00A03EB8">
              <w:t>$</w:t>
            </w:r>
            <w:r w:rsidR="005F0590">
              <w:rPr>
                <w:noProof/>
                <w:color w:val="000000"/>
                <w:highlight w:val="black"/>
              </w:rPr>
              <w:t>''''''''''''''''''''</w:t>
            </w:r>
          </w:p>
        </w:tc>
      </w:tr>
      <w:tr w:rsidR="007B1F30" w:rsidRPr="00A03EB8" w:rsidTr="0084396C">
        <w:tc>
          <w:tcPr>
            <w:tcW w:w="5000" w:type="pct"/>
            <w:gridSpan w:val="4"/>
            <w:vAlign w:val="center"/>
          </w:tcPr>
          <w:p w:rsidR="007B1F30" w:rsidRPr="00A03EB8" w:rsidRDefault="007B1F30" w:rsidP="0084396C">
            <w:pPr>
              <w:pStyle w:val="TableText"/>
              <w:rPr>
                <w:b/>
                <w:snapToGrid w:val="0"/>
              </w:rPr>
            </w:pPr>
            <w:r w:rsidRPr="00A03EB8">
              <w:rPr>
                <w:b/>
                <w:snapToGrid w:val="0"/>
              </w:rPr>
              <w:t>Step 4: ENDEAR evidence extrapolated to and translated to the Australian population/setting (Farrar 2013)</w:t>
            </w:r>
          </w:p>
        </w:tc>
      </w:tr>
      <w:tr w:rsidR="007B1F30" w:rsidRPr="00A03EB8" w:rsidTr="007B1F30">
        <w:tc>
          <w:tcPr>
            <w:tcW w:w="1531" w:type="pct"/>
            <w:vAlign w:val="center"/>
          </w:tcPr>
          <w:p w:rsidR="007B1F30" w:rsidRPr="00A03EB8" w:rsidRDefault="007B1F30" w:rsidP="0084396C">
            <w:pPr>
              <w:pStyle w:val="TableText"/>
              <w:rPr>
                <w:rFonts w:ascii="Times" w:eastAsia="Times New Roman" w:hAnsi="Times" w:cs="Times New Roman"/>
              </w:rPr>
            </w:pPr>
            <w:r w:rsidRPr="00A03EB8">
              <w:t>Costs</w:t>
            </w:r>
          </w:p>
        </w:tc>
        <w:tc>
          <w:tcPr>
            <w:tcW w:w="1156"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w:t>
            </w:r>
            <w:r w:rsidR="005F0590">
              <w:rPr>
                <w:noProof/>
                <w:color w:val="000000"/>
                <w:szCs w:val="20"/>
                <w:highlight w:val="black"/>
              </w:rPr>
              <w:t>'''''''''''''''''''''''''</w:t>
            </w:r>
          </w:p>
        </w:tc>
        <w:tc>
          <w:tcPr>
            <w:tcW w:w="1156"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w:t>
            </w:r>
            <w:r w:rsidR="005F0590">
              <w:rPr>
                <w:noProof/>
                <w:color w:val="000000"/>
                <w:szCs w:val="20"/>
                <w:highlight w:val="black"/>
              </w:rPr>
              <w:t>''''</w:t>
            </w:r>
          </w:p>
        </w:tc>
        <w:tc>
          <w:tcPr>
            <w:tcW w:w="1156"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w:t>
            </w:r>
            <w:r w:rsidR="005F0590">
              <w:rPr>
                <w:noProof/>
                <w:color w:val="000000"/>
                <w:szCs w:val="20"/>
                <w:highlight w:val="black"/>
              </w:rPr>
              <w:t>'''''''''''''''''''''''</w:t>
            </w:r>
          </w:p>
        </w:tc>
      </w:tr>
      <w:tr w:rsidR="007B1F30" w:rsidRPr="00A03EB8" w:rsidTr="007B1F30">
        <w:tc>
          <w:tcPr>
            <w:tcW w:w="1531" w:type="pct"/>
            <w:vAlign w:val="center"/>
          </w:tcPr>
          <w:p w:rsidR="007B1F30" w:rsidRPr="00A03EB8" w:rsidRDefault="007B1F30" w:rsidP="0084396C">
            <w:pPr>
              <w:pStyle w:val="TableText"/>
              <w:rPr>
                <w:rFonts w:ascii="Times" w:eastAsia="Times New Roman" w:hAnsi="Times" w:cs="Times New Roman"/>
              </w:rPr>
            </w:pPr>
            <w:r w:rsidRPr="00A03EB8">
              <w:t>LYG</w:t>
            </w:r>
          </w:p>
        </w:tc>
        <w:tc>
          <w:tcPr>
            <w:tcW w:w="1156"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3.5685</w:t>
            </w:r>
          </w:p>
        </w:tc>
        <w:tc>
          <w:tcPr>
            <w:tcW w:w="1156"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1.0858</w:t>
            </w:r>
          </w:p>
        </w:tc>
        <w:tc>
          <w:tcPr>
            <w:tcW w:w="1156" w:type="pct"/>
            <w:vAlign w:val="center"/>
          </w:tcPr>
          <w:p w:rsidR="007B1F30" w:rsidRPr="00A03EB8" w:rsidRDefault="007B1F30" w:rsidP="007B1F30">
            <w:pPr>
              <w:pStyle w:val="TableText"/>
              <w:jc w:val="center"/>
            </w:pPr>
            <w:r w:rsidRPr="00A03EB8">
              <w:rPr>
                <w:szCs w:val="20"/>
              </w:rPr>
              <w:t>2.4827</w:t>
            </w:r>
          </w:p>
        </w:tc>
      </w:tr>
      <w:tr w:rsidR="007B1F30" w:rsidRPr="00A03EB8" w:rsidTr="007B1F30">
        <w:tc>
          <w:tcPr>
            <w:tcW w:w="3845" w:type="pct"/>
            <w:gridSpan w:val="3"/>
            <w:vAlign w:val="center"/>
          </w:tcPr>
          <w:p w:rsidR="007B1F30" w:rsidRPr="00A03EB8" w:rsidRDefault="007B1F30" w:rsidP="0084396C">
            <w:pPr>
              <w:pStyle w:val="TableText"/>
              <w:rPr>
                <w:rFonts w:ascii="Times" w:eastAsia="Times New Roman" w:hAnsi="Times" w:cs="Times New Roman"/>
              </w:rPr>
            </w:pPr>
            <w:r w:rsidRPr="00A03EB8">
              <w:t>Incremental cost/extra LYG</w:t>
            </w:r>
          </w:p>
        </w:tc>
        <w:tc>
          <w:tcPr>
            <w:tcW w:w="1155" w:type="pct"/>
            <w:vAlign w:val="center"/>
          </w:tcPr>
          <w:p w:rsidR="007B1F30" w:rsidRPr="00A03EB8" w:rsidRDefault="007B1F30" w:rsidP="007B1F30">
            <w:pPr>
              <w:pStyle w:val="TableText"/>
              <w:jc w:val="center"/>
              <w:rPr>
                <w:rFonts w:ascii="Times" w:eastAsia="Times New Roman" w:hAnsi="Times" w:cs="Times New Roman"/>
              </w:rPr>
            </w:pPr>
            <w:r w:rsidRPr="00A03EB8">
              <w:rPr>
                <w:szCs w:val="20"/>
              </w:rPr>
              <w:t>$</w:t>
            </w:r>
            <w:r w:rsidR="005F0590">
              <w:rPr>
                <w:noProof/>
                <w:color w:val="000000"/>
                <w:szCs w:val="20"/>
                <w:highlight w:val="black"/>
              </w:rPr>
              <w:t>''''''''''''''''''</w:t>
            </w:r>
          </w:p>
        </w:tc>
      </w:tr>
    </w:tbl>
    <w:p w:rsidR="007B1F30" w:rsidRPr="00A03EB8" w:rsidRDefault="007B1F30" w:rsidP="007B1F30">
      <w:pPr>
        <w:pStyle w:val="TableFooter"/>
      </w:pPr>
      <w:r w:rsidRPr="00A03EB8">
        <w:t xml:space="preserve">Source: </w:t>
      </w:r>
      <w:r w:rsidR="00C8447B" w:rsidRPr="00A03EB8">
        <w:t>Table 3.8.2, p284 of the submission</w:t>
      </w:r>
    </w:p>
    <w:p w:rsidR="00A03EB8" w:rsidRPr="00A03EB8" w:rsidRDefault="00A03EB8" w:rsidP="00A03EB8">
      <w:pPr>
        <w:pStyle w:val="ListParagraph"/>
        <w:numPr>
          <w:ilvl w:val="1"/>
          <w:numId w:val="2"/>
        </w:numPr>
        <w:spacing w:before="0" w:after="120"/>
        <w:jc w:val="both"/>
      </w:pPr>
      <w:r w:rsidRPr="00A03EB8">
        <w:t xml:space="preserve">The submission’s predicted survival for nusinersen versus standard care (referred to as SoC in the submission) is shown in Figure 4. </w:t>
      </w:r>
    </w:p>
    <w:p w:rsidR="00A03EB8" w:rsidRPr="005F0590" w:rsidRDefault="00A03EB8" w:rsidP="00A03EB8">
      <w:pPr>
        <w:pStyle w:val="TableHeading0"/>
      </w:pPr>
      <w:r w:rsidRPr="00A03EB8">
        <w:t>Figure 4: Predicted survival (EFS outcome)</w:t>
      </w:r>
    </w:p>
    <w:p w:rsidR="00A03EB8" w:rsidRPr="005F0590" w:rsidRDefault="005F0590" w:rsidP="00A03EB8">
      <w:pPr>
        <w:jc w:val="center"/>
      </w:pPr>
      <w:r>
        <w:rPr>
          <w:noProof/>
          <w:lang w:eastAsia="en-AU"/>
        </w:rPr>
        <w:drawing>
          <wp:inline distT="0" distB="0" distL="0" distR="0">
            <wp:extent cx="2943225" cy="2014220"/>
            <wp:effectExtent l="0" t="0" r="9525" b="508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43225" cy="2014220"/>
                    </a:xfrm>
                    <a:prstGeom prst="rect">
                      <a:avLst/>
                    </a:prstGeom>
                  </pic:spPr>
                </pic:pic>
              </a:graphicData>
            </a:graphic>
          </wp:inline>
        </w:drawing>
      </w:r>
    </w:p>
    <w:p w:rsidR="00A03EB8" w:rsidRPr="00A03EB8" w:rsidRDefault="00A03EB8" w:rsidP="00A03EB8">
      <w:pPr>
        <w:pStyle w:val="TableFooter"/>
      </w:pPr>
      <w:r w:rsidRPr="00A03EB8">
        <w:t>Source: Excel file Worksheet Cost per LY (modelled analysis)’ in ‘Section 3 Nusinersen July 2017 PBAC Type I.xlsx’ accompanying the submission</w:t>
      </w:r>
    </w:p>
    <w:p w:rsidR="00FF4AEF" w:rsidRPr="00352D6A" w:rsidRDefault="007B1F30" w:rsidP="000048A1">
      <w:pPr>
        <w:pStyle w:val="ListParagraph"/>
        <w:numPr>
          <w:ilvl w:val="1"/>
          <w:numId w:val="2"/>
        </w:numPr>
        <w:spacing w:before="0" w:after="120"/>
        <w:jc w:val="both"/>
      </w:pPr>
      <w:r w:rsidRPr="00A03EB8">
        <w:t xml:space="preserve">The ICERs in the submission </w:t>
      </w:r>
      <w:r w:rsidR="0084396C" w:rsidRPr="00A03EB8">
        <w:t xml:space="preserve">for SMA Type I </w:t>
      </w:r>
      <w:r w:rsidRPr="00A03EB8">
        <w:t xml:space="preserve">were consistently very high. </w:t>
      </w:r>
      <w:r w:rsidR="0084396C" w:rsidRPr="00A03EB8">
        <w:t>Although the submission reasonably assumed that event-free survival (EFS; a combination of overall survival and permanent ventilation-free survival) was a better proxy for overall survival (OS) given patients in Australia requiring permanent ventilation will usually be placed onto palliative care, the hazard ratio applied to EFS in the model was that for OS from ENDEAR (HR=0.372), rather than that for EFS (H</w:t>
      </w:r>
      <w:r w:rsidR="00744668" w:rsidRPr="00A03EB8">
        <w:t>R</w:t>
      </w:r>
      <w:r w:rsidR="0084396C" w:rsidRPr="00A03EB8">
        <w:t>=0.530).</w:t>
      </w:r>
      <w:r w:rsidR="00A12106" w:rsidRPr="00352D6A">
        <w:t xml:space="preserve"> </w:t>
      </w:r>
    </w:p>
    <w:p w:rsidR="00FF4AEF" w:rsidRPr="00352D6A" w:rsidRDefault="00A12106" w:rsidP="000048A1">
      <w:pPr>
        <w:pStyle w:val="ListParagraph"/>
        <w:numPr>
          <w:ilvl w:val="1"/>
          <w:numId w:val="2"/>
        </w:numPr>
        <w:spacing w:before="0" w:after="120"/>
        <w:jc w:val="both"/>
      </w:pPr>
      <w:r w:rsidRPr="00A03EB8">
        <w:t>The</w:t>
      </w:r>
      <w:r w:rsidR="00FF4AEF" w:rsidRPr="00352D6A">
        <w:t xml:space="preserve"> PBAC agreed with its</w:t>
      </w:r>
      <w:r w:rsidRPr="00A03EB8">
        <w:t xml:space="preserve"> ESC that the application of the hazard ratio for EFS to the model </w:t>
      </w:r>
      <w:r w:rsidR="005D4796" w:rsidRPr="00A03EB8">
        <w:t>may</w:t>
      </w:r>
      <w:r w:rsidRPr="00A03EB8">
        <w:t xml:space="preserve"> have been more appropriate.</w:t>
      </w:r>
      <w:r w:rsidR="0084396C" w:rsidRPr="00A03EB8">
        <w:t xml:space="preserve"> </w:t>
      </w:r>
      <w:r w:rsidR="000048A1" w:rsidRPr="00A03EB8">
        <w:t xml:space="preserve">The ESC also noted that when the hazard ratio for EFS (HR=0.530) was applied to the model, the predicated gain in survival </w:t>
      </w:r>
      <w:r w:rsidR="000048A1" w:rsidRPr="00A03EB8">
        <w:lastRenderedPageBreak/>
        <w:t xml:space="preserve">changed to 1.78 years. </w:t>
      </w:r>
      <w:r w:rsidR="0084396C" w:rsidRPr="00A03EB8">
        <w:t xml:space="preserve">Application of the EFS HR resulted in an ICER of </w:t>
      </w:r>
      <w:r w:rsidR="009363AC">
        <w:t xml:space="preserve">more than $200,000/life year (LY) </w:t>
      </w:r>
      <w:r w:rsidR="0084396C" w:rsidRPr="00A03EB8">
        <w:t>gained</w:t>
      </w:r>
      <w:r w:rsidR="004F56B5" w:rsidRPr="00A03EB8">
        <w:t xml:space="preserve"> </w:t>
      </w:r>
      <w:r w:rsidR="005A205B" w:rsidRPr="00A03EB8">
        <w:t>compared to the</w:t>
      </w:r>
      <w:r w:rsidR="004F56B5" w:rsidRPr="00A03EB8">
        <w:t xml:space="preserve"> base case of </w:t>
      </w:r>
      <w:r w:rsidR="009363AC">
        <w:t xml:space="preserve">more than $200,000/LY </w:t>
      </w:r>
      <w:r w:rsidR="00573489" w:rsidRPr="00A03EB8">
        <w:t>gained</w:t>
      </w:r>
      <w:r w:rsidR="00BC6231" w:rsidRPr="00A03EB8">
        <w:t xml:space="preserve">. </w:t>
      </w:r>
    </w:p>
    <w:p w:rsidR="007B1F30" w:rsidRPr="00A03EB8" w:rsidRDefault="00FF4AEF" w:rsidP="000048A1">
      <w:pPr>
        <w:pStyle w:val="ListParagraph"/>
        <w:numPr>
          <w:ilvl w:val="1"/>
          <w:numId w:val="2"/>
        </w:numPr>
        <w:spacing w:before="0" w:after="120"/>
        <w:jc w:val="both"/>
      </w:pPr>
      <w:r w:rsidRPr="00352D6A">
        <w:t xml:space="preserve">The PBAC noted </w:t>
      </w:r>
      <w:r w:rsidR="007B1F30" w:rsidRPr="00A03EB8">
        <w:t xml:space="preserve">it would be reasonable to assume that if utility values had been used, that the ICERs would be significantly higher again. Indeed plausible utility values </w:t>
      </w:r>
      <w:r w:rsidR="00022804" w:rsidRPr="00A03EB8">
        <w:t>increased the</w:t>
      </w:r>
      <w:r w:rsidR="007B1F30" w:rsidRPr="00A03EB8">
        <w:t xml:space="preserve"> ICER </w:t>
      </w:r>
      <w:r w:rsidR="00022804" w:rsidRPr="00A03EB8">
        <w:t>to</w:t>
      </w:r>
      <w:r w:rsidR="007B1F30" w:rsidRPr="00A03EB8">
        <w:t xml:space="preserve"> </w:t>
      </w:r>
      <w:r w:rsidR="00843BE7">
        <w:t xml:space="preserve">more than $200,000/QALY </w:t>
      </w:r>
      <w:r w:rsidR="007B1F30" w:rsidRPr="00A03EB8">
        <w:t xml:space="preserve">for SMA Type I. </w:t>
      </w:r>
      <w:r w:rsidR="00F13810" w:rsidRPr="00352D6A">
        <w:t xml:space="preserve">The results of sensitivity </w:t>
      </w:r>
      <w:r w:rsidRPr="00352D6A">
        <w:t xml:space="preserve">conducted during the evaluation </w:t>
      </w:r>
      <w:r w:rsidR="00F13810" w:rsidRPr="00352D6A">
        <w:t>using assumed utility values for SMA Type I are shown in Table 13 below.</w:t>
      </w:r>
    </w:p>
    <w:p w:rsidR="00DB5E5D" w:rsidRPr="00A03EB8" w:rsidRDefault="00DB5E5D" w:rsidP="00DB5E5D">
      <w:pPr>
        <w:pStyle w:val="TableHeading0"/>
      </w:pPr>
      <w:r w:rsidRPr="00A03EB8">
        <w:t xml:space="preserve">Table 13: Sensitivity analysis using assumed utility values for SMA type I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67"/>
        <w:gridCol w:w="1961"/>
        <w:gridCol w:w="1701"/>
        <w:gridCol w:w="1842"/>
        <w:gridCol w:w="1701"/>
      </w:tblGrid>
      <w:tr w:rsidR="00DB5E5D" w:rsidRPr="00A03EB8" w:rsidTr="00602A37">
        <w:trPr>
          <w:trHeight w:val="290"/>
        </w:trPr>
        <w:tc>
          <w:tcPr>
            <w:tcW w:w="1867" w:type="dxa"/>
            <w:shd w:val="clear" w:color="auto" w:fill="auto"/>
            <w:noWrap/>
            <w:vAlign w:val="center"/>
          </w:tcPr>
          <w:p w:rsidR="00DB5E5D" w:rsidRPr="00A03EB8" w:rsidRDefault="00DB5E5D" w:rsidP="00602A37">
            <w:pPr>
              <w:spacing w:before="0" w:after="0"/>
              <w:jc w:val="center"/>
              <w:rPr>
                <w:rFonts w:ascii="Arial Narrow" w:eastAsia="Times New Roman" w:hAnsi="Arial Narrow" w:cs="Times New Roman"/>
                <w:b/>
                <w:color w:val="000000"/>
                <w:sz w:val="20"/>
                <w:szCs w:val="20"/>
                <w:lang w:eastAsia="en-AU"/>
              </w:rPr>
            </w:pPr>
            <w:r w:rsidRPr="00A03EB8">
              <w:rPr>
                <w:rFonts w:ascii="Arial Narrow" w:eastAsia="Times New Roman" w:hAnsi="Arial Narrow" w:cs="Times New Roman"/>
                <w:b/>
                <w:color w:val="000000"/>
                <w:sz w:val="20"/>
                <w:szCs w:val="20"/>
                <w:lang w:eastAsia="en-AU"/>
              </w:rPr>
              <w:t>Base case incremental cost</w:t>
            </w:r>
          </w:p>
        </w:tc>
        <w:tc>
          <w:tcPr>
            <w:tcW w:w="1961" w:type="dxa"/>
            <w:shd w:val="clear" w:color="auto" w:fill="auto"/>
            <w:noWrap/>
            <w:vAlign w:val="center"/>
          </w:tcPr>
          <w:p w:rsidR="00DB5E5D" w:rsidRPr="00A03EB8" w:rsidRDefault="00DB5E5D" w:rsidP="00602A37">
            <w:pPr>
              <w:spacing w:before="0" w:after="0"/>
              <w:jc w:val="center"/>
              <w:rPr>
                <w:rFonts w:ascii="Arial Narrow" w:hAnsi="Arial Narrow"/>
                <w:b/>
                <w:color w:val="000000"/>
                <w:sz w:val="20"/>
                <w:szCs w:val="20"/>
              </w:rPr>
            </w:pPr>
            <w:r w:rsidRPr="00A03EB8">
              <w:rPr>
                <w:rFonts w:ascii="Arial Narrow" w:eastAsia="Times New Roman" w:hAnsi="Arial Narrow" w:cs="Times New Roman"/>
                <w:b/>
                <w:color w:val="000000"/>
                <w:sz w:val="20"/>
                <w:szCs w:val="20"/>
                <w:lang w:eastAsia="en-AU"/>
              </w:rPr>
              <w:t>Base case incremental Life-years</w:t>
            </w:r>
          </w:p>
        </w:tc>
        <w:tc>
          <w:tcPr>
            <w:tcW w:w="1701" w:type="dxa"/>
            <w:shd w:val="clear" w:color="auto" w:fill="auto"/>
            <w:noWrap/>
            <w:vAlign w:val="center"/>
          </w:tcPr>
          <w:p w:rsidR="00DB5E5D" w:rsidRPr="00A03EB8" w:rsidRDefault="00DB5E5D" w:rsidP="00602A37">
            <w:pPr>
              <w:spacing w:before="0" w:after="0"/>
              <w:jc w:val="center"/>
              <w:rPr>
                <w:rFonts w:ascii="Arial Narrow" w:hAnsi="Arial Narrow"/>
                <w:b/>
                <w:i/>
                <w:color w:val="000000"/>
                <w:sz w:val="20"/>
                <w:szCs w:val="20"/>
              </w:rPr>
            </w:pPr>
            <w:r w:rsidRPr="00A03EB8">
              <w:rPr>
                <w:rFonts w:ascii="Arial Narrow" w:hAnsi="Arial Narrow"/>
                <w:b/>
                <w:i/>
                <w:color w:val="000000"/>
                <w:sz w:val="20"/>
                <w:szCs w:val="20"/>
              </w:rPr>
              <w:t>Utility value tested (assumed values)</w:t>
            </w:r>
          </w:p>
        </w:tc>
        <w:tc>
          <w:tcPr>
            <w:tcW w:w="1842" w:type="dxa"/>
            <w:shd w:val="clear" w:color="auto" w:fill="auto"/>
            <w:noWrap/>
            <w:vAlign w:val="center"/>
          </w:tcPr>
          <w:p w:rsidR="00DB5E5D" w:rsidRPr="00A03EB8" w:rsidRDefault="00DB5E5D" w:rsidP="00602A37">
            <w:pPr>
              <w:spacing w:before="0" w:after="0"/>
              <w:jc w:val="center"/>
              <w:rPr>
                <w:rFonts w:ascii="Arial Narrow" w:eastAsia="Times New Roman" w:hAnsi="Arial Narrow" w:cs="Times New Roman"/>
                <w:b/>
                <w:i/>
                <w:color w:val="000000"/>
                <w:sz w:val="20"/>
                <w:szCs w:val="20"/>
                <w:lang w:eastAsia="en-AU"/>
              </w:rPr>
            </w:pPr>
            <w:r w:rsidRPr="00A03EB8">
              <w:rPr>
                <w:rFonts w:ascii="Arial Narrow" w:hAnsi="Arial Narrow"/>
                <w:b/>
                <w:i/>
                <w:color w:val="000000"/>
                <w:sz w:val="20"/>
                <w:szCs w:val="20"/>
              </w:rPr>
              <w:t>QALYs</w:t>
            </w:r>
          </w:p>
        </w:tc>
        <w:tc>
          <w:tcPr>
            <w:tcW w:w="1701" w:type="dxa"/>
            <w:shd w:val="clear" w:color="auto" w:fill="auto"/>
            <w:noWrap/>
            <w:vAlign w:val="center"/>
          </w:tcPr>
          <w:p w:rsidR="00DB5E5D" w:rsidRPr="00A03EB8" w:rsidRDefault="00DB5E5D" w:rsidP="00602A37">
            <w:pPr>
              <w:spacing w:before="0" w:after="0"/>
              <w:jc w:val="center"/>
              <w:rPr>
                <w:rFonts w:ascii="Arial Narrow" w:eastAsia="Times New Roman" w:hAnsi="Arial Narrow" w:cs="Times New Roman"/>
                <w:b/>
                <w:i/>
                <w:color w:val="000000"/>
                <w:sz w:val="20"/>
                <w:szCs w:val="20"/>
                <w:lang w:eastAsia="en-AU"/>
              </w:rPr>
            </w:pPr>
            <w:r w:rsidRPr="00A03EB8">
              <w:rPr>
                <w:rFonts w:ascii="Arial Narrow" w:eastAsia="Times New Roman" w:hAnsi="Arial Narrow" w:cs="Times New Roman"/>
                <w:b/>
                <w:i/>
                <w:color w:val="000000"/>
                <w:sz w:val="20"/>
                <w:szCs w:val="20"/>
                <w:lang w:eastAsia="en-AU"/>
              </w:rPr>
              <w:t xml:space="preserve">Cost/QALY </w:t>
            </w:r>
            <w:r w:rsidRPr="00A03EB8">
              <w:rPr>
                <w:rFonts w:ascii="Arial Narrow" w:eastAsia="Times New Roman" w:hAnsi="Arial Narrow" w:cs="Times New Roman"/>
                <w:b/>
                <w:i/>
                <w:color w:val="000000"/>
                <w:sz w:val="20"/>
                <w:szCs w:val="20"/>
                <w:vertAlign w:val="superscript"/>
                <w:lang w:eastAsia="en-AU"/>
              </w:rPr>
              <w:t>a</w:t>
            </w:r>
          </w:p>
        </w:tc>
      </w:tr>
      <w:tr w:rsidR="00DB5E5D" w:rsidRPr="00A03EB8" w:rsidTr="00602A37">
        <w:trPr>
          <w:trHeight w:val="290"/>
        </w:trPr>
        <w:tc>
          <w:tcPr>
            <w:tcW w:w="1867" w:type="dxa"/>
            <w:vMerge w:val="restart"/>
            <w:shd w:val="clear" w:color="auto" w:fill="auto"/>
            <w:noWrap/>
            <w:vAlign w:val="center"/>
            <w:hideMark/>
          </w:tcPr>
          <w:p w:rsidR="00DB5E5D" w:rsidRPr="00A03EB8" w:rsidRDefault="00DB5E5D" w:rsidP="00602A37">
            <w:pPr>
              <w:spacing w:before="0" w:after="0"/>
              <w:jc w:val="center"/>
              <w:rPr>
                <w:rFonts w:ascii="Arial Narrow" w:eastAsia="Times New Roman" w:hAnsi="Arial Narrow" w:cs="Times New Roman"/>
                <w:color w:val="000000"/>
                <w:sz w:val="20"/>
                <w:szCs w:val="20"/>
                <w:lang w:eastAsia="en-AU"/>
              </w:rPr>
            </w:pPr>
            <w:r w:rsidRPr="00A03EB8">
              <w:rPr>
                <w:rFonts w:ascii="Arial Narrow" w:eastAsia="Times New Roman" w:hAnsi="Arial Narrow" w:cs="Times New Roman"/>
                <w:color w:val="000000"/>
                <w:sz w:val="20"/>
                <w:szCs w:val="20"/>
                <w:lang w:eastAsia="en-AU"/>
              </w:rPr>
              <w:t>$</w:t>
            </w:r>
            <w:r w:rsidR="005F0590">
              <w:rPr>
                <w:rFonts w:ascii="Arial Narrow" w:eastAsia="Times New Roman" w:hAnsi="Arial Narrow" w:cs="Times New Roman"/>
                <w:noProof/>
                <w:color w:val="000000"/>
                <w:sz w:val="20"/>
                <w:szCs w:val="20"/>
                <w:highlight w:val="black"/>
                <w:lang w:eastAsia="en-AU"/>
              </w:rPr>
              <w:t>'''''''''''''''''''''''''</w:t>
            </w:r>
          </w:p>
        </w:tc>
        <w:tc>
          <w:tcPr>
            <w:tcW w:w="1961" w:type="dxa"/>
            <w:vMerge w:val="restart"/>
            <w:shd w:val="clear" w:color="auto" w:fill="auto"/>
            <w:noWrap/>
            <w:vAlign w:val="center"/>
            <w:hideMark/>
          </w:tcPr>
          <w:p w:rsidR="00DB5E5D" w:rsidRPr="00A03EB8" w:rsidRDefault="00DB5E5D" w:rsidP="00602A37">
            <w:pPr>
              <w:spacing w:before="0" w:after="0"/>
              <w:jc w:val="center"/>
              <w:rPr>
                <w:rFonts w:ascii="Arial Narrow" w:eastAsia="Times New Roman" w:hAnsi="Arial Narrow" w:cs="Times New Roman"/>
                <w:color w:val="000000"/>
                <w:sz w:val="20"/>
                <w:szCs w:val="20"/>
                <w:lang w:eastAsia="en-AU"/>
              </w:rPr>
            </w:pPr>
            <w:r w:rsidRPr="00A03EB8">
              <w:rPr>
                <w:rFonts w:ascii="Arial Narrow" w:hAnsi="Arial Narrow"/>
                <w:color w:val="000000"/>
                <w:sz w:val="20"/>
                <w:szCs w:val="20"/>
              </w:rPr>
              <w:t>2.48</w:t>
            </w:r>
          </w:p>
        </w:tc>
        <w:tc>
          <w:tcPr>
            <w:tcW w:w="1701" w:type="dxa"/>
            <w:shd w:val="clear" w:color="auto" w:fill="auto"/>
            <w:noWrap/>
            <w:vAlign w:val="bottom"/>
            <w:hideMark/>
          </w:tcPr>
          <w:p w:rsidR="00DB5E5D" w:rsidRPr="00A03EB8" w:rsidRDefault="00DB5E5D" w:rsidP="00602A37">
            <w:pPr>
              <w:spacing w:before="0" w:after="0"/>
              <w:jc w:val="center"/>
              <w:rPr>
                <w:rFonts w:ascii="Arial Narrow" w:eastAsia="Times New Roman" w:hAnsi="Arial Narrow" w:cs="Times New Roman"/>
                <w:i/>
                <w:color w:val="000000"/>
                <w:sz w:val="20"/>
                <w:szCs w:val="20"/>
                <w:lang w:eastAsia="en-AU"/>
              </w:rPr>
            </w:pPr>
            <w:r w:rsidRPr="00A03EB8">
              <w:rPr>
                <w:rFonts w:ascii="Arial Narrow" w:hAnsi="Arial Narrow"/>
                <w:i/>
                <w:iCs/>
                <w:color w:val="000000"/>
                <w:sz w:val="20"/>
                <w:szCs w:val="20"/>
              </w:rPr>
              <w:t>0.9</w:t>
            </w:r>
          </w:p>
        </w:tc>
        <w:tc>
          <w:tcPr>
            <w:tcW w:w="1842" w:type="dxa"/>
            <w:shd w:val="clear" w:color="auto" w:fill="auto"/>
            <w:noWrap/>
            <w:vAlign w:val="bottom"/>
            <w:hideMark/>
          </w:tcPr>
          <w:p w:rsidR="00DB5E5D" w:rsidRPr="00A03EB8" w:rsidRDefault="00DB5E5D" w:rsidP="00602A37">
            <w:pPr>
              <w:spacing w:before="0" w:after="0"/>
              <w:jc w:val="center"/>
              <w:rPr>
                <w:rFonts w:ascii="Arial Narrow" w:eastAsia="Times New Roman" w:hAnsi="Arial Narrow" w:cs="Times New Roman"/>
                <w:i/>
                <w:color w:val="000000"/>
                <w:sz w:val="20"/>
                <w:szCs w:val="20"/>
                <w:lang w:eastAsia="en-AU"/>
              </w:rPr>
            </w:pPr>
            <w:r w:rsidRPr="00A03EB8">
              <w:rPr>
                <w:rFonts w:ascii="Arial Narrow" w:hAnsi="Arial Narrow"/>
                <w:i/>
                <w:iCs/>
                <w:color w:val="000000"/>
                <w:sz w:val="20"/>
                <w:szCs w:val="20"/>
              </w:rPr>
              <w:t>2.23</w:t>
            </w:r>
          </w:p>
        </w:tc>
        <w:tc>
          <w:tcPr>
            <w:tcW w:w="1701" w:type="dxa"/>
            <w:shd w:val="clear" w:color="auto" w:fill="auto"/>
            <w:noWrap/>
            <w:vAlign w:val="bottom"/>
            <w:hideMark/>
          </w:tcPr>
          <w:p w:rsidR="00DB5E5D" w:rsidRPr="00A03EB8" w:rsidRDefault="00DB5E5D" w:rsidP="00602A37">
            <w:pPr>
              <w:spacing w:before="0" w:after="0"/>
              <w:jc w:val="center"/>
              <w:rPr>
                <w:rFonts w:ascii="Arial Narrow" w:eastAsia="Times New Roman" w:hAnsi="Arial Narrow" w:cs="Times New Roman"/>
                <w:i/>
                <w:color w:val="000000"/>
                <w:sz w:val="20"/>
                <w:szCs w:val="20"/>
                <w:lang w:eastAsia="en-AU"/>
              </w:rPr>
            </w:pPr>
            <w:r w:rsidRPr="00A03EB8">
              <w:rPr>
                <w:rFonts w:ascii="Arial Narrow" w:hAnsi="Arial Narrow"/>
                <w:i/>
                <w:iCs/>
                <w:color w:val="000000"/>
                <w:sz w:val="20"/>
                <w:szCs w:val="20"/>
              </w:rPr>
              <w:t>$</w:t>
            </w:r>
            <w:r w:rsidR="005F0590">
              <w:rPr>
                <w:rFonts w:ascii="Arial Narrow" w:hAnsi="Arial Narrow"/>
                <w:i/>
                <w:iCs/>
                <w:noProof/>
                <w:color w:val="000000"/>
                <w:sz w:val="20"/>
                <w:szCs w:val="20"/>
                <w:highlight w:val="black"/>
              </w:rPr>
              <w:t>'''''''''''''''''''''''</w:t>
            </w:r>
          </w:p>
        </w:tc>
      </w:tr>
      <w:tr w:rsidR="00DB5E5D" w:rsidRPr="00A03EB8" w:rsidTr="00602A37">
        <w:trPr>
          <w:trHeight w:val="290"/>
        </w:trPr>
        <w:tc>
          <w:tcPr>
            <w:tcW w:w="1867" w:type="dxa"/>
            <w:vMerge/>
            <w:shd w:val="clear" w:color="auto" w:fill="auto"/>
            <w:noWrap/>
            <w:vAlign w:val="bottom"/>
          </w:tcPr>
          <w:p w:rsidR="00DB5E5D" w:rsidRPr="00A03EB8" w:rsidRDefault="00DB5E5D" w:rsidP="00602A37">
            <w:pPr>
              <w:spacing w:before="0" w:after="0"/>
              <w:jc w:val="center"/>
              <w:rPr>
                <w:rFonts w:ascii="Arial Narrow" w:eastAsia="Times New Roman" w:hAnsi="Arial Narrow" w:cs="Times New Roman"/>
                <w:color w:val="000000"/>
                <w:sz w:val="20"/>
                <w:szCs w:val="20"/>
                <w:lang w:eastAsia="en-AU"/>
              </w:rPr>
            </w:pPr>
          </w:p>
        </w:tc>
        <w:tc>
          <w:tcPr>
            <w:tcW w:w="1961" w:type="dxa"/>
            <w:vMerge/>
            <w:shd w:val="clear" w:color="auto" w:fill="auto"/>
            <w:noWrap/>
            <w:vAlign w:val="center"/>
          </w:tcPr>
          <w:p w:rsidR="00DB5E5D" w:rsidRPr="00A03EB8" w:rsidRDefault="00DB5E5D" w:rsidP="00602A37">
            <w:pPr>
              <w:spacing w:before="0" w:after="0"/>
              <w:jc w:val="center"/>
              <w:rPr>
                <w:rFonts w:ascii="Arial Narrow" w:eastAsia="Times New Roman" w:hAnsi="Arial Narrow" w:cs="Times New Roman"/>
                <w:color w:val="000000"/>
                <w:sz w:val="20"/>
                <w:szCs w:val="20"/>
                <w:lang w:eastAsia="en-AU"/>
              </w:rPr>
            </w:pPr>
          </w:p>
        </w:tc>
        <w:tc>
          <w:tcPr>
            <w:tcW w:w="1701" w:type="dxa"/>
            <w:shd w:val="clear" w:color="auto" w:fill="auto"/>
            <w:noWrap/>
            <w:vAlign w:val="bottom"/>
            <w:hideMark/>
          </w:tcPr>
          <w:p w:rsidR="00DB5E5D" w:rsidRPr="00A03EB8" w:rsidRDefault="00DB5E5D" w:rsidP="00602A37">
            <w:pPr>
              <w:spacing w:before="0" w:after="0"/>
              <w:jc w:val="center"/>
              <w:rPr>
                <w:rFonts w:ascii="Arial Narrow" w:eastAsia="Times New Roman" w:hAnsi="Arial Narrow" w:cs="Times New Roman"/>
                <w:i/>
                <w:color w:val="000000"/>
                <w:sz w:val="20"/>
                <w:szCs w:val="20"/>
                <w:lang w:eastAsia="en-AU"/>
              </w:rPr>
            </w:pPr>
            <w:r w:rsidRPr="00A03EB8">
              <w:rPr>
                <w:rFonts w:ascii="Arial Narrow" w:hAnsi="Arial Narrow"/>
                <w:i/>
                <w:iCs/>
                <w:color w:val="000000"/>
                <w:sz w:val="20"/>
                <w:szCs w:val="20"/>
              </w:rPr>
              <w:t>0.8</w:t>
            </w:r>
          </w:p>
        </w:tc>
        <w:tc>
          <w:tcPr>
            <w:tcW w:w="1842" w:type="dxa"/>
            <w:shd w:val="clear" w:color="auto" w:fill="auto"/>
            <w:noWrap/>
            <w:vAlign w:val="bottom"/>
            <w:hideMark/>
          </w:tcPr>
          <w:p w:rsidR="00DB5E5D" w:rsidRPr="00A03EB8" w:rsidRDefault="00DB5E5D" w:rsidP="00602A37">
            <w:pPr>
              <w:spacing w:before="0" w:after="0"/>
              <w:jc w:val="center"/>
              <w:rPr>
                <w:rFonts w:ascii="Arial Narrow" w:eastAsia="Times New Roman" w:hAnsi="Arial Narrow" w:cs="Times New Roman"/>
                <w:i/>
                <w:color w:val="000000"/>
                <w:sz w:val="20"/>
                <w:szCs w:val="20"/>
                <w:lang w:eastAsia="en-AU"/>
              </w:rPr>
            </w:pPr>
            <w:r w:rsidRPr="00A03EB8">
              <w:rPr>
                <w:rFonts w:ascii="Arial Narrow" w:hAnsi="Arial Narrow"/>
                <w:i/>
                <w:iCs/>
                <w:color w:val="000000"/>
                <w:sz w:val="20"/>
                <w:szCs w:val="20"/>
              </w:rPr>
              <w:t>1.99</w:t>
            </w:r>
          </w:p>
        </w:tc>
        <w:tc>
          <w:tcPr>
            <w:tcW w:w="1701" w:type="dxa"/>
            <w:shd w:val="clear" w:color="auto" w:fill="auto"/>
            <w:noWrap/>
            <w:vAlign w:val="bottom"/>
            <w:hideMark/>
          </w:tcPr>
          <w:p w:rsidR="00DB5E5D" w:rsidRPr="00A03EB8" w:rsidRDefault="00DB5E5D" w:rsidP="00602A37">
            <w:pPr>
              <w:spacing w:before="0" w:after="0"/>
              <w:jc w:val="center"/>
              <w:rPr>
                <w:rFonts w:ascii="Arial Narrow" w:eastAsia="Times New Roman" w:hAnsi="Arial Narrow" w:cs="Times New Roman"/>
                <w:i/>
                <w:color w:val="000000"/>
                <w:sz w:val="20"/>
                <w:szCs w:val="20"/>
                <w:lang w:eastAsia="en-AU"/>
              </w:rPr>
            </w:pPr>
            <w:r w:rsidRPr="00A03EB8">
              <w:rPr>
                <w:rFonts w:ascii="Arial Narrow" w:hAnsi="Arial Narrow"/>
                <w:i/>
                <w:iCs/>
                <w:color w:val="000000"/>
                <w:sz w:val="20"/>
                <w:szCs w:val="20"/>
              </w:rPr>
              <w:t>$</w:t>
            </w:r>
            <w:r w:rsidR="005F0590">
              <w:rPr>
                <w:rFonts w:ascii="Arial Narrow" w:hAnsi="Arial Narrow"/>
                <w:i/>
                <w:iCs/>
                <w:noProof/>
                <w:color w:val="000000"/>
                <w:sz w:val="20"/>
                <w:szCs w:val="20"/>
                <w:highlight w:val="black"/>
              </w:rPr>
              <w:t>''''''''''''''''''''''''</w:t>
            </w:r>
          </w:p>
        </w:tc>
      </w:tr>
      <w:tr w:rsidR="00DB5E5D" w:rsidRPr="00A03EB8" w:rsidTr="00602A37">
        <w:trPr>
          <w:trHeight w:val="290"/>
        </w:trPr>
        <w:tc>
          <w:tcPr>
            <w:tcW w:w="1867" w:type="dxa"/>
            <w:vMerge/>
            <w:shd w:val="clear" w:color="auto" w:fill="auto"/>
            <w:noWrap/>
            <w:vAlign w:val="bottom"/>
          </w:tcPr>
          <w:p w:rsidR="00DB5E5D" w:rsidRPr="00A03EB8" w:rsidRDefault="00DB5E5D" w:rsidP="00602A37">
            <w:pPr>
              <w:spacing w:before="0" w:after="0"/>
              <w:jc w:val="center"/>
              <w:rPr>
                <w:rFonts w:ascii="Arial Narrow" w:eastAsia="Times New Roman" w:hAnsi="Arial Narrow" w:cs="Times New Roman"/>
                <w:color w:val="000000"/>
                <w:sz w:val="20"/>
                <w:szCs w:val="20"/>
                <w:lang w:eastAsia="en-AU"/>
              </w:rPr>
            </w:pPr>
          </w:p>
        </w:tc>
        <w:tc>
          <w:tcPr>
            <w:tcW w:w="1961" w:type="dxa"/>
            <w:vMerge/>
            <w:shd w:val="clear" w:color="auto" w:fill="auto"/>
            <w:noWrap/>
            <w:vAlign w:val="center"/>
          </w:tcPr>
          <w:p w:rsidR="00DB5E5D" w:rsidRPr="00A03EB8" w:rsidRDefault="00DB5E5D" w:rsidP="00602A37">
            <w:pPr>
              <w:spacing w:before="0" w:after="0"/>
              <w:jc w:val="center"/>
              <w:rPr>
                <w:rFonts w:ascii="Arial Narrow" w:eastAsia="Times New Roman" w:hAnsi="Arial Narrow" w:cs="Times New Roman"/>
                <w:color w:val="000000"/>
                <w:sz w:val="20"/>
                <w:szCs w:val="20"/>
                <w:lang w:eastAsia="en-AU"/>
              </w:rPr>
            </w:pPr>
          </w:p>
        </w:tc>
        <w:tc>
          <w:tcPr>
            <w:tcW w:w="1701" w:type="dxa"/>
            <w:shd w:val="clear" w:color="auto" w:fill="auto"/>
            <w:noWrap/>
            <w:vAlign w:val="bottom"/>
            <w:hideMark/>
          </w:tcPr>
          <w:p w:rsidR="00DB5E5D" w:rsidRPr="00A03EB8" w:rsidRDefault="00DB5E5D" w:rsidP="00602A37">
            <w:pPr>
              <w:spacing w:before="0" w:after="0"/>
              <w:jc w:val="center"/>
              <w:rPr>
                <w:rFonts w:ascii="Arial Narrow" w:eastAsia="Times New Roman" w:hAnsi="Arial Narrow" w:cs="Times New Roman"/>
                <w:i/>
                <w:color w:val="000000"/>
                <w:sz w:val="20"/>
                <w:szCs w:val="20"/>
                <w:lang w:eastAsia="en-AU"/>
              </w:rPr>
            </w:pPr>
            <w:r w:rsidRPr="00A03EB8">
              <w:rPr>
                <w:rFonts w:ascii="Arial Narrow" w:hAnsi="Arial Narrow"/>
                <w:i/>
                <w:iCs/>
                <w:color w:val="000000"/>
                <w:sz w:val="20"/>
                <w:szCs w:val="20"/>
              </w:rPr>
              <w:t>0.7</w:t>
            </w:r>
          </w:p>
        </w:tc>
        <w:tc>
          <w:tcPr>
            <w:tcW w:w="1842" w:type="dxa"/>
            <w:shd w:val="clear" w:color="auto" w:fill="auto"/>
            <w:noWrap/>
            <w:vAlign w:val="bottom"/>
            <w:hideMark/>
          </w:tcPr>
          <w:p w:rsidR="00DB5E5D" w:rsidRPr="00A03EB8" w:rsidRDefault="00DB5E5D" w:rsidP="00602A37">
            <w:pPr>
              <w:spacing w:before="0" w:after="0"/>
              <w:jc w:val="center"/>
              <w:rPr>
                <w:rFonts w:ascii="Arial Narrow" w:eastAsia="Times New Roman" w:hAnsi="Arial Narrow" w:cs="Times New Roman"/>
                <w:i/>
                <w:color w:val="000000"/>
                <w:sz w:val="20"/>
                <w:szCs w:val="20"/>
                <w:lang w:eastAsia="en-AU"/>
              </w:rPr>
            </w:pPr>
            <w:r w:rsidRPr="00A03EB8">
              <w:rPr>
                <w:rFonts w:ascii="Arial Narrow" w:hAnsi="Arial Narrow"/>
                <w:i/>
                <w:iCs/>
                <w:color w:val="000000"/>
                <w:sz w:val="20"/>
                <w:szCs w:val="20"/>
              </w:rPr>
              <w:t>1.74</w:t>
            </w:r>
          </w:p>
        </w:tc>
        <w:tc>
          <w:tcPr>
            <w:tcW w:w="1701" w:type="dxa"/>
            <w:shd w:val="clear" w:color="auto" w:fill="auto"/>
            <w:noWrap/>
            <w:vAlign w:val="bottom"/>
            <w:hideMark/>
          </w:tcPr>
          <w:p w:rsidR="00DB5E5D" w:rsidRPr="00A03EB8" w:rsidRDefault="00DB5E5D" w:rsidP="00602A37">
            <w:pPr>
              <w:spacing w:before="0" w:after="0"/>
              <w:jc w:val="center"/>
              <w:rPr>
                <w:rFonts w:ascii="Arial Narrow" w:eastAsia="Times New Roman" w:hAnsi="Arial Narrow" w:cs="Times New Roman"/>
                <w:i/>
                <w:color w:val="000000"/>
                <w:sz w:val="20"/>
                <w:szCs w:val="20"/>
                <w:lang w:eastAsia="en-AU"/>
              </w:rPr>
            </w:pPr>
            <w:r w:rsidRPr="00A03EB8">
              <w:rPr>
                <w:rFonts w:ascii="Arial Narrow" w:hAnsi="Arial Narrow"/>
                <w:i/>
                <w:iCs/>
                <w:color w:val="000000"/>
                <w:sz w:val="20"/>
                <w:szCs w:val="20"/>
              </w:rPr>
              <w:t>$</w:t>
            </w:r>
            <w:r w:rsidR="005F0590">
              <w:rPr>
                <w:rFonts w:ascii="Arial Narrow" w:hAnsi="Arial Narrow"/>
                <w:i/>
                <w:iCs/>
                <w:noProof/>
                <w:color w:val="000000"/>
                <w:sz w:val="20"/>
                <w:szCs w:val="20"/>
                <w:highlight w:val="black"/>
              </w:rPr>
              <w:t>'''''''''''''''''''''''</w:t>
            </w:r>
          </w:p>
        </w:tc>
      </w:tr>
    </w:tbl>
    <w:p w:rsidR="00DB5E5D" w:rsidRPr="00A03EB8" w:rsidRDefault="00DB5E5D" w:rsidP="00DB5E5D">
      <w:pPr>
        <w:pStyle w:val="TableFooter"/>
      </w:pPr>
      <w:r w:rsidRPr="00A03EB8">
        <w:rPr>
          <w:rFonts w:cs="Times New Roman"/>
          <w:i/>
          <w:color w:val="000000"/>
          <w:sz w:val="22"/>
          <w:vertAlign w:val="superscript"/>
          <w:lang w:eastAsia="en-AU"/>
        </w:rPr>
        <w:t>a</w:t>
      </w:r>
      <w:r w:rsidRPr="00A03EB8">
        <w:t xml:space="preserve"> Base case = </w:t>
      </w:r>
      <w:r w:rsidR="00D030D6">
        <w:t>more than $200,000</w:t>
      </w:r>
      <w:r w:rsidRPr="00A03EB8">
        <w:t xml:space="preserve"> per life-year gained.</w:t>
      </w:r>
    </w:p>
    <w:p w:rsidR="009363AC" w:rsidRDefault="00DB5E5D" w:rsidP="00DB5E5D">
      <w:pPr>
        <w:pStyle w:val="TableFooter"/>
      </w:pPr>
      <w:r w:rsidRPr="00A03EB8">
        <w:t>Source: Compiled during evaluation</w:t>
      </w:r>
    </w:p>
    <w:p w:rsidR="009363AC" w:rsidRPr="00FF4AFD" w:rsidRDefault="009363AC" w:rsidP="00FF4AFD">
      <w:pPr>
        <w:spacing w:before="0" w:after="120"/>
        <w:jc w:val="both"/>
      </w:pPr>
      <w:r w:rsidRPr="00FF4AFD">
        <w:t xml:space="preserve">The redacted table shows ICERs in the range of </w:t>
      </w:r>
      <w:r w:rsidR="00FF4AFD" w:rsidRPr="00FF4AFD">
        <w:t>more than $200,000/QALY.</w:t>
      </w:r>
    </w:p>
    <w:p w:rsidR="00A12106" w:rsidRPr="00A03EB8" w:rsidRDefault="00A12106" w:rsidP="00FF4AFD">
      <w:pPr>
        <w:pStyle w:val="ListParagraph"/>
        <w:numPr>
          <w:ilvl w:val="1"/>
          <w:numId w:val="2"/>
        </w:numPr>
        <w:spacing w:before="0" w:after="120"/>
        <w:jc w:val="both"/>
      </w:pPr>
      <w:r w:rsidRPr="00A03EB8">
        <w:t xml:space="preserve">The ESC </w:t>
      </w:r>
      <w:r w:rsidR="00B374AF" w:rsidRPr="00A03EB8">
        <w:t>noted that although</w:t>
      </w:r>
      <w:r w:rsidR="00761471" w:rsidRPr="00A03EB8">
        <w:t xml:space="preserve"> the</w:t>
      </w:r>
      <w:r w:rsidR="004D29DD" w:rsidRPr="00A03EB8">
        <w:t xml:space="preserve"> life</w:t>
      </w:r>
      <w:r w:rsidR="00B374AF" w:rsidRPr="00A03EB8">
        <w:t>time horizon (100 years) applied in the model for SMA Type I was not appropriate,</w:t>
      </w:r>
      <w:r w:rsidR="00C16D78" w:rsidRPr="00A03EB8">
        <w:t xml:space="preserve"> the time horizon applied in the model was effectively 15-20 years as all patients had died by this time. The ESC noted that </w:t>
      </w:r>
      <w:r w:rsidR="00761471" w:rsidRPr="00A03EB8">
        <w:t xml:space="preserve">the </w:t>
      </w:r>
      <w:r w:rsidR="00C16D78" w:rsidRPr="00A03EB8">
        <w:t xml:space="preserve">resulting ICERs from sensitivity </w:t>
      </w:r>
      <w:r w:rsidR="00761471" w:rsidRPr="00A03EB8">
        <w:t>analyses which applied model durations of 10 and 20 years were similar (</w:t>
      </w:r>
      <w:r w:rsidR="00FF4AFD" w:rsidRPr="00FF4AFD">
        <w:t>more than $200,000/QALY</w:t>
      </w:r>
      <w:r w:rsidR="004D29DD" w:rsidRPr="00A03EB8">
        <w:t>).</w:t>
      </w:r>
    </w:p>
    <w:p w:rsidR="00A03EB8" w:rsidRPr="00352D6A" w:rsidRDefault="00A03EB8" w:rsidP="00352D6A">
      <w:pPr>
        <w:spacing w:before="0" w:after="120"/>
        <w:jc w:val="both"/>
        <w:rPr>
          <w:b/>
          <w:i/>
        </w:rPr>
      </w:pPr>
      <w:r w:rsidRPr="00352D6A">
        <w:rPr>
          <w:b/>
          <w:i/>
        </w:rPr>
        <w:t>Types II and III</w:t>
      </w:r>
      <w:r>
        <w:rPr>
          <w:b/>
          <w:i/>
        </w:rPr>
        <w:t xml:space="preserve"> SMA</w:t>
      </w:r>
    </w:p>
    <w:p w:rsidR="0084396C" w:rsidRPr="00A03EB8" w:rsidRDefault="0084396C" w:rsidP="00573489">
      <w:pPr>
        <w:pStyle w:val="ListParagraph"/>
        <w:numPr>
          <w:ilvl w:val="1"/>
          <w:numId w:val="2"/>
        </w:numPr>
        <w:spacing w:before="0" w:after="120"/>
        <w:ind w:left="578" w:hanging="578"/>
        <w:jc w:val="both"/>
      </w:pPr>
      <w:r w:rsidRPr="00A03EB8">
        <w:t xml:space="preserve">The ICERs estimated for SMA Type II and III were </w:t>
      </w:r>
      <w:r w:rsidR="00FF4AFD" w:rsidRPr="00FF4AFD">
        <w:t>more than $200,000</w:t>
      </w:r>
      <w:r w:rsidR="00022804" w:rsidRPr="00A03EB8">
        <w:t xml:space="preserve">/responder (defined as those with a </w:t>
      </w:r>
      <w:r w:rsidR="00022804" w:rsidRPr="00A03EB8">
        <w:rPr>
          <w:rFonts w:cstheme="minorHAnsi"/>
        </w:rPr>
        <w:t>≥</w:t>
      </w:r>
      <w:r w:rsidR="00022804" w:rsidRPr="00A03EB8">
        <w:t>3-point increase in HFSME</w:t>
      </w:r>
      <w:r w:rsidR="000D4205" w:rsidRPr="00A03EB8">
        <w:t xml:space="preserve"> over 15 months</w:t>
      </w:r>
      <w:r w:rsidR="00022804" w:rsidRPr="00A03EB8">
        <w:t xml:space="preserve">) and </w:t>
      </w:r>
      <w:r w:rsidR="00FF4AFD" w:rsidRPr="00FF4AFD">
        <w:t>more than $200,000</w:t>
      </w:r>
      <w:r w:rsidR="00022804" w:rsidRPr="00A03EB8">
        <w:t xml:space="preserve">/responder (defined as those with a </w:t>
      </w:r>
      <w:r w:rsidR="00022804" w:rsidRPr="00A03EB8">
        <w:rPr>
          <w:rFonts w:cstheme="minorHAnsi"/>
        </w:rPr>
        <w:t>≥</w:t>
      </w:r>
      <w:r w:rsidR="00022804" w:rsidRPr="00A03EB8">
        <w:t>0-point increase in HFSME</w:t>
      </w:r>
      <w:r w:rsidR="000D4205" w:rsidRPr="00A03EB8">
        <w:t xml:space="preserve"> over two years</w:t>
      </w:r>
      <w:r w:rsidR="00022804" w:rsidRPr="00A03EB8">
        <w:t>), respectively.</w:t>
      </w:r>
    </w:p>
    <w:p w:rsidR="007B1F30" w:rsidRPr="00A03EB8" w:rsidRDefault="007B1F30" w:rsidP="00022804">
      <w:pPr>
        <w:pStyle w:val="ListParagraph"/>
        <w:numPr>
          <w:ilvl w:val="1"/>
          <w:numId w:val="2"/>
        </w:numPr>
        <w:spacing w:before="0"/>
        <w:ind w:left="578" w:hanging="578"/>
        <w:jc w:val="both"/>
      </w:pPr>
      <w:r w:rsidRPr="00A03EB8">
        <w:t>Limitations of the results were the submission’s assumption that the effect size for nusinersen w</w:t>
      </w:r>
      <w:r w:rsidR="00022804" w:rsidRPr="00A03EB8">
        <w:t>ould</w:t>
      </w:r>
      <w:r w:rsidRPr="00A03EB8">
        <w:t xml:space="preserve"> remain constant over life-expectancy in each of the three SMA indications and the failure to use utility values for </w:t>
      </w:r>
      <w:r w:rsidR="00022804" w:rsidRPr="00A03EB8">
        <w:t xml:space="preserve">adolescent and </w:t>
      </w:r>
      <w:r w:rsidRPr="00A03EB8">
        <w:t>adult stages of life in the SMA Type I model. The ICERs</w:t>
      </w:r>
      <w:r w:rsidR="00022804" w:rsidRPr="00A03EB8">
        <w:t xml:space="preserve"> we</w:t>
      </w:r>
      <w:r w:rsidRPr="00A03EB8">
        <w:t xml:space="preserve">re also subject to limitations from omitted costs </w:t>
      </w:r>
      <w:r w:rsidR="00022804" w:rsidRPr="00A03EB8">
        <w:t xml:space="preserve">associated with </w:t>
      </w:r>
      <w:r w:rsidRPr="00A03EB8">
        <w:t xml:space="preserve">standard care </w:t>
      </w:r>
      <w:r w:rsidR="00022804" w:rsidRPr="00A03EB8">
        <w:t>given the</w:t>
      </w:r>
      <w:r w:rsidRPr="00A03EB8">
        <w:t xml:space="preserve"> incremental survival in the nusinersen + standard care arm. </w:t>
      </w:r>
      <w:r w:rsidR="00740E50" w:rsidRPr="00A03EB8">
        <w:t>In addition to these limitations, t</w:t>
      </w:r>
      <w:r w:rsidR="00C316C2" w:rsidRPr="00A03EB8">
        <w:t xml:space="preserve">he ESC considered that the </w:t>
      </w:r>
      <w:r w:rsidR="0052562C" w:rsidRPr="00A03EB8">
        <w:t xml:space="preserve">results of the </w:t>
      </w:r>
      <w:r w:rsidR="00C316C2" w:rsidRPr="00A03EB8">
        <w:t xml:space="preserve">economic analysis for SMA Type II and III </w:t>
      </w:r>
      <w:r w:rsidR="006F4F1C" w:rsidRPr="00A03EB8">
        <w:t xml:space="preserve">were </w:t>
      </w:r>
      <w:r w:rsidR="00C316C2" w:rsidRPr="00A03EB8">
        <w:t>uncertain due to the following</w:t>
      </w:r>
      <w:r w:rsidR="00363800" w:rsidRPr="00A03EB8">
        <w:t xml:space="preserve"> issues</w:t>
      </w:r>
      <w:r w:rsidR="00C316C2" w:rsidRPr="00A03EB8">
        <w:t>:</w:t>
      </w:r>
    </w:p>
    <w:p w:rsidR="00C316C2" w:rsidRPr="00A03EB8" w:rsidRDefault="00740E50" w:rsidP="00390226">
      <w:pPr>
        <w:pStyle w:val="ListParagraph"/>
        <w:numPr>
          <w:ilvl w:val="0"/>
          <w:numId w:val="67"/>
        </w:numPr>
        <w:spacing w:before="0"/>
        <w:ind w:left="851" w:hanging="284"/>
        <w:jc w:val="both"/>
      </w:pPr>
      <w:r w:rsidRPr="00A03EB8">
        <w:t xml:space="preserve">The time horizons for SMA Type II and III are restricted to the CHERISH trial duration of 15 months and CS12 trial duration of two years respectively. The ESC considered this was inappropriate </w:t>
      </w:r>
      <w:r w:rsidR="00353202" w:rsidRPr="00A03EB8">
        <w:t>for</w:t>
      </w:r>
      <w:r w:rsidRPr="00A03EB8">
        <w:t xml:space="preserve"> evalu</w:t>
      </w:r>
      <w:r w:rsidR="0052562C" w:rsidRPr="00A03EB8">
        <w:t>at</w:t>
      </w:r>
      <w:r w:rsidR="00353202" w:rsidRPr="00A03EB8">
        <w:t>ing the</w:t>
      </w:r>
      <w:r w:rsidR="0052562C" w:rsidRPr="00A03EB8">
        <w:t xml:space="preserve"> cost-effectiveness of nusinersen over a 20-40 year period</w:t>
      </w:r>
      <w:r w:rsidR="00857BFC" w:rsidRPr="00A03EB8">
        <w:t xml:space="preserve"> for this patient population</w:t>
      </w:r>
      <w:r w:rsidR="00353202" w:rsidRPr="00A03EB8">
        <w:t>,</w:t>
      </w:r>
      <w:r w:rsidR="00FD0207" w:rsidRPr="00A03EB8">
        <w:t xml:space="preserve"> noting it was unlikely that patients have reached a ‘steady state’. </w:t>
      </w:r>
      <w:r w:rsidR="0052562C" w:rsidRPr="00A03EB8">
        <w:t xml:space="preserve"> </w:t>
      </w:r>
    </w:p>
    <w:p w:rsidR="0052562C" w:rsidRPr="00A03EB8" w:rsidRDefault="0052562C" w:rsidP="00390226">
      <w:pPr>
        <w:pStyle w:val="ListParagraph"/>
        <w:numPr>
          <w:ilvl w:val="0"/>
          <w:numId w:val="67"/>
        </w:numPr>
        <w:spacing w:before="0"/>
        <w:ind w:left="851" w:hanging="284"/>
        <w:jc w:val="both"/>
      </w:pPr>
      <w:r w:rsidRPr="00A03EB8">
        <w:t xml:space="preserve">The difference in </w:t>
      </w:r>
      <w:r w:rsidR="0068790C" w:rsidRPr="00A03EB8">
        <w:t>the threshold for</w:t>
      </w:r>
      <w:r w:rsidRPr="00A03EB8">
        <w:t xml:space="preserve"> ‘responder’ for SMA Type II (achieving a ≥3-point gain on the HFMSE) and Type III (achieving a ≥0-point gain on the HFMSE)</w:t>
      </w:r>
      <w:r w:rsidR="00AD690F" w:rsidRPr="00A03EB8">
        <w:t xml:space="preserve"> was not justified. Moreover,</w:t>
      </w:r>
      <w:r w:rsidR="00A417EA" w:rsidRPr="00A03EB8">
        <w:t xml:space="preserve"> the ESC considered</w:t>
      </w:r>
      <w:r w:rsidR="00AD690F" w:rsidRPr="00A03EB8">
        <w:t xml:space="preserve"> the nomination of a 3-point change</w:t>
      </w:r>
      <w:r w:rsidR="00A417EA" w:rsidRPr="00A03EB8">
        <w:t xml:space="preserve"> as being clinically significant was poorly supported (see</w:t>
      </w:r>
      <w:r w:rsidR="00AD690F" w:rsidRPr="00A03EB8">
        <w:t xml:space="preserve"> </w:t>
      </w:r>
      <w:r w:rsidR="00A417EA" w:rsidRPr="00A03EB8">
        <w:t xml:space="preserve">paragraph 6.7). </w:t>
      </w:r>
    </w:p>
    <w:p w:rsidR="0085448E" w:rsidRPr="00A03EB8" w:rsidRDefault="00011162" w:rsidP="00390226">
      <w:pPr>
        <w:pStyle w:val="ListParagraph"/>
        <w:numPr>
          <w:ilvl w:val="0"/>
          <w:numId w:val="67"/>
        </w:numPr>
        <w:spacing w:before="0"/>
        <w:ind w:left="851" w:hanging="284"/>
        <w:jc w:val="both"/>
      </w:pPr>
      <w:r w:rsidRPr="00A03EB8">
        <w:lastRenderedPageBreak/>
        <w:t>The</w:t>
      </w:r>
      <w:r w:rsidR="00393057" w:rsidRPr="00A03EB8">
        <w:t xml:space="preserve"> maintenance dosing regimen in the CHERISH trial was every 6 months</w:t>
      </w:r>
      <w:r w:rsidR="00320606" w:rsidRPr="00A03EB8">
        <w:t xml:space="preserve">, in contrast to the assumed 4 </w:t>
      </w:r>
      <w:r w:rsidRPr="00A03EB8">
        <w:t>monthly maintenance dosing regimen.</w:t>
      </w:r>
      <w:r w:rsidR="00320606" w:rsidRPr="00A03EB8">
        <w:t xml:space="preserve"> The PSCR (p5) claimed that </w:t>
      </w:r>
      <w:r w:rsidR="00113139" w:rsidRPr="00A03EB8">
        <w:t xml:space="preserve">this biases against nusinersen. The </w:t>
      </w:r>
      <w:r w:rsidR="00A03EB8" w:rsidRPr="00A03EB8">
        <w:t xml:space="preserve">PBAC </w:t>
      </w:r>
      <w:r w:rsidR="00113139" w:rsidRPr="00A03EB8">
        <w:t>considered that while this was likely to be bias against nusinersen, the c</w:t>
      </w:r>
      <w:r w:rsidRPr="00A03EB8">
        <w:t xml:space="preserve">ost-effectiveness of nusinersen in this setting with </w:t>
      </w:r>
      <w:r w:rsidR="00320606" w:rsidRPr="00A03EB8">
        <w:t xml:space="preserve">a 4 </w:t>
      </w:r>
      <w:r w:rsidRPr="00A03EB8">
        <w:t xml:space="preserve">monthly maintenance dosing context is unknown. </w:t>
      </w:r>
    </w:p>
    <w:p w:rsidR="00A417EA" w:rsidRPr="00A03EB8" w:rsidRDefault="00857BFC" w:rsidP="00390226">
      <w:pPr>
        <w:pStyle w:val="ListParagraph"/>
        <w:numPr>
          <w:ilvl w:val="0"/>
          <w:numId w:val="67"/>
        </w:numPr>
        <w:spacing w:before="0"/>
        <w:ind w:left="851" w:hanging="284"/>
        <w:jc w:val="both"/>
      </w:pPr>
      <w:r w:rsidRPr="00A03EB8">
        <w:t xml:space="preserve">Utility values </w:t>
      </w:r>
      <w:r w:rsidR="00EA6E54" w:rsidRPr="00A03EB8">
        <w:t>were not incorporated into the economic models even though the only claim to benefit for SMA Type II and III is improved quality of life in the absence of gain in survival.</w:t>
      </w:r>
      <w:r w:rsidR="00320606" w:rsidRPr="00A03EB8">
        <w:t xml:space="preserve"> The PSCR (p5) argued that a cost per responder approach instead of cost per QALY was used due to challenges associated with evaluati</w:t>
      </w:r>
      <w:r w:rsidR="002D043A" w:rsidRPr="00A03EB8">
        <w:t>ng</w:t>
      </w:r>
      <w:r w:rsidR="00320606" w:rsidRPr="00A03EB8">
        <w:t xml:space="preserve"> quality of life in young children. The </w:t>
      </w:r>
      <w:r w:rsidR="00A03EB8" w:rsidRPr="00A03EB8">
        <w:t xml:space="preserve">PBAC agreed with its </w:t>
      </w:r>
      <w:r w:rsidR="00320606" w:rsidRPr="00A03EB8">
        <w:t xml:space="preserve">ESC </w:t>
      </w:r>
      <w:r w:rsidR="007F0E52">
        <w:t xml:space="preserve">and </w:t>
      </w:r>
      <w:r w:rsidR="00320606" w:rsidRPr="00A03EB8">
        <w:t xml:space="preserve">considered this did not justify the cost per responder approach as patients with SMA Types II and </w:t>
      </w:r>
      <w:r w:rsidR="00A01C2C" w:rsidRPr="00A03EB8">
        <w:t>III are</w:t>
      </w:r>
      <w:r w:rsidR="00320606" w:rsidRPr="00A03EB8">
        <w:t xml:space="preserve"> predicted to spend most of their life expectancy as adults.</w:t>
      </w:r>
    </w:p>
    <w:p w:rsidR="00EA6E54" w:rsidRPr="00A03EB8" w:rsidRDefault="00EA6E54" w:rsidP="00390226">
      <w:pPr>
        <w:pStyle w:val="ListParagraph"/>
        <w:numPr>
          <w:ilvl w:val="0"/>
          <w:numId w:val="67"/>
        </w:numPr>
        <w:spacing w:before="0"/>
        <w:ind w:left="851" w:hanging="284"/>
        <w:jc w:val="both"/>
      </w:pPr>
      <w:r w:rsidRPr="00A03EB8">
        <w:t xml:space="preserve">The comparative efficacy for SMA Type III is poorly supported as the only data presented in the submission </w:t>
      </w:r>
      <w:r w:rsidR="00BF591B" w:rsidRPr="00A03EB8">
        <w:t>is from 20 patients in a single-arm study (trial CS12).</w:t>
      </w:r>
    </w:p>
    <w:p w:rsidR="007B1F30" w:rsidRPr="00A03EB8" w:rsidRDefault="00C8447B" w:rsidP="007B1F30">
      <w:pPr>
        <w:pStyle w:val="Heading2"/>
        <w:rPr>
          <w:i w:val="0"/>
        </w:rPr>
      </w:pPr>
      <w:bookmarkStart w:id="25" w:name="_Toc413139283"/>
      <w:bookmarkStart w:id="26" w:name="_Toc490533778"/>
      <w:r w:rsidRPr="00A03EB8">
        <w:rPr>
          <w:i w:val="0"/>
        </w:rPr>
        <w:t>Drug</w:t>
      </w:r>
      <w:r w:rsidR="007B1F30" w:rsidRPr="00A03EB8">
        <w:rPr>
          <w:i w:val="0"/>
        </w:rPr>
        <w:t xml:space="preserve"> cost/patient/year</w:t>
      </w:r>
      <w:bookmarkEnd w:id="25"/>
      <w:bookmarkEnd w:id="26"/>
    </w:p>
    <w:p w:rsidR="007B1F30" w:rsidRPr="00A03EB8" w:rsidRDefault="007B1F30" w:rsidP="00C8447B">
      <w:pPr>
        <w:pStyle w:val="ListParagraph"/>
        <w:numPr>
          <w:ilvl w:val="1"/>
          <w:numId w:val="2"/>
        </w:numPr>
        <w:spacing w:before="0" w:after="120"/>
        <w:jc w:val="both"/>
      </w:pPr>
      <w:r w:rsidRPr="00A03EB8">
        <w:t>The drug cost of on-going treatment with nusinersen for all three SMA indications is $</w:t>
      </w:r>
      <w:r w:rsidR="005F0590">
        <w:rPr>
          <w:noProof/>
          <w:color w:val="000000"/>
          <w:highlight w:val="black"/>
        </w:rPr>
        <w:t>''''''''''''''</w:t>
      </w:r>
      <w:r w:rsidRPr="00A03EB8">
        <w:t>/year</w:t>
      </w:r>
      <w:r w:rsidR="00C8447B" w:rsidRPr="00A03EB8">
        <w:t>, based on three maintenance doses per year at the DPMQ of $</w:t>
      </w:r>
      <w:r w:rsidR="005F0590">
        <w:rPr>
          <w:noProof/>
          <w:color w:val="000000"/>
          <w:highlight w:val="black"/>
        </w:rPr>
        <w:t>''''''''''''''''</w:t>
      </w:r>
      <w:r w:rsidR="00C8447B" w:rsidRPr="00A03EB8">
        <w:t>/vial</w:t>
      </w:r>
      <w:r w:rsidR="007E1A54" w:rsidRPr="00A03EB8">
        <w:t xml:space="preserve"> (public)</w:t>
      </w:r>
      <w:r w:rsidR="00C8447B" w:rsidRPr="00A03EB8">
        <w:t>.</w:t>
      </w:r>
    </w:p>
    <w:p w:rsidR="001334D8" w:rsidRPr="00A03EB8" w:rsidRDefault="001334D8" w:rsidP="007A3413">
      <w:pPr>
        <w:pStyle w:val="Heading2"/>
        <w:jc w:val="both"/>
        <w:rPr>
          <w:i w:val="0"/>
        </w:rPr>
      </w:pPr>
      <w:bookmarkStart w:id="27" w:name="_Toc490533779"/>
      <w:r w:rsidRPr="00A03EB8">
        <w:rPr>
          <w:i w:val="0"/>
        </w:rPr>
        <w:t>Estimated PBS usage &amp; financial implications</w:t>
      </w:r>
      <w:bookmarkEnd w:id="24"/>
      <w:bookmarkEnd w:id="27"/>
    </w:p>
    <w:p w:rsidR="00F952BC" w:rsidRPr="00A03EB8" w:rsidRDefault="006E5DE2" w:rsidP="00F952BC">
      <w:pPr>
        <w:pStyle w:val="ListParagraph"/>
        <w:numPr>
          <w:ilvl w:val="1"/>
          <w:numId w:val="2"/>
        </w:numPr>
      </w:pPr>
      <w:r w:rsidRPr="00A03EB8">
        <w:t xml:space="preserve">The submission was considered by DUSC. </w:t>
      </w:r>
    </w:p>
    <w:p w:rsidR="009314A6" w:rsidRPr="00352D6A" w:rsidRDefault="009314A6" w:rsidP="009314A6">
      <w:pPr>
        <w:pStyle w:val="ListParagraph"/>
        <w:numPr>
          <w:ilvl w:val="1"/>
          <w:numId w:val="2"/>
        </w:numPr>
      </w:pPr>
      <w:r w:rsidRPr="00352D6A">
        <w:t xml:space="preserve">The submission took an epidemiological approach, whereby the incident rate of each SMA subtype was applied to the number of live births each year in Australia. Patient survival for each disease subtype was then applied so as to capture the number of prevalent patients for each disease type at the time of nusinersen listing on the PBAC. </w:t>
      </w:r>
    </w:p>
    <w:p w:rsidR="009314A6" w:rsidRPr="00352D6A" w:rsidRDefault="009314A6" w:rsidP="009314A6">
      <w:pPr>
        <w:pStyle w:val="ListParagraph"/>
        <w:numPr>
          <w:ilvl w:val="1"/>
          <w:numId w:val="2"/>
        </w:numPr>
      </w:pPr>
      <w:r w:rsidRPr="00352D6A">
        <w:t xml:space="preserve">The submission estimated the prevalence of SMA to be </w:t>
      </w:r>
      <w:r w:rsidR="00533D2B">
        <w:t>less than 10,000</w:t>
      </w:r>
      <w:r w:rsidR="00533D2B" w:rsidRPr="00352D6A">
        <w:t xml:space="preserve"> </w:t>
      </w:r>
      <w:r w:rsidRPr="00352D6A">
        <w:t>people in 2018 (</w:t>
      </w:r>
      <w:r w:rsidR="00533D2B">
        <w:t>less than 10,000</w:t>
      </w:r>
      <w:r w:rsidR="00533D2B" w:rsidRPr="00352D6A">
        <w:t xml:space="preserve"> </w:t>
      </w:r>
      <w:r w:rsidRPr="00352D6A">
        <w:t xml:space="preserve">Type I, </w:t>
      </w:r>
      <w:r w:rsidR="00533D2B">
        <w:t xml:space="preserve">less than 10,000 </w:t>
      </w:r>
      <w:r w:rsidRPr="00352D6A">
        <w:t xml:space="preserve">Type II and </w:t>
      </w:r>
      <w:r w:rsidR="00533D2B">
        <w:t>less than 10,000</w:t>
      </w:r>
      <w:r w:rsidR="00533D2B" w:rsidRPr="00352D6A">
        <w:t xml:space="preserve"> </w:t>
      </w:r>
      <w:r w:rsidRPr="00352D6A">
        <w:t>Type III). The number of patients proposed to commence PBS subsidised treatment with nusinersen is shown in Table 1</w:t>
      </w:r>
      <w:r w:rsidR="00654CBE" w:rsidRPr="00352D6A">
        <w:t>4</w:t>
      </w:r>
      <w:r w:rsidRPr="00352D6A">
        <w:t>.</w:t>
      </w:r>
    </w:p>
    <w:p w:rsidR="009314A6" w:rsidRPr="00352D6A" w:rsidRDefault="009314A6" w:rsidP="00706F2B">
      <w:pPr>
        <w:pStyle w:val="ListParagraph"/>
        <w:numPr>
          <w:ilvl w:val="1"/>
          <w:numId w:val="2"/>
        </w:numPr>
      </w:pPr>
      <w:r w:rsidRPr="00352D6A">
        <w:t xml:space="preserve">The submission estimated a net financial cost to the PBS for SMA of </w:t>
      </w:r>
      <w:r w:rsidR="00FF4AFD">
        <w:t>$60 - $100 million</w:t>
      </w:r>
      <w:r w:rsidRPr="00352D6A">
        <w:t xml:space="preserve"> in the first year of listing, increasing to </w:t>
      </w:r>
      <w:r w:rsidR="00FF4AFD">
        <w:t>more than $100 million</w:t>
      </w:r>
      <w:r w:rsidRPr="00352D6A">
        <w:t xml:space="preserve"> in year 6 of listing. In year 1 this includes </w:t>
      </w:r>
      <w:r w:rsidR="00FF4AFD">
        <w:t>$10 - $20 million</w:t>
      </w:r>
      <w:r w:rsidRPr="00352D6A">
        <w:t xml:space="preserve"> for Type 1, </w:t>
      </w:r>
      <w:r w:rsidR="00FF4AFD">
        <w:t>$30 - $60</w:t>
      </w:r>
      <w:r w:rsidRPr="00352D6A">
        <w:t xml:space="preserve"> million for Type II and </w:t>
      </w:r>
      <w:r w:rsidR="00FF4AFD">
        <w:t>$30 - $60</w:t>
      </w:r>
      <w:r w:rsidR="00FF4AFD" w:rsidRPr="00352D6A">
        <w:t xml:space="preserve"> </w:t>
      </w:r>
      <w:r w:rsidRPr="00352D6A">
        <w:t xml:space="preserve">million for Type III SMA. The year 6 estimates include </w:t>
      </w:r>
      <w:r w:rsidR="00FF4AFD">
        <w:t xml:space="preserve">$20 - $30 </w:t>
      </w:r>
      <w:r w:rsidRPr="00352D6A">
        <w:t xml:space="preserve">million for Type I, </w:t>
      </w:r>
      <w:r w:rsidR="00FF4AFD">
        <w:t xml:space="preserve">$60 - $100 </w:t>
      </w:r>
      <w:r w:rsidRPr="00352D6A">
        <w:t xml:space="preserve">million for Type II and </w:t>
      </w:r>
      <w:r w:rsidR="00BC57ED">
        <w:t xml:space="preserve">$60 - $100 </w:t>
      </w:r>
      <w:r w:rsidRPr="00352D6A">
        <w:t>million for Type III SMA.</w:t>
      </w:r>
      <w:r w:rsidR="00706F2B" w:rsidRPr="00A03EB8">
        <w:t xml:space="preserve"> Given the average life expectancy of Type II patients is into adulthood and Type III patients have a normal lifespan, DUSC highlighted that the cost of this treatment will escalate beyond Year 6 as patients will remain on treatment long term and the treated prevalent population will grow.</w:t>
      </w:r>
    </w:p>
    <w:p w:rsidR="009314A6" w:rsidRPr="00A03EB8" w:rsidRDefault="009314A6" w:rsidP="009314A6">
      <w:pPr>
        <w:pStyle w:val="TableHeading0"/>
        <w:jc w:val="both"/>
      </w:pPr>
      <w:r w:rsidRPr="00A03EB8">
        <w:lastRenderedPageBreak/>
        <w:t>Table 1</w:t>
      </w:r>
      <w:r w:rsidR="00654CBE" w:rsidRPr="00A03EB8">
        <w:t>4</w:t>
      </w:r>
      <w:r w:rsidRPr="00A03EB8">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3"/>
        <w:gridCol w:w="1121"/>
        <w:gridCol w:w="1124"/>
        <w:gridCol w:w="1124"/>
        <w:gridCol w:w="1124"/>
        <w:gridCol w:w="1124"/>
        <w:gridCol w:w="1124"/>
      </w:tblGrid>
      <w:tr w:rsidR="009314A6" w:rsidRPr="00A03EB8" w:rsidTr="00033C9D">
        <w:trPr>
          <w:tblHeader/>
        </w:trPr>
        <w:tc>
          <w:tcPr>
            <w:tcW w:w="1257" w:type="pct"/>
            <w:shd w:val="clear" w:color="auto" w:fill="auto"/>
            <w:vAlign w:val="center"/>
          </w:tcPr>
          <w:p w:rsidR="009314A6" w:rsidRPr="00A03EB8" w:rsidRDefault="009314A6" w:rsidP="00033C9D">
            <w:pPr>
              <w:pStyle w:val="TableText"/>
            </w:pPr>
          </w:p>
        </w:tc>
        <w:tc>
          <w:tcPr>
            <w:tcW w:w="623" w:type="pct"/>
            <w:shd w:val="clear" w:color="auto" w:fill="auto"/>
            <w:vAlign w:val="center"/>
          </w:tcPr>
          <w:p w:rsidR="009314A6" w:rsidRPr="00A03EB8" w:rsidRDefault="009314A6" w:rsidP="00033C9D">
            <w:pPr>
              <w:pStyle w:val="TableText"/>
              <w:jc w:val="center"/>
              <w:rPr>
                <w:b/>
                <w:szCs w:val="20"/>
              </w:rPr>
            </w:pPr>
            <w:r w:rsidRPr="00A03EB8">
              <w:rPr>
                <w:b/>
                <w:szCs w:val="20"/>
              </w:rPr>
              <w:t>Year 1</w:t>
            </w:r>
          </w:p>
        </w:tc>
        <w:tc>
          <w:tcPr>
            <w:tcW w:w="624" w:type="pct"/>
            <w:shd w:val="clear" w:color="auto" w:fill="auto"/>
            <w:vAlign w:val="center"/>
          </w:tcPr>
          <w:p w:rsidR="009314A6" w:rsidRPr="00A03EB8" w:rsidRDefault="009314A6" w:rsidP="00033C9D">
            <w:pPr>
              <w:pStyle w:val="TableText"/>
              <w:jc w:val="center"/>
              <w:rPr>
                <w:b/>
                <w:szCs w:val="20"/>
              </w:rPr>
            </w:pPr>
            <w:r w:rsidRPr="00A03EB8">
              <w:rPr>
                <w:b/>
                <w:szCs w:val="20"/>
              </w:rPr>
              <w:t>Year 2</w:t>
            </w:r>
          </w:p>
        </w:tc>
        <w:tc>
          <w:tcPr>
            <w:tcW w:w="624" w:type="pct"/>
            <w:shd w:val="clear" w:color="auto" w:fill="auto"/>
            <w:vAlign w:val="center"/>
          </w:tcPr>
          <w:p w:rsidR="009314A6" w:rsidRPr="00A03EB8" w:rsidRDefault="009314A6" w:rsidP="00033C9D">
            <w:pPr>
              <w:pStyle w:val="TableText"/>
              <w:jc w:val="center"/>
              <w:rPr>
                <w:b/>
                <w:szCs w:val="20"/>
              </w:rPr>
            </w:pPr>
            <w:r w:rsidRPr="00A03EB8">
              <w:rPr>
                <w:b/>
                <w:szCs w:val="20"/>
              </w:rPr>
              <w:t>Year 3</w:t>
            </w:r>
          </w:p>
        </w:tc>
        <w:tc>
          <w:tcPr>
            <w:tcW w:w="624" w:type="pct"/>
            <w:shd w:val="clear" w:color="auto" w:fill="auto"/>
            <w:vAlign w:val="center"/>
          </w:tcPr>
          <w:p w:rsidR="009314A6" w:rsidRPr="00A03EB8" w:rsidRDefault="009314A6" w:rsidP="00033C9D">
            <w:pPr>
              <w:pStyle w:val="TableText"/>
              <w:jc w:val="center"/>
              <w:rPr>
                <w:b/>
                <w:szCs w:val="20"/>
              </w:rPr>
            </w:pPr>
            <w:r w:rsidRPr="00A03EB8">
              <w:rPr>
                <w:b/>
                <w:szCs w:val="20"/>
              </w:rPr>
              <w:t>Year 4</w:t>
            </w:r>
          </w:p>
        </w:tc>
        <w:tc>
          <w:tcPr>
            <w:tcW w:w="624" w:type="pct"/>
            <w:shd w:val="clear" w:color="auto" w:fill="auto"/>
            <w:vAlign w:val="center"/>
          </w:tcPr>
          <w:p w:rsidR="009314A6" w:rsidRPr="00A03EB8" w:rsidRDefault="009314A6" w:rsidP="00033C9D">
            <w:pPr>
              <w:pStyle w:val="TableText"/>
              <w:jc w:val="center"/>
              <w:rPr>
                <w:b/>
                <w:szCs w:val="20"/>
              </w:rPr>
            </w:pPr>
            <w:r w:rsidRPr="00A03EB8">
              <w:rPr>
                <w:b/>
                <w:szCs w:val="20"/>
              </w:rPr>
              <w:t>Year 5</w:t>
            </w:r>
          </w:p>
        </w:tc>
        <w:tc>
          <w:tcPr>
            <w:tcW w:w="624" w:type="pct"/>
            <w:shd w:val="clear" w:color="auto" w:fill="auto"/>
            <w:vAlign w:val="center"/>
          </w:tcPr>
          <w:p w:rsidR="009314A6" w:rsidRPr="00A03EB8" w:rsidRDefault="009314A6" w:rsidP="00033C9D">
            <w:pPr>
              <w:pStyle w:val="TableText"/>
              <w:jc w:val="center"/>
              <w:rPr>
                <w:b/>
                <w:szCs w:val="20"/>
              </w:rPr>
            </w:pPr>
            <w:r w:rsidRPr="00A03EB8">
              <w:rPr>
                <w:b/>
                <w:szCs w:val="20"/>
              </w:rPr>
              <w:t>Year 6</w:t>
            </w:r>
          </w:p>
        </w:tc>
      </w:tr>
      <w:tr w:rsidR="009314A6" w:rsidRPr="00A03EB8" w:rsidTr="00033C9D">
        <w:tc>
          <w:tcPr>
            <w:tcW w:w="5000" w:type="pct"/>
            <w:gridSpan w:val="7"/>
            <w:shd w:val="clear" w:color="auto" w:fill="auto"/>
            <w:vAlign w:val="center"/>
          </w:tcPr>
          <w:p w:rsidR="009314A6" w:rsidRPr="00A03EB8" w:rsidRDefault="009314A6" w:rsidP="00033C9D">
            <w:pPr>
              <w:pStyle w:val="TableText"/>
              <w:rPr>
                <w:b/>
                <w:bCs/>
                <w:color w:val="000000"/>
                <w:szCs w:val="20"/>
              </w:rPr>
            </w:pPr>
            <w:r w:rsidRPr="00A03EB8">
              <w:rPr>
                <w:b/>
                <w:bCs/>
                <w:color w:val="000000"/>
                <w:szCs w:val="20"/>
              </w:rPr>
              <w:t>Estimated extent of use</w:t>
            </w:r>
          </w:p>
        </w:tc>
      </w:tr>
      <w:tr w:rsidR="009314A6" w:rsidRPr="00A03EB8" w:rsidTr="00033C9D">
        <w:tc>
          <w:tcPr>
            <w:tcW w:w="1257" w:type="pct"/>
            <w:shd w:val="clear" w:color="auto" w:fill="auto"/>
            <w:vAlign w:val="center"/>
          </w:tcPr>
          <w:p w:rsidR="009314A6" w:rsidRPr="00A03EB8" w:rsidRDefault="009314A6" w:rsidP="00033C9D">
            <w:pPr>
              <w:pStyle w:val="TableText"/>
            </w:pPr>
            <w:r w:rsidRPr="00A03EB8">
              <w:t>Number of Type I SMA patients initiating PBS nusinersen per year</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r>
      <w:tr w:rsidR="009314A6" w:rsidRPr="00A03EB8" w:rsidTr="00033C9D">
        <w:tc>
          <w:tcPr>
            <w:tcW w:w="1257" w:type="pct"/>
            <w:shd w:val="clear" w:color="auto" w:fill="auto"/>
            <w:vAlign w:val="center"/>
          </w:tcPr>
          <w:p w:rsidR="009314A6" w:rsidRPr="00A03EB8" w:rsidRDefault="009314A6" w:rsidP="00033C9D">
            <w:pPr>
              <w:pStyle w:val="TableText"/>
            </w:pPr>
            <w:r w:rsidRPr="00A03EB8">
              <w:t>Number of Type II SMA patients initiating PBS nusinersen per year</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r>
      <w:tr w:rsidR="009314A6" w:rsidRPr="00A03EB8" w:rsidTr="00033C9D">
        <w:tc>
          <w:tcPr>
            <w:tcW w:w="1257" w:type="pct"/>
            <w:shd w:val="clear" w:color="auto" w:fill="auto"/>
            <w:vAlign w:val="center"/>
          </w:tcPr>
          <w:p w:rsidR="009314A6" w:rsidRPr="00A03EB8" w:rsidRDefault="009314A6" w:rsidP="00033C9D">
            <w:pPr>
              <w:pStyle w:val="TableText"/>
            </w:pPr>
            <w:r w:rsidRPr="00A03EB8">
              <w:t>Number of Type III SMA patients initiating PBS nusinersen per year</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szCs w:val="20"/>
                <w:highlight w:val="black"/>
              </w:rPr>
            </w:pPr>
            <w:r>
              <w:rPr>
                <w:noProof/>
                <w:color w:val="000000"/>
                <w:szCs w:val="20"/>
                <w:highlight w:val="black"/>
              </w:rPr>
              <w:t>''''''</w:t>
            </w:r>
          </w:p>
        </w:tc>
      </w:tr>
      <w:tr w:rsidR="009314A6" w:rsidRPr="00A03EB8" w:rsidTr="00033C9D">
        <w:tc>
          <w:tcPr>
            <w:tcW w:w="1257" w:type="pct"/>
            <w:shd w:val="clear" w:color="auto" w:fill="auto"/>
            <w:vAlign w:val="center"/>
          </w:tcPr>
          <w:p w:rsidR="009314A6" w:rsidRPr="00A03EB8" w:rsidRDefault="009314A6" w:rsidP="00033C9D">
            <w:pPr>
              <w:pStyle w:val="TableText"/>
            </w:pPr>
            <w:r w:rsidRPr="00A03EB8">
              <w:t>Total patients treated each year (patient years)</w:t>
            </w:r>
            <w:r w:rsidRPr="00A03EB8">
              <w:rPr>
                <w:vertAlign w:val="superscript"/>
              </w:rPr>
              <w:t>a</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r>
      <w:tr w:rsidR="009314A6" w:rsidRPr="00A03EB8" w:rsidTr="00033C9D">
        <w:tc>
          <w:tcPr>
            <w:tcW w:w="1257" w:type="pct"/>
            <w:shd w:val="clear" w:color="auto" w:fill="auto"/>
            <w:vAlign w:val="center"/>
          </w:tcPr>
          <w:p w:rsidR="009314A6" w:rsidRPr="00A03EB8" w:rsidRDefault="009314A6" w:rsidP="00033C9D">
            <w:pPr>
              <w:pStyle w:val="TableText"/>
            </w:pPr>
            <w:r w:rsidRPr="00A03EB8">
              <w:t>Number of scripts dispensed</w:t>
            </w:r>
            <w:r w:rsidRPr="00A03EB8">
              <w:rPr>
                <w:vertAlign w:val="superscript"/>
              </w:rPr>
              <w:t>b</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r>
    </w:tbl>
    <w:p w:rsidR="009314A6" w:rsidRPr="00A03EB8" w:rsidRDefault="00843BE7" w:rsidP="009314A6">
      <w:r>
        <w:t>The redacted table shows that at year 5, the estimated number of patients was less than 10,000 per year.</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81"/>
        <w:gridCol w:w="1040"/>
        <w:gridCol w:w="1126"/>
        <w:gridCol w:w="1157"/>
        <w:gridCol w:w="1157"/>
        <w:gridCol w:w="1157"/>
        <w:gridCol w:w="1186"/>
      </w:tblGrid>
      <w:tr w:rsidR="009314A6" w:rsidRPr="00A03EB8" w:rsidTr="00033C9D">
        <w:tc>
          <w:tcPr>
            <w:tcW w:w="5000" w:type="pct"/>
            <w:gridSpan w:val="7"/>
            <w:shd w:val="clear" w:color="auto" w:fill="auto"/>
            <w:vAlign w:val="center"/>
          </w:tcPr>
          <w:p w:rsidR="009314A6" w:rsidRPr="00A03EB8" w:rsidRDefault="009314A6" w:rsidP="00033C9D">
            <w:pPr>
              <w:pStyle w:val="TableText"/>
              <w:rPr>
                <w:b/>
                <w:bCs/>
                <w:color w:val="000000"/>
                <w:szCs w:val="20"/>
              </w:rPr>
            </w:pPr>
            <w:r w:rsidRPr="00A03EB8">
              <w:rPr>
                <w:b/>
                <w:bCs/>
                <w:color w:val="000000"/>
                <w:szCs w:val="20"/>
              </w:rPr>
              <w:t>Estimated financial implications of nusinersen</w:t>
            </w:r>
          </w:p>
        </w:tc>
      </w:tr>
      <w:tr w:rsidR="009314A6" w:rsidRPr="00A03EB8" w:rsidTr="00033C9D">
        <w:tc>
          <w:tcPr>
            <w:tcW w:w="1257" w:type="pct"/>
            <w:shd w:val="clear" w:color="auto" w:fill="auto"/>
            <w:vAlign w:val="center"/>
          </w:tcPr>
          <w:p w:rsidR="009314A6" w:rsidRPr="00A03EB8" w:rsidRDefault="009314A6" w:rsidP="00033C9D">
            <w:pPr>
              <w:pStyle w:val="TableText"/>
            </w:pPr>
            <w:r w:rsidRPr="00A03EB8">
              <w:rPr>
                <w:sz w:val="19"/>
                <w:szCs w:val="19"/>
              </w:rPr>
              <w:t>Cost to PBS/RPBS</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rFonts w:cs="Arial"/>
                <w:noProof/>
                <w:color w:val="000000"/>
                <w:szCs w:val="20"/>
                <w:highlight w:val="black"/>
              </w:rPr>
              <w:t>''''''''''''''''''''''''''''</w:t>
            </w:r>
          </w:p>
        </w:tc>
        <w:tc>
          <w:tcPr>
            <w:tcW w:w="624" w:type="pct"/>
            <w:tcBorders>
              <w:top w:val="single" w:sz="4" w:space="0" w:color="auto"/>
              <w:left w:val="nil"/>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rFonts w:cs="Arial"/>
                <w:noProof/>
                <w:color w:val="000000"/>
                <w:szCs w:val="20"/>
                <w:highlight w:val="black"/>
              </w:rPr>
              <w:t>'''''''''''''''''''''''''''''</w:t>
            </w:r>
          </w:p>
        </w:tc>
        <w:tc>
          <w:tcPr>
            <w:tcW w:w="624" w:type="pct"/>
            <w:tcBorders>
              <w:top w:val="single" w:sz="4" w:space="0" w:color="auto"/>
              <w:left w:val="nil"/>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rFonts w:cs="Arial"/>
                <w:noProof/>
                <w:color w:val="000000"/>
                <w:szCs w:val="20"/>
                <w:highlight w:val="black"/>
              </w:rPr>
              <w:t>''''''''''''''''''''''''''''''''''</w:t>
            </w:r>
          </w:p>
        </w:tc>
        <w:tc>
          <w:tcPr>
            <w:tcW w:w="624" w:type="pct"/>
            <w:tcBorders>
              <w:top w:val="single" w:sz="4" w:space="0" w:color="auto"/>
              <w:left w:val="nil"/>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rFonts w:cs="Arial"/>
                <w:noProof/>
                <w:color w:val="000000"/>
                <w:szCs w:val="20"/>
                <w:highlight w:val="black"/>
              </w:rPr>
              <w:t>'''''''''''''''''''''''''''''''''''</w:t>
            </w:r>
          </w:p>
        </w:tc>
        <w:tc>
          <w:tcPr>
            <w:tcW w:w="624" w:type="pct"/>
            <w:tcBorders>
              <w:top w:val="single" w:sz="4" w:space="0" w:color="auto"/>
              <w:left w:val="nil"/>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rFonts w:cs="Arial"/>
                <w:noProof/>
                <w:color w:val="000000"/>
                <w:szCs w:val="20"/>
                <w:highlight w:val="black"/>
              </w:rPr>
              <w:t>''''''''''''''''''''''''''''''''</w:t>
            </w:r>
          </w:p>
        </w:tc>
        <w:tc>
          <w:tcPr>
            <w:tcW w:w="624" w:type="pct"/>
            <w:tcBorders>
              <w:top w:val="single" w:sz="4" w:space="0" w:color="auto"/>
              <w:left w:val="nil"/>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rFonts w:cs="Arial"/>
                <w:noProof/>
                <w:color w:val="000000"/>
                <w:szCs w:val="20"/>
                <w:highlight w:val="black"/>
              </w:rPr>
              <w:t>''''''''''''''''''''''''''''''''''</w:t>
            </w:r>
          </w:p>
        </w:tc>
      </w:tr>
      <w:tr w:rsidR="009314A6" w:rsidRPr="00A03EB8" w:rsidTr="00033C9D">
        <w:tc>
          <w:tcPr>
            <w:tcW w:w="1257" w:type="pct"/>
            <w:shd w:val="clear" w:color="auto" w:fill="auto"/>
            <w:vAlign w:val="center"/>
          </w:tcPr>
          <w:p w:rsidR="009314A6" w:rsidRPr="00A03EB8" w:rsidRDefault="009314A6" w:rsidP="00033C9D">
            <w:pPr>
              <w:pStyle w:val="TableText"/>
              <w:rPr>
                <w:sz w:val="19"/>
                <w:szCs w:val="19"/>
              </w:rPr>
            </w:pPr>
            <w:r w:rsidRPr="00A03EB8">
              <w:rPr>
                <w:sz w:val="19"/>
                <w:szCs w:val="19"/>
              </w:rPr>
              <w:t>Copayments</w:t>
            </w:r>
          </w:p>
        </w:tc>
        <w:tc>
          <w:tcPr>
            <w:tcW w:w="623" w:type="pct"/>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r>
      <w:tr w:rsidR="009314A6" w:rsidRPr="00A03EB8" w:rsidTr="00033C9D">
        <w:tc>
          <w:tcPr>
            <w:tcW w:w="1257" w:type="pct"/>
            <w:shd w:val="clear" w:color="auto" w:fill="auto"/>
            <w:vAlign w:val="center"/>
          </w:tcPr>
          <w:p w:rsidR="009314A6" w:rsidRPr="00A03EB8" w:rsidRDefault="009314A6" w:rsidP="00033C9D">
            <w:pPr>
              <w:pStyle w:val="TableText"/>
              <w:rPr>
                <w:sz w:val="19"/>
                <w:szCs w:val="19"/>
              </w:rPr>
            </w:pPr>
            <w:r w:rsidRPr="00A03EB8">
              <w:rPr>
                <w:sz w:val="19"/>
                <w:szCs w:val="19"/>
              </w:rPr>
              <w:t>Cost to PBS less copayments</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r>
      <w:tr w:rsidR="009314A6" w:rsidRPr="00A03EB8" w:rsidTr="00033C9D">
        <w:tc>
          <w:tcPr>
            <w:tcW w:w="5000" w:type="pct"/>
            <w:gridSpan w:val="7"/>
            <w:shd w:val="clear" w:color="auto" w:fill="auto"/>
            <w:vAlign w:val="center"/>
          </w:tcPr>
          <w:p w:rsidR="009314A6" w:rsidRPr="00A03EB8" w:rsidRDefault="009314A6" w:rsidP="00033C9D">
            <w:pPr>
              <w:pStyle w:val="TableText"/>
              <w:rPr>
                <w:b/>
                <w:bCs/>
                <w:color w:val="000000"/>
                <w:szCs w:val="20"/>
              </w:rPr>
            </w:pPr>
            <w:r w:rsidRPr="00A03EB8">
              <w:rPr>
                <w:b/>
                <w:bCs/>
                <w:color w:val="000000"/>
                <w:szCs w:val="20"/>
              </w:rPr>
              <w:t>Net financial implications</w:t>
            </w:r>
          </w:p>
        </w:tc>
      </w:tr>
      <w:tr w:rsidR="009314A6" w:rsidRPr="00A03EB8" w:rsidTr="00033C9D">
        <w:tc>
          <w:tcPr>
            <w:tcW w:w="1257" w:type="pct"/>
            <w:shd w:val="clear" w:color="auto" w:fill="auto"/>
            <w:vAlign w:val="center"/>
          </w:tcPr>
          <w:p w:rsidR="009314A6" w:rsidRPr="00A03EB8" w:rsidRDefault="009314A6" w:rsidP="00033C9D">
            <w:pPr>
              <w:pStyle w:val="TableText"/>
              <w:rPr>
                <w:sz w:val="19"/>
                <w:szCs w:val="19"/>
              </w:rPr>
            </w:pPr>
            <w:r w:rsidRPr="00A03EB8">
              <w:rPr>
                <w:sz w:val="19"/>
                <w:szCs w:val="19"/>
              </w:rPr>
              <w:t>Net cost to PBS</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r>
      <w:tr w:rsidR="009314A6" w:rsidRPr="00A03EB8" w:rsidTr="00033C9D">
        <w:tc>
          <w:tcPr>
            <w:tcW w:w="1257" w:type="pct"/>
            <w:shd w:val="clear" w:color="auto" w:fill="auto"/>
            <w:vAlign w:val="center"/>
          </w:tcPr>
          <w:p w:rsidR="009314A6" w:rsidRPr="00A03EB8" w:rsidRDefault="009314A6" w:rsidP="00033C9D">
            <w:pPr>
              <w:pStyle w:val="TableText"/>
            </w:pPr>
            <w:r w:rsidRPr="00A03EB8">
              <w:rPr>
                <w:sz w:val="19"/>
                <w:szCs w:val="19"/>
              </w:rPr>
              <w:t>Net cost to MBS</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noProof/>
                <w:color w:val="000000"/>
                <w:szCs w:val="20"/>
                <w:highlight w:val="black"/>
              </w:rPr>
              <w:t>'''''''''''''''''''''''</w:t>
            </w:r>
          </w:p>
        </w:tc>
      </w:tr>
      <w:tr w:rsidR="009314A6" w:rsidRPr="00A03EB8" w:rsidTr="00033C9D">
        <w:tc>
          <w:tcPr>
            <w:tcW w:w="1257" w:type="pct"/>
            <w:shd w:val="clear" w:color="auto" w:fill="auto"/>
            <w:vAlign w:val="center"/>
          </w:tcPr>
          <w:p w:rsidR="009314A6" w:rsidRPr="00A03EB8" w:rsidRDefault="009314A6" w:rsidP="00033C9D">
            <w:pPr>
              <w:pStyle w:val="TableText"/>
              <w:rPr>
                <w:sz w:val="19"/>
                <w:szCs w:val="19"/>
              </w:rPr>
            </w:pPr>
            <w:r w:rsidRPr="00A03EB8">
              <w:rPr>
                <w:sz w:val="19"/>
                <w:szCs w:val="19"/>
              </w:rPr>
              <w:t>Net cost to PBS/MBS</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b/>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b/>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b/>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b/>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b/>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314A6" w:rsidRPr="005F0590" w:rsidRDefault="005F0590" w:rsidP="00033C9D">
            <w:pPr>
              <w:pStyle w:val="TableText"/>
              <w:jc w:val="center"/>
              <w:rPr>
                <w:bCs/>
                <w:color w:val="000000"/>
                <w:szCs w:val="20"/>
                <w:highlight w:val="black"/>
              </w:rPr>
            </w:pPr>
            <w:r>
              <w:rPr>
                <w:b/>
                <w:noProof/>
                <w:color w:val="000000"/>
                <w:szCs w:val="20"/>
                <w:highlight w:val="black"/>
              </w:rPr>
              <w:t>'''''''''''''''''''''''''''''</w:t>
            </w:r>
          </w:p>
        </w:tc>
      </w:tr>
    </w:tbl>
    <w:p w:rsidR="009314A6" w:rsidRPr="00A03EB8" w:rsidRDefault="009314A6" w:rsidP="009314A6">
      <w:pPr>
        <w:spacing w:before="0" w:after="0"/>
        <w:rPr>
          <w:rFonts w:ascii="Arial Narrow" w:hAnsi="Arial Narrow" w:cs="Arial"/>
          <w:sz w:val="18"/>
          <w:szCs w:val="18"/>
        </w:rPr>
      </w:pPr>
      <w:r w:rsidRPr="00A03EB8">
        <w:rPr>
          <w:rFonts w:ascii="Arial Narrow" w:hAnsi="Arial Narrow" w:cs="Arial"/>
          <w:i/>
          <w:sz w:val="18"/>
          <w:szCs w:val="18"/>
          <w:vertAlign w:val="superscript"/>
        </w:rPr>
        <w:t>a</w:t>
      </w:r>
      <w:r w:rsidRPr="00A03EB8">
        <w:rPr>
          <w:rFonts w:ascii="Arial Narrow" w:hAnsi="Arial Narrow" w:cs="Arial"/>
          <w:i/>
          <w:sz w:val="18"/>
          <w:szCs w:val="18"/>
        </w:rPr>
        <w:t>The submission did not provide the total number of patients on treatment in each year, rather the number of patient years of treatment was presented.</w:t>
      </w:r>
      <w:r w:rsidRPr="00A03EB8">
        <w:rPr>
          <w:rFonts w:ascii="Arial Narrow" w:hAnsi="Arial Narrow" w:cs="Arial"/>
          <w:sz w:val="18"/>
          <w:szCs w:val="18"/>
        </w:rPr>
        <w:t xml:space="preserve"> </w:t>
      </w:r>
    </w:p>
    <w:p w:rsidR="009314A6" w:rsidRPr="00A03EB8" w:rsidRDefault="009314A6" w:rsidP="009314A6">
      <w:pPr>
        <w:pStyle w:val="TableFooter"/>
        <w:spacing w:after="0"/>
        <w:contextualSpacing w:val="0"/>
      </w:pPr>
      <w:r w:rsidRPr="00A03EB8">
        <w:rPr>
          <w:vertAlign w:val="superscript"/>
        </w:rPr>
        <w:t>b</w:t>
      </w:r>
      <w:r w:rsidRPr="00A03EB8">
        <w:t xml:space="preserve"> Assuming 2 scripts in year 1 for initiating patients (the 2 rebated scripts in year 1  were not included in these estimates) and 3 scripts per year from year 2 onwards, in surviving patients, as estimated by the submission.</w:t>
      </w:r>
    </w:p>
    <w:p w:rsidR="009314A6" w:rsidRPr="00A03EB8" w:rsidRDefault="009314A6" w:rsidP="009314A6">
      <w:pPr>
        <w:pStyle w:val="TableFooter"/>
        <w:spacing w:after="0"/>
        <w:contextualSpacing w:val="0"/>
      </w:pPr>
      <w:r w:rsidRPr="00A03EB8">
        <w:t>Source: Table 13 of Commentary Executive Summary, Tables 4.2.2-4.2.15, and Table 4.5.2-4.5.3, pp309-320 of the submission and Section 4 MS Excel Workbook, Sheet 3c</w:t>
      </w:r>
    </w:p>
    <w:p w:rsidR="00A03EB8" w:rsidRPr="00352D6A" w:rsidRDefault="009314A6" w:rsidP="009314A6">
      <w:pPr>
        <w:pStyle w:val="ListParagraph"/>
        <w:numPr>
          <w:ilvl w:val="1"/>
          <w:numId w:val="2"/>
        </w:numPr>
      </w:pPr>
      <w:bookmarkStart w:id="28" w:name="_Toc413139285"/>
      <w:bookmarkStart w:id="29" w:name="_Toc490533780"/>
      <w:r w:rsidRPr="00352D6A">
        <w:t>The estimated incidence of Type I SMA was based on Australian data and is reasonable. The number of people with Type II or III SMA is uncertain due to a lack of Australian incidence data.</w:t>
      </w:r>
      <w:r w:rsidR="00654CBE" w:rsidRPr="00352D6A">
        <w:t xml:space="preserve"> The PSCR (p7) reiterated that a comprehensive and systematic epidemiological approach has been employed in Section 4 to provide a robust estimate of the cost of nusinersen to the PBS/MBS. The DUSC agreed and considered that the estimated number of patients in Australia that would be eligible for nusinersen is based on the best available data.  </w:t>
      </w:r>
      <w:r w:rsidRPr="00352D6A">
        <w:t xml:space="preserve"> </w:t>
      </w:r>
      <w:r w:rsidR="003E5A0C" w:rsidRPr="00352D6A">
        <w:t xml:space="preserve"> </w:t>
      </w:r>
    </w:p>
    <w:p w:rsidR="009314A6" w:rsidRPr="00352D6A" w:rsidRDefault="003E5A0C" w:rsidP="009314A6">
      <w:pPr>
        <w:pStyle w:val="ListParagraph"/>
        <w:numPr>
          <w:ilvl w:val="1"/>
          <w:numId w:val="2"/>
        </w:numPr>
      </w:pPr>
      <w:r w:rsidRPr="00352D6A">
        <w:t xml:space="preserve">The Sponsor acknowledged that some residual uncertainty may remain and expressed a willingness to work with the PBAC and Department of Health to develop an appropriate RSA to address any residual areas of uncertainty (PSCR p5). </w:t>
      </w:r>
      <w:r w:rsidR="009314A6" w:rsidRPr="00352D6A">
        <w:t>The DUSC noted that the size of the population over 18 years old is highly uncertain. These patients are estimated to account for 32% of expenditure in Year 1.</w:t>
      </w:r>
    </w:p>
    <w:p w:rsidR="009314A6" w:rsidRPr="00352D6A" w:rsidRDefault="007E5F01" w:rsidP="007E5F01">
      <w:pPr>
        <w:pStyle w:val="ListParagraph"/>
        <w:numPr>
          <w:ilvl w:val="1"/>
          <w:numId w:val="2"/>
        </w:numPr>
      </w:pPr>
      <w:r w:rsidRPr="00352D6A">
        <w:t xml:space="preserve">The DUSC considered that the treatment uptake rates were underestimated. The submission assumed that the uptake rate for incident Type I, II and III patients would be 80%, 100% and 80% respectively. Given the nature of the disease and lack of </w:t>
      </w:r>
      <w:r w:rsidRPr="00352D6A">
        <w:lastRenderedPageBreak/>
        <w:t>alternative treatments, DUSC considered that the uptake rate may approach 100% in all types for incident and prevalent patients.</w:t>
      </w:r>
    </w:p>
    <w:p w:rsidR="006A6553" w:rsidRPr="00352D6A" w:rsidRDefault="006A6553" w:rsidP="006A6553">
      <w:pPr>
        <w:pStyle w:val="ListParagraph"/>
        <w:numPr>
          <w:ilvl w:val="1"/>
          <w:numId w:val="2"/>
        </w:numPr>
      </w:pPr>
      <w:r w:rsidRPr="00352D6A">
        <w:t>DUSC considered that the submission may have underestimated the total health care costs, given that costs for adverse events, monitoring, genetic tests and the ongoing cost of standard care in patients who survive for longer on nusinersen were not included in the financial estimates.</w:t>
      </w:r>
    </w:p>
    <w:p w:rsidR="001334D8" w:rsidRPr="00A03EB8" w:rsidRDefault="001334D8" w:rsidP="007A3413">
      <w:pPr>
        <w:pStyle w:val="Heading2"/>
        <w:jc w:val="both"/>
        <w:rPr>
          <w:i w:val="0"/>
        </w:rPr>
      </w:pPr>
      <w:r w:rsidRPr="00A03EB8">
        <w:rPr>
          <w:i w:val="0"/>
        </w:rPr>
        <w:t>Quality use of medicines</w:t>
      </w:r>
      <w:bookmarkEnd w:id="28"/>
      <w:bookmarkEnd w:id="29"/>
    </w:p>
    <w:p w:rsidR="001334D8" w:rsidRPr="00A03EB8" w:rsidRDefault="001334D8" w:rsidP="005D071D">
      <w:pPr>
        <w:pStyle w:val="ListParagraph"/>
        <w:numPr>
          <w:ilvl w:val="1"/>
          <w:numId w:val="2"/>
        </w:numPr>
        <w:spacing w:before="0" w:after="120"/>
        <w:jc w:val="both"/>
      </w:pPr>
      <w:r w:rsidRPr="00A03EB8">
        <w:t>The submission stated that the sponsor would be able to provide data from the phase 3, open label extension study (SHINE, CS11) for patients with SMA who previously participated in investigational studies with nusinersen (ENDEAR, CHERISH, CS3A, CS12) and data from the EMBRACE (SM202) ongoing phase 2, double-blind, randomised, sham-controlled study of nusinersen in 21 patients not eligible to participate in ENDEAR or CHERISH, at the request of the PBAC.</w:t>
      </w:r>
      <w:r w:rsidR="0082447D" w:rsidRPr="00A03EB8">
        <w:rPr>
          <w:i/>
        </w:rPr>
        <w:t xml:space="preserve"> </w:t>
      </w:r>
    </w:p>
    <w:p w:rsidR="006A6553" w:rsidRPr="00352D6A" w:rsidRDefault="00706F2B" w:rsidP="006A6553">
      <w:pPr>
        <w:pStyle w:val="ListParagraph"/>
        <w:numPr>
          <w:ilvl w:val="1"/>
          <w:numId w:val="2"/>
        </w:numPr>
        <w:spacing w:before="0" w:after="120"/>
        <w:jc w:val="both"/>
      </w:pPr>
      <w:r w:rsidRPr="00352D6A">
        <w:t>The DUSC considered that t</w:t>
      </w:r>
      <w:r w:rsidR="006A6553" w:rsidRPr="00352D6A">
        <w:t>he availability of nusinersen may encourage screening for the 5q survival-of-motor neuron (SMN) homozygous gene deletion or mutation leading to earlier detection of the condition.</w:t>
      </w:r>
    </w:p>
    <w:p w:rsidR="00582E1E" w:rsidRPr="00A03EB8" w:rsidRDefault="00582E1E" w:rsidP="005D071D">
      <w:pPr>
        <w:pStyle w:val="ListParagraph"/>
        <w:numPr>
          <w:ilvl w:val="1"/>
          <w:numId w:val="2"/>
        </w:numPr>
        <w:spacing w:before="0" w:after="120"/>
        <w:jc w:val="both"/>
      </w:pPr>
      <w:r w:rsidRPr="00A03EB8">
        <w:t>The ESC advised</w:t>
      </w:r>
      <w:r w:rsidR="00401810" w:rsidRPr="00A03EB8">
        <w:t xml:space="preserve"> that if recommended for listing, there </w:t>
      </w:r>
      <w:r w:rsidR="000A3ACF" w:rsidRPr="00A03EB8">
        <w:t>was a</w:t>
      </w:r>
      <w:r w:rsidR="00C83B9D" w:rsidRPr="00A03EB8">
        <w:t xml:space="preserve"> risk that nusinersen would be used in pre-symptomatic patients</w:t>
      </w:r>
      <w:r w:rsidR="000A3ACF" w:rsidRPr="00A03EB8">
        <w:t xml:space="preserve"> with a genetic diagnosis of SMA</w:t>
      </w:r>
      <w:r w:rsidR="00C83B9D" w:rsidRPr="00A03EB8">
        <w:t xml:space="preserve"> </w:t>
      </w:r>
      <w:r w:rsidR="000A3ACF" w:rsidRPr="00A03EB8">
        <w:t>for whom there may be little benefit in early treatment (i.e. Type-IV adult-onset SMA).</w:t>
      </w:r>
    </w:p>
    <w:p w:rsidR="001334D8" w:rsidRPr="00A03EB8" w:rsidRDefault="001334D8" w:rsidP="007A3413">
      <w:pPr>
        <w:pStyle w:val="Heading2"/>
        <w:jc w:val="both"/>
        <w:rPr>
          <w:i w:val="0"/>
        </w:rPr>
      </w:pPr>
      <w:bookmarkStart w:id="30" w:name="_Toc413139286"/>
      <w:bookmarkStart w:id="31" w:name="_Toc490533781"/>
      <w:r w:rsidRPr="00A03EB8">
        <w:rPr>
          <w:i w:val="0"/>
        </w:rPr>
        <w:t>Financial management – risk sharing arrangements</w:t>
      </w:r>
      <w:bookmarkEnd w:id="30"/>
      <w:bookmarkEnd w:id="31"/>
    </w:p>
    <w:p w:rsidR="001334D8" w:rsidRPr="00A03EB8" w:rsidRDefault="001334D8" w:rsidP="005D071D">
      <w:pPr>
        <w:pStyle w:val="ListParagraph"/>
        <w:numPr>
          <w:ilvl w:val="1"/>
          <w:numId w:val="2"/>
        </w:numPr>
        <w:spacing w:before="0" w:after="120"/>
        <w:jc w:val="both"/>
      </w:pPr>
      <w:r w:rsidRPr="00A03EB8">
        <w:t>The submission proposed a Risk-Sharing Arrangement (RSA) for nusinersen for the treatment of infantile and childhood-onset SMA. There were two elements to the proposed RSA:</w:t>
      </w:r>
    </w:p>
    <w:p w:rsidR="001334D8" w:rsidRPr="00A03EB8" w:rsidRDefault="001334D8" w:rsidP="004E3898">
      <w:pPr>
        <w:pStyle w:val="ListParagraph"/>
        <w:numPr>
          <w:ilvl w:val="1"/>
          <w:numId w:val="65"/>
        </w:numPr>
        <w:spacing w:before="0" w:after="120"/>
        <w:ind w:left="851" w:hanging="284"/>
        <w:jc w:val="both"/>
      </w:pPr>
      <w:r w:rsidRPr="00C607D6">
        <w:t xml:space="preserve">A special pricing arrangement (SPA) </w:t>
      </w:r>
      <w:r w:rsidR="005F0590">
        <w:rPr>
          <w:noProof/>
          <w:color w:val="000000"/>
          <w:highlight w:val="black"/>
        </w:rPr>
        <w:t>''''' '''''''''''''' '''''' '''''''' '''' ''''''' '''''''' '''''''' ''''' '''''''''''''''''''''' ''''''''''''''' '''''' '''''''''''''' '''''''''''''''' ''''' '''''''''''''' '''''' '''''''' '''' '''''' ''''''''''''''' '''''''''''' '''' '''''''''''''''''''''' ''''' '''''''''''''''' ''''''' '''''''' ''''' '''''''' ''''' '''''' ''''''''' ''''''''''' '''''''''''''' ''''''''''''</w:t>
      </w:r>
      <w:r w:rsidRPr="00A03EB8">
        <w:t xml:space="preserve"> The effect of the SPA was incorporated into the economic and financial analysis presented by the submission.</w:t>
      </w:r>
    </w:p>
    <w:p w:rsidR="001334D8" w:rsidRPr="00A03EB8" w:rsidRDefault="001334D8" w:rsidP="004E3898">
      <w:pPr>
        <w:pStyle w:val="ListParagraph"/>
        <w:numPr>
          <w:ilvl w:val="1"/>
          <w:numId w:val="65"/>
        </w:numPr>
        <w:spacing w:before="0" w:after="120"/>
        <w:ind w:left="851" w:hanging="284"/>
        <w:jc w:val="both"/>
      </w:pPr>
      <w:r w:rsidRPr="00A03EB8">
        <w:t xml:space="preserve">The submission also stated that the sponsor would be willing to work with the Department of Health to establish an appropriate RSA following feedback from the PBAC on patient eligibility, with the submission acknowledging that the wording of specific criteria to be included in the final restriction has yet to be finalised. The submission also acknowledged that a RSA may be appropriate given the uncertainty surrounding the size of the patient population (particularly in adults) and the likely uptake rate for each patient group. </w:t>
      </w:r>
    </w:p>
    <w:p w:rsidR="00E311E2" w:rsidRPr="00A03EB8" w:rsidRDefault="00E311E2" w:rsidP="00E311E2">
      <w:pPr>
        <w:pStyle w:val="ListParagraph"/>
        <w:spacing w:before="0" w:after="120"/>
        <w:ind w:left="851"/>
        <w:jc w:val="both"/>
      </w:pPr>
      <w:r w:rsidRPr="00352D6A">
        <w:rPr>
          <w:rFonts w:ascii="Calibri" w:eastAsia="Times New Roman" w:hAnsi="Calibri" w:cs="Times New Roman"/>
          <w:i/>
        </w:rPr>
        <w:t>For more detail on PBAC’s view, see section 7 PBAC outcome</w:t>
      </w:r>
    </w:p>
    <w:p w:rsidR="00C317F3" w:rsidRPr="00A03EB8" w:rsidRDefault="00C317F3" w:rsidP="007D36DD">
      <w:pPr>
        <w:pStyle w:val="V50Instructions"/>
        <w:spacing w:after="120"/>
        <w:ind w:left="426"/>
        <w:jc w:val="both"/>
        <w:rPr>
          <w:b/>
          <w:color w:val="auto"/>
          <w:u w:val="single"/>
        </w:rPr>
      </w:pPr>
    </w:p>
    <w:p w:rsidR="00246B23" w:rsidRPr="00A03EB8" w:rsidRDefault="00246B23" w:rsidP="00246B23">
      <w:pPr>
        <w:pStyle w:val="Heading1"/>
      </w:pPr>
      <w:r w:rsidRPr="00A03EB8">
        <w:t xml:space="preserve">PBAC Outcome </w:t>
      </w:r>
    </w:p>
    <w:p w:rsidR="0062792F" w:rsidRPr="00A03EB8" w:rsidRDefault="009D1A63" w:rsidP="00642CF0">
      <w:pPr>
        <w:pStyle w:val="ListParagraph"/>
        <w:numPr>
          <w:ilvl w:val="1"/>
          <w:numId w:val="2"/>
        </w:numPr>
        <w:spacing w:before="0" w:after="120"/>
        <w:jc w:val="both"/>
      </w:pPr>
      <w:r w:rsidRPr="00A03EB8">
        <w:t xml:space="preserve">The PBAC did not recommend the Section 100 (Highly Specialised Drugs Program) listing of </w:t>
      </w:r>
      <w:r w:rsidR="00F5164F" w:rsidRPr="00A03EB8">
        <w:t xml:space="preserve">nusinersen for the treatment of patients with Infantile-onset (Type I) and </w:t>
      </w:r>
      <w:r w:rsidR="00F5164F" w:rsidRPr="00A03EB8">
        <w:lastRenderedPageBreak/>
        <w:t>childhood-onset (Type</w:t>
      </w:r>
      <w:r w:rsidR="005623CF" w:rsidRPr="00A03EB8">
        <w:t>s</w:t>
      </w:r>
      <w:r w:rsidR="00F5164F" w:rsidRPr="00A03EB8">
        <w:t xml:space="preserve"> II &amp; III) spinal muscular atrophy (SMA)</w:t>
      </w:r>
      <w:r w:rsidR="00101715" w:rsidRPr="00A03EB8">
        <w:t xml:space="preserve"> because of uncertainty about</w:t>
      </w:r>
      <w:r w:rsidR="0062792F" w:rsidRPr="00A03EB8">
        <w:t xml:space="preserve"> its clinical effectiveness in terms of</w:t>
      </w:r>
      <w:r w:rsidR="00101715" w:rsidRPr="00A03EB8">
        <w:t xml:space="preserve"> the extent and durability of </w:t>
      </w:r>
      <w:r w:rsidR="0062792F" w:rsidRPr="00A03EB8">
        <w:t xml:space="preserve">response across the spectrum of SMA for which the submission has sought subsidy.  In addition,  </w:t>
      </w:r>
      <w:r w:rsidR="00101715" w:rsidRPr="00A03EB8">
        <w:t xml:space="preserve"> the submission contained insufficient information for the PBAC to form a view on the cost-effectiveness of treatment</w:t>
      </w:r>
      <w:r w:rsidR="0062792F" w:rsidRPr="00A03EB8">
        <w:t xml:space="preserve"> across the spectrum of SMA.</w:t>
      </w:r>
      <w:r w:rsidR="00101715" w:rsidRPr="00A03EB8">
        <w:t xml:space="preserve"> </w:t>
      </w:r>
    </w:p>
    <w:p w:rsidR="00101715" w:rsidRPr="00352D6A" w:rsidRDefault="00101715" w:rsidP="00665665">
      <w:pPr>
        <w:pStyle w:val="ListParagraph"/>
        <w:numPr>
          <w:ilvl w:val="1"/>
          <w:numId w:val="2"/>
        </w:numPr>
        <w:spacing w:before="0" w:after="120"/>
        <w:jc w:val="both"/>
      </w:pPr>
      <w:r w:rsidRPr="00A03EB8">
        <w:t>The PBAC acknowledged that there is a high and urgent clinical need for treatments for SMA, particularly for the most severe forms of the condition</w:t>
      </w:r>
      <w:r w:rsidR="0062792F" w:rsidRPr="00A03EB8">
        <w:t>. However, t</w:t>
      </w:r>
      <w:r w:rsidRPr="00A03EB8">
        <w:t xml:space="preserve">he PBAC noted that the consumer input </w:t>
      </w:r>
      <w:r w:rsidR="0062792F" w:rsidRPr="00A03EB8">
        <w:t xml:space="preserve">was </w:t>
      </w:r>
      <w:r w:rsidR="00C16D32" w:rsidRPr="00A03EB8">
        <w:t xml:space="preserve">strongly </w:t>
      </w:r>
      <w:r w:rsidR="0062792F" w:rsidRPr="00A03EB8">
        <w:t xml:space="preserve">supportive of a broad PBS listing across all forms of SMA, including adult onset disease.  The PBAC considered that the available evidence suggests all patients may receive some benefit from </w:t>
      </w:r>
      <w:r w:rsidR="00533D2B" w:rsidRPr="00A03EB8">
        <w:t>nusiners</w:t>
      </w:r>
      <w:r w:rsidR="00533D2B">
        <w:t>e</w:t>
      </w:r>
      <w:r w:rsidR="00533D2B" w:rsidRPr="00A03EB8">
        <w:t>n</w:t>
      </w:r>
      <w:r w:rsidR="00C82E78" w:rsidRPr="00A03EB8">
        <w:t>, but that this benefit needs to be better quantified.</w:t>
      </w:r>
      <w:r w:rsidR="0062792F" w:rsidRPr="00A03EB8">
        <w:t xml:space="preserve"> </w:t>
      </w:r>
    </w:p>
    <w:p w:rsidR="0062792F" w:rsidRPr="00A03EB8" w:rsidRDefault="00C16D32" w:rsidP="00642CF0">
      <w:pPr>
        <w:pStyle w:val="ListParagraph"/>
        <w:numPr>
          <w:ilvl w:val="1"/>
          <w:numId w:val="2"/>
        </w:numPr>
      </w:pPr>
      <w:r w:rsidRPr="00A03EB8">
        <w:t xml:space="preserve">The PBAC formed the view that the Pharmaceutical Benefits Scheme (PBS) is the most appropriate mechanism for subsidising </w:t>
      </w:r>
      <w:r w:rsidR="00533D2B" w:rsidRPr="00A03EB8">
        <w:t>nusiners</w:t>
      </w:r>
      <w:r w:rsidR="00533D2B">
        <w:t>e</w:t>
      </w:r>
      <w:r w:rsidR="00533D2B" w:rsidRPr="00A03EB8">
        <w:t xml:space="preserve">n </w:t>
      </w:r>
      <w:r w:rsidRPr="00A03EB8">
        <w:t>for Australian patients.</w:t>
      </w:r>
      <w:r w:rsidR="009E4354" w:rsidRPr="00A03EB8">
        <w:t xml:space="preserve">  The PBAC considered that further information on the cost-effectiveness of treatment with </w:t>
      </w:r>
      <w:r w:rsidR="00533D2B" w:rsidRPr="00A03EB8">
        <w:t>nusiners</w:t>
      </w:r>
      <w:r w:rsidR="00533D2B">
        <w:t>e</w:t>
      </w:r>
      <w:r w:rsidR="00533D2B" w:rsidRPr="00A03EB8">
        <w:t xml:space="preserve">n </w:t>
      </w:r>
      <w:r w:rsidR="009E4354" w:rsidRPr="00A03EB8">
        <w:t>is necessary in order for it to be able to form a view on the appropriate PBS subsidy price, but that based on the information already available it is likely that a substantial reduction in the proposed price will be required.</w:t>
      </w:r>
    </w:p>
    <w:p w:rsidR="009E4354" w:rsidRPr="00A03EB8" w:rsidRDefault="009E4354" w:rsidP="00352D6A">
      <w:pPr>
        <w:pStyle w:val="ListParagraph"/>
        <w:numPr>
          <w:ilvl w:val="1"/>
          <w:numId w:val="2"/>
        </w:numPr>
      </w:pPr>
      <w:r w:rsidRPr="00A03EB8">
        <w:t xml:space="preserve">The PBAC noted that </w:t>
      </w:r>
      <w:r w:rsidR="00BD66A4" w:rsidRPr="00A03EB8">
        <w:t xml:space="preserve">the submission estimated the prevalence of SMA Type I – III to be </w:t>
      </w:r>
      <w:r w:rsidR="00533D2B">
        <w:t>less than 10,000</w:t>
      </w:r>
      <w:r w:rsidR="00533D2B" w:rsidRPr="00A03EB8">
        <w:t xml:space="preserve"> </w:t>
      </w:r>
      <w:r w:rsidR="00BD66A4" w:rsidRPr="00A03EB8">
        <w:t>people in 2018 (</w:t>
      </w:r>
      <w:r w:rsidR="00533D2B">
        <w:t>less than 10,000</w:t>
      </w:r>
      <w:r w:rsidR="00533D2B" w:rsidRPr="00A03EB8">
        <w:t xml:space="preserve"> </w:t>
      </w:r>
      <w:r w:rsidR="00BD66A4" w:rsidRPr="00A03EB8">
        <w:t xml:space="preserve">Type I, </w:t>
      </w:r>
      <w:r w:rsidR="00533D2B">
        <w:t>less than 10,000</w:t>
      </w:r>
      <w:r w:rsidR="00533D2B" w:rsidRPr="00A03EB8">
        <w:t xml:space="preserve"> </w:t>
      </w:r>
      <w:r w:rsidR="00BD66A4" w:rsidRPr="00A03EB8">
        <w:t xml:space="preserve">Type II and </w:t>
      </w:r>
      <w:r w:rsidR="00533D2B">
        <w:t>less than 10,000</w:t>
      </w:r>
      <w:r w:rsidR="00533D2B" w:rsidRPr="00A03EB8">
        <w:t xml:space="preserve"> </w:t>
      </w:r>
      <w:r w:rsidR="00BD66A4" w:rsidRPr="00A03EB8">
        <w:t>Type III), and that although the submission had used the best available evidence to arrive at this estimate, it is likely that this is an underestimate, particularly of the number of patients over the age of 18 years.</w:t>
      </w:r>
    </w:p>
    <w:p w:rsidR="00BD66A4" w:rsidRPr="00A03EB8" w:rsidRDefault="00BD66A4" w:rsidP="00642CF0">
      <w:pPr>
        <w:pStyle w:val="ListParagraph"/>
        <w:numPr>
          <w:ilvl w:val="1"/>
          <w:numId w:val="2"/>
        </w:numPr>
      </w:pPr>
      <w:r w:rsidRPr="00A03EB8">
        <w:t xml:space="preserve">The Committee also noted that targeted therapies are becoming increasingly common, with a number of such therapies being considered for, or added to, the PBS over the past few years. Whilst some targeted therapies are PBS subsidised for larger patient populations than will be treated with </w:t>
      </w:r>
      <w:r w:rsidR="00533D2B" w:rsidRPr="00A03EB8">
        <w:t>nusiners</w:t>
      </w:r>
      <w:r w:rsidR="00533D2B">
        <w:t>e</w:t>
      </w:r>
      <w:r w:rsidR="00533D2B" w:rsidRPr="00A03EB8">
        <w:t xml:space="preserve">n </w:t>
      </w:r>
      <w:r w:rsidRPr="00A03EB8">
        <w:t xml:space="preserve">others are subsidised through the PBS for even rarer conditions.  </w:t>
      </w:r>
    </w:p>
    <w:p w:rsidR="007D5ECF" w:rsidRPr="00CD2B90" w:rsidRDefault="007D5ECF" w:rsidP="00352D6A">
      <w:r w:rsidRPr="007D5ECF">
        <w:t>Further details on the PBS recommendation follow:</w:t>
      </w:r>
    </w:p>
    <w:p w:rsidR="00952BAA" w:rsidRPr="00352D6A" w:rsidRDefault="00952BAA" w:rsidP="00352D6A">
      <w:pPr>
        <w:rPr>
          <w:b/>
          <w:i/>
        </w:rPr>
      </w:pPr>
      <w:r w:rsidRPr="00352D6A">
        <w:rPr>
          <w:b/>
          <w:i/>
        </w:rPr>
        <w:t xml:space="preserve">Clinical effectiveness of treatment with </w:t>
      </w:r>
      <w:r w:rsidR="00533D2B" w:rsidRPr="00352D6A">
        <w:rPr>
          <w:b/>
          <w:i/>
        </w:rPr>
        <w:t>nusiners</w:t>
      </w:r>
      <w:r w:rsidR="00533D2B">
        <w:rPr>
          <w:b/>
          <w:i/>
        </w:rPr>
        <w:t>e</w:t>
      </w:r>
      <w:r w:rsidR="00533D2B" w:rsidRPr="00352D6A">
        <w:rPr>
          <w:b/>
          <w:i/>
        </w:rPr>
        <w:t>n</w:t>
      </w:r>
    </w:p>
    <w:p w:rsidR="00952BAA" w:rsidRPr="00A03EB8" w:rsidRDefault="00952BAA" w:rsidP="00952BAA">
      <w:pPr>
        <w:pStyle w:val="ListParagraph"/>
        <w:numPr>
          <w:ilvl w:val="1"/>
          <w:numId w:val="2"/>
        </w:numPr>
      </w:pPr>
      <w:r w:rsidRPr="00A03EB8">
        <w:t>The PBAC considered that the available evidence suggests all patients</w:t>
      </w:r>
      <w:r w:rsidR="00496A5D" w:rsidRPr="00A03EB8">
        <w:t xml:space="preserve"> with SMA</w:t>
      </w:r>
      <w:r w:rsidRPr="00A03EB8">
        <w:t xml:space="preserve"> may receive some benefit from </w:t>
      </w:r>
      <w:r w:rsidR="00B55ECD" w:rsidRPr="00A03EB8">
        <w:t>nusiners</w:t>
      </w:r>
      <w:r w:rsidR="00B55ECD">
        <w:t>e</w:t>
      </w:r>
      <w:r w:rsidR="00B55ECD" w:rsidRPr="00A03EB8">
        <w:t>n</w:t>
      </w:r>
      <w:r w:rsidRPr="00A03EB8">
        <w:t xml:space="preserve">, but that this benefit needs to be better quantified. </w:t>
      </w:r>
    </w:p>
    <w:p w:rsidR="00B6488B" w:rsidRPr="00A03EB8" w:rsidRDefault="002F3B0B" w:rsidP="00665665">
      <w:pPr>
        <w:pStyle w:val="ListParagraph"/>
        <w:numPr>
          <w:ilvl w:val="1"/>
          <w:numId w:val="2"/>
        </w:numPr>
        <w:spacing w:before="0" w:after="120"/>
        <w:jc w:val="both"/>
      </w:pPr>
      <w:r w:rsidRPr="00A03EB8">
        <w:t xml:space="preserve">The PBAC noted </w:t>
      </w:r>
      <w:r w:rsidR="00847FE1" w:rsidRPr="00A03EB8">
        <w:t xml:space="preserve">the clinical spectrum of </w:t>
      </w:r>
      <w:r w:rsidR="00496A5D" w:rsidRPr="00A03EB8">
        <w:t>SMA</w:t>
      </w:r>
      <w:r w:rsidR="00847FE1" w:rsidRPr="00A03EB8">
        <w:t xml:space="preserve"> and the correlation between </w:t>
      </w:r>
      <w:r w:rsidR="005623CF" w:rsidRPr="00A03EB8">
        <w:t xml:space="preserve">a </w:t>
      </w:r>
      <w:r w:rsidR="00934139" w:rsidRPr="00A03EB8">
        <w:t>worse prognosis</w:t>
      </w:r>
      <w:r w:rsidR="00847FE1" w:rsidRPr="00A03EB8">
        <w:t xml:space="preserve"> and earlier age of onset. </w:t>
      </w:r>
      <w:r w:rsidR="00442059" w:rsidRPr="00A03EB8">
        <w:t xml:space="preserve">However, </w:t>
      </w:r>
      <w:r w:rsidR="00496A5D" w:rsidRPr="00A03EB8">
        <w:t>t</w:t>
      </w:r>
      <w:r w:rsidR="00624144" w:rsidRPr="00A03EB8">
        <w:t>he PBAC noted t</w:t>
      </w:r>
      <w:r w:rsidR="00790295" w:rsidRPr="00A03EB8">
        <w:t xml:space="preserve">hat although there </w:t>
      </w:r>
      <w:r w:rsidR="005A4435" w:rsidRPr="00A03EB8">
        <w:t>is</w:t>
      </w:r>
      <w:r w:rsidR="00790295" w:rsidRPr="00A03EB8">
        <w:t xml:space="preserve"> a correlation between SMN-2 gene copies and SMA type, there is significant overlap between SMN-2 copy number and the SMA type</w:t>
      </w:r>
      <w:r w:rsidR="0019411D" w:rsidRPr="00A03EB8">
        <w:t xml:space="preserve"> </w:t>
      </w:r>
      <w:r w:rsidR="005A4435" w:rsidRPr="00A03EB8">
        <w:t>that manifest</w:t>
      </w:r>
      <w:r w:rsidR="00496A5D" w:rsidRPr="00A03EB8">
        <w:t>s</w:t>
      </w:r>
      <w:r w:rsidR="005A4435" w:rsidRPr="00A03EB8">
        <w:t xml:space="preserve"> clinically. </w:t>
      </w:r>
      <w:r w:rsidR="00C44A01" w:rsidRPr="00A03EB8">
        <w:t>Therefore, the PBAC</w:t>
      </w:r>
      <w:r w:rsidR="005A4435" w:rsidRPr="00A03EB8">
        <w:t xml:space="preserve"> noted that the SMA type cannot be diagnosed based on genetic testing prior to symptom onset.</w:t>
      </w:r>
      <w:r w:rsidR="00496A5D" w:rsidRPr="00A03EB8">
        <w:t xml:space="preserve">  Additionally, as diagnosis is clinically based, the age at which a diagnosis is made creates potential equity issues for any subsidy program that limits treatment to specific types of SMA.</w:t>
      </w:r>
    </w:p>
    <w:p w:rsidR="000B183C" w:rsidRPr="00A03EB8" w:rsidRDefault="00081113" w:rsidP="00081113">
      <w:pPr>
        <w:pStyle w:val="ListParagraph"/>
        <w:numPr>
          <w:ilvl w:val="1"/>
          <w:numId w:val="2"/>
        </w:numPr>
        <w:spacing w:before="0" w:after="120"/>
        <w:jc w:val="both"/>
      </w:pPr>
      <w:r w:rsidRPr="00A03EB8">
        <w:t xml:space="preserve">The PBAC considered that placebo for no treatment was appropriate as the main comparator. </w:t>
      </w:r>
    </w:p>
    <w:p w:rsidR="00554241" w:rsidRPr="00A03EB8" w:rsidRDefault="00081113" w:rsidP="00081113">
      <w:pPr>
        <w:pStyle w:val="ListParagraph"/>
        <w:numPr>
          <w:ilvl w:val="1"/>
          <w:numId w:val="2"/>
        </w:numPr>
        <w:spacing w:before="0" w:after="120"/>
        <w:jc w:val="both"/>
      </w:pPr>
      <w:r w:rsidRPr="00A03EB8">
        <w:lastRenderedPageBreak/>
        <w:t xml:space="preserve">The PBAC noted </w:t>
      </w:r>
      <w:r w:rsidR="0007783D" w:rsidRPr="00A03EB8">
        <w:t xml:space="preserve">that the submission was primarily based on two head-to-head </w:t>
      </w:r>
      <w:r w:rsidR="00705664" w:rsidRPr="00A03EB8">
        <w:t>randomised trials comparing nusinersen</w:t>
      </w:r>
      <w:r w:rsidR="00404D64" w:rsidRPr="00A03EB8">
        <w:t xml:space="preserve"> and</w:t>
      </w:r>
      <w:r w:rsidR="00705664" w:rsidRPr="00A03EB8">
        <w:t xml:space="preserve"> sham-control: ENDEAR in Type I SMA and CHERISH in </w:t>
      </w:r>
      <w:r w:rsidR="0044283D" w:rsidRPr="00A03EB8">
        <w:t>Type II SMA</w:t>
      </w:r>
      <w:r w:rsidR="008B2DAC" w:rsidRPr="00A03EB8">
        <w:t xml:space="preserve">. </w:t>
      </w:r>
      <w:r w:rsidR="002F090C" w:rsidRPr="00A03EB8">
        <w:t>Both trials are of comparatively short durations in the context of a life-long condition (</w:t>
      </w:r>
      <w:r w:rsidR="002F090C" w:rsidRPr="00352D6A">
        <w:t>13 months</w:t>
      </w:r>
      <w:r w:rsidR="002F090C" w:rsidRPr="00A03EB8">
        <w:t xml:space="preserve"> in ENDEAR and 15 months in CHERISH).</w:t>
      </w:r>
    </w:p>
    <w:p w:rsidR="002F090C" w:rsidRPr="00A03EB8" w:rsidRDefault="00496A5D" w:rsidP="00352D6A">
      <w:pPr>
        <w:pStyle w:val="ListParagraph"/>
        <w:numPr>
          <w:ilvl w:val="1"/>
          <w:numId w:val="2"/>
        </w:numPr>
        <w:jc w:val="both"/>
      </w:pPr>
      <w:r w:rsidRPr="00A03EB8">
        <w:t xml:space="preserve">The PBAC </w:t>
      </w:r>
      <w:r w:rsidR="002F090C" w:rsidRPr="00A03EB8">
        <w:t xml:space="preserve">noted that the evidence from ENDEAR showed that treatment with </w:t>
      </w:r>
      <w:r w:rsidR="00B55ECD" w:rsidRPr="00A03EB8">
        <w:t>nusiners</w:t>
      </w:r>
      <w:r w:rsidR="00B55ECD">
        <w:t>e</w:t>
      </w:r>
      <w:r w:rsidR="00B55ECD" w:rsidRPr="00A03EB8">
        <w:t xml:space="preserve">n </w:t>
      </w:r>
      <w:r w:rsidR="002F090C" w:rsidRPr="00A03EB8">
        <w:t xml:space="preserve">in </w:t>
      </w:r>
      <w:r w:rsidRPr="00A03EB8">
        <w:t xml:space="preserve">patients with Type I SMA </w:t>
      </w:r>
      <w:r w:rsidR="002F090C" w:rsidRPr="00A03EB8">
        <w:t xml:space="preserve">resulted in improvements in the primary outcomes of motor milestone response (MRR) and </w:t>
      </w:r>
      <w:r w:rsidR="000B12F1" w:rsidRPr="00A03EB8">
        <w:t>event free survival</w:t>
      </w:r>
      <w:r w:rsidR="005B4B4E" w:rsidRPr="00A03EB8">
        <w:t xml:space="preserve"> (EFS)</w:t>
      </w:r>
      <w:r w:rsidR="000B12F1" w:rsidRPr="00A03EB8">
        <w:t xml:space="preserve"> over the duration of follow up in the trial.  However the median time to event had not been reached in the </w:t>
      </w:r>
      <w:r w:rsidR="00B55ECD" w:rsidRPr="00A03EB8">
        <w:t>nusiners</w:t>
      </w:r>
      <w:r w:rsidR="00B55ECD">
        <w:t>e</w:t>
      </w:r>
      <w:r w:rsidR="00B55ECD" w:rsidRPr="00A03EB8">
        <w:t xml:space="preserve">n </w:t>
      </w:r>
      <w:r w:rsidR="000B12F1" w:rsidRPr="00A03EB8">
        <w:t xml:space="preserve">treatment arm at the last follow up (December 2016), so the extent of the </w:t>
      </w:r>
      <w:r w:rsidR="005B4B4E" w:rsidRPr="00A03EB8">
        <w:t xml:space="preserve">event free </w:t>
      </w:r>
      <w:r w:rsidR="000B12F1" w:rsidRPr="00A03EB8">
        <w:t>survival benefit is not yet clear.</w:t>
      </w:r>
    </w:p>
    <w:p w:rsidR="00ED2E15" w:rsidRPr="00A03EB8" w:rsidRDefault="00C8278F" w:rsidP="00642CF0">
      <w:pPr>
        <w:pStyle w:val="ListParagraph"/>
        <w:numPr>
          <w:ilvl w:val="1"/>
          <w:numId w:val="2"/>
        </w:numPr>
        <w:spacing w:before="0" w:after="120"/>
        <w:jc w:val="both"/>
      </w:pPr>
      <w:r w:rsidRPr="00A03EB8">
        <w:t xml:space="preserve">The PBAC noted the mean improvement in Hammersmith Functional Motor Scale – Expanded (HFMSE) </w:t>
      </w:r>
      <w:r w:rsidR="00842545" w:rsidRPr="00DD06C2">
        <w:t>score of 3</w:t>
      </w:r>
      <w:r w:rsidRPr="00DD06C2">
        <w:t>.9</w:t>
      </w:r>
      <w:r w:rsidRPr="00A03EB8">
        <w:t xml:space="preserve"> points in the nusinersen treatment group compared to the decline </w:t>
      </w:r>
      <w:r w:rsidRPr="00DD06C2">
        <w:t>of -1.0</w:t>
      </w:r>
      <w:r w:rsidRPr="00A03EB8">
        <w:t xml:space="preserve"> points in the sham-cont</w:t>
      </w:r>
      <w:r w:rsidR="001E3AB7" w:rsidRPr="00A03EB8">
        <w:t xml:space="preserve">rol group in the CHERISH trial. </w:t>
      </w:r>
      <w:r w:rsidR="000B12F1" w:rsidRPr="00A03EB8">
        <w:t xml:space="preserve"> However the PBAC considered further information is needed to establish the clinical relevance of this change.  The PBAC considered that the submission’s </w:t>
      </w:r>
      <w:r w:rsidR="00C12B16" w:rsidRPr="00A03EB8">
        <w:t xml:space="preserve">nomination of </w:t>
      </w:r>
      <w:r w:rsidR="007E41B3" w:rsidRPr="00A03EB8">
        <w:t>3-point change in HFMSE score as a minimally clinically important difference (MCID)</w:t>
      </w:r>
      <w:r w:rsidR="00C12B16" w:rsidRPr="00A03EB8">
        <w:t xml:space="preserve"> was not adequately supported. </w:t>
      </w:r>
    </w:p>
    <w:p w:rsidR="00474E45" w:rsidRPr="00A03EB8" w:rsidRDefault="00474E45" w:rsidP="00474E45">
      <w:pPr>
        <w:pStyle w:val="ListParagraph"/>
        <w:numPr>
          <w:ilvl w:val="1"/>
          <w:numId w:val="2"/>
        </w:numPr>
      </w:pPr>
      <w:r w:rsidRPr="00A03EB8">
        <w:t xml:space="preserve">The PBAC </w:t>
      </w:r>
      <w:r w:rsidR="005B4B4E" w:rsidRPr="00A03EB8">
        <w:t xml:space="preserve">also </w:t>
      </w:r>
      <w:r w:rsidRPr="00A03EB8">
        <w:t>noted that the CHERISH trial</w:t>
      </w:r>
      <w:r w:rsidR="005B4B4E" w:rsidRPr="00A03EB8">
        <w:t xml:space="preserve"> only</w:t>
      </w:r>
      <w:r w:rsidRPr="00A03EB8">
        <w:t xml:space="preserve"> </w:t>
      </w:r>
      <w:r w:rsidR="005B4B4E" w:rsidRPr="00A03EB8">
        <w:t xml:space="preserve">recruited </w:t>
      </w:r>
      <w:r w:rsidRPr="00A03EB8">
        <w:t xml:space="preserve">patients up to 12 years of age with a minimal life expectancy of two years or more and HFMSE score of 10 to 54 at screening, </w:t>
      </w:r>
      <w:r w:rsidR="005B4B4E" w:rsidRPr="00A03EB8">
        <w:t>which is a</w:t>
      </w:r>
      <w:r w:rsidRPr="00A03EB8">
        <w:t xml:space="preserve"> narrower </w:t>
      </w:r>
      <w:r w:rsidR="005B4B4E" w:rsidRPr="00A03EB8">
        <w:t xml:space="preserve">patient group </w:t>
      </w:r>
      <w:r w:rsidRPr="00A03EB8">
        <w:t xml:space="preserve">than the requested PBS population. Further, the PBAC noted </w:t>
      </w:r>
      <w:r w:rsidR="005B4B4E" w:rsidRPr="00A03EB8">
        <w:t xml:space="preserve">that </w:t>
      </w:r>
      <w:r w:rsidRPr="00A03EB8">
        <w:t xml:space="preserve">in addition to SMA type, symptom severity and disease progression was also dependant on the stage of disease. The PBAC noted that the evidence in the submission indicated that the magnitude of benefit from treatment may vary depending on the stage of </w:t>
      </w:r>
      <w:r w:rsidR="005B4B4E" w:rsidRPr="00A03EB8">
        <w:t xml:space="preserve">the </w:t>
      </w:r>
      <w:r w:rsidRPr="00A03EB8">
        <w:t xml:space="preserve">disease when treatment is initiated with a larger benefit associated with earlier treatment. However, the PBAC also acknowledged that the magnitude of benefit (i.e change in motor function) that is clinically meaningful may be patient specific. Taken together with its concerns regarding the clinical significance of a 3-point change in HFMSE score, the PBAC considered it difficult to interpret the outcomes of the CHERISH trial.    </w:t>
      </w:r>
    </w:p>
    <w:p w:rsidR="00004075" w:rsidRPr="00A03EB8" w:rsidRDefault="00004075" w:rsidP="00004075">
      <w:pPr>
        <w:pStyle w:val="ListParagraph"/>
        <w:numPr>
          <w:ilvl w:val="1"/>
          <w:numId w:val="2"/>
        </w:numPr>
      </w:pPr>
      <w:r w:rsidRPr="00A03EB8">
        <w:t xml:space="preserve">The PBAC considered that based on the rate of adverse events in the ENDEAR and CHERISH trials, nusinersen was comparable with sham-control in regards to safety. However the PBAC considered that in clinical practice, treatment with nusinersen would be associated with complications related to the lumbar puncture procedure which would not occur in patients receiving standard care. Further, the PBAC considered that in clinical practice, the rate of adverse events may be higher than reported in the CHERISH trial based on more frequent the 4 monthly dosing regimen recommended in the draft product information compared to the 6 monthly dosing regimen in the trial. </w:t>
      </w:r>
    </w:p>
    <w:p w:rsidR="002F090C" w:rsidRPr="00A03EB8" w:rsidRDefault="002F090C" w:rsidP="000B12F1">
      <w:pPr>
        <w:pStyle w:val="ListParagraph"/>
        <w:numPr>
          <w:ilvl w:val="1"/>
          <w:numId w:val="2"/>
        </w:numPr>
      </w:pPr>
      <w:r w:rsidRPr="00A03EB8">
        <w:t xml:space="preserve">The PBAC </w:t>
      </w:r>
      <w:r w:rsidR="005B4B4E" w:rsidRPr="00A03EB8">
        <w:t>considered</w:t>
      </w:r>
      <w:r w:rsidRPr="00A03EB8">
        <w:t xml:space="preserve"> that the evidence presented for Type III SMA,</w:t>
      </w:r>
      <w:r w:rsidR="000B12F1" w:rsidRPr="00A03EB8">
        <w:t xml:space="preserve"> a naïve comparison of the data from</w:t>
      </w:r>
      <w:r w:rsidRPr="00A03EB8">
        <w:t xml:space="preserve"> 25 patients in </w:t>
      </w:r>
      <w:r w:rsidR="000B12F1" w:rsidRPr="00A03EB8">
        <w:t>the</w:t>
      </w:r>
      <w:r w:rsidRPr="00A03EB8">
        <w:t xml:space="preserve"> single-arm non-ra</w:t>
      </w:r>
      <w:r w:rsidR="000B12F1" w:rsidRPr="00A03EB8">
        <w:t>ndomised open-label study CS12, versus data on the natural history of SMA</w:t>
      </w:r>
      <w:r w:rsidRPr="00A03EB8">
        <w:t xml:space="preserve"> was not sufficient to establish comparative efficacy in Type III SMA.   </w:t>
      </w:r>
    </w:p>
    <w:p w:rsidR="00072B39" w:rsidRPr="00A03EB8" w:rsidRDefault="00072B39" w:rsidP="00AE0497">
      <w:pPr>
        <w:pStyle w:val="ListParagraph"/>
        <w:numPr>
          <w:ilvl w:val="1"/>
          <w:numId w:val="2"/>
        </w:numPr>
        <w:spacing w:before="0" w:after="120"/>
        <w:jc w:val="both"/>
      </w:pPr>
      <w:r w:rsidRPr="00A03EB8">
        <w:t>The PBAC considered</w:t>
      </w:r>
      <w:r w:rsidR="004C70F4" w:rsidRPr="00A03EB8">
        <w:t xml:space="preserve"> that</w:t>
      </w:r>
      <w:r w:rsidR="00377A96" w:rsidRPr="00A03EB8">
        <w:t xml:space="preserve"> the</w:t>
      </w:r>
      <w:r w:rsidR="00F20E97" w:rsidRPr="00A03EB8">
        <w:t xml:space="preserve"> </w:t>
      </w:r>
      <w:r w:rsidR="00B55CA5" w:rsidRPr="00A03EB8">
        <w:t>long-</w:t>
      </w:r>
      <w:r w:rsidR="00377A96" w:rsidRPr="00A03EB8">
        <w:t xml:space="preserve">term </w:t>
      </w:r>
      <w:r w:rsidR="00404D64" w:rsidRPr="00A03EB8">
        <w:t>efficacy</w:t>
      </w:r>
      <w:r w:rsidR="00377A96" w:rsidRPr="00A03EB8">
        <w:t xml:space="preserve"> of treatment with nusinersen for SMA </w:t>
      </w:r>
      <w:r w:rsidR="004C70F4" w:rsidRPr="00A03EB8">
        <w:t>was</w:t>
      </w:r>
      <w:r w:rsidR="00ED512C" w:rsidRPr="00A03EB8">
        <w:t xml:space="preserve"> </w:t>
      </w:r>
      <w:r w:rsidR="00377A96" w:rsidRPr="00A03EB8">
        <w:t xml:space="preserve">uncertain given the </w:t>
      </w:r>
      <w:r w:rsidR="00D8560D" w:rsidRPr="00A03EB8">
        <w:t xml:space="preserve">absence of evidence that the effect of nusinersen would </w:t>
      </w:r>
      <w:r w:rsidR="00D8560D" w:rsidRPr="00A03EB8">
        <w:lastRenderedPageBreak/>
        <w:t>be maintained beyond the</w:t>
      </w:r>
      <w:r w:rsidR="00474E45" w:rsidRPr="00A03EB8">
        <w:t xml:space="preserve"> relatively short </w:t>
      </w:r>
      <w:r w:rsidR="00D8560D" w:rsidRPr="00A03EB8">
        <w:t>trial periods</w:t>
      </w:r>
      <w:r w:rsidR="00404D64" w:rsidRPr="00A03EB8">
        <w:t>.</w:t>
      </w:r>
      <w:r w:rsidR="005829FC" w:rsidRPr="00A03EB8">
        <w:t xml:space="preserve"> The PBAC noted there is currently an ongoing phase 3, open labe</w:t>
      </w:r>
      <w:r w:rsidR="00B55CA5" w:rsidRPr="00A03EB8">
        <w:t xml:space="preserve">l extension study (SHINE) </w:t>
      </w:r>
      <w:r w:rsidR="005B4B4E" w:rsidRPr="00A03EB8">
        <w:t xml:space="preserve">which </w:t>
      </w:r>
      <w:r w:rsidR="00B55CA5" w:rsidRPr="00A03EB8">
        <w:t>aim</w:t>
      </w:r>
      <w:r w:rsidR="005B4B4E" w:rsidRPr="00A03EB8">
        <w:t>s</w:t>
      </w:r>
      <w:r w:rsidR="00B55CA5" w:rsidRPr="00A03EB8">
        <w:t xml:space="preserve"> to collect long-term efficacy and safety data of nusinersen in patients who previously participated in investigational studies with nusinersen. The PBAC agreed with </w:t>
      </w:r>
      <w:r w:rsidR="00474E45" w:rsidRPr="00A03EB8">
        <w:t>its</w:t>
      </w:r>
      <w:r w:rsidR="00B55CA5" w:rsidRPr="00A03EB8">
        <w:t xml:space="preserve"> ESC that while data from this study may be informative, it would not address concerns regarding</w:t>
      </w:r>
      <w:r w:rsidR="003D0FC0" w:rsidRPr="00A03EB8">
        <w:t xml:space="preserve"> efficacy over a</w:t>
      </w:r>
      <w:r w:rsidR="00B55CA5" w:rsidRPr="00A03EB8">
        <w:t xml:space="preserve"> life-time.  </w:t>
      </w:r>
    </w:p>
    <w:p w:rsidR="005B4B4E" w:rsidRPr="00A03EB8" w:rsidRDefault="005B4B4E" w:rsidP="005B4B4E">
      <w:pPr>
        <w:pStyle w:val="ListParagraph"/>
        <w:numPr>
          <w:ilvl w:val="1"/>
          <w:numId w:val="2"/>
        </w:numPr>
      </w:pPr>
      <w:r w:rsidRPr="00A03EB8">
        <w:t xml:space="preserve">Overall, the PBAC was uncertain of the extent and durability of benefit of treatment with </w:t>
      </w:r>
      <w:r w:rsidR="00B55ECD" w:rsidRPr="00A03EB8">
        <w:t>nusiners</w:t>
      </w:r>
      <w:r w:rsidR="00B55ECD">
        <w:t>e</w:t>
      </w:r>
      <w:r w:rsidR="00B55ECD" w:rsidRPr="00A03EB8">
        <w:t xml:space="preserve">n </w:t>
      </w:r>
      <w:r w:rsidRPr="00A03EB8">
        <w:t xml:space="preserve">in the overall SMA population based on the evidence presented in the submission. </w:t>
      </w:r>
    </w:p>
    <w:p w:rsidR="00952BAA" w:rsidRPr="00A03EB8" w:rsidRDefault="00952BAA" w:rsidP="00352D6A">
      <w:pPr>
        <w:spacing w:before="0" w:after="120"/>
        <w:jc w:val="both"/>
        <w:rPr>
          <w:b/>
          <w:i/>
        </w:rPr>
      </w:pPr>
      <w:r w:rsidRPr="00352D6A">
        <w:rPr>
          <w:b/>
          <w:i/>
        </w:rPr>
        <w:t xml:space="preserve">Cost effectiveness of treatment with </w:t>
      </w:r>
      <w:r w:rsidR="00B55ECD" w:rsidRPr="00352D6A">
        <w:rPr>
          <w:b/>
          <w:i/>
        </w:rPr>
        <w:t>nusiners</w:t>
      </w:r>
      <w:r w:rsidR="00B55ECD">
        <w:rPr>
          <w:b/>
          <w:i/>
        </w:rPr>
        <w:t>e</w:t>
      </w:r>
      <w:r w:rsidR="00B55ECD" w:rsidRPr="00352D6A">
        <w:rPr>
          <w:b/>
          <w:i/>
        </w:rPr>
        <w:t>n</w:t>
      </w:r>
    </w:p>
    <w:p w:rsidR="005B4B4E" w:rsidRPr="00A03EB8" w:rsidRDefault="005B4B4E" w:rsidP="005B4B4E">
      <w:pPr>
        <w:pStyle w:val="ListParagraph"/>
        <w:numPr>
          <w:ilvl w:val="1"/>
          <w:numId w:val="2"/>
        </w:numPr>
      </w:pPr>
      <w:r w:rsidRPr="00A03EB8">
        <w:t xml:space="preserve">The PBAC considered that the submission contained insufficient information for the Committee to form a view on the cost-effectiveness of treatment across the spectrum of SMA. </w:t>
      </w:r>
    </w:p>
    <w:p w:rsidR="005B4B4E" w:rsidRPr="00A03EB8" w:rsidRDefault="007A6D0D" w:rsidP="00B25BC9">
      <w:pPr>
        <w:pStyle w:val="ListParagraph"/>
        <w:numPr>
          <w:ilvl w:val="1"/>
          <w:numId w:val="2"/>
        </w:numPr>
        <w:spacing w:before="0" w:after="120"/>
        <w:jc w:val="both"/>
      </w:pPr>
      <w:r w:rsidRPr="00A03EB8">
        <w:t xml:space="preserve">The PBAC noted that the submission </w:t>
      </w:r>
      <w:r w:rsidR="00D714EA" w:rsidRPr="00A03EB8">
        <w:t xml:space="preserve">presented </w:t>
      </w:r>
      <w:r w:rsidRPr="00A03EB8">
        <w:t xml:space="preserve">separate economic evaluations </w:t>
      </w:r>
      <w:r w:rsidR="00D714EA" w:rsidRPr="00A03EB8">
        <w:t>f</w:t>
      </w:r>
      <w:r w:rsidR="004D2FB2" w:rsidRPr="00A03EB8">
        <w:t>or each SMA type</w:t>
      </w:r>
      <w:r w:rsidR="005B4B4E" w:rsidRPr="00A03EB8">
        <w:t>, I, II and III</w:t>
      </w:r>
      <w:r w:rsidR="003D0FC0" w:rsidRPr="00A03EB8">
        <w:t xml:space="preserve">. </w:t>
      </w:r>
      <w:r w:rsidR="008A0B98" w:rsidRPr="00A03EB8">
        <w:t>A modelled evaluation for presented for Type I SMA and trial based evaluations were presented for Type II and III SMA.</w:t>
      </w:r>
    </w:p>
    <w:p w:rsidR="00C51759" w:rsidRPr="00A03EB8" w:rsidRDefault="003D0FC0" w:rsidP="00B25BC9">
      <w:pPr>
        <w:pStyle w:val="ListParagraph"/>
        <w:numPr>
          <w:ilvl w:val="1"/>
          <w:numId w:val="2"/>
        </w:numPr>
        <w:spacing w:before="0" w:after="120"/>
        <w:jc w:val="both"/>
      </w:pPr>
      <w:r w:rsidRPr="00A03EB8">
        <w:t xml:space="preserve">The PBAC noted </w:t>
      </w:r>
      <w:r w:rsidR="00350589" w:rsidRPr="00A03EB8">
        <w:t xml:space="preserve">that the base-case ICER </w:t>
      </w:r>
      <w:r w:rsidR="00292097" w:rsidRPr="00A03EB8">
        <w:t xml:space="preserve">for Type I SMA was high at </w:t>
      </w:r>
      <w:r w:rsidR="00BC57ED">
        <w:t>more than $200,000</w:t>
      </w:r>
      <w:r w:rsidR="00292097" w:rsidRPr="00A03EB8">
        <w:t xml:space="preserve"> per </w:t>
      </w:r>
      <w:r w:rsidR="00C51759" w:rsidRPr="00A03EB8">
        <w:t xml:space="preserve">life year (LY) </w:t>
      </w:r>
      <w:r w:rsidR="00292097" w:rsidRPr="00A03EB8">
        <w:t xml:space="preserve">gained. The PBAC agreed with </w:t>
      </w:r>
      <w:r w:rsidR="00C51759" w:rsidRPr="00A03EB8">
        <w:t>its</w:t>
      </w:r>
      <w:r w:rsidR="00292097" w:rsidRPr="00A03EB8">
        <w:t xml:space="preserve"> ESC that it would have been more appropriate to apply the hazard ratio </w:t>
      </w:r>
      <w:r w:rsidR="00AB2B67" w:rsidRPr="00A03EB8">
        <w:t>for</w:t>
      </w:r>
      <w:r w:rsidR="00292097" w:rsidRPr="00A03EB8">
        <w:t xml:space="preserve"> EFS in the model</w:t>
      </w:r>
      <w:r w:rsidR="00AB2B67" w:rsidRPr="00A03EB8">
        <w:t xml:space="preserve"> (HR=0.530) rather than that for OS (HR=0.372) from the ENDEAR trial in the base-case. The PBAC noted that the ICER increased to </w:t>
      </w:r>
      <w:r w:rsidR="00BC57ED">
        <w:t>more than $200,000</w:t>
      </w:r>
      <w:r w:rsidR="00AB2B67" w:rsidRPr="00A03EB8">
        <w:t xml:space="preserve">per LY gained when the hazard ratio for EFS was applied. </w:t>
      </w:r>
    </w:p>
    <w:p w:rsidR="00F20E97" w:rsidRPr="00A03EB8" w:rsidRDefault="00507B6D" w:rsidP="00B25BC9">
      <w:pPr>
        <w:pStyle w:val="ListParagraph"/>
        <w:numPr>
          <w:ilvl w:val="1"/>
          <w:numId w:val="2"/>
        </w:numPr>
        <w:spacing w:before="0" w:after="120"/>
        <w:jc w:val="both"/>
      </w:pPr>
      <w:r w:rsidRPr="00A03EB8">
        <w:t xml:space="preserve">The PBAC considered that the </w:t>
      </w:r>
      <w:r w:rsidR="00C51759" w:rsidRPr="00A03EB8">
        <w:t>cost per responder estimates</w:t>
      </w:r>
      <w:r w:rsidRPr="00A03EB8">
        <w:t xml:space="preserve"> presented for Type II and Type III SMA were highly uncertain due to the following</w:t>
      </w:r>
      <w:r w:rsidR="00744857" w:rsidRPr="00A03EB8">
        <w:t xml:space="preserve"> issues</w:t>
      </w:r>
      <w:r w:rsidRPr="00A03EB8">
        <w:t>:</w:t>
      </w:r>
    </w:p>
    <w:p w:rsidR="00507B6D" w:rsidRPr="00A03EB8" w:rsidRDefault="00C71EF8" w:rsidP="004B327E">
      <w:pPr>
        <w:pStyle w:val="ListParagraph"/>
        <w:numPr>
          <w:ilvl w:val="0"/>
          <w:numId w:val="74"/>
        </w:numPr>
        <w:spacing w:before="0" w:after="120"/>
        <w:jc w:val="both"/>
      </w:pPr>
      <w:r w:rsidRPr="00A03EB8">
        <w:t xml:space="preserve">The time-horizons </w:t>
      </w:r>
      <w:r w:rsidR="00970D39" w:rsidRPr="00A03EB8">
        <w:t xml:space="preserve">applied </w:t>
      </w:r>
      <w:r w:rsidR="005572F3" w:rsidRPr="00A03EB8">
        <w:t>we</w:t>
      </w:r>
      <w:r w:rsidR="00970D39" w:rsidRPr="00A03EB8">
        <w:t xml:space="preserve">re based on the trial durations (15 months from the CHERISH trial for SMA Type II and two years from CS12 for SMA Type III). </w:t>
      </w:r>
      <w:r w:rsidR="00ED7476" w:rsidRPr="00A03EB8">
        <w:t xml:space="preserve">Patients are unlikely to have reached a ‘steady state’ in these time periods as life-expectancy of </w:t>
      </w:r>
      <w:r w:rsidR="00CB76E3" w:rsidRPr="00A03EB8">
        <w:t xml:space="preserve">these </w:t>
      </w:r>
      <w:r w:rsidR="00ED7476" w:rsidRPr="00A03EB8">
        <w:t>patients is expected to exten</w:t>
      </w:r>
      <w:r w:rsidR="00CB76E3" w:rsidRPr="00A03EB8">
        <w:t>d well beyond the trial period</w:t>
      </w:r>
      <w:r w:rsidR="0025565E" w:rsidRPr="00A03EB8">
        <w:t>s</w:t>
      </w:r>
      <w:r w:rsidR="00CB76E3" w:rsidRPr="00A03EB8">
        <w:t>. Further, no evidence is provided</w:t>
      </w:r>
      <w:r w:rsidR="00C057F1" w:rsidRPr="00A03EB8">
        <w:t xml:space="preserve"> in the submission</w:t>
      </w:r>
      <w:r w:rsidR="00CB76E3" w:rsidRPr="00A03EB8">
        <w:t xml:space="preserve"> to support the assumption of constant efficacy over time.</w:t>
      </w:r>
    </w:p>
    <w:p w:rsidR="00CA0747" w:rsidRPr="00A03EB8" w:rsidRDefault="00C44A01" w:rsidP="004B327E">
      <w:pPr>
        <w:pStyle w:val="ListParagraph"/>
        <w:numPr>
          <w:ilvl w:val="0"/>
          <w:numId w:val="74"/>
        </w:numPr>
        <w:spacing w:before="0" w:after="120"/>
        <w:jc w:val="both"/>
      </w:pPr>
      <w:r w:rsidRPr="00A03EB8">
        <w:t>The economic analysis for Type II SMA</w:t>
      </w:r>
      <w:r w:rsidR="009D34B5" w:rsidRPr="00A03EB8">
        <w:t xml:space="preserve"> </w:t>
      </w:r>
      <w:r w:rsidR="007463BF" w:rsidRPr="00A03EB8">
        <w:t>defined</w:t>
      </w:r>
      <w:r w:rsidR="009D34B5" w:rsidRPr="00A03EB8">
        <w:t xml:space="preserve"> responder</w:t>
      </w:r>
      <w:r w:rsidR="007463BF" w:rsidRPr="00A03EB8">
        <w:t xml:space="preserve"> as a </w:t>
      </w:r>
      <w:r w:rsidR="009D34B5" w:rsidRPr="00A03EB8">
        <w:t>patient achieving</w:t>
      </w:r>
      <w:r w:rsidR="007463BF" w:rsidRPr="00A03EB8">
        <w:t xml:space="preserve"> </w:t>
      </w:r>
      <w:r w:rsidR="009D34B5" w:rsidRPr="00A03EB8">
        <w:t xml:space="preserve">≥3-point improvement in HFMSE score whereas the economic </w:t>
      </w:r>
      <w:r w:rsidR="007F6BA4" w:rsidRPr="00A03EB8">
        <w:t>analysis</w:t>
      </w:r>
      <w:r w:rsidR="009D34B5" w:rsidRPr="00A03EB8">
        <w:t xml:space="preserve"> for Type III SMA defined responder as a patient achieving ≥0-point gain in HFMSE score. No justification was provided for the differe</w:t>
      </w:r>
      <w:r w:rsidR="005572F3" w:rsidRPr="00A03EB8">
        <w:t xml:space="preserve">nt definitions of </w:t>
      </w:r>
      <w:r w:rsidR="009D34B5" w:rsidRPr="00A03EB8">
        <w:t>responder</w:t>
      </w:r>
      <w:r w:rsidR="005572F3" w:rsidRPr="00A03EB8">
        <w:t>s</w:t>
      </w:r>
      <w:r w:rsidR="009D34B5" w:rsidRPr="00A03EB8">
        <w:t xml:space="preserve"> between the two </w:t>
      </w:r>
      <w:r w:rsidR="001E2A13" w:rsidRPr="00A03EB8">
        <w:t>analyses</w:t>
      </w:r>
      <w:r w:rsidR="009D34B5" w:rsidRPr="00A03EB8">
        <w:t xml:space="preserve">. </w:t>
      </w:r>
    </w:p>
    <w:p w:rsidR="005572F3" w:rsidRPr="00A03EB8" w:rsidRDefault="005572F3" w:rsidP="005572F3">
      <w:pPr>
        <w:pStyle w:val="ListParagraph"/>
        <w:numPr>
          <w:ilvl w:val="0"/>
          <w:numId w:val="74"/>
        </w:numPr>
      </w:pPr>
      <w:r w:rsidRPr="00A03EB8">
        <w:t xml:space="preserve">The economic analyses assumes a 4 monthly maintenance dosing regimen whereas the maintenance dosing regimen in the CHERISH trial was every 6 months. The PSCR (p5) claimed that this biases against nusinersen. The PBAC considered that while this was likely to bias against nusinersen, the </w:t>
      </w:r>
      <w:r w:rsidR="00A03872">
        <w:t xml:space="preserve">incremental </w:t>
      </w:r>
      <w:r w:rsidRPr="00A03EB8">
        <w:t>effectiveness of nusinersen in this setting is unknown</w:t>
      </w:r>
      <w:r w:rsidR="005650B8">
        <w:t xml:space="preserve"> (and the additional cost associated with an extra dose each year is high at $</w:t>
      </w:r>
      <w:r w:rsidR="005F0590">
        <w:rPr>
          <w:noProof/>
          <w:color w:val="000000"/>
          <w:highlight w:val="black"/>
        </w:rPr>
        <w:t>''''''''''''''</w:t>
      </w:r>
      <w:r w:rsidR="005650B8">
        <w:t xml:space="preserve"> per patient per year at the proposed price).</w:t>
      </w:r>
      <w:r w:rsidRPr="00A03EB8">
        <w:t xml:space="preserve"> </w:t>
      </w:r>
    </w:p>
    <w:p w:rsidR="00744857" w:rsidRPr="00A03EB8" w:rsidRDefault="00744857" w:rsidP="004B327E">
      <w:pPr>
        <w:pStyle w:val="ListParagraph"/>
        <w:numPr>
          <w:ilvl w:val="0"/>
          <w:numId w:val="74"/>
        </w:numPr>
        <w:spacing w:before="0" w:after="120"/>
        <w:jc w:val="both"/>
      </w:pPr>
      <w:r w:rsidRPr="00A03EB8">
        <w:lastRenderedPageBreak/>
        <w:t xml:space="preserve">There </w:t>
      </w:r>
      <w:r w:rsidR="005572F3" w:rsidRPr="00A03EB8">
        <w:t>i</w:t>
      </w:r>
      <w:r w:rsidRPr="00A03EB8">
        <w:t xml:space="preserve">s a lack of </w:t>
      </w:r>
      <w:r w:rsidR="001E2A13" w:rsidRPr="00A03EB8">
        <w:t xml:space="preserve">comparative data for Type III SMA. The SMA Type III economic analysis </w:t>
      </w:r>
      <w:r w:rsidR="00624144" w:rsidRPr="00A03EB8">
        <w:t xml:space="preserve">presents a set of efficacy scenarios where the proportion of responders is assumed (assumptions of 0%, 10% and 30%).  No justification was provided for the assumed proportions. </w:t>
      </w:r>
    </w:p>
    <w:p w:rsidR="009F1039" w:rsidRPr="00A03EB8" w:rsidRDefault="0022288E" w:rsidP="0022168E">
      <w:pPr>
        <w:pStyle w:val="ListParagraph"/>
        <w:numPr>
          <w:ilvl w:val="0"/>
          <w:numId w:val="74"/>
        </w:numPr>
      </w:pPr>
      <w:r w:rsidRPr="00A03EB8">
        <w:t xml:space="preserve">As the submission makes no survival claims for SMA Type II and III, the economic justification for listing relies on gains in quality of life. However, the submission does not identify any utility values. The PBAC noted that while deriving utility values for infants and children is difficult, it considered it was </w:t>
      </w:r>
      <w:r w:rsidR="005572F3" w:rsidRPr="00A03EB8">
        <w:t>important to include</w:t>
      </w:r>
      <w:r w:rsidRPr="00A03EB8">
        <w:t xml:space="preserve"> utility values in the economic evaluation</w:t>
      </w:r>
      <w:r w:rsidR="005572F3" w:rsidRPr="00A03EB8">
        <w:t>s</w:t>
      </w:r>
      <w:r w:rsidRPr="00A03EB8">
        <w:t xml:space="preserve"> for Type II and III SMA</w:t>
      </w:r>
      <w:r w:rsidR="005572F3" w:rsidRPr="00A03EB8">
        <w:t>,</w:t>
      </w:r>
      <w:r w:rsidRPr="00A03EB8">
        <w:t xml:space="preserve"> as these patients are predicted to spend most of their life –expectancy as adults. As such, the PBAC agreed with the ESC that the cost per responder approach </w:t>
      </w:r>
      <w:r w:rsidR="0025565E" w:rsidRPr="00A03EB8">
        <w:t>taken</w:t>
      </w:r>
      <w:r w:rsidRPr="00A03EB8">
        <w:t xml:space="preserve"> in the economic analysis for Type II and III SMA was not </w:t>
      </w:r>
      <w:r w:rsidR="005572F3" w:rsidRPr="00A03EB8">
        <w:t>informative</w:t>
      </w:r>
      <w:r w:rsidRPr="00A03EB8">
        <w:t xml:space="preserve">. </w:t>
      </w:r>
    </w:p>
    <w:p w:rsidR="002631BB" w:rsidRPr="00A03EB8" w:rsidRDefault="00AE0A2C" w:rsidP="00352D6A">
      <w:pPr>
        <w:pStyle w:val="ListParagraph"/>
        <w:numPr>
          <w:ilvl w:val="1"/>
          <w:numId w:val="2"/>
        </w:numPr>
      </w:pPr>
      <w:r w:rsidRPr="00A03EB8">
        <w:t>The PBAC advised that a resubmission presenting a model based on cost-utility analysis for Types II and III SMA would be required to establish</w:t>
      </w:r>
      <w:r w:rsidR="005849C7" w:rsidRPr="00A03EB8">
        <w:t xml:space="preserve"> the</w:t>
      </w:r>
      <w:r w:rsidRPr="00A03EB8">
        <w:t xml:space="preserve"> cost-effectiveness of treatment compared with standard care</w:t>
      </w:r>
      <w:r w:rsidR="005849C7" w:rsidRPr="00A03EB8">
        <w:t xml:space="preserve">.  Additionally, the PBAC considered that a substantial price reduction would likely be required to render nusinersen cost-effective in the overall SMA population. </w:t>
      </w:r>
    </w:p>
    <w:p w:rsidR="00952BAA" w:rsidRPr="00352D6A" w:rsidRDefault="00952BAA" w:rsidP="00352D6A">
      <w:pPr>
        <w:rPr>
          <w:b/>
          <w:i/>
        </w:rPr>
      </w:pPr>
      <w:r w:rsidRPr="00352D6A">
        <w:rPr>
          <w:b/>
          <w:i/>
        </w:rPr>
        <w:t xml:space="preserve">Financial impact of subsidising </w:t>
      </w:r>
      <w:r w:rsidR="00B55ECD" w:rsidRPr="00352D6A">
        <w:rPr>
          <w:b/>
          <w:i/>
        </w:rPr>
        <w:t>nusine</w:t>
      </w:r>
      <w:r w:rsidR="00B55ECD" w:rsidRPr="00A03EB8">
        <w:rPr>
          <w:b/>
          <w:i/>
        </w:rPr>
        <w:t>r</w:t>
      </w:r>
      <w:r w:rsidR="00B55ECD" w:rsidRPr="00352D6A">
        <w:rPr>
          <w:b/>
          <w:i/>
        </w:rPr>
        <w:t>s</w:t>
      </w:r>
      <w:r w:rsidR="00B55ECD">
        <w:rPr>
          <w:b/>
          <w:i/>
        </w:rPr>
        <w:t>e</w:t>
      </w:r>
      <w:r w:rsidR="00B55ECD" w:rsidRPr="00352D6A">
        <w:rPr>
          <w:b/>
          <w:i/>
        </w:rPr>
        <w:t>n</w:t>
      </w:r>
    </w:p>
    <w:p w:rsidR="008A1E92" w:rsidRPr="00A03EB8" w:rsidRDefault="0022168E" w:rsidP="00665665">
      <w:pPr>
        <w:pStyle w:val="ListParagraph"/>
        <w:numPr>
          <w:ilvl w:val="1"/>
          <w:numId w:val="2"/>
        </w:numPr>
        <w:spacing w:before="0" w:after="120"/>
        <w:jc w:val="both"/>
      </w:pPr>
      <w:r w:rsidRPr="00A03EB8">
        <w:t>The PBAC considered the</w:t>
      </w:r>
      <w:r w:rsidR="005E5003" w:rsidRPr="00A03EB8">
        <w:t xml:space="preserve"> </w:t>
      </w:r>
      <w:r w:rsidRPr="00A03EB8">
        <w:t>financial impact of listing</w:t>
      </w:r>
      <w:r w:rsidR="003550B9" w:rsidRPr="00A03EB8">
        <w:t xml:space="preserve"> </w:t>
      </w:r>
      <w:r w:rsidR="00B55ECD" w:rsidRPr="00A03EB8">
        <w:t>nusiners</w:t>
      </w:r>
      <w:r w:rsidR="00B55ECD">
        <w:t>e</w:t>
      </w:r>
      <w:r w:rsidR="00B55ECD" w:rsidRPr="00A03EB8">
        <w:t xml:space="preserve">n </w:t>
      </w:r>
      <w:r w:rsidR="003550B9" w:rsidRPr="00A03EB8">
        <w:t>at the proposed price of</w:t>
      </w:r>
      <w:r w:rsidR="00042030" w:rsidRPr="00A03EB8">
        <w:t xml:space="preserve"> </w:t>
      </w:r>
      <w:r w:rsidR="00216887">
        <w:t>$60 - $100 million</w:t>
      </w:r>
      <w:r w:rsidR="00042030" w:rsidRPr="00A03EB8">
        <w:t xml:space="preserve"> in Y</w:t>
      </w:r>
      <w:r w:rsidR="005E5003" w:rsidRPr="00A03EB8">
        <w:t xml:space="preserve">ear 1 increasing </w:t>
      </w:r>
      <w:r w:rsidR="00042030" w:rsidRPr="00A03EB8">
        <w:t xml:space="preserve">to </w:t>
      </w:r>
      <w:r w:rsidR="00216887">
        <w:t>more than $100</w:t>
      </w:r>
      <w:r w:rsidR="00042030" w:rsidRPr="00A03EB8">
        <w:t xml:space="preserve"> million in Y</w:t>
      </w:r>
      <w:r w:rsidR="005E5003" w:rsidRPr="00A03EB8">
        <w:t>ear 6</w:t>
      </w:r>
      <w:r w:rsidR="0038742F" w:rsidRPr="00A03EB8">
        <w:t xml:space="preserve"> to be substantial</w:t>
      </w:r>
      <w:r w:rsidR="005E5003" w:rsidRPr="00A03EB8">
        <w:t>. Additionally</w:t>
      </w:r>
      <w:r w:rsidR="00A11C2A" w:rsidRPr="00A03EB8">
        <w:t>,</w:t>
      </w:r>
      <w:r w:rsidR="005E5003" w:rsidRPr="00A03EB8">
        <w:t xml:space="preserve"> the PBAC considered that the financial impact of listing </w:t>
      </w:r>
      <w:r w:rsidR="00B70091" w:rsidRPr="00A03EB8">
        <w:t>would</w:t>
      </w:r>
      <w:r w:rsidRPr="00A03EB8">
        <w:t xml:space="preserve"> likely </w:t>
      </w:r>
      <w:r w:rsidR="005E5003" w:rsidRPr="00A03EB8">
        <w:t xml:space="preserve">to </w:t>
      </w:r>
      <w:r w:rsidRPr="00A03EB8">
        <w:t xml:space="preserve">be higher </w:t>
      </w:r>
      <w:r w:rsidR="006F7312" w:rsidRPr="00A03EB8">
        <w:t>than estimated on the basis of</w:t>
      </w:r>
      <w:r w:rsidR="00B70091" w:rsidRPr="00A03EB8">
        <w:t xml:space="preserve"> factors identified by </w:t>
      </w:r>
      <w:r w:rsidR="003550B9" w:rsidRPr="00A03EB8">
        <w:t xml:space="preserve">its </w:t>
      </w:r>
      <w:r w:rsidR="00B70091" w:rsidRPr="00A03EB8">
        <w:t>DUSC including</w:t>
      </w:r>
      <w:r w:rsidR="006F7312" w:rsidRPr="00A03EB8">
        <w:t xml:space="preserve"> uncertainty around the size of the type II and III SMA population, potential use outside the proposed indication and </w:t>
      </w:r>
      <w:r w:rsidR="003550B9" w:rsidRPr="00A03EB8">
        <w:t xml:space="preserve">the </w:t>
      </w:r>
      <w:r w:rsidR="009B1CE9" w:rsidRPr="00A03EB8">
        <w:t>likelihood</w:t>
      </w:r>
      <w:r w:rsidR="006F7312" w:rsidRPr="00A03EB8">
        <w:t xml:space="preserve"> </w:t>
      </w:r>
      <w:r w:rsidR="00A03872">
        <w:t xml:space="preserve">of </w:t>
      </w:r>
      <w:r w:rsidR="006F7312" w:rsidRPr="00A03EB8">
        <w:t>patients remain</w:t>
      </w:r>
      <w:r w:rsidR="003550B9" w:rsidRPr="00A03EB8">
        <w:t>ing</w:t>
      </w:r>
      <w:r w:rsidR="006F7312" w:rsidRPr="00A03EB8">
        <w:t xml:space="preserve"> on treatment long term given the lack of alternative treatments and progressive nature of the disease.</w:t>
      </w:r>
      <w:r w:rsidR="001138A5" w:rsidRPr="00A03EB8">
        <w:t xml:space="preserve"> </w:t>
      </w:r>
    </w:p>
    <w:p w:rsidR="00FA11BB" w:rsidRPr="00A03EB8" w:rsidRDefault="00236A66" w:rsidP="00665665">
      <w:pPr>
        <w:pStyle w:val="ListParagraph"/>
        <w:numPr>
          <w:ilvl w:val="1"/>
          <w:numId w:val="2"/>
        </w:numPr>
        <w:spacing w:before="0" w:after="120"/>
        <w:jc w:val="both"/>
      </w:pPr>
      <w:r w:rsidRPr="00A03EB8">
        <w:t>The PBAC noted that the incidence of Type I SMA was estimated based on Australian</w:t>
      </w:r>
      <w:r w:rsidR="00331AF6" w:rsidRPr="00A03EB8">
        <w:t xml:space="preserve"> data</w:t>
      </w:r>
      <w:r w:rsidRPr="00A03EB8">
        <w:t xml:space="preserve"> and considered this to be reasonable. However, the PBAC</w:t>
      </w:r>
      <w:r w:rsidR="003C0491" w:rsidRPr="00A03EB8">
        <w:t xml:space="preserve"> considered the estimated number of patients</w:t>
      </w:r>
      <w:r w:rsidRPr="00A03EB8">
        <w:t xml:space="preserve"> with Type II and III SMA</w:t>
      </w:r>
      <w:r w:rsidR="003C0491" w:rsidRPr="00A03EB8">
        <w:t xml:space="preserve"> </w:t>
      </w:r>
      <w:r w:rsidRPr="00A03EB8">
        <w:t>to be uncertain</w:t>
      </w:r>
      <w:r w:rsidR="00911391" w:rsidRPr="00A03EB8">
        <w:t xml:space="preserve"> and likely underestimated</w:t>
      </w:r>
      <w:r w:rsidRPr="00A03EB8">
        <w:t xml:space="preserve"> </w:t>
      </w:r>
      <w:r w:rsidR="00072DA8" w:rsidRPr="00A03EB8">
        <w:t>noting these were based on overseas data due to a lack of Australian data</w:t>
      </w:r>
      <w:r w:rsidR="004622DF" w:rsidRPr="00A03EB8">
        <w:t>.</w:t>
      </w:r>
      <w:r w:rsidR="00DB2190" w:rsidRPr="00A03EB8">
        <w:t xml:space="preserve"> </w:t>
      </w:r>
    </w:p>
    <w:p w:rsidR="00C44A01" w:rsidRPr="00A03EB8" w:rsidRDefault="00DB2190" w:rsidP="00665665">
      <w:pPr>
        <w:pStyle w:val="ListParagraph"/>
        <w:numPr>
          <w:ilvl w:val="1"/>
          <w:numId w:val="2"/>
        </w:numPr>
        <w:spacing w:before="0" w:after="120"/>
        <w:jc w:val="both"/>
      </w:pPr>
      <w:r w:rsidRPr="00A03EB8">
        <w:t xml:space="preserve">The PBAC noted that SMA is currently diagnosed in Australia using a single diagnostic gene test funded by the state public hospital system at no cost to the patient. The PBAC considered the availability of nusinersen in conjunction with accessible genetic testing would increase the rate of screening for the 5q survival-of-motor neuron (SMN) homozygous gene deletion or mutation, leading to earlier detection. </w:t>
      </w:r>
      <w:r w:rsidR="005707D6" w:rsidRPr="00A03EB8">
        <w:t xml:space="preserve">The PBAC agreed with the DUSC that earlier detection may result in use of nusinersen outside </w:t>
      </w:r>
      <w:r w:rsidR="001A46D5" w:rsidRPr="00A03EB8">
        <w:t>the proposed restriction in pre</w:t>
      </w:r>
      <w:r w:rsidR="001138A5" w:rsidRPr="00A03EB8">
        <w:t xml:space="preserve">-symptomatic patients. The PBAC considered that while there is some evidence </w:t>
      </w:r>
      <w:r w:rsidR="007F3448" w:rsidRPr="00A03EB8">
        <w:t xml:space="preserve">to support a larger benefit of treatment in patients with Type I and Type II SMA </w:t>
      </w:r>
      <w:r w:rsidR="005623CF" w:rsidRPr="00A03EB8">
        <w:t>who</w:t>
      </w:r>
      <w:r w:rsidR="007F3448" w:rsidRPr="00A03EB8">
        <w:t xml:space="preserve"> initiate treatment </w:t>
      </w:r>
      <w:r w:rsidR="00A660D0">
        <w:t xml:space="preserve">with </w:t>
      </w:r>
      <w:r w:rsidR="007F3448" w:rsidRPr="00A03EB8">
        <w:t xml:space="preserve">nusinersen prior to the onset of symptoms, the PBAC </w:t>
      </w:r>
      <w:r w:rsidR="008A1E92" w:rsidRPr="00A03EB8">
        <w:t xml:space="preserve">considered </w:t>
      </w:r>
      <w:r w:rsidR="007F3448" w:rsidRPr="00A03EB8">
        <w:t xml:space="preserve">there was no evidence to suggest that pre-symptomatic treatment with nusinersen would benefit patients with milder forms of SMA (i.e Type III and IV). </w:t>
      </w:r>
      <w:r w:rsidR="00BA3B38" w:rsidRPr="00A03EB8">
        <w:t xml:space="preserve">Given it is currently not possible to precisely identify the SMA </w:t>
      </w:r>
      <w:r w:rsidR="00BA3B38" w:rsidRPr="00A03EB8">
        <w:lastRenderedPageBreak/>
        <w:t xml:space="preserve">type prior to the onset of symptoms, the PBAC considered </w:t>
      </w:r>
      <w:r w:rsidR="008A1E92" w:rsidRPr="00A03EB8">
        <w:t xml:space="preserve">that pre-symptomatic treatment with nusinersen may only benefit a proportion of patients. </w:t>
      </w:r>
    </w:p>
    <w:p w:rsidR="003550B9" w:rsidRPr="00A03EB8" w:rsidRDefault="003550B9" w:rsidP="003550B9">
      <w:pPr>
        <w:pStyle w:val="ListParagraph"/>
        <w:numPr>
          <w:ilvl w:val="1"/>
          <w:numId w:val="2"/>
        </w:numPr>
      </w:pPr>
      <w:r w:rsidRPr="00A03EB8">
        <w:t xml:space="preserve">The PBAC noted the DUSC advice that the submission may have underestimated the total health care costs given that costs for adverse events, monitoring, genetic tests and standard care were not included in the financial estimates. The PBAC considered that incorporation of these costs would have minimal impact on the financial estimates relative to the drug costs. </w:t>
      </w:r>
    </w:p>
    <w:p w:rsidR="009F06F5" w:rsidRPr="00A03EB8" w:rsidRDefault="00042030" w:rsidP="00665665">
      <w:pPr>
        <w:pStyle w:val="ListParagraph"/>
        <w:numPr>
          <w:ilvl w:val="1"/>
          <w:numId w:val="2"/>
        </w:numPr>
        <w:spacing w:before="0" w:after="120"/>
        <w:jc w:val="both"/>
      </w:pPr>
      <w:r w:rsidRPr="00A03EB8">
        <w:t>The PBAC noted the DUSC advice that the cost of treatment would continue to increase beyond Y</w:t>
      </w:r>
      <w:r w:rsidR="0038742F" w:rsidRPr="00A03EB8">
        <w:t xml:space="preserve">ear 6 of listing along with the treated prevalent population given the average life expectancy of Type II patients is </w:t>
      </w:r>
      <w:r w:rsidR="003354DE" w:rsidRPr="00A03EB8">
        <w:t xml:space="preserve">to </w:t>
      </w:r>
      <w:r w:rsidR="0038742F" w:rsidRPr="00A03EB8">
        <w:t>adulthood and Type III patients have a normal lif</w:t>
      </w:r>
      <w:r w:rsidR="003354DE" w:rsidRPr="00A03EB8">
        <w:t>espan. As such, the PBAC considered that Type II and Type III SMA patient population w</w:t>
      </w:r>
      <w:r w:rsidR="009F06F5" w:rsidRPr="00A03EB8">
        <w:t xml:space="preserve">ould account for the majority of treatment costs. </w:t>
      </w:r>
      <w:r w:rsidR="005849C7" w:rsidRPr="00A03EB8">
        <w:t xml:space="preserve">Given the uncertainties </w:t>
      </w:r>
      <w:r w:rsidR="005B603A" w:rsidRPr="00A03EB8">
        <w:t>around</w:t>
      </w:r>
      <w:r w:rsidR="005849C7" w:rsidRPr="00A03EB8">
        <w:t xml:space="preserve"> the size of the patient population and use of </w:t>
      </w:r>
      <w:r w:rsidR="00E61C9E" w:rsidRPr="00A03EB8">
        <w:t>this treatment</w:t>
      </w:r>
      <w:r w:rsidR="00972D9B" w:rsidRPr="00A03EB8">
        <w:t xml:space="preserve"> in clinical practic</w:t>
      </w:r>
      <w:r w:rsidR="005B603A" w:rsidRPr="00A03EB8">
        <w:t>e</w:t>
      </w:r>
      <w:r w:rsidR="00E61C9E" w:rsidRPr="00A03EB8">
        <w:t xml:space="preserve">, the PBAC considered that a tight subsidisation cap through an RSA would be required if nusinersen was recommended for listing. </w:t>
      </w:r>
    </w:p>
    <w:p w:rsidR="00FF4AEF" w:rsidRPr="00352D6A" w:rsidRDefault="00FF4AEF" w:rsidP="00352D6A">
      <w:pPr>
        <w:spacing w:before="0" w:after="120"/>
        <w:jc w:val="both"/>
        <w:rPr>
          <w:b/>
          <w:i/>
        </w:rPr>
      </w:pPr>
      <w:r w:rsidRPr="00352D6A">
        <w:rPr>
          <w:b/>
          <w:i/>
        </w:rPr>
        <w:t>Rule of Rescue</w:t>
      </w:r>
    </w:p>
    <w:p w:rsidR="00FF4AEF" w:rsidRPr="00A03EB8" w:rsidRDefault="00FF4AEF" w:rsidP="00352D6A">
      <w:pPr>
        <w:pStyle w:val="ListParagraph"/>
        <w:numPr>
          <w:ilvl w:val="1"/>
          <w:numId w:val="2"/>
        </w:numPr>
        <w:spacing w:before="0" w:after="120"/>
        <w:ind w:left="567" w:hanging="567"/>
        <w:jc w:val="both"/>
      </w:pPr>
      <w:r w:rsidRPr="00A03EB8">
        <w:t>The PBAC noted the submission requested consideration under the “rule of rescue’.</w:t>
      </w:r>
    </w:p>
    <w:p w:rsidR="00A03EB8" w:rsidRPr="00A03EB8" w:rsidRDefault="00642CF0">
      <w:pPr>
        <w:pStyle w:val="ListParagraph"/>
        <w:numPr>
          <w:ilvl w:val="1"/>
          <w:numId w:val="2"/>
        </w:numPr>
        <w:spacing w:before="0" w:after="120"/>
        <w:jc w:val="both"/>
      </w:pPr>
      <w:r w:rsidRPr="00A03EB8">
        <w:t xml:space="preserve">The PBAC considered that </w:t>
      </w:r>
      <w:r w:rsidR="00B55ECD" w:rsidRPr="00A03EB8">
        <w:t>nusiners</w:t>
      </w:r>
      <w:r w:rsidR="00B55ECD">
        <w:t>e</w:t>
      </w:r>
      <w:r w:rsidR="00B55ECD" w:rsidRPr="00A03EB8">
        <w:t xml:space="preserve">n </w:t>
      </w:r>
      <w:r w:rsidRPr="00A03EB8">
        <w:t>may meet the criteria for ‘rule of rescue’ for SMA Type I where the life expectancy of patients without treatment is only two years</w:t>
      </w:r>
      <w:r w:rsidR="00A03EB8" w:rsidRPr="00A03EB8">
        <w:t xml:space="preserve">, however there remains uncertainty about the duration of benefit of treatment in SMA Type I given the duration of follow up on the ENDEAR trial (13 months) </w:t>
      </w:r>
      <w:r w:rsidRPr="00A03EB8">
        <w:t xml:space="preserve">.  </w:t>
      </w:r>
    </w:p>
    <w:p w:rsidR="00A03EB8" w:rsidRPr="00A03EB8" w:rsidRDefault="00A03EB8">
      <w:pPr>
        <w:pStyle w:val="ListParagraph"/>
        <w:numPr>
          <w:ilvl w:val="1"/>
          <w:numId w:val="2"/>
        </w:numPr>
        <w:spacing w:before="0" w:after="120"/>
        <w:jc w:val="both"/>
      </w:pPr>
      <w:r w:rsidRPr="00A03EB8">
        <w:t>T</w:t>
      </w:r>
      <w:r w:rsidR="00642CF0" w:rsidRPr="00A03EB8">
        <w:t xml:space="preserve">he PBAC </w:t>
      </w:r>
      <w:r w:rsidRPr="00A03EB8">
        <w:t>did not consider</w:t>
      </w:r>
      <w:r w:rsidR="00642CF0" w:rsidRPr="00A03EB8">
        <w:t xml:space="preserve"> the ‘rule of rescue’ criteria met for SMA Type II. </w:t>
      </w:r>
      <w:r w:rsidRPr="00A03EB8">
        <w:t xml:space="preserve"> In partic</w:t>
      </w:r>
      <w:r w:rsidR="00642CF0" w:rsidRPr="00A03EB8">
        <w:t>ular, criterion four, that ‘the proposed medicine provides a worthwhile clinical improvement sufficient to qualify as a rescue from the medical condition’ i</w:t>
      </w:r>
      <w:r w:rsidRPr="00A03EB8">
        <w:t>s</w:t>
      </w:r>
      <w:r w:rsidR="00642CF0" w:rsidRPr="00A03EB8">
        <w:t xml:space="preserve"> not met for SMA Type II</w:t>
      </w:r>
      <w:r w:rsidRPr="00A03EB8">
        <w:t>,</w:t>
      </w:r>
      <w:r w:rsidR="00642CF0" w:rsidRPr="00A03EB8">
        <w:t xml:space="preserve"> noting the uncertain clinical significance of a 3-point HFMSE score and uncertain long-term benefit of treatment given the duration of the CHERISH trial (15 months). </w:t>
      </w:r>
    </w:p>
    <w:p w:rsidR="00A03EB8" w:rsidRDefault="00642CF0">
      <w:pPr>
        <w:pStyle w:val="ListParagraph"/>
        <w:numPr>
          <w:ilvl w:val="1"/>
          <w:numId w:val="2"/>
        </w:numPr>
        <w:spacing w:before="0" w:after="120"/>
        <w:jc w:val="both"/>
      </w:pPr>
      <w:r w:rsidRPr="00A03EB8">
        <w:t xml:space="preserve">The </w:t>
      </w:r>
      <w:r w:rsidR="00A03EB8" w:rsidRPr="00A03EB8">
        <w:t>PBAC</w:t>
      </w:r>
      <w:r w:rsidRPr="00A03EB8">
        <w:t xml:space="preserve"> considered there was insufficient clinical data to ascertain whether the ‘rule of rescue’ criteria would be met for SMA Type III.  </w:t>
      </w:r>
    </w:p>
    <w:p w:rsidR="00316196" w:rsidRPr="00A03EB8" w:rsidRDefault="00316196">
      <w:pPr>
        <w:pStyle w:val="ListParagraph"/>
        <w:numPr>
          <w:ilvl w:val="1"/>
          <w:numId w:val="2"/>
        </w:numPr>
        <w:spacing w:before="0" w:after="120"/>
        <w:jc w:val="both"/>
      </w:pPr>
      <w:r>
        <w:t xml:space="preserve">As such, the PBAC considered that the ‘rule of rescue’ criteria were not met for nusinersen in the overall SMA population.  </w:t>
      </w:r>
    </w:p>
    <w:p w:rsidR="00696B5E" w:rsidRPr="00A03EB8" w:rsidRDefault="00A03EB8" w:rsidP="00352D6A">
      <w:pPr>
        <w:ind w:left="567" w:hanging="567"/>
      </w:pPr>
      <w:r w:rsidRPr="00A03EB8">
        <w:t>7.3</w:t>
      </w:r>
      <w:r w:rsidR="00EC4DD5">
        <w:t>2</w:t>
      </w:r>
      <w:r w:rsidRPr="00A03EB8">
        <w:tab/>
      </w:r>
      <w:r w:rsidR="00696B5E" w:rsidRPr="00A03EB8">
        <w:t xml:space="preserve">The PBAC noted that this submission is eligible for an Independent Review. </w:t>
      </w:r>
    </w:p>
    <w:p w:rsidR="00246B23" w:rsidRPr="00A03EB8" w:rsidRDefault="00246B23" w:rsidP="00246B23">
      <w:pPr>
        <w:spacing w:before="240" w:after="120"/>
        <w:jc w:val="both"/>
        <w:rPr>
          <w:rFonts w:ascii="Calibri" w:eastAsia="Times New Roman" w:hAnsi="Calibri" w:cs="Arial"/>
          <w:b/>
          <w:bCs/>
          <w:snapToGrid w:val="0"/>
          <w:szCs w:val="24"/>
          <w:lang w:val="en-GB"/>
        </w:rPr>
      </w:pPr>
      <w:r w:rsidRPr="00A03EB8">
        <w:rPr>
          <w:rFonts w:ascii="Calibri" w:eastAsia="Times New Roman" w:hAnsi="Calibri" w:cs="Arial"/>
          <w:b/>
          <w:bCs/>
          <w:snapToGrid w:val="0"/>
          <w:szCs w:val="24"/>
          <w:lang w:val="en-GB"/>
        </w:rPr>
        <w:t>Outcome:</w:t>
      </w:r>
    </w:p>
    <w:p w:rsidR="00246B23" w:rsidRPr="00A03EB8" w:rsidRDefault="00246B23" w:rsidP="00246B23">
      <w:pPr>
        <w:spacing w:before="0" w:after="120"/>
        <w:jc w:val="both"/>
        <w:rPr>
          <w:rFonts w:ascii="Calibri" w:eastAsia="Times New Roman" w:hAnsi="Calibri" w:cs="Arial"/>
          <w:bCs/>
          <w:snapToGrid w:val="0"/>
          <w:szCs w:val="24"/>
          <w:lang w:val="en-GB"/>
        </w:rPr>
      </w:pPr>
      <w:r w:rsidRPr="00A03EB8">
        <w:rPr>
          <w:rFonts w:ascii="Calibri" w:eastAsia="Times New Roman" w:hAnsi="Calibri" w:cs="Arial"/>
          <w:bCs/>
          <w:snapToGrid w:val="0"/>
          <w:szCs w:val="24"/>
          <w:lang w:val="en-GB"/>
        </w:rPr>
        <w:t xml:space="preserve">Rejected </w:t>
      </w:r>
    </w:p>
    <w:p w:rsidR="00625BD2" w:rsidRPr="00625BD2" w:rsidRDefault="00625BD2" w:rsidP="00625BD2">
      <w:pPr>
        <w:pStyle w:val="Heading1"/>
      </w:pPr>
      <w:r w:rsidRPr="00625BD2">
        <w:t>Context for Decision</w:t>
      </w:r>
    </w:p>
    <w:p w:rsidR="00625BD2" w:rsidRPr="00625BD2" w:rsidRDefault="00625BD2" w:rsidP="00625BD2">
      <w:pPr>
        <w:spacing w:after="120"/>
        <w:rPr>
          <w:rFonts w:ascii="Calibri" w:eastAsia="Calibri" w:hAnsi="Calibri" w:cs="Arial"/>
        </w:rPr>
      </w:pPr>
      <w:r w:rsidRPr="00625BD2">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25BD2" w:rsidRPr="00625BD2" w:rsidRDefault="00625BD2" w:rsidP="00625BD2">
      <w:pPr>
        <w:pStyle w:val="Heading1"/>
      </w:pPr>
      <w:r w:rsidRPr="00625BD2">
        <w:lastRenderedPageBreak/>
        <w:t>Sponsor’s Comment</w:t>
      </w:r>
    </w:p>
    <w:p w:rsidR="00B55ECD" w:rsidRPr="00BF4417" w:rsidRDefault="00B55ECD" w:rsidP="00B55ECD">
      <w:pPr>
        <w:jc w:val="both"/>
        <w:rPr>
          <w:rFonts w:cstheme="minorHAnsi"/>
          <w:sz w:val="22"/>
          <w:lang w:val="en-GB"/>
        </w:rPr>
      </w:pPr>
      <w:r w:rsidRPr="00BF4417">
        <w:rPr>
          <w:rFonts w:cstheme="minorHAnsi"/>
          <w:lang w:val="en-GB"/>
        </w:rPr>
        <w:t>Biogen is disappointed by the PBAC’s decision as this will delay the SMA community’s access to SPINRAZA when there are currently no other disease-modifying medicines available to treat this devastating disease. Biogen is confident in the clinical evidence supporting SPINRAZA for the treatment of SMA. Following discussions at the post-PBAC meeting</w:t>
      </w:r>
      <w:r>
        <w:rPr>
          <w:rFonts w:cstheme="minorHAnsi"/>
          <w:lang w:val="en-GB"/>
        </w:rPr>
        <w:t>,</w:t>
      </w:r>
      <w:r w:rsidRPr="00BF4417">
        <w:rPr>
          <w:rFonts w:cstheme="minorHAnsi"/>
          <w:lang w:val="en-GB"/>
        </w:rPr>
        <w:t xml:space="preserve"> we have identified next steps and are determined to meet the needs of the PBAC and the SMA community to make SPINRAZA available as soon as possible.</w:t>
      </w:r>
    </w:p>
    <w:p w:rsidR="00246B23" w:rsidRPr="00352D6A" w:rsidRDefault="00246B23" w:rsidP="00246B23">
      <w:pPr>
        <w:widowControl w:val="0"/>
        <w:spacing w:before="0" w:after="120"/>
        <w:jc w:val="both"/>
        <w:rPr>
          <w:rFonts w:ascii="Calibri" w:eastAsia="Times New Roman" w:hAnsi="Calibri" w:cs="Arial"/>
          <w:b/>
          <w:bCs/>
          <w:snapToGrid w:val="0"/>
          <w:szCs w:val="24"/>
        </w:rPr>
      </w:pPr>
    </w:p>
    <w:p w:rsidR="00665665" w:rsidRPr="00A03EB8" w:rsidRDefault="00665665" w:rsidP="00352D6A">
      <w:pPr>
        <w:pStyle w:val="V50Instructions"/>
        <w:spacing w:after="120"/>
        <w:jc w:val="both"/>
        <w:rPr>
          <w:b/>
          <w:color w:val="auto"/>
          <w:u w:val="single"/>
        </w:rPr>
      </w:pPr>
    </w:p>
    <w:p w:rsidR="00B97C60" w:rsidRPr="00665665" w:rsidRDefault="00B97C60" w:rsidP="00665665"/>
    <w:sectPr w:rsidR="00B97C60" w:rsidRPr="0066566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609AFB" w15:done="0"/>
  <w15:commentEx w15:paraId="36C1358E" w15:done="0"/>
  <w15:commentEx w15:paraId="6AB45EC1" w15:paraIdParent="36C1358E" w15:done="0"/>
  <w15:commentEx w15:paraId="166D5A74" w15:done="0"/>
  <w15:commentEx w15:paraId="4ED84424" w15:done="0"/>
  <w15:commentEx w15:paraId="4708BC45" w15:done="0"/>
  <w15:commentEx w15:paraId="276E0A8A" w15:done="0"/>
  <w15:commentEx w15:paraId="3B922710" w15:done="0"/>
  <w15:commentEx w15:paraId="6A777364" w15:done="0"/>
  <w15:commentEx w15:paraId="434F7411" w15:done="0"/>
  <w15:commentEx w15:paraId="758E54B2" w15:paraIdParent="434F7411" w15:done="0"/>
  <w15:commentEx w15:paraId="5AC34F00" w15:done="0"/>
  <w15:commentEx w15:paraId="2A9C541C" w15:paraIdParent="5AC34F00" w15:done="0"/>
  <w15:commentEx w15:paraId="561F1837" w15:done="0"/>
  <w15:commentEx w15:paraId="7659C737" w15:paraIdParent="561F1837" w15:done="0"/>
  <w15:commentEx w15:paraId="2C2D4B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590" w:rsidRDefault="005F0590" w:rsidP="00BA3306">
      <w:pPr>
        <w:spacing w:before="0" w:after="0"/>
      </w:pPr>
      <w:r>
        <w:separator/>
      </w:r>
    </w:p>
  </w:endnote>
  <w:endnote w:type="continuationSeparator" w:id="0">
    <w:p w:rsidR="005F0590" w:rsidRDefault="005F0590"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90" w:rsidRDefault="005F05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EFE" w:rsidRPr="00236AFC" w:rsidRDefault="00F47EFE" w:rsidP="00236AFC">
    <w:pPr>
      <w:pStyle w:val="Footer"/>
      <w:jc w:val="center"/>
    </w:pPr>
    <w:r w:rsidRPr="00236AFC">
      <w:rPr>
        <w:rFonts w:ascii="Calibri" w:eastAsia="Times New Roman" w:hAnsi="Calibri" w:cs="Arial"/>
        <w:b/>
        <w:sz w:val="20"/>
        <w:szCs w:val="24"/>
      </w:rPr>
      <w:fldChar w:fldCharType="begin"/>
    </w:r>
    <w:r w:rsidRPr="00236AFC">
      <w:rPr>
        <w:rFonts w:ascii="Calibri" w:eastAsia="Times New Roman" w:hAnsi="Calibri" w:cs="Arial"/>
        <w:b/>
        <w:sz w:val="20"/>
        <w:szCs w:val="24"/>
      </w:rPr>
      <w:instrText xml:space="preserve"> PAGE   \* MERGEFORMAT </w:instrText>
    </w:r>
    <w:r w:rsidRPr="00236AFC">
      <w:rPr>
        <w:rFonts w:ascii="Calibri" w:eastAsia="Times New Roman" w:hAnsi="Calibri" w:cs="Arial"/>
        <w:b/>
        <w:sz w:val="20"/>
        <w:szCs w:val="24"/>
      </w:rPr>
      <w:fldChar w:fldCharType="separate"/>
    </w:r>
    <w:r w:rsidR="002F5363">
      <w:rPr>
        <w:rFonts w:ascii="Calibri" w:eastAsia="Times New Roman" w:hAnsi="Calibri" w:cs="Arial"/>
        <w:b/>
        <w:noProof/>
        <w:sz w:val="20"/>
        <w:szCs w:val="24"/>
      </w:rPr>
      <w:t>1</w:t>
    </w:r>
    <w:r w:rsidRPr="00236AFC">
      <w:rPr>
        <w:rFonts w:ascii="Calibri" w:eastAsia="Times New Roman" w:hAnsi="Calibri" w:cs="Arial"/>
        <w:b/>
        <w:noProof/>
        <w:sz w:val="20"/>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90" w:rsidRDefault="005F0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590" w:rsidRDefault="005F0590" w:rsidP="00BA3306">
      <w:pPr>
        <w:spacing w:before="0" w:after="0"/>
      </w:pPr>
      <w:r>
        <w:separator/>
      </w:r>
    </w:p>
  </w:footnote>
  <w:footnote w:type="continuationSeparator" w:id="0">
    <w:p w:rsidR="005F0590" w:rsidRDefault="005F0590" w:rsidP="00BA3306">
      <w:pPr>
        <w:spacing w:before="0" w:after="0"/>
      </w:pPr>
      <w:r>
        <w:continuationSeparator/>
      </w:r>
    </w:p>
  </w:footnote>
  <w:footnote w:id="1">
    <w:p w:rsidR="00F47EFE" w:rsidRDefault="00F47EFE" w:rsidP="001334D8">
      <w:pPr>
        <w:pStyle w:val="FootnoteText"/>
      </w:pPr>
      <w:r>
        <w:rPr>
          <w:rStyle w:val="FootnoteReference"/>
        </w:rPr>
        <w:footnoteRef/>
      </w:r>
      <w:r>
        <w:t xml:space="preserve"> D</w:t>
      </w:r>
      <w:r w:rsidRPr="00913604">
        <w:t>efined as more categories of improvement than worsening where improvement is defined as ≥2-point increase in category of ability to kick or achievement of maximal score in that category (touching toes) or ≥1-point increase in MM of head control, rolling, sitting, crawling, standing or walking. Worsening defined as defined as ≥2-point decrease or decrease to lowest score of kicking or ≥1-point decrease in any other category.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90" w:rsidRDefault="005F05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EFE" w:rsidRPr="00236AFC" w:rsidRDefault="00F47EFE" w:rsidP="00352D6A">
    <w:pPr>
      <w:tabs>
        <w:tab w:val="center" w:pos="4153"/>
        <w:tab w:val="right" w:pos="8306"/>
      </w:tabs>
      <w:spacing w:before="0" w:after="0"/>
      <w:ind w:left="357"/>
      <w:jc w:val="center"/>
      <w:rPr>
        <w:rFonts w:ascii="Calibri" w:eastAsia="Times New Roman" w:hAnsi="Calibri" w:cs="Arial"/>
        <w:i/>
        <w:color w:val="808080"/>
        <w:sz w:val="22"/>
        <w:szCs w:val="24"/>
      </w:rPr>
    </w:pPr>
    <w:r>
      <w:rPr>
        <w:rFonts w:ascii="Calibri" w:eastAsia="Times New Roman" w:hAnsi="Calibri" w:cs="Arial"/>
        <w:i/>
        <w:color w:val="808080"/>
        <w:sz w:val="22"/>
        <w:szCs w:val="24"/>
      </w:rPr>
      <w:t xml:space="preserve">Public Summary Document </w:t>
    </w:r>
    <w:r w:rsidRPr="00236AFC">
      <w:rPr>
        <w:rFonts w:ascii="Calibri" w:eastAsia="Times New Roman" w:hAnsi="Calibri" w:cs="Arial"/>
        <w:i/>
        <w:color w:val="808080"/>
        <w:sz w:val="22"/>
        <w:szCs w:val="24"/>
      </w:rPr>
      <w:t xml:space="preserve">– </w:t>
    </w:r>
    <w:r>
      <w:rPr>
        <w:rFonts w:ascii="Calibri" w:eastAsia="Times New Roman" w:hAnsi="Calibri" w:cs="Arial"/>
        <w:i/>
        <w:color w:val="808080"/>
        <w:sz w:val="22"/>
        <w:szCs w:val="24"/>
      </w:rPr>
      <w:t>November 2017</w:t>
    </w:r>
    <w:r w:rsidRPr="00236AFC">
      <w:rPr>
        <w:rFonts w:ascii="Calibri" w:eastAsia="Times New Roman" w:hAnsi="Calibri" w:cs="Arial"/>
        <w:i/>
        <w:color w:val="808080"/>
        <w:sz w:val="22"/>
        <w:szCs w:val="24"/>
      </w:rPr>
      <w:t xml:space="preserve"> PBAC Meeting</w:t>
    </w:r>
  </w:p>
  <w:p w:rsidR="00F47EFE" w:rsidRPr="00236AFC" w:rsidRDefault="00F47EFE" w:rsidP="00236A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90" w:rsidRDefault="005F05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2C31C8"/>
    <w:multiLevelType w:val="hybridMultilevel"/>
    <w:tmpl w:val="EA542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3C7615"/>
    <w:multiLevelType w:val="hybridMultilevel"/>
    <w:tmpl w:val="BB5E9F02"/>
    <w:lvl w:ilvl="0" w:tplc="2C589366">
      <w:start w:val="1"/>
      <w:numFmt w:val="decimal"/>
      <w:lvlText w:val="%1."/>
      <w:lvlJc w:val="left"/>
      <w:pPr>
        <w:ind w:left="720" w:hanging="360"/>
      </w:pPr>
      <w:rPr>
        <w:rFonts w:ascii="Arial Narrow" w:hAnsi="Arial Narrow"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2FF1406"/>
    <w:multiLevelType w:val="hybridMultilevel"/>
    <w:tmpl w:val="BC62A226"/>
    <w:lvl w:ilvl="0" w:tplc="0C090001">
      <w:start w:val="1"/>
      <w:numFmt w:val="bullet"/>
      <w:lvlText w:val=""/>
      <w:lvlJc w:val="left"/>
      <w:pPr>
        <w:ind w:left="1340" w:hanging="360"/>
      </w:pPr>
      <w:rPr>
        <w:rFonts w:ascii="Symbol" w:hAnsi="Symbol" w:hint="default"/>
      </w:rPr>
    </w:lvl>
    <w:lvl w:ilvl="1" w:tplc="0C090003" w:tentative="1">
      <w:start w:val="1"/>
      <w:numFmt w:val="bullet"/>
      <w:lvlText w:val="o"/>
      <w:lvlJc w:val="left"/>
      <w:pPr>
        <w:ind w:left="2060" w:hanging="360"/>
      </w:pPr>
      <w:rPr>
        <w:rFonts w:ascii="Courier New" w:hAnsi="Courier New" w:cs="Courier New" w:hint="default"/>
      </w:rPr>
    </w:lvl>
    <w:lvl w:ilvl="2" w:tplc="0C090005" w:tentative="1">
      <w:start w:val="1"/>
      <w:numFmt w:val="bullet"/>
      <w:lvlText w:val=""/>
      <w:lvlJc w:val="left"/>
      <w:pPr>
        <w:ind w:left="2780" w:hanging="360"/>
      </w:pPr>
      <w:rPr>
        <w:rFonts w:ascii="Wingdings" w:hAnsi="Wingdings" w:hint="default"/>
      </w:rPr>
    </w:lvl>
    <w:lvl w:ilvl="3" w:tplc="0C090001" w:tentative="1">
      <w:start w:val="1"/>
      <w:numFmt w:val="bullet"/>
      <w:lvlText w:val=""/>
      <w:lvlJc w:val="left"/>
      <w:pPr>
        <w:ind w:left="3500" w:hanging="360"/>
      </w:pPr>
      <w:rPr>
        <w:rFonts w:ascii="Symbol" w:hAnsi="Symbol" w:hint="default"/>
      </w:rPr>
    </w:lvl>
    <w:lvl w:ilvl="4" w:tplc="0C090003" w:tentative="1">
      <w:start w:val="1"/>
      <w:numFmt w:val="bullet"/>
      <w:lvlText w:val="o"/>
      <w:lvlJc w:val="left"/>
      <w:pPr>
        <w:ind w:left="4220" w:hanging="360"/>
      </w:pPr>
      <w:rPr>
        <w:rFonts w:ascii="Courier New" w:hAnsi="Courier New" w:cs="Courier New" w:hint="default"/>
      </w:rPr>
    </w:lvl>
    <w:lvl w:ilvl="5" w:tplc="0C090005" w:tentative="1">
      <w:start w:val="1"/>
      <w:numFmt w:val="bullet"/>
      <w:lvlText w:val=""/>
      <w:lvlJc w:val="left"/>
      <w:pPr>
        <w:ind w:left="4940" w:hanging="360"/>
      </w:pPr>
      <w:rPr>
        <w:rFonts w:ascii="Wingdings" w:hAnsi="Wingdings" w:hint="default"/>
      </w:rPr>
    </w:lvl>
    <w:lvl w:ilvl="6" w:tplc="0C090001" w:tentative="1">
      <w:start w:val="1"/>
      <w:numFmt w:val="bullet"/>
      <w:lvlText w:val=""/>
      <w:lvlJc w:val="left"/>
      <w:pPr>
        <w:ind w:left="5660" w:hanging="360"/>
      </w:pPr>
      <w:rPr>
        <w:rFonts w:ascii="Symbol" w:hAnsi="Symbol" w:hint="default"/>
      </w:rPr>
    </w:lvl>
    <w:lvl w:ilvl="7" w:tplc="0C090003" w:tentative="1">
      <w:start w:val="1"/>
      <w:numFmt w:val="bullet"/>
      <w:lvlText w:val="o"/>
      <w:lvlJc w:val="left"/>
      <w:pPr>
        <w:ind w:left="6380" w:hanging="360"/>
      </w:pPr>
      <w:rPr>
        <w:rFonts w:ascii="Courier New" w:hAnsi="Courier New" w:cs="Courier New" w:hint="default"/>
      </w:rPr>
    </w:lvl>
    <w:lvl w:ilvl="8" w:tplc="0C090005" w:tentative="1">
      <w:start w:val="1"/>
      <w:numFmt w:val="bullet"/>
      <w:lvlText w:val=""/>
      <w:lvlJc w:val="left"/>
      <w:pPr>
        <w:ind w:left="7100" w:hanging="360"/>
      </w:pPr>
      <w:rPr>
        <w:rFonts w:ascii="Wingdings" w:hAnsi="Wingdings" w:hint="default"/>
      </w:rPr>
    </w:lvl>
  </w:abstractNum>
  <w:abstractNum w:abstractNumId="4">
    <w:nsid w:val="03B30D4D"/>
    <w:multiLevelType w:val="multilevel"/>
    <w:tmpl w:val="EF0400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031E5"/>
    <w:multiLevelType w:val="hybridMultilevel"/>
    <w:tmpl w:val="B5065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CA55010"/>
    <w:multiLevelType w:val="multilevel"/>
    <w:tmpl w:val="006C9AF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28A7D2A"/>
    <w:multiLevelType w:val="hybridMultilevel"/>
    <w:tmpl w:val="488236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5B56892"/>
    <w:multiLevelType w:val="hybridMultilevel"/>
    <w:tmpl w:val="77DCAA14"/>
    <w:lvl w:ilvl="0" w:tplc="82906FC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944793E"/>
    <w:multiLevelType w:val="hybridMultilevel"/>
    <w:tmpl w:val="696CC72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D70EB9"/>
    <w:multiLevelType w:val="hybridMultilevel"/>
    <w:tmpl w:val="1A00E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1CE4075D"/>
    <w:multiLevelType w:val="hybridMultilevel"/>
    <w:tmpl w:val="6776A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E8C2A60"/>
    <w:multiLevelType w:val="hybridMultilevel"/>
    <w:tmpl w:val="5F04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440E2B"/>
    <w:multiLevelType w:val="hybridMultilevel"/>
    <w:tmpl w:val="59661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D0591F"/>
    <w:multiLevelType w:val="hybridMultilevel"/>
    <w:tmpl w:val="8E42EC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6501597"/>
    <w:multiLevelType w:val="hybridMultilevel"/>
    <w:tmpl w:val="0F6AC0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284E6825"/>
    <w:multiLevelType w:val="multilevel"/>
    <w:tmpl w:val="3AE4C8F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86C7D80"/>
    <w:multiLevelType w:val="hybridMultilevel"/>
    <w:tmpl w:val="E8EAF5A0"/>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21">
    <w:nsid w:val="295D1CAD"/>
    <w:multiLevelType w:val="hybridMultilevel"/>
    <w:tmpl w:val="6EEE02EA"/>
    <w:lvl w:ilvl="0" w:tplc="8A52E5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CB00654"/>
    <w:multiLevelType w:val="hybridMultilevel"/>
    <w:tmpl w:val="E4BED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3504C81"/>
    <w:multiLevelType w:val="hybridMultilevel"/>
    <w:tmpl w:val="856C1C82"/>
    <w:lvl w:ilvl="0" w:tplc="04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E336BF"/>
    <w:multiLevelType w:val="hybridMultilevel"/>
    <w:tmpl w:val="095A3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5C6393A"/>
    <w:multiLevelType w:val="hybridMultilevel"/>
    <w:tmpl w:val="4F109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DF943E7"/>
    <w:multiLevelType w:val="hybridMultilevel"/>
    <w:tmpl w:val="8C3C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1274170"/>
    <w:multiLevelType w:val="hybridMultilevel"/>
    <w:tmpl w:val="4F84E616"/>
    <w:lvl w:ilvl="0" w:tplc="0C090001">
      <w:start w:val="1"/>
      <w:numFmt w:val="bullet"/>
      <w:lvlText w:val=""/>
      <w:lvlJc w:val="left"/>
      <w:pPr>
        <w:ind w:left="1298" w:hanging="360"/>
      </w:pPr>
      <w:rPr>
        <w:rFonts w:ascii="Symbol" w:hAnsi="Symbol" w:hint="default"/>
      </w:rPr>
    </w:lvl>
    <w:lvl w:ilvl="1" w:tplc="0C090003" w:tentative="1">
      <w:start w:val="1"/>
      <w:numFmt w:val="bullet"/>
      <w:lvlText w:val="o"/>
      <w:lvlJc w:val="left"/>
      <w:pPr>
        <w:ind w:left="2018" w:hanging="360"/>
      </w:pPr>
      <w:rPr>
        <w:rFonts w:ascii="Courier New" w:hAnsi="Courier New" w:cs="Courier New" w:hint="default"/>
      </w:rPr>
    </w:lvl>
    <w:lvl w:ilvl="2" w:tplc="0C090005" w:tentative="1">
      <w:start w:val="1"/>
      <w:numFmt w:val="bullet"/>
      <w:lvlText w:val=""/>
      <w:lvlJc w:val="left"/>
      <w:pPr>
        <w:ind w:left="2738" w:hanging="360"/>
      </w:pPr>
      <w:rPr>
        <w:rFonts w:ascii="Wingdings" w:hAnsi="Wingdings" w:hint="default"/>
      </w:rPr>
    </w:lvl>
    <w:lvl w:ilvl="3" w:tplc="0C090001" w:tentative="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29">
    <w:nsid w:val="43026CE1"/>
    <w:multiLevelType w:val="multilevel"/>
    <w:tmpl w:val="149C1C54"/>
    <w:lvl w:ilvl="0">
      <w:start w:val="1"/>
      <w:numFmt w:val="decimal"/>
      <w:lvlText w:val="%1."/>
      <w:lvlJc w:val="left"/>
      <w:pPr>
        <w:ind w:left="720" w:hanging="360"/>
      </w:p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44F6672A"/>
    <w:multiLevelType w:val="hybridMultilevel"/>
    <w:tmpl w:val="F5E62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98254AA"/>
    <w:multiLevelType w:val="hybridMultilevel"/>
    <w:tmpl w:val="9A28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D655021"/>
    <w:multiLevelType w:val="hybridMultilevel"/>
    <w:tmpl w:val="7538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0D71BCB"/>
    <w:multiLevelType w:val="hybridMultilevel"/>
    <w:tmpl w:val="045CB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3C60CB0"/>
    <w:multiLevelType w:val="hybridMultilevel"/>
    <w:tmpl w:val="CC22D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6246238"/>
    <w:multiLevelType w:val="hybridMultilevel"/>
    <w:tmpl w:val="6F70A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59BD6DD3"/>
    <w:multiLevelType w:val="hybridMultilevel"/>
    <w:tmpl w:val="331E7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B504E8A"/>
    <w:multiLevelType w:val="hybridMultilevel"/>
    <w:tmpl w:val="B7A83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5B632FEC"/>
    <w:multiLevelType w:val="hybridMultilevel"/>
    <w:tmpl w:val="73D67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BB568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C090DF9"/>
    <w:multiLevelType w:val="hybridMultilevel"/>
    <w:tmpl w:val="461AEAE8"/>
    <w:lvl w:ilvl="0" w:tplc="88989AD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D4905C9"/>
    <w:multiLevelType w:val="multilevel"/>
    <w:tmpl w:val="2F32F5FE"/>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5D6B2B6A"/>
    <w:multiLevelType w:val="hybridMultilevel"/>
    <w:tmpl w:val="490CC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2DD0405"/>
    <w:multiLevelType w:val="hybridMultilevel"/>
    <w:tmpl w:val="8C7E1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3267F30"/>
    <w:multiLevelType w:val="hybridMultilevel"/>
    <w:tmpl w:val="32880B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9">
    <w:nsid w:val="63E87C82"/>
    <w:multiLevelType w:val="hybridMultilevel"/>
    <w:tmpl w:val="D5A6E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69643B4"/>
    <w:multiLevelType w:val="hybridMultilevel"/>
    <w:tmpl w:val="03868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C427A2A"/>
    <w:multiLevelType w:val="hybridMultilevel"/>
    <w:tmpl w:val="BBB0DE2E"/>
    <w:lvl w:ilvl="0" w:tplc="C2D89306">
      <w:start w:val="2"/>
      <w:numFmt w:val="bullet"/>
      <w:lvlText w:val="-"/>
      <w:lvlJc w:val="left"/>
      <w:pPr>
        <w:ind w:left="1440" w:hanging="360"/>
      </w:pPr>
      <w:rPr>
        <w:rFonts w:ascii="Arial Narrow" w:eastAsia="TimesNewRoman" w:hAnsi="Arial Narrow"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nsid w:val="6EF91405"/>
    <w:multiLevelType w:val="multilevel"/>
    <w:tmpl w:val="4434F0D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F4D219F"/>
    <w:multiLevelType w:val="hybridMultilevel"/>
    <w:tmpl w:val="7F988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3F3727B"/>
    <w:multiLevelType w:val="hybridMultilevel"/>
    <w:tmpl w:val="6ADCF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3FC5650"/>
    <w:multiLevelType w:val="multilevel"/>
    <w:tmpl w:val="0A5CA9C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749677C1"/>
    <w:multiLevelType w:val="hybridMultilevel"/>
    <w:tmpl w:val="E9ECBF28"/>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57">
    <w:nsid w:val="757E27BD"/>
    <w:multiLevelType w:val="hybridMultilevel"/>
    <w:tmpl w:val="88524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84D033C"/>
    <w:multiLevelType w:val="multilevel"/>
    <w:tmpl w:val="13CA770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78907F48"/>
    <w:multiLevelType w:val="hybridMultilevel"/>
    <w:tmpl w:val="57E6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8CE4177"/>
    <w:multiLevelType w:val="multilevel"/>
    <w:tmpl w:val="D3F266B2"/>
    <w:lvl w:ilvl="0">
      <w:start w:val="1"/>
      <w:numFmt w:val="decimal"/>
      <w:lvlText w:val="%1."/>
      <w:lvlJc w:val="left"/>
      <w:pPr>
        <w:ind w:left="36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1">
    <w:nsid w:val="794356EE"/>
    <w:multiLevelType w:val="multilevel"/>
    <w:tmpl w:val="D36677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AC065AB"/>
    <w:multiLevelType w:val="multilevel"/>
    <w:tmpl w:val="C390F9AC"/>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7BF35C36"/>
    <w:multiLevelType w:val="hybridMultilevel"/>
    <w:tmpl w:val="7B34D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C727235"/>
    <w:multiLevelType w:val="multilevel"/>
    <w:tmpl w:val="33384B2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7D0D2154"/>
    <w:multiLevelType w:val="hybridMultilevel"/>
    <w:tmpl w:val="B5DC6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nsid w:val="7D7309A1"/>
    <w:multiLevelType w:val="hybridMultilevel"/>
    <w:tmpl w:val="1F8EE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E3B775E"/>
    <w:multiLevelType w:val="hybridMultilevel"/>
    <w:tmpl w:val="64601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F6E6181"/>
    <w:multiLevelType w:val="hybridMultilevel"/>
    <w:tmpl w:val="C99C1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FFB08BB"/>
    <w:multiLevelType w:val="hybridMultilevel"/>
    <w:tmpl w:val="541A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5"/>
  </w:num>
  <w:num w:numId="2">
    <w:abstractNumId w:val="19"/>
  </w:num>
  <w:num w:numId="3">
    <w:abstractNumId w:val="32"/>
  </w:num>
  <w:num w:numId="4">
    <w:abstractNumId w:val="27"/>
  </w:num>
  <w:num w:numId="5">
    <w:abstractNumId w:val="5"/>
  </w:num>
  <w:num w:numId="6">
    <w:abstractNumId w:val="58"/>
  </w:num>
  <w:num w:numId="7">
    <w:abstractNumId w:val="2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41"/>
  </w:num>
  <w:num w:numId="11">
    <w:abstractNumId w:val="64"/>
  </w:num>
  <w:num w:numId="12">
    <w:abstractNumId w:val="62"/>
  </w:num>
  <w:num w:numId="13">
    <w:abstractNumId w:val="46"/>
  </w:num>
  <w:num w:numId="14">
    <w:abstractNumId w:val="4"/>
  </w:num>
  <w:num w:numId="15">
    <w:abstractNumId w:val="52"/>
  </w:num>
  <w:num w:numId="16">
    <w:abstractNumId w:val="8"/>
  </w:num>
  <w:num w:numId="17">
    <w:abstractNumId w:val="61"/>
  </w:num>
  <w:num w:numId="18">
    <w:abstractNumId w:val="55"/>
  </w:num>
  <w:num w:numId="19">
    <w:abstractNumId w:val="18"/>
  </w:num>
  <w:num w:numId="20">
    <w:abstractNumId w:val="26"/>
  </w:num>
  <w:num w:numId="21">
    <w:abstractNumId w:val="34"/>
  </w:num>
  <w:num w:numId="22">
    <w:abstractNumId w:val="40"/>
  </w:num>
  <w:num w:numId="23">
    <w:abstractNumId w:val="44"/>
  </w:num>
  <w:num w:numId="24">
    <w:abstractNumId w:val="49"/>
  </w:num>
  <w:num w:numId="25">
    <w:abstractNumId w:val="66"/>
  </w:num>
  <w:num w:numId="26">
    <w:abstractNumId w:val="16"/>
  </w:num>
  <w:num w:numId="27">
    <w:abstractNumId w:val="13"/>
  </w:num>
  <w:num w:numId="28">
    <w:abstractNumId w:val="33"/>
  </w:num>
  <w:num w:numId="29">
    <w:abstractNumId w:val="69"/>
  </w:num>
  <w:num w:numId="30">
    <w:abstractNumId w:val="39"/>
  </w:num>
  <w:num w:numId="31">
    <w:abstractNumId w:val="65"/>
  </w:num>
  <w:num w:numId="32">
    <w:abstractNumId w:val="37"/>
  </w:num>
  <w:num w:numId="33">
    <w:abstractNumId w:val="68"/>
  </w:num>
  <w:num w:numId="34">
    <w:abstractNumId w:val="6"/>
  </w:num>
  <w:num w:numId="35">
    <w:abstractNumId w:val="31"/>
  </w:num>
  <w:num w:numId="36">
    <w:abstractNumId w:val="60"/>
  </w:num>
  <w:num w:numId="37">
    <w:abstractNumId w:val="9"/>
  </w:num>
  <w:num w:numId="38">
    <w:abstractNumId w:val="59"/>
  </w:num>
  <w:num w:numId="39">
    <w:abstractNumId w:val="50"/>
  </w:num>
  <w:num w:numId="40">
    <w:abstractNumId w:val="42"/>
  </w:num>
  <w:num w:numId="41">
    <w:abstractNumId w:val="21"/>
  </w:num>
  <w:num w:numId="42">
    <w:abstractNumId w:val="12"/>
  </w:num>
  <w:num w:numId="43">
    <w:abstractNumId w:val="30"/>
  </w:num>
  <w:num w:numId="44">
    <w:abstractNumId w:val="14"/>
  </w:num>
  <w:num w:numId="45">
    <w:abstractNumId w:val="38"/>
  </w:num>
  <w:num w:numId="46">
    <w:abstractNumId w:val="63"/>
  </w:num>
  <w:num w:numId="47">
    <w:abstractNumId w:val="2"/>
  </w:num>
  <w:num w:numId="48">
    <w:abstractNumId w:val="29"/>
  </w:num>
  <w:num w:numId="49">
    <w:abstractNumId w:val="53"/>
  </w:num>
  <w:num w:numId="50">
    <w:abstractNumId w:val="11"/>
  </w:num>
  <w:num w:numId="51">
    <w:abstractNumId w:val="67"/>
  </w:num>
  <w:num w:numId="52">
    <w:abstractNumId w:val="47"/>
  </w:num>
  <w:num w:numId="53">
    <w:abstractNumId w:val="23"/>
  </w:num>
  <w:num w:numId="54">
    <w:abstractNumId w:val="57"/>
  </w:num>
  <w:num w:numId="55">
    <w:abstractNumId w:val="17"/>
  </w:num>
  <w:num w:numId="56">
    <w:abstractNumId w:val="35"/>
  </w:num>
  <w:num w:numId="57">
    <w:abstractNumId w:val="51"/>
  </w:num>
  <w:num w:numId="58">
    <w:abstractNumId w:val="25"/>
  </w:num>
  <w:num w:numId="59">
    <w:abstractNumId w:val="54"/>
  </w:num>
  <w:num w:numId="60">
    <w:abstractNumId w:val="48"/>
  </w:num>
  <w:num w:numId="61">
    <w:abstractNumId w:val="20"/>
  </w:num>
  <w:num w:numId="62">
    <w:abstractNumId w:val="10"/>
  </w:num>
  <w:num w:numId="63">
    <w:abstractNumId w:val="19"/>
  </w:num>
  <w:num w:numId="64">
    <w:abstractNumId w:val="19"/>
  </w:num>
  <w:num w:numId="65">
    <w:abstractNumId w:val="43"/>
  </w:num>
  <w:num w:numId="66">
    <w:abstractNumId w:val="1"/>
  </w:num>
  <w:num w:numId="67">
    <w:abstractNumId w:val="28"/>
  </w:num>
  <w:num w:numId="68">
    <w:abstractNumId w:val="19"/>
  </w:num>
  <w:num w:numId="69">
    <w:abstractNumId w:val="36"/>
  </w:num>
  <w:num w:numId="70">
    <w:abstractNumId w:val="7"/>
  </w:num>
  <w:num w:numId="71">
    <w:abstractNumId w:val="0"/>
  </w:num>
  <w:num w:numId="72">
    <w:abstractNumId w:val="15"/>
  </w:num>
  <w:num w:numId="73">
    <w:abstractNumId w:val="3"/>
  </w:num>
  <w:num w:numId="74">
    <w:abstractNumId w:val="56"/>
  </w:num>
  <w:num w:numId="75">
    <w:abstractNumId w:val="19"/>
  </w:num>
  <w:num w:numId="76">
    <w:abstractNumId w:val="19"/>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a">
    <w15:presenceInfo w15:providerId="None" w15:userId="Silva"/>
  </w15:person>
  <w15:person w15:author="Marnie Firipis">
    <w15:presenceInfo w15:providerId="AD" w15:userId="S-1-5-21-248963057-614103661-3067232799-349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0516"/>
    <w:rsid w:val="00001AB4"/>
    <w:rsid w:val="00002953"/>
    <w:rsid w:val="00002EFB"/>
    <w:rsid w:val="00003E23"/>
    <w:rsid w:val="00004075"/>
    <w:rsid w:val="000048A1"/>
    <w:rsid w:val="00004DCC"/>
    <w:rsid w:val="000069B5"/>
    <w:rsid w:val="0000780F"/>
    <w:rsid w:val="0001066F"/>
    <w:rsid w:val="0001100F"/>
    <w:rsid w:val="00011162"/>
    <w:rsid w:val="00011466"/>
    <w:rsid w:val="00012FFD"/>
    <w:rsid w:val="00013107"/>
    <w:rsid w:val="00013222"/>
    <w:rsid w:val="000151A3"/>
    <w:rsid w:val="00015BEE"/>
    <w:rsid w:val="00016BBF"/>
    <w:rsid w:val="0002095B"/>
    <w:rsid w:val="00022804"/>
    <w:rsid w:val="000231F1"/>
    <w:rsid w:val="0002676D"/>
    <w:rsid w:val="00026A43"/>
    <w:rsid w:val="000329C1"/>
    <w:rsid w:val="00033C9D"/>
    <w:rsid w:val="00034404"/>
    <w:rsid w:val="00036901"/>
    <w:rsid w:val="00037455"/>
    <w:rsid w:val="00041957"/>
    <w:rsid w:val="00042030"/>
    <w:rsid w:val="00043345"/>
    <w:rsid w:val="000461CF"/>
    <w:rsid w:val="00046CE3"/>
    <w:rsid w:val="000472FA"/>
    <w:rsid w:val="0005226B"/>
    <w:rsid w:val="00052A04"/>
    <w:rsid w:val="00052F22"/>
    <w:rsid w:val="00055296"/>
    <w:rsid w:val="00055975"/>
    <w:rsid w:val="00057F71"/>
    <w:rsid w:val="000604BF"/>
    <w:rsid w:val="00062067"/>
    <w:rsid w:val="00062F7D"/>
    <w:rsid w:val="00065C62"/>
    <w:rsid w:val="00065CDE"/>
    <w:rsid w:val="00065F4A"/>
    <w:rsid w:val="000676C4"/>
    <w:rsid w:val="0007062A"/>
    <w:rsid w:val="00072B39"/>
    <w:rsid w:val="00072D2C"/>
    <w:rsid w:val="00072DA8"/>
    <w:rsid w:val="00073CCB"/>
    <w:rsid w:val="0007481D"/>
    <w:rsid w:val="00076940"/>
    <w:rsid w:val="000775CA"/>
    <w:rsid w:val="0007783D"/>
    <w:rsid w:val="00077DB7"/>
    <w:rsid w:val="00080FF3"/>
    <w:rsid w:val="00081113"/>
    <w:rsid w:val="00081E38"/>
    <w:rsid w:val="00082CF0"/>
    <w:rsid w:val="000847FE"/>
    <w:rsid w:val="00086133"/>
    <w:rsid w:val="00087512"/>
    <w:rsid w:val="00087A42"/>
    <w:rsid w:val="000935D2"/>
    <w:rsid w:val="00093914"/>
    <w:rsid w:val="00093F09"/>
    <w:rsid w:val="000A148D"/>
    <w:rsid w:val="000A1B99"/>
    <w:rsid w:val="000A2694"/>
    <w:rsid w:val="000A2EF1"/>
    <w:rsid w:val="000A3ACF"/>
    <w:rsid w:val="000A3E26"/>
    <w:rsid w:val="000A5D8C"/>
    <w:rsid w:val="000A6FBD"/>
    <w:rsid w:val="000A794C"/>
    <w:rsid w:val="000B001C"/>
    <w:rsid w:val="000B12F1"/>
    <w:rsid w:val="000B183C"/>
    <w:rsid w:val="000B42CB"/>
    <w:rsid w:val="000B447E"/>
    <w:rsid w:val="000B56CD"/>
    <w:rsid w:val="000B6B69"/>
    <w:rsid w:val="000C0142"/>
    <w:rsid w:val="000C21F7"/>
    <w:rsid w:val="000C2F6C"/>
    <w:rsid w:val="000C36E4"/>
    <w:rsid w:val="000C3AAE"/>
    <w:rsid w:val="000C3E40"/>
    <w:rsid w:val="000C665F"/>
    <w:rsid w:val="000C6A40"/>
    <w:rsid w:val="000C6A75"/>
    <w:rsid w:val="000C74D0"/>
    <w:rsid w:val="000D0023"/>
    <w:rsid w:val="000D2E92"/>
    <w:rsid w:val="000D3567"/>
    <w:rsid w:val="000D4205"/>
    <w:rsid w:val="000E014D"/>
    <w:rsid w:val="000E237A"/>
    <w:rsid w:val="000E55DA"/>
    <w:rsid w:val="000F2534"/>
    <w:rsid w:val="000F3652"/>
    <w:rsid w:val="000F3FE1"/>
    <w:rsid w:val="000F43B8"/>
    <w:rsid w:val="00100DA6"/>
    <w:rsid w:val="0010132E"/>
    <w:rsid w:val="001014D8"/>
    <w:rsid w:val="00101715"/>
    <w:rsid w:val="00101876"/>
    <w:rsid w:val="00101C4E"/>
    <w:rsid w:val="001045BD"/>
    <w:rsid w:val="001050E9"/>
    <w:rsid w:val="0010570A"/>
    <w:rsid w:val="00106842"/>
    <w:rsid w:val="00107FC8"/>
    <w:rsid w:val="0011112F"/>
    <w:rsid w:val="00111F62"/>
    <w:rsid w:val="00111FE1"/>
    <w:rsid w:val="00112588"/>
    <w:rsid w:val="00113139"/>
    <w:rsid w:val="00113223"/>
    <w:rsid w:val="001138A5"/>
    <w:rsid w:val="00114D2F"/>
    <w:rsid w:val="00115E7E"/>
    <w:rsid w:val="00116E00"/>
    <w:rsid w:val="00117879"/>
    <w:rsid w:val="00123F25"/>
    <w:rsid w:val="00125C95"/>
    <w:rsid w:val="0012701F"/>
    <w:rsid w:val="001279AE"/>
    <w:rsid w:val="0013092C"/>
    <w:rsid w:val="001334D8"/>
    <w:rsid w:val="001338A4"/>
    <w:rsid w:val="00134EC4"/>
    <w:rsid w:val="00136B88"/>
    <w:rsid w:val="00136E76"/>
    <w:rsid w:val="001404C7"/>
    <w:rsid w:val="0014317C"/>
    <w:rsid w:val="001468C6"/>
    <w:rsid w:val="00146C47"/>
    <w:rsid w:val="00147EF5"/>
    <w:rsid w:val="00151996"/>
    <w:rsid w:val="00151D04"/>
    <w:rsid w:val="00152BD4"/>
    <w:rsid w:val="0016048E"/>
    <w:rsid w:val="00163848"/>
    <w:rsid w:val="001641B3"/>
    <w:rsid w:val="001648D8"/>
    <w:rsid w:val="00165A49"/>
    <w:rsid w:val="00172290"/>
    <w:rsid w:val="001722AD"/>
    <w:rsid w:val="00172785"/>
    <w:rsid w:val="00173577"/>
    <w:rsid w:val="00173E6C"/>
    <w:rsid w:val="0017638E"/>
    <w:rsid w:val="00176AA5"/>
    <w:rsid w:val="00176EDB"/>
    <w:rsid w:val="0017720E"/>
    <w:rsid w:val="00177893"/>
    <w:rsid w:val="00177F70"/>
    <w:rsid w:val="00182C91"/>
    <w:rsid w:val="00184221"/>
    <w:rsid w:val="0018558A"/>
    <w:rsid w:val="00186307"/>
    <w:rsid w:val="00186EBC"/>
    <w:rsid w:val="0019073F"/>
    <w:rsid w:val="00190A60"/>
    <w:rsid w:val="00191C4B"/>
    <w:rsid w:val="00192B62"/>
    <w:rsid w:val="001939AD"/>
    <w:rsid w:val="00193ACB"/>
    <w:rsid w:val="0019411D"/>
    <w:rsid w:val="001950BB"/>
    <w:rsid w:val="00195DA4"/>
    <w:rsid w:val="001966D3"/>
    <w:rsid w:val="00196E12"/>
    <w:rsid w:val="001973BD"/>
    <w:rsid w:val="001A0142"/>
    <w:rsid w:val="001A02B2"/>
    <w:rsid w:val="001A2144"/>
    <w:rsid w:val="001A2F10"/>
    <w:rsid w:val="001A46D5"/>
    <w:rsid w:val="001A6EBA"/>
    <w:rsid w:val="001B00CE"/>
    <w:rsid w:val="001B4420"/>
    <w:rsid w:val="001B57DA"/>
    <w:rsid w:val="001B6389"/>
    <w:rsid w:val="001B6A8D"/>
    <w:rsid w:val="001B7285"/>
    <w:rsid w:val="001C010E"/>
    <w:rsid w:val="001C0315"/>
    <w:rsid w:val="001C04CC"/>
    <w:rsid w:val="001C051E"/>
    <w:rsid w:val="001C05D1"/>
    <w:rsid w:val="001C2635"/>
    <w:rsid w:val="001C2FD5"/>
    <w:rsid w:val="001C3EA9"/>
    <w:rsid w:val="001D14EC"/>
    <w:rsid w:val="001D2711"/>
    <w:rsid w:val="001D45E9"/>
    <w:rsid w:val="001D5DE3"/>
    <w:rsid w:val="001D77CA"/>
    <w:rsid w:val="001E002C"/>
    <w:rsid w:val="001E1828"/>
    <w:rsid w:val="001E2A13"/>
    <w:rsid w:val="001E3AB7"/>
    <w:rsid w:val="001E4361"/>
    <w:rsid w:val="001E5918"/>
    <w:rsid w:val="001E64C1"/>
    <w:rsid w:val="001E701B"/>
    <w:rsid w:val="001F073C"/>
    <w:rsid w:val="001F1E78"/>
    <w:rsid w:val="001F2347"/>
    <w:rsid w:val="001F2912"/>
    <w:rsid w:val="001F4828"/>
    <w:rsid w:val="001F5671"/>
    <w:rsid w:val="001F705D"/>
    <w:rsid w:val="002001C6"/>
    <w:rsid w:val="00200296"/>
    <w:rsid w:val="00201828"/>
    <w:rsid w:val="00201ADB"/>
    <w:rsid w:val="00202919"/>
    <w:rsid w:val="002052D5"/>
    <w:rsid w:val="002058E5"/>
    <w:rsid w:val="00210FAA"/>
    <w:rsid w:val="00216887"/>
    <w:rsid w:val="0022168E"/>
    <w:rsid w:val="0022288E"/>
    <w:rsid w:val="002234A6"/>
    <w:rsid w:val="002260EC"/>
    <w:rsid w:val="00232D4F"/>
    <w:rsid w:val="00236A66"/>
    <w:rsid w:val="00236AFC"/>
    <w:rsid w:val="00237448"/>
    <w:rsid w:val="00237D73"/>
    <w:rsid w:val="0024090B"/>
    <w:rsid w:val="002411C6"/>
    <w:rsid w:val="00242474"/>
    <w:rsid w:val="002425EA"/>
    <w:rsid w:val="00242EA0"/>
    <w:rsid w:val="002430D8"/>
    <w:rsid w:val="00243685"/>
    <w:rsid w:val="00246B23"/>
    <w:rsid w:val="00247967"/>
    <w:rsid w:val="002524C8"/>
    <w:rsid w:val="00253108"/>
    <w:rsid w:val="0025461B"/>
    <w:rsid w:val="0025565E"/>
    <w:rsid w:val="0025613F"/>
    <w:rsid w:val="002611F2"/>
    <w:rsid w:val="00261DC6"/>
    <w:rsid w:val="002631BB"/>
    <w:rsid w:val="00264025"/>
    <w:rsid w:val="00264623"/>
    <w:rsid w:val="00265794"/>
    <w:rsid w:val="00266B7C"/>
    <w:rsid w:val="00271BB4"/>
    <w:rsid w:val="00273C92"/>
    <w:rsid w:val="002743D7"/>
    <w:rsid w:val="00275B6C"/>
    <w:rsid w:val="00276452"/>
    <w:rsid w:val="0027793C"/>
    <w:rsid w:val="00280B5B"/>
    <w:rsid w:val="002812F4"/>
    <w:rsid w:val="00281888"/>
    <w:rsid w:val="00282D1F"/>
    <w:rsid w:val="0028331D"/>
    <w:rsid w:val="002836DF"/>
    <w:rsid w:val="00284AF7"/>
    <w:rsid w:val="00285F98"/>
    <w:rsid w:val="00286994"/>
    <w:rsid w:val="00291173"/>
    <w:rsid w:val="00292097"/>
    <w:rsid w:val="002928F4"/>
    <w:rsid w:val="0029446C"/>
    <w:rsid w:val="00296086"/>
    <w:rsid w:val="00296EFC"/>
    <w:rsid w:val="002973F3"/>
    <w:rsid w:val="002A2011"/>
    <w:rsid w:val="002A4503"/>
    <w:rsid w:val="002B1402"/>
    <w:rsid w:val="002B4941"/>
    <w:rsid w:val="002B5CA0"/>
    <w:rsid w:val="002B5CCC"/>
    <w:rsid w:val="002B5D74"/>
    <w:rsid w:val="002B6BFD"/>
    <w:rsid w:val="002B7ADB"/>
    <w:rsid w:val="002C0682"/>
    <w:rsid w:val="002C0CE3"/>
    <w:rsid w:val="002C1D2F"/>
    <w:rsid w:val="002C45D3"/>
    <w:rsid w:val="002C5786"/>
    <w:rsid w:val="002C5C2B"/>
    <w:rsid w:val="002D043A"/>
    <w:rsid w:val="002D0D76"/>
    <w:rsid w:val="002D2FCA"/>
    <w:rsid w:val="002D34C2"/>
    <w:rsid w:val="002D3691"/>
    <w:rsid w:val="002D5456"/>
    <w:rsid w:val="002D5D13"/>
    <w:rsid w:val="002D6367"/>
    <w:rsid w:val="002D7823"/>
    <w:rsid w:val="002D7D7C"/>
    <w:rsid w:val="002E255F"/>
    <w:rsid w:val="002E3645"/>
    <w:rsid w:val="002E40CE"/>
    <w:rsid w:val="002E4143"/>
    <w:rsid w:val="002E4220"/>
    <w:rsid w:val="002E42FD"/>
    <w:rsid w:val="002E4C2D"/>
    <w:rsid w:val="002E52FA"/>
    <w:rsid w:val="002E5DEA"/>
    <w:rsid w:val="002E5ECB"/>
    <w:rsid w:val="002E724A"/>
    <w:rsid w:val="002F090C"/>
    <w:rsid w:val="002F0CC4"/>
    <w:rsid w:val="002F22AD"/>
    <w:rsid w:val="002F2C37"/>
    <w:rsid w:val="002F311E"/>
    <w:rsid w:val="002F3B0B"/>
    <w:rsid w:val="002F5363"/>
    <w:rsid w:val="002F5728"/>
    <w:rsid w:val="002F5FB3"/>
    <w:rsid w:val="002F71B8"/>
    <w:rsid w:val="002F7CF8"/>
    <w:rsid w:val="0030057F"/>
    <w:rsid w:val="00300AB7"/>
    <w:rsid w:val="00300C5B"/>
    <w:rsid w:val="003012FF"/>
    <w:rsid w:val="00301477"/>
    <w:rsid w:val="00301EA1"/>
    <w:rsid w:val="00302F1B"/>
    <w:rsid w:val="00302FCC"/>
    <w:rsid w:val="003044AD"/>
    <w:rsid w:val="00304A21"/>
    <w:rsid w:val="003062AE"/>
    <w:rsid w:val="00306C4C"/>
    <w:rsid w:val="003127B7"/>
    <w:rsid w:val="00312A32"/>
    <w:rsid w:val="00312BBE"/>
    <w:rsid w:val="00313106"/>
    <w:rsid w:val="003140A7"/>
    <w:rsid w:val="00315514"/>
    <w:rsid w:val="00316196"/>
    <w:rsid w:val="00320606"/>
    <w:rsid w:val="0032221A"/>
    <w:rsid w:val="00322874"/>
    <w:rsid w:val="00330220"/>
    <w:rsid w:val="003308CE"/>
    <w:rsid w:val="00331AF6"/>
    <w:rsid w:val="003327E2"/>
    <w:rsid w:val="00334ACF"/>
    <w:rsid w:val="0033541B"/>
    <w:rsid w:val="003354DE"/>
    <w:rsid w:val="0033569A"/>
    <w:rsid w:val="00337378"/>
    <w:rsid w:val="003374E3"/>
    <w:rsid w:val="003419D2"/>
    <w:rsid w:val="00341A14"/>
    <w:rsid w:val="00344D0A"/>
    <w:rsid w:val="00346086"/>
    <w:rsid w:val="00346ED3"/>
    <w:rsid w:val="00350589"/>
    <w:rsid w:val="00350763"/>
    <w:rsid w:val="00351381"/>
    <w:rsid w:val="0035229D"/>
    <w:rsid w:val="00352D6A"/>
    <w:rsid w:val="00352E78"/>
    <w:rsid w:val="003530A6"/>
    <w:rsid w:val="00353202"/>
    <w:rsid w:val="00353627"/>
    <w:rsid w:val="003550B9"/>
    <w:rsid w:val="00355F72"/>
    <w:rsid w:val="003573D8"/>
    <w:rsid w:val="00357657"/>
    <w:rsid w:val="00357D9D"/>
    <w:rsid w:val="00362290"/>
    <w:rsid w:val="00363179"/>
    <w:rsid w:val="00363800"/>
    <w:rsid w:val="003639A6"/>
    <w:rsid w:val="00365A64"/>
    <w:rsid w:val="003670DA"/>
    <w:rsid w:val="003678E9"/>
    <w:rsid w:val="003679AE"/>
    <w:rsid w:val="00371BB9"/>
    <w:rsid w:val="00373429"/>
    <w:rsid w:val="00373F34"/>
    <w:rsid w:val="0037428D"/>
    <w:rsid w:val="00375421"/>
    <w:rsid w:val="00377A96"/>
    <w:rsid w:val="003803FF"/>
    <w:rsid w:val="0038190C"/>
    <w:rsid w:val="003819D7"/>
    <w:rsid w:val="003821D2"/>
    <w:rsid w:val="0038281C"/>
    <w:rsid w:val="003851FE"/>
    <w:rsid w:val="00385A64"/>
    <w:rsid w:val="00386D1A"/>
    <w:rsid w:val="00387372"/>
    <w:rsid w:val="0038742F"/>
    <w:rsid w:val="0038744B"/>
    <w:rsid w:val="00387C57"/>
    <w:rsid w:val="003900E8"/>
    <w:rsid w:val="00390226"/>
    <w:rsid w:val="00393057"/>
    <w:rsid w:val="003939B5"/>
    <w:rsid w:val="00393AF7"/>
    <w:rsid w:val="00394881"/>
    <w:rsid w:val="003957BA"/>
    <w:rsid w:val="0039685E"/>
    <w:rsid w:val="00397170"/>
    <w:rsid w:val="003A0232"/>
    <w:rsid w:val="003A3433"/>
    <w:rsid w:val="003A39E3"/>
    <w:rsid w:val="003A537E"/>
    <w:rsid w:val="003A660F"/>
    <w:rsid w:val="003A6955"/>
    <w:rsid w:val="003A7AB7"/>
    <w:rsid w:val="003B095E"/>
    <w:rsid w:val="003B32DA"/>
    <w:rsid w:val="003B531E"/>
    <w:rsid w:val="003B5F00"/>
    <w:rsid w:val="003B6A6E"/>
    <w:rsid w:val="003B7452"/>
    <w:rsid w:val="003B7B8E"/>
    <w:rsid w:val="003C0491"/>
    <w:rsid w:val="003C0BF9"/>
    <w:rsid w:val="003C0EAF"/>
    <w:rsid w:val="003C1A9F"/>
    <w:rsid w:val="003C24FD"/>
    <w:rsid w:val="003C395F"/>
    <w:rsid w:val="003C5F28"/>
    <w:rsid w:val="003D0FC0"/>
    <w:rsid w:val="003D11A9"/>
    <w:rsid w:val="003D1D59"/>
    <w:rsid w:val="003D26AC"/>
    <w:rsid w:val="003D2A37"/>
    <w:rsid w:val="003D5A09"/>
    <w:rsid w:val="003D69EF"/>
    <w:rsid w:val="003D7561"/>
    <w:rsid w:val="003D7F8C"/>
    <w:rsid w:val="003E0011"/>
    <w:rsid w:val="003E0EDB"/>
    <w:rsid w:val="003E16C7"/>
    <w:rsid w:val="003E2283"/>
    <w:rsid w:val="003E3CA1"/>
    <w:rsid w:val="003E5A0C"/>
    <w:rsid w:val="003E6475"/>
    <w:rsid w:val="003E6EBF"/>
    <w:rsid w:val="003F105A"/>
    <w:rsid w:val="003F1075"/>
    <w:rsid w:val="003F283D"/>
    <w:rsid w:val="003F2D28"/>
    <w:rsid w:val="003F3C22"/>
    <w:rsid w:val="003F6199"/>
    <w:rsid w:val="003F6E48"/>
    <w:rsid w:val="003F7C3A"/>
    <w:rsid w:val="0040015D"/>
    <w:rsid w:val="00400C89"/>
    <w:rsid w:val="00401810"/>
    <w:rsid w:val="00401902"/>
    <w:rsid w:val="00402303"/>
    <w:rsid w:val="004028EA"/>
    <w:rsid w:val="004033BF"/>
    <w:rsid w:val="00403822"/>
    <w:rsid w:val="004040E6"/>
    <w:rsid w:val="00404D64"/>
    <w:rsid w:val="00404F39"/>
    <w:rsid w:val="004124A2"/>
    <w:rsid w:val="00421450"/>
    <w:rsid w:val="004253DF"/>
    <w:rsid w:val="00425882"/>
    <w:rsid w:val="0042763C"/>
    <w:rsid w:val="00427E55"/>
    <w:rsid w:val="00433DB2"/>
    <w:rsid w:val="00435C72"/>
    <w:rsid w:val="004364A7"/>
    <w:rsid w:val="00437A55"/>
    <w:rsid w:val="00437BB5"/>
    <w:rsid w:val="0044036E"/>
    <w:rsid w:val="00442059"/>
    <w:rsid w:val="0044283D"/>
    <w:rsid w:val="00442DA7"/>
    <w:rsid w:val="00447488"/>
    <w:rsid w:val="00453530"/>
    <w:rsid w:val="00453BAE"/>
    <w:rsid w:val="00453D59"/>
    <w:rsid w:val="00454493"/>
    <w:rsid w:val="0046046E"/>
    <w:rsid w:val="00461670"/>
    <w:rsid w:val="004619BB"/>
    <w:rsid w:val="004622DF"/>
    <w:rsid w:val="0046352A"/>
    <w:rsid w:val="00463633"/>
    <w:rsid w:val="00463F13"/>
    <w:rsid w:val="0046587E"/>
    <w:rsid w:val="00465D3F"/>
    <w:rsid w:val="00466035"/>
    <w:rsid w:val="0046621E"/>
    <w:rsid w:val="00470201"/>
    <w:rsid w:val="00472BC4"/>
    <w:rsid w:val="00472D4D"/>
    <w:rsid w:val="004731F7"/>
    <w:rsid w:val="00474307"/>
    <w:rsid w:val="00474E45"/>
    <w:rsid w:val="00475748"/>
    <w:rsid w:val="004767F9"/>
    <w:rsid w:val="004805E2"/>
    <w:rsid w:val="00480A20"/>
    <w:rsid w:val="00480AF8"/>
    <w:rsid w:val="00481247"/>
    <w:rsid w:val="00483723"/>
    <w:rsid w:val="004839F8"/>
    <w:rsid w:val="004868AE"/>
    <w:rsid w:val="004919DD"/>
    <w:rsid w:val="00494ADF"/>
    <w:rsid w:val="00494CFE"/>
    <w:rsid w:val="00494F7C"/>
    <w:rsid w:val="00495567"/>
    <w:rsid w:val="00495866"/>
    <w:rsid w:val="00495E56"/>
    <w:rsid w:val="00496A5D"/>
    <w:rsid w:val="004973A3"/>
    <w:rsid w:val="004A01DC"/>
    <w:rsid w:val="004A0477"/>
    <w:rsid w:val="004A0C43"/>
    <w:rsid w:val="004A194E"/>
    <w:rsid w:val="004A2671"/>
    <w:rsid w:val="004A2DF5"/>
    <w:rsid w:val="004A4EF3"/>
    <w:rsid w:val="004B258D"/>
    <w:rsid w:val="004B2BE4"/>
    <w:rsid w:val="004B327E"/>
    <w:rsid w:val="004B3C00"/>
    <w:rsid w:val="004B3F03"/>
    <w:rsid w:val="004B3FE0"/>
    <w:rsid w:val="004B76B6"/>
    <w:rsid w:val="004C01A2"/>
    <w:rsid w:val="004C195F"/>
    <w:rsid w:val="004C2DB3"/>
    <w:rsid w:val="004C4A2F"/>
    <w:rsid w:val="004C4E10"/>
    <w:rsid w:val="004C5ACB"/>
    <w:rsid w:val="004C70F4"/>
    <w:rsid w:val="004C7193"/>
    <w:rsid w:val="004D1006"/>
    <w:rsid w:val="004D29D1"/>
    <w:rsid w:val="004D29DD"/>
    <w:rsid w:val="004D2FB2"/>
    <w:rsid w:val="004D3EFE"/>
    <w:rsid w:val="004D3F40"/>
    <w:rsid w:val="004D45DF"/>
    <w:rsid w:val="004D46D9"/>
    <w:rsid w:val="004D55D2"/>
    <w:rsid w:val="004D6373"/>
    <w:rsid w:val="004E0C0B"/>
    <w:rsid w:val="004E129D"/>
    <w:rsid w:val="004E2125"/>
    <w:rsid w:val="004E3898"/>
    <w:rsid w:val="004E6692"/>
    <w:rsid w:val="004F1D99"/>
    <w:rsid w:val="004F347A"/>
    <w:rsid w:val="004F3688"/>
    <w:rsid w:val="004F3AAE"/>
    <w:rsid w:val="004F3C5A"/>
    <w:rsid w:val="004F4415"/>
    <w:rsid w:val="004F4BDE"/>
    <w:rsid w:val="004F56B5"/>
    <w:rsid w:val="004F5C28"/>
    <w:rsid w:val="004F5CE1"/>
    <w:rsid w:val="004F6163"/>
    <w:rsid w:val="004F7CAC"/>
    <w:rsid w:val="004F7D40"/>
    <w:rsid w:val="00500385"/>
    <w:rsid w:val="00503679"/>
    <w:rsid w:val="005036DE"/>
    <w:rsid w:val="00507713"/>
    <w:rsid w:val="00507B6D"/>
    <w:rsid w:val="00511320"/>
    <w:rsid w:val="005143F9"/>
    <w:rsid w:val="00514E1D"/>
    <w:rsid w:val="00516566"/>
    <w:rsid w:val="00517A13"/>
    <w:rsid w:val="005200B3"/>
    <w:rsid w:val="005208B5"/>
    <w:rsid w:val="005218C3"/>
    <w:rsid w:val="00524989"/>
    <w:rsid w:val="0052562C"/>
    <w:rsid w:val="0052639F"/>
    <w:rsid w:val="00527B2C"/>
    <w:rsid w:val="00531C11"/>
    <w:rsid w:val="005335C0"/>
    <w:rsid w:val="00533B61"/>
    <w:rsid w:val="00533D2B"/>
    <w:rsid w:val="005341F9"/>
    <w:rsid w:val="00535C74"/>
    <w:rsid w:val="005361AB"/>
    <w:rsid w:val="00541D43"/>
    <w:rsid w:val="00541E0D"/>
    <w:rsid w:val="00542068"/>
    <w:rsid w:val="00542A01"/>
    <w:rsid w:val="00543AF9"/>
    <w:rsid w:val="0055031F"/>
    <w:rsid w:val="005510D3"/>
    <w:rsid w:val="005531EA"/>
    <w:rsid w:val="00553F67"/>
    <w:rsid w:val="00554241"/>
    <w:rsid w:val="00554CFA"/>
    <w:rsid w:val="0055532F"/>
    <w:rsid w:val="005558A9"/>
    <w:rsid w:val="005572F3"/>
    <w:rsid w:val="00560C7D"/>
    <w:rsid w:val="00561D24"/>
    <w:rsid w:val="005623CF"/>
    <w:rsid w:val="0056291A"/>
    <w:rsid w:val="005650B8"/>
    <w:rsid w:val="005650DB"/>
    <w:rsid w:val="00565FFF"/>
    <w:rsid w:val="00566322"/>
    <w:rsid w:val="00567B90"/>
    <w:rsid w:val="00567C4B"/>
    <w:rsid w:val="005707D6"/>
    <w:rsid w:val="00571B4F"/>
    <w:rsid w:val="005723F1"/>
    <w:rsid w:val="00572620"/>
    <w:rsid w:val="00572DBA"/>
    <w:rsid w:val="00573489"/>
    <w:rsid w:val="00576ADE"/>
    <w:rsid w:val="005770FC"/>
    <w:rsid w:val="00577CB4"/>
    <w:rsid w:val="00577CFD"/>
    <w:rsid w:val="00577DEF"/>
    <w:rsid w:val="00580643"/>
    <w:rsid w:val="00580BCA"/>
    <w:rsid w:val="005827BA"/>
    <w:rsid w:val="005829FC"/>
    <w:rsid w:val="00582E1E"/>
    <w:rsid w:val="005849C7"/>
    <w:rsid w:val="00585E36"/>
    <w:rsid w:val="0058604A"/>
    <w:rsid w:val="00587023"/>
    <w:rsid w:val="005870ED"/>
    <w:rsid w:val="005924A7"/>
    <w:rsid w:val="005929CB"/>
    <w:rsid w:val="00592D79"/>
    <w:rsid w:val="005937D0"/>
    <w:rsid w:val="005948F6"/>
    <w:rsid w:val="00594E5D"/>
    <w:rsid w:val="00597972"/>
    <w:rsid w:val="005A1D23"/>
    <w:rsid w:val="005A205B"/>
    <w:rsid w:val="005A4099"/>
    <w:rsid w:val="005A40FD"/>
    <w:rsid w:val="005A4435"/>
    <w:rsid w:val="005B0853"/>
    <w:rsid w:val="005B31BE"/>
    <w:rsid w:val="005B3411"/>
    <w:rsid w:val="005B41B0"/>
    <w:rsid w:val="005B4B4E"/>
    <w:rsid w:val="005B603A"/>
    <w:rsid w:val="005C092F"/>
    <w:rsid w:val="005C09F5"/>
    <w:rsid w:val="005C3BD2"/>
    <w:rsid w:val="005C6285"/>
    <w:rsid w:val="005D071D"/>
    <w:rsid w:val="005D0E32"/>
    <w:rsid w:val="005D2D30"/>
    <w:rsid w:val="005D30DD"/>
    <w:rsid w:val="005D40FE"/>
    <w:rsid w:val="005D4796"/>
    <w:rsid w:val="005D5BA1"/>
    <w:rsid w:val="005D622E"/>
    <w:rsid w:val="005D78A8"/>
    <w:rsid w:val="005E2271"/>
    <w:rsid w:val="005E22B5"/>
    <w:rsid w:val="005E287B"/>
    <w:rsid w:val="005E49B2"/>
    <w:rsid w:val="005E5003"/>
    <w:rsid w:val="005F0590"/>
    <w:rsid w:val="005F0AE8"/>
    <w:rsid w:val="005F23D3"/>
    <w:rsid w:val="005F2A6B"/>
    <w:rsid w:val="005F30D4"/>
    <w:rsid w:val="005F321E"/>
    <w:rsid w:val="005F40C1"/>
    <w:rsid w:val="005F4A52"/>
    <w:rsid w:val="005F4D18"/>
    <w:rsid w:val="005F4E72"/>
    <w:rsid w:val="005F6C68"/>
    <w:rsid w:val="005F7542"/>
    <w:rsid w:val="006000BF"/>
    <w:rsid w:val="00600898"/>
    <w:rsid w:val="00600977"/>
    <w:rsid w:val="006024D3"/>
    <w:rsid w:val="00602A37"/>
    <w:rsid w:val="00603BFE"/>
    <w:rsid w:val="00603C67"/>
    <w:rsid w:val="00604104"/>
    <w:rsid w:val="00606EF9"/>
    <w:rsid w:val="0060706A"/>
    <w:rsid w:val="006070C4"/>
    <w:rsid w:val="006076EE"/>
    <w:rsid w:val="00607758"/>
    <w:rsid w:val="00610D5E"/>
    <w:rsid w:val="006110E8"/>
    <w:rsid w:val="00613467"/>
    <w:rsid w:val="00613CF2"/>
    <w:rsid w:val="0061505A"/>
    <w:rsid w:val="00616E2A"/>
    <w:rsid w:val="0062056C"/>
    <w:rsid w:val="0062181C"/>
    <w:rsid w:val="006231AB"/>
    <w:rsid w:val="00624144"/>
    <w:rsid w:val="00624315"/>
    <w:rsid w:val="00624E02"/>
    <w:rsid w:val="0062545B"/>
    <w:rsid w:val="0062552A"/>
    <w:rsid w:val="00625BD2"/>
    <w:rsid w:val="006271DE"/>
    <w:rsid w:val="0062792F"/>
    <w:rsid w:val="006311BE"/>
    <w:rsid w:val="006328C7"/>
    <w:rsid w:val="006332BE"/>
    <w:rsid w:val="006333DF"/>
    <w:rsid w:val="0063461C"/>
    <w:rsid w:val="006408C3"/>
    <w:rsid w:val="00640F65"/>
    <w:rsid w:val="00641B98"/>
    <w:rsid w:val="00642CF0"/>
    <w:rsid w:val="00645B26"/>
    <w:rsid w:val="00645D8A"/>
    <w:rsid w:val="00645E46"/>
    <w:rsid w:val="0064620D"/>
    <w:rsid w:val="00646DAE"/>
    <w:rsid w:val="00650BD1"/>
    <w:rsid w:val="00651062"/>
    <w:rsid w:val="00653366"/>
    <w:rsid w:val="00653C0F"/>
    <w:rsid w:val="00653C97"/>
    <w:rsid w:val="006545A2"/>
    <w:rsid w:val="006548A3"/>
    <w:rsid w:val="00654CBE"/>
    <w:rsid w:val="00655264"/>
    <w:rsid w:val="006557FC"/>
    <w:rsid w:val="006558D2"/>
    <w:rsid w:val="00655FDD"/>
    <w:rsid w:val="00657754"/>
    <w:rsid w:val="00661286"/>
    <w:rsid w:val="00662D40"/>
    <w:rsid w:val="00662DFF"/>
    <w:rsid w:val="006632B2"/>
    <w:rsid w:val="00664343"/>
    <w:rsid w:val="00664356"/>
    <w:rsid w:val="00665665"/>
    <w:rsid w:val="00665B98"/>
    <w:rsid w:val="006662DC"/>
    <w:rsid w:val="006676F1"/>
    <w:rsid w:val="006708A7"/>
    <w:rsid w:val="00672120"/>
    <w:rsid w:val="00674991"/>
    <w:rsid w:val="00676B1E"/>
    <w:rsid w:val="00684A11"/>
    <w:rsid w:val="0068790C"/>
    <w:rsid w:val="00691913"/>
    <w:rsid w:val="00692FB3"/>
    <w:rsid w:val="00695134"/>
    <w:rsid w:val="00696B5E"/>
    <w:rsid w:val="006A138B"/>
    <w:rsid w:val="006A163C"/>
    <w:rsid w:val="006A1CE3"/>
    <w:rsid w:val="006A4CDF"/>
    <w:rsid w:val="006A52A0"/>
    <w:rsid w:val="006A52ED"/>
    <w:rsid w:val="006A64A7"/>
    <w:rsid w:val="006A6553"/>
    <w:rsid w:val="006B049A"/>
    <w:rsid w:val="006B140A"/>
    <w:rsid w:val="006B44EF"/>
    <w:rsid w:val="006B5B51"/>
    <w:rsid w:val="006B6BD8"/>
    <w:rsid w:val="006B712C"/>
    <w:rsid w:val="006C0AEC"/>
    <w:rsid w:val="006C0B36"/>
    <w:rsid w:val="006C174C"/>
    <w:rsid w:val="006C4906"/>
    <w:rsid w:val="006C62E9"/>
    <w:rsid w:val="006C7803"/>
    <w:rsid w:val="006D1F4B"/>
    <w:rsid w:val="006D3271"/>
    <w:rsid w:val="006E4ECB"/>
    <w:rsid w:val="006E54E9"/>
    <w:rsid w:val="006E58B7"/>
    <w:rsid w:val="006E5DE2"/>
    <w:rsid w:val="006E6B0F"/>
    <w:rsid w:val="006E728E"/>
    <w:rsid w:val="006E7302"/>
    <w:rsid w:val="006F00A4"/>
    <w:rsid w:val="006F161E"/>
    <w:rsid w:val="006F16EC"/>
    <w:rsid w:val="006F21CC"/>
    <w:rsid w:val="006F2843"/>
    <w:rsid w:val="006F4F1C"/>
    <w:rsid w:val="006F7312"/>
    <w:rsid w:val="007010CE"/>
    <w:rsid w:val="007027AF"/>
    <w:rsid w:val="007051FA"/>
    <w:rsid w:val="00705664"/>
    <w:rsid w:val="00705EBD"/>
    <w:rsid w:val="00706F2B"/>
    <w:rsid w:val="00707082"/>
    <w:rsid w:val="00712C73"/>
    <w:rsid w:val="00712D40"/>
    <w:rsid w:val="00714323"/>
    <w:rsid w:val="00715299"/>
    <w:rsid w:val="007160ED"/>
    <w:rsid w:val="00716696"/>
    <w:rsid w:val="00717AF0"/>
    <w:rsid w:val="00720D06"/>
    <w:rsid w:val="00723AB1"/>
    <w:rsid w:val="00723E1E"/>
    <w:rsid w:val="007248CA"/>
    <w:rsid w:val="00724DC3"/>
    <w:rsid w:val="00727B93"/>
    <w:rsid w:val="00730C16"/>
    <w:rsid w:val="00734234"/>
    <w:rsid w:val="0073642A"/>
    <w:rsid w:val="00736CDA"/>
    <w:rsid w:val="00737BFA"/>
    <w:rsid w:val="00740669"/>
    <w:rsid w:val="00740E50"/>
    <w:rsid w:val="007415E1"/>
    <w:rsid w:val="00741A19"/>
    <w:rsid w:val="00744668"/>
    <w:rsid w:val="00744857"/>
    <w:rsid w:val="00745DA9"/>
    <w:rsid w:val="007463BF"/>
    <w:rsid w:val="00747333"/>
    <w:rsid w:val="007501B9"/>
    <w:rsid w:val="007509A6"/>
    <w:rsid w:val="00750B5A"/>
    <w:rsid w:val="00751984"/>
    <w:rsid w:val="007519B6"/>
    <w:rsid w:val="00755068"/>
    <w:rsid w:val="007553BA"/>
    <w:rsid w:val="00755DC8"/>
    <w:rsid w:val="007564C4"/>
    <w:rsid w:val="00761253"/>
    <w:rsid w:val="00761471"/>
    <w:rsid w:val="00762D4E"/>
    <w:rsid w:val="007633B0"/>
    <w:rsid w:val="00764386"/>
    <w:rsid w:val="00765DF6"/>
    <w:rsid w:val="00767939"/>
    <w:rsid w:val="007715D2"/>
    <w:rsid w:val="00772501"/>
    <w:rsid w:val="00772C70"/>
    <w:rsid w:val="007751BE"/>
    <w:rsid w:val="007771EB"/>
    <w:rsid w:val="007835C4"/>
    <w:rsid w:val="007835CB"/>
    <w:rsid w:val="007847FA"/>
    <w:rsid w:val="00785482"/>
    <w:rsid w:val="00786AD1"/>
    <w:rsid w:val="00790295"/>
    <w:rsid w:val="00790910"/>
    <w:rsid w:val="00791DE1"/>
    <w:rsid w:val="00794E2E"/>
    <w:rsid w:val="00795D7D"/>
    <w:rsid w:val="007964A3"/>
    <w:rsid w:val="00796DC0"/>
    <w:rsid w:val="00797B31"/>
    <w:rsid w:val="007A16DE"/>
    <w:rsid w:val="007A196C"/>
    <w:rsid w:val="007A2311"/>
    <w:rsid w:val="007A337D"/>
    <w:rsid w:val="007A3413"/>
    <w:rsid w:val="007A3A8C"/>
    <w:rsid w:val="007A449F"/>
    <w:rsid w:val="007A5D68"/>
    <w:rsid w:val="007A6D0D"/>
    <w:rsid w:val="007A7184"/>
    <w:rsid w:val="007A79ED"/>
    <w:rsid w:val="007B0E0C"/>
    <w:rsid w:val="007B1F30"/>
    <w:rsid w:val="007B38B4"/>
    <w:rsid w:val="007B6280"/>
    <w:rsid w:val="007B6B6A"/>
    <w:rsid w:val="007B7194"/>
    <w:rsid w:val="007B767B"/>
    <w:rsid w:val="007C26E5"/>
    <w:rsid w:val="007C2D7D"/>
    <w:rsid w:val="007C3786"/>
    <w:rsid w:val="007C3A32"/>
    <w:rsid w:val="007C720A"/>
    <w:rsid w:val="007C738B"/>
    <w:rsid w:val="007D1092"/>
    <w:rsid w:val="007D2147"/>
    <w:rsid w:val="007D2621"/>
    <w:rsid w:val="007D36DD"/>
    <w:rsid w:val="007D3FEE"/>
    <w:rsid w:val="007D4690"/>
    <w:rsid w:val="007D5ECF"/>
    <w:rsid w:val="007E1A54"/>
    <w:rsid w:val="007E28FB"/>
    <w:rsid w:val="007E3562"/>
    <w:rsid w:val="007E41B3"/>
    <w:rsid w:val="007E5F01"/>
    <w:rsid w:val="007E7864"/>
    <w:rsid w:val="007F08CA"/>
    <w:rsid w:val="007F0E52"/>
    <w:rsid w:val="007F14BA"/>
    <w:rsid w:val="007F2863"/>
    <w:rsid w:val="007F3448"/>
    <w:rsid w:val="007F3B6E"/>
    <w:rsid w:val="007F4E8E"/>
    <w:rsid w:val="007F4F85"/>
    <w:rsid w:val="007F6BA4"/>
    <w:rsid w:val="008002FB"/>
    <w:rsid w:val="00800D9A"/>
    <w:rsid w:val="0080192F"/>
    <w:rsid w:val="008036CA"/>
    <w:rsid w:val="008058E8"/>
    <w:rsid w:val="00805BF4"/>
    <w:rsid w:val="00806434"/>
    <w:rsid w:val="00810D10"/>
    <w:rsid w:val="00811E84"/>
    <w:rsid w:val="008123B4"/>
    <w:rsid w:val="008130C4"/>
    <w:rsid w:val="00813288"/>
    <w:rsid w:val="00813699"/>
    <w:rsid w:val="00821A29"/>
    <w:rsid w:val="00822172"/>
    <w:rsid w:val="00822523"/>
    <w:rsid w:val="0082253E"/>
    <w:rsid w:val="00822D2A"/>
    <w:rsid w:val="00823233"/>
    <w:rsid w:val="00823343"/>
    <w:rsid w:val="00823542"/>
    <w:rsid w:val="00824426"/>
    <w:rsid w:val="0082447D"/>
    <w:rsid w:val="00826F69"/>
    <w:rsid w:val="00830E52"/>
    <w:rsid w:val="00832465"/>
    <w:rsid w:val="008324E3"/>
    <w:rsid w:val="00833934"/>
    <w:rsid w:val="00833C1C"/>
    <w:rsid w:val="00834DD9"/>
    <w:rsid w:val="00836E8D"/>
    <w:rsid w:val="0084058B"/>
    <w:rsid w:val="00842545"/>
    <w:rsid w:val="00842EB8"/>
    <w:rsid w:val="0084396C"/>
    <w:rsid w:val="00843A56"/>
    <w:rsid w:val="00843BE7"/>
    <w:rsid w:val="00844699"/>
    <w:rsid w:val="00845946"/>
    <w:rsid w:val="0084620C"/>
    <w:rsid w:val="00847009"/>
    <w:rsid w:val="008476A0"/>
    <w:rsid w:val="00847FE1"/>
    <w:rsid w:val="00850D4F"/>
    <w:rsid w:val="008520D3"/>
    <w:rsid w:val="00852F38"/>
    <w:rsid w:val="0085448E"/>
    <w:rsid w:val="00854C36"/>
    <w:rsid w:val="00856C34"/>
    <w:rsid w:val="00857BFC"/>
    <w:rsid w:val="0086018E"/>
    <w:rsid w:val="00863EC8"/>
    <w:rsid w:val="00864BCC"/>
    <w:rsid w:val="00865DC1"/>
    <w:rsid w:val="00866EB4"/>
    <w:rsid w:val="00866ED6"/>
    <w:rsid w:val="00870089"/>
    <w:rsid w:val="008738DE"/>
    <w:rsid w:val="008750F9"/>
    <w:rsid w:val="00875341"/>
    <w:rsid w:val="0087536F"/>
    <w:rsid w:val="00877AC0"/>
    <w:rsid w:val="00880A40"/>
    <w:rsid w:val="00880BEE"/>
    <w:rsid w:val="008828F5"/>
    <w:rsid w:val="00883DB9"/>
    <w:rsid w:val="00885F2A"/>
    <w:rsid w:val="00885FC7"/>
    <w:rsid w:val="008869F4"/>
    <w:rsid w:val="008871C0"/>
    <w:rsid w:val="00887220"/>
    <w:rsid w:val="00892280"/>
    <w:rsid w:val="00893AB4"/>
    <w:rsid w:val="00893CF5"/>
    <w:rsid w:val="00893EEF"/>
    <w:rsid w:val="008956FC"/>
    <w:rsid w:val="008957C1"/>
    <w:rsid w:val="008966F7"/>
    <w:rsid w:val="00897519"/>
    <w:rsid w:val="008A0732"/>
    <w:rsid w:val="008A0ADA"/>
    <w:rsid w:val="008A0B98"/>
    <w:rsid w:val="008A0F2C"/>
    <w:rsid w:val="008A0F6D"/>
    <w:rsid w:val="008A1E92"/>
    <w:rsid w:val="008A2327"/>
    <w:rsid w:val="008A2AC5"/>
    <w:rsid w:val="008A3C58"/>
    <w:rsid w:val="008A4880"/>
    <w:rsid w:val="008A52B1"/>
    <w:rsid w:val="008A5A57"/>
    <w:rsid w:val="008A5AB1"/>
    <w:rsid w:val="008A66A9"/>
    <w:rsid w:val="008A6BD5"/>
    <w:rsid w:val="008A79C0"/>
    <w:rsid w:val="008A7E8F"/>
    <w:rsid w:val="008B178D"/>
    <w:rsid w:val="008B1E33"/>
    <w:rsid w:val="008B2361"/>
    <w:rsid w:val="008B2855"/>
    <w:rsid w:val="008B2C77"/>
    <w:rsid w:val="008B2DAC"/>
    <w:rsid w:val="008B4223"/>
    <w:rsid w:val="008B5B32"/>
    <w:rsid w:val="008B74B3"/>
    <w:rsid w:val="008C046D"/>
    <w:rsid w:val="008C2165"/>
    <w:rsid w:val="008C6A35"/>
    <w:rsid w:val="008C714B"/>
    <w:rsid w:val="008D18C1"/>
    <w:rsid w:val="008D1E43"/>
    <w:rsid w:val="008D52A9"/>
    <w:rsid w:val="008D78FF"/>
    <w:rsid w:val="008E0FAE"/>
    <w:rsid w:val="008E1D11"/>
    <w:rsid w:val="008E492A"/>
    <w:rsid w:val="008E5191"/>
    <w:rsid w:val="008E5DDC"/>
    <w:rsid w:val="008E6809"/>
    <w:rsid w:val="008E7E21"/>
    <w:rsid w:val="008F0515"/>
    <w:rsid w:val="008F2F82"/>
    <w:rsid w:val="008F5ADB"/>
    <w:rsid w:val="008F68DB"/>
    <w:rsid w:val="0090341F"/>
    <w:rsid w:val="00910BD5"/>
    <w:rsid w:val="00910C4F"/>
    <w:rsid w:val="00911391"/>
    <w:rsid w:val="009147B0"/>
    <w:rsid w:val="00914DA7"/>
    <w:rsid w:val="0091545C"/>
    <w:rsid w:val="00915F63"/>
    <w:rsid w:val="00916721"/>
    <w:rsid w:val="009171F3"/>
    <w:rsid w:val="009177E9"/>
    <w:rsid w:val="00921D39"/>
    <w:rsid w:val="00921FFF"/>
    <w:rsid w:val="0092289D"/>
    <w:rsid w:val="00925591"/>
    <w:rsid w:val="00925C26"/>
    <w:rsid w:val="00925FF9"/>
    <w:rsid w:val="0092606A"/>
    <w:rsid w:val="009264A2"/>
    <w:rsid w:val="00926789"/>
    <w:rsid w:val="009314A6"/>
    <w:rsid w:val="0093268F"/>
    <w:rsid w:val="009331CF"/>
    <w:rsid w:val="009334AC"/>
    <w:rsid w:val="00934139"/>
    <w:rsid w:val="00935E2D"/>
    <w:rsid w:val="009363AC"/>
    <w:rsid w:val="00941755"/>
    <w:rsid w:val="00941782"/>
    <w:rsid w:val="00942010"/>
    <w:rsid w:val="009425E7"/>
    <w:rsid w:val="0094320A"/>
    <w:rsid w:val="00945B69"/>
    <w:rsid w:val="00951474"/>
    <w:rsid w:val="0095170D"/>
    <w:rsid w:val="00952BAA"/>
    <w:rsid w:val="0095307F"/>
    <w:rsid w:val="00955526"/>
    <w:rsid w:val="0095758E"/>
    <w:rsid w:val="0096006D"/>
    <w:rsid w:val="00960E3B"/>
    <w:rsid w:val="0096360E"/>
    <w:rsid w:val="00963700"/>
    <w:rsid w:val="00966C09"/>
    <w:rsid w:val="009704F0"/>
    <w:rsid w:val="00970D39"/>
    <w:rsid w:val="00970DF0"/>
    <w:rsid w:val="00972D9B"/>
    <w:rsid w:val="00976038"/>
    <w:rsid w:val="00977F3D"/>
    <w:rsid w:val="009813A5"/>
    <w:rsid w:val="00981EB9"/>
    <w:rsid w:val="00982110"/>
    <w:rsid w:val="00982244"/>
    <w:rsid w:val="00982B9F"/>
    <w:rsid w:val="00984441"/>
    <w:rsid w:val="009844CF"/>
    <w:rsid w:val="00984DD8"/>
    <w:rsid w:val="0099085F"/>
    <w:rsid w:val="00991584"/>
    <w:rsid w:val="009917E8"/>
    <w:rsid w:val="009925DB"/>
    <w:rsid w:val="0099312C"/>
    <w:rsid w:val="00993CC9"/>
    <w:rsid w:val="00995E0D"/>
    <w:rsid w:val="00996D48"/>
    <w:rsid w:val="009A1D41"/>
    <w:rsid w:val="009A2988"/>
    <w:rsid w:val="009A3CB6"/>
    <w:rsid w:val="009A5886"/>
    <w:rsid w:val="009A6F74"/>
    <w:rsid w:val="009B1CE9"/>
    <w:rsid w:val="009B2D3A"/>
    <w:rsid w:val="009B376D"/>
    <w:rsid w:val="009B5763"/>
    <w:rsid w:val="009B5B03"/>
    <w:rsid w:val="009B72D3"/>
    <w:rsid w:val="009C0A94"/>
    <w:rsid w:val="009C3F77"/>
    <w:rsid w:val="009C4D84"/>
    <w:rsid w:val="009C5F4B"/>
    <w:rsid w:val="009C6820"/>
    <w:rsid w:val="009C6C81"/>
    <w:rsid w:val="009D1999"/>
    <w:rsid w:val="009D1A63"/>
    <w:rsid w:val="009D26A0"/>
    <w:rsid w:val="009D316D"/>
    <w:rsid w:val="009D34B5"/>
    <w:rsid w:val="009D3628"/>
    <w:rsid w:val="009D4C2A"/>
    <w:rsid w:val="009D512D"/>
    <w:rsid w:val="009D6914"/>
    <w:rsid w:val="009E026B"/>
    <w:rsid w:val="009E1C22"/>
    <w:rsid w:val="009E1C39"/>
    <w:rsid w:val="009E233A"/>
    <w:rsid w:val="009E2481"/>
    <w:rsid w:val="009E2B74"/>
    <w:rsid w:val="009E2BDE"/>
    <w:rsid w:val="009E3515"/>
    <w:rsid w:val="009E4209"/>
    <w:rsid w:val="009E4354"/>
    <w:rsid w:val="009E4DF8"/>
    <w:rsid w:val="009E7E92"/>
    <w:rsid w:val="009F06F5"/>
    <w:rsid w:val="009F1039"/>
    <w:rsid w:val="009F2123"/>
    <w:rsid w:val="009F3631"/>
    <w:rsid w:val="009F3790"/>
    <w:rsid w:val="009F43AA"/>
    <w:rsid w:val="009F7CEB"/>
    <w:rsid w:val="00A01C2C"/>
    <w:rsid w:val="00A029A6"/>
    <w:rsid w:val="00A03684"/>
    <w:rsid w:val="00A03872"/>
    <w:rsid w:val="00A03EB8"/>
    <w:rsid w:val="00A040FD"/>
    <w:rsid w:val="00A0426A"/>
    <w:rsid w:val="00A04C0D"/>
    <w:rsid w:val="00A0794A"/>
    <w:rsid w:val="00A07A7F"/>
    <w:rsid w:val="00A10EB4"/>
    <w:rsid w:val="00A11A1A"/>
    <w:rsid w:val="00A11C2A"/>
    <w:rsid w:val="00A12106"/>
    <w:rsid w:val="00A127CA"/>
    <w:rsid w:val="00A12983"/>
    <w:rsid w:val="00A13817"/>
    <w:rsid w:val="00A13B12"/>
    <w:rsid w:val="00A13F93"/>
    <w:rsid w:val="00A14327"/>
    <w:rsid w:val="00A177AE"/>
    <w:rsid w:val="00A20B1A"/>
    <w:rsid w:val="00A22A39"/>
    <w:rsid w:val="00A23612"/>
    <w:rsid w:val="00A25023"/>
    <w:rsid w:val="00A32FB3"/>
    <w:rsid w:val="00A417EA"/>
    <w:rsid w:val="00A41E5D"/>
    <w:rsid w:val="00A43E96"/>
    <w:rsid w:val="00A44E96"/>
    <w:rsid w:val="00A47C97"/>
    <w:rsid w:val="00A51DC1"/>
    <w:rsid w:val="00A535FB"/>
    <w:rsid w:val="00A538C9"/>
    <w:rsid w:val="00A55B31"/>
    <w:rsid w:val="00A60361"/>
    <w:rsid w:val="00A62805"/>
    <w:rsid w:val="00A6374D"/>
    <w:rsid w:val="00A660D0"/>
    <w:rsid w:val="00A66401"/>
    <w:rsid w:val="00A70BA5"/>
    <w:rsid w:val="00A72A3F"/>
    <w:rsid w:val="00A73C04"/>
    <w:rsid w:val="00A80132"/>
    <w:rsid w:val="00A801D6"/>
    <w:rsid w:val="00A81F82"/>
    <w:rsid w:val="00A828ED"/>
    <w:rsid w:val="00A83579"/>
    <w:rsid w:val="00A841B0"/>
    <w:rsid w:val="00A85A2B"/>
    <w:rsid w:val="00A869A2"/>
    <w:rsid w:val="00A86CF5"/>
    <w:rsid w:val="00A90486"/>
    <w:rsid w:val="00A932D4"/>
    <w:rsid w:val="00A93543"/>
    <w:rsid w:val="00A94EFC"/>
    <w:rsid w:val="00A95C60"/>
    <w:rsid w:val="00A9689D"/>
    <w:rsid w:val="00A9768B"/>
    <w:rsid w:val="00AA1681"/>
    <w:rsid w:val="00AA2FA1"/>
    <w:rsid w:val="00AA51C1"/>
    <w:rsid w:val="00AA6156"/>
    <w:rsid w:val="00AA73AC"/>
    <w:rsid w:val="00AA76EE"/>
    <w:rsid w:val="00AA77E7"/>
    <w:rsid w:val="00AA7B77"/>
    <w:rsid w:val="00AB0C35"/>
    <w:rsid w:val="00AB187A"/>
    <w:rsid w:val="00AB2B67"/>
    <w:rsid w:val="00AB2D91"/>
    <w:rsid w:val="00AB30D8"/>
    <w:rsid w:val="00AB3B7A"/>
    <w:rsid w:val="00AB3CB5"/>
    <w:rsid w:val="00AB3CD6"/>
    <w:rsid w:val="00AB4334"/>
    <w:rsid w:val="00AB5128"/>
    <w:rsid w:val="00AB514A"/>
    <w:rsid w:val="00AB57CB"/>
    <w:rsid w:val="00AB5ADF"/>
    <w:rsid w:val="00AB738F"/>
    <w:rsid w:val="00AB782E"/>
    <w:rsid w:val="00AB7C3C"/>
    <w:rsid w:val="00AC0165"/>
    <w:rsid w:val="00AC020E"/>
    <w:rsid w:val="00AC50E3"/>
    <w:rsid w:val="00AC557E"/>
    <w:rsid w:val="00AC59C2"/>
    <w:rsid w:val="00AC5AA7"/>
    <w:rsid w:val="00AC6B2F"/>
    <w:rsid w:val="00AC7924"/>
    <w:rsid w:val="00AD175F"/>
    <w:rsid w:val="00AD1EF6"/>
    <w:rsid w:val="00AD1F01"/>
    <w:rsid w:val="00AD2C00"/>
    <w:rsid w:val="00AD4EB5"/>
    <w:rsid w:val="00AD51C9"/>
    <w:rsid w:val="00AD55E9"/>
    <w:rsid w:val="00AD6670"/>
    <w:rsid w:val="00AD690F"/>
    <w:rsid w:val="00AD7685"/>
    <w:rsid w:val="00AD7FDE"/>
    <w:rsid w:val="00AE0497"/>
    <w:rsid w:val="00AE0A2C"/>
    <w:rsid w:val="00AE0EE7"/>
    <w:rsid w:val="00AE2A68"/>
    <w:rsid w:val="00AE331B"/>
    <w:rsid w:val="00AE3E96"/>
    <w:rsid w:val="00AE4571"/>
    <w:rsid w:val="00AE513E"/>
    <w:rsid w:val="00AE540E"/>
    <w:rsid w:val="00AE7AA8"/>
    <w:rsid w:val="00AE7DF0"/>
    <w:rsid w:val="00AF0DF9"/>
    <w:rsid w:val="00AF1528"/>
    <w:rsid w:val="00AF2EEB"/>
    <w:rsid w:val="00AF3935"/>
    <w:rsid w:val="00AF41E5"/>
    <w:rsid w:val="00AF4BE4"/>
    <w:rsid w:val="00AF5C77"/>
    <w:rsid w:val="00B02E3C"/>
    <w:rsid w:val="00B02EC7"/>
    <w:rsid w:val="00B031C9"/>
    <w:rsid w:val="00B03AB0"/>
    <w:rsid w:val="00B03E4B"/>
    <w:rsid w:val="00B05A6C"/>
    <w:rsid w:val="00B06040"/>
    <w:rsid w:val="00B06CA7"/>
    <w:rsid w:val="00B10C96"/>
    <w:rsid w:val="00B11488"/>
    <w:rsid w:val="00B11EA0"/>
    <w:rsid w:val="00B134F9"/>
    <w:rsid w:val="00B14432"/>
    <w:rsid w:val="00B173DD"/>
    <w:rsid w:val="00B17FDB"/>
    <w:rsid w:val="00B209FA"/>
    <w:rsid w:val="00B20D9E"/>
    <w:rsid w:val="00B21312"/>
    <w:rsid w:val="00B21BB1"/>
    <w:rsid w:val="00B24AD7"/>
    <w:rsid w:val="00B24C4C"/>
    <w:rsid w:val="00B25BC9"/>
    <w:rsid w:val="00B25D68"/>
    <w:rsid w:val="00B26333"/>
    <w:rsid w:val="00B2777B"/>
    <w:rsid w:val="00B32B1F"/>
    <w:rsid w:val="00B341EC"/>
    <w:rsid w:val="00B374AF"/>
    <w:rsid w:val="00B40269"/>
    <w:rsid w:val="00B435C0"/>
    <w:rsid w:val="00B46D55"/>
    <w:rsid w:val="00B501F7"/>
    <w:rsid w:val="00B51230"/>
    <w:rsid w:val="00B5174E"/>
    <w:rsid w:val="00B535D4"/>
    <w:rsid w:val="00B539FB"/>
    <w:rsid w:val="00B54331"/>
    <w:rsid w:val="00B55CA5"/>
    <w:rsid w:val="00B55ECD"/>
    <w:rsid w:val="00B6009F"/>
    <w:rsid w:val="00B60A24"/>
    <w:rsid w:val="00B60EFB"/>
    <w:rsid w:val="00B61873"/>
    <w:rsid w:val="00B6367E"/>
    <w:rsid w:val="00B63B06"/>
    <w:rsid w:val="00B63FA0"/>
    <w:rsid w:val="00B6488B"/>
    <w:rsid w:val="00B66C37"/>
    <w:rsid w:val="00B67119"/>
    <w:rsid w:val="00B70091"/>
    <w:rsid w:val="00B70CA8"/>
    <w:rsid w:val="00B71675"/>
    <w:rsid w:val="00B71B62"/>
    <w:rsid w:val="00B71E1E"/>
    <w:rsid w:val="00B71E3F"/>
    <w:rsid w:val="00B7397D"/>
    <w:rsid w:val="00B75BC0"/>
    <w:rsid w:val="00B7796D"/>
    <w:rsid w:val="00B77F60"/>
    <w:rsid w:val="00B80B83"/>
    <w:rsid w:val="00B81303"/>
    <w:rsid w:val="00B81A5A"/>
    <w:rsid w:val="00B8287D"/>
    <w:rsid w:val="00B83569"/>
    <w:rsid w:val="00B8367D"/>
    <w:rsid w:val="00B84582"/>
    <w:rsid w:val="00B8566E"/>
    <w:rsid w:val="00B860B0"/>
    <w:rsid w:val="00B863A0"/>
    <w:rsid w:val="00B915D3"/>
    <w:rsid w:val="00B91745"/>
    <w:rsid w:val="00B9185F"/>
    <w:rsid w:val="00B92BCC"/>
    <w:rsid w:val="00B97C60"/>
    <w:rsid w:val="00BA01AB"/>
    <w:rsid w:val="00BA3306"/>
    <w:rsid w:val="00BA3B2E"/>
    <w:rsid w:val="00BA3B38"/>
    <w:rsid w:val="00BA73EE"/>
    <w:rsid w:val="00BB0783"/>
    <w:rsid w:val="00BB0E25"/>
    <w:rsid w:val="00BB1597"/>
    <w:rsid w:val="00BB33EC"/>
    <w:rsid w:val="00BB753E"/>
    <w:rsid w:val="00BC1FDF"/>
    <w:rsid w:val="00BC20CD"/>
    <w:rsid w:val="00BC420D"/>
    <w:rsid w:val="00BC57ED"/>
    <w:rsid w:val="00BC5829"/>
    <w:rsid w:val="00BC6231"/>
    <w:rsid w:val="00BC6D37"/>
    <w:rsid w:val="00BC7FCB"/>
    <w:rsid w:val="00BD03EC"/>
    <w:rsid w:val="00BD3024"/>
    <w:rsid w:val="00BD4B10"/>
    <w:rsid w:val="00BD4BDF"/>
    <w:rsid w:val="00BD5590"/>
    <w:rsid w:val="00BD6341"/>
    <w:rsid w:val="00BD66A4"/>
    <w:rsid w:val="00BD73E3"/>
    <w:rsid w:val="00BE03A7"/>
    <w:rsid w:val="00BE1828"/>
    <w:rsid w:val="00BE2D2E"/>
    <w:rsid w:val="00BE3CAA"/>
    <w:rsid w:val="00BE3E5F"/>
    <w:rsid w:val="00BE3E8B"/>
    <w:rsid w:val="00BE583A"/>
    <w:rsid w:val="00BF0402"/>
    <w:rsid w:val="00BF0E08"/>
    <w:rsid w:val="00BF22C3"/>
    <w:rsid w:val="00BF3DB6"/>
    <w:rsid w:val="00BF44CA"/>
    <w:rsid w:val="00BF591B"/>
    <w:rsid w:val="00BF6A73"/>
    <w:rsid w:val="00BF6C11"/>
    <w:rsid w:val="00BF750C"/>
    <w:rsid w:val="00C03856"/>
    <w:rsid w:val="00C043D8"/>
    <w:rsid w:val="00C057F1"/>
    <w:rsid w:val="00C05EE9"/>
    <w:rsid w:val="00C06418"/>
    <w:rsid w:val="00C06633"/>
    <w:rsid w:val="00C06F50"/>
    <w:rsid w:val="00C07035"/>
    <w:rsid w:val="00C07417"/>
    <w:rsid w:val="00C07BBA"/>
    <w:rsid w:val="00C104C2"/>
    <w:rsid w:val="00C11033"/>
    <w:rsid w:val="00C11BF7"/>
    <w:rsid w:val="00C12078"/>
    <w:rsid w:val="00C121FA"/>
    <w:rsid w:val="00C12B16"/>
    <w:rsid w:val="00C154C8"/>
    <w:rsid w:val="00C16B21"/>
    <w:rsid w:val="00C16CE9"/>
    <w:rsid w:val="00C16D32"/>
    <w:rsid w:val="00C16D78"/>
    <w:rsid w:val="00C21365"/>
    <w:rsid w:val="00C21777"/>
    <w:rsid w:val="00C2317A"/>
    <w:rsid w:val="00C23FEA"/>
    <w:rsid w:val="00C26CC7"/>
    <w:rsid w:val="00C3028F"/>
    <w:rsid w:val="00C30E95"/>
    <w:rsid w:val="00C316C2"/>
    <w:rsid w:val="00C317F3"/>
    <w:rsid w:val="00C33C22"/>
    <w:rsid w:val="00C355BF"/>
    <w:rsid w:val="00C44A01"/>
    <w:rsid w:val="00C44C37"/>
    <w:rsid w:val="00C464C1"/>
    <w:rsid w:val="00C46AE5"/>
    <w:rsid w:val="00C47654"/>
    <w:rsid w:val="00C47E8E"/>
    <w:rsid w:val="00C47F01"/>
    <w:rsid w:val="00C51759"/>
    <w:rsid w:val="00C52ACF"/>
    <w:rsid w:val="00C549DC"/>
    <w:rsid w:val="00C554DD"/>
    <w:rsid w:val="00C57E4D"/>
    <w:rsid w:val="00C607D6"/>
    <w:rsid w:val="00C60D10"/>
    <w:rsid w:val="00C6181D"/>
    <w:rsid w:val="00C61B13"/>
    <w:rsid w:val="00C626E2"/>
    <w:rsid w:val="00C628C8"/>
    <w:rsid w:val="00C633C6"/>
    <w:rsid w:val="00C63463"/>
    <w:rsid w:val="00C71EF8"/>
    <w:rsid w:val="00C74537"/>
    <w:rsid w:val="00C7519E"/>
    <w:rsid w:val="00C76395"/>
    <w:rsid w:val="00C771F9"/>
    <w:rsid w:val="00C77CF9"/>
    <w:rsid w:val="00C812AC"/>
    <w:rsid w:val="00C81A12"/>
    <w:rsid w:val="00C820E4"/>
    <w:rsid w:val="00C8278F"/>
    <w:rsid w:val="00C82E78"/>
    <w:rsid w:val="00C8379E"/>
    <w:rsid w:val="00C83B9D"/>
    <w:rsid w:val="00C8447B"/>
    <w:rsid w:val="00C846BE"/>
    <w:rsid w:val="00C85CEE"/>
    <w:rsid w:val="00C87A70"/>
    <w:rsid w:val="00C87C4E"/>
    <w:rsid w:val="00C9084A"/>
    <w:rsid w:val="00C90FC2"/>
    <w:rsid w:val="00C91BCE"/>
    <w:rsid w:val="00C963DE"/>
    <w:rsid w:val="00C967B1"/>
    <w:rsid w:val="00C97F51"/>
    <w:rsid w:val="00CA0747"/>
    <w:rsid w:val="00CA0C26"/>
    <w:rsid w:val="00CA0F8C"/>
    <w:rsid w:val="00CA34E9"/>
    <w:rsid w:val="00CA5507"/>
    <w:rsid w:val="00CA71F0"/>
    <w:rsid w:val="00CB07A8"/>
    <w:rsid w:val="00CB0A4D"/>
    <w:rsid w:val="00CB14A1"/>
    <w:rsid w:val="00CB2D46"/>
    <w:rsid w:val="00CB5389"/>
    <w:rsid w:val="00CB6193"/>
    <w:rsid w:val="00CB76E3"/>
    <w:rsid w:val="00CC00DD"/>
    <w:rsid w:val="00CC0C0F"/>
    <w:rsid w:val="00CC10E1"/>
    <w:rsid w:val="00CC2403"/>
    <w:rsid w:val="00CC464E"/>
    <w:rsid w:val="00CD0EDE"/>
    <w:rsid w:val="00CD12E3"/>
    <w:rsid w:val="00CD1E11"/>
    <w:rsid w:val="00CD26D0"/>
    <w:rsid w:val="00CD2B90"/>
    <w:rsid w:val="00CD394E"/>
    <w:rsid w:val="00CD3CDE"/>
    <w:rsid w:val="00CD47BB"/>
    <w:rsid w:val="00CD6327"/>
    <w:rsid w:val="00CD6D11"/>
    <w:rsid w:val="00CE0CEC"/>
    <w:rsid w:val="00CE246F"/>
    <w:rsid w:val="00CE2B78"/>
    <w:rsid w:val="00CE3666"/>
    <w:rsid w:val="00CE428C"/>
    <w:rsid w:val="00CE4581"/>
    <w:rsid w:val="00CE5A27"/>
    <w:rsid w:val="00CE6D98"/>
    <w:rsid w:val="00CE74A3"/>
    <w:rsid w:val="00CE7A69"/>
    <w:rsid w:val="00CF0834"/>
    <w:rsid w:val="00CF1A8D"/>
    <w:rsid w:val="00CF5417"/>
    <w:rsid w:val="00CF72AF"/>
    <w:rsid w:val="00D005B5"/>
    <w:rsid w:val="00D00F56"/>
    <w:rsid w:val="00D02914"/>
    <w:rsid w:val="00D030D6"/>
    <w:rsid w:val="00D034DD"/>
    <w:rsid w:val="00D03D0C"/>
    <w:rsid w:val="00D0427E"/>
    <w:rsid w:val="00D043AA"/>
    <w:rsid w:val="00D04952"/>
    <w:rsid w:val="00D06A16"/>
    <w:rsid w:val="00D06D32"/>
    <w:rsid w:val="00D1078F"/>
    <w:rsid w:val="00D10E60"/>
    <w:rsid w:val="00D12CD2"/>
    <w:rsid w:val="00D14695"/>
    <w:rsid w:val="00D14D23"/>
    <w:rsid w:val="00D1568C"/>
    <w:rsid w:val="00D159AE"/>
    <w:rsid w:val="00D15D8B"/>
    <w:rsid w:val="00D16032"/>
    <w:rsid w:val="00D16ECB"/>
    <w:rsid w:val="00D17984"/>
    <w:rsid w:val="00D20B0B"/>
    <w:rsid w:val="00D2140C"/>
    <w:rsid w:val="00D2308C"/>
    <w:rsid w:val="00D24DAD"/>
    <w:rsid w:val="00D25708"/>
    <w:rsid w:val="00D25916"/>
    <w:rsid w:val="00D26AF4"/>
    <w:rsid w:val="00D329B6"/>
    <w:rsid w:val="00D329E6"/>
    <w:rsid w:val="00D37972"/>
    <w:rsid w:val="00D4017F"/>
    <w:rsid w:val="00D40334"/>
    <w:rsid w:val="00D40896"/>
    <w:rsid w:val="00D41534"/>
    <w:rsid w:val="00D41E98"/>
    <w:rsid w:val="00D43D5D"/>
    <w:rsid w:val="00D450F4"/>
    <w:rsid w:val="00D451FC"/>
    <w:rsid w:val="00D45A12"/>
    <w:rsid w:val="00D45EE4"/>
    <w:rsid w:val="00D47621"/>
    <w:rsid w:val="00D50D56"/>
    <w:rsid w:val="00D520A8"/>
    <w:rsid w:val="00D52223"/>
    <w:rsid w:val="00D5279C"/>
    <w:rsid w:val="00D542F8"/>
    <w:rsid w:val="00D63C48"/>
    <w:rsid w:val="00D64289"/>
    <w:rsid w:val="00D6560C"/>
    <w:rsid w:val="00D6599C"/>
    <w:rsid w:val="00D66023"/>
    <w:rsid w:val="00D6667B"/>
    <w:rsid w:val="00D67AD4"/>
    <w:rsid w:val="00D71400"/>
    <w:rsid w:val="00D714EA"/>
    <w:rsid w:val="00D725EF"/>
    <w:rsid w:val="00D72C23"/>
    <w:rsid w:val="00D72F8E"/>
    <w:rsid w:val="00D74805"/>
    <w:rsid w:val="00D74E6A"/>
    <w:rsid w:val="00D76657"/>
    <w:rsid w:val="00D8435D"/>
    <w:rsid w:val="00D8560D"/>
    <w:rsid w:val="00D857D8"/>
    <w:rsid w:val="00D910BF"/>
    <w:rsid w:val="00D9289D"/>
    <w:rsid w:val="00D92AD3"/>
    <w:rsid w:val="00D93B69"/>
    <w:rsid w:val="00D94FF0"/>
    <w:rsid w:val="00D95394"/>
    <w:rsid w:val="00D95B4B"/>
    <w:rsid w:val="00D967D7"/>
    <w:rsid w:val="00D970E7"/>
    <w:rsid w:val="00D977ED"/>
    <w:rsid w:val="00DA032B"/>
    <w:rsid w:val="00DA0456"/>
    <w:rsid w:val="00DA11CA"/>
    <w:rsid w:val="00DA2551"/>
    <w:rsid w:val="00DA25CA"/>
    <w:rsid w:val="00DA3298"/>
    <w:rsid w:val="00DA431E"/>
    <w:rsid w:val="00DA55BB"/>
    <w:rsid w:val="00DA73EE"/>
    <w:rsid w:val="00DB2190"/>
    <w:rsid w:val="00DB26A5"/>
    <w:rsid w:val="00DB451D"/>
    <w:rsid w:val="00DB45F5"/>
    <w:rsid w:val="00DB4A6F"/>
    <w:rsid w:val="00DB57F7"/>
    <w:rsid w:val="00DB5E5D"/>
    <w:rsid w:val="00DB6F47"/>
    <w:rsid w:val="00DC1743"/>
    <w:rsid w:val="00DC1F73"/>
    <w:rsid w:val="00DC34D0"/>
    <w:rsid w:val="00DC4CC9"/>
    <w:rsid w:val="00DC6077"/>
    <w:rsid w:val="00DC71EC"/>
    <w:rsid w:val="00DC76F7"/>
    <w:rsid w:val="00DC7746"/>
    <w:rsid w:val="00DD021F"/>
    <w:rsid w:val="00DD06C2"/>
    <w:rsid w:val="00DD0E7B"/>
    <w:rsid w:val="00DD2706"/>
    <w:rsid w:val="00DD2E4C"/>
    <w:rsid w:val="00DD3049"/>
    <w:rsid w:val="00DD4945"/>
    <w:rsid w:val="00DD6DF6"/>
    <w:rsid w:val="00DE0F21"/>
    <w:rsid w:val="00DE2B73"/>
    <w:rsid w:val="00DE2CD4"/>
    <w:rsid w:val="00DE30E2"/>
    <w:rsid w:val="00DE31BB"/>
    <w:rsid w:val="00DE3A9A"/>
    <w:rsid w:val="00DE4FCD"/>
    <w:rsid w:val="00DE5057"/>
    <w:rsid w:val="00DE6421"/>
    <w:rsid w:val="00DF0856"/>
    <w:rsid w:val="00DF16C0"/>
    <w:rsid w:val="00DF1BE8"/>
    <w:rsid w:val="00DF3919"/>
    <w:rsid w:val="00DF548B"/>
    <w:rsid w:val="00DF59CF"/>
    <w:rsid w:val="00DF6748"/>
    <w:rsid w:val="00E006FB"/>
    <w:rsid w:val="00E00CBD"/>
    <w:rsid w:val="00E01383"/>
    <w:rsid w:val="00E01D29"/>
    <w:rsid w:val="00E0314E"/>
    <w:rsid w:val="00E05FBC"/>
    <w:rsid w:val="00E07777"/>
    <w:rsid w:val="00E0779F"/>
    <w:rsid w:val="00E10309"/>
    <w:rsid w:val="00E10B7D"/>
    <w:rsid w:val="00E12CA1"/>
    <w:rsid w:val="00E17ADA"/>
    <w:rsid w:val="00E21F0B"/>
    <w:rsid w:val="00E227EA"/>
    <w:rsid w:val="00E22A52"/>
    <w:rsid w:val="00E23660"/>
    <w:rsid w:val="00E24C4C"/>
    <w:rsid w:val="00E2761D"/>
    <w:rsid w:val="00E27D3E"/>
    <w:rsid w:val="00E311E2"/>
    <w:rsid w:val="00E31A1E"/>
    <w:rsid w:val="00E32723"/>
    <w:rsid w:val="00E34484"/>
    <w:rsid w:val="00E34858"/>
    <w:rsid w:val="00E3590B"/>
    <w:rsid w:val="00E37424"/>
    <w:rsid w:val="00E37DCB"/>
    <w:rsid w:val="00E4041E"/>
    <w:rsid w:val="00E420DC"/>
    <w:rsid w:val="00E4473A"/>
    <w:rsid w:val="00E45180"/>
    <w:rsid w:val="00E45305"/>
    <w:rsid w:val="00E4634C"/>
    <w:rsid w:val="00E46AC9"/>
    <w:rsid w:val="00E50AB4"/>
    <w:rsid w:val="00E53DB6"/>
    <w:rsid w:val="00E54FB3"/>
    <w:rsid w:val="00E55904"/>
    <w:rsid w:val="00E55E72"/>
    <w:rsid w:val="00E561DA"/>
    <w:rsid w:val="00E56A84"/>
    <w:rsid w:val="00E576B1"/>
    <w:rsid w:val="00E60008"/>
    <w:rsid w:val="00E61235"/>
    <w:rsid w:val="00E61C9E"/>
    <w:rsid w:val="00E62789"/>
    <w:rsid w:val="00E6491F"/>
    <w:rsid w:val="00E66614"/>
    <w:rsid w:val="00E676CF"/>
    <w:rsid w:val="00E6787A"/>
    <w:rsid w:val="00E702AA"/>
    <w:rsid w:val="00E70D43"/>
    <w:rsid w:val="00E712EA"/>
    <w:rsid w:val="00E752A9"/>
    <w:rsid w:val="00E766AB"/>
    <w:rsid w:val="00E7679D"/>
    <w:rsid w:val="00E773DF"/>
    <w:rsid w:val="00E77EF7"/>
    <w:rsid w:val="00E8269B"/>
    <w:rsid w:val="00E86C21"/>
    <w:rsid w:val="00E86FC9"/>
    <w:rsid w:val="00E8719A"/>
    <w:rsid w:val="00E8737C"/>
    <w:rsid w:val="00E91377"/>
    <w:rsid w:val="00E92B58"/>
    <w:rsid w:val="00E930FA"/>
    <w:rsid w:val="00E95F06"/>
    <w:rsid w:val="00EA0609"/>
    <w:rsid w:val="00EA1B29"/>
    <w:rsid w:val="00EA204D"/>
    <w:rsid w:val="00EA20D9"/>
    <w:rsid w:val="00EA66E6"/>
    <w:rsid w:val="00EA6E54"/>
    <w:rsid w:val="00EB34A6"/>
    <w:rsid w:val="00EB3D0A"/>
    <w:rsid w:val="00EB3F3E"/>
    <w:rsid w:val="00EB426B"/>
    <w:rsid w:val="00EB5E6D"/>
    <w:rsid w:val="00EC2ACB"/>
    <w:rsid w:val="00EC4DD5"/>
    <w:rsid w:val="00EC518F"/>
    <w:rsid w:val="00EC6527"/>
    <w:rsid w:val="00EC691D"/>
    <w:rsid w:val="00ED2982"/>
    <w:rsid w:val="00ED2B37"/>
    <w:rsid w:val="00ED2E15"/>
    <w:rsid w:val="00ED512C"/>
    <w:rsid w:val="00ED5879"/>
    <w:rsid w:val="00ED6FBC"/>
    <w:rsid w:val="00ED7476"/>
    <w:rsid w:val="00EE1C5D"/>
    <w:rsid w:val="00EE479F"/>
    <w:rsid w:val="00EE691F"/>
    <w:rsid w:val="00EF25ED"/>
    <w:rsid w:val="00EF3278"/>
    <w:rsid w:val="00EF42E2"/>
    <w:rsid w:val="00EF5D52"/>
    <w:rsid w:val="00F04646"/>
    <w:rsid w:val="00F046B4"/>
    <w:rsid w:val="00F049EC"/>
    <w:rsid w:val="00F04BED"/>
    <w:rsid w:val="00F0515F"/>
    <w:rsid w:val="00F065ED"/>
    <w:rsid w:val="00F070C2"/>
    <w:rsid w:val="00F107AA"/>
    <w:rsid w:val="00F10D59"/>
    <w:rsid w:val="00F1305D"/>
    <w:rsid w:val="00F13810"/>
    <w:rsid w:val="00F14D3C"/>
    <w:rsid w:val="00F16FCF"/>
    <w:rsid w:val="00F17C29"/>
    <w:rsid w:val="00F20E97"/>
    <w:rsid w:val="00F250E1"/>
    <w:rsid w:val="00F26B4B"/>
    <w:rsid w:val="00F2706C"/>
    <w:rsid w:val="00F3094A"/>
    <w:rsid w:val="00F32D23"/>
    <w:rsid w:val="00F339C0"/>
    <w:rsid w:val="00F35AD0"/>
    <w:rsid w:val="00F35D50"/>
    <w:rsid w:val="00F36480"/>
    <w:rsid w:val="00F37A04"/>
    <w:rsid w:val="00F4186C"/>
    <w:rsid w:val="00F419C5"/>
    <w:rsid w:val="00F43334"/>
    <w:rsid w:val="00F44EFB"/>
    <w:rsid w:val="00F45CC6"/>
    <w:rsid w:val="00F47EFE"/>
    <w:rsid w:val="00F5164F"/>
    <w:rsid w:val="00F51A13"/>
    <w:rsid w:val="00F52F58"/>
    <w:rsid w:val="00F53A01"/>
    <w:rsid w:val="00F54008"/>
    <w:rsid w:val="00F54859"/>
    <w:rsid w:val="00F54B87"/>
    <w:rsid w:val="00F56314"/>
    <w:rsid w:val="00F5640E"/>
    <w:rsid w:val="00F57CF1"/>
    <w:rsid w:val="00F64371"/>
    <w:rsid w:val="00F64DBD"/>
    <w:rsid w:val="00F659C1"/>
    <w:rsid w:val="00F6704E"/>
    <w:rsid w:val="00F6721E"/>
    <w:rsid w:val="00F67A71"/>
    <w:rsid w:val="00F700FA"/>
    <w:rsid w:val="00F72B42"/>
    <w:rsid w:val="00F733F3"/>
    <w:rsid w:val="00F73A39"/>
    <w:rsid w:val="00F75D3A"/>
    <w:rsid w:val="00F763E6"/>
    <w:rsid w:val="00F76AAC"/>
    <w:rsid w:val="00F77062"/>
    <w:rsid w:val="00F77B22"/>
    <w:rsid w:val="00F80139"/>
    <w:rsid w:val="00F80F3C"/>
    <w:rsid w:val="00F81B65"/>
    <w:rsid w:val="00F86A91"/>
    <w:rsid w:val="00F875CE"/>
    <w:rsid w:val="00F87C31"/>
    <w:rsid w:val="00F914F2"/>
    <w:rsid w:val="00F9212E"/>
    <w:rsid w:val="00F92950"/>
    <w:rsid w:val="00F93859"/>
    <w:rsid w:val="00F94367"/>
    <w:rsid w:val="00F9496C"/>
    <w:rsid w:val="00F94BB3"/>
    <w:rsid w:val="00F952BC"/>
    <w:rsid w:val="00F95537"/>
    <w:rsid w:val="00F95CFB"/>
    <w:rsid w:val="00F9654D"/>
    <w:rsid w:val="00F9783F"/>
    <w:rsid w:val="00FA0329"/>
    <w:rsid w:val="00FA11BB"/>
    <w:rsid w:val="00FA2BA7"/>
    <w:rsid w:val="00FA2DFF"/>
    <w:rsid w:val="00FA37F7"/>
    <w:rsid w:val="00FA73C2"/>
    <w:rsid w:val="00FA76BC"/>
    <w:rsid w:val="00FB0511"/>
    <w:rsid w:val="00FB2CC2"/>
    <w:rsid w:val="00FB366A"/>
    <w:rsid w:val="00FB57DB"/>
    <w:rsid w:val="00FB6238"/>
    <w:rsid w:val="00FC06E3"/>
    <w:rsid w:val="00FC0849"/>
    <w:rsid w:val="00FC1355"/>
    <w:rsid w:val="00FC1C80"/>
    <w:rsid w:val="00FC22AB"/>
    <w:rsid w:val="00FC2DE5"/>
    <w:rsid w:val="00FC3E33"/>
    <w:rsid w:val="00FC4860"/>
    <w:rsid w:val="00FC4D84"/>
    <w:rsid w:val="00FC594B"/>
    <w:rsid w:val="00FC64D7"/>
    <w:rsid w:val="00FC7F09"/>
    <w:rsid w:val="00FD00A1"/>
    <w:rsid w:val="00FD0207"/>
    <w:rsid w:val="00FD052E"/>
    <w:rsid w:val="00FD0DA5"/>
    <w:rsid w:val="00FD1FA2"/>
    <w:rsid w:val="00FD2201"/>
    <w:rsid w:val="00FD2C9D"/>
    <w:rsid w:val="00FD3204"/>
    <w:rsid w:val="00FD629F"/>
    <w:rsid w:val="00FD69C4"/>
    <w:rsid w:val="00FD6CFC"/>
    <w:rsid w:val="00FD7841"/>
    <w:rsid w:val="00FE2431"/>
    <w:rsid w:val="00FE25BD"/>
    <w:rsid w:val="00FE3A45"/>
    <w:rsid w:val="00FE48F6"/>
    <w:rsid w:val="00FE4B84"/>
    <w:rsid w:val="00FE4C58"/>
    <w:rsid w:val="00FE6746"/>
    <w:rsid w:val="00FE739B"/>
    <w:rsid w:val="00FF2550"/>
    <w:rsid w:val="00FF2870"/>
    <w:rsid w:val="00FF3754"/>
    <w:rsid w:val="00FF4AEF"/>
    <w:rsid w:val="00FF4AFD"/>
    <w:rsid w:val="00FF58C5"/>
    <w:rsid w:val="00FF610D"/>
    <w:rsid w:val="00FF7550"/>
    <w:rsid w:val="00FF7F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Note Heading"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0"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D48"/>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2"/>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RTI AMCP Table"/>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6"/>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7"/>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13"/>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customStyle="1" w:styleId="Default">
    <w:name w:val="Default"/>
    <w:rsid w:val="00C633C6"/>
    <w:pPr>
      <w:autoSpaceDE w:val="0"/>
      <w:autoSpaceDN w:val="0"/>
      <w:adjustRightInd w:val="0"/>
      <w:spacing w:after="0" w:line="240" w:lineRule="auto"/>
    </w:pPr>
    <w:rPr>
      <w:rFonts w:ascii="Calibri" w:hAnsi="Calibri" w:cs="Calibri"/>
      <w:color w:val="000000"/>
      <w:sz w:val="24"/>
      <w:szCs w:val="24"/>
      <w:lang w:val="en-US"/>
    </w:rPr>
  </w:style>
  <w:style w:type="character" w:customStyle="1" w:styleId="slug-issue">
    <w:name w:val="slug-issue"/>
    <w:basedOn w:val="DefaultParagraphFont"/>
    <w:rsid w:val="00DA25CA"/>
  </w:style>
  <w:style w:type="paragraph" w:styleId="TableofFigures">
    <w:name w:val="table of figures"/>
    <w:basedOn w:val="Normal"/>
    <w:next w:val="Normal"/>
    <w:uiPriority w:val="99"/>
    <w:unhideWhenUsed/>
    <w:rsid w:val="00A80132"/>
    <w:pPr>
      <w:tabs>
        <w:tab w:val="right" w:leader="dot" w:pos="9016"/>
      </w:tabs>
      <w:spacing w:before="40" w:after="0"/>
      <w:ind w:left="1077" w:hanging="1077"/>
      <w:jc w:val="both"/>
    </w:pPr>
    <w:rPr>
      <w:rFonts w:ascii="Calibri" w:hAnsi="Calibri"/>
      <w:noProof/>
      <w:sz w:val="20"/>
    </w:rPr>
  </w:style>
  <w:style w:type="character" w:customStyle="1" w:styleId="TableTextChar">
    <w:name w:val="Table Text Char"/>
    <w:link w:val="TableText"/>
    <w:rsid w:val="00A80132"/>
    <w:rPr>
      <w:rFonts w:ascii="Arial Narrow" w:hAnsi="Arial Narrow"/>
      <w:sz w:val="20"/>
    </w:rPr>
  </w:style>
  <w:style w:type="table" w:customStyle="1" w:styleId="MSDAustralia">
    <w:name w:val="MSD Australia"/>
    <w:basedOn w:val="TableGrid"/>
    <w:uiPriority w:val="99"/>
    <w:rsid w:val="007C2D7D"/>
    <w:pPr>
      <w:spacing w:before="57"/>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paragraph" w:styleId="NoteHeading">
    <w:name w:val="Note Heading"/>
    <w:aliases w:val="Notes"/>
    <w:basedOn w:val="Normal"/>
    <w:next w:val="Normal"/>
    <w:link w:val="NoteHeadingChar"/>
    <w:uiPriority w:val="99"/>
    <w:unhideWhenUsed/>
    <w:qFormat/>
    <w:rsid w:val="00FF2870"/>
    <w:pPr>
      <w:spacing w:before="0" w:after="200"/>
    </w:pPr>
    <w:rPr>
      <w:rFonts w:ascii="Arial" w:eastAsia="Calibri" w:hAnsi="Arial" w:cs="Times New Roman"/>
      <w:sz w:val="18"/>
      <w:lang w:val="x-none"/>
    </w:rPr>
  </w:style>
  <w:style w:type="character" w:customStyle="1" w:styleId="NoteHeadingChar">
    <w:name w:val="Note Heading Char"/>
    <w:aliases w:val="Notes Char"/>
    <w:basedOn w:val="DefaultParagraphFont"/>
    <w:link w:val="NoteHeading"/>
    <w:uiPriority w:val="99"/>
    <w:rsid w:val="00FF2870"/>
    <w:rPr>
      <w:rFonts w:ascii="Arial" w:eastAsia="Calibri" w:hAnsi="Arial" w:cs="Times New Roman"/>
      <w:sz w:val="18"/>
      <w:lang w:val="x-none"/>
    </w:rPr>
  </w:style>
  <w:style w:type="paragraph" w:customStyle="1" w:styleId="TableNotes1">
    <w:name w:val="Table Notes"/>
    <w:basedOn w:val="Normal"/>
    <w:next w:val="Normal"/>
    <w:qFormat/>
    <w:rsid w:val="00662D40"/>
    <w:pPr>
      <w:keepNext/>
      <w:keepLines/>
      <w:spacing w:before="60" w:after="240"/>
      <w:contextualSpacing/>
    </w:pPr>
    <w:rPr>
      <w:rFonts w:ascii="Arial" w:eastAsia="Times New Roman" w:hAnsi="Arial" w:cs="Times New Roman"/>
      <w:sz w:val="16"/>
      <w:szCs w:val="16"/>
      <w:lang w:eastAsia="en-AU"/>
    </w:rPr>
  </w:style>
  <w:style w:type="table" w:customStyle="1" w:styleId="MSDAustralia1">
    <w:name w:val="MSD Australia1"/>
    <w:basedOn w:val="TableGrid"/>
    <w:uiPriority w:val="99"/>
    <w:rsid w:val="00765DF6"/>
    <w:pPr>
      <w:spacing w:before="57"/>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2">
    <w:name w:val="MSD Australia2"/>
    <w:basedOn w:val="TableGrid"/>
    <w:uiPriority w:val="99"/>
    <w:rsid w:val="00765DF6"/>
    <w:pPr>
      <w:spacing w:before="57"/>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character" w:styleId="PlaceholderText">
    <w:name w:val="Placeholder Text"/>
    <w:basedOn w:val="DefaultParagraphFont"/>
    <w:uiPriority w:val="99"/>
    <w:semiHidden/>
    <w:rsid w:val="000369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Note Heading"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0"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D48"/>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2"/>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RTI AMCP Table"/>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6"/>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7"/>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13"/>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customStyle="1" w:styleId="Default">
    <w:name w:val="Default"/>
    <w:rsid w:val="00C633C6"/>
    <w:pPr>
      <w:autoSpaceDE w:val="0"/>
      <w:autoSpaceDN w:val="0"/>
      <w:adjustRightInd w:val="0"/>
      <w:spacing w:after="0" w:line="240" w:lineRule="auto"/>
    </w:pPr>
    <w:rPr>
      <w:rFonts w:ascii="Calibri" w:hAnsi="Calibri" w:cs="Calibri"/>
      <w:color w:val="000000"/>
      <w:sz w:val="24"/>
      <w:szCs w:val="24"/>
      <w:lang w:val="en-US"/>
    </w:rPr>
  </w:style>
  <w:style w:type="character" w:customStyle="1" w:styleId="slug-issue">
    <w:name w:val="slug-issue"/>
    <w:basedOn w:val="DefaultParagraphFont"/>
    <w:rsid w:val="00DA25CA"/>
  </w:style>
  <w:style w:type="paragraph" w:styleId="TableofFigures">
    <w:name w:val="table of figures"/>
    <w:basedOn w:val="Normal"/>
    <w:next w:val="Normal"/>
    <w:uiPriority w:val="99"/>
    <w:unhideWhenUsed/>
    <w:rsid w:val="00A80132"/>
    <w:pPr>
      <w:tabs>
        <w:tab w:val="right" w:leader="dot" w:pos="9016"/>
      </w:tabs>
      <w:spacing w:before="40" w:after="0"/>
      <w:ind w:left="1077" w:hanging="1077"/>
      <w:jc w:val="both"/>
    </w:pPr>
    <w:rPr>
      <w:rFonts w:ascii="Calibri" w:hAnsi="Calibri"/>
      <w:noProof/>
      <w:sz w:val="20"/>
    </w:rPr>
  </w:style>
  <w:style w:type="character" w:customStyle="1" w:styleId="TableTextChar">
    <w:name w:val="Table Text Char"/>
    <w:link w:val="TableText"/>
    <w:rsid w:val="00A80132"/>
    <w:rPr>
      <w:rFonts w:ascii="Arial Narrow" w:hAnsi="Arial Narrow"/>
      <w:sz w:val="20"/>
    </w:rPr>
  </w:style>
  <w:style w:type="table" w:customStyle="1" w:styleId="MSDAustralia">
    <w:name w:val="MSD Australia"/>
    <w:basedOn w:val="TableGrid"/>
    <w:uiPriority w:val="99"/>
    <w:rsid w:val="007C2D7D"/>
    <w:pPr>
      <w:spacing w:before="57"/>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paragraph" w:styleId="NoteHeading">
    <w:name w:val="Note Heading"/>
    <w:aliases w:val="Notes"/>
    <w:basedOn w:val="Normal"/>
    <w:next w:val="Normal"/>
    <w:link w:val="NoteHeadingChar"/>
    <w:uiPriority w:val="99"/>
    <w:unhideWhenUsed/>
    <w:qFormat/>
    <w:rsid w:val="00FF2870"/>
    <w:pPr>
      <w:spacing w:before="0" w:after="200"/>
    </w:pPr>
    <w:rPr>
      <w:rFonts w:ascii="Arial" w:eastAsia="Calibri" w:hAnsi="Arial" w:cs="Times New Roman"/>
      <w:sz w:val="18"/>
      <w:lang w:val="x-none"/>
    </w:rPr>
  </w:style>
  <w:style w:type="character" w:customStyle="1" w:styleId="NoteHeadingChar">
    <w:name w:val="Note Heading Char"/>
    <w:aliases w:val="Notes Char"/>
    <w:basedOn w:val="DefaultParagraphFont"/>
    <w:link w:val="NoteHeading"/>
    <w:uiPriority w:val="99"/>
    <w:rsid w:val="00FF2870"/>
    <w:rPr>
      <w:rFonts w:ascii="Arial" w:eastAsia="Calibri" w:hAnsi="Arial" w:cs="Times New Roman"/>
      <w:sz w:val="18"/>
      <w:lang w:val="x-none"/>
    </w:rPr>
  </w:style>
  <w:style w:type="paragraph" w:customStyle="1" w:styleId="TableNotes1">
    <w:name w:val="Table Notes"/>
    <w:basedOn w:val="Normal"/>
    <w:next w:val="Normal"/>
    <w:qFormat/>
    <w:rsid w:val="00662D40"/>
    <w:pPr>
      <w:keepNext/>
      <w:keepLines/>
      <w:spacing w:before="60" w:after="240"/>
      <w:contextualSpacing/>
    </w:pPr>
    <w:rPr>
      <w:rFonts w:ascii="Arial" w:eastAsia="Times New Roman" w:hAnsi="Arial" w:cs="Times New Roman"/>
      <w:sz w:val="16"/>
      <w:szCs w:val="16"/>
      <w:lang w:eastAsia="en-AU"/>
    </w:rPr>
  </w:style>
  <w:style w:type="table" w:customStyle="1" w:styleId="MSDAustralia1">
    <w:name w:val="MSD Australia1"/>
    <w:basedOn w:val="TableGrid"/>
    <w:uiPriority w:val="99"/>
    <w:rsid w:val="00765DF6"/>
    <w:pPr>
      <w:spacing w:before="57"/>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2">
    <w:name w:val="MSD Australia2"/>
    <w:basedOn w:val="TableGrid"/>
    <w:uiPriority w:val="99"/>
    <w:rsid w:val="00765DF6"/>
    <w:pPr>
      <w:spacing w:before="57"/>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character" w:styleId="PlaceholderText">
    <w:name w:val="Placeholder Text"/>
    <w:basedOn w:val="DefaultParagraphFont"/>
    <w:uiPriority w:val="99"/>
    <w:semiHidden/>
    <w:rsid w:val="000369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 w:id="20714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9DD7-947C-4AD3-A2DB-8419C04C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10061</Words>
  <Characters>57350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2018-02-20T22:30:00Z</dcterms:created>
  <dcterms:modified xsi:type="dcterms:W3CDTF">2018-02-27T05:31:00Z</dcterms:modified>
</cp:coreProperties>
</file>