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591EA6" w:rsidRDefault="009D2F94" w:rsidP="00103F27">
      <w:pPr>
        <w:ind w:left="992" w:hanging="992"/>
        <w:outlineLvl w:val="0"/>
        <w:rPr>
          <w:sz w:val="36"/>
          <w:szCs w:val="36"/>
        </w:rPr>
      </w:pPr>
      <w:bookmarkStart w:id="0" w:name="_GoBack"/>
      <w:bookmarkEnd w:id="0"/>
      <w:r w:rsidRPr="00591EA6">
        <w:rPr>
          <w:b/>
          <w:sz w:val="36"/>
          <w:szCs w:val="36"/>
        </w:rPr>
        <w:t>6.09</w:t>
      </w:r>
      <w:r w:rsidR="00C317F3" w:rsidRPr="00591EA6">
        <w:rPr>
          <w:b/>
          <w:sz w:val="36"/>
          <w:szCs w:val="36"/>
        </w:rPr>
        <w:tab/>
      </w:r>
      <w:r w:rsidR="006F54B4" w:rsidRPr="00591EA6">
        <w:rPr>
          <w:b/>
          <w:sz w:val="36"/>
          <w:szCs w:val="36"/>
        </w:rPr>
        <w:t>OBINUTUZUMAB</w:t>
      </w:r>
      <w:r w:rsidR="00C317F3" w:rsidRPr="00591EA6">
        <w:rPr>
          <w:b/>
          <w:sz w:val="36"/>
          <w:szCs w:val="36"/>
        </w:rPr>
        <w:t>,</w:t>
      </w:r>
      <w:r w:rsidR="009D4C2A" w:rsidRPr="00591EA6">
        <w:rPr>
          <w:b/>
          <w:sz w:val="36"/>
          <w:szCs w:val="36"/>
        </w:rPr>
        <w:br/>
      </w:r>
      <w:r w:rsidR="006F54B4" w:rsidRPr="00591EA6">
        <w:rPr>
          <w:b/>
          <w:sz w:val="36"/>
          <w:szCs w:val="36"/>
        </w:rPr>
        <w:t>Solution for I.V. infusion 1000 mg in 40 mL</w:t>
      </w:r>
      <w:r w:rsidR="00C317F3" w:rsidRPr="00591EA6">
        <w:rPr>
          <w:b/>
          <w:sz w:val="36"/>
          <w:szCs w:val="36"/>
        </w:rPr>
        <w:t xml:space="preserve">, </w:t>
      </w:r>
      <w:r w:rsidR="009D4C2A" w:rsidRPr="00591EA6">
        <w:rPr>
          <w:b/>
          <w:sz w:val="36"/>
          <w:szCs w:val="36"/>
        </w:rPr>
        <w:br/>
      </w:r>
      <w:r w:rsidR="006F54B4" w:rsidRPr="00591EA6">
        <w:rPr>
          <w:b/>
          <w:sz w:val="36"/>
          <w:szCs w:val="36"/>
        </w:rPr>
        <w:t>G</w:t>
      </w:r>
      <w:r w:rsidR="00482E43">
        <w:rPr>
          <w:b/>
          <w:sz w:val="36"/>
          <w:szCs w:val="36"/>
        </w:rPr>
        <w:t>azyva</w:t>
      </w:r>
      <w:r w:rsidR="006F54B4" w:rsidRPr="00591EA6">
        <w:rPr>
          <w:b/>
          <w:sz w:val="36"/>
          <w:szCs w:val="36"/>
          <w:vertAlign w:val="superscript"/>
        </w:rPr>
        <w:t>®</w:t>
      </w:r>
      <w:r w:rsidR="00C317F3" w:rsidRPr="00591EA6">
        <w:rPr>
          <w:b/>
          <w:sz w:val="36"/>
          <w:szCs w:val="36"/>
        </w:rPr>
        <w:t xml:space="preserve">, </w:t>
      </w:r>
      <w:r w:rsidR="006F54B4" w:rsidRPr="00591EA6">
        <w:rPr>
          <w:b/>
          <w:sz w:val="36"/>
          <w:szCs w:val="36"/>
        </w:rPr>
        <w:t xml:space="preserve">Roche </w:t>
      </w:r>
      <w:r w:rsidR="00482E43">
        <w:rPr>
          <w:b/>
          <w:sz w:val="36"/>
          <w:szCs w:val="36"/>
        </w:rPr>
        <w:t xml:space="preserve">Products </w:t>
      </w:r>
      <w:r w:rsidR="006F54B4" w:rsidRPr="00591EA6">
        <w:rPr>
          <w:b/>
          <w:sz w:val="36"/>
          <w:szCs w:val="36"/>
        </w:rPr>
        <w:t>Pty Ltd</w:t>
      </w:r>
    </w:p>
    <w:p w:rsidR="00C317F3" w:rsidRPr="00591EA6" w:rsidRDefault="00C317F3" w:rsidP="002001C6">
      <w:pPr>
        <w:pStyle w:val="Heading1"/>
        <w:ind w:left="709" w:hanging="709"/>
      </w:pPr>
      <w:bookmarkStart w:id="1" w:name="_Toc413139271"/>
      <w:bookmarkStart w:id="2" w:name="_Toc365635903"/>
      <w:r w:rsidRPr="00591EA6">
        <w:t xml:space="preserve">Purpose of </w:t>
      </w:r>
      <w:r w:rsidR="00661286" w:rsidRPr="00591EA6">
        <w:t>a</w:t>
      </w:r>
      <w:r w:rsidRPr="00591EA6">
        <w:t>pplication</w:t>
      </w:r>
      <w:bookmarkEnd w:id="1"/>
      <w:bookmarkEnd w:id="2"/>
    </w:p>
    <w:p w:rsidR="00C317F3" w:rsidRPr="001D574D" w:rsidRDefault="001F3EEF" w:rsidP="00157984">
      <w:pPr>
        <w:pStyle w:val="ListParagraph"/>
        <w:numPr>
          <w:ilvl w:val="1"/>
          <w:numId w:val="4"/>
        </w:numPr>
        <w:spacing w:before="0" w:after="120"/>
        <w:jc w:val="both"/>
      </w:pPr>
      <w:r w:rsidRPr="001D574D">
        <w:t>Section 100</w:t>
      </w:r>
      <w:r w:rsidR="00C317F3" w:rsidRPr="001D574D">
        <w:t xml:space="preserve"> </w:t>
      </w:r>
      <w:r w:rsidR="00166DFF" w:rsidRPr="001D574D">
        <w:t>Efficient Funding of Chemotherapy</w:t>
      </w:r>
      <w:r w:rsidR="00C317F3" w:rsidRPr="001D574D">
        <w:t xml:space="preserve"> listing for </w:t>
      </w:r>
      <w:r w:rsidR="00166DFF" w:rsidRPr="001D574D">
        <w:t>obinutuzumab</w:t>
      </w:r>
      <w:r w:rsidR="00C317F3" w:rsidRPr="001D574D">
        <w:t xml:space="preserve"> for treatment of </w:t>
      </w:r>
      <w:r w:rsidR="00166DFF" w:rsidRPr="001D574D">
        <w:t>previously untreated advanced follicular lymphoma (stage II bulky or stage III/IV)</w:t>
      </w:r>
      <w:r w:rsidR="00C317F3" w:rsidRPr="001D574D">
        <w:t>.</w:t>
      </w:r>
      <w:r w:rsidR="00A07559">
        <w:t xml:space="preserve"> </w:t>
      </w:r>
      <w:r w:rsidR="00166DFF" w:rsidRPr="001D574D">
        <w:t xml:space="preserve">While obinutuzumab has been considered previously by the PBAC, this is the first submission for </w:t>
      </w:r>
      <w:r w:rsidR="00160996" w:rsidRPr="001D574D">
        <w:t xml:space="preserve">first-line </w:t>
      </w:r>
      <w:r w:rsidR="00166DFF" w:rsidRPr="001D574D">
        <w:t>treatment of advanced follicular lymphoma.</w:t>
      </w:r>
      <w:r w:rsidR="00F419C5" w:rsidRPr="001D574D">
        <w:t xml:space="preserve"> </w:t>
      </w:r>
    </w:p>
    <w:p w:rsidR="00F44EFB" w:rsidRPr="001D574D" w:rsidRDefault="001F3EEF" w:rsidP="00157984">
      <w:pPr>
        <w:pStyle w:val="ListParagraph"/>
        <w:numPr>
          <w:ilvl w:val="1"/>
          <w:numId w:val="4"/>
        </w:numPr>
        <w:spacing w:before="0" w:after="120"/>
        <w:jc w:val="both"/>
      </w:pPr>
      <w:r w:rsidRPr="001D574D">
        <w:t>The submission sought listing on the basis of a cost</w:t>
      </w:r>
      <w:r w:rsidR="005D7D09">
        <w:t>-</w:t>
      </w:r>
      <w:r w:rsidRPr="001D574D">
        <w:t>utility analysis compared to rituximab.</w:t>
      </w:r>
    </w:p>
    <w:p w:rsidR="00D3581B" w:rsidRPr="001D574D" w:rsidRDefault="00B74167" w:rsidP="00BB1356">
      <w:pPr>
        <w:spacing w:before="0" w:after="0"/>
        <w:rPr>
          <w:rFonts w:ascii="Arial Narrow" w:hAnsi="Arial Narrow"/>
          <w:b/>
          <w:sz w:val="20"/>
          <w:szCs w:val="20"/>
        </w:rPr>
      </w:pPr>
      <w:bookmarkStart w:id="3" w:name="_Toc413139272"/>
      <w:r w:rsidRPr="001D574D">
        <w:rPr>
          <w:rFonts w:ascii="Arial Narrow" w:hAnsi="Arial Narrow"/>
          <w:b/>
          <w:sz w:val="20"/>
          <w:szCs w:val="20"/>
        </w:rPr>
        <w:t>Table 1</w:t>
      </w:r>
      <w:r w:rsidR="00D3581B" w:rsidRPr="001D574D">
        <w:rPr>
          <w:rFonts w:ascii="Arial Narrow" w:hAnsi="Arial Narrow"/>
          <w:b/>
          <w:noProof/>
          <w:sz w:val="20"/>
          <w:szCs w:val="20"/>
        </w:rPr>
        <w:t xml:space="preserve">: </w:t>
      </w:r>
      <w:r w:rsidR="00D3581B" w:rsidRPr="001D574D">
        <w:rPr>
          <w:rFonts w:ascii="Arial Narrow" w:hAnsi="Arial Narrow"/>
          <w:b/>
          <w:sz w:val="20"/>
          <w:szCs w:val="20"/>
        </w:rPr>
        <w:t xml:space="preserve">Key components of the clinical issue addressed by the submission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
      </w:tblPr>
      <w:tblGrid>
        <w:gridCol w:w="1201"/>
        <w:gridCol w:w="7315"/>
      </w:tblGrid>
      <w:tr w:rsidR="00D3581B" w:rsidRPr="001D574D" w:rsidTr="001E4BA7">
        <w:trPr>
          <w:cnfStyle w:val="100000000000" w:firstRow="1" w:lastRow="0" w:firstColumn="0" w:lastColumn="0" w:oddVBand="0" w:evenVBand="0" w:oddHBand="0" w:evenHBand="0" w:firstRowFirstColumn="0" w:firstRowLastColumn="0" w:lastRowFirstColumn="0" w:lastRowLastColumn="0"/>
          <w:cantSplit/>
          <w:tblHeader/>
        </w:trPr>
        <w:tc>
          <w:tcPr>
            <w:tcW w:w="705" w:type="pct"/>
            <w:shd w:val="clear" w:color="auto" w:fill="auto"/>
            <w:vAlign w:val="center"/>
          </w:tcPr>
          <w:p w:rsidR="00D3581B" w:rsidRPr="001D574D" w:rsidRDefault="00D3581B" w:rsidP="001E4BA7">
            <w:pPr>
              <w:pStyle w:val="TableText"/>
              <w:spacing w:before="0" w:after="0"/>
              <w:rPr>
                <w:b w:val="0"/>
              </w:rPr>
            </w:pPr>
            <w:r w:rsidRPr="001D574D">
              <w:t>Component</w:t>
            </w:r>
          </w:p>
        </w:tc>
        <w:tc>
          <w:tcPr>
            <w:tcW w:w="4295" w:type="pct"/>
            <w:shd w:val="clear" w:color="auto" w:fill="auto"/>
            <w:vAlign w:val="center"/>
          </w:tcPr>
          <w:p w:rsidR="00D3581B" w:rsidRPr="001D574D" w:rsidRDefault="00D3581B" w:rsidP="001E4BA7">
            <w:pPr>
              <w:pStyle w:val="TableText"/>
              <w:spacing w:before="0" w:after="0"/>
              <w:rPr>
                <w:b w:val="0"/>
              </w:rPr>
            </w:pPr>
            <w:r w:rsidRPr="001D574D">
              <w:t>Description</w:t>
            </w:r>
          </w:p>
        </w:tc>
      </w:tr>
      <w:tr w:rsidR="00D3581B" w:rsidRPr="001D574D" w:rsidTr="004E1758">
        <w:trPr>
          <w:cantSplit/>
          <w:trHeight w:val="70"/>
        </w:trPr>
        <w:tc>
          <w:tcPr>
            <w:tcW w:w="705" w:type="pct"/>
            <w:shd w:val="clear" w:color="auto" w:fill="auto"/>
            <w:vAlign w:val="center"/>
          </w:tcPr>
          <w:p w:rsidR="00D3581B" w:rsidRPr="001D574D" w:rsidRDefault="00D3581B" w:rsidP="001E4BA7">
            <w:pPr>
              <w:pStyle w:val="TableText"/>
              <w:spacing w:before="0" w:after="0"/>
            </w:pPr>
            <w:r w:rsidRPr="001D574D">
              <w:t>Population</w:t>
            </w:r>
          </w:p>
        </w:tc>
        <w:tc>
          <w:tcPr>
            <w:tcW w:w="4295" w:type="pct"/>
            <w:shd w:val="clear" w:color="auto" w:fill="auto"/>
            <w:vAlign w:val="center"/>
          </w:tcPr>
          <w:p w:rsidR="00D3581B" w:rsidRPr="001D574D" w:rsidRDefault="00D3581B" w:rsidP="001E4BA7">
            <w:pPr>
              <w:pStyle w:val="TableText"/>
              <w:spacing w:before="0" w:after="0"/>
              <w:rPr>
                <w:rFonts w:ascii="Times" w:eastAsia="Times New Roman" w:hAnsi="Times" w:cs="Times New Roman"/>
              </w:rPr>
            </w:pPr>
            <w:r w:rsidRPr="001D574D">
              <w:t>Patients with previously untreated advanced follicular lymphoma (stage II bulky or stage III/IV CD20 positive follicular lymphoma).</w:t>
            </w:r>
          </w:p>
        </w:tc>
      </w:tr>
      <w:tr w:rsidR="00D3581B" w:rsidRPr="001D574D" w:rsidTr="001E4BA7">
        <w:trPr>
          <w:cantSplit/>
        </w:trPr>
        <w:tc>
          <w:tcPr>
            <w:tcW w:w="705" w:type="pct"/>
            <w:shd w:val="clear" w:color="auto" w:fill="auto"/>
            <w:vAlign w:val="center"/>
          </w:tcPr>
          <w:p w:rsidR="00D3581B" w:rsidRPr="001D574D" w:rsidRDefault="00D3581B" w:rsidP="001E4BA7">
            <w:pPr>
              <w:pStyle w:val="TableText"/>
              <w:spacing w:before="0" w:after="0"/>
              <w:rPr>
                <w:rFonts w:ascii="Times" w:eastAsia="Times New Roman" w:hAnsi="Times" w:cs="Times New Roman"/>
              </w:rPr>
            </w:pPr>
            <w:r w:rsidRPr="001D574D">
              <w:t>Intervention</w:t>
            </w:r>
          </w:p>
        </w:tc>
        <w:tc>
          <w:tcPr>
            <w:tcW w:w="4295" w:type="pct"/>
            <w:shd w:val="clear" w:color="auto" w:fill="auto"/>
            <w:vAlign w:val="center"/>
          </w:tcPr>
          <w:p w:rsidR="00D3581B" w:rsidRPr="001D574D" w:rsidRDefault="00D3581B" w:rsidP="001E4BA7">
            <w:pPr>
              <w:pStyle w:val="TableText"/>
              <w:spacing w:before="0" w:after="0"/>
              <w:rPr>
                <w:rFonts w:ascii="Times" w:eastAsia="Times New Roman" w:hAnsi="Times" w:cs="Times New Roman"/>
              </w:rPr>
            </w:pPr>
            <w:r w:rsidRPr="001D574D">
              <w:t>Obinutuzumab in combination with chemotherapy as induction treatment followed by obinutuzumab maintenance monotherapy.</w:t>
            </w:r>
          </w:p>
        </w:tc>
      </w:tr>
      <w:tr w:rsidR="00D3581B" w:rsidRPr="001D574D" w:rsidTr="001E4BA7">
        <w:trPr>
          <w:cantSplit/>
        </w:trPr>
        <w:tc>
          <w:tcPr>
            <w:tcW w:w="705" w:type="pct"/>
            <w:shd w:val="clear" w:color="auto" w:fill="auto"/>
            <w:vAlign w:val="center"/>
          </w:tcPr>
          <w:p w:rsidR="00D3581B" w:rsidRPr="001D574D" w:rsidRDefault="00D3581B" w:rsidP="001E4BA7">
            <w:pPr>
              <w:pStyle w:val="TableText"/>
              <w:spacing w:before="0" w:after="0"/>
              <w:rPr>
                <w:rFonts w:ascii="Times" w:eastAsia="Times New Roman" w:hAnsi="Times" w:cs="Times New Roman"/>
              </w:rPr>
            </w:pPr>
            <w:r w:rsidRPr="001D574D">
              <w:t>Comparator</w:t>
            </w:r>
          </w:p>
        </w:tc>
        <w:tc>
          <w:tcPr>
            <w:tcW w:w="4295" w:type="pct"/>
            <w:shd w:val="clear" w:color="auto" w:fill="auto"/>
            <w:vAlign w:val="center"/>
          </w:tcPr>
          <w:p w:rsidR="00D3581B" w:rsidRPr="001D574D" w:rsidRDefault="00D3581B" w:rsidP="001E4BA7">
            <w:pPr>
              <w:pStyle w:val="TableText"/>
              <w:spacing w:before="0" w:after="0"/>
              <w:rPr>
                <w:rFonts w:ascii="Times" w:eastAsia="Times New Roman" w:hAnsi="Times" w:cs="Times New Roman"/>
              </w:rPr>
            </w:pPr>
            <w:r w:rsidRPr="001D574D">
              <w:t>Rituximab in combination with chemotherapy as induction treatment followed by rituximab maintenance monotherapy.</w:t>
            </w:r>
          </w:p>
        </w:tc>
      </w:tr>
      <w:tr w:rsidR="00D3581B" w:rsidRPr="001D574D" w:rsidTr="001E4BA7">
        <w:trPr>
          <w:cantSplit/>
        </w:trPr>
        <w:tc>
          <w:tcPr>
            <w:tcW w:w="705" w:type="pct"/>
            <w:shd w:val="clear" w:color="auto" w:fill="auto"/>
            <w:vAlign w:val="center"/>
          </w:tcPr>
          <w:p w:rsidR="00D3581B" w:rsidRPr="001D574D" w:rsidRDefault="00D3581B" w:rsidP="001E4BA7">
            <w:pPr>
              <w:pStyle w:val="TableText"/>
              <w:spacing w:before="0" w:after="0"/>
              <w:rPr>
                <w:rFonts w:ascii="Times" w:eastAsia="Times New Roman" w:hAnsi="Times" w:cs="Times New Roman"/>
              </w:rPr>
            </w:pPr>
            <w:r w:rsidRPr="001D574D">
              <w:t>Outcomes</w:t>
            </w:r>
          </w:p>
        </w:tc>
        <w:tc>
          <w:tcPr>
            <w:tcW w:w="4295" w:type="pct"/>
            <w:shd w:val="clear" w:color="auto" w:fill="auto"/>
            <w:vAlign w:val="center"/>
          </w:tcPr>
          <w:p w:rsidR="00D3581B" w:rsidRPr="001D574D" w:rsidRDefault="00D3581B" w:rsidP="001E4BA7">
            <w:pPr>
              <w:pStyle w:val="TableText"/>
              <w:spacing w:before="0" w:after="0"/>
              <w:rPr>
                <w:rFonts w:ascii="Times" w:eastAsia="Times New Roman" w:hAnsi="Times" w:cs="Times New Roman"/>
              </w:rPr>
            </w:pPr>
            <w:r w:rsidRPr="001D574D">
              <w:t xml:space="preserve">PFS; OS; QoL (as measured by FACT-Lym and EQ-5D); treatment-related </w:t>
            </w:r>
            <w:r w:rsidR="00C852A1" w:rsidRPr="001D574D">
              <w:t>A</w:t>
            </w:r>
            <w:r w:rsidR="00C852A1">
              <w:t>E</w:t>
            </w:r>
            <w:r w:rsidR="00C852A1" w:rsidRPr="001D574D">
              <w:t>s</w:t>
            </w:r>
            <w:r w:rsidRPr="001D574D">
              <w:t>.</w:t>
            </w:r>
          </w:p>
        </w:tc>
      </w:tr>
      <w:tr w:rsidR="00D3581B" w:rsidRPr="001D574D" w:rsidTr="001E4BA7">
        <w:trPr>
          <w:cantSplit/>
        </w:trPr>
        <w:tc>
          <w:tcPr>
            <w:tcW w:w="705" w:type="pct"/>
            <w:shd w:val="clear" w:color="auto" w:fill="auto"/>
            <w:vAlign w:val="center"/>
          </w:tcPr>
          <w:p w:rsidR="00D3581B" w:rsidRPr="001D574D" w:rsidRDefault="00D3581B" w:rsidP="001E4BA7">
            <w:pPr>
              <w:pStyle w:val="TableText"/>
              <w:spacing w:before="0" w:after="0"/>
              <w:rPr>
                <w:rFonts w:ascii="Times" w:eastAsia="Times New Roman" w:hAnsi="Times" w:cs="Times New Roman"/>
              </w:rPr>
            </w:pPr>
            <w:r w:rsidRPr="001D574D">
              <w:t>Clinical claim</w:t>
            </w:r>
          </w:p>
        </w:tc>
        <w:tc>
          <w:tcPr>
            <w:tcW w:w="4295" w:type="pct"/>
            <w:shd w:val="clear" w:color="auto" w:fill="auto"/>
            <w:vAlign w:val="center"/>
          </w:tcPr>
          <w:p w:rsidR="00D3581B" w:rsidRPr="001D574D" w:rsidRDefault="005A0C0E" w:rsidP="001E4BA7">
            <w:pPr>
              <w:pStyle w:val="TableText"/>
              <w:spacing w:before="0" w:after="0"/>
            </w:pPr>
            <w:r w:rsidRPr="001D574D">
              <w:t>In patients with previously untreated advanced follicular lymphoma, obinutuzumab plus chemotherapy followed by obinutuzumab maintenance therapy is superior in effectiveness in terms of PFS (investigator-assessed and independently assessed) and inferior in safety compared to rituximab plus chemotherapy induction therapy and rituximab maintenance monotherapy.</w:t>
            </w:r>
            <w:r w:rsidR="00A07559">
              <w:t xml:space="preserve"> </w:t>
            </w:r>
            <w:r w:rsidRPr="001D574D">
              <w:t>The submission also claimed that OS data from obinutuzumab were supportive of the PFS endpoint.</w:t>
            </w:r>
          </w:p>
        </w:tc>
      </w:tr>
    </w:tbl>
    <w:p w:rsidR="00D3581B" w:rsidRPr="001D574D" w:rsidRDefault="00C852A1" w:rsidP="00D3581B">
      <w:pPr>
        <w:pStyle w:val="TableFooter"/>
      </w:pPr>
      <w:r w:rsidRPr="001D574D">
        <w:t>A</w:t>
      </w:r>
      <w:r>
        <w:t>E</w:t>
      </w:r>
      <w:r w:rsidRPr="001D574D">
        <w:t>s</w:t>
      </w:r>
      <w:r w:rsidR="00D3581B" w:rsidRPr="001D574D">
        <w:t>=adverse events; EQ-5D=EuroQoL five dimension questionnaire; FACT-Lym=Functional Assessment of Cancer Therapy-Lymphoma questionnaire; OS=overall survival; PFS=progression-free survival; QoL=quality of life</w:t>
      </w:r>
    </w:p>
    <w:p w:rsidR="00D3581B" w:rsidRPr="001D574D" w:rsidRDefault="00D3581B" w:rsidP="00D3581B">
      <w:pPr>
        <w:pStyle w:val="TableFooter"/>
      </w:pPr>
      <w:r w:rsidRPr="001D574D">
        <w:t>Source: Table 1.1.1 p2-3 of the submission.</w:t>
      </w:r>
    </w:p>
    <w:p w:rsidR="007C7A11" w:rsidRPr="001D574D" w:rsidRDefault="00C317F3" w:rsidP="001E4BA7">
      <w:pPr>
        <w:pStyle w:val="Heading1"/>
        <w:ind w:left="709" w:hanging="709"/>
      </w:pPr>
      <w:bookmarkStart w:id="4" w:name="_Toc365635904"/>
      <w:r w:rsidRPr="001D574D">
        <w:t>Requested listing</w:t>
      </w:r>
      <w:bookmarkEnd w:id="3"/>
      <w:bookmarkEnd w:id="4"/>
    </w:p>
    <w:p w:rsidR="008C2933" w:rsidRPr="001D574D" w:rsidRDefault="0058572E" w:rsidP="00A375D6">
      <w:pPr>
        <w:pStyle w:val="ListParagraph"/>
        <w:numPr>
          <w:ilvl w:val="1"/>
          <w:numId w:val="1"/>
        </w:numPr>
        <w:ind w:left="709" w:hanging="709"/>
        <w:jc w:val="both"/>
        <w:rPr>
          <w:szCs w:val="24"/>
        </w:rPr>
      </w:pPr>
      <w:r w:rsidRPr="001D574D">
        <w:rPr>
          <w:szCs w:val="24"/>
        </w:rPr>
        <w:t xml:space="preserve">The requested PBS listing for both induction and maintenance therapy of obinutuzumab as well as the requested grandfathering restriction are provided below. Suggestions and additions proposed by the Secretariat to the requested listing are added in italics and suggested deletions are crossed out with strikethrough. </w:t>
      </w:r>
    </w:p>
    <w:p w:rsidR="00290092" w:rsidRDefault="00290092">
      <w:r>
        <w:br w:type="page"/>
      </w:r>
    </w:p>
    <w:tbl>
      <w:tblPr>
        <w:tblW w:w="5000" w:type="pct"/>
        <w:tblLook w:val="0000" w:firstRow="0" w:lastRow="0" w:firstColumn="0" w:lastColumn="0" w:noHBand="0" w:noVBand="0"/>
      </w:tblPr>
      <w:tblGrid>
        <w:gridCol w:w="2620"/>
        <w:gridCol w:w="131"/>
        <w:gridCol w:w="916"/>
        <w:gridCol w:w="656"/>
        <w:gridCol w:w="1572"/>
        <w:gridCol w:w="1441"/>
        <w:gridCol w:w="1180"/>
      </w:tblGrid>
      <w:tr w:rsidR="008C2933" w:rsidRPr="00260CE3" w:rsidTr="00290092">
        <w:trPr>
          <w:cantSplit/>
          <w:trHeight w:val="471"/>
        </w:trPr>
        <w:tc>
          <w:tcPr>
            <w:tcW w:w="1615" w:type="pct"/>
            <w:gridSpan w:val="2"/>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38" w:type="pct"/>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Max.</w:t>
            </w:r>
          </w:p>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Qty</w:t>
            </w:r>
          </w:p>
        </w:tc>
        <w:tc>
          <w:tcPr>
            <w:tcW w:w="385" w:type="pct"/>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№.of</w:t>
            </w:r>
          </w:p>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Rpts</w:t>
            </w:r>
          </w:p>
        </w:tc>
        <w:tc>
          <w:tcPr>
            <w:tcW w:w="923" w:type="pct"/>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Dispensed Price for Max. Qty</w:t>
            </w:r>
          </w:p>
        </w:tc>
        <w:tc>
          <w:tcPr>
            <w:tcW w:w="1539" w:type="pct"/>
            <w:gridSpan w:val="2"/>
            <w:tcBorders>
              <w:bottom w:val="single" w:sz="4" w:space="0" w:color="auto"/>
            </w:tcBorders>
          </w:tcPr>
          <w:p w:rsidR="008C2933" w:rsidRPr="00260CE3" w:rsidRDefault="008C2933" w:rsidP="00214212">
            <w:pPr>
              <w:keepNext/>
              <w:spacing w:before="0" w:after="0"/>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C2933" w:rsidRPr="00260CE3" w:rsidTr="00290092">
        <w:trPr>
          <w:cantSplit/>
          <w:trHeight w:val="577"/>
        </w:trPr>
        <w:tc>
          <w:tcPr>
            <w:tcW w:w="1615" w:type="pct"/>
            <w:gridSpan w:val="2"/>
          </w:tcPr>
          <w:p w:rsidR="008C2933" w:rsidRPr="00975327" w:rsidRDefault="008C2933" w:rsidP="00214212">
            <w:pPr>
              <w:keepNext/>
              <w:spacing w:before="0" w:after="0"/>
              <w:ind w:left="-108"/>
              <w:jc w:val="both"/>
              <w:rPr>
                <w:rFonts w:ascii="Arial Narrow" w:hAnsi="Arial Narrow" w:cs="Arial"/>
                <w:smallCaps/>
                <w:sz w:val="20"/>
                <w:szCs w:val="20"/>
              </w:rPr>
            </w:pPr>
            <w:r w:rsidRPr="00975327">
              <w:rPr>
                <w:rFonts w:ascii="Arial Narrow" w:hAnsi="Arial Narrow" w:cs="Arial"/>
                <w:smallCaps/>
                <w:sz w:val="20"/>
                <w:szCs w:val="20"/>
              </w:rPr>
              <w:t xml:space="preserve">OBINUTUZUMAB </w:t>
            </w:r>
          </w:p>
          <w:p w:rsidR="008C2933" w:rsidRPr="00975327" w:rsidRDefault="008C2933" w:rsidP="00214212">
            <w:pPr>
              <w:keepNext/>
              <w:spacing w:before="0" w:after="0"/>
              <w:ind w:left="-108"/>
              <w:jc w:val="both"/>
              <w:rPr>
                <w:rFonts w:ascii="Arial Narrow" w:hAnsi="Arial Narrow" w:cs="Arial"/>
                <w:sz w:val="20"/>
                <w:szCs w:val="20"/>
              </w:rPr>
            </w:pPr>
            <w:r w:rsidRPr="00975327">
              <w:rPr>
                <w:rFonts w:ascii="Arial Narrow" w:hAnsi="Arial Narrow" w:cs="Arial"/>
                <w:sz w:val="20"/>
                <w:szCs w:val="20"/>
              </w:rPr>
              <w:t>Solution for intravenous infusion</w:t>
            </w:r>
          </w:p>
          <w:p w:rsidR="008C2933" w:rsidRPr="00975327" w:rsidRDefault="008C2933" w:rsidP="00214212">
            <w:pPr>
              <w:keepNext/>
              <w:spacing w:before="0" w:after="0"/>
              <w:ind w:left="-108"/>
              <w:jc w:val="both"/>
              <w:rPr>
                <w:rFonts w:ascii="Arial Narrow" w:hAnsi="Arial Narrow" w:cs="Arial"/>
                <w:sz w:val="20"/>
                <w:szCs w:val="20"/>
              </w:rPr>
            </w:pPr>
            <w:r w:rsidRPr="00975327">
              <w:rPr>
                <w:rFonts w:ascii="Arial Narrow" w:hAnsi="Arial Narrow" w:cs="Arial"/>
                <w:sz w:val="20"/>
                <w:szCs w:val="20"/>
              </w:rPr>
              <w:t>1,000 mg in 40 mL</w:t>
            </w:r>
          </w:p>
        </w:tc>
        <w:tc>
          <w:tcPr>
            <w:tcW w:w="538" w:type="pct"/>
          </w:tcPr>
          <w:p w:rsidR="008C2933" w:rsidRPr="00975327" w:rsidRDefault="008C2933" w:rsidP="00214212">
            <w:pPr>
              <w:keepNext/>
              <w:spacing w:before="0" w:after="0"/>
              <w:ind w:left="-108"/>
              <w:jc w:val="both"/>
              <w:rPr>
                <w:rFonts w:ascii="Arial Narrow" w:hAnsi="Arial Narrow" w:cs="Arial"/>
                <w:sz w:val="20"/>
                <w:szCs w:val="20"/>
              </w:rPr>
            </w:pPr>
          </w:p>
          <w:p w:rsidR="008C2933" w:rsidRPr="00975327" w:rsidRDefault="008C2933" w:rsidP="00214212">
            <w:pPr>
              <w:keepNext/>
              <w:spacing w:before="0" w:after="0"/>
              <w:ind w:left="-108"/>
              <w:jc w:val="both"/>
              <w:rPr>
                <w:rFonts w:ascii="Arial Narrow" w:hAnsi="Arial Narrow" w:cs="Arial"/>
                <w:sz w:val="20"/>
                <w:szCs w:val="20"/>
              </w:rPr>
            </w:pPr>
            <w:r w:rsidRPr="00975327">
              <w:rPr>
                <w:rFonts w:ascii="Arial Narrow" w:hAnsi="Arial Narrow" w:cs="Arial"/>
                <w:sz w:val="20"/>
                <w:szCs w:val="20"/>
              </w:rPr>
              <w:t>1,000 mg</w:t>
            </w:r>
          </w:p>
        </w:tc>
        <w:tc>
          <w:tcPr>
            <w:tcW w:w="385" w:type="pct"/>
          </w:tcPr>
          <w:p w:rsidR="008C2933" w:rsidRPr="00975327" w:rsidRDefault="008C2933" w:rsidP="00214212">
            <w:pPr>
              <w:keepNext/>
              <w:spacing w:before="0" w:after="0"/>
              <w:ind w:left="-108"/>
              <w:jc w:val="both"/>
              <w:rPr>
                <w:rFonts w:ascii="Arial Narrow" w:hAnsi="Arial Narrow" w:cs="Arial"/>
                <w:sz w:val="20"/>
                <w:szCs w:val="20"/>
              </w:rPr>
            </w:pPr>
          </w:p>
          <w:p w:rsidR="008C2933" w:rsidRPr="00975327" w:rsidRDefault="008C2933" w:rsidP="00214212">
            <w:pPr>
              <w:keepNext/>
              <w:spacing w:before="0" w:after="0"/>
              <w:ind w:left="-108"/>
              <w:jc w:val="both"/>
              <w:rPr>
                <w:rFonts w:ascii="Arial Narrow" w:hAnsi="Arial Narrow" w:cs="Arial"/>
                <w:i/>
                <w:sz w:val="20"/>
                <w:szCs w:val="20"/>
              </w:rPr>
            </w:pPr>
            <w:r w:rsidRPr="00975327">
              <w:rPr>
                <w:rFonts w:ascii="Arial Narrow" w:hAnsi="Arial Narrow" w:cs="Arial"/>
                <w:sz w:val="20"/>
                <w:szCs w:val="20"/>
              </w:rPr>
              <w:t>9</w:t>
            </w:r>
          </w:p>
        </w:tc>
        <w:tc>
          <w:tcPr>
            <w:tcW w:w="923" w:type="pct"/>
          </w:tcPr>
          <w:p w:rsidR="008C2933" w:rsidRPr="00975327" w:rsidRDefault="008C2933" w:rsidP="00E52745">
            <w:pPr>
              <w:pStyle w:val="TableText"/>
              <w:spacing w:before="0" w:after="0"/>
              <w:ind w:left="-108"/>
              <w:rPr>
                <w:szCs w:val="20"/>
              </w:rPr>
            </w:pPr>
            <w:r w:rsidRPr="00975327">
              <w:rPr>
                <w:szCs w:val="20"/>
              </w:rPr>
              <w:t>Published</w:t>
            </w:r>
          </w:p>
          <w:p w:rsidR="008C2933" w:rsidRPr="00975327" w:rsidRDefault="008C2933" w:rsidP="00E52745">
            <w:pPr>
              <w:pStyle w:val="TableText"/>
              <w:spacing w:before="0" w:after="0"/>
              <w:ind w:left="-108"/>
              <w:rPr>
                <w:szCs w:val="20"/>
              </w:rPr>
            </w:pPr>
            <w:r w:rsidRPr="00975327">
              <w:rPr>
                <w:szCs w:val="20"/>
              </w:rPr>
              <w:t>Public: $</w:t>
            </w:r>
            <w:r w:rsidRPr="00B93E69">
              <w:rPr>
                <w:szCs w:val="20"/>
              </w:rPr>
              <w:t>5,376.22</w:t>
            </w:r>
            <w:r w:rsidRPr="00975327">
              <w:rPr>
                <w:szCs w:val="20"/>
              </w:rPr>
              <w:t xml:space="preserve"> </w:t>
            </w:r>
            <w:r w:rsidRPr="00975327">
              <w:rPr>
                <w:szCs w:val="20"/>
              </w:rPr>
              <w:br/>
              <w:t>Private: $</w:t>
            </w:r>
            <w:r w:rsidRPr="00B93E69">
              <w:rPr>
                <w:szCs w:val="20"/>
              </w:rPr>
              <w:t>5,488.40</w:t>
            </w:r>
            <w:r w:rsidRPr="00975327">
              <w:rPr>
                <w:szCs w:val="20"/>
              </w:rPr>
              <w:t xml:space="preserve"> </w:t>
            </w:r>
            <w:r w:rsidRPr="00975327">
              <w:rPr>
                <w:szCs w:val="20"/>
              </w:rPr>
              <w:br/>
            </w:r>
          </w:p>
          <w:p w:rsidR="008C2933" w:rsidRPr="00975327" w:rsidRDefault="008C2933" w:rsidP="00E52745">
            <w:pPr>
              <w:pStyle w:val="TableText"/>
              <w:spacing w:before="0" w:after="0"/>
              <w:ind w:left="-108"/>
              <w:rPr>
                <w:szCs w:val="20"/>
              </w:rPr>
            </w:pPr>
            <w:r w:rsidRPr="00975327">
              <w:rPr>
                <w:szCs w:val="20"/>
              </w:rPr>
              <w:t>Effective</w:t>
            </w:r>
          </w:p>
          <w:p w:rsidR="008C2933" w:rsidRPr="00975327" w:rsidRDefault="008C2933" w:rsidP="00E52745">
            <w:pPr>
              <w:pStyle w:val="TableText"/>
              <w:spacing w:before="0" w:after="0"/>
              <w:ind w:left="-108"/>
              <w:rPr>
                <w:szCs w:val="20"/>
              </w:rPr>
            </w:pPr>
            <w:r w:rsidRPr="00975327">
              <w:rPr>
                <w:szCs w:val="20"/>
              </w:rPr>
              <w:t>Public: $</w:t>
            </w:r>
            <w:r w:rsidR="00CD21DA">
              <w:rPr>
                <w:noProof/>
                <w:color w:val="000000"/>
                <w:szCs w:val="20"/>
                <w:highlight w:val="black"/>
              </w:rPr>
              <w:t>''''''''''''''''''''</w:t>
            </w:r>
            <w:r w:rsidRPr="00975327">
              <w:rPr>
                <w:szCs w:val="20"/>
              </w:rPr>
              <w:t xml:space="preserve"> </w:t>
            </w:r>
            <w:r w:rsidRPr="00975327">
              <w:rPr>
                <w:szCs w:val="20"/>
              </w:rPr>
              <w:br/>
              <w:t>Private: $</w:t>
            </w:r>
            <w:r w:rsidR="00CD21DA">
              <w:rPr>
                <w:noProof/>
                <w:color w:val="000000"/>
                <w:szCs w:val="20"/>
                <w:highlight w:val="black"/>
              </w:rPr>
              <w:t>'''''''''''''''''''</w:t>
            </w:r>
            <w:r w:rsidRPr="00975327">
              <w:rPr>
                <w:szCs w:val="20"/>
              </w:rPr>
              <w:t xml:space="preserve"> </w:t>
            </w:r>
          </w:p>
        </w:tc>
        <w:tc>
          <w:tcPr>
            <w:tcW w:w="846" w:type="pct"/>
          </w:tcPr>
          <w:p w:rsidR="008C2933" w:rsidRPr="00975327" w:rsidRDefault="008C2933" w:rsidP="00214212">
            <w:pPr>
              <w:keepNext/>
              <w:spacing w:before="0" w:after="0"/>
              <w:jc w:val="both"/>
              <w:rPr>
                <w:rFonts w:ascii="Arial Narrow" w:hAnsi="Arial Narrow" w:cs="Arial"/>
                <w:sz w:val="20"/>
                <w:szCs w:val="20"/>
              </w:rPr>
            </w:pPr>
            <w:r w:rsidRPr="00975327">
              <w:rPr>
                <w:rFonts w:ascii="Arial Narrow" w:hAnsi="Arial Narrow" w:cs="Arial"/>
                <w:sz w:val="20"/>
                <w:szCs w:val="20"/>
              </w:rPr>
              <w:t>GAZYVA</w:t>
            </w:r>
            <w:r w:rsidRPr="00975327">
              <w:rPr>
                <w:rFonts w:ascii="Arial Narrow" w:hAnsi="Arial Narrow"/>
                <w:sz w:val="20"/>
                <w:szCs w:val="20"/>
                <w:vertAlign w:val="superscript"/>
              </w:rPr>
              <w:t>®</w:t>
            </w:r>
          </w:p>
        </w:tc>
        <w:tc>
          <w:tcPr>
            <w:tcW w:w="693" w:type="pct"/>
          </w:tcPr>
          <w:p w:rsidR="008C2933" w:rsidRPr="00975327" w:rsidRDefault="008C2933" w:rsidP="00214212">
            <w:pPr>
              <w:keepNext/>
              <w:spacing w:before="0" w:after="0"/>
              <w:jc w:val="both"/>
              <w:rPr>
                <w:rFonts w:ascii="Arial Narrow" w:hAnsi="Arial Narrow" w:cs="Arial"/>
                <w:sz w:val="20"/>
                <w:szCs w:val="20"/>
              </w:rPr>
            </w:pPr>
            <w:r w:rsidRPr="00975327">
              <w:rPr>
                <w:rFonts w:ascii="Arial Narrow" w:hAnsi="Arial Narrow" w:cs="Arial"/>
                <w:sz w:val="20"/>
                <w:szCs w:val="20"/>
              </w:rPr>
              <w:t>Roche Products Pty Ltd</w:t>
            </w:r>
          </w:p>
        </w:tc>
      </w:tr>
      <w:tr w:rsidR="008C2933" w:rsidRPr="00260CE3" w:rsidTr="00F96BAB">
        <w:trPr>
          <w:cantSplit/>
          <w:trHeight w:val="360"/>
        </w:trPr>
        <w:tc>
          <w:tcPr>
            <w:tcW w:w="5000" w:type="pct"/>
            <w:gridSpan w:val="7"/>
            <w:tcBorders>
              <w:bottom w:val="single" w:sz="4" w:space="0" w:color="auto"/>
            </w:tcBorders>
          </w:tcPr>
          <w:p w:rsidR="008C2933" w:rsidRPr="00260CE3" w:rsidRDefault="008C2933" w:rsidP="00214212">
            <w:pPr>
              <w:spacing w:before="0" w:after="0"/>
              <w:jc w:val="both"/>
              <w:rPr>
                <w:rFonts w:ascii="Arial Narrow" w:hAnsi="Arial Narrow" w:cs="Arial"/>
                <w:sz w:val="20"/>
                <w:szCs w:val="20"/>
              </w:rPr>
            </w:pP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 xml:space="preserve">Category / </w:t>
            </w:r>
          </w:p>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Program</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C33D1F">
              <w:rPr>
                <w:rFonts w:ascii="Arial Narrow" w:hAnsi="Arial Narrow" w:cs="Arial"/>
                <w:sz w:val="20"/>
                <w:szCs w:val="20"/>
              </w:rPr>
              <w:t>Section 100 – Efficient funding of C</w:t>
            </w:r>
            <w:r>
              <w:rPr>
                <w:rFonts w:ascii="Arial Narrow" w:hAnsi="Arial Narrow" w:cs="Arial"/>
                <w:sz w:val="20"/>
                <w:szCs w:val="20"/>
              </w:rPr>
              <w:t>hemotherapy</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Prescriber type:</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Dental</w:t>
            </w:r>
            <w:r w:rsidR="00A0755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Medical Practitioners</w:t>
            </w:r>
            <w:r w:rsidR="00A07559">
              <w:rPr>
                <w:rFonts w:ascii="Arial Narrow" w:hAnsi="Arial Narrow" w:cs="Arial"/>
                <w:sz w:val="20"/>
                <w:szCs w:val="20"/>
              </w:rPr>
              <w:t xml:space="preserve">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Nurse practitioners</w:t>
            </w:r>
            <w:r w:rsidR="00A07559">
              <w:rPr>
                <w:rFonts w:ascii="Arial Narrow" w:hAnsi="Arial Narrow" w:cs="Arial"/>
                <w:sz w:val="20"/>
                <w:szCs w:val="20"/>
              </w:rPr>
              <w:t xml:space="preserve">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C2933" w:rsidRPr="00260CE3" w:rsidRDefault="008C2933" w:rsidP="00214212">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Episodicity:</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8413FC">
              <w:rPr>
                <w:rFonts w:ascii="Arial Narrow" w:hAnsi="Arial Narrow" w:cs="Arial"/>
                <w:sz w:val="20"/>
                <w:szCs w:val="20"/>
              </w:rPr>
              <w:t>Previously untreated</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Severity:</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8413FC">
              <w:rPr>
                <w:rFonts w:ascii="Arial Narrow" w:hAnsi="Arial Narrow" w:cs="Arial"/>
                <w:sz w:val="20"/>
                <w:szCs w:val="20"/>
              </w:rPr>
              <w:t>Stage II bulky or Stage III/IV</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Condition:</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8413FC">
              <w:rPr>
                <w:rFonts w:ascii="Arial Narrow" w:hAnsi="Arial Narrow" w:cs="Arial"/>
                <w:sz w:val="20"/>
                <w:szCs w:val="20"/>
              </w:rPr>
              <w:t>CD20 positive follicular lymphoma</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AE058A"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PBS Indication:</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F817CB" w:rsidRDefault="008C2933" w:rsidP="00214212">
            <w:pPr>
              <w:spacing w:before="0" w:after="0"/>
              <w:rPr>
                <w:rFonts w:ascii="Arial Narrow" w:hAnsi="Arial Narrow" w:cs="Arial"/>
                <w:i/>
                <w:sz w:val="20"/>
                <w:szCs w:val="20"/>
              </w:rPr>
            </w:pPr>
            <w:r w:rsidRPr="00F817CB">
              <w:rPr>
                <w:rFonts w:ascii="Arial Narrow" w:hAnsi="Arial Narrow" w:cs="Arial"/>
                <w:i/>
                <w:sz w:val="20"/>
                <w:szCs w:val="20"/>
              </w:rPr>
              <w:t>Previously untreated Stage II bulky or Stage III/IV CD20 positive follicular lymphoma</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Treatment phase:</w:t>
            </w:r>
          </w:p>
          <w:p w:rsidR="008C2933" w:rsidRPr="00260CE3" w:rsidRDefault="008C2933" w:rsidP="00214212">
            <w:pPr>
              <w:spacing w:before="0" w:after="0"/>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8413FC">
              <w:rPr>
                <w:rFonts w:ascii="Arial Narrow" w:hAnsi="Arial Narrow" w:cs="Arial"/>
                <w:sz w:val="20"/>
                <w:szCs w:val="20"/>
              </w:rPr>
              <w:t>Induction treatment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C2933" w:rsidRDefault="008C2933" w:rsidP="00214212">
            <w:pPr>
              <w:spacing w:before="0" w:after="0"/>
              <w:rPr>
                <w:rFonts w:ascii="Arial Narrow" w:hAnsi="Arial Narrow" w:cs="Arial"/>
                <w:i/>
                <w:sz w:val="20"/>
                <w:szCs w:val="20"/>
                <w:highlight w:val="yellow"/>
              </w:rPr>
            </w:pPr>
          </w:p>
          <w:p w:rsidR="008C2933" w:rsidRDefault="008C2933" w:rsidP="00214212">
            <w:pPr>
              <w:spacing w:before="0" w:after="0"/>
              <w:rPr>
                <w:rFonts w:ascii="Arial Narrow" w:hAnsi="Arial Narrow" w:cs="Arial"/>
                <w:i/>
                <w:sz w:val="20"/>
                <w:szCs w:val="20"/>
              </w:rPr>
            </w:pPr>
          </w:p>
          <w:p w:rsidR="008C2933" w:rsidRPr="00CD28F3" w:rsidRDefault="008C2933" w:rsidP="00214212">
            <w:pPr>
              <w:spacing w:before="0" w:after="0"/>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In Writing</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Telephone</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Emergency</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Electronic</w:t>
            </w:r>
          </w:p>
          <w:p w:rsidR="008C2933" w:rsidRPr="00260CE3" w:rsidRDefault="008C2933" w:rsidP="00214212">
            <w:pPr>
              <w:spacing w:before="0" w:after="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5" w:name="Check5"/>
            <w:r>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Pr>
                <w:rFonts w:ascii="Arial Narrow" w:hAnsi="Arial Narrow" w:cs="Arial"/>
                <w:sz w:val="20"/>
                <w:szCs w:val="20"/>
              </w:rPr>
              <w:fldChar w:fldCharType="end"/>
            </w:r>
            <w:bookmarkEnd w:id="5"/>
            <w:r w:rsidRPr="00106BCF">
              <w:rPr>
                <w:rFonts w:ascii="Arial Narrow" w:hAnsi="Arial Narrow" w:cs="Arial"/>
                <w:sz w:val="20"/>
                <w:szCs w:val="20"/>
              </w:rPr>
              <w:t>Streamlined</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b/>
                <w:sz w:val="20"/>
                <w:szCs w:val="20"/>
              </w:rPr>
            </w:pPr>
            <w:r w:rsidRPr="00260CE3">
              <w:rPr>
                <w:rFonts w:ascii="Arial Narrow" w:hAnsi="Arial Narrow" w:cs="Arial"/>
                <w:b/>
                <w:sz w:val="20"/>
                <w:szCs w:val="20"/>
              </w:rPr>
              <w:t>Treatment criteria:</w:t>
            </w:r>
          </w:p>
          <w:p w:rsidR="008C2933" w:rsidRPr="00260CE3" w:rsidRDefault="008C2933" w:rsidP="00214212">
            <w:pPr>
              <w:spacing w:before="0" w:after="0"/>
              <w:rPr>
                <w:rFonts w:ascii="Arial Narrow" w:hAnsi="Arial Narrow" w:cs="Arial"/>
                <w:i/>
                <w:sz w:val="20"/>
                <w:szCs w:val="20"/>
              </w:rPr>
            </w:pPr>
          </w:p>
          <w:p w:rsidR="008C2933" w:rsidRPr="00260CE3" w:rsidRDefault="008C2933" w:rsidP="00214212">
            <w:pPr>
              <w:spacing w:before="0" w:after="0"/>
              <w:rPr>
                <w:rFonts w:ascii="Arial Narrow" w:hAnsi="Arial Narrow" w:cs="Arial"/>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57506E" w:rsidRDefault="008C2933" w:rsidP="00214212">
            <w:pPr>
              <w:spacing w:before="0" w:after="0"/>
              <w:rPr>
                <w:rFonts w:ascii="Arial Narrow" w:hAnsi="Arial Narrow"/>
                <w:i/>
                <w:sz w:val="20"/>
              </w:rPr>
            </w:pPr>
            <w:r>
              <w:rPr>
                <w:rFonts w:ascii="Arial Narrow" w:hAnsi="Arial Narrow"/>
                <w:i/>
                <w:sz w:val="20"/>
              </w:rPr>
              <w:t>The condition must be symptomatic</w:t>
            </w:r>
            <w:r w:rsidRPr="00993C3B">
              <w:rPr>
                <w:rFonts w:ascii="Arial Narrow" w:hAnsi="Arial Narrow"/>
                <w:strike/>
                <w:sz w:val="20"/>
              </w:rPr>
              <w:t>Patient must require treatment</w:t>
            </w:r>
            <w:r w:rsidRPr="0057506E">
              <w:rPr>
                <w:rFonts w:ascii="Arial Narrow" w:hAnsi="Arial Narrow"/>
                <w:i/>
                <w:sz w:val="20"/>
              </w:rPr>
              <w:t>,</w:t>
            </w:r>
          </w:p>
          <w:p w:rsidR="008C2933" w:rsidRPr="0057506E" w:rsidRDefault="008C2933" w:rsidP="00214212">
            <w:pPr>
              <w:spacing w:before="0" w:after="0"/>
              <w:rPr>
                <w:rFonts w:ascii="Arial Narrow" w:hAnsi="Arial Narrow"/>
                <w:sz w:val="20"/>
              </w:rPr>
            </w:pPr>
            <w:r w:rsidRPr="0057506E">
              <w:rPr>
                <w:rFonts w:ascii="Arial Narrow" w:hAnsi="Arial Narrow"/>
                <w:sz w:val="20"/>
              </w:rPr>
              <w:t>AND</w:t>
            </w:r>
          </w:p>
          <w:p w:rsidR="008C2933" w:rsidRPr="0057506E" w:rsidRDefault="008C2933" w:rsidP="00214212">
            <w:pPr>
              <w:spacing w:before="0" w:after="0"/>
              <w:rPr>
                <w:rFonts w:ascii="Arial Narrow" w:hAnsi="Arial Narrow"/>
                <w:sz w:val="20"/>
              </w:rPr>
            </w:pPr>
            <w:r w:rsidRPr="0057506E">
              <w:rPr>
                <w:rFonts w:ascii="Arial Narrow" w:hAnsi="Arial Narrow"/>
                <w:sz w:val="20"/>
              </w:rPr>
              <w:t>The condition must be previously untreated,</w:t>
            </w:r>
          </w:p>
          <w:p w:rsidR="008C2933" w:rsidRPr="0057506E" w:rsidRDefault="008C2933" w:rsidP="00214212">
            <w:pPr>
              <w:spacing w:before="0" w:after="0"/>
              <w:rPr>
                <w:rFonts w:ascii="Arial Narrow" w:hAnsi="Arial Narrow"/>
                <w:sz w:val="20"/>
              </w:rPr>
            </w:pPr>
            <w:r w:rsidRPr="0057506E">
              <w:rPr>
                <w:rFonts w:ascii="Arial Narrow" w:hAnsi="Arial Narrow"/>
                <w:sz w:val="20"/>
              </w:rPr>
              <w:t>AND</w:t>
            </w:r>
          </w:p>
          <w:p w:rsidR="008C2933" w:rsidRPr="0057506E" w:rsidRDefault="008C2933" w:rsidP="00214212">
            <w:pPr>
              <w:spacing w:before="0" w:after="0"/>
              <w:rPr>
                <w:rFonts w:ascii="Arial Narrow" w:hAnsi="Arial Narrow"/>
                <w:sz w:val="20"/>
              </w:rPr>
            </w:pPr>
            <w:r w:rsidRPr="0057506E">
              <w:rPr>
                <w:rFonts w:ascii="Arial Narrow" w:hAnsi="Arial Narrow"/>
                <w:sz w:val="20"/>
              </w:rPr>
              <w:t xml:space="preserve">The treatment must be in combination with </w:t>
            </w:r>
            <w:r>
              <w:rPr>
                <w:rFonts w:ascii="Arial Narrow" w:hAnsi="Arial Narrow"/>
                <w:i/>
                <w:sz w:val="20"/>
              </w:rPr>
              <w:t xml:space="preserve">PBS-subsidised </w:t>
            </w:r>
            <w:r w:rsidRPr="0057506E">
              <w:rPr>
                <w:rFonts w:ascii="Arial Narrow" w:hAnsi="Arial Narrow"/>
                <w:sz w:val="20"/>
              </w:rPr>
              <w:t>chemotherapy,</w:t>
            </w:r>
          </w:p>
          <w:p w:rsidR="008C2933" w:rsidRPr="0057506E" w:rsidRDefault="008C2933" w:rsidP="00214212">
            <w:pPr>
              <w:spacing w:before="0" w:after="0"/>
              <w:rPr>
                <w:rFonts w:ascii="Arial Narrow" w:hAnsi="Arial Narrow"/>
                <w:sz w:val="20"/>
              </w:rPr>
            </w:pPr>
            <w:r w:rsidRPr="0057506E">
              <w:rPr>
                <w:rFonts w:ascii="Arial Narrow" w:hAnsi="Arial Narrow"/>
                <w:sz w:val="20"/>
              </w:rPr>
              <w:t>AND</w:t>
            </w:r>
          </w:p>
          <w:p w:rsidR="008C2933" w:rsidRPr="0057506E" w:rsidRDefault="008C2933" w:rsidP="00214212">
            <w:pPr>
              <w:spacing w:before="0" w:after="0"/>
              <w:rPr>
                <w:rFonts w:ascii="Arial Narrow" w:hAnsi="Arial Narrow"/>
                <w:i/>
                <w:sz w:val="20"/>
              </w:rPr>
            </w:pPr>
            <w:r w:rsidRPr="0057506E">
              <w:rPr>
                <w:rFonts w:ascii="Arial Narrow" w:hAnsi="Arial Narrow"/>
                <w:i/>
                <w:sz w:val="20"/>
              </w:rPr>
              <w:t>The treatment must be for induction treatment purposes only</w:t>
            </w:r>
            <w:r>
              <w:rPr>
                <w:rFonts w:ascii="Arial Narrow" w:hAnsi="Arial Narrow"/>
                <w:i/>
                <w:sz w:val="20"/>
              </w:rPr>
              <w:t>,</w:t>
            </w:r>
          </w:p>
          <w:p w:rsidR="008C2933" w:rsidRPr="0057506E" w:rsidRDefault="008C2933" w:rsidP="00214212">
            <w:pPr>
              <w:spacing w:before="0" w:after="0"/>
              <w:rPr>
                <w:rFonts w:ascii="Arial Narrow" w:hAnsi="Arial Narrow"/>
                <w:i/>
                <w:sz w:val="20"/>
              </w:rPr>
            </w:pPr>
            <w:r w:rsidRPr="0057506E">
              <w:rPr>
                <w:rFonts w:ascii="Arial Narrow" w:hAnsi="Arial Narrow"/>
                <w:i/>
                <w:sz w:val="20"/>
              </w:rPr>
              <w:t>AND</w:t>
            </w:r>
          </w:p>
          <w:p w:rsidR="008C2933" w:rsidRPr="008413FC" w:rsidRDefault="008C2933" w:rsidP="00214212">
            <w:pPr>
              <w:spacing w:before="0" w:after="0"/>
              <w:rPr>
                <w:rFonts w:ascii="Arial Narrow" w:hAnsi="Arial Narrow" w:cs="Arial"/>
                <w:sz w:val="20"/>
                <w:szCs w:val="20"/>
              </w:rPr>
            </w:pPr>
            <w:r w:rsidRPr="0057506E">
              <w:rPr>
                <w:rFonts w:ascii="Arial Narrow" w:hAnsi="Arial Narrow"/>
                <w:sz w:val="20"/>
              </w:rPr>
              <w:t>Patient must not receive more than the number of cycles of treatment recommended by standard guidelines for the partner chemotherapy under this restriction.</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Clinical criteria:</w:t>
            </w:r>
          </w:p>
          <w:p w:rsidR="008C2933" w:rsidRPr="00260CE3" w:rsidRDefault="008C2933" w:rsidP="00214212">
            <w:pPr>
              <w:spacing w:before="0" w:after="0"/>
              <w:jc w:val="both"/>
              <w:rPr>
                <w:rFonts w:ascii="Arial Narrow" w:hAnsi="Arial Narrow" w:cs="Arial"/>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Pr>
                <w:rFonts w:ascii="Arial Narrow" w:hAnsi="Arial Narrow" w:cs="Arial"/>
                <w:sz w:val="20"/>
                <w:szCs w:val="20"/>
              </w:rPr>
              <w: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Population criteria:</w:t>
            </w:r>
          </w:p>
          <w:p w:rsidR="008C2933" w:rsidRPr="00260CE3" w:rsidRDefault="008C2933" w:rsidP="00214212">
            <w:pPr>
              <w:spacing w:before="0" w:after="0"/>
              <w:rPr>
                <w:rFonts w:ascii="Arial Narrow" w:hAnsi="Arial Narrow" w:cs="Arial"/>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Pr>
                <w:rFonts w:ascii="Arial Narrow" w:hAnsi="Arial Narrow" w:cs="Arial"/>
                <w:sz w:val="20"/>
                <w:szCs w:val="20"/>
              </w:rPr>
              <w: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866039"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Prescriber Instructions</w:t>
            </w:r>
          </w:p>
          <w:p w:rsidR="008C2933" w:rsidRPr="00260CE3" w:rsidRDefault="008C2933" w:rsidP="00214212">
            <w:pPr>
              <w:spacing w:before="0" w:after="0"/>
              <w:jc w:val="both"/>
              <w:rPr>
                <w:rFonts w:ascii="Arial Narrow" w:hAnsi="Arial Narrow" w:cs="Arial"/>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581689" w:rsidRDefault="008C2933" w:rsidP="00214212">
            <w:pPr>
              <w:spacing w:before="0" w:after="0"/>
              <w:rPr>
                <w:rFonts w:ascii="Arial Narrow" w:hAnsi="Arial Narrow" w:cs="Arial"/>
                <w:i/>
                <w:sz w:val="20"/>
                <w:szCs w:val="20"/>
              </w:rPr>
            </w:pPr>
            <w:r>
              <w:rPr>
                <w:rFonts w:ascii="Arial Narrow" w:hAnsi="Arial Narrow" w:cs="Arial"/>
                <w:i/>
                <w:sz w:val="20"/>
                <w:szCs w:val="20"/>
              </w:rPr>
              <w: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Administrative Advice</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19556C" w:rsidRDefault="008C2933" w:rsidP="00214212">
            <w:pPr>
              <w:spacing w:before="0" w:after="0"/>
              <w:rPr>
                <w:rFonts w:ascii="Arial Narrow" w:hAnsi="Arial Narrow" w:cs="Arial"/>
                <w:i/>
                <w:sz w:val="20"/>
                <w:szCs w:val="20"/>
              </w:rPr>
            </w:pPr>
            <w:r w:rsidRPr="0019556C">
              <w:rPr>
                <w:rFonts w:ascii="Arial Narrow" w:hAnsi="Arial Narrow" w:cs="Arial"/>
                <w:i/>
                <w:sz w:val="20"/>
                <w:szCs w:val="20"/>
              </w:rPr>
              <w:t>A patient may only qualify for PBS-subsidised treatment under this restriction once in a lifetime.</w:t>
            </w:r>
          </w:p>
          <w:p w:rsidR="008C2933" w:rsidRDefault="008C2933" w:rsidP="00214212">
            <w:pPr>
              <w:spacing w:before="0" w:after="0"/>
              <w:rPr>
                <w:rFonts w:ascii="Arial Narrow" w:hAnsi="Arial Narrow" w:cs="Arial"/>
                <w:sz w:val="20"/>
                <w:szCs w:val="20"/>
              </w:rPr>
            </w:pPr>
            <w:r w:rsidRPr="0019556C">
              <w:rPr>
                <w:rFonts w:ascii="Arial Narrow" w:hAnsi="Arial Narrow" w:cs="Arial"/>
                <w:sz w:val="20"/>
                <w:szCs w:val="20"/>
              </w:rPr>
              <w:t>No increase in the maximum number of repeats may be authorised</w:t>
            </w:r>
          </w:p>
          <w:p w:rsidR="008C2933" w:rsidRPr="00993C3B" w:rsidRDefault="008C2933" w:rsidP="00214212">
            <w:pPr>
              <w:spacing w:before="0" w:after="0"/>
              <w:rPr>
                <w:rFonts w:ascii="Arial Narrow" w:hAnsi="Arial Narrow" w:cs="Arial"/>
                <w:i/>
                <w:sz w:val="20"/>
                <w:szCs w:val="20"/>
              </w:rPr>
            </w:pPr>
            <w:r>
              <w:rPr>
                <w:rFonts w:ascii="Arial Narrow" w:hAnsi="Arial Narrow" w:cs="Arial"/>
                <w:i/>
                <w:sz w:val="20"/>
                <w:szCs w:val="20"/>
              </w:rPr>
              <w:t>Special Pricing Arrangements apply</w:t>
            </w:r>
          </w:p>
        </w:tc>
      </w:tr>
    </w:tbl>
    <w:p w:rsidR="008C2933" w:rsidRDefault="008C2933" w:rsidP="009F3689"/>
    <w:tbl>
      <w:tblPr>
        <w:tblW w:w="5000" w:type="pct"/>
        <w:tblLook w:val="0000" w:firstRow="0" w:lastRow="0" w:firstColumn="0" w:lastColumn="0" w:noHBand="0" w:noVBand="0"/>
      </w:tblPr>
      <w:tblGrid>
        <w:gridCol w:w="2620"/>
        <w:gridCol w:w="131"/>
        <w:gridCol w:w="916"/>
        <w:gridCol w:w="656"/>
        <w:gridCol w:w="1572"/>
        <w:gridCol w:w="1441"/>
        <w:gridCol w:w="1180"/>
      </w:tblGrid>
      <w:tr w:rsidR="008C2933" w:rsidRPr="00260CE3" w:rsidTr="00F96BAB">
        <w:trPr>
          <w:cantSplit/>
          <w:trHeight w:val="471"/>
        </w:trPr>
        <w:tc>
          <w:tcPr>
            <w:tcW w:w="1615" w:type="pct"/>
            <w:gridSpan w:val="2"/>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38" w:type="pct"/>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Max.</w:t>
            </w:r>
          </w:p>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Qty</w:t>
            </w:r>
          </w:p>
        </w:tc>
        <w:tc>
          <w:tcPr>
            <w:tcW w:w="385" w:type="pct"/>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№.of</w:t>
            </w:r>
          </w:p>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Rpts</w:t>
            </w:r>
          </w:p>
        </w:tc>
        <w:tc>
          <w:tcPr>
            <w:tcW w:w="923" w:type="pct"/>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Dispensed Price for Max. Qty</w:t>
            </w:r>
          </w:p>
        </w:tc>
        <w:tc>
          <w:tcPr>
            <w:tcW w:w="1538" w:type="pct"/>
            <w:gridSpan w:val="2"/>
            <w:tcBorders>
              <w:bottom w:val="single" w:sz="4" w:space="0" w:color="auto"/>
            </w:tcBorders>
          </w:tcPr>
          <w:p w:rsidR="008C2933" w:rsidRPr="00260CE3" w:rsidRDefault="008C2933" w:rsidP="00214212">
            <w:pPr>
              <w:keepNext/>
              <w:spacing w:before="0" w:after="0"/>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C2933" w:rsidRPr="00260CE3" w:rsidTr="00F96BAB">
        <w:trPr>
          <w:cantSplit/>
          <w:trHeight w:val="577"/>
        </w:trPr>
        <w:tc>
          <w:tcPr>
            <w:tcW w:w="1615" w:type="pct"/>
            <w:gridSpan w:val="2"/>
          </w:tcPr>
          <w:p w:rsidR="008C2933" w:rsidRPr="00975327" w:rsidRDefault="008C2933" w:rsidP="00214212">
            <w:pPr>
              <w:keepNext/>
              <w:spacing w:before="0" w:after="0"/>
              <w:ind w:left="-108"/>
              <w:jc w:val="both"/>
              <w:rPr>
                <w:rFonts w:ascii="Arial Narrow" w:hAnsi="Arial Narrow" w:cs="Arial"/>
                <w:smallCaps/>
                <w:sz w:val="20"/>
                <w:szCs w:val="20"/>
              </w:rPr>
            </w:pPr>
            <w:r w:rsidRPr="00975327">
              <w:rPr>
                <w:rFonts w:ascii="Arial Narrow" w:hAnsi="Arial Narrow" w:cs="Arial"/>
                <w:smallCaps/>
                <w:sz w:val="20"/>
                <w:szCs w:val="20"/>
              </w:rPr>
              <w:t xml:space="preserve">OBINUTUZUMAB </w:t>
            </w:r>
          </w:p>
          <w:p w:rsidR="008C2933" w:rsidRPr="00975327" w:rsidRDefault="008C2933" w:rsidP="00214212">
            <w:pPr>
              <w:keepNext/>
              <w:spacing w:before="0" w:after="0"/>
              <w:ind w:left="-108"/>
              <w:jc w:val="both"/>
              <w:rPr>
                <w:rFonts w:ascii="Arial Narrow" w:hAnsi="Arial Narrow" w:cs="Arial"/>
                <w:sz w:val="20"/>
                <w:szCs w:val="20"/>
              </w:rPr>
            </w:pPr>
            <w:r w:rsidRPr="00975327">
              <w:rPr>
                <w:rFonts w:ascii="Arial Narrow" w:hAnsi="Arial Narrow" w:cs="Arial"/>
                <w:sz w:val="20"/>
                <w:szCs w:val="20"/>
              </w:rPr>
              <w:t>Solution for intravenous infusion</w:t>
            </w:r>
          </w:p>
          <w:p w:rsidR="008C2933" w:rsidRPr="00975327" w:rsidRDefault="008C2933" w:rsidP="00214212">
            <w:pPr>
              <w:keepNext/>
              <w:spacing w:before="0" w:after="0"/>
              <w:ind w:left="-108"/>
              <w:jc w:val="both"/>
              <w:rPr>
                <w:rFonts w:ascii="Arial Narrow" w:hAnsi="Arial Narrow" w:cs="Arial"/>
                <w:sz w:val="20"/>
                <w:szCs w:val="20"/>
              </w:rPr>
            </w:pPr>
            <w:r w:rsidRPr="00975327">
              <w:rPr>
                <w:rFonts w:ascii="Arial Narrow" w:hAnsi="Arial Narrow" w:cs="Arial"/>
                <w:sz w:val="20"/>
                <w:szCs w:val="20"/>
              </w:rPr>
              <w:t>1,000 mg in 40 mL</w:t>
            </w:r>
          </w:p>
        </w:tc>
        <w:tc>
          <w:tcPr>
            <w:tcW w:w="538" w:type="pct"/>
          </w:tcPr>
          <w:p w:rsidR="008C2933" w:rsidRPr="00975327" w:rsidRDefault="008C2933" w:rsidP="00214212">
            <w:pPr>
              <w:keepNext/>
              <w:spacing w:before="0" w:after="0"/>
              <w:ind w:left="-108"/>
              <w:jc w:val="both"/>
              <w:rPr>
                <w:rFonts w:ascii="Arial Narrow" w:hAnsi="Arial Narrow" w:cs="Arial"/>
                <w:sz w:val="20"/>
                <w:szCs w:val="20"/>
              </w:rPr>
            </w:pPr>
          </w:p>
          <w:p w:rsidR="008C2933" w:rsidRPr="00975327" w:rsidRDefault="008C2933" w:rsidP="00214212">
            <w:pPr>
              <w:keepNext/>
              <w:spacing w:before="0" w:after="0"/>
              <w:ind w:left="-108"/>
              <w:jc w:val="both"/>
              <w:rPr>
                <w:rFonts w:ascii="Arial Narrow" w:hAnsi="Arial Narrow" w:cs="Arial"/>
                <w:sz w:val="20"/>
                <w:szCs w:val="20"/>
              </w:rPr>
            </w:pPr>
            <w:r w:rsidRPr="00975327">
              <w:rPr>
                <w:rFonts w:ascii="Arial Narrow" w:hAnsi="Arial Narrow" w:cs="Arial"/>
                <w:sz w:val="20"/>
                <w:szCs w:val="20"/>
              </w:rPr>
              <w:t>1,000 mg</w:t>
            </w:r>
          </w:p>
        </w:tc>
        <w:tc>
          <w:tcPr>
            <w:tcW w:w="385" w:type="pct"/>
          </w:tcPr>
          <w:p w:rsidR="008C2933" w:rsidRPr="00975327" w:rsidRDefault="008C2933" w:rsidP="00214212">
            <w:pPr>
              <w:keepNext/>
              <w:spacing w:before="0" w:after="0"/>
              <w:ind w:left="-108"/>
              <w:jc w:val="both"/>
              <w:rPr>
                <w:rFonts w:ascii="Arial Narrow" w:hAnsi="Arial Narrow" w:cs="Arial"/>
                <w:sz w:val="20"/>
                <w:szCs w:val="20"/>
              </w:rPr>
            </w:pPr>
          </w:p>
          <w:p w:rsidR="008C2933" w:rsidRPr="00975327" w:rsidRDefault="008C2933" w:rsidP="00214212">
            <w:pPr>
              <w:keepNext/>
              <w:spacing w:before="0" w:after="0"/>
              <w:ind w:left="-108"/>
              <w:jc w:val="both"/>
              <w:rPr>
                <w:rFonts w:ascii="Arial Narrow" w:hAnsi="Arial Narrow" w:cs="Arial"/>
                <w:i/>
                <w:sz w:val="20"/>
                <w:szCs w:val="20"/>
              </w:rPr>
            </w:pPr>
            <w:r w:rsidRPr="00975327">
              <w:rPr>
                <w:rFonts w:ascii="Arial Narrow" w:hAnsi="Arial Narrow" w:cs="Arial"/>
                <w:sz w:val="20"/>
                <w:szCs w:val="20"/>
              </w:rPr>
              <w:t>5</w:t>
            </w:r>
          </w:p>
        </w:tc>
        <w:tc>
          <w:tcPr>
            <w:tcW w:w="923" w:type="pct"/>
          </w:tcPr>
          <w:p w:rsidR="008C2933" w:rsidRPr="00975327" w:rsidRDefault="008C2933" w:rsidP="00E52745">
            <w:pPr>
              <w:pStyle w:val="TableText"/>
              <w:spacing w:before="0" w:after="0"/>
              <w:ind w:left="-108"/>
              <w:rPr>
                <w:szCs w:val="20"/>
              </w:rPr>
            </w:pPr>
            <w:r w:rsidRPr="00975327">
              <w:rPr>
                <w:szCs w:val="20"/>
              </w:rPr>
              <w:t>Published</w:t>
            </w:r>
          </w:p>
          <w:p w:rsidR="008C2933" w:rsidRPr="00975327" w:rsidRDefault="008C2933" w:rsidP="00E52745">
            <w:pPr>
              <w:pStyle w:val="TableText"/>
              <w:spacing w:before="0" w:after="0"/>
              <w:ind w:left="-108"/>
              <w:rPr>
                <w:szCs w:val="20"/>
              </w:rPr>
            </w:pPr>
            <w:r w:rsidRPr="00975327">
              <w:rPr>
                <w:szCs w:val="20"/>
              </w:rPr>
              <w:t>Public: $</w:t>
            </w:r>
            <w:r w:rsidRPr="00B93E69">
              <w:rPr>
                <w:szCs w:val="20"/>
              </w:rPr>
              <w:t>5,376.22</w:t>
            </w:r>
            <w:r w:rsidRPr="00975327">
              <w:rPr>
                <w:szCs w:val="20"/>
              </w:rPr>
              <w:t xml:space="preserve"> </w:t>
            </w:r>
            <w:r w:rsidRPr="00975327">
              <w:rPr>
                <w:szCs w:val="20"/>
              </w:rPr>
              <w:br/>
              <w:t>Private: $</w:t>
            </w:r>
            <w:r w:rsidRPr="00B93E69">
              <w:rPr>
                <w:szCs w:val="20"/>
              </w:rPr>
              <w:t>5,488.40</w:t>
            </w:r>
            <w:r w:rsidRPr="00975327">
              <w:rPr>
                <w:szCs w:val="20"/>
              </w:rPr>
              <w:t xml:space="preserve"> </w:t>
            </w:r>
            <w:r w:rsidRPr="00975327">
              <w:rPr>
                <w:szCs w:val="20"/>
              </w:rPr>
              <w:br/>
            </w:r>
          </w:p>
          <w:p w:rsidR="008C2933" w:rsidRPr="00975327" w:rsidRDefault="008C2933" w:rsidP="00E52745">
            <w:pPr>
              <w:pStyle w:val="TableText"/>
              <w:spacing w:before="0" w:after="0"/>
              <w:ind w:left="-108"/>
              <w:rPr>
                <w:szCs w:val="20"/>
              </w:rPr>
            </w:pPr>
            <w:r w:rsidRPr="00975327">
              <w:rPr>
                <w:szCs w:val="20"/>
              </w:rPr>
              <w:t>Effective</w:t>
            </w:r>
          </w:p>
          <w:p w:rsidR="008C2933" w:rsidRPr="00975327" w:rsidRDefault="008C2933" w:rsidP="004940FE">
            <w:pPr>
              <w:keepNext/>
              <w:spacing w:before="0" w:after="0"/>
              <w:ind w:left="-108"/>
              <w:rPr>
                <w:rFonts w:ascii="Arial Narrow" w:hAnsi="Arial Narrow" w:cs="Arial"/>
                <w:sz w:val="20"/>
                <w:szCs w:val="20"/>
              </w:rPr>
            </w:pPr>
            <w:r w:rsidRPr="00975327">
              <w:rPr>
                <w:rFonts w:ascii="Arial Narrow" w:hAnsi="Arial Narrow"/>
                <w:sz w:val="20"/>
                <w:szCs w:val="20"/>
              </w:rPr>
              <w:t>Public:</w:t>
            </w:r>
            <w:r w:rsidR="00295A37">
              <w:rPr>
                <w:rFonts w:ascii="Arial Narrow" w:hAnsi="Arial Narrow"/>
                <w:sz w:val="20"/>
                <w:szCs w:val="20"/>
              </w:rPr>
              <w:t xml:space="preserve"> </w:t>
            </w:r>
            <w:r w:rsidRPr="00975327">
              <w:rPr>
                <w:rFonts w:ascii="Arial Narrow" w:hAnsi="Arial Narrow"/>
                <w:sz w:val="20"/>
                <w:szCs w:val="20"/>
              </w:rPr>
              <w:t>$</w:t>
            </w:r>
            <w:r w:rsidR="00CD21DA">
              <w:rPr>
                <w:rFonts w:ascii="Arial Narrow" w:hAnsi="Arial Narrow"/>
                <w:noProof/>
                <w:color w:val="000000"/>
                <w:sz w:val="20"/>
                <w:szCs w:val="20"/>
                <w:highlight w:val="black"/>
              </w:rPr>
              <w:t>'''''''''''''''''''''</w:t>
            </w:r>
            <w:r w:rsidRPr="00975327">
              <w:rPr>
                <w:rFonts w:ascii="Arial Narrow" w:hAnsi="Arial Narrow"/>
                <w:sz w:val="20"/>
                <w:szCs w:val="20"/>
              </w:rPr>
              <w:t xml:space="preserve"> </w:t>
            </w:r>
            <w:r w:rsidRPr="00975327">
              <w:rPr>
                <w:rFonts w:ascii="Arial Narrow" w:hAnsi="Arial Narrow"/>
                <w:sz w:val="20"/>
                <w:szCs w:val="20"/>
              </w:rPr>
              <w:br/>
              <w:t>Private: $</w:t>
            </w:r>
            <w:r w:rsidR="00CD21DA">
              <w:rPr>
                <w:rFonts w:ascii="Arial Narrow" w:hAnsi="Arial Narrow"/>
                <w:noProof/>
                <w:color w:val="000000"/>
                <w:sz w:val="20"/>
                <w:szCs w:val="20"/>
                <w:highlight w:val="black"/>
              </w:rPr>
              <w:t>'''''''''''''''''''''</w:t>
            </w:r>
          </w:p>
        </w:tc>
        <w:tc>
          <w:tcPr>
            <w:tcW w:w="846" w:type="pct"/>
          </w:tcPr>
          <w:p w:rsidR="008C2933" w:rsidRPr="00975327" w:rsidRDefault="008C2933" w:rsidP="00214212">
            <w:pPr>
              <w:keepNext/>
              <w:spacing w:before="0" w:after="0"/>
              <w:jc w:val="both"/>
              <w:rPr>
                <w:rFonts w:ascii="Arial Narrow" w:hAnsi="Arial Narrow" w:cs="Arial"/>
                <w:sz w:val="20"/>
                <w:szCs w:val="20"/>
              </w:rPr>
            </w:pPr>
            <w:r w:rsidRPr="00975327">
              <w:rPr>
                <w:rFonts w:ascii="Arial Narrow" w:hAnsi="Arial Narrow" w:cs="Arial"/>
                <w:sz w:val="20"/>
                <w:szCs w:val="20"/>
              </w:rPr>
              <w:t>GAZYVA</w:t>
            </w:r>
            <w:r w:rsidRPr="00975327">
              <w:rPr>
                <w:rFonts w:ascii="Arial Narrow" w:hAnsi="Arial Narrow"/>
                <w:sz w:val="20"/>
                <w:szCs w:val="20"/>
                <w:vertAlign w:val="superscript"/>
              </w:rPr>
              <w:t>®</w:t>
            </w:r>
          </w:p>
        </w:tc>
        <w:tc>
          <w:tcPr>
            <w:tcW w:w="692" w:type="pct"/>
          </w:tcPr>
          <w:p w:rsidR="008C2933" w:rsidRPr="00975327" w:rsidRDefault="008C2933" w:rsidP="00214212">
            <w:pPr>
              <w:keepNext/>
              <w:spacing w:before="0" w:after="0"/>
              <w:jc w:val="both"/>
              <w:rPr>
                <w:rFonts w:ascii="Arial Narrow" w:hAnsi="Arial Narrow" w:cs="Arial"/>
                <w:sz w:val="20"/>
                <w:szCs w:val="20"/>
              </w:rPr>
            </w:pPr>
            <w:r w:rsidRPr="00975327">
              <w:rPr>
                <w:rFonts w:ascii="Arial Narrow" w:hAnsi="Arial Narrow" w:cs="Arial"/>
                <w:sz w:val="20"/>
                <w:szCs w:val="20"/>
              </w:rPr>
              <w:t>Roche Products Pty Ltd</w:t>
            </w:r>
          </w:p>
        </w:tc>
      </w:tr>
      <w:tr w:rsidR="008C2933" w:rsidRPr="00260CE3" w:rsidTr="00F96BAB">
        <w:trPr>
          <w:cantSplit/>
          <w:trHeight w:val="360"/>
        </w:trPr>
        <w:tc>
          <w:tcPr>
            <w:tcW w:w="5000" w:type="pct"/>
            <w:gridSpan w:val="7"/>
            <w:tcBorders>
              <w:bottom w:val="single" w:sz="4" w:space="0" w:color="auto"/>
            </w:tcBorders>
          </w:tcPr>
          <w:p w:rsidR="008C2933" w:rsidRPr="00260CE3" w:rsidRDefault="008C2933" w:rsidP="00214212">
            <w:pPr>
              <w:spacing w:before="0" w:after="0"/>
              <w:jc w:val="both"/>
              <w:rPr>
                <w:rFonts w:ascii="Arial Narrow" w:hAnsi="Arial Narrow" w:cs="Arial"/>
                <w:sz w:val="20"/>
                <w:szCs w:val="20"/>
              </w:rPr>
            </w:pP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 xml:space="preserve">Category / </w:t>
            </w:r>
          </w:p>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Program</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C33D1F">
              <w:rPr>
                <w:rFonts w:ascii="Arial Narrow" w:hAnsi="Arial Narrow" w:cs="Arial"/>
                <w:sz w:val="20"/>
                <w:szCs w:val="20"/>
              </w:rPr>
              <w:t>Section 100 – Efficient funding of C</w:t>
            </w:r>
            <w:r>
              <w:rPr>
                <w:rFonts w:ascii="Arial Narrow" w:hAnsi="Arial Narrow" w:cs="Arial"/>
                <w:sz w:val="20"/>
                <w:szCs w:val="20"/>
              </w:rPr>
              <w:t>hemotherapy</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Prescriber type:</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C2933" w:rsidRPr="00260CE3" w:rsidRDefault="008C2933" w:rsidP="00214212">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Episodicity:</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993C3B" w:rsidRDefault="008C2933" w:rsidP="00214212">
            <w:pPr>
              <w:spacing w:before="0" w:after="0"/>
              <w:rPr>
                <w:rFonts w:ascii="Arial Narrow" w:hAnsi="Arial Narrow"/>
                <w:strike/>
                <w:sz w:val="20"/>
              </w:rPr>
            </w:pPr>
            <w:r w:rsidRPr="00993C3B">
              <w:rPr>
                <w:rFonts w:ascii="Arial Narrow" w:hAnsi="Arial Narrow"/>
                <w:strike/>
                <w:sz w:val="20"/>
              </w:rPr>
              <w:t>Previously untreated</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Severity:</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C156B0" w:rsidRDefault="008C2933" w:rsidP="00214212">
            <w:pPr>
              <w:spacing w:before="0" w:after="0"/>
              <w:rPr>
                <w:rFonts w:ascii="Arial Narrow" w:hAnsi="Arial Narrow"/>
                <w:sz w:val="20"/>
              </w:rPr>
            </w:pPr>
            <w:r w:rsidRPr="00C156B0">
              <w:rPr>
                <w:rFonts w:ascii="Arial Narrow" w:hAnsi="Arial Narrow"/>
                <w:sz w:val="20"/>
              </w:rPr>
              <w:t>Stage II bulky or Stage III/IV</w:t>
            </w:r>
            <w:r w:rsidRPr="00993C3B">
              <w:rPr>
                <w:rFonts w:ascii="Arial Narrow" w:hAnsi="Arial Narrow"/>
                <w:strike/>
                <w:sz w:val="20"/>
              </w:rPr>
              <w:t xml:space="preserve"> disease</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Condition:</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C156B0" w:rsidRDefault="008C2933" w:rsidP="00214212">
            <w:pPr>
              <w:spacing w:before="0" w:after="0"/>
              <w:rPr>
                <w:rFonts w:ascii="Arial Narrow" w:hAnsi="Arial Narrow"/>
                <w:sz w:val="20"/>
              </w:rPr>
            </w:pPr>
            <w:r w:rsidRPr="00C156B0">
              <w:rPr>
                <w:rFonts w:ascii="Arial Narrow" w:hAnsi="Arial Narrow"/>
                <w:sz w:val="20"/>
              </w:rPr>
              <w:t>CD20 positive follicular lymphoma</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AE058A"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PBS Indication:</w:t>
            </w:r>
          </w:p>
          <w:p w:rsidR="008C2933" w:rsidRPr="00AE058A" w:rsidRDefault="008C2933" w:rsidP="00214212">
            <w:pPr>
              <w:spacing w:before="0" w:after="0"/>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F817CB" w:rsidRDefault="008C2933" w:rsidP="00214212">
            <w:pPr>
              <w:spacing w:before="0" w:after="0"/>
              <w:rPr>
                <w:rFonts w:ascii="Arial Narrow" w:hAnsi="Arial Narrow"/>
                <w:i/>
                <w:sz w:val="20"/>
              </w:rPr>
            </w:pPr>
            <w:r w:rsidRPr="00993C3B">
              <w:rPr>
                <w:rFonts w:ascii="Arial Narrow" w:hAnsi="Arial Narrow"/>
                <w:i/>
                <w:strike/>
                <w:sz w:val="20"/>
              </w:rPr>
              <w:t>Previously untreated</w:t>
            </w:r>
            <w:r w:rsidRPr="00F817CB">
              <w:rPr>
                <w:rFonts w:ascii="Arial Narrow" w:hAnsi="Arial Narrow"/>
                <w:i/>
                <w:sz w:val="20"/>
              </w:rPr>
              <w:t xml:space="preserve"> Stage II bulky or Stage III/IV </w:t>
            </w:r>
            <w:r w:rsidRPr="00993C3B">
              <w:rPr>
                <w:rFonts w:ascii="Arial Narrow" w:hAnsi="Arial Narrow"/>
                <w:i/>
                <w:strike/>
                <w:sz w:val="20"/>
              </w:rPr>
              <w:t>disease</w:t>
            </w:r>
            <w:r w:rsidRPr="00F817CB">
              <w:rPr>
                <w:rFonts w:ascii="Arial Narrow" w:hAnsi="Arial Narrow"/>
                <w:i/>
                <w:sz w:val="20"/>
              </w:rPr>
              <w:t xml:space="preserve"> CD20 positive follicular lymphoma</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Treatment phase:</w:t>
            </w:r>
          </w:p>
          <w:p w:rsidR="008C2933" w:rsidRPr="00260CE3" w:rsidRDefault="008C2933" w:rsidP="00214212">
            <w:pPr>
              <w:spacing w:before="0" w:after="0"/>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C156B0" w:rsidRDefault="008C2933" w:rsidP="00214212">
            <w:pPr>
              <w:spacing w:before="0" w:after="0"/>
              <w:rPr>
                <w:rFonts w:ascii="Arial Narrow" w:hAnsi="Arial Narrow" w:cs="Arial"/>
                <w:sz w:val="20"/>
                <w:szCs w:val="20"/>
              </w:rPr>
            </w:pPr>
            <w:r w:rsidRPr="00C156B0">
              <w:rPr>
                <w:rFonts w:ascii="Arial Narrow" w:hAnsi="Arial Narrow"/>
                <w:sz w:val="20"/>
              </w:rPr>
              <w:t>Maintenance therapy</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C2933" w:rsidRDefault="008C2933" w:rsidP="00214212">
            <w:pPr>
              <w:spacing w:before="0" w:after="0"/>
              <w:rPr>
                <w:rFonts w:ascii="Arial Narrow" w:hAnsi="Arial Narrow" w:cs="Arial"/>
                <w:i/>
                <w:sz w:val="20"/>
                <w:szCs w:val="20"/>
              </w:rPr>
            </w:pPr>
          </w:p>
          <w:p w:rsidR="008C2933" w:rsidRPr="00CD28F3" w:rsidRDefault="008C2933" w:rsidP="00214212">
            <w:pPr>
              <w:spacing w:before="0" w:after="0"/>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In Writing</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Telephone</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Emergency</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Electronic</w:t>
            </w:r>
          </w:p>
          <w:p w:rsidR="008C2933" w:rsidRPr="00260CE3" w:rsidRDefault="008C2933" w:rsidP="00214212">
            <w:pPr>
              <w:spacing w:before="0" w:after="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6860D8" w:rsidRDefault="008C2933" w:rsidP="00214212">
            <w:pPr>
              <w:spacing w:before="0" w:after="0"/>
              <w:rPr>
                <w:rFonts w:ascii="Arial Narrow" w:hAnsi="Arial Narrow" w:cs="Arial"/>
                <w:sz w:val="20"/>
                <w:szCs w:val="20"/>
              </w:rPr>
            </w:pPr>
            <w:r w:rsidRPr="006860D8">
              <w:rPr>
                <w:rFonts w:ascii="Arial Narrow" w:hAnsi="Arial Narrow" w:cs="Arial"/>
                <w:b/>
                <w:sz w:val="20"/>
                <w:szCs w:val="20"/>
              </w:rPr>
              <w:t>Treatment criteria:</w:t>
            </w:r>
            <w:r w:rsidRPr="006860D8">
              <w:rPr>
                <w:rFonts w:ascii="Arial Narrow" w:hAnsi="Arial Narrow" w:cs="Arial"/>
                <w:sz w:val="20"/>
                <w:szCs w:val="20"/>
              </w:rPr>
              <w:t xml:space="preserve"> </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6860D8" w:rsidRDefault="008C2933" w:rsidP="00214212">
            <w:pPr>
              <w:spacing w:before="0" w:after="0"/>
              <w:rPr>
                <w:rFonts w:ascii="Arial Narrow" w:hAnsi="Arial Narrow"/>
                <w:sz w:val="20"/>
                <w:szCs w:val="20"/>
              </w:rPr>
            </w:pPr>
            <w:r w:rsidRPr="006860D8">
              <w:rPr>
                <w:rFonts w:ascii="Arial Narrow" w:hAnsi="Arial Narrow"/>
                <w:sz w:val="20"/>
                <w:szCs w:val="20"/>
              </w:rPr>
              <w:t>The treatment must be as monotherapy</w:t>
            </w:r>
            <w:r>
              <w:rPr>
                <w:rFonts w:ascii="Arial Narrow" w:hAnsi="Arial Narrow"/>
                <w:sz w:val="20"/>
                <w:szCs w:val="20"/>
              </w:rPr>
              <w:t>,</w:t>
            </w:r>
          </w:p>
          <w:p w:rsidR="008C2933" w:rsidRPr="006860D8" w:rsidRDefault="008C2933" w:rsidP="00214212">
            <w:pPr>
              <w:spacing w:before="0" w:after="0"/>
              <w:rPr>
                <w:rFonts w:ascii="Arial Narrow" w:hAnsi="Arial Narrow"/>
                <w:sz w:val="20"/>
                <w:szCs w:val="20"/>
              </w:rPr>
            </w:pPr>
            <w:r w:rsidRPr="006860D8">
              <w:rPr>
                <w:rFonts w:ascii="Arial Narrow" w:hAnsi="Arial Narrow"/>
                <w:sz w:val="20"/>
                <w:szCs w:val="20"/>
              </w:rPr>
              <w:t>AND</w:t>
            </w:r>
          </w:p>
          <w:p w:rsidR="008C2933" w:rsidRPr="006860D8" w:rsidRDefault="008C2933" w:rsidP="00214212">
            <w:pPr>
              <w:spacing w:before="0" w:after="0"/>
              <w:rPr>
                <w:rFonts w:ascii="Arial Narrow" w:hAnsi="Arial Narrow"/>
                <w:sz w:val="20"/>
                <w:szCs w:val="20"/>
              </w:rPr>
            </w:pPr>
            <w:r w:rsidRPr="006860D8">
              <w:rPr>
                <w:rFonts w:ascii="Arial Narrow" w:hAnsi="Arial Narrow"/>
                <w:sz w:val="20"/>
                <w:szCs w:val="20"/>
              </w:rPr>
              <w:t xml:space="preserve">The treatment must be </w:t>
            </w:r>
            <w:r w:rsidRPr="006860D8">
              <w:rPr>
                <w:rFonts w:ascii="Arial Narrow" w:hAnsi="Arial Narrow"/>
                <w:strike/>
                <w:sz w:val="20"/>
                <w:szCs w:val="20"/>
              </w:rPr>
              <w:t>for</w:t>
            </w:r>
            <w:r w:rsidRPr="006860D8">
              <w:rPr>
                <w:rFonts w:ascii="Arial Narrow" w:hAnsi="Arial Narrow"/>
                <w:sz w:val="20"/>
                <w:szCs w:val="20"/>
              </w:rPr>
              <w:t xml:space="preserve"> maintenance therapy</w:t>
            </w:r>
            <w:r w:rsidRPr="006860D8">
              <w:rPr>
                <w:rFonts w:ascii="Arial Narrow" w:hAnsi="Arial Narrow"/>
                <w:strike/>
                <w:sz w:val="20"/>
                <w:szCs w:val="20"/>
              </w:rPr>
              <w:t xml:space="preserve"> only</w:t>
            </w:r>
            <w:r>
              <w:rPr>
                <w:rFonts w:ascii="Arial Narrow" w:hAnsi="Arial Narrow"/>
                <w:strike/>
                <w:sz w:val="20"/>
                <w:szCs w:val="20"/>
              </w:rPr>
              <w:t>,</w:t>
            </w:r>
          </w:p>
          <w:p w:rsidR="008C2933" w:rsidRPr="006860D8" w:rsidRDefault="008C2933" w:rsidP="00214212">
            <w:pPr>
              <w:spacing w:before="0" w:after="0"/>
              <w:rPr>
                <w:rFonts w:ascii="Arial Narrow" w:hAnsi="Arial Narrow"/>
                <w:sz w:val="20"/>
                <w:szCs w:val="20"/>
              </w:rPr>
            </w:pPr>
            <w:r w:rsidRPr="006860D8">
              <w:rPr>
                <w:rFonts w:ascii="Arial Narrow" w:hAnsi="Arial Narrow"/>
                <w:sz w:val="20"/>
                <w:szCs w:val="20"/>
              </w:rPr>
              <w:t>AND</w:t>
            </w:r>
          </w:p>
          <w:p w:rsidR="008C2933" w:rsidRPr="006860D8" w:rsidRDefault="008C2933" w:rsidP="00214212">
            <w:pPr>
              <w:spacing w:before="0" w:after="0"/>
              <w:rPr>
                <w:rFonts w:ascii="Arial Narrow" w:hAnsi="Arial Narrow"/>
                <w:sz w:val="20"/>
                <w:szCs w:val="20"/>
              </w:rPr>
            </w:pPr>
            <w:r w:rsidRPr="006860D8">
              <w:rPr>
                <w:rFonts w:ascii="Arial Narrow" w:hAnsi="Arial Narrow"/>
                <w:sz w:val="20"/>
                <w:szCs w:val="20"/>
              </w:rPr>
              <w:t>Patient must have demonstrated a partial or complete response to the PBS-subsidised</w:t>
            </w:r>
            <w:r w:rsidR="00364710">
              <w:rPr>
                <w:rFonts w:ascii="Arial Narrow" w:hAnsi="Arial Narrow"/>
                <w:sz w:val="20"/>
                <w:szCs w:val="20"/>
              </w:rPr>
              <w:t xml:space="preserve"> </w:t>
            </w:r>
            <w:r w:rsidR="00C504F0" w:rsidRPr="001E262F">
              <w:rPr>
                <w:rFonts w:ascii="Arial Narrow" w:hAnsi="Arial Narrow"/>
                <w:i/>
                <w:sz w:val="20"/>
                <w:szCs w:val="20"/>
              </w:rPr>
              <w:t>o</w:t>
            </w:r>
            <w:r w:rsidR="00364710" w:rsidRPr="001E262F">
              <w:rPr>
                <w:rFonts w:ascii="Arial Narrow" w:hAnsi="Arial Narrow"/>
                <w:i/>
                <w:sz w:val="20"/>
                <w:szCs w:val="20"/>
              </w:rPr>
              <w:t xml:space="preserve">binutuzumab and </w:t>
            </w:r>
            <w:r w:rsidR="00C504F0" w:rsidRPr="001E262F">
              <w:rPr>
                <w:rFonts w:ascii="Arial Narrow" w:hAnsi="Arial Narrow"/>
                <w:i/>
                <w:sz w:val="20"/>
                <w:szCs w:val="20"/>
              </w:rPr>
              <w:t>c</w:t>
            </w:r>
            <w:r w:rsidR="00364710" w:rsidRPr="001E262F">
              <w:rPr>
                <w:rFonts w:ascii="Arial Narrow" w:hAnsi="Arial Narrow"/>
                <w:i/>
                <w:sz w:val="20"/>
                <w:szCs w:val="20"/>
              </w:rPr>
              <w:t>hemotherapy</w:t>
            </w:r>
            <w:r w:rsidRPr="006860D8">
              <w:rPr>
                <w:rFonts w:ascii="Arial Narrow" w:hAnsi="Arial Narrow"/>
                <w:sz w:val="20"/>
                <w:szCs w:val="20"/>
              </w:rPr>
              <w:t xml:space="preserve"> induction treatment</w:t>
            </w:r>
            <w:r>
              <w:rPr>
                <w:rFonts w:ascii="Arial Narrow" w:hAnsi="Arial Narrow"/>
                <w:sz w:val="20"/>
                <w:szCs w:val="20"/>
              </w:rPr>
              <w:t>,</w:t>
            </w:r>
            <w:r w:rsidRPr="006860D8">
              <w:rPr>
                <w:rFonts w:ascii="Arial Narrow" w:hAnsi="Arial Narrow"/>
                <w:sz w:val="20"/>
                <w:szCs w:val="20"/>
              </w:rPr>
              <w:t xml:space="preserve"> </w:t>
            </w:r>
          </w:p>
          <w:p w:rsidR="008C2933" w:rsidRPr="006860D8" w:rsidRDefault="008C2933" w:rsidP="00214212">
            <w:pPr>
              <w:spacing w:before="0" w:after="0"/>
              <w:rPr>
                <w:rFonts w:ascii="Arial Narrow" w:hAnsi="Arial Narrow"/>
                <w:sz w:val="20"/>
                <w:szCs w:val="20"/>
              </w:rPr>
            </w:pPr>
            <w:r w:rsidRPr="006860D8">
              <w:rPr>
                <w:rFonts w:ascii="Arial Narrow" w:hAnsi="Arial Narrow"/>
                <w:sz w:val="20"/>
                <w:szCs w:val="20"/>
              </w:rPr>
              <w:t>AND</w:t>
            </w:r>
          </w:p>
          <w:p w:rsidR="008C2933" w:rsidRPr="006860D8" w:rsidRDefault="008C2933" w:rsidP="00214212">
            <w:pPr>
              <w:spacing w:before="0" w:after="0"/>
              <w:rPr>
                <w:rFonts w:ascii="Arial Narrow" w:hAnsi="Arial Narrow"/>
                <w:sz w:val="20"/>
                <w:szCs w:val="20"/>
              </w:rPr>
            </w:pPr>
            <w:r w:rsidRPr="006860D8">
              <w:rPr>
                <w:rFonts w:ascii="Arial Narrow" w:hAnsi="Arial Narrow"/>
                <w:sz w:val="20"/>
                <w:szCs w:val="20"/>
              </w:rPr>
              <w:t>Patient must not have progressive disease while receiving treatment with this drug,</w:t>
            </w:r>
          </w:p>
          <w:p w:rsidR="008C2933" w:rsidRPr="006860D8" w:rsidRDefault="008C2933" w:rsidP="00214212">
            <w:pPr>
              <w:spacing w:before="0" w:after="0"/>
              <w:rPr>
                <w:rFonts w:ascii="Arial Narrow" w:hAnsi="Arial Narrow"/>
                <w:sz w:val="20"/>
                <w:szCs w:val="20"/>
              </w:rPr>
            </w:pPr>
            <w:r w:rsidRPr="006860D8">
              <w:rPr>
                <w:rFonts w:ascii="Arial Narrow" w:hAnsi="Arial Narrow"/>
                <w:sz w:val="20"/>
                <w:szCs w:val="20"/>
              </w:rPr>
              <w:t>AND</w:t>
            </w:r>
          </w:p>
          <w:p w:rsidR="008C2933" w:rsidRPr="006860D8" w:rsidRDefault="008C2933" w:rsidP="00214212">
            <w:pPr>
              <w:spacing w:before="0" w:after="0"/>
              <w:rPr>
                <w:rFonts w:ascii="Arial Narrow" w:hAnsi="Arial Narrow" w:cs="Arial"/>
                <w:sz w:val="20"/>
                <w:szCs w:val="20"/>
              </w:rPr>
            </w:pPr>
            <w:r w:rsidRPr="006860D8">
              <w:rPr>
                <w:rFonts w:ascii="Arial Narrow" w:hAnsi="Arial Narrow"/>
                <w:sz w:val="20"/>
                <w:szCs w:val="20"/>
              </w:rPr>
              <w:t>Patient must not receive more than 12 doses or 2 years duration of treatment, whichever comes first, under this restriction.</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sidRPr="00260CE3">
              <w:rPr>
                <w:rFonts w:ascii="Arial Narrow" w:hAnsi="Arial Narrow" w:cs="Arial"/>
                <w:b/>
                <w:sz w:val="20"/>
                <w:szCs w:val="20"/>
              </w:rPr>
              <w:t>Clinical criteria:</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Pr>
                <w:rFonts w:ascii="Arial Narrow" w:hAnsi="Arial Narrow" w:cs="Arial"/>
                <w:sz w:val="20"/>
                <w:szCs w:val="20"/>
              </w:rPr>
              <w: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sidRPr="00260CE3">
              <w:rPr>
                <w:rFonts w:ascii="Arial Narrow" w:hAnsi="Arial Narrow" w:cs="Arial"/>
                <w:b/>
                <w:sz w:val="20"/>
                <w:szCs w:val="20"/>
              </w:rPr>
              <w:t>Population criteria:</w:t>
            </w:r>
            <w:r w:rsidRPr="00260CE3">
              <w:rPr>
                <w:rFonts w:ascii="Arial Narrow" w:hAnsi="Arial Narrow" w:cs="Arial"/>
                <w:sz w:val="20"/>
                <w:szCs w:val="20"/>
              </w:rPr>
              <w:t xml:space="preserve"> </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Pr>
                <w:rFonts w:ascii="Arial Narrow" w:hAnsi="Arial Narrow" w:cs="Arial"/>
                <w:sz w:val="20"/>
                <w:szCs w:val="20"/>
              </w:rPr>
              <w: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sidRPr="00260CE3">
              <w:rPr>
                <w:rFonts w:ascii="Arial Narrow" w:hAnsi="Arial Narrow" w:cs="Arial"/>
                <w:b/>
                <w:sz w:val="20"/>
                <w:szCs w:val="20"/>
              </w:rPr>
              <w:t>Prescriber Instructions</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Pr>
                <w:rFonts w:ascii="Arial Narrow" w:hAnsi="Arial Narrow" w:cs="Arial"/>
                <w:sz w:val="20"/>
                <w:szCs w:val="20"/>
              </w:rPr>
              <w: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Administrative Advice</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E1754A" w:rsidRDefault="008C2933" w:rsidP="00214212">
            <w:pPr>
              <w:spacing w:before="0" w:after="0"/>
              <w:rPr>
                <w:rFonts w:ascii="Arial Narrow" w:hAnsi="Arial Narrow"/>
                <w:i/>
                <w:sz w:val="20"/>
                <w:szCs w:val="20"/>
              </w:rPr>
            </w:pPr>
            <w:r w:rsidRPr="00E1754A">
              <w:rPr>
                <w:rFonts w:ascii="Arial Narrow" w:hAnsi="Arial Narrow"/>
                <w:i/>
                <w:sz w:val="20"/>
                <w:szCs w:val="20"/>
              </w:rPr>
              <w:t>A patient may only qualify for PBS-subsidised treatment under this restriction once in a lifetime.</w:t>
            </w:r>
          </w:p>
          <w:p w:rsidR="008C2933" w:rsidRDefault="008C2933" w:rsidP="00214212">
            <w:pPr>
              <w:spacing w:before="0" w:after="0"/>
              <w:rPr>
                <w:rFonts w:ascii="Arial Narrow" w:hAnsi="Arial Narrow"/>
                <w:i/>
                <w:sz w:val="20"/>
                <w:szCs w:val="20"/>
              </w:rPr>
            </w:pPr>
            <w:r w:rsidRPr="00E1754A">
              <w:rPr>
                <w:rFonts w:ascii="Arial Narrow" w:hAnsi="Arial Narrow"/>
                <w:i/>
                <w:sz w:val="20"/>
                <w:szCs w:val="20"/>
              </w:rPr>
              <w:t>No increase in the maximum number of repeats may be authorised.</w:t>
            </w:r>
          </w:p>
          <w:p w:rsidR="008C2933" w:rsidRPr="00F94A81" w:rsidRDefault="008C2933" w:rsidP="00214212">
            <w:pPr>
              <w:spacing w:before="0" w:after="0"/>
              <w:rPr>
                <w:rFonts w:ascii="Arial Narrow" w:hAnsi="Arial Narrow"/>
                <w:i/>
                <w:sz w:val="20"/>
                <w:szCs w:val="20"/>
              </w:rPr>
            </w:pPr>
            <w:r>
              <w:rPr>
                <w:rFonts w:ascii="Arial Narrow" w:hAnsi="Arial Narrow" w:cs="Arial"/>
                <w:i/>
                <w:sz w:val="20"/>
                <w:szCs w:val="20"/>
              </w:rPr>
              <w:t>Special Pricing Arrangements apply</w:t>
            </w:r>
          </w:p>
        </w:tc>
      </w:tr>
    </w:tbl>
    <w:p w:rsidR="008C2933" w:rsidRPr="009F3689" w:rsidRDefault="008C2933" w:rsidP="009F3689"/>
    <w:tbl>
      <w:tblPr>
        <w:tblW w:w="5000" w:type="pct"/>
        <w:tblLook w:val="0000" w:firstRow="0" w:lastRow="0" w:firstColumn="0" w:lastColumn="0" w:noHBand="0" w:noVBand="0"/>
      </w:tblPr>
      <w:tblGrid>
        <w:gridCol w:w="2620"/>
        <w:gridCol w:w="131"/>
        <w:gridCol w:w="916"/>
        <w:gridCol w:w="656"/>
        <w:gridCol w:w="1572"/>
        <w:gridCol w:w="1441"/>
        <w:gridCol w:w="1180"/>
      </w:tblGrid>
      <w:tr w:rsidR="008C2933" w:rsidRPr="00260CE3" w:rsidTr="00F96BAB">
        <w:trPr>
          <w:cantSplit/>
          <w:trHeight w:val="471"/>
        </w:trPr>
        <w:tc>
          <w:tcPr>
            <w:tcW w:w="1615" w:type="pct"/>
            <w:gridSpan w:val="2"/>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Name, Restriction,</w:t>
            </w:r>
          </w:p>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38" w:type="pct"/>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Max.</w:t>
            </w:r>
          </w:p>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Qty</w:t>
            </w:r>
          </w:p>
        </w:tc>
        <w:tc>
          <w:tcPr>
            <w:tcW w:w="385" w:type="pct"/>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№.of</w:t>
            </w:r>
          </w:p>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Rpts</w:t>
            </w:r>
          </w:p>
        </w:tc>
        <w:tc>
          <w:tcPr>
            <w:tcW w:w="923" w:type="pct"/>
            <w:tcBorders>
              <w:bottom w:val="single" w:sz="4" w:space="0" w:color="auto"/>
            </w:tcBorders>
          </w:tcPr>
          <w:p w:rsidR="008C2933" w:rsidRPr="00260CE3" w:rsidRDefault="008C2933" w:rsidP="00214212">
            <w:pPr>
              <w:keepNext/>
              <w:spacing w:before="0" w:after="0"/>
              <w:ind w:left="-108"/>
              <w:jc w:val="both"/>
              <w:rPr>
                <w:rFonts w:ascii="Arial Narrow" w:hAnsi="Arial Narrow" w:cs="Arial"/>
                <w:sz w:val="20"/>
                <w:szCs w:val="20"/>
              </w:rPr>
            </w:pPr>
            <w:r w:rsidRPr="00260CE3">
              <w:rPr>
                <w:rFonts w:ascii="Arial Narrow" w:hAnsi="Arial Narrow" w:cs="Arial"/>
                <w:sz w:val="20"/>
                <w:szCs w:val="20"/>
              </w:rPr>
              <w:t>Dispensed Price for Max. Qty</w:t>
            </w:r>
          </w:p>
        </w:tc>
        <w:tc>
          <w:tcPr>
            <w:tcW w:w="1538" w:type="pct"/>
            <w:gridSpan w:val="2"/>
            <w:tcBorders>
              <w:bottom w:val="single" w:sz="4" w:space="0" w:color="auto"/>
            </w:tcBorders>
          </w:tcPr>
          <w:p w:rsidR="008C2933" w:rsidRPr="00260CE3" w:rsidRDefault="008C2933" w:rsidP="00214212">
            <w:pPr>
              <w:keepNext/>
              <w:spacing w:before="0" w:after="0"/>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C2933" w:rsidRPr="00260CE3" w:rsidTr="00F96BAB">
        <w:trPr>
          <w:cantSplit/>
          <w:trHeight w:val="577"/>
        </w:trPr>
        <w:tc>
          <w:tcPr>
            <w:tcW w:w="1615" w:type="pct"/>
            <w:gridSpan w:val="2"/>
          </w:tcPr>
          <w:p w:rsidR="008C2933" w:rsidRPr="00975327" w:rsidRDefault="008C2933" w:rsidP="00214212">
            <w:pPr>
              <w:keepNext/>
              <w:spacing w:before="0" w:after="0"/>
              <w:ind w:left="-108"/>
              <w:jc w:val="both"/>
              <w:rPr>
                <w:rFonts w:ascii="Arial Narrow" w:hAnsi="Arial Narrow" w:cs="Arial"/>
                <w:smallCaps/>
                <w:sz w:val="20"/>
                <w:szCs w:val="20"/>
              </w:rPr>
            </w:pPr>
            <w:r w:rsidRPr="00975327">
              <w:rPr>
                <w:rFonts w:ascii="Arial Narrow" w:hAnsi="Arial Narrow" w:cs="Arial"/>
                <w:smallCaps/>
                <w:sz w:val="20"/>
                <w:szCs w:val="20"/>
              </w:rPr>
              <w:t xml:space="preserve">OBINUTUZUMAB </w:t>
            </w:r>
          </w:p>
          <w:p w:rsidR="008C2933" w:rsidRPr="00975327" w:rsidRDefault="008C2933" w:rsidP="00214212">
            <w:pPr>
              <w:keepNext/>
              <w:spacing w:before="0" w:after="0"/>
              <w:ind w:left="-108"/>
              <w:jc w:val="both"/>
              <w:rPr>
                <w:rFonts w:ascii="Arial Narrow" w:hAnsi="Arial Narrow" w:cs="Arial"/>
                <w:sz w:val="20"/>
                <w:szCs w:val="20"/>
              </w:rPr>
            </w:pPr>
            <w:r w:rsidRPr="00975327">
              <w:rPr>
                <w:rFonts w:ascii="Arial Narrow" w:hAnsi="Arial Narrow" w:cs="Arial"/>
                <w:sz w:val="20"/>
                <w:szCs w:val="20"/>
              </w:rPr>
              <w:t>Solution for intravenous infusion</w:t>
            </w:r>
          </w:p>
          <w:p w:rsidR="008C2933" w:rsidRPr="00975327" w:rsidRDefault="008C2933" w:rsidP="00214212">
            <w:pPr>
              <w:keepNext/>
              <w:spacing w:before="0" w:after="0"/>
              <w:ind w:left="-108"/>
              <w:jc w:val="both"/>
              <w:rPr>
                <w:rFonts w:ascii="Arial Narrow" w:hAnsi="Arial Narrow" w:cs="Arial"/>
                <w:sz w:val="20"/>
                <w:szCs w:val="20"/>
              </w:rPr>
            </w:pPr>
            <w:r w:rsidRPr="00975327">
              <w:rPr>
                <w:rFonts w:ascii="Arial Narrow" w:hAnsi="Arial Narrow" w:cs="Arial"/>
                <w:sz w:val="20"/>
                <w:szCs w:val="20"/>
              </w:rPr>
              <w:t>1,000 mg in 40 mL</w:t>
            </w:r>
          </w:p>
        </w:tc>
        <w:tc>
          <w:tcPr>
            <w:tcW w:w="538" w:type="pct"/>
          </w:tcPr>
          <w:p w:rsidR="008C2933" w:rsidRPr="00975327" w:rsidRDefault="008C2933" w:rsidP="00214212">
            <w:pPr>
              <w:keepNext/>
              <w:spacing w:before="0" w:after="0"/>
              <w:ind w:left="-108"/>
              <w:jc w:val="both"/>
              <w:rPr>
                <w:rFonts w:ascii="Arial Narrow" w:hAnsi="Arial Narrow" w:cs="Arial"/>
                <w:sz w:val="20"/>
                <w:szCs w:val="20"/>
              </w:rPr>
            </w:pPr>
          </w:p>
          <w:p w:rsidR="008C2933" w:rsidRPr="00975327" w:rsidRDefault="008C2933" w:rsidP="00214212">
            <w:pPr>
              <w:keepNext/>
              <w:spacing w:before="0" w:after="0"/>
              <w:ind w:left="-108"/>
              <w:jc w:val="both"/>
              <w:rPr>
                <w:rFonts w:ascii="Arial Narrow" w:hAnsi="Arial Narrow" w:cs="Arial"/>
                <w:sz w:val="20"/>
                <w:szCs w:val="20"/>
              </w:rPr>
            </w:pPr>
            <w:r w:rsidRPr="00975327">
              <w:rPr>
                <w:rFonts w:ascii="Arial Narrow" w:hAnsi="Arial Narrow" w:cs="Arial"/>
                <w:sz w:val="20"/>
                <w:szCs w:val="20"/>
              </w:rPr>
              <w:t>1,000 mg</w:t>
            </w:r>
          </w:p>
        </w:tc>
        <w:tc>
          <w:tcPr>
            <w:tcW w:w="385" w:type="pct"/>
          </w:tcPr>
          <w:p w:rsidR="008C2933" w:rsidRPr="00975327" w:rsidRDefault="008C2933" w:rsidP="00214212">
            <w:pPr>
              <w:keepNext/>
              <w:spacing w:before="0" w:after="0"/>
              <w:ind w:left="-108"/>
              <w:jc w:val="both"/>
              <w:rPr>
                <w:rFonts w:ascii="Arial Narrow" w:hAnsi="Arial Narrow" w:cs="Arial"/>
                <w:sz w:val="20"/>
                <w:szCs w:val="20"/>
              </w:rPr>
            </w:pPr>
          </w:p>
          <w:p w:rsidR="008C2933" w:rsidRPr="00975327" w:rsidRDefault="008C2933" w:rsidP="00214212">
            <w:pPr>
              <w:keepNext/>
              <w:spacing w:before="0" w:after="0"/>
              <w:ind w:left="-108"/>
              <w:jc w:val="both"/>
              <w:rPr>
                <w:rFonts w:ascii="Arial Narrow" w:hAnsi="Arial Narrow" w:cs="Arial"/>
                <w:i/>
                <w:sz w:val="20"/>
                <w:szCs w:val="20"/>
              </w:rPr>
            </w:pPr>
            <w:r w:rsidRPr="00975327">
              <w:rPr>
                <w:rFonts w:ascii="Arial Narrow" w:hAnsi="Arial Narrow" w:cs="Arial"/>
                <w:strike/>
                <w:sz w:val="20"/>
                <w:szCs w:val="20"/>
              </w:rPr>
              <w:t>9</w:t>
            </w:r>
            <w:r w:rsidRPr="00975327">
              <w:rPr>
                <w:rFonts w:ascii="Arial Narrow" w:hAnsi="Arial Narrow" w:cs="Arial"/>
                <w:i/>
                <w:sz w:val="20"/>
                <w:szCs w:val="20"/>
              </w:rPr>
              <w:t>8</w:t>
            </w:r>
          </w:p>
        </w:tc>
        <w:tc>
          <w:tcPr>
            <w:tcW w:w="923" w:type="pct"/>
          </w:tcPr>
          <w:p w:rsidR="008C2933" w:rsidRPr="00975327" w:rsidRDefault="008C2933" w:rsidP="00E52745">
            <w:pPr>
              <w:pStyle w:val="TableText"/>
              <w:spacing w:before="0" w:after="0"/>
              <w:ind w:left="-108"/>
              <w:rPr>
                <w:szCs w:val="20"/>
              </w:rPr>
            </w:pPr>
            <w:r w:rsidRPr="00975327">
              <w:rPr>
                <w:szCs w:val="20"/>
              </w:rPr>
              <w:t>Published</w:t>
            </w:r>
          </w:p>
          <w:p w:rsidR="008C2933" w:rsidRPr="00975327" w:rsidRDefault="008C2933" w:rsidP="00E52745">
            <w:pPr>
              <w:pStyle w:val="TableText"/>
              <w:spacing w:before="0" w:after="0"/>
              <w:ind w:left="-108"/>
              <w:rPr>
                <w:szCs w:val="20"/>
              </w:rPr>
            </w:pPr>
            <w:r w:rsidRPr="00B93E69">
              <w:rPr>
                <w:szCs w:val="20"/>
              </w:rPr>
              <w:t xml:space="preserve">Public: $5,376.22 </w:t>
            </w:r>
            <w:r w:rsidRPr="00B93E69">
              <w:rPr>
                <w:szCs w:val="20"/>
              </w:rPr>
              <w:br/>
              <w:t>Private: $5,488.40</w:t>
            </w:r>
            <w:r w:rsidRPr="00975327">
              <w:rPr>
                <w:szCs w:val="20"/>
              </w:rPr>
              <w:t xml:space="preserve"> </w:t>
            </w:r>
            <w:r w:rsidRPr="00975327">
              <w:rPr>
                <w:szCs w:val="20"/>
              </w:rPr>
              <w:br/>
            </w:r>
          </w:p>
          <w:p w:rsidR="008C2933" w:rsidRPr="00975327" w:rsidRDefault="008C2933" w:rsidP="00E52745">
            <w:pPr>
              <w:pStyle w:val="TableText"/>
              <w:spacing w:before="0" w:after="0"/>
              <w:ind w:left="-108"/>
              <w:rPr>
                <w:szCs w:val="20"/>
              </w:rPr>
            </w:pPr>
            <w:r w:rsidRPr="00975327">
              <w:rPr>
                <w:szCs w:val="20"/>
              </w:rPr>
              <w:t>Effective</w:t>
            </w:r>
          </w:p>
          <w:p w:rsidR="008C2933" w:rsidRPr="00975327" w:rsidRDefault="008C2933" w:rsidP="00295A37">
            <w:pPr>
              <w:keepNext/>
              <w:spacing w:before="0" w:after="0"/>
              <w:ind w:left="-108"/>
              <w:jc w:val="both"/>
              <w:rPr>
                <w:rFonts w:ascii="Arial Narrow" w:hAnsi="Arial Narrow" w:cs="Arial"/>
                <w:sz w:val="20"/>
                <w:szCs w:val="20"/>
              </w:rPr>
            </w:pPr>
            <w:r w:rsidRPr="00975327">
              <w:rPr>
                <w:rFonts w:ascii="Arial Narrow" w:hAnsi="Arial Narrow"/>
                <w:sz w:val="20"/>
                <w:szCs w:val="20"/>
              </w:rPr>
              <w:t>Public:</w:t>
            </w:r>
            <w:r w:rsidR="00295A37">
              <w:rPr>
                <w:rFonts w:ascii="Arial Narrow" w:hAnsi="Arial Narrow"/>
                <w:sz w:val="20"/>
                <w:szCs w:val="20"/>
              </w:rPr>
              <w:t xml:space="preserve"> </w:t>
            </w:r>
            <w:r w:rsidRPr="00975327">
              <w:rPr>
                <w:rFonts w:ascii="Arial Narrow" w:hAnsi="Arial Narrow"/>
                <w:sz w:val="20"/>
                <w:szCs w:val="20"/>
              </w:rPr>
              <w:t>$</w:t>
            </w:r>
            <w:r w:rsidR="00CD21DA">
              <w:rPr>
                <w:rFonts w:ascii="Arial Narrow" w:hAnsi="Arial Narrow"/>
                <w:noProof/>
                <w:color w:val="000000"/>
                <w:sz w:val="20"/>
                <w:szCs w:val="20"/>
                <w:highlight w:val="black"/>
              </w:rPr>
              <w:t>'''''''''''''''''''''''</w:t>
            </w:r>
            <w:r w:rsidRPr="00975327">
              <w:rPr>
                <w:rFonts w:ascii="Arial Narrow" w:hAnsi="Arial Narrow"/>
                <w:sz w:val="20"/>
                <w:szCs w:val="20"/>
              </w:rPr>
              <w:t xml:space="preserve"> </w:t>
            </w:r>
            <w:r w:rsidRPr="00975327">
              <w:rPr>
                <w:rFonts w:ascii="Arial Narrow" w:hAnsi="Arial Narrow"/>
                <w:sz w:val="20"/>
                <w:szCs w:val="20"/>
              </w:rPr>
              <w:br/>
              <w:t>Private: $</w:t>
            </w:r>
            <w:r w:rsidR="00CD21DA">
              <w:rPr>
                <w:rFonts w:ascii="Arial Narrow" w:hAnsi="Arial Narrow"/>
                <w:noProof/>
                <w:color w:val="000000"/>
                <w:sz w:val="20"/>
                <w:szCs w:val="20"/>
                <w:highlight w:val="black"/>
              </w:rPr>
              <w:t>''''''''''''''''''''''</w:t>
            </w:r>
          </w:p>
        </w:tc>
        <w:tc>
          <w:tcPr>
            <w:tcW w:w="846" w:type="pct"/>
          </w:tcPr>
          <w:p w:rsidR="008C2933" w:rsidRPr="00975327" w:rsidRDefault="008C2933" w:rsidP="00214212">
            <w:pPr>
              <w:keepNext/>
              <w:spacing w:before="0" w:after="0"/>
              <w:jc w:val="both"/>
              <w:rPr>
                <w:rFonts w:ascii="Arial Narrow" w:hAnsi="Arial Narrow" w:cs="Arial"/>
                <w:sz w:val="20"/>
                <w:szCs w:val="20"/>
              </w:rPr>
            </w:pPr>
            <w:r w:rsidRPr="00975327">
              <w:rPr>
                <w:rFonts w:ascii="Arial Narrow" w:hAnsi="Arial Narrow" w:cs="Arial"/>
                <w:sz w:val="20"/>
                <w:szCs w:val="20"/>
              </w:rPr>
              <w:t>GAZYVA</w:t>
            </w:r>
            <w:r w:rsidRPr="00975327">
              <w:rPr>
                <w:rFonts w:ascii="Arial Narrow" w:hAnsi="Arial Narrow"/>
                <w:sz w:val="20"/>
                <w:szCs w:val="20"/>
                <w:vertAlign w:val="superscript"/>
              </w:rPr>
              <w:t>®</w:t>
            </w:r>
          </w:p>
        </w:tc>
        <w:tc>
          <w:tcPr>
            <w:tcW w:w="692" w:type="pct"/>
          </w:tcPr>
          <w:p w:rsidR="008C2933" w:rsidRPr="00975327" w:rsidRDefault="008C2933" w:rsidP="00214212">
            <w:pPr>
              <w:keepNext/>
              <w:spacing w:before="0" w:after="0"/>
              <w:jc w:val="both"/>
              <w:rPr>
                <w:rFonts w:ascii="Arial Narrow" w:hAnsi="Arial Narrow" w:cs="Arial"/>
                <w:sz w:val="20"/>
                <w:szCs w:val="20"/>
              </w:rPr>
            </w:pPr>
            <w:r w:rsidRPr="00975327">
              <w:rPr>
                <w:rFonts w:ascii="Arial Narrow" w:hAnsi="Arial Narrow" w:cs="Arial"/>
                <w:sz w:val="20"/>
                <w:szCs w:val="20"/>
              </w:rPr>
              <w:t>Roche Products Pty Ltd</w:t>
            </w:r>
          </w:p>
        </w:tc>
      </w:tr>
      <w:tr w:rsidR="008C2933" w:rsidRPr="00260CE3" w:rsidTr="00F96BAB">
        <w:trPr>
          <w:cantSplit/>
          <w:trHeight w:val="360"/>
        </w:trPr>
        <w:tc>
          <w:tcPr>
            <w:tcW w:w="5000" w:type="pct"/>
            <w:gridSpan w:val="7"/>
            <w:tcBorders>
              <w:bottom w:val="single" w:sz="4" w:space="0" w:color="auto"/>
            </w:tcBorders>
          </w:tcPr>
          <w:p w:rsidR="008C2933" w:rsidRPr="00260CE3" w:rsidRDefault="008C2933" w:rsidP="00214212">
            <w:pPr>
              <w:spacing w:before="0" w:after="0"/>
              <w:jc w:val="both"/>
              <w:rPr>
                <w:rFonts w:ascii="Arial Narrow" w:hAnsi="Arial Narrow" w:cs="Arial"/>
                <w:sz w:val="20"/>
                <w:szCs w:val="20"/>
              </w:rPr>
            </w:pP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 xml:space="preserve">Category / </w:t>
            </w:r>
          </w:p>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Program</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C33D1F">
              <w:rPr>
                <w:rFonts w:ascii="Arial Narrow" w:hAnsi="Arial Narrow" w:cs="Arial"/>
                <w:sz w:val="20"/>
                <w:szCs w:val="20"/>
              </w:rPr>
              <w:t>Section 100 – Efficient funding of C</w:t>
            </w:r>
            <w:r>
              <w:rPr>
                <w:rFonts w:ascii="Arial Narrow" w:hAnsi="Arial Narrow" w:cs="Arial"/>
                <w:sz w:val="20"/>
                <w:szCs w:val="20"/>
              </w:rPr>
              <w:t>hemotherapy</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Prescriber type:</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C2933" w:rsidRPr="00260CE3" w:rsidRDefault="008C2933" w:rsidP="00214212">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Episodicity:</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C156B0" w:rsidRDefault="008C2933" w:rsidP="00214212">
            <w:pPr>
              <w:spacing w:before="0" w:after="0"/>
              <w:rPr>
                <w:rFonts w:ascii="Arial Narrow" w:hAnsi="Arial Narrow"/>
                <w:sz w:val="20"/>
              </w:rPr>
            </w:pPr>
            <w:r w:rsidRPr="00C156B0">
              <w:rPr>
                <w:rFonts w:ascii="Arial Narrow" w:hAnsi="Arial Narrow"/>
                <w:sz w:val="20"/>
              </w:rPr>
              <w:t>Previously untreated</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Severity:</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C156B0" w:rsidRDefault="008C2933" w:rsidP="00214212">
            <w:pPr>
              <w:spacing w:before="0" w:after="0"/>
              <w:rPr>
                <w:rFonts w:ascii="Arial Narrow" w:hAnsi="Arial Narrow"/>
                <w:sz w:val="20"/>
              </w:rPr>
            </w:pPr>
            <w:r w:rsidRPr="00C156B0">
              <w:rPr>
                <w:rFonts w:ascii="Arial Narrow" w:hAnsi="Arial Narrow"/>
                <w:sz w:val="20"/>
              </w:rPr>
              <w:t xml:space="preserve">Stage II bulky or Stage III/IV </w:t>
            </w:r>
            <w:r w:rsidRPr="00993C3B">
              <w:rPr>
                <w:rFonts w:ascii="Arial Narrow" w:hAnsi="Arial Narrow"/>
                <w:strike/>
                <w:sz w:val="20"/>
              </w:rPr>
              <w:t>disease</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b/>
                <w:sz w:val="20"/>
                <w:szCs w:val="20"/>
              </w:rPr>
            </w:pPr>
            <w:r w:rsidRPr="00260CE3">
              <w:rPr>
                <w:rFonts w:ascii="Arial Narrow" w:hAnsi="Arial Narrow" w:cs="Arial"/>
                <w:b/>
                <w:sz w:val="20"/>
                <w:szCs w:val="20"/>
              </w:rPr>
              <w:t>Condition:</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C156B0" w:rsidRDefault="008C2933" w:rsidP="00214212">
            <w:pPr>
              <w:spacing w:before="0" w:after="0"/>
              <w:rPr>
                <w:rFonts w:ascii="Arial Narrow" w:hAnsi="Arial Narrow"/>
                <w:sz w:val="20"/>
              </w:rPr>
            </w:pPr>
            <w:r w:rsidRPr="00C156B0">
              <w:rPr>
                <w:rFonts w:ascii="Arial Narrow" w:hAnsi="Arial Narrow"/>
                <w:sz w:val="20"/>
              </w:rPr>
              <w:t>CD20 positive follicular lymphoma</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AE058A"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PBS Indication:</w:t>
            </w:r>
          </w:p>
          <w:p w:rsidR="008C2933" w:rsidRPr="00AE058A" w:rsidRDefault="008C2933" w:rsidP="00214212">
            <w:pPr>
              <w:spacing w:before="0" w:after="0"/>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A126FD" w:rsidRDefault="008C2933" w:rsidP="00214212">
            <w:pPr>
              <w:spacing w:before="0" w:after="0"/>
              <w:rPr>
                <w:rFonts w:ascii="Arial Narrow" w:hAnsi="Arial Narrow"/>
                <w:i/>
                <w:sz w:val="20"/>
              </w:rPr>
            </w:pPr>
            <w:r w:rsidRPr="00A126FD">
              <w:rPr>
                <w:rFonts w:ascii="Arial Narrow" w:hAnsi="Arial Narrow"/>
                <w:i/>
                <w:sz w:val="20"/>
              </w:rPr>
              <w:t xml:space="preserve">Previously untreated Stage II bulky or Stage III/IV </w:t>
            </w:r>
            <w:r w:rsidRPr="00993C3B">
              <w:rPr>
                <w:rFonts w:ascii="Arial Narrow" w:hAnsi="Arial Narrow"/>
                <w:i/>
                <w:strike/>
                <w:sz w:val="20"/>
              </w:rPr>
              <w:t>disease</w:t>
            </w:r>
            <w:r w:rsidRPr="00A126FD">
              <w:rPr>
                <w:rFonts w:ascii="Arial Narrow" w:hAnsi="Arial Narrow"/>
                <w:i/>
                <w:sz w:val="20"/>
              </w:rPr>
              <w:t xml:space="preserve"> CD20 positive follicular lymphoma</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Treatment phase:</w:t>
            </w:r>
          </w:p>
          <w:p w:rsidR="008C2933" w:rsidRPr="00260CE3" w:rsidRDefault="008C2933" w:rsidP="00214212">
            <w:pPr>
              <w:spacing w:before="0" w:after="0"/>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C156B0" w:rsidRDefault="008C2933" w:rsidP="00214212">
            <w:pPr>
              <w:spacing w:before="0" w:after="0"/>
              <w:rPr>
                <w:rFonts w:ascii="Arial Narrow" w:hAnsi="Arial Narrow" w:cs="Arial"/>
                <w:sz w:val="20"/>
                <w:szCs w:val="20"/>
              </w:rPr>
            </w:pPr>
            <w:r w:rsidRPr="00400CE4">
              <w:rPr>
                <w:rFonts w:ascii="Arial Narrow" w:hAnsi="Arial Narrow"/>
                <w:sz w:val="20"/>
              </w:rPr>
              <w:t>Grandfathering treatment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C2933" w:rsidRDefault="008C2933" w:rsidP="00214212">
            <w:pPr>
              <w:spacing w:before="0" w:after="0"/>
              <w:rPr>
                <w:rFonts w:ascii="Arial Narrow" w:hAnsi="Arial Narrow" w:cs="Arial"/>
                <w:i/>
                <w:sz w:val="20"/>
                <w:szCs w:val="20"/>
              </w:rPr>
            </w:pPr>
          </w:p>
          <w:p w:rsidR="008C2933" w:rsidRPr="00CD28F3" w:rsidRDefault="008C2933" w:rsidP="00214212">
            <w:pPr>
              <w:spacing w:before="0" w:after="0"/>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In Writing</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Telephone</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Emergency</w:t>
            </w:r>
          </w:p>
          <w:p w:rsidR="008C2933" w:rsidRPr="00106BCF" w:rsidRDefault="008C2933" w:rsidP="00214212">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00DA4F17">
              <w:rPr>
                <w:rFonts w:ascii="Arial Narrow" w:hAnsi="Arial Narrow" w:cs="Arial"/>
                <w:sz w:val="20"/>
                <w:szCs w:val="20"/>
              </w:rPr>
              <w:t>–</w:t>
            </w:r>
            <w:r w:rsidRPr="00106BCF">
              <w:rPr>
                <w:rFonts w:ascii="Arial Narrow" w:hAnsi="Arial Narrow" w:cs="Arial"/>
                <w:sz w:val="20"/>
                <w:szCs w:val="20"/>
              </w:rPr>
              <w:t xml:space="preserve"> Electronic</w:t>
            </w:r>
          </w:p>
          <w:p w:rsidR="008C2933" w:rsidRPr="00260CE3" w:rsidRDefault="008C2933" w:rsidP="00214212">
            <w:pPr>
              <w:spacing w:before="0" w:after="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D21DA">
              <w:rPr>
                <w:rFonts w:ascii="Arial Narrow" w:hAnsi="Arial Narrow" w:cs="Arial"/>
                <w:sz w:val="20"/>
                <w:szCs w:val="20"/>
              </w:rPr>
            </w:r>
            <w:r w:rsidR="00CD21D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sidRPr="00260CE3">
              <w:rPr>
                <w:rFonts w:ascii="Arial Narrow" w:hAnsi="Arial Narrow" w:cs="Arial"/>
                <w:b/>
                <w:sz w:val="20"/>
                <w:szCs w:val="20"/>
              </w:rPr>
              <w:t>Treatment criteria:</w:t>
            </w:r>
            <w:r w:rsidRPr="00260CE3">
              <w:rPr>
                <w:rFonts w:ascii="Arial Narrow" w:hAnsi="Arial Narrow" w:cs="Arial"/>
                <w:sz w:val="20"/>
                <w:szCs w:val="20"/>
              </w:rPr>
              <w:t xml:space="preserve"> </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400CE4" w:rsidRDefault="008C2933" w:rsidP="00214212">
            <w:pPr>
              <w:spacing w:before="0" w:after="0"/>
              <w:rPr>
                <w:rFonts w:ascii="Arial Narrow" w:hAnsi="Arial Narrow" w:cs="Arial"/>
                <w:sz w:val="20"/>
                <w:szCs w:val="20"/>
              </w:rPr>
            </w:pPr>
            <w:r w:rsidRPr="00400CE4">
              <w:rPr>
                <w:rFonts w:ascii="Arial Narrow" w:hAnsi="Arial Narrow" w:cs="Arial"/>
                <w:sz w:val="20"/>
                <w:szCs w:val="20"/>
              </w:rPr>
              <w:t xml:space="preserve">Patient must have received treatment with obinutuzumab for this condition prior to the [PBS listing date], </w:t>
            </w:r>
          </w:p>
          <w:p w:rsidR="008C2933" w:rsidRPr="00400CE4" w:rsidRDefault="008C2933" w:rsidP="00214212">
            <w:pPr>
              <w:spacing w:before="0" w:after="0"/>
              <w:rPr>
                <w:rFonts w:ascii="Arial Narrow" w:hAnsi="Arial Narrow" w:cs="Arial"/>
                <w:sz w:val="20"/>
                <w:szCs w:val="20"/>
              </w:rPr>
            </w:pPr>
            <w:r w:rsidRPr="00400CE4">
              <w:rPr>
                <w:rFonts w:ascii="Arial Narrow" w:hAnsi="Arial Narrow" w:cs="Arial"/>
                <w:sz w:val="20"/>
                <w:szCs w:val="20"/>
              </w:rPr>
              <w:t>AND</w:t>
            </w:r>
          </w:p>
          <w:p w:rsidR="008C2933" w:rsidRDefault="008C2933" w:rsidP="00214212">
            <w:pPr>
              <w:spacing w:before="0" w:after="0"/>
              <w:rPr>
                <w:rFonts w:ascii="Arial Narrow" w:hAnsi="Arial Narrow" w:cs="Arial"/>
                <w:sz w:val="20"/>
                <w:szCs w:val="20"/>
              </w:rPr>
            </w:pPr>
            <w:r w:rsidRPr="00400CE4">
              <w:rPr>
                <w:rFonts w:ascii="Arial Narrow" w:hAnsi="Arial Narrow" w:cs="Arial"/>
                <w:sz w:val="20"/>
                <w:szCs w:val="20"/>
              </w:rPr>
              <w:t>The treatment must be in combination with</w:t>
            </w:r>
            <w:r>
              <w:rPr>
                <w:rFonts w:ascii="Arial Narrow" w:hAnsi="Arial Narrow" w:cs="Arial"/>
                <w:sz w:val="20"/>
                <w:szCs w:val="20"/>
              </w:rPr>
              <w:t xml:space="preserve"> </w:t>
            </w:r>
            <w:r>
              <w:rPr>
                <w:rFonts w:ascii="Arial Narrow" w:hAnsi="Arial Narrow"/>
                <w:i/>
                <w:sz w:val="20"/>
              </w:rPr>
              <w:t>PBS-subsidised</w:t>
            </w:r>
            <w:r w:rsidRPr="00400CE4">
              <w:rPr>
                <w:rFonts w:ascii="Arial Narrow" w:hAnsi="Arial Narrow" w:cs="Arial"/>
                <w:sz w:val="20"/>
                <w:szCs w:val="20"/>
              </w:rPr>
              <w:t xml:space="preserve"> chemotherapy,</w:t>
            </w:r>
          </w:p>
          <w:p w:rsidR="008C2933" w:rsidRDefault="008C2933" w:rsidP="00214212">
            <w:pPr>
              <w:spacing w:before="0" w:after="0"/>
              <w:rPr>
                <w:rFonts w:ascii="Arial Narrow" w:hAnsi="Arial Narrow" w:cs="Arial"/>
                <w:i/>
                <w:sz w:val="20"/>
                <w:szCs w:val="20"/>
              </w:rPr>
            </w:pPr>
            <w:r>
              <w:rPr>
                <w:rFonts w:ascii="Arial Narrow" w:hAnsi="Arial Narrow" w:cs="Arial"/>
                <w:i/>
                <w:sz w:val="20"/>
                <w:szCs w:val="20"/>
              </w:rPr>
              <w:t>AND</w:t>
            </w:r>
          </w:p>
          <w:p w:rsidR="008C2933" w:rsidRPr="00993C3B" w:rsidRDefault="008C2933" w:rsidP="00214212">
            <w:pPr>
              <w:spacing w:before="0" w:after="0"/>
              <w:rPr>
                <w:rFonts w:ascii="Arial Narrow" w:hAnsi="Arial Narrow"/>
                <w:i/>
                <w:sz w:val="20"/>
              </w:rPr>
            </w:pPr>
            <w:r w:rsidRPr="0057506E">
              <w:rPr>
                <w:rFonts w:ascii="Arial Narrow" w:hAnsi="Arial Narrow"/>
                <w:i/>
                <w:sz w:val="20"/>
              </w:rPr>
              <w:t>The treatment must be for in</w:t>
            </w:r>
            <w:r>
              <w:rPr>
                <w:rFonts w:ascii="Arial Narrow" w:hAnsi="Arial Narrow"/>
                <w:i/>
                <w:sz w:val="20"/>
              </w:rPr>
              <w:t>duction treatment purposes only,</w:t>
            </w:r>
          </w:p>
          <w:p w:rsidR="008C2933" w:rsidRPr="00400CE4" w:rsidRDefault="008C2933" w:rsidP="00214212">
            <w:pPr>
              <w:spacing w:before="0" w:after="0"/>
              <w:rPr>
                <w:rFonts w:ascii="Arial Narrow" w:hAnsi="Arial Narrow" w:cs="Arial"/>
                <w:sz w:val="20"/>
                <w:szCs w:val="20"/>
              </w:rPr>
            </w:pPr>
            <w:r w:rsidRPr="00400CE4">
              <w:rPr>
                <w:rFonts w:ascii="Arial Narrow" w:hAnsi="Arial Narrow" w:cs="Arial"/>
                <w:sz w:val="20"/>
                <w:szCs w:val="20"/>
              </w:rPr>
              <w:t>AND</w:t>
            </w:r>
          </w:p>
          <w:p w:rsidR="008C2933" w:rsidRPr="00260CE3" w:rsidRDefault="008C2933" w:rsidP="00214212">
            <w:pPr>
              <w:spacing w:before="0" w:after="0"/>
              <w:rPr>
                <w:rFonts w:ascii="Arial Narrow" w:hAnsi="Arial Narrow" w:cs="Arial"/>
                <w:sz w:val="20"/>
                <w:szCs w:val="20"/>
              </w:rPr>
            </w:pPr>
            <w:r w:rsidRPr="00400CE4">
              <w:rPr>
                <w:rFonts w:ascii="Arial Narrow" w:hAnsi="Arial Narrow" w:cs="Arial"/>
                <w:sz w:val="20"/>
                <w:szCs w:val="20"/>
              </w:rPr>
              <w:t>Patient must not receive more than the number of cycles of treatment recommended by standard guidelines for the partner chemotherapy under this restriction.</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sidRPr="00260CE3">
              <w:rPr>
                <w:rFonts w:ascii="Arial Narrow" w:hAnsi="Arial Narrow" w:cs="Arial"/>
                <w:b/>
                <w:sz w:val="20"/>
                <w:szCs w:val="20"/>
              </w:rPr>
              <w:t>Clinical criteria:</w:t>
            </w:r>
            <w:r w:rsidRPr="00260CE3">
              <w:rPr>
                <w:rFonts w:ascii="Arial Narrow" w:hAnsi="Arial Narrow" w:cs="Arial"/>
                <w:i/>
                <w:sz w:val="20"/>
                <w:szCs w:val="20"/>
              </w:rPr>
              <w:t xml:space="preserve"> </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Pr>
                <w:rFonts w:ascii="Arial Narrow" w:hAnsi="Arial Narrow" w:cs="Arial"/>
                <w:sz w:val="20"/>
                <w:szCs w:val="20"/>
              </w:rPr>
              <w: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sidRPr="00260CE3">
              <w:rPr>
                <w:rFonts w:ascii="Arial Narrow" w:hAnsi="Arial Narrow" w:cs="Arial"/>
                <w:b/>
                <w:sz w:val="20"/>
                <w:szCs w:val="20"/>
              </w:rPr>
              <w:t>Population criteria:</w:t>
            </w:r>
            <w:r w:rsidRPr="00260CE3">
              <w:rPr>
                <w:rFonts w:ascii="Arial Narrow" w:hAnsi="Arial Narrow" w:cs="Arial"/>
                <w:sz w:val="20"/>
                <w:szCs w:val="20"/>
              </w:rPr>
              <w:t xml:space="preserve"> </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Pr>
                <w:rFonts w:ascii="Arial Narrow" w:hAnsi="Arial Narrow" w:cs="Arial"/>
                <w:sz w:val="20"/>
                <w:szCs w:val="20"/>
              </w:rPr>
              <w: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sz w:val="20"/>
                <w:szCs w:val="20"/>
              </w:rPr>
            </w:pPr>
            <w:r w:rsidRPr="00260CE3">
              <w:rPr>
                <w:rFonts w:ascii="Arial Narrow" w:hAnsi="Arial Narrow" w:cs="Arial"/>
                <w:b/>
                <w:sz w:val="20"/>
                <w:szCs w:val="20"/>
              </w:rPr>
              <w:t>Prescriber Instructions</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rPr>
                <w:rFonts w:ascii="Arial Narrow" w:hAnsi="Arial Narrow" w:cs="Arial"/>
                <w:sz w:val="20"/>
                <w:szCs w:val="20"/>
              </w:rPr>
            </w:pPr>
            <w:r>
              <w:rPr>
                <w:rFonts w:ascii="Arial Narrow" w:hAnsi="Arial Narrow" w:cs="Arial"/>
                <w:sz w:val="20"/>
                <w:szCs w:val="20"/>
              </w:rPr>
              <w:t>-</w:t>
            </w:r>
          </w:p>
        </w:tc>
      </w:tr>
      <w:tr w:rsidR="008C2933" w:rsidRPr="00260CE3" w:rsidTr="00F96BAB">
        <w:trPr>
          <w:cantSplit/>
          <w:trHeight w:val="360"/>
        </w:trPr>
        <w:tc>
          <w:tcPr>
            <w:tcW w:w="1538" w:type="pct"/>
            <w:tcBorders>
              <w:top w:val="single" w:sz="4" w:space="0" w:color="auto"/>
              <w:left w:val="single" w:sz="4" w:space="0" w:color="auto"/>
              <w:bottom w:val="single" w:sz="4" w:space="0" w:color="auto"/>
              <w:right w:val="single" w:sz="4" w:space="0" w:color="auto"/>
            </w:tcBorders>
          </w:tcPr>
          <w:p w:rsidR="008C2933" w:rsidRPr="00260CE3" w:rsidRDefault="008C2933" w:rsidP="00214212">
            <w:pPr>
              <w:spacing w:before="0" w:after="0"/>
              <w:jc w:val="both"/>
              <w:rPr>
                <w:rFonts w:ascii="Arial Narrow" w:hAnsi="Arial Narrow" w:cs="Arial"/>
                <w:i/>
                <w:sz w:val="20"/>
                <w:szCs w:val="20"/>
              </w:rPr>
            </w:pPr>
            <w:r w:rsidRPr="00260CE3">
              <w:rPr>
                <w:rFonts w:ascii="Arial Narrow" w:hAnsi="Arial Narrow" w:cs="Arial"/>
                <w:b/>
                <w:sz w:val="20"/>
                <w:szCs w:val="20"/>
              </w:rPr>
              <w:t>Administrative Advice</w:t>
            </w:r>
          </w:p>
        </w:tc>
        <w:tc>
          <w:tcPr>
            <w:tcW w:w="3462" w:type="pct"/>
            <w:gridSpan w:val="6"/>
            <w:tcBorders>
              <w:top w:val="single" w:sz="4" w:space="0" w:color="auto"/>
              <w:left w:val="single" w:sz="4" w:space="0" w:color="auto"/>
              <w:bottom w:val="single" w:sz="4" w:space="0" w:color="auto"/>
              <w:right w:val="single" w:sz="4" w:space="0" w:color="auto"/>
            </w:tcBorders>
          </w:tcPr>
          <w:p w:rsidR="008C2933" w:rsidRPr="00400CE4" w:rsidRDefault="008C2933" w:rsidP="00214212">
            <w:pPr>
              <w:spacing w:before="0" w:after="0"/>
              <w:rPr>
                <w:rFonts w:ascii="Arial Narrow" w:hAnsi="Arial Narrow" w:cs="Arial"/>
                <w:i/>
                <w:sz w:val="20"/>
                <w:szCs w:val="20"/>
              </w:rPr>
            </w:pPr>
            <w:r w:rsidRPr="00400CE4">
              <w:rPr>
                <w:rFonts w:ascii="Arial Narrow" w:hAnsi="Arial Narrow" w:cs="Arial"/>
                <w:i/>
                <w:sz w:val="20"/>
                <w:szCs w:val="20"/>
              </w:rPr>
              <w:t>A patient may only qualify for PBS-subsidised treatment under this restriction once in a lifetime.</w:t>
            </w:r>
          </w:p>
          <w:p w:rsidR="008C2933" w:rsidRDefault="008C2933" w:rsidP="00214212">
            <w:pPr>
              <w:spacing w:before="0" w:after="0"/>
              <w:rPr>
                <w:rFonts w:ascii="Arial Narrow" w:hAnsi="Arial Narrow" w:cs="Arial"/>
                <w:sz w:val="20"/>
                <w:szCs w:val="20"/>
              </w:rPr>
            </w:pPr>
            <w:r w:rsidRPr="00400CE4">
              <w:rPr>
                <w:rFonts w:ascii="Arial Narrow" w:hAnsi="Arial Narrow" w:cs="Arial"/>
                <w:sz w:val="20"/>
                <w:szCs w:val="20"/>
              </w:rPr>
              <w:t>No increase in the maximum number of repeats may be authorised</w:t>
            </w:r>
          </w:p>
          <w:p w:rsidR="008C2933" w:rsidRPr="00260CE3" w:rsidRDefault="008C2933" w:rsidP="00214212">
            <w:pPr>
              <w:spacing w:before="0" w:after="0"/>
              <w:rPr>
                <w:rFonts w:ascii="Arial Narrow" w:hAnsi="Arial Narrow" w:cs="Arial"/>
                <w:sz w:val="20"/>
                <w:szCs w:val="20"/>
              </w:rPr>
            </w:pPr>
            <w:r>
              <w:rPr>
                <w:rFonts w:ascii="Arial Narrow" w:hAnsi="Arial Narrow" w:cs="Arial"/>
                <w:i/>
                <w:sz w:val="20"/>
                <w:szCs w:val="20"/>
              </w:rPr>
              <w:t>Special Pricing Arrangements apply</w:t>
            </w:r>
          </w:p>
        </w:tc>
      </w:tr>
    </w:tbl>
    <w:p w:rsidR="00C86AB4" w:rsidRPr="004A2C46" w:rsidRDefault="00730A34" w:rsidP="00A375D6">
      <w:pPr>
        <w:pStyle w:val="ListParagraph"/>
        <w:numPr>
          <w:ilvl w:val="1"/>
          <w:numId w:val="1"/>
        </w:numPr>
        <w:ind w:left="709" w:hanging="709"/>
        <w:jc w:val="both"/>
        <w:rPr>
          <w:szCs w:val="24"/>
        </w:rPr>
      </w:pPr>
      <w:r>
        <w:rPr>
          <w:szCs w:val="24"/>
        </w:rPr>
        <w:t>The PBAC noted that</w:t>
      </w:r>
      <w:r w:rsidR="004A2C46">
        <w:rPr>
          <w:szCs w:val="24"/>
        </w:rPr>
        <w:t xml:space="preserve"> </w:t>
      </w:r>
      <w:r w:rsidRPr="00730A34">
        <w:rPr>
          <w:szCs w:val="24"/>
        </w:rPr>
        <w:t xml:space="preserve">57% of patients in the </w:t>
      </w:r>
      <w:r>
        <w:rPr>
          <w:szCs w:val="24"/>
        </w:rPr>
        <w:t xml:space="preserve">GALLIUM </w:t>
      </w:r>
      <w:r w:rsidRPr="00730A34">
        <w:rPr>
          <w:szCs w:val="24"/>
        </w:rPr>
        <w:t>trial received bendamustine</w:t>
      </w:r>
      <w:r w:rsidR="00BD1688">
        <w:rPr>
          <w:szCs w:val="24"/>
        </w:rPr>
        <w:t>,</w:t>
      </w:r>
      <w:r w:rsidR="004A2C46">
        <w:rPr>
          <w:szCs w:val="24"/>
        </w:rPr>
        <w:t xml:space="preserve"> and that </w:t>
      </w:r>
      <w:r w:rsidR="004A2C46" w:rsidRPr="004A2C46">
        <w:rPr>
          <w:szCs w:val="24"/>
        </w:rPr>
        <w:t xml:space="preserve">among the various chemotherapy regimens treatment with </w:t>
      </w:r>
      <w:r w:rsidR="00991643">
        <w:rPr>
          <w:szCs w:val="24"/>
        </w:rPr>
        <w:t>obinutuzumab+</w:t>
      </w:r>
      <w:r w:rsidR="00991643" w:rsidRPr="00730A34">
        <w:rPr>
          <w:szCs w:val="24"/>
        </w:rPr>
        <w:t>bendamustine</w:t>
      </w:r>
      <w:r w:rsidR="00991643">
        <w:rPr>
          <w:szCs w:val="24"/>
        </w:rPr>
        <w:t xml:space="preserve"> </w:t>
      </w:r>
      <w:r w:rsidR="004A2C46" w:rsidRPr="004A2C46">
        <w:rPr>
          <w:szCs w:val="24"/>
        </w:rPr>
        <w:t>was associated with higher rates of grade 3 to 5 infection and second neoplasm during the maintenance and follow-up phases</w:t>
      </w:r>
      <w:r w:rsidR="004A2C46">
        <w:rPr>
          <w:szCs w:val="24"/>
        </w:rPr>
        <w:t xml:space="preserve"> (Marcus et al 2017). </w:t>
      </w:r>
      <w:r w:rsidR="00C33232">
        <w:rPr>
          <w:color w:val="000000" w:themeColor="text1"/>
          <w:szCs w:val="24"/>
        </w:rPr>
        <w:t>T</w:t>
      </w:r>
      <w:r w:rsidR="00004683" w:rsidRPr="0051126C">
        <w:rPr>
          <w:color w:val="000000" w:themeColor="text1"/>
          <w:szCs w:val="24"/>
        </w:rPr>
        <w:t xml:space="preserve">he PBAC considered that it may be appropriate for safety reasons to restrict </w:t>
      </w:r>
      <w:r w:rsidR="00AB70C4" w:rsidRPr="0051126C">
        <w:rPr>
          <w:color w:val="000000" w:themeColor="text1"/>
          <w:szCs w:val="24"/>
        </w:rPr>
        <w:t>the use of obinutuzumab to a non-bendamustine chemotherapy regimen</w:t>
      </w:r>
      <w:r w:rsidR="00B26163">
        <w:rPr>
          <w:color w:val="000000" w:themeColor="text1"/>
          <w:szCs w:val="24"/>
        </w:rPr>
        <w:t>.</w:t>
      </w:r>
    </w:p>
    <w:p w:rsidR="002E111D" w:rsidRDefault="007F7F1F" w:rsidP="00A375D6">
      <w:pPr>
        <w:pStyle w:val="ListParagraph"/>
        <w:numPr>
          <w:ilvl w:val="1"/>
          <w:numId w:val="1"/>
        </w:numPr>
        <w:ind w:left="709" w:hanging="709"/>
        <w:jc w:val="both"/>
      </w:pPr>
      <w:r>
        <w:rPr>
          <w:szCs w:val="24"/>
        </w:rPr>
        <w:t>The PBAC noted that the utilisation of obin</w:t>
      </w:r>
      <w:r w:rsidR="00AE3825">
        <w:rPr>
          <w:szCs w:val="24"/>
        </w:rPr>
        <w:t>u</w:t>
      </w:r>
      <w:r>
        <w:rPr>
          <w:szCs w:val="24"/>
        </w:rPr>
        <w:t>tuzumab as maintenance after obin</w:t>
      </w:r>
      <w:r w:rsidR="00AE3825">
        <w:rPr>
          <w:szCs w:val="24"/>
        </w:rPr>
        <w:t>u</w:t>
      </w:r>
      <w:r>
        <w:rPr>
          <w:szCs w:val="24"/>
        </w:rPr>
        <w:t xml:space="preserve">tuzumab and bendamustine induction would not be consistent with the current </w:t>
      </w:r>
      <w:r w:rsidR="0087128C">
        <w:rPr>
          <w:szCs w:val="24"/>
        </w:rPr>
        <w:t xml:space="preserve">bendamustine </w:t>
      </w:r>
      <w:r>
        <w:rPr>
          <w:szCs w:val="24"/>
        </w:rPr>
        <w:t>restriction</w:t>
      </w:r>
      <w:r w:rsidR="0087128C">
        <w:rPr>
          <w:szCs w:val="24"/>
        </w:rPr>
        <w:t>s,</w:t>
      </w:r>
      <w:r w:rsidR="00C33232">
        <w:rPr>
          <w:szCs w:val="24"/>
        </w:rPr>
        <w:t xml:space="preserve"> </w:t>
      </w:r>
      <w:r>
        <w:rPr>
          <w:szCs w:val="24"/>
        </w:rPr>
        <w:t>in which no maintenance is allowed.</w:t>
      </w:r>
      <w:r w:rsidR="00AF3D7B">
        <w:rPr>
          <w:szCs w:val="24"/>
        </w:rPr>
        <w:t xml:space="preserve"> </w:t>
      </w:r>
      <w:r w:rsidR="00DB754F">
        <w:rPr>
          <w:szCs w:val="24"/>
        </w:rPr>
        <w:t>Hence</w:t>
      </w:r>
      <w:r w:rsidR="000B447D">
        <w:rPr>
          <w:szCs w:val="24"/>
        </w:rPr>
        <w:t xml:space="preserve"> </w:t>
      </w:r>
      <w:r w:rsidR="008E6D67">
        <w:t>flow-</w:t>
      </w:r>
      <w:r w:rsidR="00E52219">
        <w:t>on</w:t>
      </w:r>
      <w:r w:rsidR="007D6418">
        <w:t xml:space="preserve"> changes would be required</w:t>
      </w:r>
      <w:r w:rsidR="002E111D">
        <w:t xml:space="preserve"> </w:t>
      </w:r>
      <w:r w:rsidR="007D6418">
        <w:t>for the</w:t>
      </w:r>
      <w:r w:rsidR="002E111D">
        <w:t xml:space="preserve"> bendamustine restriction if </w:t>
      </w:r>
      <w:r w:rsidR="007D6418">
        <w:t xml:space="preserve">treatment in combination with </w:t>
      </w:r>
      <w:r w:rsidR="002E111D">
        <w:t>obinutuzumab was recommended.</w:t>
      </w:r>
      <w:r w:rsidR="00E52219">
        <w:t xml:space="preserve"> </w:t>
      </w:r>
    </w:p>
    <w:p w:rsidR="00E0488F" w:rsidRDefault="00E0488F" w:rsidP="00A375D6">
      <w:pPr>
        <w:pStyle w:val="ListParagraph"/>
        <w:numPr>
          <w:ilvl w:val="1"/>
          <w:numId w:val="1"/>
        </w:numPr>
        <w:ind w:left="709" w:hanging="709"/>
        <w:jc w:val="both"/>
      </w:pPr>
      <w:r w:rsidRPr="00A375D6">
        <w:rPr>
          <w:szCs w:val="24"/>
        </w:rPr>
        <w:t>The</w:t>
      </w:r>
      <w:r>
        <w:t xml:space="preserve"> PBAC considered that, although not stated in the rituximab listing, the restriction for maintenance therapy should include the criteria ‘The treatment must be as monotherapy’ and ‘Patient must not have progressive disease while receiving treatment with this drug’. </w:t>
      </w:r>
    </w:p>
    <w:p w:rsidR="00877726" w:rsidRPr="00103F27" w:rsidRDefault="001D4075" w:rsidP="00103F27">
      <w:pPr>
        <w:jc w:val="both"/>
        <w:rPr>
          <w:i/>
        </w:rPr>
      </w:pPr>
      <w:r w:rsidRPr="00103F27">
        <w:rPr>
          <w:i/>
        </w:rPr>
        <w:t>For more detail on PBAC’s view, see section 7 PBAC outcome.</w:t>
      </w:r>
      <w:bookmarkStart w:id="6" w:name="_Toc413139273"/>
      <w:bookmarkStart w:id="7" w:name="_Toc365635905"/>
    </w:p>
    <w:p w:rsidR="00C317F3" w:rsidRPr="00591EA6" w:rsidRDefault="00C317F3" w:rsidP="00A375D6">
      <w:pPr>
        <w:pStyle w:val="Heading1"/>
        <w:ind w:left="709" w:hanging="709"/>
      </w:pPr>
      <w:r w:rsidRPr="00591EA6">
        <w:t>Background</w:t>
      </w:r>
      <w:bookmarkEnd w:id="6"/>
      <w:bookmarkEnd w:id="7"/>
    </w:p>
    <w:p w:rsidR="0017638E" w:rsidRPr="00591EA6" w:rsidRDefault="0017638E" w:rsidP="0017638E">
      <w:pPr>
        <w:pStyle w:val="Heading2"/>
        <w:rPr>
          <w:i w:val="0"/>
        </w:rPr>
      </w:pPr>
      <w:bookmarkStart w:id="8" w:name="_Toc365635906"/>
      <w:r w:rsidRPr="00591EA6">
        <w:rPr>
          <w:i w:val="0"/>
        </w:rPr>
        <w:t>Registration status</w:t>
      </w:r>
      <w:bookmarkEnd w:id="8"/>
    </w:p>
    <w:p w:rsidR="004E6460" w:rsidRDefault="005A0C0E" w:rsidP="00A375D6">
      <w:pPr>
        <w:pStyle w:val="ListParagraph"/>
        <w:numPr>
          <w:ilvl w:val="1"/>
          <w:numId w:val="1"/>
        </w:numPr>
        <w:ind w:left="709" w:hanging="709"/>
        <w:jc w:val="both"/>
      </w:pPr>
      <w:r w:rsidRPr="00D862F6">
        <w:t>TGA status:</w:t>
      </w:r>
      <w:r w:rsidRPr="004267F6">
        <w:t xml:space="preserve"> The submission was lodged under the TGA-PBAC parallel process.</w:t>
      </w:r>
      <w:r w:rsidR="00A07559">
        <w:t xml:space="preserve"> </w:t>
      </w:r>
      <w:r w:rsidRPr="004267F6">
        <w:t>An application for the use of obinutuzumab in previously untreated advanced follicular lymphoma was lodged wi</w:t>
      </w:r>
      <w:r w:rsidR="004E6460">
        <w:t>th the TGA on 3 November 2016 for the following indication:</w:t>
      </w:r>
    </w:p>
    <w:p w:rsidR="004E6460" w:rsidRDefault="004E6460" w:rsidP="00A375D6">
      <w:pPr>
        <w:pStyle w:val="ListParagraph"/>
        <w:ind w:left="709"/>
        <w:jc w:val="both"/>
      </w:pPr>
      <w:r w:rsidRPr="004E6460">
        <w:t>“Obinutuzumab in combination with chemotherapy followed by obinutuzumab maintenance is indicated for the treatment of patients with previously untreated advanced follicular lymphoma.”</w:t>
      </w:r>
    </w:p>
    <w:p w:rsidR="001E2CC0" w:rsidRPr="004267F6" w:rsidRDefault="004E6460" w:rsidP="00A375D6">
      <w:pPr>
        <w:pStyle w:val="ListParagraph"/>
        <w:ind w:left="709"/>
        <w:jc w:val="both"/>
      </w:pPr>
      <w:r>
        <w:t xml:space="preserve">At the time of PBAC consideration, the </w:t>
      </w:r>
      <w:r w:rsidR="003C2DD1">
        <w:t xml:space="preserve">TGA </w:t>
      </w:r>
      <w:r w:rsidR="00890B9A">
        <w:t xml:space="preserve">Clinical Evaluation Report, </w:t>
      </w:r>
      <w:r>
        <w:t xml:space="preserve">TGA Delegate’s Overview and the resolution from the TGA Advisory Committee on Medicines (ACM) were available. The ACM agreed with the TGA Delegate and advised that obinutuzumab had an overall positive </w:t>
      </w:r>
      <w:r w:rsidRPr="004E6460">
        <w:t xml:space="preserve">benefit-risk profile for </w:t>
      </w:r>
      <w:r>
        <w:t>the treatment of patients with previously untreated follicular lymphoma</w:t>
      </w:r>
      <w:r w:rsidR="002E52C2">
        <w:t xml:space="preserve"> (Ratified TGA ACM Resolution #49 October 2017)</w:t>
      </w:r>
      <w:r>
        <w:t xml:space="preserve">. </w:t>
      </w:r>
      <w:r w:rsidR="005A0C0E" w:rsidRPr="004267F6">
        <w:t>The submission indicated (p18</w:t>
      </w:r>
      <w:r w:rsidR="005A0C0E" w:rsidRPr="004267F6">
        <w:rPr>
          <w:rStyle w:val="FootnoteReference"/>
        </w:rPr>
        <w:footnoteReference w:id="1"/>
      </w:r>
      <w:r w:rsidR="005A0C0E" w:rsidRPr="004267F6">
        <w:t>) that TGA approval is expected in mid-November 2017.</w:t>
      </w:r>
      <w:r w:rsidR="00A07559">
        <w:t xml:space="preserve"> </w:t>
      </w:r>
    </w:p>
    <w:p w:rsidR="001E2CC0" w:rsidRPr="004267F6" w:rsidRDefault="001E2CC0" w:rsidP="00A375D6">
      <w:pPr>
        <w:pStyle w:val="ListParagraph"/>
        <w:numPr>
          <w:ilvl w:val="1"/>
          <w:numId w:val="1"/>
        </w:numPr>
        <w:ind w:left="709" w:hanging="709"/>
        <w:jc w:val="both"/>
      </w:pPr>
      <w:r w:rsidRPr="004267F6">
        <w:t xml:space="preserve">Obinutuzumab is currently </w:t>
      </w:r>
      <w:r w:rsidR="00155454">
        <w:t xml:space="preserve">TGA </w:t>
      </w:r>
      <w:r w:rsidRPr="004267F6">
        <w:t>registered for use in combination with chlorambucil in patients with previously untreated chronic lymphocytic leukaemia (CLL) and also in combination with bendamustine, followed by obinutuzumab maintenance, in patients with follicular lymphoma who did not respond to or progressed during treatment with rituximab or a rituximab-containing regimen.</w:t>
      </w:r>
    </w:p>
    <w:p w:rsidR="000D037F" w:rsidRPr="004267F6" w:rsidRDefault="000D037F" w:rsidP="00884DC0">
      <w:pPr>
        <w:pStyle w:val="Heading2"/>
        <w:rPr>
          <w:i w:val="0"/>
        </w:rPr>
      </w:pPr>
      <w:r w:rsidRPr="004267F6">
        <w:rPr>
          <w:i w:val="0"/>
        </w:rPr>
        <w:t>Previous PBAC consideration</w:t>
      </w:r>
    </w:p>
    <w:p w:rsidR="00C317F3" w:rsidRDefault="00C81BBB" w:rsidP="00A375D6">
      <w:pPr>
        <w:pStyle w:val="ListParagraph"/>
        <w:numPr>
          <w:ilvl w:val="1"/>
          <w:numId w:val="1"/>
        </w:numPr>
        <w:ind w:left="709" w:hanging="709"/>
        <w:jc w:val="both"/>
      </w:pPr>
      <w:r w:rsidRPr="004267F6">
        <w:t>A submission for the use of obin</w:t>
      </w:r>
      <w:r w:rsidR="003A6EF4" w:rsidRPr="004267F6">
        <w:t>u</w:t>
      </w:r>
      <w:r w:rsidRPr="004267F6">
        <w:t xml:space="preserve">tuzumab for the treatment of rituximab-refractory follicular lymphoma was </w:t>
      </w:r>
      <w:r w:rsidR="00735D3A" w:rsidRPr="004267F6">
        <w:t xml:space="preserve">considered by the PBAC </w:t>
      </w:r>
      <w:r w:rsidRPr="004267F6">
        <w:t xml:space="preserve">in November 2016. </w:t>
      </w:r>
      <w:r w:rsidR="00735D3A" w:rsidRPr="004267F6">
        <w:t xml:space="preserve">The PBAC rejected this submission on the </w:t>
      </w:r>
      <w:r w:rsidRPr="004267F6">
        <w:t>basis of uncertain cost-effectiveness and concerns about the plausibility of assumptions used in the economic model.</w:t>
      </w:r>
      <w:r w:rsidR="00A07559">
        <w:t xml:space="preserve"> </w:t>
      </w:r>
      <w:r w:rsidR="00735D3A" w:rsidRPr="004267F6">
        <w:t>C</w:t>
      </w:r>
      <w:r w:rsidRPr="004267F6">
        <w:t xml:space="preserve">oncerns </w:t>
      </w:r>
      <w:r w:rsidR="00735D3A" w:rsidRPr="004267F6">
        <w:t xml:space="preserve">were mainly </w:t>
      </w:r>
      <w:r w:rsidRPr="004267F6">
        <w:t xml:space="preserve">centred </w:t>
      </w:r>
      <w:r w:rsidR="00735D3A" w:rsidRPr="004267F6">
        <w:t xml:space="preserve">around the </w:t>
      </w:r>
      <w:r w:rsidRPr="004267F6">
        <w:t xml:space="preserve">extrapolation of PFS from immature data </w:t>
      </w:r>
      <w:r w:rsidR="00735D3A" w:rsidRPr="004267F6">
        <w:t>over a</w:t>
      </w:r>
      <w:r w:rsidRPr="004267F6">
        <w:t xml:space="preserve"> longer time horizon (15 years)</w:t>
      </w:r>
      <w:r w:rsidR="00735D3A" w:rsidRPr="004267F6">
        <w:t>.</w:t>
      </w:r>
      <w:r w:rsidR="00A07559">
        <w:t xml:space="preserve"> </w:t>
      </w:r>
      <w:r w:rsidR="00735D3A" w:rsidRPr="004267F6">
        <w:t xml:space="preserve">A </w:t>
      </w:r>
      <w:r w:rsidRPr="004267F6">
        <w:t xml:space="preserve">10 year time horizon </w:t>
      </w:r>
      <w:r w:rsidR="00735D3A" w:rsidRPr="004267F6">
        <w:t xml:space="preserve">was </w:t>
      </w:r>
      <w:r w:rsidRPr="004267F6">
        <w:t>considered more appropriate by the PBAC</w:t>
      </w:r>
      <w:r w:rsidR="00735D3A" w:rsidRPr="004267F6">
        <w:t xml:space="preserve"> for that indication</w:t>
      </w:r>
      <w:r w:rsidRPr="004267F6">
        <w:t xml:space="preserve"> (</w:t>
      </w:r>
      <w:r w:rsidR="003A6EF4" w:rsidRPr="004267F6">
        <w:t xml:space="preserve">paragraph 7.7, November 2016 obinutuzumab </w:t>
      </w:r>
      <w:r w:rsidR="00B93E69">
        <w:t>Public Summary Document (</w:t>
      </w:r>
      <w:r w:rsidR="003A6EF4" w:rsidRPr="004267F6">
        <w:t>PSD</w:t>
      </w:r>
      <w:r w:rsidR="00B93E69">
        <w:t>)</w:t>
      </w:r>
      <w:r w:rsidR="003A6EF4" w:rsidRPr="004267F6">
        <w:t>)</w:t>
      </w:r>
      <w:r w:rsidR="003B2FD4" w:rsidRPr="004267F6">
        <w:t>.</w:t>
      </w:r>
    </w:p>
    <w:p w:rsidR="00C317F3" w:rsidRPr="004267F6" w:rsidRDefault="00C317F3" w:rsidP="00A375D6">
      <w:pPr>
        <w:pStyle w:val="Heading1"/>
        <w:ind w:left="709" w:hanging="709"/>
      </w:pPr>
      <w:bookmarkStart w:id="9" w:name="_Toc365635907"/>
      <w:r w:rsidRPr="004267F6">
        <w:t>Population and disease</w:t>
      </w:r>
      <w:bookmarkEnd w:id="9"/>
    </w:p>
    <w:p w:rsidR="00C317F3" w:rsidRPr="004267F6" w:rsidRDefault="00D10166" w:rsidP="00A375D6">
      <w:pPr>
        <w:pStyle w:val="ListParagraph"/>
        <w:numPr>
          <w:ilvl w:val="1"/>
          <w:numId w:val="1"/>
        </w:numPr>
        <w:ind w:left="709" w:hanging="709"/>
        <w:jc w:val="both"/>
      </w:pPr>
      <w:r w:rsidRPr="004267F6">
        <w:t>Follicular lymphoma is a B-cell lymphoma characterised by tumour cells that appear in a circular or follicular pattern and replace the normal structure of a lymph node.</w:t>
      </w:r>
      <w:r w:rsidR="00A07559">
        <w:t xml:space="preserve"> </w:t>
      </w:r>
      <w:r w:rsidRPr="004267F6">
        <w:t>It is the second most common type of non-Hodgkin’s lymphoma (NHL) and constitutes approximately 20% to 30% of all cases of NHL.</w:t>
      </w:r>
      <w:r w:rsidR="00A07559">
        <w:t xml:space="preserve"> </w:t>
      </w:r>
      <w:r w:rsidRPr="004267F6">
        <w:t>The disease primarily affects adults aged 50 years and over and its cause is unknown.</w:t>
      </w:r>
    </w:p>
    <w:p w:rsidR="00060841" w:rsidRPr="004267F6" w:rsidRDefault="00060841" w:rsidP="00A375D6">
      <w:pPr>
        <w:pStyle w:val="ListParagraph"/>
        <w:numPr>
          <w:ilvl w:val="1"/>
          <w:numId w:val="1"/>
        </w:numPr>
        <w:ind w:left="709" w:hanging="709"/>
        <w:jc w:val="both"/>
      </w:pPr>
      <w:r w:rsidRPr="004267F6">
        <w:t>The disease tends to be insidious in nature and the majority of patients present with asymptomatic lymph node swelling.</w:t>
      </w:r>
      <w:r w:rsidR="00A07559">
        <w:t xml:space="preserve"> </w:t>
      </w:r>
      <w:r w:rsidRPr="004267F6">
        <w:t>Patients may also have abnormal enlargement of the liver or spleen or reduction in the number of blood cells.</w:t>
      </w:r>
      <w:r w:rsidR="00A07559">
        <w:t xml:space="preserve"> </w:t>
      </w:r>
      <w:r w:rsidRPr="004267F6">
        <w:t xml:space="preserve">Given the asymptomatic nature of </w:t>
      </w:r>
      <w:r w:rsidR="00364710">
        <w:t>many</w:t>
      </w:r>
      <w:r w:rsidR="000B447D">
        <w:t xml:space="preserve"> </w:t>
      </w:r>
      <w:r w:rsidRPr="004267F6">
        <w:t>presentations of the disease, patients generally do not require treatment until they become symptomatic, which may take months or years.</w:t>
      </w:r>
    </w:p>
    <w:p w:rsidR="00060841" w:rsidRDefault="00060841" w:rsidP="00A375D6">
      <w:pPr>
        <w:pStyle w:val="ListParagraph"/>
        <w:numPr>
          <w:ilvl w:val="1"/>
          <w:numId w:val="1"/>
        </w:numPr>
        <w:ind w:left="709" w:hanging="709"/>
        <w:jc w:val="both"/>
      </w:pPr>
      <w:r w:rsidRPr="004267F6">
        <w:t>The requested listing is for first-line treatment.</w:t>
      </w:r>
      <w:r w:rsidR="00A07559">
        <w:t xml:space="preserve"> </w:t>
      </w:r>
      <w:r w:rsidRPr="004267F6">
        <w:t>The submission indicated (p1) that rituximab is the standard of care for advanced stage symptomatic follicular lymphoma in both the induction</w:t>
      </w:r>
      <w:r w:rsidR="005F6F44" w:rsidRPr="004267F6">
        <w:t xml:space="preserve"> (in combination with chemotherapy)</w:t>
      </w:r>
      <w:r w:rsidRPr="004267F6">
        <w:t xml:space="preserve"> and maintenance</w:t>
      </w:r>
      <w:r w:rsidR="005F6F44" w:rsidRPr="004267F6">
        <w:t xml:space="preserve"> (as monotherapy)</w:t>
      </w:r>
      <w:r w:rsidRPr="004267F6">
        <w:t xml:space="preserve"> settings. The submission argued that there remains an unmet need for a novel treatment alternative to rituximab that can prolong progression-free survival (PFS) and overall survival (OS) for previously untreated patients.</w:t>
      </w:r>
      <w:r w:rsidR="009832FC">
        <w:t xml:space="preserve"> </w:t>
      </w:r>
      <w:r w:rsidR="00DA4F17" w:rsidRPr="004267F6">
        <w:t xml:space="preserve">The </w:t>
      </w:r>
      <w:r w:rsidR="00C142E3">
        <w:t>PBAC</w:t>
      </w:r>
      <w:r w:rsidR="00C142E3" w:rsidRPr="004267F6">
        <w:t xml:space="preserve"> </w:t>
      </w:r>
      <w:r w:rsidR="002346D8">
        <w:t>considered</w:t>
      </w:r>
      <w:r w:rsidR="00DA4F17" w:rsidRPr="004267F6">
        <w:t xml:space="preserve"> that the place in therapy for obinutuzumab is emerging. </w:t>
      </w:r>
      <w:r w:rsidR="00072C85" w:rsidRPr="00C34046">
        <w:rPr>
          <w:rFonts w:cs="Arial"/>
          <w:bCs/>
          <w:snapToGrid w:val="0"/>
          <w:lang w:val="en-GB"/>
        </w:rPr>
        <w:t>Given the generally good response to rituximab in the first</w:t>
      </w:r>
      <w:r w:rsidR="00477419">
        <w:rPr>
          <w:rFonts w:cs="Arial"/>
          <w:bCs/>
          <w:snapToGrid w:val="0"/>
          <w:lang w:val="en-GB"/>
        </w:rPr>
        <w:t>-</w:t>
      </w:r>
      <w:r w:rsidR="00072C85" w:rsidRPr="00C34046">
        <w:rPr>
          <w:rFonts w:cs="Arial"/>
          <w:bCs/>
          <w:snapToGrid w:val="0"/>
          <w:lang w:val="en-GB"/>
        </w:rPr>
        <w:t>line setting together with the indolent nature of the disease, the PBAC considered, based on the available clinical results for obinutuzumab, that the role of obinutuzumab in the first</w:t>
      </w:r>
      <w:r w:rsidR="00477419">
        <w:rPr>
          <w:rFonts w:cs="Arial"/>
          <w:bCs/>
          <w:snapToGrid w:val="0"/>
          <w:lang w:val="en-GB"/>
        </w:rPr>
        <w:t>-</w:t>
      </w:r>
      <w:r w:rsidR="00072C85" w:rsidRPr="00C34046">
        <w:rPr>
          <w:rFonts w:cs="Arial"/>
          <w:bCs/>
          <w:snapToGrid w:val="0"/>
          <w:lang w:val="en-GB"/>
        </w:rPr>
        <w:t xml:space="preserve">line setting may be limited to those patients </w:t>
      </w:r>
      <w:r w:rsidR="00364710">
        <w:rPr>
          <w:rFonts w:cs="Arial"/>
          <w:bCs/>
          <w:snapToGrid w:val="0"/>
          <w:lang w:val="en-GB"/>
        </w:rPr>
        <w:t>who have a suboptimal response to rituximab-based regimes</w:t>
      </w:r>
      <w:r w:rsidR="00E86CE5">
        <w:rPr>
          <w:rFonts w:cs="Arial"/>
          <w:bCs/>
          <w:snapToGrid w:val="0"/>
          <w:lang w:val="en-GB"/>
        </w:rPr>
        <w:t>,</w:t>
      </w:r>
      <w:r w:rsidR="00364710">
        <w:rPr>
          <w:rFonts w:cs="Arial"/>
          <w:bCs/>
          <w:snapToGrid w:val="0"/>
          <w:lang w:val="en-GB"/>
        </w:rPr>
        <w:t xml:space="preserve"> eg</w:t>
      </w:r>
      <w:r w:rsidR="001E262F">
        <w:rPr>
          <w:rFonts w:cs="Arial"/>
          <w:bCs/>
          <w:snapToGrid w:val="0"/>
          <w:lang w:val="en-GB"/>
        </w:rPr>
        <w:t>.</w:t>
      </w:r>
      <w:r w:rsidR="00364710">
        <w:rPr>
          <w:rFonts w:cs="Arial"/>
          <w:bCs/>
          <w:snapToGrid w:val="0"/>
          <w:lang w:val="en-GB"/>
        </w:rPr>
        <w:t xml:space="preserve"> those who </w:t>
      </w:r>
      <w:r w:rsidR="002E19D6">
        <w:rPr>
          <w:rFonts w:cs="Arial"/>
          <w:bCs/>
          <w:snapToGrid w:val="0"/>
          <w:lang w:val="en-GB"/>
        </w:rPr>
        <w:t xml:space="preserve">have a short time to progression after </w:t>
      </w:r>
      <w:r w:rsidR="00D91BEF">
        <w:rPr>
          <w:rFonts w:cs="Arial"/>
          <w:bCs/>
          <w:snapToGrid w:val="0"/>
          <w:lang w:val="en-GB"/>
        </w:rPr>
        <w:t>completion of induction and/or maintenance</w:t>
      </w:r>
      <w:r w:rsidR="00364710">
        <w:rPr>
          <w:rFonts w:cs="Arial"/>
          <w:bCs/>
          <w:snapToGrid w:val="0"/>
          <w:lang w:val="en-GB"/>
        </w:rPr>
        <w:t xml:space="preserve"> </w:t>
      </w:r>
      <w:r w:rsidR="00E86CE5">
        <w:rPr>
          <w:rFonts w:cs="Arial"/>
          <w:bCs/>
          <w:snapToGrid w:val="0"/>
          <w:lang w:val="en-GB"/>
        </w:rPr>
        <w:t xml:space="preserve">therapy </w:t>
      </w:r>
      <w:r w:rsidR="00364710">
        <w:rPr>
          <w:rFonts w:cs="Arial"/>
          <w:bCs/>
          <w:snapToGrid w:val="0"/>
          <w:lang w:val="en-GB"/>
        </w:rPr>
        <w:t>(though</w:t>
      </w:r>
      <w:r w:rsidR="002E19D6">
        <w:rPr>
          <w:rFonts w:cs="Arial"/>
          <w:bCs/>
          <w:snapToGrid w:val="0"/>
          <w:lang w:val="en-GB"/>
        </w:rPr>
        <w:t>,</w:t>
      </w:r>
      <w:r w:rsidR="00364710">
        <w:rPr>
          <w:rFonts w:cs="Arial"/>
          <w:bCs/>
          <w:snapToGrid w:val="0"/>
          <w:lang w:val="en-GB"/>
        </w:rPr>
        <w:t xml:space="preserve"> at present</w:t>
      </w:r>
      <w:r w:rsidR="002E19D6">
        <w:rPr>
          <w:rFonts w:cs="Arial"/>
          <w:bCs/>
          <w:snapToGrid w:val="0"/>
          <w:lang w:val="en-GB"/>
        </w:rPr>
        <w:t>,</w:t>
      </w:r>
      <w:r w:rsidR="00364710">
        <w:rPr>
          <w:rFonts w:cs="Arial"/>
          <w:bCs/>
          <w:snapToGrid w:val="0"/>
          <w:lang w:val="en-GB"/>
        </w:rPr>
        <w:t xml:space="preserve"> there are no </w:t>
      </w:r>
      <w:r w:rsidR="00AD5307">
        <w:rPr>
          <w:rFonts w:cs="Arial"/>
          <w:bCs/>
          <w:snapToGrid w:val="0"/>
          <w:lang w:val="en-GB"/>
        </w:rPr>
        <w:t xml:space="preserve">clearly defined </w:t>
      </w:r>
      <w:r w:rsidR="00364710">
        <w:rPr>
          <w:rFonts w:cs="Arial"/>
          <w:bCs/>
          <w:snapToGrid w:val="0"/>
          <w:lang w:val="en-GB"/>
        </w:rPr>
        <w:t>biological assessments to predict this subgroup of patients</w:t>
      </w:r>
      <w:r w:rsidR="00E86CE5">
        <w:rPr>
          <w:rFonts w:cs="Arial"/>
          <w:bCs/>
          <w:snapToGrid w:val="0"/>
          <w:lang w:val="en-GB"/>
        </w:rPr>
        <w:t xml:space="preserve"> a priori</w:t>
      </w:r>
      <w:r w:rsidR="00364710">
        <w:rPr>
          <w:rFonts w:cs="Arial"/>
          <w:bCs/>
          <w:snapToGrid w:val="0"/>
          <w:lang w:val="en-GB"/>
        </w:rPr>
        <w:t xml:space="preserve">), and are </w:t>
      </w:r>
      <w:r w:rsidR="00072C85" w:rsidRPr="00C34046">
        <w:rPr>
          <w:rFonts w:cs="Arial"/>
          <w:bCs/>
          <w:snapToGrid w:val="0"/>
          <w:lang w:val="en-GB"/>
        </w:rPr>
        <w:t>able to tolerate its increased toxicity.</w:t>
      </w:r>
      <w:r w:rsidR="00DC55EE">
        <w:rPr>
          <w:rFonts w:cs="Arial"/>
          <w:bCs/>
          <w:snapToGrid w:val="0"/>
          <w:color w:val="FF0000"/>
          <w:lang w:val="en-GB"/>
        </w:rPr>
        <w:t xml:space="preserve"> </w:t>
      </w:r>
    </w:p>
    <w:p w:rsidR="00063C3A" w:rsidRPr="004267F6" w:rsidRDefault="00063C3A" w:rsidP="0058302E">
      <w:pPr>
        <w:jc w:val="both"/>
      </w:pPr>
      <w:r w:rsidRPr="0058302E">
        <w:rPr>
          <w:i/>
        </w:rPr>
        <w:t>For more detail on PBAC’s view, see section 7 PBAC outcome.</w:t>
      </w:r>
    </w:p>
    <w:p w:rsidR="00C317F3" w:rsidRPr="004267F6" w:rsidRDefault="00C317F3" w:rsidP="002001C6">
      <w:pPr>
        <w:pStyle w:val="Heading1"/>
        <w:ind w:left="709" w:hanging="709"/>
      </w:pPr>
      <w:bookmarkStart w:id="10" w:name="_Toc413139275"/>
      <w:bookmarkStart w:id="11" w:name="_Toc365635908"/>
      <w:r w:rsidRPr="004267F6">
        <w:t>Comparator</w:t>
      </w:r>
      <w:bookmarkEnd w:id="10"/>
      <w:bookmarkEnd w:id="11"/>
      <w:r w:rsidR="001E262F">
        <w:t>s</w:t>
      </w:r>
    </w:p>
    <w:p w:rsidR="003E3685" w:rsidRPr="004267F6" w:rsidRDefault="003E3685" w:rsidP="00A375D6">
      <w:pPr>
        <w:pStyle w:val="ListParagraph"/>
        <w:numPr>
          <w:ilvl w:val="1"/>
          <w:numId w:val="1"/>
        </w:numPr>
        <w:ind w:left="709" w:hanging="709"/>
        <w:jc w:val="both"/>
        <w:rPr>
          <w:lang w:val="en-GB"/>
        </w:rPr>
      </w:pPr>
      <w:r w:rsidRPr="004267F6">
        <w:t>The submission nominated rituximab in combination with chemotherapy for induction treatment and rituximab monotherapy for maintenance tre</w:t>
      </w:r>
      <w:r w:rsidR="00F02583" w:rsidRPr="004267F6">
        <w:t>atment as the main comparator.</w:t>
      </w:r>
    </w:p>
    <w:p w:rsidR="0095170D" w:rsidRPr="004267F6" w:rsidRDefault="003E3685" w:rsidP="00A375D6">
      <w:pPr>
        <w:pStyle w:val="ListParagraph"/>
        <w:numPr>
          <w:ilvl w:val="1"/>
          <w:numId w:val="1"/>
        </w:numPr>
        <w:ind w:left="709" w:hanging="709"/>
        <w:jc w:val="both"/>
        <w:rPr>
          <w:lang w:val="en-GB"/>
        </w:rPr>
      </w:pPr>
      <w:r w:rsidRPr="004267F6">
        <w:t>The main arguments provided in support of this nomination were that rituximab in combination with chemotherapy is the most commonly used regimen for patients with previously untreated advanced follicular lymphoma</w:t>
      </w:r>
      <w:r w:rsidR="001660F5">
        <w:t>,</w:t>
      </w:r>
      <w:r w:rsidRPr="004267F6">
        <w:t xml:space="preserve"> and rituximab maintenance therapy is subsequently used in patients who achieve a complete or partial response to induction treatment. </w:t>
      </w:r>
      <w:r w:rsidR="00CD7FEB" w:rsidRPr="004267F6">
        <w:t>Th</w:t>
      </w:r>
      <w:r w:rsidR="005A0C0E" w:rsidRPr="004267F6">
        <w:t xml:space="preserve">e </w:t>
      </w:r>
      <w:r w:rsidR="00CD7FEB" w:rsidRPr="004267F6">
        <w:t>submission anticipated (p8) that obinutuzumab will substitute rituximab in Australian clinical practice regardless of the chemotherapy backbone that would be used for induction treatment.</w:t>
      </w:r>
    </w:p>
    <w:p w:rsidR="009925DB" w:rsidRPr="00063C3A" w:rsidRDefault="00A03A12" w:rsidP="00A375D6">
      <w:pPr>
        <w:pStyle w:val="ListParagraph"/>
        <w:numPr>
          <w:ilvl w:val="1"/>
          <w:numId w:val="1"/>
        </w:numPr>
        <w:ind w:left="709" w:hanging="709"/>
        <w:jc w:val="both"/>
        <w:rPr>
          <w:lang w:val="en-GB"/>
        </w:rPr>
      </w:pPr>
      <w:r w:rsidRPr="004267F6">
        <w:t xml:space="preserve">The </w:t>
      </w:r>
      <w:r w:rsidR="005F7036">
        <w:t>PBAC</w:t>
      </w:r>
      <w:r w:rsidR="00C62276">
        <w:t xml:space="preserve"> considered</w:t>
      </w:r>
      <w:r w:rsidRPr="004267F6">
        <w:t xml:space="preserve"> t</w:t>
      </w:r>
      <w:r w:rsidR="00CD7FEB" w:rsidRPr="004267F6">
        <w:t xml:space="preserve">he nominated comparator </w:t>
      </w:r>
      <w:r w:rsidR="005A0C0E" w:rsidRPr="004267F6">
        <w:t>wa</w:t>
      </w:r>
      <w:r w:rsidR="00CD7FEB" w:rsidRPr="004267F6">
        <w:t>s appropriate.</w:t>
      </w:r>
      <w:r w:rsidR="008937D1" w:rsidRPr="004267F6">
        <w:t xml:space="preserve"> </w:t>
      </w:r>
    </w:p>
    <w:p w:rsidR="00063C3A" w:rsidRPr="0058302E" w:rsidRDefault="00063C3A" w:rsidP="0058302E">
      <w:pPr>
        <w:jc w:val="both"/>
        <w:rPr>
          <w:lang w:val="en-GB"/>
        </w:rPr>
      </w:pPr>
      <w:r w:rsidRPr="0058302E">
        <w:rPr>
          <w:i/>
        </w:rPr>
        <w:t>For more detail on PBAC’s view, see section 7 PBAC outcome.</w:t>
      </w:r>
    </w:p>
    <w:p w:rsidR="00C317F3" w:rsidRPr="00591EA6" w:rsidRDefault="00C317F3" w:rsidP="002001C6">
      <w:pPr>
        <w:pStyle w:val="Heading1"/>
        <w:ind w:left="709" w:hanging="709"/>
      </w:pPr>
      <w:bookmarkStart w:id="12" w:name="_Toc413139276"/>
      <w:bookmarkStart w:id="13" w:name="_Toc365635909"/>
      <w:r w:rsidRPr="00591EA6">
        <w:t>Consideration of the evidence</w:t>
      </w:r>
      <w:bookmarkEnd w:id="12"/>
      <w:bookmarkEnd w:id="13"/>
    </w:p>
    <w:p w:rsidR="006E7EE5" w:rsidRPr="00FA2806" w:rsidRDefault="006E7EE5" w:rsidP="00FA2806">
      <w:pPr>
        <w:pStyle w:val="Heading2"/>
        <w:rPr>
          <w:i w:val="0"/>
        </w:rPr>
      </w:pPr>
      <w:bookmarkStart w:id="14" w:name="_Toc413139277"/>
      <w:bookmarkStart w:id="15" w:name="_Toc365635910"/>
      <w:r w:rsidRPr="00FA2806">
        <w:rPr>
          <w:i w:val="0"/>
        </w:rPr>
        <w:t>Sponsor hearing</w:t>
      </w:r>
    </w:p>
    <w:p w:rsidR="006E7EE5" w:rsidRPr="00F82DC2" w:rsidRDefault="006E7EE5" w:rsidP="00A375D6">
      <w:pPr>
        <w:pStyle w:val="ListParagraph"/>
        <w:numPr>
          <w:ilvl w:val="1"/>
          <w:numId w:val="1"/>
        </w:numPr>
        <w:ind w:left="709" w:hanging="709"/>
        <w:jc w:val="both"/>
        <w:rPr>
          <w:rFonts w:cs="Arial"/>
          <w:bCs/>
          <w:snapToGrid w:val="0"/>
        </w:rPr>
      </w:pPr>
      <w:r w:rsidRPr="00F82DC2">
        <w:rPr>
          <w:rFonts w:cs="Arial"/>
          <w:bCs/>
          <w:snapToGrid w:val="0"/>
        </w:rPr>
        <w:t>There was no hea</w:t>
      </w:r>
      <w:r w:rsidR="00FA2806" w:rsidRPr="00F82DC2">
        <w:rPr>
          <w:rFonts w:cs="Arial"/>
          <w:bCs/>
          <w:snapToGrid w:val="0"/>
        </w:rPr>
        <w:t>ring for this item</w:t>
      </w:r>
      <w:r w:rsidRPr="00F82DC2">
        <w:rPr>
          <w:rFonts w:cs="Arial"/>
          <w:bCs/>
          <w:snapToGrid w:val="0"/>
        </w:rPr>
        <w:t>.</w:t>
      </w:r>
    </w:p>
    <w:p w:rsidR="006E7EE5" w:rsidRPr="00FA2806" w:rsidRDefault="006E7EE5" w:rsidP="00FA2806">
      <w:pPr>
        <w:pStyle w:val="Heading2"/>
        <w:rPr>
          <w:i w:val="0"/>
        </w:rPr>
      </w:pPr>
      <w:r w:rsidRPr="00FA2806">
        <w:rPr>
          <w:i w:val="0"/>
        </w:rPr>
        <w:t>Consumer comments</w:t>
      </w:r>
    </w:p>
    <w:p w:rsidR="006E7EE5" w:rsidRPr="00693820" w:rsidRDefault="006E7EE5" w:rsidP="00A375D6">
      <w:pPr>
        <w:pStyle w:val="ListParagraph"/>
        <w:numPr>
          <w:ilvl w:val="1"/>
          <w:numId w:val="1"/>
        </w:numPr>
        <w:ind w:left="709" w:hanging="709"/>
        <w:jc w:val="both"/>
        <w:rPr>
          <w:rFonts w:cs="Arial"/>
          <w:bCs/>
          <w:snapToGrid w:val="0"/>
        </w:rPr>
      </w:pPr>
      <w:r w:rsidRPr="00116173">
        <w:rPr>
          <w:rFonts w:cs="Arial"/>
          <w:bCs/>
          <w:snapToGrid w:val="0"/>
        </w:rPr>
        <w:t>The PBAC noted and welcomed the input from individuals (</w:t>
      </w:r>
      <w:r w:rsidR="00F82DC2" w:rsidRPr="00116173">
        <w:rPr>
          <w:rFonts w:cs="Arial"/>
          <w:bCs/>
          <w:snapToGrid w:val="0"/>
        </w:rPr>
        <w:t>2</w:t>
      </w:r>
      <w:r w:rsidRPr="00116173">
        <w:rPr>
          <w:rFonts w:cs="Arial"/>
          <w:bCs/>
          <w:snapToGrid w:val="0"/>
        </w:rPr>
        <w:t>)</w:t>
      </w:r>
      <w:r w:rsidR="00F82DC2" w:rsidRPr="00116173">
        <w:rPr>
          <w:rFonts w:cs="Arial"/>
          <w:bCs/>
          <w:snapToGrid w:val="0"/>
        </w:rPr>
        <w:t xml:space="preserve"> and organisations (2</w:t>
      </w:r>
      <w:r w:rsidRPr="00116173">
        <w:rPr>
          <w:rFonts w:cs="Arial"/>
          <w:bCs/>
          <w:snapToGrid w:val="0"/>
        </w:rPr>
        <w:t>) via the Consumer Comments facility on the PBS website.</w:t>
      </w:r>
      <w:r w:rsidR="00A07559">
        <w:rPr>
          <w:rFonts w:cs="Arial"/>
          <w:bCs/>
          <w:snapToGrid w:val="0"/>
        </w:rPr>
        <w:t xml:space="preserve"> </w:t>
      </w:r>
      <w:r w:rsidRPr="00116173">
        <w:rPr>
          <w:rFonts w:cs="Arial"/>
          <w:bCs/>
          <w:snapToGrid w:val="0"/>
        </w:rPr>
        <w:t xml:space="preserve">The comments </w:t>
      </w:r>
      <w:r w:rsidR="003E1A44" w:rsidRPr="00116173">
        <w:rPr>
          <w:rFonts w:cs="Arial"/>
          <w:bCs/>
          <w:snapToGrid w:val="0"/>
        </w:rPr>
        <w:t xml:space="preserve">from individuals </w:t>
      </w:r>
      <w:r w:rsidR="00565BE0">
        <w:rPr>
          <w:rFonts w:cs="Arial"/>
          <w:bCs/>
          <w:snapToGrid w:val="0"/>
        </w:rPr>
        <w:t xml:space="preserve">were from </w:t>
      </w:r>
      <w:r w:rsidR="003E1A44" w:rsidRPr="00116173">
        <w:rPr>
          <w:rFonts w:cs="Arial"/>
          <w:bCs/>
          <w:snapToGrid w:val="0"/>
        </w:rPr>
        <w:t>patients</w:t>
      </w:r>
      <w:r w:rsidR="00565BE0">
        <w:rPr>
          <w:rFonts w:cs="Arial"/>
          <w:bCs/>
          <w:snapToGrid w:val="0"/>
        </w:rPr>
        <w:t xml:space="preserve"> who</w:t>
      </w:r>
      <w:r w:rsidR="003E1A44" w:rsidRPr="00116173">
        <w:rPr>
          <w:rFonts w:cs="Arial"/>
          <w:bCs/>
          <w:snapToGrid w:val="0"/>
        </w:rPr>
        <w:t xml:space="preserve"> wanted access to new treatment option</w:t>
      </w:r>
      <w:r w:rsidR="00A638E9">
        <w:rPr>
          <w:rFonts w:cs="Arial"/>
          <w:bCs/>
          <w:snapToGrid w:val="0"/>
        </w:rPr>
        <w:t>s</w:t>
      </w:r>
      <w:r w:rsidR="00565BE0">
        <w:rPr>
          <w:rFonts w:cs="Arial"/>
          <w:bCs/>
          <w:snapToGrid w:val="0"/>
        </w:rPr>
        <w:t xml:space="preserve">. The patients believed </w:t>
      </w:r>
      <w:r w:rsidR="003E1A44" w:rsidRPr="00116173">
        <w:rPr>
          <w:rFonts w:cs="Arial"/>
          <w:bCs/>
          <w:snapToGrid w:val="0"/>
        </w:rPr>
        <w:t>that obin</w:t>
      </w:r>
      <w:r w:rsidR="00897C97">
        <w:rPr>
          <w:rFonts w:cs="Arial"/>
          <w:bCs/>
          <w:snapToGrid w:val="0"/>
        </w:rPr>
        <w:t>utuzumab had</w:t>
      </w:r>
      <w:r w:rsidR="003E1A44" w:rsidRPr="00116173">
        <w:rPr>
          <w:rFonts w:cs="Arial"/>
          <w:bCs/>
          <w:snapToGrid w:val="0"/>
        </w:rPr>
        <w:t xml:space="preserve"> reduced side effects and </w:t>
      </w:r>
      <w:r w:rsidR="00A638E9">
        <w:rPr>
          <w:rFonts w:cs="Arial"/>
          <w:bCs/>
          <w:snapToGrid w:val="0"/>
        </w:rPr>
        <w:t xml:space="preserve">was associated with </w:t>
      </w:r>
      <w:r w:rsidR="003E1A44" w:rsidRPr="00116173">
        <w:rPr>
          <w:rFonts w:cs="Arial"/>
          <w:bCs/>
          <w:snapToGrid w:val="0"/>
        </w:rPr>
        <w:t>better outcomes</w:t>
      </w:r>
      <w:r w:rsidR="0011389F">
        <w:rPr>
          <w:rFonts w:cs="Arial"/>
          <w:bCs/>
          <w:snapToGrid w:val="0"/>
        </w:rPr>
        <w:t xml:space="preserve"> </w:t>
      </w:r>
      <w:r w:rsidR="003E1A44" w:rsidRPr="00693820">
        <w:rPr>
          <w:rFonts w:cs="Arial"/>
          <w:bCs/>
          <w:snapToGrid w:val="0"/>
        </w:rPr>
        <w:t xml:space="preserve">compared to standard care. </w:t>
      </w:r>
      <w:r w:rsidR="002055F9">
        <w:t>The PBAC noted that the clinical evidence presented in the submission did not support patient’s beliefs that obinutuzumab had reduced adverse events (AEs)</w:t>
      </w:r>
      <w:r w:rsidR="001660F5">
        <w:t>,</w:t>
      </w:r>
      <w:r w:rsidR="002055F9">
        <w:t xml:space="preserve"> but rather indicated an increase in AEs.</w:t>
      </w:r>
    </w:p>
    <w:p w:rsidR="006E7EE5" w:rsidRPr="00E52EC4" w:rsidRDefault="006E7EE5" w:rsidP="00A375D6">
      <w:pPr>
        <w:pStyle w:val="ListParagraph"/>
        <w:numPr>
          <w:ilvl w:val="1"/>
          <w:numId w:val="1"/>
        </w:numPr>
        <w:ind w:left="709" w:hanging="709"/>
        <w:jc w:val="both"/>
        <w:rPr>
          <w:rFonts w:cs="Arial"/>
          <w:bCs/>
          <w:snapToGrid w:val="0"/>
        </w:rPr>
      </w:pPr>
      <w:r w:rsidRPr="008839EA">
        <w:rPr>
          <w:rFonts w:cs="Arial"/>
          <w:bCs/>
          <w:snapToGrid w:val="0"/>
        </w:rPr>
        <w:t xml:space="preserve">The PBAC noted </w:t>
      </w:r>
      <w:r w:rsidR="00693820" w:rsidRPr="008839EA">
        <w:rPr>
          <w:rFonts w:cs="Arial"/>
          <w:bCs/>
          <w:snapToGrid w:val="0"/>
        </w:rPr>
        <w:t xml:space="preserve">correspondence </w:t>
      </w:r>
      <w:r w:rsidRPr="008839EA">
        <w:rPr>
          <w:rFonts w:cs="Arial"/>
          <w:bCs/>
          <w:snapToGrid w:val="0"/>
        </w:rPr>
        <w:t xml:space="preserve">from </w:t>
      </w:r>
      <w:r w:rsidR="00212939" w:rsidRPr="008839EA">
        <w:rPr>
          <w:rFonts w:cs="Arial"/>
          <w:bCs/>
          <w:snapToGrid w:val="0"/>
        </w:rPr>
        <w:t>the Leukaemia Foundation</w:t>
      </w:r>
      <w:r w:rsidR="00693820" w:rsidRPr="008839EA">
        <w:rPr>
          <w:rFonts w:cs="Arial"/>
          <w:bCs/>
          <w:snapToGrid w:val="0"/>
        </w:rPr>
        <w:t xml:space="preserve"> which supported </w:t>
      </w:r>
      <w:r w:rsidR="00477419">
        <w:rPr>
          <w:rFonts w:cs="Arial"/>
          <w:bCs/>
          <w:snapToGrid w:val="0"/>
        </w:rPr>
        <w:t>obinutuzumab as a first-</w:t>
      </w:r>
      <w:r w:rsidR="00693820" w:rsidRPr="008839EA">
        <w:rPr>
          <w:rFonts w:cs="Arial"/>
          <w:bCs/>
          <w:snapToGrid w:val="0"/>
        </w:rPr>
        <w:t>line tr</w:t>
      </w:r>
      <w:r w:rsidR="00165FF0">
        <w:rPr>
          <w:rFonts w:cs="Arial"/>
          <w:bCs/>
          <w:snapToGrid w:val="0"/>
        </w:rPr>
        <w:t>eatment for follicular lymphoma</w:t>
      </w:r>
      <w:r w:rsidR="00A638E9">
        <w:rPr>
          <w:rFonts w:cs="Arial"/>
          <w:bCs/>
          <w:snapToGrid w:val="0"/>
        </w:rPr>
        <w:t>. The Leukaemia Foundation considered PBS listing of obinutuzumab</w:t>
      </w:r>
      <w:r w:rsidR="00165FF0">
        <w:rPr>
          <w:rFonts w:cs="Arial"/>
          <w:bCs/>
          <w:snapToGrid w:val="0"/>
        </w:rPr>
        <w:t xml:space="preserve"> would </w:t>
      </w:r>
      <w:r w:rsidR="009026EC" w:rsidRPr="008839EA">
        <w:rPr>
          <w:rFonts w:cs="Arial"/>
          <w:bCs/>
          <w:snapToGrid w:val="0"/>
        </w:rPr>
        <w:t>expand haematologists’ treat</w:t>
      </w:r>
      <w:r w:rsidR="00A638E9">
        <w:rPr>
          <w:rFonts w:cs="Arial"/>
          <w:bCs/>
          <w:snapToGrid w:val="0"/>
        </w:rPr>
        <w:t>ment</w:t>
      </w:r>
      <w:r w:rsidR="009026EC" w:rsidRPr="008839EA">
        <w:rPr>
          <w:rFonts w:cs="Arial"/>
          <w:bCs/>
          <w:snapToGrid w:val="0"/>
        </w:rPr>
        <w:t xml:space="preserve"> options</w:t>
      </w:r>
      <w:r w:rsidR="006B613C">
        <w:rPr>
          <w:rFonts w:cs="Arial"/>
          <w:bCs/>
          <w:snapToGrid w:val="0"/>
        </w:rPr>
        <w:t>,</w:t>
      </w:r>
      <w:r w:rsidR="009026EC" w:rsidRPr="008839EA">
        <w:rPr>
          <w:rFonts w:cs="Arial"/>
          <w:bCs/>
          <w:snapToGrid w:val="0"/>
        </w:rPr>
        <w:t xml:space="preserve"> </w:t>
      </w:r>
      <w:r w:rsidR="00A638E9">
        <w:rPr>
          <w:rFonts w:cs="Arial"/>
          <w:bCs/>
          <w:snapToGrid w:val="0"/>
        </w:rPr>
        <w:t>allowing therapy to be more tailored for patients</w:t>
      </w:r>
      <w:r w:rsidR="00C53386">
        <w:rPr>
          <w:rFonts w:cs="Arial"/>
          <w:bCs/>
          <w:snapToGrid w:val="0"/>
        </w:rPr>
        <w:t>.</w:t>
      </w:r>
      <w:r w:rsidR="00A07559">
        <w:rPr>
          <w:rFonts w:cs="Arial"/>
          <w:bCs/>
          <w:snapToGrid w:val="0"/>
        </w:rPr>
        <w:t xml:space="preserve"> </w:t>
      </w:r>
      <w:r w:rsidR="00C53386">
        <w:rPr>
          <w:rFonts w:cs="Arial"/>
          <w:bCs/>
          <w:snapToGrid w:val="0"/>
        </w:rPr>
        <w:t>The response also r</w:t>
      </w:r>
      <w:r w:rsidR="00C53386" w:rsidRPr="008839EA">
        <w:rPr>
          <w:rFonts w:cs="Arial"/>
          <w:bCs/>
          <w:snapToGrid w:val="0"/>
        </w:rPr>
        <w:t xml:space="preserve">ecalled the </w:t>
      </w:r>
      <w:r w:rsidR="0011389F">
        <w:rPr>
          <w:rFonts w:cs="Arial"/>
          <w:bCs/>
          <w:snapToGrid w:val="0"/>
        </w:rPr>
        <w:t xml:space="preserve">results of a </w:t>
      </w:r>
      <w:r w:rsidR="00637A02">
        <w:rPr>
          <w:rFonts w:cs="Arial"/>
          <w:bCs/>
          <w:snapToGrid w:val="0"/>
        </w:rPr>
        <w:t xml:space="preserve">patient </w:t>
      </w:r>
      <w:r w:rsidR="00C53386" w:rsidRPr="008839EA">
        <w:rPr>
          <w:rFonts w:cs="Arial"/>
          <w:bCs/>
          <w:snapToGrid w:val="0"/>
        </w:rPr>
        <w:t xml:space="preserve">survey presented in the November 2016 </w:t>
      </w:r>
      <w:r w:rsidR="00C53386" w:rsidRPr="00E52EC4">
        <w:rPr>
          <w:rFonts w:cs="Arial"/>
          <w:bCs/>
          <w:snapToGrid w:val="0"/>
        </w:rPr>
        <w:t xml:space="preserve">submission for obinutuzumab for rituximab-refractory follicular lymphoma, where </w:t>
      </w:r>
      <w:r w:rsidR="00C53386" w:rsidRPr="00E52EC4">
        <w:t xml:space="preserve">fear of relapse was a common theme </w:t>
      </w:r>
      <w:r w:rsidR="0011389F">
        <w:t>for participants</w:t>
      </w:r>
      <w:r w:rsidR="00C53386" w:rsidRPr="00E52EC4">
        <w:rPr>
          <w:rFonts w:cs="Arial"/>
          <w:bCs/>
          <w:snapToGrid w:val="0"/>
        </w:rPr>
        <w:t>. The PBAC also noted correspondence from Lymphoma Australia, which highlighted</w:t>
      </w:r>
      <w:r w:rsidR="0011389F">
        <w:rPr>
          <w:rFonts w:cs="Arial"/>
          <w:bCs/>
          <w:snapToGrid w:val="0"/>
        </w:rPr>
        <w:t xml:space="preserve"> that</w:t>
      </w:r>
      <w:r w:rsidR="00C53386" w:rsidRPr="00E52EC4">
        <w:rPr>
          <w:rFonts w:cs="Arial"/>
          <w:bCs/>
          <w:snapToGrid w:val="0"/>
        </w:rPr>
        <w:t xml:space="preserve"> the goal of initial cancer treatment is to prevent the cancer from progressing for as long as possible</w:t>
      </w:r>
      <w:r w:rsidR="00C53386">
        <w:rPr>
          <w:rFonts w:cs="Arial"/>
          <w:bCs/>
          <w:snapToGrid w:val="0"/>
        </w:rPr>
        <w:t xml:space="preserve">. </w:t>
      </w:r>
      <w:r w:rsidR="0011389F">
        <w:rPr>
          <w:rFonts w:cs="Arial"/>
          <w:bCs/>
          <w:snapToGrid w:val="0"/>
        </w:rPr>
        <w:t>R</w:t>
      </w:r>
      <w:r w:rsidR="00C53386">
        <w:rPr>
          <w:rFonts w:cs="Arial"/>
          <w:bCs/>
          <w:snapToGrid w:val="0"/>
        </w:rPr>
        <w:t xml:space="preserve">esponses </w:t>
      </w:r>
      <w:r w:rsidR="0011389F">
        <w:rPr>
          <w:rFonts w:cs="Arial"/>
          <w:bCs/>
          <w:snapToGrid w:val="0"/>
        </w:rPr>
        <w:t xml:space="preserve">from both organisations </w:t>
      </w:r>
      <w:r w:rsidR="006556A3">
        <w:rPr>
          <w:rFonts w:cs="Arial"/>
          <w:bCs/>
          <w:snapToGrid w:val="0"/>
        </w:rPr>
        <w:t xml:space="preserve">stated that obinutuzumab </w:t>
      </w:r>
      <w:r w:rsidR="006556A3" w:rsidRPr="00E52EC4">
        <w:rPr>
          <w:rFonts w:cs="Arial"/>
          <w:bCs/>
          <w:snapToGrid w:val="0"/>
        </w:rPr>
        <w:t xml:space="preserve">demonstrated </w:t>
      </w:r>
      <w:r w:rsidR="00197E70">
        <w:rPr>
          <w:rFonts w:cs="Arial"/>
          <w:bCs/>
          <w:snapToGrid w:val="0"/>
        </w:rPr>
        <w:t xml:space="preserve">a </w:t>
      </w:r>
      <w:r w:rsidR="006556A3" w:rsidRPr="00E52EC4">
        <w:rPr>
          <w:rFonts w:cs="Arial"/>
          <w:bCs/>
          <w:snapToGrid w:val="0"/>
        </w:rPr>
        <w:t xml:space="preserve">sustained benefit in </w:t>
      </w:r>
      <w:r w:rsidR="0011389F">
        <w:rPr>
          <w:rFonts w:cs="Arial"/>
          <w:bCs/>
          <w:snapToGrid w:val="0"/>
        </w:rPr>
        <w:t>PFS</w:t>
      </w:r>
      <w:r w:rsidR="006556A3" w:rsidRPr="00E52EC4">
        <w:rPr>
          <w:rFonts w:cs="Arial"/>
          <w:bCs/>
          <w:snapToGrid w:val="0"/>
        </w:rPr>
        <w:t xml:space="preserve"> over rituximab </w:t>
      </w:r>
      <w:r w:rsidR="006556A3">
        <w:rPr>
          <w:rFonts w:cs="Arial"/>
          <w:bCs/>
          <w:snapToGrid w:val="0"/>
        </w:rPr>
        <w:t xml:space="preserve">and </w:t>
      </w:r>
      <w:r w:rsidR="009026EC" w:rsidRPr="008839EA">
        <w:rPr>
          <w:rFonts w:cs="Arial"/>
          <w:bCs/>
          <w:snapToGrid w:val="0"/>
        </w:rPr>
        <w:t>extend</w:t>
      </w:r>
      <w:r w:rsidR="006556A3">
        <w:rPr>
          <w:rFonts w:cs="Arial"/>
          <w:bCs/>
          <w:snapToGrid w:val="0"/>
        </w:rPr>
        <w:t>ed</w:t>
      </w:r>
      <w:r w:rsidR="009026EC" w:rsidRPr="008839EA">
        <w:rPr>
          <w:rFonts w:cs="Arial"/>
          <w:bCs/>
          <w:snapToGrid w:val="0"/>
        </w:rPr>
        <w:t xml:space="preserve"> </w:t>
      </w:r>
      <w:r w:rsidR="00165FF0">
        <w:rPr>
          <w:rFonts w:cs="Arial"/>
          <w:bCs/>
          <w:snapToGrid w:val="0"/>
        </w:rPr>
        <w:t>patients’</w:t>
      </w:r>
      <w:r w:rsidR="009026EC" w:rsidRPr="008839EA">
        <w:rPr>
          <w:rFonts w:cs="Arial"/>
          <w:bCs/>
          <w:snapToGrid w:val="0"/>
        </w:rPr>
        <w:t xml:space="preserve"> </w:t>
      </w:r>
      <w:r w:rsidR="0011389F">
        <w:rPr>
          <w:rFonts w:cs="Arial"/>
          <w:bCs/>
          <w:snapToGrid w:val="0"/>
        </w:rPr>
        <w:t>PFS</w:t>
      </w:r>
      <w:r w:rsidR="009026EC" w:rsidRPr="008839EA">
        <w:rPr>
          <w:rFonts w:cs="Arial"/>
          <w:bCs/>
          <w:snapToGrid w:val="0"/>
        </w:rPr>
        <w:t xml:space="preserve"> by three years over standard treatments.</w:t>
      </w:r>
      <w:r w:rsidR="00FD284E" w:rsidRPr="008839EA">
        <w:rPr>
          <w:rFonts w:cs="Arial"/>
          <w:bCs/>
          <w:snapToGrid w:val="0"/>
        </w:rPr>
        <w:t xml:space="preserve"> </w:t>
      </w:r>
      <w:r w:rsidR="00EE7B28" w:rsidRPr="00E52EC4">
        <w:rPr>
          <w:rFonts w:cs="Arial"/>
          <w:bCs/>
          <w:snapToGrid w:val="0"/>
        </w:rPr>
        <w:t xml:space="preserve">The PBAC noted that the consumer comments were supportive of the PBS listing of obinutuzumab as requested by the submission. </w:t>
      </w:r>
    </w:p>
    <w:p w:rsidR="00C317F3" w:rsidRPr="00591EA6" w:rsidRDefault="00C317F3" w:rsidP="00772501">
      <w:pPr>
        <w:pStyle w:val="Heading2"/>
        <w:rPr>
          <w:i w:val="0"/>
        </w:rPr>
      </w:pPr>
      <w:r w:rsidRPr="00591EA6">
        <w:rPr>
          <w:i w:val="0"/>
        </w:rPr>
        <w:t>Clinical trials</w:t>
      </w:r>
      <w:bookmarkEnd w:id="14"/>
      <w:bookmarkEnd w:id="15"/>
    </w:p>
    <w:p w:rsidR="00B31256" w:rsidRPr="004267F6" w:rsidRDefault="00B31256" w:rsidP="00A375D6">
      <w:pPr>
        <w:pStyle w:val="ListParagraph"/>
        <w:numPr>
          <w:ilvl w:val="1"/>
          <w:numId w:val="1"/>
        </w:numPr>
        <w:ind w:left="709" w:hanging="709"/>
        <w:jc w:val="both"/>
      </w:pPr>
      <w:r w:rsidRPr="004267F6">
        <w:t xml:space="preserve">The submission </w:t>
      </w:r>
      <w:r w:rsidR="005A0C0E" w:rsidRPr="004267F6">
        <w:t>wa</w:t>
      </w:r>
      <w:r w:rsidRPr="004267F6">
        <w:t>s based on</w:t>
      </w:r>
      <w:r w:rsidR="00C317F3" w:rsidRPr="004267F6">
        <w:t xml:space="preserve"> </w:t>
      </w:r>
      <w:r w:rsidRPr="004267F6">
        <w:t xml:space="preserve">a randomised open-label phase III trial (GALLIUM) comparing </w:t>
      </w:r>
      <w:r w:rsidR="007E0E2E" w:rsidRPr="004267F6">
        <w:t>obinutuzumab</w:t>
      </w:r>
      <w:r w:rsidR="00CF40C5">
        <w:t>+</w:t>
      </w:r>
      <w:r w:rsidRPr="004267F6">
        <w:t>chemotherapy and rituximab</w:t>
      </w:r>
      <w:r w:rsidR="00CF40C5">
        <w:t>+</w:t>
      </w:r>
      <w:r w:rsidRPr="004267F6">
        <w:t>chemotherapy in patients with previously untreated advanced follicular lymphoma (N=1202).</w:t>
      </w:r>
      <w:r w:rsidR="00A07559">
        <w:t xml:space="preserve"> </w:t>
      </w:r>
      <w:r w:rsidRPr="004267F6">
        <w:t>Patients in the GALLIUM trial were not allowed to switch treatment.</w:t>
      </w:r>
      <w:r w:rsidR="00A07559">
        <w:t xml:space="preserve"> </w:t>
      </w:r>
      <w:r w:rsidRPr="004267F6">
        <w:t>The trial also included a group of marginal zone lymphoma (MZL) patients.</w:t>
      </w:r>
      <w:r w:rsidR="00A07559">
        <w:t xml:space="preserve"> </w:t>
      </w:r>
      <w:r w:rsidRPr="004267F6">
        <w:t xml:space="preserve">The </w:t>
      </w:r>
      <w:r w:rsidR="000A0AA2" w:rsidRPr="004267F6">
        <w:t>Clinical Study Report (</w:t>
      </w:r>
      <w:r w:rsidRPr="004267F6">
        <w:t>CSR</w:t>
      </w:r>
      <w:r w:rsidR="000A0AA2" w:rsidRPr="004267F6">
        <w:t>)</w:t>
      </w:r>
      <w:r w:rsidRPr="004267F6">
        <w:t xml:space="preserve"> indicated that this population was capped at 200, and the submission noted (p41) that the trial was powered for the follicular lymphoma population and was not powered to detect statistically significant differences in the </w:t>
      </w:r>
      <w:r w:rsidR="005A1E4B" w:rsidRPr="004267F6">
        <w:t xml:space="preserve">MZL </w:t>
      </w:r>
      <w:r w:rsidRPr="004267F6">
        <w:t>patients.</w:t>
      </w:r>
      <w:r w:rsidR="00A07559">
        <w:t xml:space="preserve"> </w:t>
      </w:r>
      <w:r w:rsidR="00846E11" w:rsidRPr="004267F6">
        <w:t xml:space="preserve">Trial results for the </w:t>
      </w:r>
      <w:r w:rsidR="0001055A" w:rsidRPr="004267F6">
        <w:t xml:space="preserve">MZL population </w:t>
      </w:r>
      <w:r w:rsidR="007622A9" w:rsidRPr="004267F6">
        <w:t>were</w:t>
      </w:r>
      <w:r w:rsidR="00846E11" w:rsidRPr="004267F6">
        <w:t xml:space="preserve"> not separately presented in the submission</w:t>
      </w:r>
      <w:r w:rsidRPr="004267F6">
        <w:t>.</w:t>
      </w:r>
      <w:r w:rsidR="00A07559">
        <w:t xml:space="preserve"> </w:t>
      </w:r>
      <w:r w:rsidR="007622A9" w:rsidRPr="004267F6">
        <w:t>MZL was also not part of the sponsor’s TGA application to update indications.</w:t>
      </w:r>
      <w:r w:rsidR="00A07559">
        <w:t xml:space="preserve"> </w:t>
      </w:r>
      <w:r w:rsidR="0049078F" w:rsidRPr="004267F6">
        <w:t>The</w:t>
      </w:r>
      <w:r w:rsidR="00846E11" w:rsidRPr="004267F6">
        <w:t>refore, the</w:t>
      </w:r>
      <w:r w:rsidR="0049078F" w:rsidRPr="004267F6">
        <w:t xml:space="preserve"> </w:t>
      </w:r>
      <w:r w:rsidRPr="004267F6">
        <w:t xml:space="preserve">MZL population </w:t>
      </w:r>
      <w:r w:rsidR="00846E11" w:rsidRPr="004267F6">
        <w:t>was</w:t>
      </w:r>
      <w:r w:rsidRPr="004267F6">
        <w:t xml:space="preserve"> </w:t>
      </w:r>
      <w:r w:rsidR="007622A9" w:rsidRPr="004267F6">
        <w:t xml:space="preserve">not </w:t>
      </w:r>
      <w:r w:rsidR="00846E11" w:rsidRPr="004267F6">
        <w:t xml:space="preserve">considered </w:t>
      </w:r>
      <w:r w:rsidRPr="004267F6">
        <w:t>relevant to the requested PBS listing (</w:t>
      </w:r>
      <w:r w:rsidR="00846E11" w:rsidRPr="004267F6">
        <w:t xml:space="preserve">in </w:t>
      </w:r>
      <w:r w:rsidRPr="004267F6">
        <w:t>previously untreated follicular lymphoma)</w:t>
      </w:r>
      <w:r w:rsidR="00D75B7C" w:rsidRPr="004267F6">
        <w:t xml:space="preserve"> and</w:t>
      </w:r>
      <w:r w:rsidR="007622A9" w:rsidRPr="004267F6">
        <w:t xml:space="preserve"> </w:t>
      </w:r>
      <w:r w:rsidRPr="004267F6">
        <w:t>the characteristics and results of this portion of the trial were not included in the commentary.</w:t>
      </w:r>
      <w:r w:rsidR="00214212" w:rsidRPr="004267F6">
        <w:t xml:space="preserve"> The ESC agreed that MZL and follicular lymphoma were diseases with distinct differences in characteristics</w:t>
      </w:r>
      <w:r w:rsidR="006B613C">
        <w:t>,</w:t>
      </w:r>
      <w:r w:rsidR="00214212" w:rsidRPr="004267F6">
        <w:t xml:space="preserve"> and hence it was unlikely that u</w:t>
      </w:r>
      <w:r w:rsidR="00DC1FF2" w:rsidRPr="004267F6">
        <w:t>se would occur in MZL under the requested</w:t>
      </w:r>
      <w:r w:rsidR="00214212" w:rsidRPr="004267F6">
        <w:t xml:space="preserve"> PBS listing. </w:t>
      </w:r>
    </w:p>
    <w:p w:rsidR="00F9576C" w:rsidRPr="004267F6" w:rsidRDefault="00F9576C" w:rsidP="00A375D6">
      <w:pPr>
        <w:pStyle w:val="ListParagraph"/>
        <w:numPr>
          <w:ilvl w:val="1"/>
          <w:numId w:val="1"/>
        </w:numPr>
        <w:ind w:left="709" w:hanging="709"/>
        <w:jc w:val="both"/>
      </w:pPr>
      <w:r w:rsidRPr="004267F6">
        <w:t>The trial has had two data cuts, the first in January 2016 (median follow-up 2.9 years from randomisation) and the second in September 2016 (</w:t>
      </w:r>
      <w:r w:rsidR="00CD21DA">
        <w:rPr>
          <w:noProof/>
          <w:color w:val="000000"/>
          <w:highlight w:val="black"/>
        </w:rPr>
        <w:t>'''''''''''''''' ''''''''''''''''' '''''' '''''''''''</w:t>
      </w:r>
      <w:r w:rsidRPr="004267F6">
        <w:t>).</w:t>
      </w:r>
      <w:r w:rsidR="00A07559">
        <w:t xml:space="preserve"> </w:t>
      </w:r>
      <w:r w:rsidRPr="004267F6">
        <w:t>There was little difference, in terms of proportions of patients with events and point estimates, for the two data cuts.</w:t>
      </w:r>
      <w:r w:rsidR="00A07559">
        <w:t xml:space="preserve"> </w:t>
      </w:r>
      <w:r w:rsidRPr="004267F6">
        <w:t xml:space="preserve">Given that the economic model used evidence from the September 2016 data cut only results from that data cut are provided here. </w:t>
      </w:r>
    </w:p>
    <w:p w:rsidR="00C317F3" w:rsidRPr="004267F6" w:rsidRDefault="00F9576C" w:rsidP="00A375D6">
      <w:pPr>
        <w:pStyle w:val="ListParagraph"/>
        <w:numPr>
          <w:ilvl w:val="1"/>
          <w:numId w:val="1"/>
        </w:numPr>
        <w:ind w:left="709" w:hanging="709"/>
        <w:jc w:val="both"/>
      </w:pPr>
      <w:r w:rsidRPr="00A375D6">
        <w:rPr>
          <w:rFonts w:cs="Arial"/>
          <w:bCs/>
          <w:snapToGrid w:val="0"/>
        </w:rPr>
        <w:t>Details</w:t>
      </w:r>
      <w:r w:rsidRPr="004267F6">
        <w:t xml:space="preserve"> of the trial</w:t>
      </w:r>
      <w:r w:rsidR="00C317F3" w:rsidRPr="004267F6">
        <w:t xml:space="preserve"> presented in the submission are provided in the table below.</w:t>
      </w:r>
      <w:r w:rsidR="00A07559">
        <w:t xml:space="preserve"> </w:t>
      </w:r>
    </w:p>
    <w:p w:rsidR="008D003D" w:rsidRPr="004267F6" w:rsidRDefault="008D003D" w:rsidP="00066EF4">
      <w:pPr>
        <w:keepNext/>
        <w:keepLines/>
        <w:spacing w:before="0" w:after="0"/>
        <w:rPr>
          <w:rFonts w:ascii="Arial Narrow" w:hAnsi="Arial Narrow"/>
          <w:b/>
          <w:sz w:val="20"/>
          <w:szCs w:val="20"/>
        </w:rPr>
      </w:pPr>
      <w:r w:rsidRPr="004267F6">
        <w:rPr>
          <w:rFonts w:ascii="Arial Narrow" w:hAnsi="Arial Narrow"/>
          <w:b/>
          <w:sz w:val="20"/>
          <w:szCs w:val="20"/>
        </w:rPr>
        <w:t>Table 2: Trials and associated reports presented in the submission</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14"/>
        <w:gridCol w:w="5781"/>
        <w:gridCol w:w="1791"/>
      </w:tblGrid>
      <w:tr w:rsidR="008D003D" w:rsidRPr="004267F6" w:rsidTr="008D003D">
        <w:tc>
          <w:tcPr>
            <w:tcW w:w="539" w:type="pct"/>
            <w:vAlign w:val="center"/>
          </w:tcPr>
          <w:p w:rsidR="008D003D" w:rsidRPr="004267F6" w:rsidRDefault="008D003D" w:rsidP="00066EF4">
            <w:pPr>
              <w:pStyle w:val="TableText"/>
              <w:keepLines/>
              <w:widowControl w:val="0"/>
              <w:spacing w:before="0" w:after="0"/>
              <w:rPr>
                <w:b/>
              </w:rPr>
            </w:pPr>
            <w:r w:rsidRPr="004267F6">
              <w:rPr>
                <w:b/>
              </w:rPr>
              <w:t>Trial ID</w:t>
            </w:r>
          </w:p>
        </w:tc>
        <w:tc>
          <w:tcPr>
            <w:tcW w:w="3406" w:type="pct"/>
            <w:vAlign w:val="center"/>
          </w:tcPr>
          <w:p w:rsidR="008D003D" w:rsidRPr="004267F6" w:rsidRDefault="008D003D" w:rsidP="00066EF4">
            <w:pPr>
              <w:pStyle w:val="TableText"/>
              <w:keepLines/>
              <w:widowControl w:val="0"/>
              <w:spacing w:before="0" w:after="0"/>
              <w:rPr>
                <w:b/>
              </w:rPr>
            </w:pPr>
            <w:r w:rsidRPr="004267F6">
              <w:rPr>
                <w:b/>
              </w:rPr>
              <w:t>Protocol title/ Publication title</w:t>
            </w:r>
          </w:p>
        </w:tc>
        <w:tc>
          <w:tcPr>
            <w:tcW w:w="1055" w:type="pct"/>
            <w:vAlign w:val="center"/>
          </w:tcPr>
          <w:p w:rsidR="008D003D" w:rsidRPr="004267F6" w:rsidRDefault="008D003D" w:rsidP="00066EF4">
            <w:pPr>
              <w:pStyle w:val="TableText"/>
              <w:keepLines/>
              <w:widowControl w:val="0"/>
              <w:spacing w:before="0" w:after="0"/>
              <w:rPr>
                <w:b/>
              </w:rPr>
            </w:pPr>
            <w:r w:rsidRPr="004267F6">
              <w:rPr>
                <w:b/>
              </w:rPr>
              <w:t>Publication citation</w:t>
            </w:r>
          </w:p>
        </w:tc>
      </w:tr>
      <w:tr w:rsidR="008D003D" w:rsidRPr="004267F6" w:rsidTr="008D003D">
        <w:tc>
          <w:tcPr>
            <w:tcW w:w="5000" w:type="pct"/>
            <w:gridSpan w:val="3"/>
            <w:vAlign w:val="center"/>
          </w:tcPr>
          <w:p w:rsidR="008D003D" w:rsidRPr="004267F6" w:rsidRDefault="008D003D" w:rsidP="00066EF4">
            <w:pPr>
              <w:pStyle w:val="TableText"/>
              <w:keepLines/>
              <w:widowControl w:val="0"/>
              <w:spacing w:before="0" w:after="0"/>
              <w:rPr>
                <w:b/>
              </w:rPr>
            </w:pPr>
            <w:r w:rsidRPr="004267F6">
              <w:rPr>
                <w:b/>
              </w:rPr>
              <w:t>Direct randomised trial</w:t>
            </w:r>
          </w:p>
        </w:tc>
      </w:tr>
      <w:tr w:rsidR="008D003D" w:rsidRPr="004267F6" w:rsidTr="008D003D">
        <w:tc>
          <w:tcPr>
            <w:tcW w:w="539" w:type="pct"/>
            <w:vMerge w:val="restart"/>
            <w:vAlign w:val="center"/>
          </w:tcPr>
          <w:p w:rsidR="008D003D" w:rsidRPr="004267F6" w:rsidRDefault="008D003D" w:rsidP="00066EF4">
            <w:pPr>
              <w:pStyle w:val="TableText"/>
              <w:keepLines/>
              <w:widowControl w:val="0"/>
              <w:spacing w:before="0" w:after="0"/>
            </w:pPr>
            <w:r w:rsidRPr="004267F6">
              <w:t>GALLIUM</w:t>
            </w:r>
          </w:p>
        </w:tc>
        <w:tc>
          <w:tcPr>
            <w:tcW w:w="3406" w:type="pct"/>
            <w:tcBorders>
              <w:bottom w:val="nil"/>
            </w:tcBorders>
            <w:vAlign w:val="center"/>
          </w:tcPr>
          <w:p w:rsidR="008D003D" w:rsidRPr="004267F6" w:rsidRDefault="008D003D" w:rsidP="00066EF4">
            <w:pPr>
              <w:pStyle w:val="TableText"/>
              <w:keepLines/>
              <w:widowControl w:val="0"/>
              <w:spacing w:before="0" w:after="0"/>
            </w:pPr>
            <w:r w:rsidRPr="004267F6">
              <w:t>BO21223 – A Multicenter, Phase III, Open-Label, Randomized Study in Previously Untreated Patients with Advanced Indolent Non-Hodgkin’s Lymphoma Evaluating the Benefit of GA101 (RO5072759) plus Chemotherapy Compared with Rituximab plus Chemotherapy Followed by GA101 or Rituximab Maintenance Therapy in Responders. Report No. 1067980.</w:t>
            </w:r>
          </w:p>
        </w:tc>
        <w:tc>
          <w:tcPr>
            <w:tcW w:w="1055" w:type="pct"/>
            <w:tcBorders>
              <w:bottom w:val="nil"/>
            </w:tcBorders>
            <w:vAlign w:val="center"/>
          </w:tcPr>
          <w:p w:rsidR="008D003D" w:rsidRPr="004267F6" w:rsidRDefault="008D003D" w:rsidP="00066EF4">
            <w:pPr>
              <w:pStyle w:val="TableText"/>
              <w:keepLines/>
              <w:widowControl w:val="0"/>
              <w:spacing w:before="0" w:after="0"/>
            </w:pPr>
            <w:r w:rsidRPr="004267F6">
              <w:t>September 2016 (31 January 2016 clinical cutoff)</w:t>
            </w:r>
          </w:p>
        </w:tc>
      </w:tr>
      <w:tr w:rsidR="008D003D" w:rsidRPr="004267F6" w:rsidTr="008D003D">
        <w:tc>
          <w:tcPr>
            <w:tcW w:w="539" w:type="pct"/>
            <w:vMerge/>
            <w:vAlign w:val="center"/>
          </w:tcPr>
          <w:p w:rsidR="008D003D" w:rsidRPr="004267F6" w:rsidRDefault="008D003D" w:rsidP="00066EF4">
            <w:pPr>
              <w:pStyle w:val="TableText"/>
              <w:keepLines/>
              <w:widowControl w:val="0"/>
              <w:spacing w:before="0" w:after="0"/>
            </w:pPr>
          </w:p>
        </w:tc>
        <w:tc>
          <w:tcPr>
            <w:tcW w:w="3406" w:type="pct"/>
            <w:tcBorders>
              <w:top w:val="nil"/>
              <w:bottom w:val="nil"/>
            </w:tcBorders>
            <w:vAlign w:val="center"/>
          </w:tcPr>
          <w:p w:rsidR="008D003D" w:rsidRPr="004267F6" w:rsidRDefault="008D003D" w:rsidP="00066EF4">
            <w:pPr>
              <w:pStyle w:val="TableText"/>
              <w:keepLines/>
              <w:widowControl w:val="0"/>
              <w:spacing w:before="0" w:after="0"/>
            </w:pPr>
            <w:r w:rsidRPr="004267F6">
              <w:t>BO21223 – A Multicenter, Phase III, Open-Label, Randomized Study in Previously Untreated Patients with Advanced Indolent Non-Hodgkin’s Lymphoma Evaluating the Benefit of GA101 (RO5072759) plus Chemotherapy Compared with Rituximab plus Chemotherapy Followed by GA101 or Rituximab Maintenance Therapy in Responders. Report No. 1075139.</w:t>
            </w:r>
          </w:p>
        </w:tc>
        <w:tc>
          <w:tcPr>
            <w:tcW w:w="1055" w:type="pct"/>
            <w:tcBorders>
              <w:top w:val="nil"/>
              <w:bottom w:val="nil"/>
            </w:tcBorders>
            <w:vAlign w:val="center"/>
          </w:tcPr>
          <w:p w:rsidR="008D003D" w:rsidRPr="004267F6" w:rsidRDefault="008D003D" w:rsidP="00066EF4">
            <w:pPr>
              <w:pStyle w:val="TableText"/>
              <w:keepLines/>
              <w:widowControl w:val="0"/>
              <w:spacing w:before="0" w:after="0"/>
            </w:pPr>
            <w:r w:rsidRPr="004267F6">
              <w:rPr>
                <w:rFonts w:cs="Arial"/>
                <w:szCs w:val="18"/>
                <w:lang w:eastAsia="en-AU"/>
              </w:rPr>
              <w:t>May 2017 (10 September 2016 clinical cutoff)</w:t>
            </w:r>
          </w:p>
        </w:tc>
      </w:tr>
      <w:tr w:rsidR="008D003D" w:rsidRPr="004267F6" w:rsidTr="008D003D">
        <w:tc>
          <w:tcPr>
            <w:tcW w:w="539" w:type="pct"/>
            <w:vMerge/>
            <w:vAlign w:val="center"/>
          </w:tcPr>
          <w:p w:rsidR="008D003D" w:rsidRPr="004267F6" w:rsidRDefault="008D003D" w:rsidP="00066EF4">
            <w:pPr>
              <w:pStyle w:val="TableText"/>
              <w:keepLines/>
              <w:widowControl w:val="0"/>
              <w:spacing w:before="0" w:after="0"/>
            </w:pPr>
          </w:p>
        </w:tc>
        <w:tc>
          <w:tcPr>
            <w:tcW w:w="3406" w:type="pct"/>
            <w:tcBorders>
              <w:top w:val="nil"/>
              <w:bottom w:val="nil"/>
            </w:tcBorders>
            <w:vAlign w:val="center"/>
          </w:tcPr>
          <w:p w:rsidR="008D003D" w:rsidRPr="004267F6" w:rsidRDefault="008D003D" w:rsidP="00066EF4">
            <w:pPr>
              <w:pStyle w:val="TableText"/>
              <w:keepLines/>
              <w:widowControl w:val="0"/>
              <w:spacing w:before="0" w:after="0"/>
            </w:pPr>
            <w:r w:rsidRPr="004267F6">
              <w:t>Marcus RE, Davies AJ, Ando K, et al. Obinutuzumab-based induction and maintenance prolongs progression-free survival (PFS) in patients with previously untreated follicular lymphoma: Primary results of the randomized phase 3 GALLIUM study.</w:t>
            </w:r>
          </w:p>
        </w:tc>
        <w:tc>
          <w:tcPr>
            <w:tcW w:w="1055" w:type="pct"/>
            <w:tcBorders>
              <w:top w:val="nil"/>
              <w:bottom w:val="nil"/>
            </w:tcBorders>
            <w:vAlign w:val="center"/>
          </w:tcPr>
          <w:p w:rsidR="008D003D" w:rsidRPr="004267F6" w:rsidRDefault="008D003D" w:rsidP="00066EF4">
            <w:pPr>
              <w:pStyle w:val="TableText"/>
              <w:keepLines/>
              <w:widowControl w:val="0"/>
              <w:spacing w:before="0" w:after="0"/>
            </w:pPr>
            <w:r w:rsidRPr="004267F6">
              <w:t>Blood. 2016;128(22).</w:t>
            </w:r>
          </w:p>
        </w:tc>
      </w:tr>
      <w:tr w:rsidR="008D003D" w:rsidRPr="004267F6" w:rsidTr="008D003D">
        <w:tc>
          <w:tcPr>
            <w:tcW w:w="539" w:type="pct"/>
            <w:vMerge/>
            <w:vAlign w:val="center"/>
          </w:tcPr>
          <w:p w:rsidR="008D003D" w:rsidRPr="004267F6" w:rsidRDefault="008D003D" w:rsidP="00066EF4">
            <w:pPr>
              <w:pStyle w:val="TableText"/>
              <w:keepLines/>
              <w:widowControl w:val="0"/>
              <w:spacing w:before="0" w:after="0"/>
            </w:pPr>
          </w:p>
        </w:tc>
        <w:tc>
          <w:tcPr>
            <w:tcW w:w="3406" w:type="pct"/>
            <w:tcBorders>
              <w:top w:val="nil"/>
            </w:tcBorders>
            <w:vAlign w:val="center"/>
          </w:tcPr>
          <w:p w:rsidR="008D003D" w:rsidRPr="004267F6" w:rsidRDefault="008D003D" w:rsidP="00066EF4">
            <w:pPr>
              <w:pStyle w:val="TableText"/>
              <w:keepLines/>
              <w:widowControl w:val="0"/>
              <w:spacing w:before="0" w:after="0"/>
            </w:pPr>
            <w:r w:rsidRPr="004267F6">
              <w:t>Pott C, Hoster E, Kehden B, et al. Minimal residual disease in patients with follicular lymphoma treated with obinutuzumab or rituximab as first-line induction immunochemotherapy and maintenance in the phase 3 GALLIUM study.</w:t>
            </w:r>
          </w:p>
        </w:tc>
        <w:tc>
          <w:tcPr>
            <w:tcW w:w="1055" w:type="pct"/>
            <w:tcBorders>
              <w:top w:val="nil"/>
            </w:tcBorders>
            <w:vAlign w:val="center"/>
          </w:tcPr>
          <w:p w:rsidR="008D003D" w:rsidRPr="004267F6" w:rsidRDefault="008D003D" w:rsidP="00066EF4">
            <w:pPr>
              <w:pStyle w:val="TableText"/>
              <w:keepLines/>
              <w:widowControl w:val="0"/>
              <w:spacing w:before="0" w:after="0"/>
            </w:pPr>
            <w:r w:rsidRPr="004267F6">
              <w:t>Blood. 2016;128(22).</w:t>
            </w:r>
          </w:p>
        </w:tc>
      </w:tr>
    </w:tbl>
    <w:p w:rsidR="008D003D" w:rsidRPr="004267F6" w:rsidRDefault="008D003D" w:rsidP="00066EF4">
      <w:pPr>
        <w:pStyle w:val="TableFooter"/>
        <w:keepNext/>
        <w:keepLines/>
      </w:pPr>
      <w:r w:rsidRPr="004267F6">
        <w:t>Source: Table 2.2.1, p33 of the submission.</w:t>
      </w:r>
    </w:p>
    <w:p w:rsidR="00C317F3" w:rsidRPr="004267F6" w:rsidRDefault="00C317F3" w:rsidP="00A375D6">
      <w:pPr>
        <w:pStyle w:val="ListParagraph"/>
        <w:numPr>
          <w:ilvl w:val="1"/>
          <w:numId w:val="1"/>
        </w:numPr>
        <w:ind w:left="709" w:hanging="709"/>
        <w:jc w:val="both"/>
      </w:pPr>
      <w:r w:rsidRPr="004267F6">
        <w:t xml:space="preserve">The key features of the </w:t>
      </w:r>
      <w:r w:rsidR="008C6D53" w:rsidRPr="004267F6">
        <w:t>GALLIUM trial</w:t>
      </w:r>
      <w:r w:rsidRPr="004267F6">
        <w:t xml:space="preserve"> are summarised in the table below.</w:t>
      </w:r>
      <w:r w:rsidR="00A07559">
        <w:t xml:space="preserve"> </w:t>
      </w:r>
    </w:p>
    <w:p w:rsidR="005C5143" w:rsidRDefault="005C5143">
      <w:pPr>
        <w:spacing w:before="0" w:line="259" w:lineRule="auto"/>
        <w:rPr>
          <w:rFonts w:ascii="Arial Narrow" w:hAnsi="Arial Narrow"/>
          <w:b/>
          <w:sz w:val="20"/>
        </w:rPr>
      </w:pPr>
      <w:r>
        <w:br w:type="page"/>
      </w:r>
    </w:p>
    <w:p w:rsidR="00C317F3" w:rsidRPr="00591EA6" w:rsidRDefault="00C317F3" w:rsidP="00F9706F">
      <w:pPr>
        <w:pStyle w:val="TableHeading0"/>
        <w:spacing w:after="0"/>
      </w:pPr>
      <w:r w:rsidRPr="00591EA6">
        <w:t xml:space="preserve">Table </w:t>
      </w:r>
      <w:r w:rsidR="00F9706F" w:rsidRPr="00591EA6">
        <w:t>3</w:t>
      </w:r>
      <w:r w:rsidRPr="00591EA6">
        <w:t xml:space="preserve">: Key features of the </w:t>
      </w:r>
      <w:r w:rsidR="00F9706F" w:rsidRPr="00591EA6">
        <w:t>GALLIUM trial</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713"/>
        <w:gridCol w:w="1845"/>
        <w:gridCol w:w="993"/>
        <w:gridCol w:w="1418"/>
        <w:gridCol w:w="1135"/>
        <w:gridCol w:w="1295"/>
      </w:tblGrid>
      <w:tr w:rsidR="00C317F3" w:rsidRPr="00591EA6" w:rsidTr="00E21D82">
        <w:tc>
          <w:tcPr>
            <w:tcW w:w="664" w:type="pct"/>
            <w:shd w:val="clear" w:color="auto" w:fill="auto"/>
            <w:vAlign w:val="center"/>
          </w:tcPr>
          <w:p w:rsidR="00C317F3" w:rsidRPr="00591EA6" w:rsidRDefault="00C317F3" w:rsidP="00772501">
            <w:pPr>
              <w:pStyle w:val="TableText"/>
              <w:rPr>
                <w:b/>
              </w:rPr>
            </w:pPr>
            <w:r w:rsidRPr="00591EA6">
              <w:rPr>
                <w:b/>
              </w:rPr>
              <w:t>Trial</w:t>
            </w:r>
          </w:p>
        </w:tc>
        <w:tc>
          <w:tcPr>
            <w:tcW w:w="417" w:type="pct"/>
            <w:shd w:val="clear" w:color="auto" w:fill="auto"/>
            <w:vAlign w:val="center"/>
          </w:tcPr>
          <w:p w:rsidR="00C317F3" w:rsidRPr="00591EA6" w:rsidRDefault="00C317F3" w:rsidP="00424787">
            <w:pPr>
              <w:pStyle w:val="TableText"/>
              <w:jc w:val="center"/>
              <w:rPr>
                <w:b/>
              </w:rPr>
            </w:pPr>
            <w:r w:rsidRPr="00591EA6">
              <w:rPr>
                <w:b/>
              </w:rPr>
              <w:t>N</w:t>
            </w:r>
          </w:p>
        </w:tc>
        <w:tc>
          <w:tcPr>
            <w:tcW w:w="1081" w:type="pct"/>
            <w:shd w:val="clear" w:color="auto" w:fill="auto"/>
            <w:vAlign w:val="center"/>
          </w:tcPr>
          <w:p w:rsidR="00C317F3" w:rsidRPr="00591EA6" w:rsidRDefault="00C317F3" w:rsidP="00424787">
            <w:pPr>
              <w:pStyle w:val="TableText"/>
              <w:jc w:val="center"/>
              <w:rPr>
                <w:b/>
              </w:rPr>
            </w:pPr>
            <w:r w:rsidRPr="00591EA6">
              <w:rPr>
                <w:b/>
              </w:rPr>
              <w:t>Design/ duration</w:t>
            </w:r>
            <w:r w:rsidR="005F2A6B" w:rsidRPr="00591EA6">
              <w:rPr>
                <w:b/>
              </w:rPr>
              <w:t xml:space="preserve"> of follow-up</w:t>
            </w:r>
          </w:p>
        </w:tc>
        <w:tc>
          <w:tcPr>
            <w:tcW w:w="582" w:type="pct"/>
            <w:shd w:val="clear" w:color="auto" w:fill="auto"/>
            <w:vAlign w:val="center"/>
          </w:tcPr>
          <w:p w:rsidR="00C317F3" w:rsidRPr="00591EA6" w:rsidRDefault="00C317F3" w:rsidP="00424787">
            <w:pPr>
              <w:pStyle w:val="TableText"/>
              <w:jc w:val="center"/>
              <w:rPr>
                <w:b/>
              </w:rPr>
            </w:pPr>
            <w:r w:rsidRPr="00591EA6">
              <w:rPr>
                <w:b/>
              </w:rPr>
              <w:t>Risk of bias</w:t>
            </w:r>
          </w:p>
        </w:tc>
        <w:tc>
          <w:tcPr>
            <w:tcW w:w="831" w:type="pct"/>
            <w:shd w:val="clear" w:color="auto" w:fill="auto"/>
            <w:vAlign w:val="center"/>
          </w:tcPr>
          <w:p w:rsidR="00C317F3" w:rsidRPr="00591EA6" w:rsidRDefault="00C317F3" w:rsidP="00424787">
            <w:pPr>
              <w:pStyle w:val="TableText"/>
              <w:jc w:val="center"/>
              <w:rPr>
                <w:b/>
              </w:rPr>
            </w:pPr>
            <w:r w:rsidRPr="00591EA6">
              <w:rPr>
                <w:b/>
              </w:rPr>
              <w:t>Patient population</w:t>
            </w:r>
          </w:p>
        </w:tc>
        <w:tc>
          <w:tcPr>
            <w:tcW w:w="665" w:type="pct"/>
            <w:shd w:val="clear" w:color="auto" w:fill="auto"/>
            <w:vAlign w:val="center"/>
          </w:tcPr>
          <w:p w:rsidR="00C317F3" w:rsidRPr="00591EA6" w:rsidRDefault="00F9706F" w:rsidP="00424787">
            <w:pPr>
              <w:pStyle w:val="TableText"/>
              <w:jc w:val="center"/>
              <w:rPr>
                <w:b/>
              </w:rPr>
            </w:pPr>
            <w:r w:rsidRPr="00591EA6">
              <w:rPr>
                <w:b/>
              </w:rPr>
              <w:t>Outcomes</w:t>
            </w:r>
          </w:p>
        </w:tc>
        <w:tc>
          <w:tcPr>
            <w:tcW w:w="759" w:type="pct"/>
            <w:shd w:val="clear" w:color="auto" w:fill="auto"/>
            <w:vAlign w:val="center"/>
          </w:tcPr>
          <w:p w:rsidR="00C317F3" w:rsidRPr="00591EA6" w:rsidRDefault="00C317F3" w:rsidP="00424787">
            <w:pPr>
              <w:pStyle w:val="TableText"/>
              <w:jc w:val="center"/>
              <w:rPr>
                <w:b/>
              </w:rPr>
            </w:pPr>
            <w:r w:rsidRPr="00591EA6">
              <w:rPr>
                <w:b/>
              </w:rPr>
              <w:t>Use in modelled evaluation</w:t>
            </w:r>
          </w:p>
        </w:tc>
      </w:tr>
      <w:tr w:rsidR="00C317F3" w:rsidRPr="00591EA6" w:rsidTr="00E21D82">
        <w:tc>
          <w:tcPr>
            <w:tcW w:w="664" w:type="pct"/>
            <w:shd w:val="clear" w:color="auto" w:fill="auto"/>
            <w:vAlign w:val="center"/>
          </w:tcPr>
          <w:p w:rsidR="00C317F3" w:rsidRPr="00591EA6" w:rsidRDefault="00F9706F" w:rsidP="00772501">
            <w:pPr>
              <w:pStyle w:val="TableText"/>
            </w:pPr>
            <w:r w:rsidRPr="00591EA6">
              <w:t>GALLIUM</w:t>
            </w:r>
          </w:p>
        </w:tc>
        <w:tc>
          <w:tcPr>
            <w:tcW w:w="417" w:type="pct"/>
            <w:shd w:val="clear" w:color="auto" w:fill="auto"/>
            <w:vAlign w:val="center"/>
          </w:tcPr>
          <w:p w:rsidR="00C317F3" w:rsidRPr="00591EA6" w:rsidRDefault="00F9706F" w:rsidP="00C35E3F">
            <w:pPr>
              <w:pStyle w:val="TableText"/>
              <w:jc w:val="center"/>
              <w:rPr>
                <w:rFonts w:ascii="Times" w:eastAsia="Times New Roman" w:hAnsi="Times" w:cs="Times New Roman"/>
              </w:rPr>
            </w:pPr>
            <w:r w:rsidRPr="00591EA6">
              <w:t>1202</w:t>
            </w:r>
          </w:p>
        </w:tc>
        <w:tc>
          <w:tcPr>
            <w:tcW w:w="1081" w:type="pct"/>
            <w:shd w:val="clear" w:color="auto" w:fill="auto"/>
            <w:vAlign w:val="center"/>
          </w:tcPr>
          <w:p w:rsidR="00C317F3" w:rsidRPr="00591EA6" w:rsidRDefault="00C317F3" w:rsidP="00772501">
            <w:pPr>
              <w:pStyle w:val="TableText"/>
              <w:rPr>
                <w:rFonts w:ascii="Times" w:eastAsia="Times New Roman" w:hAnsi="Times" w:cs="Times New Roman"/>
              </w:rPr>
            </w:pPr>
            <w:r w:rsidRPr="00591EA6">
              <w:t xml:space="preserve">R, </w:t>
            </w:r>
            <w:r w:rsidR="00F9706F" w:rsidRPr="00591EA6">
              <w:t>OL,</w:t>
            </w:r>
          </w:p>
          <w:p w:rsidR="00C317F3" w:rsidRPr="00591EA6" w:rsidRDefault="00F9706F" w:rsidP="00772501">
            <w:pPr>
              <w:pStyle w:val="TableText"/>
              <w:rPr>
                <w:rFonts w:ascii="Times" w:eastAsia="Times New Roman" w:hAnsi="Times" w:cs="Times New Roman"/>
              </w:rPr>
            </w:pPr>
            <w:r w:rsidRPr="00591EA6">
              <w:t>Median 41.1</w:t>
            </w:r>
            <w:r w:rsidR="00C317F3" w:rsidRPr="00591EA6">
              <w:t xml:space="preserve"> mths</w:t>
            </w:r>
          </w:p>
        </w:tc>
        <w:tc>
          <w:tcPr>
            <w:tcW w:w="582" w:type="pct"/>
            <w:shd w:val="clear" w:color="auto" w:fill="auto"/>
            <w:vAlign w:val="center"/>
          </w:tcPr>
          <w:p w:rsidR="00C317F3" w:rsidRPr="00591EA6" w:rsidRDefault="00F9706F" w:rsidP="00C35E3F">
            <w:pPr>
              <w:pStyle w:val="TableText"/>
              <w:jc w:val="center"/>
              <w:rPr>
                <w:rFonts w:ascii="Times" w:eastAsia="Times New Roman" w:hAnsi="Times" w:cs="Times New Roman"/>
              </w:rPr>
            </w:pPr>
            <w:r w:rsidRPr="00591EA6">
              <w:t>High</w:t>
            </w:r>
          </w:p>
        </w:tc>
        <w:tc>
          <w:tcPr>
            <w:tcW w:w="831" w:type="pct"/>
            <w:shd w:val="clear" w:color="auto" w:fill="auto"/>
            <w:vAlign w:val="center"/>
          </w:tcPr>
          <w:p w:rsidR="00C317F3" w:rsidRPr="00591EA6" w:rsidRDefault="00424787" w:rsidP="00772501">
            <w:pPr>
              <w:pStyle w:val="TableText"/>
              <w:rPr>
                <w:rFonts w:ascii="Times" w:eastAsia="Times New Roman" w:hAnsi="Times" w:cs="Times New Roman"/>
              </w:rPr>
            </w:pPr>
            <w:r w:rsidRPr="00591EA6">
              <w:t>Previously untreated advanced follicular lymphoma</w:t>
            </w:r>
          </w:p>
        </w:tc>
        <w:tc>
          <w:tcPr>
            <w:tcW w:w="665" w:type="pct"/>
            <w:shd w:val="clear" w:color="auto" w:fill="auto"/>
            <w:vAlign w:val="center"/>
          </w:tcPr>
          <w:p w:rsidR="00C317F3" w:rsidRPr="00591EA6" w:rsidRDefault="00F9706F" w:rsidP="00C35E3F">
            <w:pPr>
              <w:pStyle w:val="TableText"/>
              <w:jc w:val="center"/>
              <w:rPr>
                <w:rFonts w:ascii="Times" w:eastAsia="Times New Roman" w:hAnsi="Times" w:cs="Times New Roman"/>
              </w:rPr>
            </w:pPr>
            <w:r w:rsidRPr="00591EA6">
              <w:t>PFS, OS</w:t>
            </w:r>
          </w:p>
        </w:tc>
        <w:tc>
          <w:tcPr>
            <w:tcW w:w="759" w:type="pct"/>
            <w:shd w:val="clear" w:color="auto" w:fill="auto"/>
            <w:vAlign w:val="center"/>
          </w:tcPr>
          <w:p w:rsidR="00C317F3" w:rsidRPr="00591EA6" w:rsidRDefault="00E24FA5" w:rsidP="00772501">
            <w:pPr>
              <w:pStyle w:val="TableText"/>
              <w:rPr>
                <w:rFonts w:ascii="Times" w:eastAsia="Times New Roman" w:hAnsi="Times" w:cs="Times New Roman"/>
              </w:rPr>
            </w:pPr>
            <w:r w:rsidRPr="00591EA6">
              <w:t>Gain in PFS</w:t>
            </w:r>
            <w:r w:rsidR="00424787" w:rsidRPr="00591EA6">
              <w:t xml:space="preserve">; </w:t>
            </w:r>
            <w:r w:rsidRPr="00591EA6">
              <w:t xml:space="preserve">QoL; </w:t>
            </w:r>
            <w:r w:rsidR="00424787" w:rsidRPr="00591EA6">
              <w:t>proportion with AEs</w:t>
            </w:r>
          </w:p>
        </w:tc>
      </w:tr>
    </w:tbl>
    <w:p w:rsidR="00C317F3" w:rsidRPr="00591EA6" w:rsidRDefault="00424787" w:rsidP="00772501">
      <w:pPr>
        <w:pStyle w:val="TableFooter"/>
      </w:pPr>
      <w:r w:rsidRPr="00591EA6">
        <w:t xml:space="preserve">AEs=adverse events; </w:t>
      </w:r>
      <w:r w:rsidR="00C317F3" w:rsidRPr="00591EA6">
        <w:t xml:space="preserve">OL=open label; </w:t>
      </w:r>
      <w:r w:rsidRPr="00591EA6">
        <w:t xml:space="preserve">mths=months; </w:t>
      </w:r>
      <w:r w:rsidR="00C317F3" w:rsidRPr="00591EA6">
        <w:t xml:space="preserve">OS=overall survival; PFS=progression-free survival; </w:t>
      </w:r>
      <w:r w:rsidR="00E24FA5" w:rsidRPr="00591EA6">
        <w:t xml:space="preserve">QoL=quality of life; </w:t>
      </w:r>
      <w:r w:rsidR="00C317F3" w:rsidRPr="00591EA6">
        <w:t>R=randomised.</w:t>
      </w:r>
    </w:p>
    <w:p w:rsidR="00C317F3" w:rsidRPr="00591EA6" w:rsidRDefault="00C317F3" w:rsidP="00772501">
      <w:pPr>
        <w:pStyle w:val="TableFooter"/>
      </w:pPr>
      <w:r w:rsidRPr="00591EA6">
        <w:t xml:space="preserve">Source: </w:t>
      </w:r>
      <w:r w:rsidR="00424787" w:rsidRPr="00591EA6">
        <w:t>Section 2.3, p34-</w:t>
      </w:r>
      <w:r w:rsidR="00E24FA5" w:rsidRPr="00591EA6">
        <w:t>40; Section 2.4.3, p47-52 of the submission</w:t>
      </w:r>
    </w:p>
    <w:p w:rsidR="00C317F3" w:rsidRPr="004267F6" w:rsidRDefault="005A0C0E" w:rsidP="00A375D6">
      <w:pPr>
        <w:pStyle w:val="ListParagraph"/>
        <w:numPr>
          <w:ilvl w:val="1"/>
          <w:numId w:val="1"/>
        </w:numPr>
        <w:ind w:left="709" w:hanging="709"/>
        <w:jc w:val="both"/>
      </w:pPr>
      <w:r w:rsidRPr="004267F6">
        <w:t xml:space="preserve">The </w:t>
      </w:r>
      <w:r w:rsidRPr="00A375D6">
        <w:rPr>
          <w:rFonts w:cs="Arial"/>
          <w:bCs/>
          <w:snapToGrid w:val="0"/>
        </w:rPr>
        <w:t>submission</w:t>
      </w:r>
      <w:r w:rsidRPr="004267F6">
        <w:t xml:space="preserve"> stated (p35) that the overall risk of bias in GALLIUM was low.</w:t>
      </w:r>
      <w:r w:rsidR="00A07559">
        <w:t xml:space="preserve"> </w:t>
      </w:r>
      <w:r w:rsidRPr="004267F6">
        <w:t>The submission argued that the primary outcome of investigator-assessed PFS was also assessed by an Independent Review Committee (IRC).</w:t>
      </w:r>
      <w:r w:rsidR="00A07559">
        <w:t xml:space="preserve"> </w:t>
      </w:r>
      <w:r w:rsidRPr="004267F6">
        <w:t>This however did not remove the potential for bias due to the open</w:t>
      </w:r>
      <w:r w:rsidR="009967BB">
        <w:t>-</w:t>
      </w:r>
      <w:r w:rsidRPr="004267F6">
        <w:t>label nature of the trial, particularly given that the primary outcome was investigator-assessed (</w:t>
      </w:r>
      <w:r w:rsidR="007E0E2E" w:rsidRPr="004267F6">
        <w:t>i.e.</w:t>
      </w:r>
      <w:r w:rsidRPr="004267F6">
        <w:t xml:space="preserve"> unblinded) PFS.</w:t>
      </w:r>
      <w:r w:rsidR="00A07559">
        <w:t xml:space="preserve"> </w:t>
      </w:r>
      <w:r w:rsidRPr="004267F6">
        <w:t>In addition, investigator-assessed PFS was used in the economic evaluation.</w:t>
      </w:r>
      <w:r w:rsidR="00A07559">
        <w:t xml:space="preserve"> </w:t>
      </w:r>
      <w:r w:rsidR="00D00677" w:rsidRPr="004267F6">
        <w:t xml:space="preserve">The ESC considered that there was also a high risk of bias </w:t>
      </w:r>
      <w:r w:rsidR="007B4685" w:rsidRPr="004267F6">
        <w:t>in the secondary outcomes of quality of life</w:t>
      </w:r>
      <w:r w:rsidR="00E034AE" w:rsidRPr="004267F6">
        <w:t xml:space="preserve"> and reported AEs</w:t>
      </w:r>
      <w:r w:rsidR="00D00677" w:rsidRPr="004267F6">
        <w:t xml:space="preserve">. </w:t>
      </w:r>
      <w:r w:rsidRPr="004267F6">
        <w:t>Consequently,</w:t>
      </w:r>
      <w:r w:rsidR="000A0AA2" w:rsidRPr="004267F6">
        <w:t xml:space="preserve"> the </w:t>
      </w:r>
      <w:r w:rsidR="00656489">
        <w:t>PBAC</w:t>
      </w:r>
      <w:r w:rsidR="002E468A" w:rsidRPr="004267F6">
        <w:t xml:space="preserve"> </w:t>
      </w:r>
      <w:r w:rsidR="000A0AA2" w:rsidRPr="004267F6">
        <w:t>considered the trial to be</w:t>
      </w:r>
      <w:r w:rsidRPr="004267F6">
        <w:t xml:space="preserve"> associated with a high risk of bias</w:t>
      </w:r>
      <w:r w:rsidR="00C35E3F" w:rsidRPr="004267F6">
        <w:t>.</w:t>
      </w:r>
      <w:r w:rsidR="0072387B">
        <w:t xml:space="preserve"> </w:t>
      </w:r>
    </w:p>
    <w:p w:rsidR="00C317F3" w:rsidRPr="004267F6" w:rsidRDefault="00C317F3" w:rsidP="00772501">
      <w:pPr>
        <w:pStyle w:val="Heading2"/>
        <w:rPr>
          <w:i w:val="0"/>
        </w:rPr>
      </w:pPr>
      <w:bookmarkStart w:id="16" w:name="_Toc413139278"/>
      <w:bookmarkStart w:id="17" w:name="_Toc365635911"/>
      <w:r w:rsidRPr="004267F6">
        <w:rPr>
          <w:i w:val="0"/>
        </w:rPr>
        <w:t>Comparative effectiveness</w:t>
      </w:r>
      <w:bookmarkEnd w:id="16"/>
      <w:bookmarkEnd w:id="17"/>
      <w:r w:rsidRPr="004267F6">
        <w:rPr>
          <w:i w:val="0"/>
        </w:rPr>
        <w:t xml:space="preserve"> </w:t>
      </w:r>
    </w:p>
    <w:p w:rsidR="00C317F3" w:rsidRPr="004267F6" w:rsidRDefault="00F9576C" w:rsidP="00A375D6">
      <w:pPr>
        <w:pStyle w:val="ListParagraph"/>
        <w:numPr>
          <w:ilvl w:val="1"/>
          <w:numId w:val="1"/>
        </w:numPr>
        <w:ind w:left="709" w:hanging="709"/>
        <w:jc w:val="both"/>
      </w:pPr>
      <w:r w:rsidRPr="004267F6">
        <w:t xml:space="preserve">The </w:t>
      </w:r>
      <w:r w:rsidRPr="00A375D6">
        <w:rPr>
          <w:rFonts w:cs="Arial"/>
          <w:bCs/>
          <w:snapToGrid w:val="0"/>
        </w:rPr>
        <w:t>following</w:t>
      </w:r>
      <w:r w:rsidRPr="004267F6">
        <w:t xml:space="preserve"> table provides a summary of results from the September 2016 data cut for PFS, both investigator-assessed and IRC-assessed, and OS from the GALLIUM trial.</w:t>
      </w:r>
    </w:p>
    <w:p w:rsidR="00D67125" w:rsidRPr="004267F6" w:rsidRDefault="00D67125" w:rsidP="00066EF4">
      <w:pPr>
        <w:keepNext/>
        <w:keepLines/>
        <w:spacing w:before="0" w:after="0"/>
        <w:rPr>
          <w:rStyle w:val="CommentReference"/>
          <w:rFonts w:ascii="Arial Narrow" w:hAnsi="Arial Narrow"/>
          <w:b/>
          <w:sz w:val="20"/>
          <w:szCs w:val="20"/>
        </w:rPr>
      </w:pPr>
      <w:r w:rsidRPr="004267F6">
        <w:rPr>
          <w:rStyle w:val="CommentReference"/>
          <w:rFonts w:ascii="Arial Narrow" w:hAnsi="Arial Narrow"/>
          <w:b/>
          <w:sz w:val="20"/>
          <w:szCs w:val="20"/>
        </w:rPr>
        <w:t xml:space="preserve">Table </w:t>
      </w:r>
      <w:r w:rsidR="006D11D8" w:rsidRPr="004267F6">
        <w:rPr>
          <w:rStyle w:val="CommentReference"/>
          <w:rFonts w:ascii="Arial Narrow" w:hAnsi="Arial Narrow"/>
          <w:b/>
          <w:sz w:val="20"/>
          <w:szCs w:val="20"/>
        </w:rPr>
        <w:t>4</w:t>
      </w:r>
      <w:r w:rsidRPr="004267F6">
        <w:rPr>
          <w:rStyle w:val="CommentReference"/>
          <w:rFonts w:ascii="Arial Narrow" w:hAnsi="Arial Narrow"/>
          <w:b/>
          <w:sz w:val="20"/>
          <w:szCs w:val="20"/>
        </w:rPr>
        <w:t xml:space="preserve">: Summary of survival outcomes from GALLIUM at the September 2016 data cut - follicular lymphoma population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9"/>
        <w:gridCol w:w="1682"/>
        <w:gridCol w:w="1599"/>
        <w:gridCol w:w="1263"/>
        <w:gridCol w:w="1815"/>
      </w:tblGrid>
      <w:tr w:rsidR="00D67125" w:rsidRPr="004267F6" w:rsidTr="00E21D82">
        <w:trPr>
          <w:trHeight w:val="454"/>
          <w:tblHeader/>
        </w:trPr>
        <w:tc>
          <w:tcPr>
            <w:tcW w:w="1254" w:type="pct"/>
            <w:vAlign w:val="center"/>
          </w:tcPr>
          <w:p w:rsidR="00D67125" w:rsidRPr="004267F6" w:rsidRDefault="00D67125" w:rsidP="00066EF4">
            <w:pPr>
              <w:keepNext/>
              <w:keepLines/>
              <w:spacing w:before="0" w:after="0"/>
              <w:rPr>
                <w:rFonts w:ascii="Arial Narrow" w:hAnsi="Arial Narrow"/>
                <w:sz w:val="20"/>
              </w:rPr>
            </w:pPr>
          </w:p>
        </w:tc>
        <w:tc>
          <w:tcPr>
            <w:tcW w:w="991" w:type="pct"/>
            <w:vAlign w:val="center"/>
          </w:tcPr>
          <w:p w:rsidR="00D67125" w:rsidRPr="004267F6" w:rsidRDefault="00D67125" w:rsidP="00066EF4">
            <w:pPr>
              <w:keepNext/>
              <w:keepLines/>
              <w:spacing w:before="0" w:after="0"/>
              <w:ind w:right="-108"/>
              <w:jc w:val="center"/>
              <w:rPr>
                <w:rFonts w:ascii="Arial Narrow" w:hAnsi="Arial Narrow"/>
                <w:b/>
                <w:sz w:val="20"/>
              </w:rPr>
            </w:pPr>
            <w:r w:rsidRPr="004267F6">
              <w:rPr>
                <w:rFonts w:ascii="Arial Narrow" w:hAnsi="Arial Narrow"/>
                <w:b/>
                <w:sz w:val="20"/>
              </w:rPr>
              <w:t>G-Chemo (N=601)</w:t>
            </w:r>
          </w:p>
          <w:p w:rsidR="00D67125" w:rsidRPr="004267F6" w:rsidRDefault="00D67125" w:rsidP="00066EF4">
            <w:pPr>
              <w:keepNext/>
              <w:keepLines/>
              <w:spacing w:before="0" w:after="0"/>
              <w:ind w:right="-108"/>
              <w:jc w:val="center"/>
              <w:rPr>
                <w:rFonts w:ascii="Arial Narrow" w:hAnsi="Arial Narrow"/>
                <w:sz w:val="20"/>
              </w:rPr>
            </w:pPr>
            <w:r w:rsidRPr="004267F6">
              <w:rPr>
                <w:rFonts w:ascii="Arial Narrow" w:hAnsi="Arial Narrow"/>
                <w:b/>
                <w:sz w:val="20"/>
              </w:rPr>
              <w:t>n/N (%)</w:t>
            </w:r>
          </w:p>
        </w:tc>
        <w:tc>
          <w:tcPr>
            <w:tcW w:w="942" w:type="pct"/>
            <w:vAlign w:val="center"/>
          </w:tcPr>
          <w:p w:rsidR="00D67125" w:rsidRPr="004267F6" w:rsidRDefault="00D67125" w:rsidP="00066EF4">
            <w:pPr>
              <w:keepNext/>
              <w:keepLines/>
              <w:spacing w:before="0" w:after="0"/>
              <w:jc w:val="center"/>
              <w:rPr>
                <w:rFonts w:ascii="Arial Narrow" w:hAnsi="Arial Narrow"/>
                <w:b/>
                <w:sz w:val="20"/>
              </w:rPr>
            </w:pPr>
            <w:r w:rsidRPr="004267F6">
              <w:rPr>
                <w:rFonts w:ascii="Arial Narrow" w:hAnsi="Arial Narrow"/>
                <w:b/>
                <w:sz w:val="20"/>
              </w:rPr>
              <w:t>R-Chemo (N=601)</w:t>
            </w:r>
          </w:p>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b/>
                <w:sz w:val="20"/>
              </w:rPr>
              <w:t>n/N (%)</w:t>
            </w:r>
          </w:p>
        </w:tc>
        <w:tc>
          <w:tcPr>
            <w:tcW w:w="744" w:type="pct"/>
            <w:vAlign w:val="center"/>
          </w:tcPr>
          <w:p w:rsidR="00D67125" w:rsidRPr="004267F6" w:rsidRDefault="00D67125" w:rsidP="00066EF4">
            <w:pPr>
              <w:keepNext/>
              <w:keepLines/>
              <w:spacing w:before="0" w:after="0"/>
              <w:jc w:val="center"/>
              <w:rPr>
                <w:rFonts w:ascii="Arial Narrow" w:hAnsi="Arial Narrow"/>
                <w:b/>
                <w:sz w:val="20"/>
              </w:rPr>
            </w:pPr>
            <w:r w:rsidRPr="004267F6">
              <w:rPr>
                <w:rFonts w:ascii="Arial Narrow" w:hAnsi="Arial Narrow"/>
                <w:b/>
                <w:sz w:val="20"/>
              </w:rPr>
              <w:t>Absolute difference</w:t>
            </w:r>
          </w:p>
        </w:tc>
        <w:tc>
          <w:tcPr>
            <w:tcW w:w="1069"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b/>
                <w:sz w:val="20"/>
              </w:rPr>
              <w:t>HR (95% CI)</w:t>
            </w:r>
          </w:p>
        </w:tc>
      </w:tr>
      <w:tr w:rsidR="00D67125" w:rsidRPr="004267F6" w:rsidTr="00E21D82">
        <w:trPr>
          <w:trHeight w:val="227"/>
        </w:trPr>
        <w:tc>
          <w:tcPr>
            <w:tcW w:w="5000" w:type="pct"/>
            <w:gridSpan w:val="5"/>
            <w:vAlign w:val="center"/>
          </w:tcPr>
          <w:p w:rsidR="00D67125" w:rsidRPr="004267F6" w:rsidRDefault="00D67125" w:rsidP="00066EF4">
            <w:pPr>
              <w:keepNext/>
              <w:keepLines/>
              <w:spacing w:before="0" w:after="0"/>
              <w:rPr>
                <w:rFonts w:ascii="Arial Narrow" w:hAnsi="Arial Narrow"/>
                <w:b/>
                <w:sz w:val="20"/>
              </w:rPr>
            </w:pPr>
            <w:r w:rsidRPr="004267F6">
              <w:rPr>
                <w:rFonts w:ascii="Arial Narrow" w:hAnsi="Arial Narrow"/>
                <w:b/>
                <w:sz w:val="20"/>
              </w:rPr>
              <w:t>Investigator-assessed PFS September 2016 data cut</w:t>
            </w:r>
          </w:p>
        </w:tc>
      </w:tr>
      <w:tr w:rsidR="00D67125" w:rsidRPr="004267F6" w:rsidTr="00E21D82">
        <w:trPr>
          <w:trHeight w:val="227"/>
        </w:trPr>
        <w:tc>
          <w:tcPr>
            <w:tcW w:w="1254" w:type="pct"/>
            <w:vAlign w:val="center"/>
          </w:tcPr>
          <w:p w:rsidR="00D67125" w:rsidRPr="004267F6" w:rsidRDefault="00D67125" w:rsidP="00066EF4">
            <w:pPr>
              <w:keepNext/>
              <w:keepLines/>
              <w:spacing w:before="0" w:after="0"/>
              <w:rPr>
                <w:rFonts w:ascii="Arial Narrow" w:hAnsi="Arial Narrow"/>
                <w:sz w:val="20"/>
              </w:rPr>
            </w:pPr>
            <w:r w:rsidRPr="004267F6">
              <w:rPr>
                <w:rFonts w:ascii="Arial Narrow" w:hAnsi="Arial Narrow"/>
                <w:sz w:val="20"/>
              </w:rPr>
              <w:t>Patients with event</w:t>
            </w:r>
          </w:p>
        </w:tc>
        <w:tc>
          <w:tcPr>
            <w:tcW w:w="991"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sz w:val="20"/>
              </w:rPr>
              <w:t>120 (20.0%)</w:t>
            </w:r>
          </w:p>
        </w:tc>
        <w:tc>
          <w:tcPr>
            <w:tcW w:w="942"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sz w:val="20"/>
              </w:rPr>
              <w:t>161 (26.8%)</w:t>
            </w:r>
          </w:p>
        </w:tc>
        <w:tc>
          <w:tcPr>
            <w:tcW w:w="744"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sz w:val="20"/>
              </w:rPr>
              <w:t>-6.8%</w:t>
            </w:r>
          </w:p>
        </w:tc>
        <w:tc>
          <w:tcPr>
            <w:tcW w:w="1069" w:type="pct"/>
            <w:vAlign w:val="center"/>
          </w:tcPr>
          <w:p w:rsidR="00D67125" w:rsidRPr="004267F6" w:rsidRDefault="00D67125" w:rsidP="00066EF4">
            <w:pPr>
              <w:keepNext/>
              <w:keepLines/>
              <w:spacing w:before="0" w:after="0"/>
              <w:jc w:val="center"/>
              <w:rPr>
                <w:rFonts w:ascii="Arial Narrow" w:hAnsi="Arial Narrow"/>
                <w:sz w:val="20"/>
              </w:rPr>
            </w:pPr>
          </w:p>
        </w:tc>
      </w:tr>
      <w:tr w:rsidR="00D67125" w:rsidRPr="004267F6" w:rsidTr="00E21D82">
        <w:trPr>
          <w:trHeight w:val="454"/>
        </w:trPr>
        <w:tc>
          <w:tcPr>
            <w:tcW w:w="1254" w:type="pct"/>
            <w:vAlign w:val="center"/>
          </w:tcPr>
          <w:p w:rsidR="00D67125" w:rsidRPr="004267F6" w:rsidRDefault="00D67125" w:rsidP="00066EF4">
            <w:pPr>
              <w:keepNext/>
              <w:keepLines/>
              <w:spacing w:before="0" w:after="0"/>
              <w:rPr>
                <w:rFonts w:ascii="Arial Narrow" w:hAnsi="Arial Narrow"/>
                <w:sz w:val="20"/>
              </w:rPr>
            </w:pPr>
            <w:r w:rsidRPr="004267F6">
              <w:rPr>
                <w:rFonts w:ascii="Arial Narrow" w:hAnsi="Arial Narrow"/>
                <w:sz w:val="20"/>
              </w:rPr>
              <w:t>Median PFS-months (95%CI)</w:t>
            </w:r>
          </w:p>
        </w:tc>
        <w:tc>
          <w:tcPr>
            <w:tcW w:w="991" w:type="pct"/>
            <w:vAlign w:val="center"/>
          </w:tcPr>
          <w:p w:rsidR="00D67125" w:rsidRPr="00CD21DA" w:rsidRDefault="00CD21DA" w:rsidP="00066EF4">
            <w:pPr>
              <w:keepNext/>
              <w:keepLines/>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42" w:type="pct"/>
            <w:vAlign w:val="center"/>
          </w:tcPr>
          <w:p w:rsidR="00D67125" w:rsidRPr="00CD21DA" w:rsidRDefault="00CD21DA" w:rsidP="00066EF4">
            <w:pPr>
              <w:keepNext/>
              <w:keepLines/>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744" w:type="pct"/>
            <w:vAlign w:val="center"/>
          </w:tcPr>
          <w:p w:rsidR="00D67125" w:rsidRPr="00CD21DA" w:rsidRDefault="00CD21DA" w:rsidP="00066EF4">
            <w:pPr>
              <w:keepNext/>
              <w:keepLine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1069" w:type="pct"/>
            <w:vAlign w:val="center"/>
          </w:tcPr>
          <w:p w:rsidR="00D67125" w:rsidRPr="004267F6" w:rsidRDefault="00D67125" w:rsidP="00066EF4">
            <w:pPr>
              <w:keepNext/>
              <w:keepLines/>
              <w:spacing w:before="0" w:after="0"/>
              <w:jc w:val="center"/>
              <w:rPr>
                <w:rFonts w:ascii="Arial Narrow" w:hAnsi="Arial Narrow"/>
                <w:b/>
                <w:sz w:val="20"/>
              </w:rPr>
            </w:pPr>
            <w:r w:rsidRPr="004267F6">
              <w:rPr>
                <w:rFonts w:ascii="Arial Narrow" w:hAnsi="Arial Narrow"/>
                <w:b/>
                <w:sz w:val="20"/>
              </w:rPr>
              <w:t>0.68 (0.54, 0.87)</w:t>
            </w:r>
          </w:p>
        </w:tc>
      </w:tr>
      <w:tr w:rsidR="00D67125" w:rsidRPr="004267F6" w:rsidTr="00E21D82">
        <w:trPr>
          <w:trHeight w:val="227"/>
        </w:trPr>
        <w:tc>
          <w:tcPr>
            <w:tcW w:w="5000" w:type="pct"/>
            <w:gridSpan w:val="5"/>
            <w:vAlign w:val="center"/>
          </w:tcPr>
          <w:p w:rsidR="00D67125" w:rsidRPr="004267F6" w:rsidRDefault="00D67125" w:rsidP="00066EF4">
            <w:pPr>
              <w:keepNext/>
              <w:keepLines/>
              <w:spacing w:before="0" w:after="0"/>
              <w:rPr>
                <w:rFonts w:ascii="Arial Narrow" w:hAnsi="Arial Narrow"/>
                <w:b/>
                <w:sz w:val="20"/>
              </w:rPr>
            </w:pPr>
            <w:r w:rsidRPr="004267F6">
              <w:rPr>
                <w:rFonts w:ascii="Arial Narrow" w:hAnsi="Arial Narrow"/>
                <w:b/>
                <w:sz w:val="20"/>
              </w:rPr>
              <w:t>IRC-assessed PFS September 2016 data cut</w:t>
            </w:r>
          </w:p>
        </w:tc>
      </w:tr>
      <w:tr w:rsidR="00D67125" w:rsidRPr="004267F6" w:rsidTr="00E21D82">
        <w:trPr>
          <w:trHeight w:val="227"/>
        </w:trPr>
        <w:tc>
          <w:tcPr>
            <w:tcW w:w="1254" w:type="pct"/>
            <w:vAlign w:val="center"/>
          </w:tcPr>
          <w:p w:rsidR="00D67125" w:rsidRPr="004267F6" w:rsidRDefault="00D67125" w:rsidP="00066EF4">
            <w:pPr>
              <w:keepNext/>
              <w:keepLines/>
              <w:spacing w:before="0" w:after="0"/>
              <w:rPr>
                <w:rFonts w:ascii="Arial Narrow" w:hAnsi="Arial Narrow"/>
                <w:sz w:val="20"/>
              </w:rPr>
            </w:pPr>
            <w:r w:rsidRPr="004267F6">
              <w:rPr>
                <w:rFonts w:ascii="Arial Narrow" w:hAnsi="Arial Narrow"/>
                <w:sz w:val="20"/>
              </w:rPr>
              <w:t>Patients with event</w:t>
            </w:r>
          </w:p>
        </w:tc>
        <w:tc>
          <w:tcPr>
            <w:tcW w:w="991"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sz w:val="20"/>
              </w:rPr>
              <w:t>108 (18.0%)</w:t>
            </w:r>
          </w:p>
        </w:tc>
        <w:tc>
          <w:tcPr>
            <w:tcW w:w="942"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sz w:val="20"/>
              </w:rPr>
              <w:t>141 (23.5%)</w:t>
            </w:r>
          </w:p>
        </w:tc>
        <w:tc>
          <w:tcPr>
            <w:tcW w:w="744"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sz w:val="20"/>
              </w:rPr>
              <w:t>-5.5%</w:t>
            </w:r>
          </w:p>
        </w:tc>
        <w:tc>
          <w:tcPr>
            <w:tcW w:w="1069" w:type="pct"/>
            <w:vAlign w:val="center"/>
          </w:tcPr>
          <w:p w:rsidR="00D67125" w:rsidRPr="004267F6" w:rsidRDefault="00D67125" w:rsidP="00066EF4">
            <w:pPr>
              <w:keepNext/>
              <w:keepLines/>
              <w:spacing w:before="0" w:after="0"/>
              <w:jc w:val="center"/>
              <w:rPr>
                <w:rFonts w:ascii="Arial Narrow" w:hAnsi="Arial Narrow"/>
                <w:sz w:val="20"/>
              </w:rPr>
            </w:pPr>
          </w:p>
        </w:tc>
      </w:tr>
      <w:tr w:rsidR="00D67125" w:rsidRPr="004267F6" w:rsidTr="00E21D82">
        <w:trPr>
          <w:trHeight w:val="454"/>
        </w:trPr>
        <w:tc>
          <w:tcPr>
            <w:tcW w:w="1254" w:type="pct"/>
            <w:vAlign w:val="center"/>
          </w:tcPr>
          <w:p w:rsidR="00D67125" w:rsidRPr="004267F6" w:rsidRDefault="00D67125" w:rsidP="00066EF4">
            <w:pPr>
              <w:keepNext/>
              <w:keepLines/>
              <w:spacing w:before="0" w:after="0"/>
              <w:rPr>
                <w:rFonts w:ascii="Arial Narrow" w:hAnsi="Arial Narrow"/>
                <w:sz w:val="20"/>
              </w:rPr>
            </w:pPr>
            <w:r w:rsidRPr="004267F6">
              <w:rPr>
                <w:rFonts w:ascii="Arial Narrow" w:hAnsi="Arial Narrow"/>
                <w:sz w:val="20"/>
              </w:rPr>
              <w:t>Median PFS-months (95%CI)</w:t>
            </w:r>
          </w:p>
        </w:tc>
        <w:tc>
          <w:tcPr>
            <w:tcW w:w="991" w:type="pct"/>
            <w:vAlign w:val="center"/>
          </w:tcPr>
          <w:p w:rsidR="00D67125" w:rsidRPr="00CD21DA" w:rsidRDefault="00CD21DA" w:rsidP="00066EF4">
            <w:pPr>
              <w:keepNext/>
              <w:keepLines/>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42" w:type="pct"/>
            <w:vAlign w:val="center"/>
          </w:tcPr>
          <w:p w:rsidR="00D67125" w:rsidRPr="00CD21DA" w:rsidRDefault="00CD21DA" w:rsidP="00066EF4">
            <w:pPr>
              <w:keepNext/>
              <w:keepLines/>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744" w:type="pct"/>
            <w:vAlign w:val="center"/>
          </w:tcPr>
          <w:p w:rsidR="00D67125" w:rsidRPr="00CD21DA" w:rsidRDefault="00CD21DA" w:rsidP="00066EF4">
            <w:pPr>
              <w:keepNext/>
              <w:keepLine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1069" w:type="pct"/>
            <w:vAlign w:val="center"/>
          </w:tcPr>
          <w:p w:rsidR="00D67125" w:rsidRPr="004267F6" w:rsidRDefault="00D67125" w:rsidP="00066EF4">
            <w:pPr>
              <w:keepNext/>
              <w:keepLines/>
              <w:spacing w:before="0" w:after="0"/>
              <w:jc w:val="center"/>
              <w:rPr>
                <w:rFonts w:ascii="Arial Narrow" w:hAnsi="Arial Narrow"/>
                <w:b/>
                <w:sz w:val="20"/>
              </w:rPr>
            </w:pPr>
            <w:r w:rsidRPr="004267F6">
              <w:rPr>
                <w:rFonts w:ascii="Arial Narrow" w:hAnsi="Arial Narrow"/>
                <w:b/>
                <w:sz w:val="20"/>
              </w:rPr>
              <w:t>0.72 (0.56, 0.93)</w:t>
            </w:r>
          </w:p>
        </w:tc>
      </w:tr>
      <w:tr w:rsidR="00D67125" w:rsidRPr="004267F6" w:rsidTr="00E21D82">
        <w:trPr>
          <w:trHeight w:val="227"/>
        </w:trPr>
        <w:tc>
          <w:tcPr>
            <w:tcW w:w="5000" w:type="pct"/>
            <w:gridSpan w:val="5"/>
            <w:vAlign w:val="center"/>
          </w:tcPr>
          <w:p w:rsidR="00D67125" w:rsidRPr="004267F6" w:rsidRDefault="00D67125" w:rsidP="00066EF4">
            <w:pPr>
              <w:keepNext/>
              <w:keepLines/>
              <w:spacing w:before="0" w:after="0"/>
              <w:rPr>
                <w:rFonts w:ascii="Arial Narrow" w:hAnsi="Arial Narrow"/>
                <w:b/>
                <w:sz w:val="20"/>
              </w:rPr>
            </w:pPr>
            <w:r w:rsidRPr="004267F6">
              <w:rPr>
                <w:rFonts w:ascii="Arial Narrow" w:hAnsi="Arial Narrow"/>
                <w:b/>
                <w:sz w:val="20"/>
              </w:rPr>
              <w:t>OS September 2016 data cut</w:t>
            </w:r>
          </w:p>
        </w:tc>
      </w:tr>
      <w:tr w:rsidR="00D67125" w:rsidRPr="004267F6" w:rsidTr="00E21D82">
        <w:trPr>
          <w:trHeight w:val="208"/>
        </w:trPr>
        <w:tc>
          <w:tcPr>
            <w:tcW w:w="1254" w:type="pct"/>
            <w:vAlign w:val="center"/>
          </w:tcPr>
          <w:p w:rsidR="00D67125" w:rsidRPr="004267F6" w:rsidRDefault="00D67125" w:rsidP="00066EF4">
            <w:pPr>
              <w:keepNext/>
              <w:keepLines/>
              <w:spacing w:before="0" w:after="0"/>
              <w:rPr>
                <w:rFonts w:ascii="Arial Narrow" w:hAnsi="Arial Narrow"/>
                <w:sz w:val="20"/>
              </w:rPr>
            </w:pPr>
            <w:r w:rsidRPr="004267F6">
              <w:rPr>
                <w:rFonts w:ascii="Arial Narrow" w:hAnsi="Arial Narrow"/>
                <w:sz w:val="20"/>
              </w:rPr>
              <w:t>Patients with event</w:t>
            </w:r>
          </w:p>
        </w:tc>
        <w:tc>
          <w:tcPr>
            <w:tcW w:w="991"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sz w:val="20"/>
              </w:rPr>
              <w:t>43 (7.2%)</w:t>
            </w:r>
          </w:p>
        </w:tc>
        <w:tc>
          <w:tcPr>
            <w:tcW w:w="942"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sz w:val="20"/>
              </w:rPr>
              <w:t>52 (8.7%)</w:t>
            </w:r>
          </w:p>
        </w:tc>
        <w:tc>
          <w:tcPr>
            <w:tcW w:w="744"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sz w:val="20"/>
              </w:rPr>
              <w:t>-1.5%</w:t>
            </w:r>
          </w:p>
        </w:tc>
        <w:tc>
          <w:tcPr>
            <w:tcW w:w="1069" w:type="pct"/>
            <w:vAlign w:val="center"/>
          </w:tcPr>
          <w:p w:rsidR="00D67125" w:rsidRPr="004267F6" w:rsidRDefault="00D67125" w:rsidP="00066EF4">
            <w:pPr>
              <w:keepNext/>
              <w:keepLines/>
              <w:spacing w:before="0" w:after="0"/>
              <w:jc w:val="center"/>
              <w:rPr>
                <w:rFonts w:ascii="Arial Narrow" w:hAnsi="Arial Narrow"/>
                <w:sz w:val="20"/>
              </w:rPr>
            </w:pPr>
          </w:p>
        </w:tc>
      </w:tr>
      <w:tr w:rsidR="00D67125" w:rsidRPr="004267F6" w:rsidTr="00E21D82">
        <w:trPr>
          <w:trHeight w:val="473"/>
        </w:trPr>
        <w:tc>
          <w:tcPr>
            <w:tcW w:w="1254" w:type="pct"/>
            <w:vAlign w:val="center"/>
          </w:tcPr>
          <w:p w:rsidR="00D67125" w:rsidRPr="004267F6" w:rsidRDefault="00D67125" w:rsidP="00066EF4">
            <w:pPr>
              <w:keepNext/>
              <w:keepLines/>
              <w:spacing w:before="0" w:after="0"/>
              <w:rPr>
                <w:rFonts w:ascii="Arial Narrow" w:hAnsi="Arial Narrow"/>
                <w:sz w:val="20"/>
              </w:rPr>
            </w:pPr>
            <w:r w:rsidRPr="004267F6">
              <w:rPr>
                <w:rFonts w:ascii="Arial Narrow" w:hAnsi="Arial Narrow"/>
                <w:sz w:val="20"/>
              </w:rPr>
              <w:t>Median months OS (95% CI)</w:t>
            </w:r>
          </w:p>
        </w:tc>
        <w:tc>
          <w:tcPr>
            <w:tcW w:w="991" w:type="pct"/>
            <w:vAlign w:val="center"/>
          </w:tcPr>
          <w:p w:rsidR="00D67125" w:rsidRPr="00CD21DA" w:rsidRDefault="00CD21DA" w:rsidP="00066EF4">
            <w:pPr>
              <w:keepNext/>
              <w:keepLines/>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42" w:type="pct"/>
            <w:vAlign w:val="center"/>
          </w:tcPr>
          <w:p w:rsidR="00D67125" w:rsidRPr="00CD21DA" w:rsidRDefault="00CD21DA" w:rsidP="00066EF4">
            <w:pPr>
              <w:keepNext/>
              <w:keepLines/>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744" w:type="pct"/>
            <w:vAlign w:val="center"/>
          </w:tcPr>
          <w:p w:rsidR="00D67125" w:rsidRPr="00CD21DA" w:rsidRDefault="00CD21DA" w:rsidP="00066EF4">
            <w:pPr>
              <w:keepNext/>
              <w:keepLine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1069" w:type="pct"/>
            <w:vAlign w:val="center"/>
          </w:tcPr>
          <w:p w:rsidR="00D67125" w:rsidRPr="004267F6" w:rsidRDefault="00D67125" w:rsidP="00066EF4">
            <w:pPr>
              <w:keepNext/>
              <w:keepLines/>
              <w:spacing w:before="0" w:after="0"/>
              <w:jc w:val="center"/>
              <w:rPr>
                <w:rFonts w:ascii="Arial Narrow" w:hAnsi="Arial Narrow"/>
                <w:sz w:val="20"/>
              </w:rPr>
            </w:pPr>
            <w:r w:rsidRPr="004267F6">
              <w:rPr>
                <w:rFonts w:ascii="Arial Narrow" w:hAnsi="Arial Narrow"/>
                <w:sz w:val="20"/>
              </w:rPr>
              <w:t>0.82 (0.54, 1.22)</w:t>
            </w:r>
          </w:p>
        </w:tc>
      </w:tr>
    </w:tbl>
    <w:p w:rsidR="00D67125" w:rsidRPr="004267F6" w:rsidRDefault="00D67125" w:rsidP="00066EF4">
      <w:pPr>
        <w:pStyle w:val="TableFooter"/>
        <w:keepNext/>
        <w:keepLines/>
      </w:pPr>
      <w:r w:rsidRPr="004267F6">
        <w:t>G-Chemo=obinutuzumab+chemotherapy; HR=hazard ratio (</w:t>
      </w:r>
      <w:r w:rsidRPr="004267F6">
        <w:rPr>
          <w:b/>
        </w:rPr>
        <w:t>bold</w:t>
      </w:r>
      <w:r w:rsidRPr="004267F6">
        <w:t>=statistically significant); IRC=Independent Review Committee; PFS=progression-free survival; OS=overall survival; R-Chemo=rituximab+chemotherapy</w:t>
      </w:r>
    </w:p>
    <w:p w:rsidR="00F9576C" w:rsidRPr="004267F6" w:rsidRDefault="00D67125" w:rsidP="00066EF4">
      <w:pPr>
        <w:pStyle w:val="TableFooter"/>
        <w:keepNext/>
        <w:keepLines/>
      </w:pPr>
      <w:r w:rsidRPr="004267F6">
        <w:t>Source: Table 2.6.1, p60-61 of the submission</w:t>
      </w:r>
    </w:p>
    <w:p w:rsidR="006D11D8" w:rsidRPr="004267F6" w:rsidRDefault="00605A0B" w:rsidP="00A375D6">
      <w:pPr>
        <w:pStyle w:val="ListParagraph"/>
        <w:numPr>
          <w:ilvl w:val="1"/>
          <w:numId w:val="1"/>
        </w:numPr>
        <w:ind w:left="709" w:hanging="709"/>
        <w:jc w:val="both"/>
      </w:pPr>
      <w:r w:rsidRPr="004267F6">
        <w:t>The results are more favourable for obinutuzumab+chemotherapy for investigator-assessed PFS (showing a 32% decrease in risk of an event</w:t>
      </w:r>
      <w:r w:rsidR="00670D21">
        <w:t>)</w:t>
      </w:r>
      <w:r w:rsidRPr="004267F6">
        <w:t xml:space="preserve"> versus IRC-assessed PFS</w:t>
      </w:r>
      <w:r w:rsidR="00670D21">
        <w:t xml:space="preserve"> (</w:t>
      </w:r>
      <w:r w:rsidR="00670D21" w:rsidRPr="004267F6">
        <w:t xml:space="preserve">28% </w:t>
      </w:r>
      <w:r w:rsidR="00670D21" w:rsidRPr="00A375D6">
        <w:rPr>
          <w:rFonts w:cs="Arial"/>
          <w:bCs/>
          <w:snapToGrid w:val="0"/>
        </w:rPr>
        <w:t>decrease</w:t>
      </w:r>
      <w:r w:rsidRPr="004267F6">
        <w:t>).</w:t>
      </w:r>
      <w:r w:rsidR="00A07559">
        <w:t xml:space="preserve"> </w:t>
      </w:r>
      <w:r w:rsidR="00326EAE">
        <w:t>The PBAC noted the i</w:t>
      </w:r>
      <w:r w:rsidRPr="004267F6">
        <w:t xml:space="preserve">nvestigator-assessed PFS, which </w:t>
      </w:r>
      <w:r w:rsidR="00C05496">
        <w:t xml:space="preserve">has </w:t>
      </w:r>
      <w:r w:rsidRPr="004267F6">
        <w:t>a greater risk of bias than independently-assessed PFS, was the primary outcome in GALLIUM and also the source of PFS data used in the economic model.</w:t>
      </w:r>
    </w:p>
    <w:p w:rsidR="00605A0B" w:rsidRPr="004267F6" w:rsidRDefault="00605A0B" w:rsidP="00A375D6">
      <w:pPr>
        <w:pStyle w:val="ListParagraph"/>
        <w:numPr>
          <w:ilvl w:val="1"/>
          <w:numId w:val="1"/>
        </w:numPr>
        <w:ind w:left="709" w:hanging="709"/>
        <w:jc w:val="both"/>
      </w:pPr>
      <w:r w:rsidRPr="004267F6">
        <w:t xml:space="preserve">The </w:t>
      </w:r>
      <w:r w:rsidRPr="00A375D6">
        <w:rPr>
          <w:rFonts w:cs="Arial"/>
          <w:bCs/>
          <w:snapToGrid w:val="0"/>
        </w:rPr>
        <w:t>Kaplan</w:t>
      </w:r>
      <w:r w:rsidRPr="004267F6">
        <w:t>-Meier plot</w:t>
      </w:r>
      <w:r w:rsidR="00B011FA">
        <w:t>s</w:t>
      </w:r>
      <w:r w:rsidRPr="004267F6">
        <w:t xml:space="preserve"> for investigator-assessed PFS </w:t>
      </w:r>
      <w:r w:rsidR="00B011FA">
        <w:t xml:space="preserve">and OS are </w:t>
      </w:r>
      <w:r w:rsidRPr="004267F6">
        <w:t>provided in the figure</w:t>
      </w:r>
      <w:r w:rsidR="00B011FA">
        <w:t>s</w:t>
      </w:r>
      <w:r w:rsidRPr="004267F6">
        <w:t xml:space="preserve"> below.</w:t>
      </w:r>
    </w:p>
    <w:p w:rsidR="00605A0B" w:rsidRPr="00591EA6" w:rsidRDefault="00605A0B" w:rsidP="00BB1356">
      <w:pPr>
        <w:spacing w:before="0" w:after="0"/>
        <w:rPr>
          <w:rFonts w:ascii="Arial Narrow" w:hAnsi="Arial Narrow"/>
          <w:b/>
          <w:sz w:val="20"/>
          <w:szCs w:val="20"/>
        </w:rPr>
      </w:pPr>
      <w:r w:rsidRPr="00591EA6">
        <w:rPr>
          <w:rFonts w:ascii="Arial Narrow" w:hAnsi="Arial Narrow"/>
          <w:b/>
          <w:sz w:val="20"/>
          <w:szCs w:val="20"/>
        </w:rPr>
        <w:t xml:space="preserve">Figure </w:t>
      </w:r>
      <w:r w:rsidR="0041015C" w:rsidRPr="00591EA6">
        <w:rPr>
          <w:rFonts w:ascii="Arial Narrow" w:hAnsi="Arial Narrow"/>
          <w:b/>
          <w:sz w:val="20"/>
          <w:szCs w:val="20"/>
        </w:rPr>
        <w:t>1</w:t>
      </w:r>
      <w:r w:rsidRPr="00591EA6">
        <w:rPr>
          <w:rFonts w:ascii="Arial Narrow" w:hAnsi="Arial Narrow"/>
          <w:b/>
          <w:sz w:val="20"/>
          <w:szCs w:val="20"/>
        </w:rPr>
        <w:t>: Investigator-assessed PFS in patients with follicular lymphoma in GALLIUM - September 2016 data cut</w:t>
      </w:r>
    </w:p>
    <w:p w:rsidR="00605A0B" w:rsidRPr="00591EA6" w:rsidRDefault="00CD21DA" w:rsidP="00605A0B">
      <w:pPr>
        <w:pStyle w:val="PBACHeading1"/>
        <w:numPr>
          <w:ilvl w:val="0"/>
          <w:numId w:val="0"/>
        </w:numPr>
      </w:pPr>
      <w:r>
        <w:rPr>
          <w:noProof/>
          <w:snapToGrid/>
          <w:lang w:eastAsia="en-AU"/>
        </w:rPr>
        <w:drawing>
          <wp:inline distT="0" distB="0" distL="0" distR="0">
            <wp:extent cx="5731510" cy="2857500"/>
            <wp:effectExtent l="0" t="0" r="254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857500"/>
                    </a:xfrm>
                    <a:prstGeom prst="rect">
                      <a:avLst/>
                    </a:prstGeom>
                  </pic:spPr>
                </pic:pic>
              </a:graphicData>
            </a:graphic>
          </wp:inline>
        </w:drawing>
      </w:r>
    </w:p>
    <w:p w:rsidR="00605A0B" w:rsidRPr="00591EA6" w:rsidRDefault="00605A0B" w:rsidP="00605A0B">
      <w:pPr>
        <w:pStyle w:val="TableFooter"/>
      </w:pPr>
      <w:r w:rsidRPr="00591EA6">
        <w:t>Source:</w:t>
      </w:r>
      <w:r w:rsidR="00A07559">
        <w:t xml:space="preserve"> </w:t>
      </w:r>
      <w:r w:rsidRPr="00591EA6">
        <w:t>Figure 2.6.1, p63 of the submission</w:t>
      </w:r>
    </w:p>
    <w:p w:rsidR="00080E93" w:rsidRPr="00591EA6" w:rsidRDefault="00080E93" w:rsidP="00605A0B">
      <w:pPr>
        <w:pStyle w:val="TableFooter"/>
      </w:pPr>
    </w:p>
    <w:p w:rsidR="00080E93" w:rsidRPr="00591EA6" w:rsidRDefault="00080E93" w:rsidP="005A0C0E">
      <w:pPr>
        <w:pStyle w:val="TableFooter"/>
        <w:keepNext/>
        <w:keepLines/>
        <w:rPr>
          <w:b/>
        </w:rPr>
      </w:pPr>
      <w:bookmarkStart w:id="18" w:name="OLE_LINK1"/>
      <w:r w:rsidRPr="00591EA6">
        <w:rPr>
          <w:b/>
          <w:sz w:val="20"/>
        </w:rPr>
        <w:t xml:space="preserve">Figure 2: OS in patients </w:t>
      </w:r>
      <w:bookmarkEnd w:id="18"/>
      <w:r w:rsidRPr="00591EA6">
        <w:rPr>
          <w:b/>
          <w:sz w:val="20"/>
        </w:rPr>
        <w:t>with follicular lymphoma in GALLIUM - September 2016 data cut</w:t>
      </w:r>
    </w:p>
    <w:p w:rsidR="00080E93" w:rsidRPr="00591EA6" w:rsidRDefault="00CD21DA" w:rsidP="005A0C0E">
      <w:pPr>
        <w:pStyle w:val="TableFooter"/>
        <w:keepNext/>
        <w:keepLines/>
      </w:pPr>
      <w:r>
        <w:rPr>
          <w:noProof/>
          <w:snapToGrid/>
          <w:lang w:eastAsia="en-AU"/>
        </w:rPr>
        <w:drawing>
          <wp:inline distT="0" distB="0" distL="0" distR="0">
            <wp:extent cx="5731510" cy="2894330"/>
            <wp:effectExtent l="0" t="0" r="2540" b="127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894330"/>
                    </a:xfrm>
                    <a:prstGeom prst="rect">
                      <a:avLst/>
                    </a:prstGeom>
                  </pic:spPr>
                </pic:pic>
              </a:graphicData>
            </a:graphic>
          </wp:inline>
        </w:drawing>
      </w:r>
    </w:p>
    <w:p w:rsidR="009F302B" w:rsidRPr="00591EA6" w:rsidRDefault="009F302B" w:rsidP="005A0C0E">
      <w:pPr>
        <w:pStyle w:val="TableFooter"/>
        <w:keepNext/>
        <w:keepLines/>
      </w:pPr>
      <w:r w:rsidRPr="00591EA6">
        <w:t>Source:</w:t>
      </w:r>
      <w:r w:rsidR="00A07559">
        <w:t xml:space="preserve"> </w:t>
      </w:r>
      <w:r w:rsidRPr="00591EA6">
        <w:t>Figure 2.6.3, p66 of the submission</w:t>
      </w:r>
    </w:p>
    <w:p w:rsidR="008E230F" w:rsidRPr="004267F6" w:rsidRDefault="001477AB" w:rsidP="00A375D6">
      <w:pPr>
        <w:pStyle w:val="ListParagraph"/>
        <w:numPr>
          <w:ilvl w:val="1"/>
          <w:numId w:val="1"/>
        </w:numPr>
        <w:ind w:left="709" w:hanging="709"/>
        <w:jc w:val="both"/>
      </w:pPr>
      <w:r w:rsidRPr="004267F6">
        <w:t>M</w:t>
      </w:r>
      <w:r w:rsidR="008E230F" w:rsidRPr="004267F6">
        <w:t>edian OS was not reached for either obinutuzumab+chemotherapy or rituximab+</w:t>
      </w:r>
      <w:r w:rsidR="008E230F" w:rsidRPr="00A375D6">
        <w:rPr>
          <w:rFonts w:cs="Arial"/>
          <w:bCs/>
          <w:snapToGrid w:val="0"/>
        </w:rPr>
        <w:t>chemotherapy</w:t>
      </w:r>
      <w:r w:rsidR="003A0109" w:rsidRPr="004267F6">
        <w:t xml:space="preserve">, less than </w:t>
      </w:r>
      <w:r w:rsidR="00CD21DA">
        <w:rPr>
          <w:noProof/>
          <w:color w:val="000000"/>
          <w:highlight w:val="black"/>
        </w:rPr>
        <w:t>'''''</w:t>
      </w:r>
      <w:r w:rsidR="003A0109" w:rsidRPr="004267F6">
        <w:t>% of patients had died in each arm as of the September 2016 data cut</w:t>
      </w:r>
      <w:r w:rsidR="008B759B">
        <w:t>,</w:t>
      </w:r>
      <w:r w:rsidR="008E230F" w:rsidRPr="004267F6">
        <w:t xml:space="preserve"> and there was no statistically significant difference between the two treatment arms.</w:t>
      </w:r>
      <w:r w:rsidR="00A07559">
        <w:t xml:space="preserve"> </w:t>
      </w:r>
      <w:r w:rsidR="008E230F" w:rsidRPr="004267F6">
        <w:t>The submission noted (p60) that the hazard ratio for OS was numerically in favour of treatment with obinutuzumab+chemotherapy.</w:t>
      </w:r>
      <w:r w:rsidR="00A07559">
        <w:t xml:space="preserve"> </w:t>
      </w:r>
      <w:r w:rsidR="008E230F" w:rsidRPr="004267F6">
        <w:t xml:space="preserve">While this was the case, the submission </w:t>
      </w:r>
      <w:r w:rsidR="003A0109" w:rsidRPr="004267F6">
        <w:t xml:space="preserve">based </w:t>
      </w:r>
      <w:r w:rsidR="008E230F" w:rsidRPr="004267F6">
        <w:t xml:space="preserve">its claim of superiority on PFS results (see </w:t>
      </w:r>
      <w:r w:rsidR="00813DD0" w:rsidRPr="004267F6">
        <w:t>‘Clinical claim’ below</w:t>
      </w:r>
      <w:r w:rsidR="008E230F" w:rsidRPr="004267F6">
        <w:t>).</w:t>
      </w:r>
      <w:r w:rsidR="0022680D">
        <w:t xml:space="preserve"> The PBAC considered </w:t>
      </w:r>
      <w:r w:rsidR="00F501E5">
        <w:t xml:space="preserve">PFS </w:t>
      </w:r>
      <w:r w:rsidR="00250588">
        <w:t>to be</w:t>
      </w:r>
      <w:r w:rsidR="0022680D" w:rsidRPr="0022680D">
        <w:t xml:space="preserve"> a</w:t>
      </w:r>
      <w:r w:rsidR="008B759B">
        <w:t xml:space="preserve"> potentially</w:t>
      </w:r>
      <w:r w:rsidR="0022680D" w:rsidRPr="0022680D">
        <w:t xml:space="preserve"> important endpoint </w:t>
      </w:r>
      <w:r w:rsidR="0022680D">
        <w:t>in</w:t>
      </w:r>
      <w:r w:rsidR="0022680D" w:rsidRPr="0022680D">
        <w:t xml:space="preserve"> indolent disease</w:t>
      </w:r>
      <w:r w:rsidR="0022680D">
        <w:t>s</w:t>
      </w:r>
      <w:r w:rsidR="00250588">
        <w:t xml:space="preserve"> such as follicular lymphoma</w:t>
      </w:r>
      <w:r w:rsidR="00F55831">
        <w:t>, even if not all progressions are symptomatic</w:t>
      </w:r>
      <w:r w:rsidR="00C2240C">
        <w:t>.</w:t>
      </w:r>
      <w:r w:rsidR="0022680D">
        <w:t xml:space="preserve"> </w:t>
      </w:r>
    </w:p>
    <w:p w:rsidR="002D76F2" w:rsidRPr="004267F6" w:rsidRDefault="00F827D6" w:rsidP="00A375D6">
      <w:pPr>
        <w:pStyle w:val="ListParagraph"/>
        <w:numPr>
          <w:ilvl w:val="1"/>
          <w:numId w:val="1"/>
        </w:numPr>
        <w:ind w:left="709" w:hanging="709"/>
        <w:jc w:val="both"/>
      </w:pPr>
      <w:r>
        <w:t>The PBAC noted the r</w:t>
      </w:r>
      <w:r w:rsidR="008F4EF2" w:rsidRPr="004267F6">
        <w:t xml:space="preserve">esults for additional secondary outcomes including time to next anti-lymphoma treatment, event-free survival, and duration of response demonstrated </w:t>
      </w:r>
      <w:r w:rsidR="008F4EF2" w:rsidRPr="00A375D6">
        <w:rPr>
          <w:rFonts w:cs="Arial"/>
          <w:bCs/>
          <w:snapToGrid w:val="0"/>
        </w:rPr>
        <w:t>statistically</w:t>
      </w:r>
      <w:r w:rsidR="008F4EF2" w:rsidRPr="004267F6">
        <w:t xml:space="preserve"> significant advantages for </w:t>
      </w:r>
      <w:r w:rsidR="000155ED" w:rsidRPr="004267F6">
        <w:t>obin</w:t>
      </w:r>
      <w:r w:rsidR="009771E7" w:rsidRPr="004267F6">
        <w:t>u</w:t>
      </w:r>
      <w:r w:rsidR="000155ED" w:rsidRPr="004267F6">
        <w:t>tuzumab</w:t>
      </w:r>
      <w:r w:rsidR="00355618">
        <w:t xml:space="preserve"> but considered the results to be modest</w:t>
      </w:r>
      <w:r w:rsidR="0019074C">
        <w:t>.</w:t>
      </w:r>
      <w:r w:rsidR="009771E7" w:rsidRPr="004267F6">
        <w:t xml:space="preserve"> </w:t>
      </w:r>
      <w:r w:rsidR="0019074C">
        <w:t xml:space="preserve">The PBAC also noted that </w:t>
      </w:r>
      <w:r w:rsidR="009771E7" w:rsidRPr="004267F6">
        <w:t>there</w:t>
      </w:r>
      <w:r w:rsidR="000155ED" w:rsidRPr="004267F6">
        <w:t xml:space="preserve"> </w:t>
      </w:r>
      <w:r w:rsidR="008F4EF2" w:rsidRPr="004267F6">
        <w:t xml:space="preserve">were no statistically significant differences in </w:t>
      </w:r>
      <w:r w:rsidR="00837D5C" w:rsidRPr="004267F6">
        <w:t xml:space="preserve">end of induction treatment </w:t>
      </w:r>
      <w:r w:rsidR="008F4EF2" w:rsidRPr="004267F6">
        <w:t xml:space="preserve">response </w:t>
      </w:r>
      <w:r w:rsidR="00837D5C" w:rsidRPr="004267F6">
        <w:t xml:space="preserve">and disease-free survival </w:t>
      </w:r>
      <w:r w:rsidR="008F4EF2" w:rsidRPr="004267F6">
        <w:t xml:space="preserve">between </w:t>
      </w:r>
      <w:r w:rsidR="00837D5C" w:rsidRPr="004267F6">
        <w:t>the two treatment arms</w:t>
      </w:r>
      <w:r w:rsidR="005413CA">
        <w:t>.</w:t>
      </w:r>
      <w:r w:rsidR="005E1F38">
        <w:t xml:space="preserve"> </w:t>
      </w:r>
    </w:p>
    <w:p w:rsidR="001D0D39" w:rsidRPr="004267F6" w:rsidRDefault="005E283C" w:rsidP="00A375D6">
      <w:pPr>
        <w:pStyle w:val="ListParagraph"/>
        <w:numPr>
          <w:ilvl w:val="1"/>
          <w:numId w:val="1"/>
        </w:numPr>
        <w:ind w:left="709" w:hanging="709"/>
        <w:jc w:val="both"/>
      </w:pPr>
      <w:r w:rsidRPr="004267F6">
        <w:t>The ESC reviewed</w:t>
      </w:r>
      <w:r w:rsidR="00FB660C" w:rsidRPr="004267F6">
        <w:t xml:space="preserve"> the Kaplan-Meier plot for time to treatment </w:t>
      </w:r>
      <w:r w:rsidR="001477AB" w:rsidRPr="004267F6">
        <w:t>discontinuation</w:t>
      </w:r>
      <w:r w:rsidR="00E175D9">
        <w:t>,</w:t>
      </w:r>
      <w:r w:rsidR="001477AB" w:rsidRPr="004267F6">
        <w:t xml:space="preserve"> </w:t>
      </w:r>
      <w:r w:rsidR="00FB660C" w:rsidRPr="004267F6">
        <w:t xml:space="preserve">and </w:t>
      </w:r>
      <w:r w:rsidR="00B83013" w:rsidRPr="004267F6">
        <w:t xml:space="preserve">noted that </w:t>
      </w:r>
      <w:r w:rsidRPr="004267F6">
        <w:t xml:space="preserve">the curve </w:t>
      </w:r>
      <w:r w:rsidR="00B83013" w:rsidRPr="004267F6">
        <w:t xml:space="preserve">was consistent with the requirement for patients to receive </w:t>
      </w:r>
      <w:r w:rsidR="00A73C23" w:rsidRPr="004267F6">
        <w:t xml:space="preserve">a </w:t>
      </w:r>
      <w:r w:rsidR="00A73C23" w:rsidRPr="00A375D6">
        <w:rPr>
          <w:rFonts w:cs="Arial"/>
          <w:bCs/>
          <w:snapToGrid w:val="0"/>
        </w:rPr>
        <w:t>maximum</w:t>
      </w:r>
      <w:r w:rsidR="00A73C23" w:rsidRPr="004267F6">
        <w:t xml:space="preserve"> </w:t>
      </w:r>
      <w:r w:rsidR="0085239C" w:rsidRPr="004267F6">
        <w:t xml:space="preserve">treatment duration </w:t>
      </w:r>
      <w:r w:rsidR="00A73C23" w:rsidRPr="004267F6">
        <w:t>of</w:t>
      </w:r>
      <w:r w:rsidR="00B83013" w:rsidRPr="004267F6">
        <w:t xml:space="preserve"> 2</w:t>
      </w:r>
      <w:r w:rsidR="00A73C23" w:rsidRPr="004267F6">
        <w:t>.5 years</w:t>
      </w:r>
      <w:r w:rsidR="00B83013" w:rsidRPr="004267F6">
        <w:t xml:space="preserve">. </w:t>
      </w:r>
      <w:r w:rsidR="0057638E" w:rsidRPr="004267F6">
        <w:t>T</w:t>
      </w:r>
      <w:r w:rsidR="00846F58" w:rsidRPr="004267F6">
        <w:t xml:space="preserve">he </w:t>
      </w:r>
      <w:r w:rsidR="00E33E7B">
        <w:t>PBAC</w:t>
      </w:r>
      <w:r w:rsidR="00E33E7B" w:rsidRPr="004267F6">
        <w:t xml:space="preserve"> </w:t>
      </w:r>
      <w:r w:rsidR="00846F58" w:rsidRPr="004267F6">
        <w:t>not</w:t>
      </w:r>
      <w:r w:rsidR="0008068A" w:rsidRPr="004267F6">
        <w:t>ed th</w:t>
      </w:r>
      <w:r w:rsidR="00264DE0" w:rsidRPr="004267F6">
        <w:t xml:space="preserve">at data pertaining to the ongoing </w:t>
      </w:r>
      <w:r w:rsidR="00A73C23" w:rsidRPr="004267F6">
        <w:t>benefi</w:t>
      </w:r>
      <w:r w:rsidR="00264DE0" w:rsidRPr="004267F6">
        <w:t>t</w:t>
      </w:r>
      <w:r w:rsidR="0008068A" w:rsidRPr="004267F6">
        <w:t xml:space="preserve"> of </w:t>
      </w:r>
      <w:r w:rsidR="00264DE0" w:rsidRPr="004267F6">
        <w:t>treatment once patients had</w:t>
      </w:r>
      <w:r w:rsidR="00A73C23" w:rsidRPr="004267F6">
        <w:t xml:space="preserve"> received the maximum duration</w:t>
      </w:r>
      <w:r w:rsidR="0085239C" w:rsidRPr="004267F6">
        <w:t xml:space="preserve"> of therapy were</w:t>
      </w:r>
      <w:r w:rsidR="00264DE0" w:rsidRPr="004267F6">
        <w:t xml:space="preserve"> limited</w:t>
      </w:r>
      <w:r w:rsidR="00846F58" w:rsidRPr="004267F6">
        <w:t xml:space="preserve">. </w:t>
      </w:r>
    </w:p>
    <w:p w:rsidR="006D2074" w:rsidRPr="004267F6" w:rsidRDefault="00B83013" w:rsidP="00C240AE">
      <w:pPr>
        <w:pStyle w:val="TableHeading0"/>
      </w:pPr>
      <w:r w:rsidRPr="004267F6">
        <w:t xml:space="preserve">Figure 3: </w:t>
      </w:r>
      <w:r w:rsidR="001D0D39" w:rsidRPr="004267F6">
        <w:t xml:space="preserve">Time to treatment </w:t>
      </w:r>
      <w:r w:rsidR="001477AB" w:rsidRPr="004267F6">
        <w:t xml:space="preserve">discontinuation </w:t>
      </w:r>
      <w:r w:rsidR="001D0D39" w:rsidRPr="004267F6">
        <w:t>in patients with follicular lymphoma in GALLIUM</w:t>
      </w:r>
      <w:r w:rsidR="006D2074" w:rsidRPr="004267F6">
        <w:t xml:space="preserve"> – September 2016 data cut</w:t>
      </w:r>
      <w:r w:rsidR="001D0D39" w:rsidRPr="004267F6">
        <w:t xml:space="preserve"> </w:t>
      </w:r>
    </w:p>
    <w:p w:rsidR="00AF0DF9" w:rsidRPr="00B83013" w:rsidRDefault="00B2524A" w:rsidP="00B83013">
      <w:pPr>
        <w:pStyle w:val="ListParagraph"/>
        <w:spacing w:before="0" w:after="120"/>
        <w:ind w:left="0"/>
        <w:jc w:val="both"/>
        <w:rPr>
          <w:i/>
        </w:rPr>
      </w:pPr>
      <w:r w:rsidRPr="00844DF6">
        <w:rPr>
          <w:noProof/>
          <w:lang w:eastAsia="en-AU"/>
        </w:rPr>
        <w:drawing>
          <wp:inline distT="0" distB="0" distL="0" distR="0" wp14:anchorId="3E2F3B34" wp14:editId="50BB482D">
            <wp:extent cx="5731510" cy="2851150"/>
            <wp:effectExtent l="0" t="0" r="21590" b="25400"/>
            <wp:docPr id="1" name="Chart 1" title="Figure 3: Time to treatment discontinuation in patients with follicular lymphoma in GALLIUM – September 2016 data cu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F4EF2" w:rsidRPr="00B83013">
        <w:rPr>
          <w:rFonts w:ascii="Arial Narrow" w:eastAsia="Times New Roman" w:hAnsi="Arial Narrow" w:cs="Arial"/>
          <w:snapToGrid w:val="0"/>
          <w:sz w:val="18"/>
          <w:szCs w:val="20"/>
        </w:rPr>
        <w:t xml:space="preserve"> </w:t>
      </w:r>
      <w:r w:rsidR="0046285B">
        <w:rPr>
          <w:rFonts w:ascii="Arial Narrow" w:eastAsia="Times New Roman" w:hAnsi="Arial Narrow" w:cs="Arial"/>
          <w:snapToGrid w:val="0"/>
          <w:sz w:val="18"/>
          <w:szCs w:val="20"/>
        </w:rPr>
        <w:t xml:space="preserve">Source: </w:t>
      </w:r>
      <w:r w:rsidR="00B83013" w:rsidRPr="00B83013">
        <w:rPr>
          <w:rFonts w:ascii="Arial Narrow" w:eastAsia="Times New Roman" w:hAnsi="Arial Narrow" w:cs="Arial"/>
          <w:snapToGrid w:val="0"/>
          <w:sz w:val="18"/>
          <w:szCs w:val="20"/>
        </w:rPr>
        <w:t>Excel workbook ‘Economic Evaluation.xlsx’</w:t>
      </w:r>
    </w:p>
    <w:p w:rsidR="00C317F3" w:rsidRPr="00591EA6" w:rsidRDefault="00C317F3" w:rsidP="00772501">
      <w:pPr>
        <w:pStyle w:val="Heading2"/>
        <w:rPr>
          <w:i w:val="0"/>
        </w:rPr>
      </w:pPr>
      <w:bookmarkStart w:id="19" w:name="_Toc413139279"/>
      <w:bookmarkStart w:id="20" w:name="_Toc365635912"/>
      <w:r w:rsidRPr="00591EA6">
        <w:rPr>
          <w:i w:val="0"/>
        </w:rPr>
        <w:t>Comparative harms</w:t>
      </w:r>
      <w:bookmarkEnd w:id="19"/>
      <w:bookmarkEnd w:id="20"/>
    </w:p>
    <w:p w:rsidR="001168D7" w:rsidRPr="004267F6" w:rsidRDefault="00357F67" w:rsidP="00A375D6">
      <w:pPr>
        <w:pStyle w:val="ListParagraph"/>
        <w:numPr>
          <w:ilvl w:val="1"/>
          <w:numId w:val="1"/>
        </w:numPr>
        <w:ind w:left="709" w:hanging="709"/>
        <w:jc w:val="both"/>
      </w:pPr>
      <w:r>
        <w:t>The PBAC noted that i</w:t>
      </w:r>
      <w:r w:rsidR="001168D7" w:rsidRPr="004267F6">
        <w:t xml:space="preserve">n general, there were significantly more serious AEs, </w:t>
      </w:r>
      <w:r w:rsidR="001168D7" w:rsidRPr="00A375D6">
        <w:rPr>
          <w:rFonts w:cs="Arial"/>
          <w:bCs/>
          <w:snapToGrid w:val="0"/>
        </w:rPr>
        <w:t>treatment</w:t>
      </w:r>
      <w:r w:rsidR="001168D7" w:rsidRPr="004267F6">
        <w:t xml:space="preserve">-related serious </w:t>
      </w:r>
      <w:r w:rsidR="005D229A" w:rsidRPr="004267F6">
        <w:t xml:space="preserve">AEs </w:t>
      </w:r>
      <w:r w:rsidR="001168D7" w:rsidRPr="004267F6">
        <w:t xml:space="preserve">and </w:t>
      </w:r>
      <w:r w:rsidR="00C845B7" w:rsidRPr="004267F6">
        <w:t xml:space="preserve">AEs </w:t>
      </w:r>
      <w:r w:rsidR="001168D7" w:rsidRPr="004267F6">
        <w:t>leading to dose modification or interruption in the obinutuzumab+chemotherapy-treated patients</w:t>
      </w:r>
      <w:r w:rsidR="00F5467C" w:rsidRPr="004267F6">
        <w:t xml:space="preserve"> than in the rituximab + chemotherapy patients</w:t>
      </w:r>
      <w:r w:rsidR="001168D7" w:rsidRPr="004267F6">
        <w:t xml:space="preserve"> in the GALLIUM trial</w:t>
      </w:r>
      <w:r w:rsidR="005F657C">
        <w:t>, particularly in the elderly population (</w:t>
      </w:r>
      <w:r w:rsidR="00BA3FD5">
        <w:t>s</w:t>
      </w:r>
      <w:r w:rsidR="005F657C">
        <w:t>ee below)</w:t>
      </w:r>
      <w:r w:rsidR="001168D7" w:rsidRPr="004267F6">
        <w:t>. The submission concluded (p75) that despite these differences in AEs there were similar incidences of withdrawal in the two treatment arms and no new safety signals were identified</w:t>
      </w:r>
      <w:r w:rsidR="00422B8A" w:rsidRPr="004267F6">
        <w:t>,</w:t>
      </w:r>
      <w:r w:rsidR="001168D7" w:rsidRPr="004267F6">
        <w:t xml:space="preserve"> and thus the side effect profile of obinutuzumab+chemotherapy is clinically manageable.</w:t>
      </w:r>
      <w:r w:rsidR="00A07559">
        <w:t xml:space="preserve"> </w:t>
      </w:r>
      <w:r w:rsidR="001168D7" w:rsidRPr="004267F6">
        <w:t xml:space="preserve">The submission did draw a conclusion of inferior safety with </w:t>
      </w:r>
      <w:r w:rsidR="007E0E2E" w:rsidRPr="004267F6">
        <w:t>obinutuzumab</w:t>
      </w:r>
      <w:r w:rsidR="001168D7" w:rsidRPr="004267F6">
        <w:t xml:space="preserve"> and has included a number of </w:t>
      </w:r>
      <w:r w:rsidR="005D229A" w:rsidRPr="004267F6">
        <w:t>AE</w:t>
      </w:r>
      <w:r w:rsidR="001168D7" w:rsidRPr="004267F6">
        <w:t xml:space="preserve">s in its economic model, as presented in the table below. </w:t>
      </w:r>
    </w:p>
    <w:p w:rsidR="001168D7" w:rsidRPr="004267F6" w:rsidRDefault="004D4D09" w:rsidP="00BA75EA">
      <w:pPr>
        <w:keepNext/>
        <w:spacing w:before="0" w:after="0"/>
        <w:jc w:val="both"/>
        <w:rPr>
          <w:b/>
        </w:rPr>
      </w:pPr>
      <w:r w:rsidRPr="004267F6">
        <w:rPr>
          <w:rStyle w:val="CommentReference"/>
          <w:rFonts w:ascii="Arial Narrow" w:hAnsi="Arial Narrow"/>
          <w:b/>
          <w:sz w:val="20"/>
          <w:szCs w:val="20"/>
        </w:rPr>
        <w:t>Table 5: Grade 3-5 AEs with statistically significant differences and AEs of special interest in the follicular lymphoma population (September 2016 data cut)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Grade 3-5 AEs with statistically significant differences and AEs of special interest in the follicular lymphoma population (September 2016 data cut)"/>
      </w:tblPr>
      <w:tblGrid>
        <w:gridCol w:w="3462"/>
        <w:gridCol w:w="1730"/>
        <w:gridCol w:w="1638"/>
        <w:gridCol w:w="1686"/>
      </w:tblGrid>
      <w:tr w:rsidR="004D4D09" w:rsidRPr="004267F6" w:rsidTr="00C014E1">
        <w:trPr>
          <w:cnfStyle w:val="100000000000" w:firstRow="1" w:lastRow="0" w:firstColumn="0" w:lastColumn="0" w:oddVBand="0" w:evenVBand="0" w:oddHBand="0" w:evenHBand="0" w:firstRowFirstColumn="0" w:firstRowLastColumn="0" w:lastRowFirstColumn="0" w:lastRowLastColumn="0"/>
          <w:tblHeader/>
        </w:trPr>
        <w:tc>
          <w:tcPr>
            <w:tcW w:w="2032" w:type="pct"/>
            <w:shd w:val="clear" w:color="auto" w:fill="auto"/>
            <w:vAlign w:val="center"/>
          </w:tcPr>
          <w:p w:rsidR="004D4D09" w:rsidRPr="004267F6" w:rsidRDefault="004D4D09" w:rsidP="00BA75EA">
            <w:pPr>
              <w:pStyle w:val="V50Instructions"/>
              <w:keepNext/>
              <w:spacing w:before="0"/>
              <w:jc w:val="both"/>
              <w:rPr>
                <w:rFonts w:ascii="Arial Narrow" w:hAnsi="Arial Narrow"/>
                <w:color w:val="auto"/>
                <w:sz w:val="20"/>
                <w:szCs w:val="20"/>
              </w:rPr>
            </w:pPr>
            <w:r w:rsidRPr="004267F6">
              <w:rPr>
                <w:rFonts w:ascii="Arial Narrow" w:hAnsi="Arial Narrow"/>
                <w:color w:val="auto"/>
                <w:sz w:val="20"/>
                <w:szCs w:val="20"/>
              </w:rPr>
              <w:t>AE</w:t>
            </w:r>
          </w:p>
        </w:tc>
        <w:tc>
          <w:tcPr>
            <w:tcW w:w="1016" w:type="pct"/>
            <w:shd w:val="clear" w:color="auto" w:fill="auto"/>
            <w:vAlign w:val="center"/>
          </w:tcPr>
          <w:p w:rsidR="004D4D09" w:rsidRPr="004267F6" w:rsidRDefault="004D4D09" w:rsidP="00BA75EA">
            <w:pPr>
              <w:keepNext/>
              <w:spacing w:before="0"/>
              <w:ind w:right="-108"/>
              <w:jc w:val="center"/>
              <w:rPr>
                <w:rFonts w:ascii="Arial Narrow" w:hAnsi="Arial Narrow"/>
                <w:sz w:val="20"/>
              </w:rPr>
            </w:pPr>
            <w:r w:rsidRPr="004267F6">
              <w:rPr>
                <w:rFonts w:ascii="Arial Narrow" w:hAnsi="Arial Narrow"/>
                <w:sz w:val="20"/>
              </w:rPr>
              <w:t>G-Chemo (N=595)</w:t>
            </w:r>
          </w:p>
          <w:p w:rsidR="004D4D09" w:rsidRPr="004267F6" w:rsidRDefault="004D4D09" w:rsidP="00BA75EA">
            <w:pPr>
              <w:pStyle w:val="V50Instructions"/>
              <w:keepNext/>
              <w:spacing w:before="0"/>
              <w:jc w:val="center"/>
              <w:rPr>
                <w:rFonts w:ascii="Arial Narrow" w:hAnsi="Arial Narrow"/>
                <w:color w:val="auto"/>
                <w:sz w:val="20"/>
                <w:szCs w:val="20"/>
              </w:rPr>
            </w:pPr>
            <w:r w:rsidRPr="004267F6">
              <w:rPr>
                <w:rFonts w:ascii="Arial Narrow" w:hAnsi="Arial Narrow"/>
                <w:color w:val="auto"/>
                <w:sz w:val="20"/>
              </w:rPr>
              <w:t>n/N (%)</w:t>
            </w:r>
          </w:p>
        </w:tc>
        <w:tc>
          <w:tcPr>
            <w:tcW w:w="962" w:type="pct"/>
            <w:shd w:val="clear" w:color="auto" w:fill="auto"/>
            <w:vAlign w:val="center"/>
          </w:tcPr>
          <w:p w:rsidR="004D4D09" w:rsidRPr="004267F6" w:rsidRDefault="004D4D09" w:rsidP="00BA75EA">
            <w:pPr>
              <w:keepNext/>
              <w:spacing w:before="0"/>
              <w:jc w:val="center"/>
              <w:rPr>
                <w:rFonts w:ascii="Arial Narrow" w:hAnsi="Arial Narrow"/>
                <w:sz w:val="20"/>
              </w:rPr>
            </w:pPr>
            <w:r w:rsidRPr="004267F6">
              <w:rPr>
                <w:rFonts w:ascii="Arial Narrow" w:hAnsi="Arial Narrow"/>
                <w:sz w:val="20"/>
              </w:rPr>
              <w:t>R-Chemo (N=597)</w:t>
            </w:r>
          </w:p>
          <w:p w:rsidR="004D4D09" w:rsidRPr="004267F6" w:rsidRDefault="004D4D09" w:rsidP="00BA75EA">
            <w:pPr>
              <w:pStyle w:val="V50Instructions"/>
              <w:keepNext/>
              <w:spacing w:before="0"/>
              <w:jc w:val="center"/>
              <w:rPr>
                <w:rFonts w:ascii="Arial Narrow" w:hAnsi="Arial Narrow"/>
                <w:color w:val="auto"/>
                <w:sz w:val="20"/>
                <w:szCs w:val="20"/>
              </w:rPr>
            </w:pPr>
            <w:r w:rsidRPr="004267F6">
              <w:rPr>
                <w:rFonts w:ascii="Arial Narrow" w:hAnsi="Arial Narrow"/>
                <w:color w:val="auto"/>
                <w:sz w:val="20"/>
              </w:rPr>
              <w:t>n/N (%)</w:t>
            </w:r>
          </w:p>
        </w:tc>
        <w:tc>
          <w:tcPr>
            <w:tcW w:w="991" w:type="pct"/>
            <w:shd w:val="clear" w:color="auto" w:fill="auto"/>
            <w:vAlign w:val="center"/>
          </w:tcPr>
          <w:p w:rsidR="004D4D09" w:rsidRPr="004267F6" w:rsidRDefault="004D4D09" w:rsidP="00BA75EA">
            <w:pPr>
              <w:pStyle w:val="V50Instructions"/>
              <w:keepNext/>
              <w:spacing w:before="0"/>
              <w:jc w:val="center"/>
              <w:rPr>
                <w:rFonts w:ascii="Arial Narrow" w:hAnsi="Arial Narrow"/>
                <w:color w:val="auto"/>
                <w:sz w:val="20"/>
                <w:szCs w:val="20"/>
              </w:rPr>
            </w:pPr>
            <w:r w:rsidRPr="004267F6">
              <w:rPr>
                <w:rFonts w:ascii="Arial Narrow" w:hAnsi="Arial Narrow"/>
                <w:color w:val="auto"/>
                <w:sz w:val="20"/>
                <w:szCs w:val="20"/>
              </w:rPr>
              <w:t>RR (95% CI)</w:t>
            </w:r>
          </w:p>
        </w:tc>
      </w:tr>
      <w:tr w:rsidR="004D4D09" w:rsidRPr="004267F6" w:rsidTr="00C014E1">
        <w:tc>
          <w:tcPr>
            <w:tcW w:w="5000" w:type="pct"/>
            <w:gridSpan w:val="4"/>
            <w:shd w:val="clear" w:color="auto" w:fill="auto"/>
          </w:tcPr>
          <w:p w:rsidR="004D4D09" w:rsidRPr="004267F6" w:rsidRDefault="004D4D09" w:rsidP="00BA75EA">
            <w:pPr>
              <w:pStyle w:val="V50Instructions"/>
              <w:keepNext/>
              <w:spacing w:before="0"/>
              <w:rPr>
                <w:rFonts w:ascii="Arial Narrow" w:hAnsi="Arial Narrow"/>
                <w:b/>
                <w:color w:val="auto"/>
                <w:sz w:val="20"/>
                <w:szCs w:val="20"/>
              </w:rPr>
            </w:pPr>
            <w:r w:rsidRPr="004267F6">
              <w:rPr>
                <w:rFonts w:ascii="Arial Narrow" w:hAnsi="Arial Narrow"/>
                <w:b/>
                <w:color w:val="auto"/>
                <w:sz w:val="20"/>
                <w:szCs w:val="20"/>
              </w:rPr>
              <w:t>Grade 3-5 AEs with incidence rate ≥5%</w:t>
            </w:r>
          </w:p>
        </w:tc>
      </w:tr>
      <w:tr w:rsidR="004D4D09" w:rsidRPr="004267F6" w:rsidTr="00C014E1">
        <w:tc>
          <w:tcPr>
            <w:tcW w:w="2032" w:type="pct"/>
            <w:shd w:val="clear" w:color="auto" w:fill="auto"/>
          </w:tcPr>
          <w:p w:rsidR="004D4D09" w:rsidRPr="004267F6" w:rsidRDefault="004D4D09" w:rsidP="00BA75EA">
            <w:pPr>
              <w:pStyle w:val="V50Instructions"/>
              <w:keepNext/>
              <w:spacing w:before="0"/>
              <w:rPr>
                <w:rFonts w:ascii="Arial Narrow" w:hAnsi="Arial Narrow"/>
                <w:color w:val="auto"/>
                <w:sz w:val="20"/>
                <w:szCs w:val="20"/>
              </w:rPr>
            </w:pPr>
            <w:r w:rsidRPr="004267F6">
              <w:rPr>
                <w:rFonts w:ascii="Arial Narrow" w:hAnsi="Arial Narrow"/>
                <w:color w:val="auto"/>
                <w:sz w:val="20"/>
                <w:szCs w:val="20"/>
              </w:rPr>
              <w:t>Blood and lymphatic system disorders</w:t>
            </w:r>
          </w:p>
        </w:tc>
        <w:tc>
          <w:tcPr>
            <w:tcW w:w="1016"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b/>
                <w:noProof/>
                <w:color w:val="000000"/>
                <w:sz w:val="20"/>
                <w:szCs w:val="20"/>
                <w:highlight w:val="black"/>
              </w:rPr>
              <w:t>'''''''' '''''''''' '''''''''</w:t>
            </w:r>
          </w:p>
        </w:tc>
      </w:tr>
      <w:tr w:rsidR="004D4D09" w:rsidRPr="004267F6" w:rsidTr="00C014E1">
        <w:tc>
          <w:tcPr>
            <w:tcW w:w="2032" w:type="pct"/>
            <w:shd w:val="clear" w:color="auto" w:fill="auto"/>
          </w:tcPr>
          <w:p w:rsidR="004D4D09" w:rsidRPr="004267F6" w:rsidRDefault="004D4D09" w:rsidP="00BA75EA">
            <w:pPr>
              <w:pStyle w:val="V50Instructions"/>
              <w:keepNext/>
              <w:tabs>
                <w:tab w:val="left" w:pos="142"/>
              </w:tabs>
              <w:spacing w:before="0"/>
              <w:rPr>
                <w:rFonts w:ascii="Arial Narrow" w:hAnsi="Arial Narrow"/>
                <w:color w:val="auto"/>
                <w:sz w:val="20"/>
                <w:szCs w:val="20"/>
              </w:rPr>
            </w:pPr>
            <w:r w:rsidRPr="004267F6">
              <w:rPr>
                <w:rFonts w:ascii="Arial Narrow" w:hAnsi="Arial Narrow"/>
                <w:color w:val="auto"/>
                <w:sz w:val="20"/>
                <w:szCs w:val="20"/>
              </w:rPr>
              <w:tab/>
              <w:t>Neutropenia</w:t>
            </w:r>
          </w:p>
        </w:tc>
        <w:tc>
          <w:tcPr>
            <w:tcW w:w="1016"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b/>
                <w:noProof/>
                <w:color w:val="000000"/>
                <w:sz w:val="20"/>
                <w:szCs w:val="20"/>
                <w:highlight w:val="black"/>
              </w:rPr>
              <w:t>'''''''' '''''''''''' ''''''''''</w:t>
            </w:r>
          </w:p>
        </w:tc>
      </w:tr>
      <w:tr w:rsidR="004D4D09" w:rsidRPr="004267F6" w:rsidTr="00C014E1">
        <w:tc>
          <w:tcPr>
            <w:tcW w:w="2032" w:type="pct"/>
            <w:shd w:val="clear" w:color="auto" w:fill="auto"/>
          </w:tcPr>
          <w:p w:rsidR="004D4D09" w:rsidRPr="004267F6" w:rsidRDefault="004D4D09" w:rsidP="00BA75EA">
            <w:pPr>
              <w:pStyle w:val="V50Instructions"/>
              <w:keepNext/>
              <w:tabs>
                <w:tab w:val="left" w:pos="142"/>
              </w:tabs>
              <w:spacing w:before="0"/>
              <w:rPr>
                <w:rFonts w:ascii="Arial Narrow" w:hAnsi="Arial Narrow"/>
                <w:color w:val="auto"/>
                <w:sz w:val="20"/>
                <w:szCs w:val="20"/>
              </w:rPr>
            </w:pPr>
            <w:r w:rsidRPr="004267F6">
              <w:rPr>
                <w:rFonts w:ascii="Arial Narrow" w:hAnsi="Arial Narrow"/>
                <w:color w:val="auto"/>
                <w:sz w:val="20"/>
                <w:szCs w:val="20"/>
              </w:rPr>
              <w:tab/>
              <w:t>Thrombocytopenia</w:t>
            </w:r>
          </w:p>
        </w:tc>
        <w:tc>
          <w:tcPr>
            <w:tcW w:w="1016"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b/>
                <w:noProof/>
                <w:color w:val="000000"/>
                <w:sz w:val="20"/>
                <w:szCs w:val="20"/>
                <w:highlight w:val="black"/>
              </w:rPr>
              <w:t>'''''''' '''''''''''' '''''''''''</w:t>
            </w:r>
          </w:p>
        </w:tc>
      </w:tr>
      <w:tr w:rsidR="004D4D09" w:rsidRPr="004267F6" w:rsidTr="00C014E1">
        <w:tc>
          <w:tcPr>
            <w:tcW w:w="2032" w:type="pct"/>
            <w:shd w:val="clear" w:color="auto" w:fill="auto"/>
          </w:tcPr>
          <w:p w:rsidR="004D4D09" w:rsidRPr="004267F6" w:rsidRDefault="004D4D09" w:rsidP="00BA75EA">
            <w:pPr>
              <w:pStyle w:val="V50Instructions"/>
              <w:keepNext/>
              <w:tabs>
                <w:tab w:val="left" w:pos="142"/>
              </w:tabs>
              <w:spacing w:before="0"/>
              <w:rPr>
                <w:rFonts w:ascii="Arial Narrow" w:hAnsi="Arial Narrow"/>
                <w:color w:val="auto"/>
                <w:sz w:val="20"/>
                <w:szCs w:val="20"/>
              </w:rPr>
            </w:pPr>
            <w:r w:rsidRPr="004267F6">
              <w:rPr>
                <w:rFonts w:ascii="Arial Narrow" w:hAnsi="Arial Narrow"/>
                <w:color w:val="auto"/>
                <w:sz w:val="20"/>
                <w:szCs w:val="20"/>
              </w:rPr>
              <w:t>Injury, poisoning and procedural complications</w:t>
            </w:r>
          </w:p>
        </w:tc>
        <w:tc>
          <w:tcPr>
            <w:tcW w:w="1016"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b/>
                <w:noProof/>
                <w:color w:val="000000"/>
                <w:sz w:val="20"/>
                <w:szCs w:val="20"/>
                <w:highlight w:val="black"/>
              </w:rPr>
              <w:t>''''''''' ''''''''''' '''''''''''</w:t>
            </w:r>
          </w:p>
        </w:tc>
      </w:tr>
      <w:tr w:rsidR="004D4D09" w:rsidRPr="004267F6" w:rsidTr="00C014E1">
        <w:tc>
          <w:tcPr>
            <w:tcW w:w="2032" w:type="pct"/>
            <w:shd w:val="clear" w:color="auto" w:fill="auto"/>
          </w:tcPr>
          <w:p w:rsidR="004D4D09" w:rsidRPr="004267F6" w:rsidRDefault="004D4D09" w:rsidP="00BA75EA">
            <w:pPr>
              <w:pStyle w:val="V50Instructions"/>
              <w:keepNext/>
              <w:tabs>
                <w:tab w:val="left" w:pos="142"/>
              </w:tabs>
              <w:spacing w:before="0"/>
              <w:rPr>
                <w:rFonts w:ascii="Arial Narrow" w:hAnsi="Arial Narrow"/>
                <w:color w:val="auto"/>
                <w:sz w:val="20"/>
                <w:szCs w:val="20"/>
              </w:rPr>
            </w:pPr>
            <w:r w:rsidRPr="004267F6">
              <w:rPr>
                <w:rFonts w:ascii="Arial Narrow" w:hAnsi="Arial Narrow"/>
                <w:color w:val="auto"/>
                <w:sz w:val="20"/>
                <w:szCs w:val="20"/>
              </w:rPr>
              <w:tab/>
              <w:t>Infusion-related reaction</w:t>
            </w:r>
          </w:p>
        </w:tc>
        <w:tc>
          <w:tcPr>
            <w:tcW w:w="1016"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b/>
                <w:noProof/>
                <w:color w:val="000000"/>
                <w:sz w:val="20"/>
                <w:szCs w:val="20"/>
                <w:highlight w:val="black"/>
              </w:rPr>
              <w:t>''''''''' '''''''''''' '''''''''</w:t>
            </w:r>
          </w:p>
        </w:tc>
      </w:tr>
      <w:tr w:rsidR="004D4D09" w:rsidRPr="004267F6" w:rsidTr="00C014E1">
        <w:tc>
          <w:tcPr>
            <w:tcW w:w="5000" w:type="pct"/>
            <w:gridSpan w:val="4"/>
            <w:shd w:val="clear" w:color="auto" w:fill="auto"/>
          </w:tcPr>
          <w:p w:rsidR="004D4D09" w:rsidRPr="004267F6" w:rsidRDefault="004D4D09" w:rsidP="00BA75EA">
            <w:pPr>
              <w:pStyle w:val="V50Instructions"/>
              <w:keepNext/>
              <w:spacing w:before="0"/>
              <w:rPr>
                <w:rFonts w:ascii="Arial Narrow" w:hAnsi="Arial Narrow"/>
                <w:b/>
                <w:color w:val="auto"/>
                <w:sz w:val="20"/>
                <w:szCs w:val="20"/>
              </w:rPr>
            </w:pPr>
            <w:r w:rsidRPr="004267F6">
              <w:rPr>
                <w:rFonts w:ascii="Arial Narrow" w:hAnsi="Arial Narrow"/>
                <w:b/>
                <w:color w:val="auto"/>
                <w:sz w:val="20"/>
                <w:szCs w:val="20"/>
              </w:rPr>
              <w:t>Serious AEs of special interest - used in economic model</w:t>
            </w:r>
          </w:p>
        </w:tc>
      </w:tr>
      <w:tr w:rsidR="004D4D09" w:rsidRPr="004267F6" w:rsidTr="00C014E1">
        <w:tc>
          <w:tcPr>
            <w:tcW w:w="2032" w:type="pct"/>
            <w:shd w:val="clear" w:color="auto" w:fill="auto"/>
          </w:tcPr>
          <w:p w:rsidR="004D4D09" w:rsidRPr="004267F6" w:rsidRDefault="004D4D09" w:rsidP="00BA75EA">
            <w:pPr>
              <w:pStyle w:val="V50Instructions"/>
              <w:keepNext/>
              <w:spacing w:before="0"/>
              <w:rPr>
                <w:rFonts w:ascii="Arial Narrow" w:hAnsi="Arial Narrow"/>
                <w:color w:val="auto"/>
                <w:sz w:val="20"/>
                <w:szCs w:val="20"/>
              </w:rPr>
            </w:pPr>
            <w:r w:rsidRPr="004267F6">
              <w:rPr>
                <w:rFonts w:ascii="Arial Narrow" w:hAnsi="Arial Narrow"/>
                <w:color w:val="auto"/>
                <w:sz w:val="20"/>
                <w:szCs w:val="20"/>
              </w:rPr>
              <w:t>Serious infusion-related reactions</w:t>
            </w:r>
          </w:p>
        </w:tc>
        <w:tc>
          <w:tcPr>
            <w:tcW w:w="1016"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vAlign w:val="center"/>
          </w:tcPr>
          <w:p w:rsidR="004D4D09" w:rsidRPr="00CD21DA" w:rsidRDefault="00CD21DA" w:rsidP="00BA75EA">
            <w:pPr>
              <w:pStyle w:val="V50Instructions"/>
              <w:keepNext/>
              <w:spacing w:before="0"/>
              <w:jc w:val="center"/>
              <w:rPr>
                <w:rFonts w:ascii="Arial Narrow" w:hAnsi="Arial Narrow"/>
                <w:b/>
                <w:color w:val="auto"/>
                <w:sz w:val="20"/>
                <w:szCs w:val="20"/>
                <w:highlight w:val="black"/>
              </w:rPr>
            </w:pPr>
            <w:r>
              <w:rPr>
                <w:rFonts w:ascii="Arial Narrow" w:hAnsi="Arial Narrow"/>
                <w:b/>
                <w:noProof/>
                <w:color w:val="000000"/>
                <w:sz w:val="20"/>
                <w:szCs w:val="20"/>
                <w:highlight w:val="black"/>
              </w:rPr>
              <w:t>''''''''' '''''''''' ''''''''''</w:t>
            </w:r>
          </w:p>
        </w:tc>
      </w:tr>
      <w:tr w:rsidR="004D4D09" w:rsidRPr="004267F6" w:rsidTr="00C014E1">
        <w:tc>
          <w:tcPr>
            <w:tcW w:w="2032" w:type="pct"/>
            <w:shd w:val="clear" w:color="auto" w:fill="auto"/>
          </w:tcPr>
          <w:p w:rsidR="004D4D09" w:rsidRPr="004267F6" w:rsidRDefault="004D4D09" w:rsidP="00BA75EA">
            <w:pPr>
              <w:pStyle w:val="V50Instructions"/>
              <w:keepNext/>
              <w:spacing w:before="0"/>
              <w:rPr>
                <w:rFonts w:ascii="Arial Narrow" w:hAnsi="Arial Narrow"/>
                <w:color w:val="auto"/>
                <w:sz w:val="20"/>
                <w:szCs w:val="20"/>
              </w:rPr>
            </w:pPr>
            <w:r w:rsidRPr="004267F6">
              <w:rPr>
                <w:rFonts w:ascii="Arial Narrow" w:hAnsi="Arial Narrow"/>
                <w:color w:val="auto"/>
                <w:sz w:val="20"/>
                <w:szCs w:val="20"/>
              </w:rPr>
              <w:t>Serious neutropenia</w:t>
            </w:r>
          </w:p>
        </w:tc>
        <w:tc>
          <w:tcPr>
            <w:tcW w:w="1016"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 ''''''''''''''</w:t>
            </w:r>
          </w:p>
        </w:tc>
      </w:tr>
      <w:tr w:rsidR="004D4D09" w:rsidRPr="004267F6" w:rsidTr="00C014E1">
        <w:tc>
          <w:tcPr>
            <w:tcW w:w="2032" w:type="pct"/>
            <w:shd w:val="clear" w:color="auto" w:fill="auto"/>
          </w:tcPr>
          <w:p w:rsidR="004D4D09" w:rsidRPr="004267F6" w:rsidRDefault="004D4D09" w:rsidP="00BA75EA">
            <w:pPr>
              <w:pStyle w:val="V50Instructions"/>
              <w:keepNext/>
              <w:spacing w:before="0"/>
              <w:rPr>
                <w:rFonts w:ascii="Arial Narrow" w:hAnsi="Arial Narrow"/>
                <w:color w:val="auto"/>
                <w:sz w:val="20"/>
                <w:szCs w:val="20"/>
              </w:rPr>
            </w:pPr>
            <w:r w:rsidRPr="004267F6">
              <w:rPr>
                <w:rFonts w:ascii="Arial Narrow" w:hAnsi="Arial Narrow"/>
                <w:color w:val="auto"/>
                <w:sz w:val="20"/>
                <w:szCs w:val="20"/>
              </w:rPr>
              <w:t>Serious infections</w:t>
            </w:r>
          </w:p>
        </w:tc>
        <w:tc>
          <w:tcPr>
            <w:tcW w:w="1016"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 ''''''''''''''</w:t>
            </w:r>
          </w:p>
        </w:tc>
      </w:tr>
      <w:tr w:rsidR="004D4D09" w:rsidRPr="004267F6" w:rsidTr="00C014E1">
        <w:tc>
          <w:tcPr>
            <w:tcW w:w="2032" w:type="pct"/>
            <w:shd w:val="clear" w:color="auto" w:fill="auto"/>
          </w:tcPr>
          <w:p w:rsidR="004D4D09" w:rsidRPr="004267F6" w:rsidRDefault="004D4D09" w:rsidP="00BA75EA">
            <w:pPr>
              <w:pStyle w:val="V50Instructions"/>
              <w:keepNext/>
              <w:spacing w:before="0"/>
              <w:jc w:val="both"/>
              <w:rPr>
                <w:rFonts w:ascii="Arial Narrow" w:hAnsi="Arial Narrow"/>
                <w:color w:val="auto"/>
                <w:sz w:val="20"/>
                <w:szCs w:val="20"/>
              </w:rPr>
            </w:pPr>
            <w:r w:rsidRPr="004267F6">
              <w:rPr>
                <w:rFonts w:ascii="Arial Narrow" w:hAnsi="Arial Narrow"/>
                <w:color w:val="auto"/>
                <w:sz w:val="20"/>
                <w:szCs w:val="20"/>
              </w:rPr>
              <w:t>Serious thrombocytopenia</w:t>
            </w:r>
          </w:p>
        </w:tc>
        <w:tc>
          <w:tcPr>
            <w:tcW w:w="1016"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 '''''''''''''''</w:t>
            </w:r>
          </w:p>
        </w:tc>
      </w:tr>
      <w:tr w:rsidR="004D4D09" w:rsidRPr="004267F6" w:rsidTr="00C014E1">
        <w:tc>
          <w:tcPr>
            <w:tcW w:w="2032" w:type="pct"/>
            <w:shd w:val="clear" w:color="auto" w:fill="auto"/>
          </w:tcPr>
          <w:p w:rsidR="004D4D09" w:rsidRPr="004267F6" w:rsidRDefault="004D4D09" w:rsidP="00BA75EA">
            <w:pPr>
              <w:pStyle w:val="V50Instructions"/>
              <w:keepNext/>
              <w:spacing w:before="0"/>
              <w:jc w:val="both"/>
              <w:rPr>
                <w:rFonts w:ascii="Arial Narrow" w:hAnsi="Arial Narrow"/>
                <w:color w:val="auto"/>
                <w:sz w:val="20"/>
                <w:szCs w:val="20"/>
              </w:rPr>
            </w:pPr>
            <w:r w:rsidRPr="004267F6">
              <w:rPr>
                <w:rFonts w:ascii="Arial Narrow" w:hAnsi="Arial Narrow"/>
                <w:color w:val="auto"/>
                <w:sz w:val="20"/>
                <w:szCs w:val="20"/>
              </w:rPr>
              <w:t>Serious cardiac events</w:t>
            </w:r>
          </w:p>
        </w:tc>
        <w:tc>
          <w:tcPr>
            <w:tcW w:w="1016"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vAlign w:val="center"/>
          </w:tcPr>
          <w:p w:rsidR="004D4D09" w:rsidRPr="00CD21DA" w:rsidRDefault="00CD21DA" w:rsidP="00BA75EA">
            <w:pPr>
              <w:pStyle w:val="V50Instructions"/>
              <w:keepNext/>
              <w:spacing w:before="0"/>
              <w:jc w:val="center"/>
              <w:rPr>
                <w:rFonts w:ascii="Arial Narrow" w:hAnsi="Arial Narrow"/>
                <w:b/>
                <w:color w:val="auto"/>
                <w:sz w:val="20"/>
                <w:szCs w:val="20"/>
                <w:highlight w:val="black"/>
              </w:rPr>
            </w:pPr>
            <w:r>
              <w:rPr>
                <w:rFonts w:ascii="Arial Narrow" w:hAnsi="Arial Narrow"/>
                <w:b/>
                <w:noProof/>
                <w:color w:val="000000"/>
                <w:sz w:val="20"/>
                <w:szCs w:val="20"/>
                <w:highlight w:val="black"/>
              </w:rPr>
              <w:t>''''''''' ''''''''''' '''''''''''</w:t>
            </w:r>
          </w:p>
        </w:tc>
      </w:tr>
      <w:tr w:rsidR="004D4D09" w:rsidRPr="004267F6" w:rsidTr="00C014E1">
        <w:tc>
          <w:tcPr>
            <w:tcW w:w="2032" w:type="pct"/>
            <w:shd w:val="clear" w:color="auto" w:fill="auto"/>
          </w:tcPr>
          <w:p w:rsidR="004D4D09" w:rsidRPr="004267F6" w:rsidRDefault="004D4D09" w:rsidP="00BA75EA">
            <w:pPr>
              <w:pStyle w:val="V50Instructions"/>
              <w:keepNext/>
              <w:spacing w:before="0"/>
              <w:jc w:val="both"/>
              <w:rPr>
                <w:rFonts w:ascii="Arial Narrow" w:hAnsi="Arial Narrow"/>
                <w:color w:val="auto"/>
                <w:sz w:val="20"/>
                <w:szCs w:val="20"/>
              </w:rPr>
            </w:pPr>
            <w:r w:rsidRPr="004267F6">
              <w:rPr>
                <w:rFonts w:ascii="Arial Narrow" w:hAnsi="Arial Narrow"/>
                <w:color w:val="auto"/>
                <w:sz w:val="20"/>
                <w:szCs w:val="20"/>
              </w:rPr>
              <w:t>Serious second malignancies</w:t>
            </w:r>
          </w:p>
        </w:tc>
        <w:tc>
          <w:tcPr>
            <w:tcW w:w="1016"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62"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w:t>
            </w:r>
          </w:p>
        </w:tc>
        <w:tc>
          <w:tcPr>
            <w:tcW w:w="991" w:type="pct"/>
            <w:shd w:val="clear" w:color="auto" w:fill="auto"/>
            <w:vAlign w:val="center"/>
          </w:tcPr>
          <w:p w:rsidR="004D4D09" w:rsidRPr="00CD21DA" w:rsidRDefault="00CD21DA" w:rsidP="00BA75EA">
            <w:pPr>
              <w:pStyle w:val="V50Instructions"/>
              <w:keepNext/>
              <w:spacing w:before="0"/>
              <w:jc w:val="center"/>
              <w:rPr>
                <w:rFonts w:ascii="Arial Narrow" w:hAnsi="Arial Narrow"/>
                <w:color w:val="auto"/>
                <w:sz w:val="20"/>
                <w:szCs w:val="20"/>
                <w:highlight w:val="black"/>
              </w:rPr>
            </w:pPr>
            <w:r>
              <w:rPr>
                <w:rFonts w:ascii="Arial Narrow" w:hAnsi="Arial Narrow"/>
                <w:noProof/>
                <w:color w:val="000000"/>
                <w:sz w:val="20"/>
                <w:szCs w:val="20"/>
                <w:highlight w:val="black"/>
              </w:rPr>
              <w:t>''''''''''' '''''''''''''' ''''''''''''</w:t>
            </w:r>
          </w:p>
        </w:tc>
      </w:tr>
    </w:tbl>
    <w:p w:rsidR="0041294D" w:rsidRPr="004267F6" w:rsidRDefault="0041294D" w:rsidP="00BA75EA">
      <w:pPr>
        <w:pStyle w:val="TableFooter"/>
        <w:keepNext/>
      </w:pPr>
      <w:r w:rsidRPr="004267F6">
        <w:t>G-Chemo=obinutuzumab+chemotherapy; R-Chemo=rituximab+chemotherapy; RR=relative risk (</w:t>
      </w:r>
      <w:r w:rsidRPr="004267F6">
        <w:rPr>
          <w:b/>
        </w:rPr>
        <w:t>bold</w:t>
      </w:r>
      <w:r w:rsidRPr="004267F6">
        <w:t>=statistically significant).</w:t>
      </w:r>
    </w:p>
    <w:p w:rsidR="001168D7" w:rsidRPr="004267F6" w:rsidRDefault="0041294D" w:rsidP="00BA75EA">
      <w:pPr>
        <w:pStyle w:val="TableFooter"/>
        <w:keepNext/>
      </w:pPr>
      <w:r w:rsidRPr="004267F6">
        <w:t>Source: Table 2.6.12, p80; Table 2.6.16, p83 of the submission.</w:t>
      </w:r>
    </w:p>
    <w:p w:rsidR="00C317F3" w:rsidRDefault="008269FE" w:rsidP="00A375D6">
      <w:pPr>
        <w:pStyle w:val="ListParagraph"/>
        <w:numPr>
          <w:ilvl w:val="1"/>
          <w:numId w:val="1"/>
        </w:numPr>
        <w:ind w:left="709" w:hanging="709"/>
        <w:jc w:val="both"/>
      </w:pPr>
      <w:r w:rsidRPr="004267F6">
        <w:t>In addition to the AEs discussed in the submission, the draft PI for obinutuzumab includes a special warning</w:t>
      </w:r>
      <w:r w:rsidR="007E0E2E" w:rsidRPr="004267F6">
        <w:t xml:space="preserve"> for progressive multifocal </w:t>
      </w:r>
      <w:r w:rsidR="007E0E2E" w:rsidRPr="00A375D6">
        <w:rPr>
          <w:rFonts w:cs="Arial"/>
          <w:bCs/>
          <w:snapToGrid w:val="0"/>
        </w:rPr>
        <w:t>leuk</w:t>
      </w:r>
      <w:r w:rsidRPr="00A375D6">
        <w:rPr>
          <w:rFonts w:cs="Arial"/>
          <w:bCs/>
          <w:snapToGrid w:val="0"/>
        </w:rPr>
        <w:t>oencephalopathy</w:t>
      </w:r>
      <w:r w:rsidRPr="004267F6">
        <w:t xml:space="preserve"> (PML).</w:t>
      </w:r>
      <w:r w:rsidR="00A07559">
        <w:t xml:space="preserve"> </w:t>
      </w:r>
      <w:r w:rsidRPr="004267F6">
        <w:t>This warning states that PML, including fatal PML, can occur in patients receiving obinutuzumab.</w:t>
      </w:r>
      <w:r w:rsidR="00A07559">
        <w:t xml:space="preserve"> </w:t>
      </w:r>
      <w:r w:rsidRPr="004267F6">
        <w:t>The submission did not provide any discussion of the occurrence of PML</w:t>
      </w:r>
      <w:r w:rsidR="00C845B7" w:rsidRPr="004267F6">
        <w:t>.</w:t>
      </w:r>
      <w:r w:rsidR="00232833" w:rsidRPr="004267F6">
        <w:t xml:space="preserve"> </w:t>
      </w:r>
      <w:r w:rsidR="00C845B7" w:rsidRPr="004267F6">
        <w:t>T</w:t>
      </w:r>
      <w:r w:rsidRPr="004267F6">
        <w:t>he CSR indicated that were no cases of PML reported in either treatment arm of GALLIUM (Table 86, p256 of the September 2016 CSR).</w:t>
      </w:r>
    </w:p>
    <w:p w:rsidR="00C072B7" w:rsidRDefault="00C072B7" w:rsidP="00A375D6">
      <w:pPr>
        <w:pStyle w:val="ListParagraph"/>
        <w:numPr>
          <w:ilvl w:val="1"/>
          <w:numId w:val="1"/>
        </w:numPr>
        <w:ind w:left="709" w:hanging="709"/>
        <w:jc w:val="both"/>
      </w:pPr>
      <w:r>
        <w:t>The PBAC noted that the draft product information for obin</w:t>
      </w:r>
      <w:r w:rsidR="00B06EFD">
        <w:t>u</w:t>
      </w:r>
      <w:r>
        <w:t xml:space="preserve">tuzumab </w:t>
      </w:r>
      <w:r w:rsidR="00EC2096">
        <w:t xml:space="preserve">provided with the submission </w:t>
      </w:r>
      <w:r>
        <w:t>states that patients aged ≥ 65 years of age in the GALLIUM trial exper</w:t>
      </w:r>
      <w:r w:rsidR="0084788C">
        <w:t>ie</w:t>
      </w:r>
      <w:r w:rsidR="00EC2096">
        <w:t>nced more serious AEs and AE</w:t>
      </w:r>
      <w:r w:rsidR="0084788C">
        <w:t>s leading to with</w:t>
      </w:r>
      <w:r w:rsidR="00B007EC">
        <w:t xml:space="preserve">drawal or death than patients &lt; </w:t>
      </w:r>
      <w:r w:rsidR="0084788C">
        <w:t xml:space="preserve">65 years of age. </w:t>
      </w:r>
      <w:r w:rsidR="00EC2096">
        <w:t xml:space="preserve">The PBAC </w:t>
      </w:r>
      <w:r w:rsidR="00DD3136">
        <w:t xml:space="preserve">were concerned </w:t>
      </w:r>
      <w:r w:rsidR="00FD336B">
        <w:t xml:space="preserve">that for elderly patients treated with </w:t>
      </w:r>
      <w:r w:rsidR="00FD336B" w:rsidRPr="004267F6">
        <w:t>obinutuzumab</w:t>
      </w:r>
      <w:r w:rsidR="00FD336B">
        <w:t xml:space="preserve">+chemotherapy versus those treated with rituximab+chemotherapy, there was </w:t>
      </w:r>
      <w:r w:rsidR="00EC2096">
        <w:t xml:space="preserve">an </w:t>
      </w:r>
      <w:r w:rsidR="00CD21DA">
        <w:rPr>
          <w:noProof/>
          <w:color w:val="000000"/>
          <w:highlight w:val="black"/>
        </w:rPr>
        <w:t>'''''''''</w:t>
      </w:r>
      <w:r w:rsidR="00EC2096">
        <w:t>% increase in the incidence of serious AEs (</w:t>
      </w:r>
      <w:r w:rsidR="00CD21DA">
        <w:rPr>
          <w:noProof/>
          <w:color w:val="000000"/>
          <w:highlight w:val="black"/>
        </w:rPr>
        <w:t>''''''''</w:t>
      </w:r>
      <w:r w:rsidR="00EC2096">
        <w:t>% versus 50.7% respectively)</w:t>
      </w:r>
      <w:r w:rsidR="00FD336B">
        <w:t xml:space="preserve">, an </w:t>
      </w:r>
      <w:r w:rsidR="00CD21DA">
        <w:rPr>
          <w:noProof/>
          <w:color w:val="000000"/>
          <w:highlight w:val="black"/>
        </w:rPr>
        <w:t>''</w:t>
      </w:r>
      <w:r w:rsidR="00FD336B">
        <w:t>% increase in AEs leading to withdrawal from any treatment (</w:t>
      </w:r>
      <w:r w:rsidR="00CD21DA">
        <w:rPr>
          <w:noProof/>
          <w:color w:val="000000"/>
          <w:highlight w:val="black"/>
        </w:rPr>
        <w:t>'''''''''</w:t>
      </w:r>
      <w:r w:rsidR="00FD336B">
        <w:t xml:space="preserve">% versus </w:t>
      </w:r>
      <w:r w:rsidR="00CD21DA">
        <w:rPr>
          <w:noProof/>
          <w:color w:val="000000"/>
          <w:highlight w:val="black"/>
        </w:rPr>
        <w:t>'''''''''</w:t>
      </w:r>
      <w:r w:rsidR="00FD336B">
        <w:t xml:space="preserve">% respectively), and a </w:t>
      </w:r>
      <w:r w:rsidR="00CD21DA">
        <w:rPr>
          <w:noProof/>
          <w:color w:val="000000"/>
          <w:highlight w:val="black"/>
        </w:rPr>
        <w:t>''''''</w:t>
      </w:r>
      <w:r w:rsidR="00FD336B">
        <w:t>% increase in AEs leading to death (</w:t>
      </w:r>
      <w:r w:rsidR="00CD21DA">
        <w:rPr>
          <w:noProof/>
          <w:color w:val="000000"/>
          <w:highlight w:val="black"/>
        </w:rPr>
        <w:t>''''''''</w:t>
      </w:r>
      <w:r w:rsidR="00FD336B">
        <w:t xml:space="preserve">% versus </w:t>
      </w:r>
      <w:r w:rsidR="00CD21DA">
        <w:rPr>
          <w:noProof/>
          <w:color w:val="000000"/>
          <w:highlight w:val="black"/>
        </w:rPr>
        <w:t>''''''</w:t>
      </w:r>
      <w:r w:rsidR="00FD336B">
        <w:t>%)</w:t>
      </w:r>
      <w:r w:rsidR="00EC2096">
        <w:t>.</w:t>
      </w:r>
      <w:r w:rsidR="004420B3">
        <w:t xml:space="preserve"> </w:t>
      </w:r>
    </w:p>
    <w:p w:rsidR="008269FE" w:rsidRPr="004267F6" w:rsidRDefault="008269FE" w:rsidP="00A375D6">
      <w:pPr>
        <w:pStyle w:val="ListParagraph"/>
        <w:numPr>
          <w:ilvl w:val="1"/>
          <w:numId w:val="1"/>
        </w:numPr>
        <w:ind w:left="709" w:hanging="709"/>
        <w:jc w:val="both"/>
      </w:pPr>
      <w:r w:rsidRPr="004267F6">
        <w:t xml:space="preserve">In its consideration of obinutuzumab for use in rituximab-refractory follicular lymphoma in November 2016, the PBAC </w:t>
      </w:r>
      <w:r w:rsidR="00A32F67">
        <w:t xml:space="preserve">recalled that it </w:t>
      </w:r>
      <w:r w:rsidRPr="004267F6">
        <w:t xml:space="preserve">had indicated that </w:t>
      </w:r>
      <w:r w:rsidRPr="00A375D6">
        <w:rPr>
          <w:rFonts w:cs="Arial"/>
          <w:bCs/>
          <w:snapToGrid w:val="0"/>
        </w:rPr>
        <w:t>obinutuzumab</w:t>
      </w:r>
      <w:r w:rsidRPr="004267F6">
        <w:t xml:space="preserve"> plus bendamustine followed by obinutuzumab maintenance was of inferior safety to bendamustine monotherapy.</w:t>
      </w:r>
      <w:r w:rsidR="00A07559">
        <w:t xml:space="preserve"> </w:t>
      </w:r>
      <w:r w:rsidR="00B06EFD" w:rsidRPr="004267F6">
        <w:t>However,</w:t>
      </w:r>
      <w:r w:rsidRPr="004267F6">
        <w:t xml:space="preserve"> the PBAC </w:t>
      </w:r>
      <w:r w:rsidR="00FF7568">
        <w:t xml:space="preserve">previously </w:t>
      </w:r>
      <w:r w:rsidRPr="004267F6">
        <w:t xml:space="preserve">noted that obinutuzumab had an overall tolerable safety profile, and that the benefits of its use outweighed its toxicities </w:t>
      </w:r>
      <w:r w:rsidR="00FF7568">
        <w:t xml:space="preserve">in the rituximab-refractory setting </w:t>
      </w:r>
      <w:r w:rsidRPr="004267F6">
        <w:t>(paragraph 6.29, November 2016 obinutuzumab PSD).</w:t>
      </w:r>
    </w:p>
    <w:p w:rsidR="00624315" w:rsidRPr="004267F6" w:rsidRDefault="00624315" w:rsidP="00772501">
      <w:pPr>
        <w:pStyle w:val="Heading2"/>
        <w:rPr>
          <w:i w:val="0"/>
        </w:rPr>
      </w:pPr>
      <w:bookmarkStart w:id="21" w:name="_Toc365635913"/>
      <w:bookmarkStart w:id="22" w:name="_Toc413139281"/>
      <w:r w:rsidRPr="004267F6">
        <w:rPr>
          <w:i w:val="0"/>
        </w:rPr>
        <w:t>Benefits and harms</w:t>
      </w:r>
      <w:bookmarkEnd w:id="21"/>
    </w:p>
    <w:p w:rsidR="003F5890" w:rsidRPr="004267F6" w:rsidRDefault="008269FE" w:rsidP="00A375D6">
      <w:pPr>
        <w:pStyle w:val="ListParagraph"/>
        <w:numPr>
          <w:ilvl w:val="1"/>
          <w:numId w:val="1"/>
        </w:numPr>
        <w:ind w:left="709" w:hanging="709"/>
        <w:jc w:val="both"/>
      </w:pPr>
      <w:r w:rsidRPr="004267F6">
        <w:t xml:space="preserve">A summary of the comparative benefits and harms for </w:t>
      </w:r>
      <w:r w:rsidRPr="00A375D6">
        <w:rPr>
          <w:rFonts w:cs="Arial"/>
          <w:bCs/>
          <w:snapToGrid w:val="0"/>
        </w:rPr>
        <w:t>obinutuzumab</w:t>
      </w:r>
      <w:r w:rsidRPr="004267F6">
        <w:t>+chemotherapy versus rituximab+chemotherapy is presented in the table below.</w:t>
      </w:r>
      <w:r w:rsidR="00A07559">
        <w:t xml:space="preserve"> </w:t>
      </w:r>
    </w:p>
    <w:p w:rsidR="00034404" w:rsidRPr="004267F6" w:rsidRDefault="00034404" w:rsidP="005A0C0E">
      <w:pPr>
        <w:pStyle w:val="TableHeading0"/>
        <w:spacing w:after="0"/>
        <w:jc w:val="both"/>
      </w:pPr>
      <w:r w:rsidRPr="004267F6">
        <w:t xml:space="preserve">Table </w:t>
      </w:r>
      <w:r w:rsidR="00FB69E1" w:rsidRPr="004267F6">
        <w:t>6</w:t>
      </w:r>
      <w:r w:rsidRPr="004267F6">
        <w:t xml:space="preserve">: Summary of comparative benefits and harms for </w:t>
      </w:r>
      <w:r w:rsidR="006212EE" w:rsidRPr="004267F6">
        <w:rPr>
          <w:szCs w:val="20"/>
        </w:rPr>
        <w:t>obinutuzumab+chemotherapy and rituximab+chemotherapy</w:t>
      </w:r>
    </w:p>
    <w:tbl>
      <w:tblPr>
        <w:tblStyle w:val="TableGrid"/>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Summary of comparative benefits and harms for obinutuzumab+chemotherapy and rituximab+chemotherapy"/>
      </w:tblPr>
      <w:tblGrid>
        <w:gridCol w:w="1637"/>
        <w:gridCol w:w="6"/>
        <w:gridCol w:w="625"/>
        <w:gridCol w:w="391"/>
        <w:gridCol w:w="9"/>
        <w:gridCol w:w="932"/>
        <w:gridCol w:w="232"/>
        <w:gridCol w:w="1241"/>
        <w:gridCol w:w="162"/>
        <w:gridCol w:w="1021"/>
        <w:gridCol w:w="391"/>
        <w:gridCol w:w="580"/>
        <w:gridCol w:w="1306"/>
      </w:tblGrid>
      <w:tr w:rsidR="00FE2431" w:rsidRPr="004267F6" w:rsidTr="00D6033C">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13"/>
            <w:shd w:val="clear" w:color="auto" w:fill="auto"/>
            <w:vAlign w:val="center"/>
          </w:tcPr>
          <w:p w:rsidR="00FE2431" w:rsidRPr="004267F6" w:rsidRDefault="00FE2431" w:rsidP="009E6E84">
            <w:pPr>
              <w:pStyle w:val="TableText"/>
              <w:spacing w:before="0" w:after="0"/>
              <w:rPr>
                <w:u w:val="single"/>
              </w:rPr>
            </w:pPr>
            <w:r w:rsidRPr="004267F6">
              <w:rPr>
                <w:u w:val="single"/>
              </w:rPr>
              <w:t>Benefits</w:t>
            </w:r>
          </w:p>
        </w:tc>
      </w:tr>
      <w:tr w:rsidR="00357657" w:rsidRPr="004267F6" w:rsidTr="00502FFE">
        <w:tc>
          <w:tcPr>
            <w:tcW w:w="5000" w:type="pct"/>
            <w:gridSpan w:val="13"/>
            <w:shd w:val="clear" w:color="auto" w:fill="auto"/>
            <w:vAlign w:val="center"/>
          </w:tcPr>
          <w:p w:rsidR="00034404" w:rsidRPr="004267F6" w:rsidRDefault="009E6E84" w:rsidP="009E6E84">
            <w:pPr>
              <w:pStyle w:val="TableText"/>
              <w:spacing w:before="0" w:after="0"/>
              <w:rPr>
                <w:b/>
              </w:rPr>
            </w:pPr>
            <w:r w:rsidRPr="004267F6">
              <w:rPr>
                <w:b/>
              </w:rPr>
              <w:t>Progression-free survival</w:t>
            </w:r>
          </w:p>
        </w:tc>
      </w:tr>
      <w:tr w:rsidR="009E6E84" w:rsidRPr="004267F6" w:rsidTr="00502FFE">
        <w:tc>
          <w:tcPr>
            <w:tcW w:w="1330" w:type="pct"/>
            <w:gridSpan w:val="3"/>
            <w:shd w:val="clear" w:color="auto" w:fill="auto"/>
            <w:vAlign w:val="center"/>
          </w:tcPr>
          <w:p w:rsidR="009E6E84" w:rsidRPr="004267F6" w:rsidRDefault="006212EE" w:rsidP="009E6E84">
            <w:pPr>
              <w:pStyle w:val="TableText"/>
              <w:spacing w:before="0" w:after="0"/>
              <w:rPr>
                <w:b/>
              </w:rPr>
            </w:pPr>
            <w:r w:rsidRPr="004267F6">
              <w:rPr>
                <w:b/>
              </w:rPr>
              <w:t>GALLIUM</w:t>
            </w:r>
          </w:p>
        </w:tc>
        <w:tc>
          <w:tcPr>
            <w:tcW w:w="780" w:type="pct"/>
            <w:gridSpan w:val="3"/>
            <w:shd w:val="clear" w:color="auto" w:fill="auto"/>
            <w:vAlign w:val="center"/>
          </w:tcPr>
          <w:p w:rsidR="009E6E84" w:rsidRPr="004267F6" w:rsidRDefault="009E6E84" w:rsidP="009E6E84">
            <w:pPr>
              <w:pStyle w:val="TableText"/>
              <w:spacing w:before="0" w:after="0"/>
              <w:jc w:val="center"/>
              <w:rPr>
                <w:b/>
              </w:rPr>
            </w:pPr>
            <w:r w:rsidRPr="004267F6">
              <w:rPr>
                <w:b/>
              </w:rPr>
              <w:t>Obinutuzumab</w:t>
            </w:r>
          </w:p>
        </w:tc>
        <w:tc>
          <w:tcPr>
            <w:tcW w:w="863" w:type="pct"/>
            <w:gridSpan w:val="2"/>
            <w:shd w:val="clear" w:color="auto" w:fill="auto"/>
            <w:vAlign w:val="center"/>
          </w:tcPr>
          <w:p w:rsidR="009E6E84" w:rsidRPr="004267F6" w:rsidRDefault="009E6E84" w:rsidP="009E6E84">
            <w:pPr>
              <w:pStyle w:val="TableText"/>
              <w:spacing w:before="0" w:after="0"/>
              <w:jc w:val="center"/>
              <w:rPr>
                <w:b/>
              </w:rPr>
            </w:pPr>
            <w:r w:rsidRPr="004267F6">
              <w:rPr>
                <w:b/>
              </w:rPr>
              <w:t>Rituximab</w:t>
            </w:r>
          </w:p>
        </w:tc>
        <w:tc>
          <w:tcPr>
            <w:tcW w:w="922" w:type="pct"/>
            <w:gridSpan w:val="3"/>
            <w:shd w:val="clear" w:color="auto" w:fill="auto"/>
            <w:vAlign w:val="center"/>
          </w:tcPr>
          <w:p w:rsidR="009E6E84" w:rsidRPr="004267F6" w:rsidRDefault="009E6E84" w:rsidP="009E6E84">
            <w:pPr>
              <w:pStyle w:val="TableText"/>
              <w:spacing w:before="0" w:after="0"/>
              <w:jc w:val="center"/>
              <w:rPr>
                <w:b/>
              </w:rPr>
            </w:pPr>
            <w:r w:rsidRPr="004267F6">
              <w:rPr>
                <w:b/>
              </w:rPr>
              <w:t>Absolute difference</w:t>
            </w:r>
          </w:p>
        </w:tc>
        <w:tc>
          <w:tcPr>
            <w:tcW w:w="1105" w:type="pct"/>
            <w:gridSpan w:val="2"/>
            <w:shd w:val="clear" w:color="auto" w:fill="auto"/>
            <w:vAlign w:val="center"/>
          </w:tcPr>
          <w:p w:rsidR="009E6E84" w:rsidRPr="004267F6" w:rsidRDefault="009E6E84" w:rsidP="009E6E84">
            <w:pPr>
              <w:pStyle w:val="TableText"/>
              <w:spacing w:before="0" w:after="0"/>
              <w:jc w:val="center"/>
              <w:rPr>
                <w:b/>
              </w:rPr>
            </w:pPr>
            <w:r w:rsidRPr="004267F6">
              <w:rPr>
                <w:b/>
              </w:rPr>
              <w:t>HR (95% CI)</w:t>
            </w:r>
          </w:p>
        </w:tc>
      </w:tr>
      <w:tr w:rsidR="009E6E84" w:rsidRPr="004267F6" w:rsidTr="00502FFE">
        <w:tc>
          <w:tcPr>
            <w:tcW w:w="1330" w:type="pct"/>
            <w:gridSpan w:val="3"/>
            <w:shd w:val="clear" w:color="auto" w:fill="auto"/>
            <w:vAlign w:val="center"/>
          </w:tcPr>
          <w:p w:rsidR="009E6E84" w:rsidRPr="004267F6" w:rsidRDefault="009E6E84" w:rsidP="009E6E84">
            <w:pPr>
              <w:pStyle w:val="TableText"/>
              <w:spacing w:before="0" w:after="0"/>
            </w:pPr>
            <w:r w:rsidRPr="004267F6">
              <w:t>Progressed n(%)</w:t>
            </w:r>
          </w:p>
        </w:tc>
        <w:tc>
          <w:tcPr>
            <w:tcW w:w="780" w:type="pct"/>
            <w:gridSpan w:val="3"/>
            <w:shd w:val="clear" w:color="auto" w:fill="auto"/>
            <w:vAlign w:val="center"/>
          </w:tcPr>
          <w:p w:rsidR="009E6E84" w:rsidRPr="004267F6" w:rsidRDefault="009E6E84" w:rsidP="009E6E84">
            <w:pPr>
              <w:pStyle w:val="TableText"/>
              <w:spacing w:before="0" w:after="0"/>
              <w:jc w:val="center"/>
              <w:rPr>
                <w:b/>
              </w:rPr>
            </w:pPr>
            <w:r w:rsidRPr="004267F6">
              <w:t>120 (20.0%)</w:t>
            </w:r>
          </w:p>
        </w:tc>
        <w:tc>
          <w:tcPr>
            <w:tcW w:w="863" w:type="pct"/>
            <w:gridSpan w:val="2"/>
            <w:shd w:val="clear" w:color="auto" w:fill="auto"/>
            <w:vAlign w:val="center"/>
          </w:tcPr>
          <w:p w:rsidR="009E6E84" w:rsidRPr="004267F6" w:rsidRDefault="009E6E84" w:rsidP="009E6E84">
            <w:pPr>
              <w:pStyle w:val="TableText"/>
              <w:spacing w:before="0" w:after="0"/>
              <w:jc w:val="center"/>
              <w:rPr>
                <w:b/>
              </w:rPr>
            </w:pPr>
            <w:r w:rsidRPr="004267F6">
              <w:t>161 (26.8%)</w:t>
            </w:r>
          </w:p>
        </w:tc>
        <w:tc>
          <w:tcPr>
            <w:tcW w:w="922" w:type="pct"/>
            <w:gridSpan w:val="3"/>
            <w:shd w:val="clear" w:color="auto" w:fill="auto"/>
            <w:vAlign w:val="center"/>
          </w:tcPr>
          <w:p w:rsidR="009E6E84" w:rsidRPr="004267F6" w:rsidRDefault="009E6E84" w:rsidP="009E6E84">
            <w:pPr>
              <w:pStyle w:val="TableText"/>
              <w:spacing w:before="0" w:after="0"/>
              <w:jc w:val="center"/>
              <w:rPr>
                <w:b/>
              </w:rPr>
            </w:pPr>
            <w:r w:rsidRPr="004267F6">
              <w:t>-6.8%</w:t>
            </w:r>
          </w:p>
        </w:tc>
        <w:tc>
          <w:tcPr>
            <w:tcW w:w="1105" w:type="pct"/>
            <w:gridSpan w:val="2"/>
            <w:shd w:val="clear" w:color="auto" w:fill="auto"/>
            <w:vAlign w:val="center"/>
          </w:tcPr>
          <w:p w:rsidR="009E6E84" w:rsidRPr="004267F6" w:rsidRDefault="009E6E84" w:rsidP="009E6E84">
            <w:pPr>
              <w:pStyle w:val="TableText"/>
              <w:spacing w:before="0" w:after="0"/>
              <w:jc w:val="center"/>
              <w:rPr>
                <w:b/>
              </w:rPr>
            </w:pPr>
          </w:p>
        </w:tc>
      </w:tr>
      <w:tr w:rsidR="009E6E84" w:rsidRPr="004267F6" w:rsidTr="00502FFE">
        <w:tc>
          <w:tcPr>
            <w:tcW w:w="1330" w:type="pct"/>
            <w:gridSpan w:val="3"/>
            <w:shd w:val="clear" w:color="auto" w:fill="auto"/>
            <w:vAlign w:val="center"/>
          </w:tcPr>
          <w:p w:rsidR="009E6E84" w:rsidRPr="004267F6" w:rsidRDefault="009E6E84" w:rsidP="009E6E84">
            <w:pPr>
              <w:pStyle w:val="TableText"/>
              <w:spacing w:before="0" w:after="0"/>
            </w:pPr>
            <w:r w:rsidRPr="004267F6">
              <w:t>Median mths PFS</w:t>
            </w:r>
          </w:p>
        </w:tc>
        <w:tc>
          <w:tcPr>
            <w:tcW w:w="780" w:type="pct"/>
            <w:gridSpan w:val="3"/>
            <w:shd w:val="clear" w:color="auto" w:fill="auto"/>
            <w:vAlign w:val="center"/>
          </w:tcPr>
          <w:p w:rsidR="009E6E84" w:rsidRPr="00CD21DA" w:rsidRDefault="00CD21DA" w:rsidP="009E6E84">
            <w:pPr>
              <w:pStyle w:val="TableText"/>
              <w:spacing w:before="0" w:after="0"/>
              <w:jc w:val="center"/>
              <w:rPr>
                <w:b/>
                <w:highlight w:val="black"/>
              </w:rPr>
            </w:pPr>
            <w:r>
              <w:rPr>
                <w:noProof/>
                <w:color w:val="000000"/>
                <w:highlight w:val="black"/>
              </w:rPr>
              <w:t>'' ''''''''</w:t>
            </w:r>
          </w:p>
        </w:tc>
        <w:tc>
          <w:tcPr>
            <w:tcW w:w="863" w:type="pct"/>
            <w:gridSpan w:val="2"/>
            <w:shd w:val="clear" w:color="auto" w:fill="auto"/>
            <w:vAlign w:val="center"/>
          </w:tcPr>
          <w:p w:rsidR="009E6E84" w:rsidRPr="00CD21DA" w:rsidRDefault="00CD21DA" w:rsidP="009E6E84">
            <w:pPr>
              <w:pStyle w:val="TableText"/>
              <w:spacing w:before="0" w:after="0"/>
              <w:jc w:val="center"/>
              <w:rPr>
                <w:b/>
                <w:highlight w:val="black"/>
              </w:rPr>
            </w:pPr>
            <w:r>
              <w:rPr>
                <w:noProof/>
                <w:color w:val="000000"/>
                <w:highlight w:val="black"/>
              </w:rPr>
              <w:t>''' ''''''''''</w:t>
            </w:r>
          </w:p>
        </w:tc>
        <w:tc>
          <w:tcPr>
            <w:tcW w:w="922" w:type="pct"/>
            <w:gridSpan w:val="3"/>
            <w:shd w:val="clear" w:color="auto" w:fill="auto"/>
            <w:vAlign w:val="center"/>
          </w:tcPr>
          <w:p w:rsidR="009E6E84" w:rsidRPr="00CD21DA" w:rsidRDefault="00CD21DA" w:rsidP="009E6E84">
            <w:pPr>
              <w:pStyle w:val="TableText"/>
              <w:spacing w:before="0" w:after="0"/>
              <w:jc w:val="center"/>
              <w:rPr>
                <w:b/>
                <w:highlight w:val="black"/>
              </w:rPr>
            </w:pPr>
            <w:r>
              <w:rPr>
                <w:noProof/>
                <w:color w:val="000000"/>
                <w:highlight w:val="black"/>
              </w:rPr>
              <w:t>'''</w:t>
            </w:r>
          </w:p>
        </w:tc>
        <w:tc>
          <w:tcPr>
            <w:tcW w:w="1105" w:type="pct"/>
            <w:gridSpan w:val="2"/>
            <w:shd w:val="clear" w:color="auto" w:fill="auto"/>
            <w:vAlign w:val="center"/>
          </w:tcPr>
          <w:p w:rsidR="009E6E84" w:rsidRPr="004267F6" w:rsidRDefault="009E6E84" w:rsidP="009E6E84">
            <w:pPr>
              <w:pStyle w:val="TableText"/>
              <w:spacing w:before="0" w:after="0"/>
              <w:jc w:val="center"/>
            </w:pPr>
            <w:r w:rsidRPr="004267F6">
              <w:t>0.68 (0.54, 0.87)</w:t>
            </w:r>
          </w:p>
        </w:tc>
      </w:tr>
      <w:tr w:rsidR="009E6E84" w:rsidRPr="004267F6" w:rsidTr="00502FFE">
        <w:tc>
          <w:tcPr>
            <w:tcW w:w="5000" w:type="pct"/>
            <w:gridSpan w:val="13"/>
            <w:tcBorders>
              <w:bottom w:val="single" w:sz="4" w:space="0" w:color="auto"/>
            </w:tcBorders>
            <w:shd w:val="clear" w:color="auto" w:fill="auto"/>
            <w:vAlign w:val="center"/>
          </w:tcPr>
          <w:p w:rsidR="009E6E84" w:rsidRPr="004267F6" w:rsidRDefault="009E6E84" w:rsidP="009E6E84">
            <w:pPr>
              <w:pStyle w:val="TableText"/>
              <w:spacing w:before="0" w:after="0"/>
              <w:rPr>
                <w:b/>
              </w:rPr>
            </w:pPr>
            <w:r w:rsidRPr="004267F6">
              <w:rPr>
                <w:b/>
              </w:rPr>
              <w:t>Overall survival</w:t>
            </w:r>
          </w:p>
        </w:tc>
      </w:tr>
      <w:tr w:rsidR="009E6E84" w:rsidRPr="004267F6" w:rsidTr="00502FFE">
        <w:tc>
          <w:tcPr>
            <w:tcW w:w="1330" w:type="pct"/>
            <w:gridSpan w:val="3"/>
            <w:tcBorders>
              <w:bottom w:val="single" w:sz="4" w:space="0" w:color="auto"/>
            </w:tcBorders>
            <w:shd w:val="clear" w:color="auto" w:fill="auto"/>
            <w:vAlign w:val="center"/>
          </w:tcPr>
          <w:p w:rsidR="009E6E84" w:rsidRPr="004267F6" w:rsidRDefault="009E6E84" w:rsidP="009E6E84">
            <w:pPr>
              <w:pStyle w:val="TableText"/>
              <w:spacing w:before="0" w:after="0"/>
            </w:pPr>
            <w:r w:rsidRPr="004267F6">
              <w:t>Died n(%)</w:t>
            </w:r>
          </w:p>
        </w:tc>
        <w:tc>
          <w:tcPr>
            <w:tcW w:w="780" w:type="pct"/>
            <w:gridSpan w:val="3"/>
            <w:tcBorders>
              <w:bottom w:val="single" w:sz="4" w:space="0" w:color="auto"/>
            </w:tcBorders>
            <w:shd w:val="clear" w:color="auto" w:fill="auto"/>
            <w:vAlign w:val="center"/>
          </w:tcPr>
          <w:p w:rsidR="009E6E84" w:rsidRPr="004267F6" w:rsidRDefault="009E6E84" w:rsidP="009E6E84">
            <w:pPr>
              <w:pStyle w:val="TableText"/>
              <w:spacing w:before="0" w:after="0"/>
              <w:jc w:val="center"/>
            </w:pPr>
            <w:r w:rsidRPr="004267F6">
              <w:t>43 (7.2%)</w:t>
            </w:r>
          </w:p>
        </w:tc>
        <w:tc>
          <w:tcPr>
            <w:tcW w:w="863" w:type="pct"/>
            <w:gridSpan w:val="2"/>
            <w:tcBorders>
              <w:bottom w:val="single" w:sz="4" w:space="0" w:color="auto"/>
            </w:tcBorders>
            <w:shd w:val="clear" w:color="auto" w:fill="auto"/>
            <w:vAlign w:val="center"/>
          </w:tcPr>
          <w:p w:rsidR="009E6E84" w:rsidRPr="004267F6" w:rsidRDefault="009E6E84" w:rsidP="009E6E84">
            <w:pPr>
              <w:pStyle w:val="TableText"/>
              <w:spacing w:before="0" w:after="0"/>
              <w:jc w:val="center"/>
            </w:pPr>
            <w:r w:rsidRPr="004267F6">
              <w:t>52 (8.7%)</w:t>
            </w:r>
          </w:p>
        </w:tc>
        <w:tc>
          <w:tcPr>
            <w:tcW w:w="922" w:type="pct"/>
            <w:gridSpan w:val="3"/>
            <w:tcBorders>
              <w:bottom w:val="single" w:sz="4" w:space="0" w:color="auto"/>
            </w:tcBorders>
            <w:shd w:val="clear" w:color="auto" w:fill="auto"/>
            <w:vAlign w:val="center"/>
          </w:tcPr>
          <w:p w:rsidR="009E6E84" w:rsidRPr="004267F6" w:rsidRDefault="009E6E84" w:rsidP="009E6E84">
            <w:pPr>
              <w:pStyle w:val="TableText"/>
              <w:spacing w:before="0" w:after="0"/>
              <w:jc w:val="center"/>
            </w:pPr>
            <w:r w:rsidRPr="004267F6">
              <w:t>-1.5%</w:t>
            </w:r>
          </w:p>
        </w:tc>
        <w:tc>
          <w:tcPr>
            <w:tcW w:w="1105" w:type="pct"/>
            <w:gridSpan w:val="2"/>
            <w:tcBorders>
              <w:bottom w:val="single" w:sz="4" w:space="0" w:color="auto"/>
            </w:tcBorders>
            <w:shd w:val="clear" w:color="auto" w:fill="auto"/>
            <w:vAlign w:val="center"/>
          </w:tcPr>
          <w:p w:rsidR="009E6E84" w:rsidRPr="004267F6" w:rsidRDefault="009E6E84" w:rsidP="009E6E84">
            <w:pPr>
              <w:pStyle w:val="TableText"/>
              <w:spacing w:before="0" w:after="0"/>
              <w:jc w:val="center"/>
            </w:pPr>
          </w:p>
        </w:tc>
      </w:tr>
      <w:tr w:rsidR="009E6E84" w:rsidRPr="004267F6" w:rsidTr="00502FFE">
        <w:tc>
          <w:tcPr>
            <w:tcW w:w="1330" w:type="pct"/>
            <w:gridSpan w:val="3"/>
            <w:tcBorders>
              <w:top w:val="single" w:sz="4" w:space="0" w:color="auto"/>
              <w:bottom w:val="double" w:sz="4" w:space="0" w:color="auto"/>
            </w:tcBorders>
            <w:shd w:val="clear" w:color="auto" w:fill="auto"/>
            <w:vAlign w:val="center"/>
          </w:tcPr>
          <w:p w:rsidR="009E6E84" w:rsidRPr="004267F6" w:rsidRDefault="009E6E84" w:rsidP="009E6E84">
            <w:pPr>
              <w:pStyle w:val="TableText"/>
              <w:spacing w:before="0" w:after="0"/>
            </w:pPr>
            <w:r w:rsidRPr="004267F6">
              <w:t>Median mths PFS</w:t>
            </w:r>
          </w:p>
        </w:tc>
        <w:tc>
          <w:tcPr>
            <w:tcW w:w="780" w:type="pct"/>
            <w:gridSpan w:val="3"/>
            <w:tcBorders>
              <w:top w:val="single" w:sz="4" w:space="0" w:color="auto"/>
              <w:bottom w:val="double" w:sz="4" w:space="0" w:color="auto"/>
            </w:tcBorders>
            <w:shd w:val="clear" w:color="auto" w:fill="auto"/>
            <w:vAlign w:val="center"/>
          </w:tcPr>
          <w:p w:rsidR="009E6E84" w:rsidRPr="00CD21DA" w:rsidRDefault="00CD21DA" w:rsidP="009E6E84">
            <w:pPr>
              <w:pStyle w:val="TableText"/>
              <w:spacing w:before="0" w:after="0"/>
              <w:jc w:val="center"/>
              <w:rPr>
                <w:highlight w:val="black"/>
              </w:rPr>
            </w:pPr>
            <w:r>
              <w:rPr>
                <w:noProof/>
                <w:color w:val="000000"/>
                <w:highlight w:val="black"/>
              </w:rPr>
              <w:t>''' '''''''''</w:t>
            </w:r>
          </w:p>
        </w:tc>
        <w:tc>
          <w:tcPr>
            <w:tcW w:w="863" w:type="pct"/>
            <w:gridSpan w:val="2"/>
            <w:tcBorders>
              <w:top w:val="single" w:sz="4" w:space="0" w:color="auto"/>
              <w:bottom w:val="double" w:sz="4" w:space="0" w:color="auto"/>
            </w:tcBorders>
            <w:shd w:val="clear" w:color="auto" w:fill="auto"/>
            <w:vAlign w:val="center"/>
          </w:tcPr>
          <w:p w:rsidR="009E6E84" w:rsidRPr="00CD21DA" w:rsidRDefault="00CD21DA" w:rsidP="009E6E84">
            <w:pPr>
              <w:pStyle w:val="TableText"/>
              <w:spacing w:before="0" w:after="0"/>
              <w:jc w:val="center"/>
              <w:rPr>
                <w:highlight w:val="black"/>
              </w:rPr>
            </w:pPr>
            <w:r>
              <w:rPr>
                <w:noProof/>
                <w:color w:val="000000"/>
                <w:highlight w:val="black"/>
              </w:rPr>
              <w:t>''' '''''''''</w:t>
            </w:r>
          </w:p>
        </w:tc>
        <w:tc>
          <w:tcPr>
            <w:tcW w:w="922" w:type="pct"/>
            <w:gridSpan w:val="3"/>
            <w:tcBorders>
              <w:top w:val="single" w:sz="4" w:space="0" w:color="auto"/>
              <w:bottom w:val="double" w:sz="4" w:space="0" w:color="auto"/>
            </w:tcBorders>
            <w:shd w:val="clear" w:color="auto" w:fill="auto"/>
            <w:vAlign w:val="center"/>
          </w:tcPr>
          <w:p w:rsidR="009E6E84" w:rsidRPr="00CD21DA" w:rsidRDefault="00CD21DA" w:rsidP="009E6E84">
            <w:pPr>
              <w:pStyle w:val="TableText"/>
              <w:spacing w:before="0" w:after="0"/>
              <w:jc w:val="center"/>
              <w:rPr>
                <w:highlight w:val="black"/>
              </w:rPr>
            </w:pPr>
            <w:r>
              <w:rPr>
                <w:noProof/>
                <w:color w:val="000000"/>
                <w:highlight w:val="black"/>
              </w:rPr>
              <w:t>'''</w:t>
            </w:r>
          </w:p>
        </w:tc>
        <w:tc>
          <w:tcPr>
            <w:tcW w:w="1105" w:type="pct"/>
            <w:gridSpan w:val="2"/>
            <w:tcBorders>
              <w:top w:val="single" w:sz="4" w:space="0" w:color="auto"/>
              <w:bottom w:val="double" w:sz="4" w:space="0" w:color="auto"/>
            </w:tcBorders>
            <w:shd w:val="clear" w:color="auto" w:fill="auto"/>
            <w:vAlign w:val="center"/>
          </w:tcPr>
          <w:p w:rsidR="009E6E84" w:rsidRPr="004267F6" w:rsidRDefault="009E6E84" w:rsidP="009E6E84">
            <w:pPr>
              <w:pStyle w:val="TableText"/>
              <w:spacing w:before="0" w:after="0"/>
              <w:jc w:val="center"/>
            </w:pPr>
            <w:r w:rsidRPr="004267F6">
              <w:t>0.82 (0.54, 1.22)</w:t>
            </w:r>
          </w:p>
        </w:tc>
      </w:tr>
      <w:tr w:rsidR="009E6E84" w:rsidRPr="004267F6" w:rsidTr="00502FFE">
        <w:tc>
          <w:tcPr>
            <w:tcW w:w="5000" w:type="pct"/>
            <w:gridSpan w:val="13"/>
            <w:tcBorders>
              <w:top w:val="double" w:sz="4" w:space="0" w:color="auto"/>
            </w:tcBorders>
            <w:shd w:val="clear" w:color="auto" w:fill="auto"/>
            <w:vAlign w:val="center"/>
          </w:tcPr>
          <w:p w:rsidR="009E6E84" w:rsidRPr="004267F6" w:rsidRDefault="009E6E84" w:rsidP="009E6E84">
            <w:pPr>
              <w:pStyle w:val="TableText"/>
              <w:spacing w:before="0" w:after="0"/>
              <w:rPr>
                <w:b/>
                <w:u w:val="single"/>
              </w:rPr>
            </w:pPr>
            <w:r w:rsidRPr="004267F6">
              <w:rPr>
                <w:b/>
                <w:u w:val="single"/>
              </w:rPr>
              <w:t>Harms</w:t>
            </w:r>
          </w:p>
        </w:tc>
      </w:tr>
      <w:tr w:rsidR="005B568F" w:rsidRPr="004267F6" w:rsidTr="00502FFE">
        <w:trPr>
          <w:trHeight w:val="70"/>
        </w:trPr>
        <w:tc>
          <w:tcPr>
            <w:tcW w:w="960" w:type="pct"/>
            <w:vMerge w:val="restart"/>
            <w:shd w:val="clear" w:color="auto" w:fill="auto"/>
            <w:vAlign w:val="center"/>
          </w:tcPr>
          <w:p w:rsidR="005B568F" w:rsidRPr="004267F6" w:rsidRDefault="003B1EE9" w:rsidP="009E6E84">
            <w:pPr>
              <w:pStyle w:val="TableText"/>
              <w:spacing w:before="0" w:after="0"/>
            </w:pPr>
            <w:r w:rsidRPr="004267F6">
              <w:rPr>
                <w:b/>
              </w:rPr>
              <w:t>GALLIUM</w:t>
            </w:r>
          </w:p>
        </w:tc>
        <w:tc>
          <w:tcPr>
            <w:tcW w:w="599" w:type="pct"/>
            <w:gridSpan w:val="3"/>
            <w:vMerge w:val="restart"/>
            <w:shd w:val="clear" w:color="auto" w:fill="auto"/>
            <w:vAlign w:val="center"/>
          </w:tcPr>
          <w:p w:rsidR="005B568F" w:rsidRPr="004267F6" w:rsidRDefault="005B568F" w:rsidP="005B568F">
            <w:pPr>
              <w:pStyle w:val="TableText"/>
              <w:spacing w:before="0" w:after="0"/>
              <w:jc w:val="center"/>
              <w:rPr>
                <w:b/>
              </w:rPr>
            </w:pPr>
            <w:r w:rsidRPr="004267F6">
              <w:rPr>
                <w:b/>
              </w:rPr>
              <w:t>Obi</w:t>
            </w:r>
          </w:p>
        </w:tc>
        <w:tc>
          <w:tcPr>
            <w:tcW w:w="687" w:type="pct"/>
            <w:gridSpan w:val="3"/>
            <w:vMerge w:val="restart"/>
            <w:shd w:val="clear" w:color="auto" w:fill="auto"/>
            <w:vAlign w:val="center"/>
          </w:tcPr>
          <w:p w:rsidR="005B568F" w:rsidRPr="004267F6" w:rsidRDefault="005B568F" w:rsidP="005B568F">
            <w:pPr>
              <w:pStyle w:val="TableText"/>
              <w:spacing w:before="0" w:after="0"/>
              <w:jc w:val="center"/>
              <w:rPr>
                <w:b/>
              </w:rPr>
            </w:pPr>
            <w:r w:rsidRPr="004267F6">
              <w:rPr>
                <w:b/>
              </w:rPr>
              <w:t>Ritux</w:t>
            </w:r>
          </w:p>
        </w:tc>
        <w:tc>
          <w:tcPr>
            <w:tcW w:w="822" w:type="pct"/>
            <w:gridSpan w:val="2"/>
            <w:vMerge w:val="restart"/>
            <w:shd w:val="clear" w:color="auto" w:fill="auto"/>
            <w:vAlign w:val="center"/>
          </w:tcPr>
          <w:p w:rsidR="005B568F" w:rsidRPr="004267F6" w:rsidRDefault="005B568F" w:rsidP="005B568F">
            <w:pPr>
              <w:pStyle w:val="TableText"/>
              <w:spacing w:before="0" w:after="0"/>
              <w:jc w:val="center"/>
              <w:rPr>
                <w:b/>
              </w:rPr>
            </w:pPr>
            <w:r w:rsidRPr="004267F6">
              <w:rPr>
                <w:b/>
              </w:rPr>
              <w:t>RR</w:t>
            </w:r>
          </w:p>
          <w:p w:rsidR="005B568F" w:rsidRPr="004267F6" w:rsidRDefault="005B568F" w:rsidP="005B568F">
            <w:pPr>
              <w:pStyle w:val="TableText"/>
              <w:spacing w:before="0" w:after="0"/>
              <w:jc w:val="center"/>
              <w:rPr>
                <w:b/>
              </w:rPr>
            </w:pPr>
            <w:r w:rsidRPr="004267F6">
              <w:rPr>
                <w:b/>
              </w:rPr>
              <w:t>(95% CI)</w:t>
            </w:r>
          </w:p>
        </w:tc>
        <w:tc>
          <w:tcPr>
            <w:tcW w:w="1167" w:type="pct"/>
            <w:gridSpan w:val="3"/>
            <w:shd w:val="clear" w:color="auto" w:fill="auto"/>
            <w:vAlign w:val="center"/>
          </w:tcPr>
          <w:p w:rsidR="005B568F" w:rsidRPr="004267F6" w:rsidRDefault="005B568F" w:rsidP="005B568F">
            <w:pPr>
              <w:pStyle w:val="TableText"/>
              <w:spacing w:before="0" w:after="0"/>
              <w:jc w:val="center"/>
              <w:rPr>
                <w:b/>
              </w:rPr>
            </w:pPr>
            <w:r w:rsidRPr="004267F6">
              <w:rPr>
                <w:b/>
              </w:rPr>
              <w:t>Events/100 patients*</w:t>
            </w:r>
          </w:p>
        </w:tc>
        <w:tc>
          <w:tcPr>
            <w:tcW w:w="766" w:type="pct"/>
            <w:vMerge w:val="restart"/>
            <w:shd w:val="clear" w:color="auto" w:fill="auto"/>
            <w:vAlign w:val="center"/>
          </w:tcPr>
          <w:p w:rsidR="005B568F" w:rsidRPr="004267F6" w:rsidRDefault="005B568F" w:rsidP="005B568F">
            <w:pPr>
              <w:pStyle w:val="TableText"/>
              <w:spacing w:before="0" w:after="0"/>
              <w:jc w:val="center"/>
              <w:rPr>
                <w:b/>
              </w:rPr>
            </w:pPr>
            <w:r w:rsidRPr="004267F6">
              <w:rPr>
                <w:b/>
              </w:rPr>
              <w:t>RD</w:t>
            </w:r>
          </w:p>
          <w:p w:rsidR="005B568F" w:rsidRPr="004267F6" w:rsidRDefault="005B568F" w:rsidP="005B568F">
            <w:pPr>
              <w:pStyle w:val="TableText"/>
              <w:spacing w:before="0" w:after="0"/>
              <w:jc w:val="center"/>
              <w:rPr>
                <w:b/>
              </w:rPr>
            </w:pPr>
            <w:r w:rsidRPr="004267F6">
              <w:rPr>
                <w:b/>
              </w:rPr>
              <w:t>(95% CI)</w:t>
            </w:r>
          </w:p>
        </w:tc>
      </w:tr>
      <w:tr w:rsidR="005B568F" w:rsidRPr="004267F6" w:rsidTr="00502FFE">
        <w:trPr>
          <w:trHeight w:val="390"/>
        </w:trPr>
        <w:tc>
          <w:tcPr>
            <w:tcW w:w="960" w:type="pct"/>
            <w:vMerge/>
            <w:shd w:val="clear" w:color="auto" w:fill="auto"/>
            <w:vAlign w:val="center"/>
          </w:tcPr>
          <w:p w:rsidR="005B568F" w:rsidRPr="004267F6" w:rsidRDefault="005B568F" w:rsidP="009E6E84">
            <w:pPr>
              <w:pStyle w:val="TableText"/>
              <w:spacing w:before="0" w:after="0"/>
            </w:pPr>
          </w:p>
        </w:tc>
        <w:tc>
          <w:tcPr>
            <w:tcW w:w="599" w:type="pct"/>
            <w:gridSpan w:val="3"/>
            <w:vMerge/>
            <w:shd w:val="clear" w:color="auto" w:fill="auto"/>
            <w:vAlign w:val="center"/>
          </w:tcPr>
          <w:p w:rsidR="005B568F" w:rsidRPr="004267F6" w:rsidRDefault="005B568F" w:rsidP="009E6E84">
            <w:pPr>
              <w:pStyle w:val="TableText"/>
              <w:spacing w:before="0" w:after="0"/>
            </w:pPr>
          </w:p>
        </w:tc>
        <w:tc>
          <w:tcPr>
            <w:tcW w:w="687" w:type="pct"/>
            <w:gridSpan w:val="3"/>
            <w:vMerge/>
            <w:shd w:val="clear" w:color="auto" w:fill="auto"/>
            <w:vAlign w:val="center"/>
          </w:tcPr>
          <w:p w:rsidR="005B568F" w:rsidRPr="004267F6" w:rsidRDefault="005B568F" w:rsidP="009E6E84">
            <w:pPr>
              <w:pStyle w:val="TableText"/>
              <w:spacing w:before="0" w:after="0"/>
            </w:pPr>
          </w:p>
        </w:tc>
        <w:tc>
          <w:tcPr>
            <w:tcW w:w="822" w:type="pct"/>
            <w:gridSpan w:val="2"/>
            <w:vMerge/>
            <w:shd w:val="clear" w:color="auto" w:fill="auto"/>
            <w:vAlign w:val="center"/>
          </w:tcPr>
          <w:p w:rsidR="005B568F" w:rsidRPr="004267F6" w:rsidRDefault="005B568F" w:rsidP="009E6E84">
            <w:pPr>
              <w:pStyle w:val="TableText"/>
              <w:spacing w:before="0" w:after="0"/>
            </w:pPr>
          </w:p>
        </w:tc>
        <w:tc>
          <w:tcPr>
            <w:tcW w:w="598" w:type="pct"/>
            <w:shd w:val="clear" w:color="auto" w:fill="auto"/>
            <w:vAlign w:val="center"/>
          </w:tcPr>
          <w:p w:rsidR="005B568F" w:rsidRPr="004267F6" w:rsidRDefault="005B568F" w:rsidP="005B568F">
            <w:pPr>
              <w:pStyle w:val="TableText"/>
              <w:spacing w:before="0" w:after="0"/>
              <w:jc w:val="center"/>
              <w:rPr>
                <w:b/>
              </w:rPr>
            </w:pPr>
            <w:r w:rsidRPr="004267F6">
              <w:rPr>
                <w:b/>
              </w:rPr>
              <w:t>Obi</w:t>
            </w:r>
          </w:p>
        </w:tc>
        <w:tc>
          <w:tcPr>
            <w:tcW w:w="569" w:type="pct"/>
            <w:gridSpan w:val="2"/>
            <w:shd w:val="clear" w:color="auto" w:fill="auto"/>
            <w:vAlign w:val="center"/>
          </w:tcPr>
          <w:p w:rsidR="005B568F" w:rsidRPr="004267F6" w:rsidRDefault="005B568F" w:rsidP="005B568F">
            <w:pPr>
              <w:pStyle w:val="TableText"/>
              <w:spacing w:before="0" w:after="0"/>
              <w:jc w:val="center"/>
              <w:rPr>
                <w:b/>
              </w:rPr>
            </w:pPr>
            <w:r w:rsidRPr="004267F6">
              <w:rPr>
                <w:b/>
              </w:rPr>
              <w:t>Ritux</w:t>
            </w:r>
          </w:p>
        </w:tc>
        <w:tc>
          <w:tcPr>
            <w:tcW w:w="766" w:type="pct"/>
            <w:vMerge/>
            <w:shd w:val="clear" w:color="auto" w:fill="auto"/>
            <w:vAlign w:val="center"/>
          </w:tcPr>
          <w:p w:rsidR="005B568F" w:rsidRPr="004267F6" w:rsidRDefault="005B568F" w:rsidP="009E6E84">
            <w:pPr>
              <w:pStyle w:val="TableText"/>
              <w:spacing w:before="0" w:after="0"/>
            </w:pPr>
          </w:p>
        </w:tc>
      </w:tr>
      <w:tr w:rsidR="005B568F" w:rsidRPr="004267F6" w:rsidTr="00502FFE">
        <w:tc>
          <w:tcPr>
            <w:tcW w:w="964" w:type="pct"/>
            <w:gridSpan w:val="2"/>
            <w:shd w:val="clear" w:color="auto" w:fill="auto"/>
            <w:vAlign w:val="center"/>
          </w:tcPr>
          <w:p w:rsidR="005B568F" w:rsidRPr="004267F6" w:rsidRDefault="003B1EE9" w:rsidP="009E6E84">
            <w:pPr>
              <w:pStyle w:val="TableText"/>
              <w:spacing w:before="0" w:after="0"/>
            </w:pPr>
            <w:r w:rsidRPr="004267F6">
              <w:t>Neutropenia</w:t>
            </w:r>
          </w:p>
        </w:tc>
        <w:tc>
          <w:tcPr>
            <w:tcW w:w="599" w:type="pct"/>
            <w:gridSpan w:val="3"/>
            <w:shd w:val="clear" w:color="auto" w:fill="auto"/>
            <w:vAlign w:val="center"/>
          </w:tcPr>
          <w:p w:rsidR="005B568F" w:rsidRPr="00CD21DA" w:rsidRDefault="00CD21DA" w:rsidP="005B568F">
            <w:pPr>
              <w:pStyle w:val="TableText"/>
              <w:spacing w:before="0" w:after="0"/>
              <w:jc w:val="center"/>
              <w:rPr>
                <w:highlight w:val="black"/>
              </w:rPr>
            </w:pPr>
            <w:r>
              <w:rPr>
                <w:noProof/>
                <w:color w:val="000000"/>
                <w:szCs w:val="20"/>
                <w:highlight w:val="black"/>
              </w:rPr>
              <w:t>''''''''' '''''''''''''''''</w:t>
            </w:r>
          </w:p>
        </w:tc>
        <w:tc>
          <w:tcPr>
            <w:tcW w:w="682" w:type="pct"/>
            <w:gridSpan w:val="2"/>
            <w:shd w:val="clear" w:color="auto" w:fill="auto"/>
            <w:vAlign w:val="center"/>
          </w:tcPr>
          <w:p w:rsidR="005B568F" w:rsidRPr="00CD21DA" w:rsidRDefault="00CD21DA" w:rsidP="005B568F">
            <w:pPr>
              <w:pStyle w:val="TableText"/>
              <w:spacing w:before="0" w:after="0"/>
              <w:jc w:val="center"/>
              <w:rPr>
                <w:highlight w:val="black"/>
              </w:rPr>
            </w:pPr>
            <w:r>
              <w:rPr>
                <w:noProof/>
                <w:color w:val="000000"/>
                <w:szCs w:val="20"/>
                <w:highlight w:val="black"/>
              </w:rPr>
              <w:t>''''''''' '''''''''''''''''</w:t>
            </w:r>
          </w:p>
        </w:tc>
        <w:tc>
          <w:tcPr>
            <w:tcW w:w="822" w:type="pct"/>
            <w:gridSpan w:val="2"/>
            <w:shd w:val="clear" w:color="auto" w:fill="auto"/>
            <w:vAlign w:val="center"/>
          </w:tcPr>
          <w:p w:rsidR="005B568F" w:rsidRPr="00CD21DA" w:rsidRDefault="00CD21DA" w:rsidP="005B568F">
            <w:pPr>
              <w:pStyle w:val="TableText"/>
              <w:spacing w:before="0" w:after="0"/>
              <w:jc w:val="center"/>
              <w:rPr>
                <w:highlight w:val="black"/>
              </w:rPr>
            </w:pPr>
            <w:r>
              <w:rPr>
                <w:noProof/>
                <w:color w:val="000000"/>
                <w:szCs w:val="20"/>
                <w:highlight w:val="black"/>
              </w:rPr>
              <w:t>'''''''''' ''''''''''''''' '''''''''''</w:t>
            </w:r>
          </w:p>
        </w:tc>
        <w:tc>
          <w:tcPr>
            <w:tcW w:w="598" w:type="pct"/>
            <w:shd w:val="clear" w:color="auto" w:fill="auto"/>
            <w:vAlign w:val="center"/>
          </w:tcPr>
          <w:p w:rsidR="005B568F" w:rsidRPr="00CD21DA" w:rsidRDefault="00CD21DA" w:rsidP="005B568F">
            <w:pPr>
              <w:pStyle w:val="TableText"/>
              <w:spacing w:before="0" w:after="0"/>
              <w:jc w:val="center"/>
              <w:rPr>
                <w:highlight w:val="black"/>
              </w:rPr>
            </w:pPr>
            <w:r>
              <w:rPr>
                <w:noProof/>
                <w:color w:val="000000"/>
                <w:highlight w:val="black"/>
              </w:rPr>
              <w:t>''''''</w:t>
            </w:r>
          </w:p>
        </w:tc>
        <w:tc>
          <w:tcPr>
            <w:tcW w:w="569" w:type="pct"/>
            <w:gridSpan w:val="2"/>
            <w:shd w:val="clear" w:color="auto" w:fill="auto"/>
            <w:vAlign w:val="center"/>
          </w:tcPr>
          <w:p w:rsidR="005B568F" w:rsidRPr="00CD21DA" w:rsidRDefault="00CD21DA" w:rsidP="005B568F">
            <w:pPr>
              <w:pStyle w:val="TableText"/>
              <w:spacing w:before="0" w:after="0"/>
              <w:jc w:val="center"/>
              <w:rPr>
                <w:highlight w:val="black"/>
              </w:rPr>
            </w:pPr>
            <w:r>
              <w:rPr>
                <w:noProof/>
                <w:color w:val="000000"/>
                <w:highlight w:val="black"/>
              </w:rPr>
              <w:t>'''''</w:t>
            </w:r>
          </w:p>
        </w:tc>
        <w:tc>
          <w:tcPr>
            <w:tcW w:w="766" w:type="pct"/>
            <w:shd w:val="clear" w:color="auto" w:fill="auto"/>
            <w:vAlign w:val="center"/>
          </w:tcPr>
          <w:p w:rsidR="00A70818" w:rsidRPr="00CD21DA" w:rsidRDefault="00CD21DA" w:rsidP="005B568F">
            <w:pPr>
              <w:pStyle w:val="TableText"/>
              <w:spacing w:before="0" w:after="0"/>
              <w:jc w:val="center"/>
              <w:rPr>
                <w:highlight w:val="black"/>
              </w:rPr>
            </w:pPr>
            <w:r>
              <w:rPr>
                <w:noProof/>
                <w:color w:val="000000"/>
                <w:highlight w:val="black"/>
              </w:rPr>
              <w:t xml:space="preserve">'''''''''''''' </w:t>
            </w:r>
          </w:p>
          <w:p w:rsidR="005B568F" w:rsidRPr="00CD21DA" w:rsidRDefault="00CD21DA" w:rsidP="005B568F">
            <w:pPr>
              <w:pStyle w:val="TableText"/>
              <w:spacing w:before="0" w:after="0"/>
              <w:jc w:val="center"/>
              <w:rPr>
                <w:highlight w:val="black"/>
              </w:rPr>
            </w:pPr>
            <w:r>
              <w:rPr>
                <w:noProof/>
                <w:color w:val="000000"/>
                <w:highlight w:val="black"/>
              </w:rPr>
              <w:t>'''''''''''''''' '''''''''''''</w:t>
            </w:r>
          </w:p>
        </w:tc>
      </w:tr>
      <w:tr w:rsidR="005B568F" w:rsidRPr="004267F6" w:rsidTr="00502FFE">
        <w:tc>
          <w:tcPr>
            <w:tcW w:w="964" w:type="pct"/>
            <w:gridSpan w:val="2"/>
            <w:shd w:val="clear" w:color="auto" w:fill="auto"/>
            <w:vAlign w:val="center"/>
          </w:tcPr>
          <w:p w:rsidR="005B568F" w:rsidRPr="004267F6" w:rsidRDefault="003B1EE9" w:rsidP="009E6E84">
            <w:pPr>
              <w:pStyle w:val="TableText"/>
              <w:spacing w:before="0" w:after="0"/>
            </w:pPr>
            <w:r w:rsidRPr="004267F6">
              <w:rPr>
                <w:szCs w:val="20"/>
              </w:rPr>
              <w:t>Serious infusion-related reactions</w:t>
            </w:r>
          </w:p>
        </w:tc>
        <w:tc>
          <w:tcPr>
            <w:tcW w:w="599" w:type="pct"/>
            <w:gridSpan w:val="3"/>
            <w:shd w:val="clear" w:color="auto" w:fill="auto"/>
            <w:vAlign w:val="center"/>
          </w:tcPr>
          <w:p w:rsidR="005B568F" w:rsidRPr="00CD21DA" w:rsidRDefault="00CD21DA" w:rsidP="005B568F">
            <w:pPr>
              <w:pStyle w:val="TableText"/>
              <w:spacing w:before="0" w:after="0"/>
              <w:jc w:val="center"/>
              <w:rPr>
                <w:highlight w:val="black"/>
              </w:rPr>
            </w:pPr>
            <w:r>
              <w:rPr>
                <w:noProof/>
                <w:color w:val="000000"/>
                <w:szCs w:val="20"/>
                <w:highlight w:val="black"/>
              </w:rPr>
              <w:t>''''''' '''''''''''''''''</w:t>
            </w:r>
          </w:p>
        </w:tc>
        <w:tc>
          <w:tcPr>
            <w:tcW w:w="682" w:type="pct"/>
            <w:gridSpan w:val="2"/>
            <w:shd w:val="clear" w:color="auto" w:fill="auto"/>
            <w:vAlign w:val="center"/>
          </w:tcPr>
          <w:p w:rsidR="005B568F" w:rsidRPr="00CD21DA" w:rsidRDefault="00CD21DA" w:rsidP="005B568F">
            <w:pPr>
              <w:pStyle w:val="TableText"/>
              <w:spacing w:before="0" w:after="0"/>
              <w:jc w:val="center"/>
              <w:rPr>
                <w:highlight w:val="black"/>
              </w:rPr>
            </w:pPr>
            <w:r>
              <w:rPr>
                <w:noProof/>
                <w:color w:val="000000"/>
                <w:szCs w:val="20"/>
                <w:highlight w:val="black"/>
              </w:rPr>
              <w:t>'''''' '''''''''''''''''</w:t>
            </w:r>
          </w:p>
        </w:tc>
        <w:tc>
          <w:tcPr>
            <w:tcW w:w="822" w:type="pct"/>
            <w:gridSpan w:val="2"/>
            <w:shd w:val="clear" w:color="auto" w:fill="auto"/>
            <w:vAlign w:val="center"/>
          </w:tcPr>
          <w:p w:rsidR="005B568F" w:rsidRPr="00CD21DA" w:rsidRDefault="00CD21DA" w:rsidP="005B568F">
            <w:pPr>
              <w:pStyle w:val="TableText"/>
              <w:spacing w:before="0" w:after="0"/>
              <w:jc w:val="center"/>
              <w:rPr>
                <w:highlight w:val="black"/>
              </w:rPr>
            </w:pPr>
            <w:r>
              <w:rPr>
                <w:noProof/>
                <w:color w:val="000000"/>
                <w:szCs w:val="20"/>
                <w:highlight w:val="black"/>
              </w:rPr>
              <w:t>''''''''''' ''''''''''''''' '''''''''''''</w:t>
            </w:r>
          </w:p>
        </w:tc>
        <w:tc>
          <w:tcPr>
            <w:tcW w:w="598" w:type="pct"/>
            <w:shd w:val="clear" w:color="auto" w:fill="auto"/>
            <w:vAlign w:val="center"/>
          </w:tcPr>
          <w:p w:rsidR="005B568F" w:rsidRPr="00CD21DA" w:rsidRDefault="00CD21DA" w:rsidP="005B568F">
            <w:pPr>
              <w:pStyle w:val="TableText"/>
              <w:spacing w:before="0" w:after="0"/>
              <w:jc w:val="center"/>
              <w:rPr>
                <w:highlight w:val="black"/>
              </w:rPr>
            </w:pPr>
            <w:r>
              <w:rPr>
                <w:noProof/>
                <w:color w:val="000000"/>
                <w:highlight w:val="black"/>
              </w:rPr>
              <w:t>'''</w:t>
            </w:r>
          </w:p>
        </w:tc>
        <w:tc>
          <w:tcPr>
            <w:tcW w:w="569" w:type="pct"/>
            <w:gridSpan w:val="2"/>
            <w:shd w:val="clear" w:color="auto" w:fill="auto"/>
            <w:vAlign w:val="center"/>
          </w:tcPr>
          <w:p w:rsidR="005B568F" w:rsidRPr="00CD21DA" w:rsidRDefault="00CD21DA" w:rsidP="005B568F">
            <w:pPr>
              <w:pStyle w:val="TableText"/>
              <w:spacing w:before="0" w:after="0"/>
              <w:jc w:val="center"/>
              <w:rPr>
                <w:highlight w:val="black"/>
              </w:rPr>
            </w:pPr>
            <w:r>
              <w:rPr>
                <w:noProof/>
                <w:color w:val="000000"/>
                <w:highlight w:val="black"/>
              </w:rPr>
              <w:t>'''</w:t>
            </w:r>
          </w:p>
        </w:tc>
        <w:tc>
          <w:tcPr>
            <w:tcW w:w="766" w:type="pct"/>
            <w:shd w:val="clear" w:color="auto" w:fill="auto"/>
            <w:vAlign w:val="center"/>
          </w:tcPr>
          <w:p w:rsidR="005B568F" w:rsidRPr="00CD21DA" w:rsidRDefault="00CD21DA" w:rsidP="005B568F">
            <w:pPr>
              <w:pStyle w:val="TableText"/>
              <w:spacing w:before="0" w:after="0"/>
              <w:jc w:val="center"/>
              <w:rPr>
                <w:highlight w:val="black"/>
              </w:rPr>
            </w:pPr>
            <w:r>
              <w:rPr>
                <w:noProof/>
                <w:color w:val="000000"/>
                <w:highlight w:val="black"/>
              </w:rPr>
              <w:t>''''''''''''''</w:t>
            </w:r>
          </w:p>
          <w:p w:rsidR="005B568F" w:rsidRPr="00CD21DA" w:rsidRDefault="00CD21DA" w:rsidP="00A70818">
            <w:pPr>
              <w:pStyle w:val="TableText"/>
              <w:spacing w:before="0" w:after="0"/>
              <w:jc w:val="center"/>
              <w:rPr>
                <w:highlight w:val="black"/>
              </w:rPr>
            </w:pPr>
            <w:r>
              <w:rPr>
                <w:noProof/>
                <w:color w:val="000000"/>
                <w:highlight w:val="black"/>
              </w:rPr>
              <w:t>'''''''''''''''' '''''''''''''''</w:t>
            </w:r>
          </w:p>
        </w:tc>
      </w:tr>
      <w:tr w:rsidR="005B568F" w:rsidRPr="004267F6" w:rsidTr="00502FFE">
        <w:tc>
          <w:tcPr>
            <w:tcW w:w="960" w:type="pct"/>
            <w:shd w:val="clear" w:color="auto" w:fill="auto"/>
            <w:vAlign w:val="center"/>
          </w:tcPr>
          <w:p w:rsidR="005B568F" w:rsidRPr="004267F6" w:rsidRDefault="003B1EE9" w:rsidP="009E6E84">
            <w:pPr>
              <w:pStyle w:val="TableText"/>
              <w:spacing w:before="0" w:after="0"/>
            </w:pPr>
            <w:r w:rsidRPr="004267F6">
              <w:rPr>
                <w:szCs w:val="20"/>
              </w:rPr>
              <w:t>Serious cardiac events</w:t>
            </w:r>
          </w:p>
        </w:tc>
        <w:tc>
          <w:tcPr>
            <w:tcW w:w="604" w:type="pct"/>
            <w:gridSpan w:val="4"/>
            <w:shd w:val="clear" w:color="auto" w:fill="auto"/>
            <w:vAlign w:val="center"/>
          </w:tcPr>
          <w:p w:rsidR="005B568F" w:rsidRPr="00CD21DA" w:rsidRDefault="00CD21DA" w:rsidP="005B568F">
            <w:pPr>
              <w:pStyle w:val="TableText"/>
              <w:spacing w:before="0" w:after="0"/>
              <w:jc w:val="center"/>
              <w:rPr>
                <w:highlight w:val="black"/>
              </w:rPr>
            </w:pPr>
            <w:r>
              <w:rPr>
                <w:noProof/>
                <w:color w:val="000000"/>
                <w:szCs w:val="20"/>
                <w:highlight w:val="black"/>
              </w:rPr>
              <w:t>''''' '''''''''''''''''</w:t>
            </w:r>
          </w:p>
        </w:tc>
        <w:tc>
          <w:tcPr>
            <w:tcW w:w="682" w:type="pct"/>
            <w:gridSpan w:val="2"/>
            <w:shd w:val="clear" w:color="auto" w:fill="auto"/>
            <w:vAlign w:val="center"/>
          </w:tcPr>
          <w:p w:rsidR="005B568F" w:rsidRPr="00CD21DA" w:rsidRDefault="00CD21DA" w:rsidP="005B568F">
            <w:pPr>
              <w:pStyle w:val="TableText"/>
              <w:spacing w:before="0" w:after="0"/>
              <w:jc w:val="center"/>
              <w:rPr>
                <w:highlight w:val="black"/>
              </w:rPr>
            </w:pPr>
            <w:r>
              <w:rPr>
                <w:noProof/>
                <w:color w:val="000000"/>
                <w:szCs w:val="20"/>
                <w:highlight w:val="black"/>
              </w:rPr>
              <w:t>''''''' '''''''''''''''''</w:t>
            </w:r>
          </w:p>
        </w:tc>
        <w:tc>
          <w:tcPr>
            <w:tcW w:w="822" w:type="pct"/>
            <w:gridSpan w:val="2"/>
            <w:shd w:val="clear" w:color="auto" w:fill="auto"/>
            <w:vAlign w:val="center"/>
          </w:tcPr>
          <w:p w:rsidR="005B568F" w:rsidRPr="00CD21DA" w:rsidRDefault="00CD21DA" w:rsidP="005B568F">
            <w:pPr>
              <w:pStyle w:val="TableText"/>
              <w:spacing w:before="0" w:after="0"/>
              <w:jc w:val="center"/>
              <w:rPr>
                <w:highlight w:val="black"/>
              </w:rPr>
            </w:pPr>
            <w:r>
              <w:rPr>
                <w:noProof/>
                <w:color w:val="000000"/>
                <w:szCs w:val="20"/>
                <w:highlight w:val="black"/>
              </w:rPr>
              <w:t>''''''''''' ''''''''''''''' ''''''''''''</w:t>
            </w:r>
          </w:p>
        </w:tc>
        <w:tc>
          <w:tcPr>
            <w:tcW w:w="598" w:type="pct"/>
            <w:shd w:val="clear" w:color="auto" w:fill="auto"/>
            <w:vAlign w:val="center"/>
          </w:tcPr>
          <w:p w:rsidR="005B568F" w:rsidRPr="00CD21DA" w:rsidRDefault="00CD21DA" w:rsidP="005B568F">
            <w:pPr>
              <w:pStyle w:val="TableText"/>
              <w:spacing w:before="0" w:after="0"/>
              <w:jc w:val="center"/>
              <w:rPr>
                <w:highlight w:val="black"/>
              </w:rPr>
            </w:pPr>
            <w:r>
              <w:rPr>
                <w:noProof/>
                <w:color w:val="000000"/>
                <w:highlight w:val="black"/>
              </w:rPr>
              <w:t>'''</w:t>
            </w:r>
          </w:p>
        </w:tc>
        <w:tc>
          <w:tcPr>
            <w:tcW w:w="569" w:type="pct"/>
            <w:gridSpan w:val="2"/>
            <w:shd w:val="clear" w:color="auto" w:fill="auto"/>
            <w:vAlign w:val="center"/>
          </w:tcPr>
          <w:p w:rsidR="005B568F" w:rsidRPr="00CD21DA" w:rsidRDefault="00CD21DA" w:rsidP="005B568F">
            <w:pPr>
              <w:pStyle w:val="TableText"/>
              <w:spacing w:before="0" w:after="0"/>
              <w:jc w:val="center"/>
              <w:rPr>
                <w:highlight w:val="black"/>
              </w:rPr>
            </w:pPr>
            <w:r>
              <w:rPr>
                <w:noProof/>
                <w:color w:val="000000"/>
                <w:highlight w:val="black"/>
              </w:rPr>
              <w:t>'''</w:t>
            </w:r>
          </w:p>
        </w:tc>
        <w:tc>
          <w:tcPr>
            <w:tcW w:w="766" w:type="pct"/>
            <w:shd w:val="clear" w:color="auto" w:fill="auto"/>
            <w:vAlign w:val="center"/>
          </w:tcPr>
          <w:p w:rsidR="005B568F" w:rsidRPr="00CD21DA" w:rsidRDefault="00CD21DA" w:rsidP="005B568F">
            <w:pPr>
              <w:pStyle w:val="TableText"/>
              <w:spacing w:before="0" w:after="0"/>
              <w:jc w:val="center"/>
              <w:rPr>
                <w:highlight w:val="black"/>
              </w:rPr>
            </w:pPr>
            <w:r>
              <w:rPr>
                <w:noProof/>
                <w:color w:val="000000"/>
                <w:highlight w:val="black"/>
              </w:rPr>
              <w:t>''''''''''''''</w:t>
            </w:r>
          </w:p>
          <w:p w:rsidR="005B568F" w:rsidRPr="00CD21DA" w:rsidRDefault="00CD21DA" w:rsidP="001849E7">
            <w:pPr>
              <w:pStyle w:val="TableText"/>
              <w:spacing w:before="0" w:after="0"/>
              <w:jc w:val="center"/>
              <w:rPr>
                <w:highlight w:val="black"/>
              </w:rPr>
            </w:pPr>
            <w:r>
              <w:rPr>
                <w:noProof/>
                <w:color w:val="000000"/>
                <w:highlight w:val="black"/>
              </w:rPr>
              <w:t>'''''''''''''' '''''''''''''''''</w:t>
            </w:r>
          </w:p>
        </w:tc>
      </w:tr>
    </w:tbl>
    <w:p w:rsidR="00034404" w:rsidRPr="004267F6" w:rsidRDefault="00616352" w:rsidP="00772501">
      <w:pPr>
        <w:pStyle w:val="TableFooter"/>
      </w:pPr>
      <w:r w:rsidRPr="004267F6">
        <w:t>* Median</w:t>
      </w:r>
      <w:r w:rsidR="00034404" w:rsidRPr="004267F6">
        <w:t xml:space="preserve"> duration of follow-up: </w:t>
      </w:r>
      <w:r w:rsidRPr="004267F6">
        <w:t>GALLIUM</w:t>
      </w:r>
      <w:r w:rsidR="00034404" w:rsidRPr="004267F6">
        <w:t xml:space="preserve"> = </w:t>
      </w:r>
      <w:r w:rsidRPr="004267F6">
        <w:t>41.1 months</w:t>
      </w:r>
    </w:p>
    <w:p w:rsidR="00034404" w:rsidRPr="004267F6" w:rsidRDefault="00616352" w:rsidP="00772501">
      <w:pPr>
        <w:pStyle w:val="TableFooter"/>
      </w:pPr>
      <w:r w:rsidRPr="004267F6">
        <w:t xml:space="preserve">obi=obinutuzumab; </w:t>
      </w:r>
      <w:r w:rsidR="00034404" w:rsidRPr="004267F6">
        <w:t>RD = risk difference; RR = risk ratio</w:t>
      </w:r>
      <w:r w:rsidRPr="004267F6">
        <w:t>; ritux=rituximab</w:t>
      </w:r>
    </w:p>
    <w:p w:rsidR="00034404" w:rsidRPr="004267F6" w:rsidRDefault="00FB69E1" w:rsidP="00772501">
      <w:pPr>
        <w:pStyle w:val="TableFooter"/>
      </w:pPr>
      <w:r w:rsidRPr="004267F6">
        <w:t>Source: Table 2.6.1, p60-61; Table 2.6.12, p80; Table 2.6.16, p83 of the submission.</w:t>
      </w:r>
    </w:p>
    <w:p w:rsidR="00427E55" w:rsidRPr="004267F6" w:rsidRDefault="005A0C0E" w:rsidP="00A375D6">
      <w:pPr>
        <w:pStyle w:val="ListParagraph"/>
        <w:numPr>
          <w:ilvl w:val="1"/>
          <w:numId w:val="1"/>
        </w:numPr>
        <w:ind w:left="709" w:hanging="709"/>
        <w:jc w:val="both"/>
      </w:pPr>
      <w:r w:rsidRPr="004267F6">
        <w:t xml:space="preserve">On the </w:t>
      </w:r>
      <w:r w:rsidRPr="00A375D6">
        <w:rPr>
          <w:rFonts w:cs="Arial"/>
          <w:bCs/>
          <w:snapToGrid w:val="0"/>
        </w:rPr>
        <w:t>basis</w:t>
      </w:r>
      <w:r w:rsidRPr="004267F6">
        <w:t xml:space="preserve"> of evidence (GALLIUM trial) presented by the submission, for every 100 patients </w:t>
      </w:r>
      <w:r w:rsidR="00513EDF" w:rsidRPr="004267F6">
        <w:t xml:space="preserve">with advanced follicular lymphoma who are </w:t>
      </w:r>
      <w:r w:rsidRPr="004267F6">
        <w:t xml:space="preserve">treated with </w:t>
      </w:r>
      <w:r w:rsidR="003A6363">
        <w:t>obinutuzumab</w:t>
      </w:r>
      <w:r w:rsidR="00EC2096">
        <w:t>+</w:t>
      </w:r>
      <w:r w:rsidR="00513EDF" w:rsidRPr="004267F6">
        <w:t xml:space="preserve">chemotherapy </w:t>
      </w:r>
      <w:r w:rsidRPr="004267F6">
        <w:t xml:space="preserve">in comparison to </w:t>
      </w:r>
      <w:r w:rsidR="00EC2096" w:rsidRPr="004267F6">
        <w:t>rituximab</w:t>
      </w:r>
      <w:r w:rsidR="00EC2096">
        <w:t>+</w:t>
      </w:r>
      <w:r w:rsidR="00513EDF" w:rsidRPr="004267F6">
        <w:t>chemotherapy</w:t>
      </w:r>
      <w:r w:rsidRPr="004267F6">
        <w:rPr>
          <w:rFonts w:ascii="Calibri" w:eastAsia="Calibri" w:hAnsi="Calibri" w:cs="Arial"/>
        </w:rPr>
        <w:t>, over a median duration of follow-up of 41.1 months</w:t>
      </w:r>
      <w:r w:rsidRPr="004267F6">
        <w:t>:</w:t>
      </w:r>
    </w:p>
    <w:p w:rsidR="00232833" w:rsidRPr="004267F6" w:rsidRDefault="00A24B55" w:rsidP="00157984">
      <w:pPr>
        <w:pStyle w:val="ListParagraph"/>
        <w:numPr>
          <w:ilvl w:val="0"/>
          <w:numId w:val="3"/>
        </w:numPr>
        <w:spacing w:before="0" w:after="0"/>
        <w:ind w:left="993" w:hanging="284"/>
        <w:jc w:val="both"/>
      </w:pPr>
      <w:r w:rsidRPr="004267F6">
        <w:rPr>
          <w:rFonts w:ascii="Calibri" w:eastAsia="Calibri" w:hAnsi="Calibri" w:cs="Arial"/>
        </w:rPr>
        <w:t xml:space="preserve">Approximately </w:t>
      </w:r>
      <w:r w:rsidR="00CD21DA">
        <w:rPr>
          <w:rFonts w:ascii="Calibri" w:eastAsia="Calibri" w:hAnsi="Calibri" w:cs="Arial"/>
          <w:noProof/>
          <w:color w:val="000000"/>
          <w:highlight w:val="black"/>
        </w:rPr>
        <w:t>'''</w:t>
      </w:r>
      <w:r w:rsidRPr="004267F6">
        <w:rPr>
          <w:rFonts w:ascii="Calibri" w:eastAsia="Calibri" w:hAnsi="Calibri" w:cs="Arial"/>
        </w:rPr>
        <w:t xml:space="preserve"> more patients </w:t>
      </w:r>
      <w:r w:rsidR="005A0C0E" w:rsidRPr="004267F6">
        <w:rPr>
          <w:rFonts w:ascii="Calibri" w:eastAsia="Calibri" w:hAnsi="Calibri" w:cs="Arial"/>
        </w:rPr>
        <w:t xml:space="preserve">would </w:t>
      </w:r>
      <w:r w:rsidRPr="004267F6">
        <w:rPr>
          <w:rFonts w:ascii="Calibri" w:eastAsia="Calibri" w:hAnsi="Calibri" w:cs="Arial"/>
        </w:rPr>
        <w:t>remain progression free</w:t>
      </w:r>
      <w:r w:rsidR="00D07335" w:rsidRPr="004267F6">
        <w:rPr>
          <w:rFonts w:ascii="Calibri" w:eastAsia="Calibri" w:hAnsi="Calibri" w:cs="Arial"/>
        </w:rPr>
        <w:t xml:space="preserve">, </w:t>
      </w:r>
      <w:r w:rsidR="00513EDF" w:rsidRPr="004267F6">
        <w:rPr>
          <w:rFonts w:ascii="Calibri" w:eastAsia="Calibri" w:hAnsi="Calibri" w:cs="Arial"/>
        </w:rPr>
        <w:t xml:space="preserve">although there is no significant </w:t>
      </w:r>
      <w:r w:rsidR="00422B8A" w:rsidRPr="004267F6">
        <w:rPr>
          <w:rFonts w:ascii="Calibri" w:eastAsia="Calibri" w:hAnsi="Calibri" w:cs="Arial"/>
        </w:rPr>
        <w:t>difference in overall survival</w:t>
      </w:r>
      <w:r w:rsidR="00513EDF" w:rsidRPr="004267F6">
        <w:rPr>
          <w:rFonts w:ascii="Calibri" w:eastAsia="Calibri" w:hAnsi="Calibri" w:cs="Arial"/>
        </w:rPr>
        <w:t>, which is over 90% in both groups</w:t>
      </w:r>
      <w:r w:rsidR="00232833" w:rsidRPr="004267F6">
        <w:rPr>
          <w:rFonts w:ascii="Calibri" w:eastAsia="Calibri" w:hAnsi="Calibri" w:cs="Arial"/>
        </w:rPr>
        <w:t>;</w:t>
      </w:r>
    </w:p>
    <w:p w:rsidR="00427E55" w:rsidRPr="004267F6" w:rsidRDefault="00A24B55" w:rsidP="00157984">
      <w:pPr>
        <w:pStyle w:val="ListParagraph"/>
        <w:numPr>
          <w:ilvl w:val="0"/>
          <w:numId w:val="3"/>
        </w:numPr>
        <w:spacing w:before="0" w:after="0"/>
        <w:ind w:left="993" w:hanging="284"/>
        <w:jc w:val="both"/>
      </w:pPr>
      <w:r w:rsidRPr="004267F6">
        <w:rPr>
          <w:rFonts w:ascii="Calibri" w:eastAsia="Calibri" w:hAnsi="Calibri" w:cs="Arial"/>
        </w:rPr>
        <w:t xml:space="preserve">Approximately </w:t>
      </w:r>
      <w:r w:rsidR="00CD21DA">
        <w:rPr>
          <w:rFonts w:ascii="Calibri" w:eastAsia="Calibri" w:hAnsi="Calibri" w:cs="Arial"/>
          <w:noProof/>
          <w:color w:val="000000"/>
          <w:highlight w:val="black"/>
        </w:rPr>
        <w:t>'''</w:t>
      </w:r>
      <w:r w:rsidRPr="004267F6">
        <w:rPr>
          <w:rFonts w:ascii="Calibri" w:eastAsia="Calibri" w:hAnsi="Calibri" w:cs="Arial"/>
        </w:rPr>
        <w:t xml:space="preserve"> additional patients would experience neutropenia</w:t>
      </w:r>
      <w:r w:rsidR="00D95629" w:rsidRPr="004267F6">
        <w:rPr>
          <w:rFonts w:ascii="Calibri" w:eastAsia="Calibri" w:hAnsi="Calibri" w:cs="Arial"/>
        </w:rPr>
        <w:t xml:space="preserve"> (low white blood </w:t>
      </w:r>
      <w:r w:rsidR="00F5467C" w:rsidRPr="004267F6">
        <w:rPr>
          <w:rFonts w:ascii="Calibri" w:eastAsia="Calibri" w:hAnsi="Calibri" w:cs="Arial"/>
        </w:rPr>
        <w:t xml:space="preserve">cell </w:t>
      </w:r>
      <w:r w:rsidR="00D95629" w:rsidRPr="004267F6">
        <w:rPr>
          <w:rFonts w:ascii="Calibri" w:eastAsia="Calibri" w:hAnsi="Calibri" w:cs="Arial"/>
        </w:rPr>
        <w:t>count, which carries an increased risk of infection)</w:t>
      </w:r>
      <w:r w:rsidRPr="004267F6">
        <w:rPr>
          <w:rFonts w:ascii="Calibri" w:eastAsia="Calibri" w:hAnsi="Calibri" w:cs="Arial"/>
        </w:rPr>
        <w:t>;</w:t>
      </w:r>
    </w:p>
    <w:p w:rsidR="00A24B55" w:rsidRPr="004267F6" w:rsidRDefault="00A24B55" w:rsidP="00157984">
      <w:pPr>
        <w:pStyle w:val="ListParagraph"/>
        <w:numPr>
          <w:ilvl w:val="0"/>
          <w:numId w:val="3"/>
        </w:numPr>
        <w:spacing w:before="0" w:after="0"/>
        <w:ind w:left="993" w:hanging="284"/>
        <w:jc w:val="both"/>
      </w:pPr>
      <w:r w:rsidRPr="004267F6">
        <w:rPr>
          <w:rFonts w:ascii="Calibri" w:eastAsia="Calibri" w:hAnsi="Calibri" w:cs="Arial"/>
        </w:rPr>
        <w:t xml:space="preserve">Approximately </w:t>
      </w:r>
      <w:r w:rsidR="00CD21DA">
        <w:rPr>
          <w:rFonts w:ascii="Calibri" w:eastAsia="Calibri" w:hAnsi="Calibri" w:cs="Arial"/>
          <w:noProof/>
          <w:color w:val="000000"/>
          <w:highlight w:val="black"/>
        </w:rPr>
        <w:t>'''</w:t>
      </w:r>
      <w:r w:rsidR="001477AB" w:rsidRPr="004267F6">
        <w:rPr>
          <w:rFonts w:ascii="Calibri" w:eastAsia="Calibri" w:hAnsi="Calibri" w:cs="Arial"/>
        </w:rPr>
        <w:t xml:space="preserve"> </w:t>
      </w:r>
      <w:r w:rsidRPr="004267F6">
        <w:rPr>
          <w:rFonts w:ascii="Calibri" w:eastAsia="Calibri" w:hAnsi="Calibri" w:cs="Arial"/>
        </w:rPr>
        <w:t>additional patients would experience serious infusion-related reactions; and</w:t>
      </w:r>
    </w:p>
    <w:p w:rsidR="00A24B55" w:rsidRPr="004267F6" w:rsidRDefault="00A24B55" w:rsidP="00157984">
      <w:pPr>
        <w:pStyle w:val="ListParagraph"/>
        <w:numPr>
          <w:ilvl w:val="0"/>
          <w:numId w:val="3"/>
        </w:numPr>
        <w:spacing w:before="0" w:after="0"/>
        <w:ind w:left="993" w:hanging="284"/>
        <w:jc w:val="both"/>
      </w:pPr>
      <w:r w:rsidRPr="004267F6">
        <w:rPr>
          <w:rFonts w:ascii="Calibri" w:eastAsia="Calibri" w:hAnsi="Calibri" w:cs="Arial"/>
        </w:rPr>
        <w:t xml:space="preserve">Approximately </w:t>
      </w:r>
      <w:r w:rsidR="00CD21DA">
        <w:rPr>
          <w:rFonts w:ascii="Calibri" w:eastAsia="Calibri" w:hAnsi="Calibri" w:cs="Arial"/>
          <w:noProof/>
          <w:color w:val="000000"/>
          <w:highlight w:val="black"/>
        </w:rPr>
        <w:t>'''</w:t>
      </w:r>
      <w:r w:rsidRPr="004267F6">
        <w:rPr>
          <w:rFonts w:ascii="Calibri" w:eastAsia="Calibri" w:hAnsi="Calibri" w:cs="Arial"/>
        </w:rPr>
        <w:t xml:space="preserve"> additional patients would experience serious cardiac events.</w:t>
      </w:r>
    </w:p>
    <w:p w:rsidR="00C317F3" w:rsidRPr="004267F6" w:rsidRDefault="008058E8" w:rsidP="00772501">
      <w:pPr>
        <w:pStyle w:val="Heading2"/>
        <w:rPr>
          <w:i w:val="0"/>
        </w:rPr>
      </w:pPr>
      <w:bookmarkStart w:id="23" w:name="_Toc365635914"/>
      <w:bookmarkEnd w:id="22"/>
      <w:r w:rsidRPr="004267F6">
        <w:rPr>
          <w:i w:val="0"/>
        </w:rPr>
        <w:t xml:space="preserve">Interpretation of </w:t>
      </w:r>
      <w:r w:rsidR="008C73CE">
        <w:rPr>
          <w:i w:val="0"/>
        </w:rPr>
        <w:t xml:space="preserve">the </w:t>
      </w:r>
      <w:r w:rsidRPr="004267F6">
        <w:rPr>
          <w:i w:val="0"/>
        </w:rPr>
        <w:t>clinical evidence</w:t>
      </w:r>
      <w:bookmarkEnd w:id="23"/>
    </w:p>
    <w:p w:rsidR="00B23868" w:rsidRPr="004267F6" w:rsidRDefault="00B23868" w:rsidP="00A375D6">
      <w:pPr>
        <w:pStyle w:val="ListParagraph"/>
        <w:numPr>
          <w:ilvl w:val="1"/>
          <w:numId w:val="1"/>
        </w:numPr>
        <w:ind w:left="709" w:hanging="709"/>
        <w:jc w:val="both"/>
      </w:pPr>
      <w:r w:rsidRPr="004267F6">
        <w:t>The submission described obinutuzumab in combination with chemotherapy used for induction treatment, followed by obinutuzumab maintenance monotherapy for responders, as superior in effectiveness in terms of PFS and inferior in safety compared with rituximab in combination with chemotherapy as induction treatment, followed by rituximab maintenance monotherapy for responders, in patients with previously untreated advanced follicular lymphoma.</w:t>
      </w:r>
      <w:r w:rsidR="00A07559">
        <w:t xml:space="preserve"> </w:t>
      </w:r>
      <w:r w:rsidRPr="004267F6">
        <w:t>The submission did note (p97) that the hazard ratio for OS was numerically in favour of obinutuzumab.</w:t>
      </w:r>
    </w:p>
    <w:p w:rsidR="00686B8B" w:rsidRPr="004267F6" w:rsidRDefault="00686B8B" w:rsidP="00A375D6">
      <w:pPr>
        <w:pStyle w:val="ListParagraph"/>
        <w:numPr>
          <w:ilvl w:val="1"/>
          <w:numId w:val="1"/>
        </w:numPr>
        <w:ind w:left="709" w:hanging="709"/>
        <w:jc w:val="both"/>
      </w:pPr>
      <w:r w:rsidRPr="004267F6">
        <w:t xml:space="preserve">While the claim of superior effectiveness was adequately supported by the evidence </w:t>
      </w:r>
      <w:r w:rsidR="00E1531A" w:rsidRPr="004267F6">
        <w:t xml:space="preserve">with </w:t>
      </w:r>
      <w:r w:rsidRPr="00A375D6">
        <w:rPr>
          <w:rFonts w:cs="Arial"/>
          <w:bCs/>
          <w:snapToGrid w:val="0"/>
        </w:rPr>
        <w:t>regard</w:t>
      </w:r>
      <w:r w:rsidRPr="004267F6">
        <w:t xml:space="preserve"> to a statistically significant advantage for obinutuzumab+chemotherapy in PFS</w:t>
      </w:r>
      <w:r w:rsidR="008B6549" w:rsidRPr="004267F6">
        <w:t xml:space="preserve"> (HR=0.68; 95% CI: 0.54, 0.87)</w:t>
      </w:r>
      <w:r w:rsidRPr="004267F6">
        <w:t>, the</w:t>
      </w:r>
      <w:r w:rsidR="00006CB4">
        <w:t xml:space="preserve"> </w:t>
      </w:r>
      <w:r w:rsidRPr="004267F6">
        <w:t xml:space="preserve">clinical </w:t>
      </w:r>
      <w:r w:rsidR="00C845B7" w:rsidRPr="004267F6">
        <w:t xml:space="preserve">significance </w:t>
      </w:r>
      <w:r w:rsidRPr="004267F6">
        <w:t>of this claim is u</w:t>
      </w:r>
      <w:r w:rsidR="00EC69AC">
        <w:t>ncertain</w:t>
      </w:r>
      <w:r w:rsidRPr="004267F6">
        <w:t>.</w:t>
      </w:r>
      <w:r w:rsidR="00A07559">
        <w:t xml:space="preserve"> </w:t>
      </w:r>
      <w:r w:rsidRPr="004267F6">
        <w:t>In the GALLIUM trial response and progression were assessed using the Revised Response Criteria for Malignant Lymphoma (Cheson 2007).</w:t>
      </w:r>
      <w:r w:rsidR="00A07559">
        <w:t xml:space="preserve"> </w:t>
      </w:r>
      <w:r w:rsidRPr="004267F6">
        <w:t>This paper stated that whether a prolongation of PFS represents direct clinical benefit or is an acceptable surrogate for clinical benefit depends on the magnitude of the effect and the risk-benefit ratio of the therapy under investigation.</w:t>
      </w:r>
      <w:r w:rsidR="00A07559">
        <w:t xml:space="preserve"> </w:t>
      </w:r>
      <w:r w:rsidR="00667EDA" w:rsidRPr="004267F6">
        <w:t xml:space="preserve">While the </w:t>
      </w:r>
      <w:r w:rsidR="005F6AAB" w:rsidRPr="004267F6">
        <w:t>Pre-Sub-Committee Response (</w:t>
      </w:r>
      <w:r w:rsidR="00667EDA" w:rsidRPr="004267F6">
        <w:t>PSCR</w:t>
      </w:r>
      <w:r w:rsidR="005F6AAB" w:rsidRPr="004267F6">
        <w:t>)</w:t>
      </w:r>
      <w:r w:rsidR="00B14BCC" w:rsidRPr="004267F6">
        <w:t xml:space="preserve"> (</w:t>
      </w:r>
      <w:r w:rsidR="000F09CD" w:rsidRPr="004267F6">
        <w:t>p1)</w:t>
      </w:r>
      <w:r w:rsidR="00667EDA" w:rsidRPr="004267F6">
        <w:t xml:space="preserve"> argued that PFS translates </w:t>
      </w:r>
      <w:r w:rsidR="000C5DBC" w:rsidRPr="004267F6">
        <w:t>in</w:t>
      </w:r>
      <w:r w:rsidR="00667EDA" w:rsidRPr="004267F6">
        <w:t xml:space="preserve">to improved quality of life, the </w:t>
      </w:r>
      <w:r w:rsidR="00717135">
        <w:t xml:space="preserve">PBAC </w:t>
      </w:r>
      <w:r w:rsidR="00667EDA" w:rsidRPr="004267F6">
        <w:t>not</w:t>
      </w:r>
      <w:r w:rsidR="000C5DBC" w:rsidRPr="004267F6">
        <w:t>ed that no difference in health-</w:t>
      </w:r>
      <w:r w:rsidR="00667EDA" w:rsidRPr="004267F6">
        <w:t>rela</w:t>
      </w:r>
      <w:r w:rsidR="007963DB" w:rsidRPr="004267F6">
        <w:t>ted quality of life measures was</w:t>
      </w:r>
      <w:r w:rsidR="00667EDA" w:rsidRPr="004267F6">
        <w:t xml:space="preserve"> observed between obinutuzumab and rituximab in the GALLIUM trial.</w:t>
      </w:r>
    </w:p>
    <w:p w:rsidR="00686B8B" w:rsidRPr="004267F6" w:rsidRDefault="0050768C" w:rsidP="00A375D6">
      <w:pPr>
        <w:pStyle w:val="ListParagraph"/>
        <w:numPr>
          <w:ilvl w:val="1"/>
          <w:numId w:val="1"/>
        </w:numPr>
        <w:ind w:left="709" w:hanging="709"/>
        <w:jc w:val="both"/>
      </w:pPr>
      <w:r w:rsidRPr="004267F6">
        <w:t>T</w:t>
      </w:r>
      <w:r w:rsidR="00686B8B" w:rsidRPr="004267F6">
        <w:t xml:space="preserve">he GALLIUM trial </w:t>
      </w:r>
      <w:r w:rsidRPr="004267F6">
        <w:t xml:space="preserve">results indicated </w:t>
      </w:r>
      <w:r w:rsidR="00686B8B" w:rsidRPr="004267F6">
        <w:t>obinutuzumab</w:t>
      </w:r>
      <w:r w:rsidR="005F3BF8" w:rsidRPr="004267F6">
        <w:t xml:space="preserve"> to be</w:t>
      </w:r>
      <w:r w:rsidR="00686B8B" w:rsidRPr="004267F6">
        <w:t xml:space="preserve"> inferior </w:t>
      </w:r>
      <w:r w:rsidR="003F2F6B" w:rsidRPr="004267F6">
        <w:t xml:space="preserve">in </w:t>
      </w:r>
      <w:r w:rsidR="00686B8B" w:rsidRPr="004267F6">
        <w:t xml:space="preserve">safety compared to rituximab. In particular, trial results demonstrated statistically significantly greater occurrence of a range of </w:t>
      </w:r>
      <w:r w:rsidR="008B6549" w:rsidRPr="004267F6">
        <w:t>AE</w:t>
      </w:r>
      <w:r w:rsidR="00686B8B" w:rsidRPr="004267F6">
        <w:t xml:space="preserve">s, including Grade 3-4 neutropenia, serious infusion-related reactions and serious cardiac events. </w:t>
      </w:r>
      <w:r w:rsidR="00CE0CB6">
        <w:t xml:space="preserve">The PBAC noted an </w:t>
      </w:r>
      <w:r w:rsidR="00CD21DA">
        <w:rPr>
          <w:noProof/>
          <w:color w:val="000000"/>
          <w:highlight w:val="black"/>
        </w:rPr>
        <w:t>'''''''''</w:t>
      </w:r>
      <w:r w:rsidR="00CE0CB6">
        <w:t xml:space="preserve">% increase in the incidence of serious AEs in those aged ≥ 65 years treated with </w:t>
      </w:r>
      <w:r w:rsidR="00CE0CB6" w:rsidRPr="004267F6">
        <w:t>obinutuzumab</w:t>
      </w:r>
      <w:r w:rsidR="00CE0CB6">
        <w:t>+chemotherapy versus those treated with rituximab+chemotherapy.</w:t>
      </w:r>
      <w:r w:rsidR="0039402D" w:rsidRPr="00E978F9">
        <w:t xml:space="preserve"> </w:t>
      </w:r>
      <w:r w:rsidR="005C1540">
        <w:t xml:space="preserve">The pre-PBAC response (p2) stated that a risk management plan is in place to monitor all identified and potential risks as well as nurse educators across Australia to provide training on safe infusions. </w:t>
      </w:r>
      <w:r w:rsidR="00F410D7" w:rsidRPr="0051126C">
        <w:rPr>
          <w:color w:val="000000" w:themeColor="text1"/>
        </w:rPr>
        <w:t>The</w:t>
      </w:r>
      <w:r w:rsidR="00E74283" w:rsidRPr="00E74283">
        <w:t xml:space="preserve"> </w:t>
      </w:r>
      <w:r w:rsidR="00E74283" w:rsidRPr="00B50C71">
        <w:t xml:space="preserve">PBAC </w:t>
      </w:r>
      <w:r w:rsidR="00CE0CB6">
        <w:t>was concerned that the modest gain in PFS may be offset by the toxicity profile of obinutuzumab.</w:t>
      </w:r>
      <w:r w:rsidR="00A07559">
        <w:t xml:space="preserve"> </w:t>
      </w:r>
    </w:p>
    <w:p w:rsidR="00686B8B" w:rsidRPr="004267F6" w:rsidRDefault="00686B8B" w:rsidP="00A375D6">
      <w:pPr>
        <w:pStyle w:val="ListParagraph"/>
        <w:numPr>
          <w:ilvl w:val="1"/>
          <w:numId w:val="1"/>
        </w:numPr>
        <w:ind w:left="709" w:hanging="709"/>
        <w:jc w:val="both"/>
      </w:pPr>
      <w:r w:rsidRPr="004267F6">
        <w:t>The submission also stated (p97) that clinically meaningful and sustained improvements in health-related quality of life were observed in GALLIUM.</w:t>
      </w:r>
      <w:r w:rsidR="00A07559">
        <w:t xml:space="preserve"> </w:t>
      </w:r>
      <w:r w:rsidRPr="004267F6">
        <w:t>The submission added that these results suggested that lymphoma-related symptoms were reduced by both treatments and that the resulting improvements in well-being were not nullified by treatment-related side effects and these results supported the relative benefit of obinutuzumab+chemotherapy over rituximab+chemotherapy.</w:t>
      </w:r>
      <w:r w:rsidR="00A07559">
        <w:t xml:space="preserve"> </w:t>
      </w:r>
      <w:r w:rsidR="00604A84" w:rsidRPr="004267F6">
        <w:t xml:space="preserve">The </w:t>
      </w:r>
      <w:r w:rsidR="0039402D">
        <w:t xml:space="preserve">PBAC </w:t>
      </w:r>
      <w:r w:rsidR="00604A84" w:rsidRPr="004267F6">
        <w:t>considered</w:t>
      </w:r>
      <w:r w:rsidR="004711BB" w:rsidRPr="004267F6">
        <w:t xml:space="preserve"> that the quality of life</w:t>
      </w:r>
      <w:r w:rsidR="005B3E49" w:rsidRPr="004267F6">
        <w:t xml:space="preserve"> data </w:t>
      </w:r>
      <w:r w:rsidR="00F1748B" w:rsidRPr="004267F6">
        <w:t>were potentially</w:t>
      </w:r>
      <w:r w:rsidR="007A2280" w:rsidRPr="004267F6">
        <w:t xml:space="preserve"> biased in this open-</w:t>
      </w:r>
      <w:r w:rsidR="005B3E49" w:rsidRPr="004267F6">
        <w:t>label study, and</w:t>
      </w:r>
      <w:r w:rsidR="00604A84" w:rsidRPr="004267F6">
        <w:t xml:space="preserve"> noted</w:t>
      </w:r>
      <w:r w:rsidR="004711BB" w:rsidRPr="004267F6">
        <w:t xml:space="preserve"> that no benefit in quality of life</w:t>
      </w:r>
      <w:r w:rsidR="005B3E49" w:rsidRPr="004267F6">
        <w:t xml:space="preserve"> was observed with obinutu</w:t>
      </w:r>
      <w:r w:rsidR="00D64517" w:rsidRPr="004267F6">
        <w:t xml:space="preserve">zumab compared to rituximab. </w:t>
      </w:r>
      <w:r w:rsidRPr="004267F6">
        <w:t>The submission did not provide any statistical comparisons of the quality of life scales used in the submission (FACT-Lym and EQ-5D).</w:t>
      </w:r>
      <w:r w:rsidR="0039402D">
        <w:t xml:space="preserve"> </w:t>
      </w:r>
    </w:p>
    <w:p w:rsidR="00D31DA0" w:rsidRPr="004267F6" w:rsidRDefault="005E7976" w:rsidP="00A375D6">
      <w:pPr>
        <w:pStyle w:val="ListParagraph"/>
        <w:numPr>
          <w:ilvl w:val="1"/>
          <w:numId w:val="1"/>
        </w:numPr>
        <w:ind w:left="709" w:hanging="709"/>
        <w:jc w:val="both"/>
      </w:pPr>
      <w:r w:rsidRPr="004267F6">
        <w:t xml:space="preserve">The </w:t>
      </w:r>
      <w:r w:rsidR="00D537E2">
        <w:t>PBAC</w:t>
      </w:r>
      <w:r w:rsidRPr="004267F6">
        <w:t xml:space="preserve"> considered that the applicability of results of GALLIUM trial to PBS population, particularly with respect to risk of toxicity</w:t>
      </w:r>
      <w:r w:rsidR="001F0F67">
        <w:t>,</w:t>
      </w:r>
      <w:r w:rsidRPr="004267F6">
        <w:t xml:space="preserve"> is not clear. </w:t>
      </w:r>
      <w:r w:rsidR="004E48FE">
        <w:t xml:space="preserve">Citing the IPSOS Oncology Monitor (2017) the submission (p92) indicated that Australian patients had a mean age of </w:t>
      </w:r>
      <w:r w:rsidR="00CD21DA">
        <w:rPr>
          <w:noProof/>
          <w:color w:val="000000"/>
          <w:highlight w:val="black"/>
        </w:rPr>
        <w:t>''''''</w:t>
      </w:r>
      <w:r w:rsidR="004E48FE">
        <w:t xml:space="preserve"> years with </w:t>
      </w:r>
      <w:r w:rsidR="00CD21DA">
        <w:rPr>
          <w:noProof/>
          <w:color w:val="000000"/>
          <w:highlight w:val="black"/>
        </w:rPr>
        <w:t>'''''</w:t>
      </w:r>
      <w:r w:rsidR="004E48FE" w:rsidRPr="004267F6">
        <w:t xml:space="preserve">% </w:t>
      </w:r>
      <w:r w:rsidR="004E48FE">
        <w:t>reporting</w:t>
      </w:r>
      <w:r w:rsidR="004E48FE" w:rsidRPr="004267F6">
        <w:t xml:space="preserve"> at least one co-morbidity, most often cardiovascular. </w:t>
      </w:r>
      <w:r w:rsidR="004E48FE">
        <w:t xml:space="preserve">The PBAC noted that the intended </w:t>
      </w:r>
      <w:r w:rsidRPr="004267F6">
        <w:t>PBS</w:t>
      </w:r>
      <w:r w:rsidR="00D95BA2" w:rsidRPr="004267F6">
        <w:t xml:space="preserve"> population </w:t>
      </w:r>
      <w:r w:rsidR="004E48FE" w:rsidRPr="00A375D6">
        <w:rPr>
          <w:rFonts w:cs="Arial"/>
          <w:bCs/>
          <w:snapToGrid w:val="0"/>
        </w:rPr>
        <w:t>was</w:t>
      </w:r>
      <w:r w:rsidR="00D95BA2" w:rsidRPr="004267F6">
        <w:t xml:space="preserve"> </w:t>
      </w:r>
      <w:r w:rsidR="00CF4A41">
        <w:t>o</w:t>
      </w:r>
      <w:r w:rsidR="004E48FE">
        <w:t>n</w:t>
      </w:r>
      <w:r w:rsidR="00D95BA2" w:rsidRPr="004267F6">
        <w:t xml:space="preserve"> average age </w:t>
      </w:r>
      <w:r w:rsidR="00CD21DA">
        <w:rPr>
          <w:noProof/>
          <w:color w:val="000000"/>
          <w:highlight w:val="black"/>
        </w:rPr>
        <w:t>'''</w:t>
      </w:r>
      <w:r w:rsidRPr="004267F6">
        <w:t xml:space="preserve"> years older than the trial population</w:t>
      </w:r>
      <w:r w:rsidR="004E48FE">
        <w:t xml:space="preserve"> (mean age 57.9 years)</w:t>
      </w:r>
      <w:r w:rsidRPr="004267F6">
        <w:t xml:space="preserve">. </w:t>
      </w:r>
      <w:r w:rsidR="00330BE9">
        <w:t>The PBAC considered</w:t>
      </w:r>
      <w:r w:rsidR="00404F9C">
        <w:t xml:space="preserve"> that given these characteristics,</w:t>
      </w:r>
      <w:r w:rsidR="00330BE9">
        <w:t xml:space="preserve"> the toxicity would </w:t>
      </w:r>
      <w:r w:rsidR="00CF4A41">
        <w:t xml:space="preserve">be </w:t>
      </w:r>
      <w:r w:rsidR="00330BE9">
        <w:t>expected to be higher in the Australian PBS population</w:t>
      </w:r>
      <w:r w:rsidR="00404F9C">
        <w:t>.</w:t>
      </w:r>
    </w:p>
    <w:p w:rsidR="00AC6DDB" w:rsidRDefault="004377B6" w:rsidP="00A375D6">
      <w:pPr>
        <w:pStyle w:val="ListParagraph"/>
        <w:numPr>
          <w:ilvl w:val="1"/>
          <w:numId w:val="1"/>
        </w:numPr>
        <w:ind w:left="709" w:hanging="709"/>
        <w:jc w:val="both"/>
      </w:pPr>
      <w:r w:rsidRPr="004267F6">
        <w:t xml:space="preserve">On the basis of the results provided in GALLIUM, it may not be reasonable to consider that the </w:t>
      </w:r>
      <w:r w:rsidRPr="00A375D6">
        <w:rPr>
          <w:rFonts w:cs="Arial"/>
          <w:bCs/>
          <w:snapToGrid w:val="0"/>
        </w:rPr>
        <w:t>favourable</w:t>
      </w:r>
      <w:r w:rsidRPr="004267F6">
        <w:t xml:space="preserve"> PFS results represent a direct clinical benefit or </w:t>
      </w:r>
      <w:r w:rsidR="00DF14C6" w:rsidRPr="004267F6">
        <w:t xml:space="preserve">an </w:t>
      </w:r>
      <w:r w:rsidRPr="004267F6">
        <w:t>acceptable surrogate for clinical benefit.</w:t>
      </w:r>
      <w:r w:rsidR="00A07559">
        <w:t xml:space="preserve"> </w:t>
      </w:r>
      <w:r w:rsidRPr="004267F6">
        <w:t xml:space="preserve">While the PBAC consideration of obinutuzumab for treatment of rituximab-refractory follicular lymphoma in November 2016, </w:t>
      </w:r>
      <w:r w:rsidR="00E946C0" w:rsidRPr="004267F6">
        <w:t>considered despite limited follow up (24 months and med</w:t>
      </w:r>
      <w:r w:rsidR="00C363D2" w:rsidRPr="004267F6">
        <w:t>ian</w:t>
      </w:r>
      <w:r w:rsidR="00E946C0" w:rsidRPr="004267F6">
        <w:t xml:space="preserve"> survival not reached) </w:t>
      </w:r>
      <w:r w:rsidRPr="004267F6">
        <w:t xml:space="preserve">obinutuzumab was likely to demonstrate an </w:t>
      </w:r>
      <w:r w:rsidR="008B6549" w:rsidRPr="004267F6">
        <w:t>OS</w:t>
      </w:r>
      <w:r w:rsidRPr="004267F6">
        <w:t xml:space="preserve"> benefit with additional follow-up (paragraph 7.5, November 2016 obinutuzumab PSD)</w:t>
      </w:r>
      <w:r w:rsidR="00857F8F" w:rsidRPr="004267F6">
        <w:t xml:space="preserve">, it was </w:t>
      </w:r>
      <w:r w:rsidR="00E946C0" w:rsidRPr="004267F6">
        <w:t xml:space="preserve">uncertain whether the same could be concluded from </w:t>
      </w:r>
      <w:r w:rsidRPr="004267F6">
        <w:t>the GALLIUM trial</w:t>
      </w:r>
      <w:r w:rsidR="00857F8F" w:rsidRPr="004267F6">
        <w:t>.</w:t>
      </w:r>
      <w:r w:rsidR="00A07559">
        <w:t xml:space="preserve"> </w:t>
      </w:r>
      <w:r w:rsidR="00857F8F" w:rsidRPr="004267F6">
        <w:t xml:space="preserve">The GALLIUM trial reported no </w:t>
      </w:r>
      <w:r w:rsidR="008E1301" w:rsidRPr="004267F6">
        <w:t xml:space="preserve">difference in OS </w:t>
      </w:r>
      <w:r w:rsidR="00857F8F" w:rsidRPr="004267F6">
        <w:t xml:space="preserve">at </w:t>
      </w:r>
      <w:r w:rsidR="008E1301" w:rsidRPr="004267F6">
        <w:t xml:space="preserve">a </w:t>
      </w:r>
      <w:r w:rsidRPr="004267F6">
        <w:t xml:space="preserve">median </w:t>
      </w:r>
      <w:r w:rsidR="008E1301" w:rsidRPr="004267F6">
        <w:t xml:space="preserve">follow up of </w:t>
      </w:r>
      <w:r w:rsidRPr="004267F6">
        <w:t>41.1 months</w:t>
      </w:r>
      <w:r w:rsidR="004F6EE1" w:rsidRPr="004267F6">
        <w:t xml:space="preserve"> (less than </w:t>
      </w:r>
      <w:r w:rsidR="00CD21DA">
        <w:rPr>
          <w:noProof/>
          <w:color w:val="000000"/>
          <w:highlight w:val="black"/>
        </w:rPr>
        <w:t>''''''</w:t>
      </w:r>
      <w:r w:rsidR="004F6EE1" w:rsidRPr="004267F6">
        <w:t>% of patients had died in each arm as of the September 2016 data cut</w:t>
      </w:r>
      <w:r w:rsidR="00E946C0" w:rsidRPr="004267F6">
        <w:t>)</w:t>
      </w:r>
      <w:r w:rsidRPr="004267F6">
        <w:t xml:space="preserve">. </w:t>
      </w:r>
      <w:r w:rsidR="00621B38">
        <w:t xml:space="preserve">The </w:t>
      </w:r>
      <w:r w:rsidR="00BC4419">
        <w:t>PBAC</w:t>
      </w:r>
      <w:r w:rsidR="00E171C6" w:rsidRPr="004267F6">
        <w:t xml:space="preserve"> considered the clinical significance of the change in PFS to be </w:t>
      </w:r>
      <w:r w:rsidR="00BC4419">
        <w:t>uncertain</w:t>
      </w:r>
      <w:r w:rsidR="0004497E">
        <w:t>,</w:t>
      </w:r>
      <w:r w:rsidR="00E171C6" w:rsidRPr="004267F6">
        <w:t xml:space="preserve"> as no benefit in quality of life was observed with obinutuzumab compared with rituximab</w:t>
      </w:r>
      <w:r w:rsidR="00D95BA2" w:rsidRPr="004267F6">
        <w:t>.</w:t>
      </w:r>
      <w:r w:rsidR="00AA6545">
        <w:t xml:space="preserve"> </w:t>
      </w:r>
      <w:r w:rsidR="00AA6545" w:rsidRPr="00AA6545">
        <w:t xml:space="preserve">The PBAC noted there was a modest improvement in PFS without </w:t>
      </w:r>
      <w:r w:rsidR="00BC4419">
        <w:t xml:space="preserve">a </w:t>
      </w:r>
      <w:r w:rsidR="00AA6545" w:rsidRPr="00AA6545">
        <w:t>demonstrated survival benefit</w:t>
      </w:r>
      <w:r w:rsidR="00672403">
        <w:t>.</w:t>
      </w:r>
      <w:r w:rsidR="00AA6545" w:rsidRPr="00AA6545">
        <w:t xml:space="preserve"> The PBAC </w:t>
      </w:r>
      <w:r w:rsidR="00A934F4">
        <w:t xml:space="preserve">agreed with the pre-PBAC response (pp2-3) </w:t>
      </w:r>
      <w:r w:rsidR="003E7DC6">
        <w:t>that</w:t>
      </w:r>
      <w:r w:rsidR="00AA6545" w:rsidRPr="00AA6545">
        <w:t xml:space="preserve"> PFS is a</w:t>
      </w:r>
      <w:r w:rsidR="0004497E">
        <w:t xml:space="preserve"> potentially</w:t>
      </w:r>
      <w:r w:rsidR="00AA6545" w:rsidRPr="00AA6545">
        <w:t xml:space="preserve"> important endpoint in indolent diseases</w:t>
      </w:r>
      <w:r w:rsidR="00641CBB">
        <w:t xml:space="preserve">. However, the PBAC </w:t>
      </w:r>
      <w:r w:rsidR="00043F2E">
        <w:t xml:space="preserve">reiterated its concern that the modest gain in PFS may be offset by the toxicity profile of obinutuzumab. </w:t>
      </w:r>
    </w:p>
    <w:p w:rsidR="00144F1E" w:rsidRPr="00144F1E" w:rsidRDefault="009C765C" w:rsidP="00A375D6">
      <w:pPr>
        <w:pStyle w:val="ListParagraph"/>
        <w:numPr>
          <w:ilvl w:val="1"/>
          <w:numId w:val="1"/>
        </w:numPr>
        <w:ind w:left="709" w:hanging="709"/>
        <w:jc w:val="both"/>
      </w:pPr>
      <w:r w:rsidRPr="00144F1E">
        <w:t xml:space="preserve">The PBAC </w:t>
      </w:r>
      <w:r w:rsidR="0085036F" w:rsidRPr="00144F1E">
        <w:t xml:space="preserve">considered that the claim of </w:t>
      </w:r>
      <w:r w:rsidR="001B6F6E">
        <w:t xml:space="preserve">clinically significant </w:t>
      </w:r>
      <w:r w:rsidR="0085036F" w:rsidRPr="00144F1E">
        <w:t>superior comparative effectiveness in terms of PFS of</w:t>
      </w:r>
      <w:r w:rsidR="00611A02" w:rsidRPr="00144F1E">
        <w:t xml:space="preserve"> </w:t>
      </w:r>
      <w:r w:rsidR="0085036F" w:rsidRPr="0085036F">
        <w:t>obinutuzumab</w:t>
      </w:r>
      <w:r w:rsidR="001572A5">
        <w:t>+chemotherapy</w:t>
      </w:r>
      <w:r w:rsidR="0085036F" w:rsidRPr="0085036F">
        <w:t xml:space="preserve"> </w:t>
      </w:r>
      <w:r w:rsidR="001572A5">
        <w:t>compared with rituximab+chemotherapy</w:t>
      </w:r>
      <w:r w:rsidR="0085036F" w:rsidRPr="0085036F">
        <w:t xml:space="preserve"> in patients with previously untreated advanced follicular lymphoma</w:t>
      </w:r>
      <w:r w:rsidR="0085036F">
        <w:t xml:space="preserve"> </w:t>
      </w:r>
      <w:r w:rsidR="0085036F" w:rsidRPr="00144F1E">
        <w:t>was not adequately supported by the data.</w:t>
      </w:r>
      <w:r w:rsidR="00144F1E" w:rsidRPr="00144F1E">
        <w:t xml:space="preserve"> </w:t>
      </w:r>
      <w:r w:rsidR="00144F1E">
        <w:t xml:space="preserve">The </w:t>
      </w:r>
      <w:r w:rsidR="00144F1E" w:rsidRPr="00144F1E">
        <w:t>PBAC was concerned that the modest gain in PFS over rituximab may be offset by increases in serious AEs. In addition, the PBAC noted that no difference in OS or health-related quality of life measures was demonstrated between treatment arms.</w:t>
      </w:r>
    </w:p>
    <w:p w:rsidR="001F2E07" w:rsidRPr="0085036F" w:rsidRDefault="009C765C" w:rsidP="00A375D6">
      <w:pPr>
        <w:pStyle w:val="ListParagraph"/>
        <w:numPr>
          <w:ilvl w:val="1"/>
          <w:numId w:val="1"/>
        </w:numPr>
        <w:ind w:left="709" w:hanging="709"/>
        <w:jc w:val="both"/>
      </w:pPr>
      <w:r>
        <w:rPr>
          <w:rFonts w:cs="Arial"/>
          <w:snapToGrid w:val="0"/>
          <w:szCs w:val="20"/>
        </w:rPr>
        <w:t xml:space="preserve">The PBAC </w:t>
      </w:r>
      <w:r w:rsidR="0085036F" w:rsidRPr="0085036F">
        <w:rPr>
          <w:rFonts w:cs="Arial"/>
          <w:snapToGrid w:val="0"/>
          <w:szCs w:val="20"/>
        </w:rPr>
        <w:t xml:space="preserve">considered that the claim of inferior comparative safety </w:t>
      </w:r>
      <w:r w:rsidR="00EA696C">
        <w:rPr>
          <w:rFonts w:cs="Arial"/>
          <w:snapToGrid w:val="0"/>
          <w:szCs w:val="20"/>
        </w:rPr>
        <w:t xml:space="preserve">of </w:t>
      </w:r>
      <w:r w:rsidR="00EA696C" w:rsidRPr="0085036F">
        <w:t>obinutuzumab</w:t>
      </w:r>
      <w:r w:rsidR="00EA696C">
        <w:t>+chemotherapy</w:t>
      </w:r>
      <w:r w:rsidR="00EA696C" w:rsidRPr="0085036F">
        <w:t xml:space="preserve"> </w:t>
      </w:r>
      <w:r w:rsidR="00EA696C">
        <w:t>compared with rituximab+chemotherapy</w:t>
      </w:r>
      <w:r w:rsidR="00EA696C" w:rsidRPr="0085036F">
        <w:t xml:space="preserve"> </w:t>
      </w:r>
      <w:r w:rsidR="0085036F" w:rsidRPr="0085036F">
        <w:rPr>
          <w:rFonts w:cs="Arial"/>
          <w:snapToGrid w:val="0"/>
          <w:szCs w:val="20"/>
        </w:rPr>
        <w:t>was supported by the data.</w:t>
      </w:r>
      <w:r w:rsidR="001847E7">
        <w:rPr>
          <w:rFonts w:cs="Arial"/>
          <w:snapToGrid w:val="0"/>
          <w:szCs w:val="20"/>
        </w:rPr>
        <w:t xml:space="preserve"> </w:t>
      </w:r>
    </w:p>
    <w:p w:rsidR="00C317F3" w:rsidRPr="004267F6" w:rsidRDefault="00C317F3" w:rsidP="00772501">
      <w:pPr>
        <w:pStyle w:val="Heading2"/>
        <w:rPr>
          <w:i w:val="0"/>
        </w:rPr>
      </w:pPr>
      <w:bookmarkStart w:id="24" w:name="_Toc413139282"/>
      <w:bookmarkStart w:id="25" w:name="_Toc365635915"/>
      <w:r w:rsidRPr="004267F6">
        <w:rPr>
          <w:i w:val="0"/>
        </w:rPr>
        <w:t>Economic analysis</w:t>
      </w:r>
      <w:bookmarkEnd w:id="24"/>
      <w:bookmarkEnd w:id="25"/>
    </w:p>
    <w:p w:rsidR="002A22E2" w:rsidRPr="004267F6" w:rsidRDefault="00A2237B" w:rsidP="00A375D6">
      <w:pPr>
        <w:pStyle w:val="ListParagraph"/>
        <w:numPr>
          <w:ilvl w:val="1"/>
          <w:numId w:val="1"/>
        </w:numPr>
        <w:ind w:left="709" w:hanging="709"/>
        <w:jc w:val="both"/>
      </w:pPr>
      <w:r w:rsidRPr="004267F6">
        <w:t xml:space="preserve">The submission presented a stepped economic evaluation, based on the </w:t>
      </w:r>
      <w:r w:rsidRPr="00A375D6">
        <w:rPr>
          <w:rFonts w:cs="Arial"/>
          <w:bCs/>
          <w:snapToGrid w:val="0"/>
        </w:rPr>
        <w:t>GALLIUM</w:t>
      </w:r>
      <w:r w:rsidRPr="004267F6">
        <w:t xml:space="preserve"> trial using extrapolation of trial data and employing a five health state Markov model.</w:t>
      </w:r>
      <w:r w:rsidR="002A22E2" w:rsidRPr="004267F6">
        <w:t xml:space="preserve"> </w:t>
      </w:r>
      <w:r w:rsidRPr="004267F6">
        <w:rPr>
          <w:rFonts w:ascii="Calibri" w:eastAsia="Calibri" w:hAnsi="Calibri" w:cs="Arial"/>
        </w:rPr>
        <w:t>The type of economic evaluation presented was a cost-utility analysis.</w:t>
      </w:r>
      <w:r w:rsidR="00A07559">
        <w:rPr>
          <w:rFonts w:ascii="Calibri" w:eastAsia="Calibri" w:hAnsi="Calibri" w:cs="Arial"/>
        </w:rPr>
        <w:t xml:space="preserve"> </w:t>
      </w:r>
      <w:r w:rsidRPr="004267F6">
        <w:rPr>
          <w:rFonts w:ascii="Calibri" w:eastAsia="Calibri" w:hAnsi="Calibri" w:cs="Arial"/>
        </w:rPr>
        <w:t xml:space="preserve">A summary of the model structure is provided in </w:t>
      </w:r>
      <w:r w:rsidR="002A22E2" w:rsidRPr="004267F6">
        <w:rPr>
          <w:rFonts w:ascii="Calibri" w:eastAsia="Calibri" w:hAnsi="Calibri" w:cs="Arial"/>
        </w:rPr>
        <w:t>Table 7</w:t>
      </w:r>
      <w:r w:rsidRPr="004267F6">
        <w:rPr>
          <w:rFonts w:ascii="Calibri" w:eastAsia="Calibri" w:hAnsi="Calibri" w:cs="Arial"/>
        </w:rPr>
        <w:t>.</w:t>
      </w:r>
      <w:r w:rsidR="006301D2" w:rsidRPr="004267F6">
        <w:rPr>
          <w:rFonts w:ascii="Calibri" w:eastAsia="Calibri" w:hAnsi="Calibri" w:cs="Arial"/>
        </w:rPr>
        <w:t xml:space="preserve"> </w:t>
      </w:r>
      <w:r w:rsidR="006301D2" w:rsidRPr="004267F6">
        <w:t xml:space="preserve">The </w:t>
      </w:r>
      <w:r w:rsidR="00166BD4">
        <w:t xml:space="preserve">PBAC </w:t>
      </w:r>
      <w:r w:rsidR="006301D2" w:rsidRPr="004267F6">
        <w:t>considered the model structure to be appropriate.</w:t>
      </w:r>
      <w:r w:rsidR="00166BD4">
        <w:t xml:space="preserve"> </w:t>
      </w:r>
    </w:p>
    <w:p w:rsidR="00C50E92" w:rsidRPr="00591EA6" w:rsidRDefault="00C50E92" w:rsidP="00066EF4">
      <w:pPr>
        <w:keepNext/>
        <w:keepLines/>
        <w:spacing w:before="0" w:after="0"/>
        <w:jc w:val="both"/>
      </w:pPr>
      <w:r w:rsidRPr="00591EA6">
        <w:rPr>
          <w:rStyle w:val="CommentReference"/>
          <w:rFonts w:ascii="Arial Narrow" w:hAnsi="Arial Narrow"/>
          <w:b/>
          <w:sz w:val="20"/>
          <w:szCs w:val="20"/>
        </w:rPr>
        <w:t>Table 7: Summary of the model structure and rationale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the model structure and rationale"/>
      </w:tblPr>
      <w:tblGrid>
        <w:gridCol w:w="1371"/>
        <w:gridCol w:w="2271"/>
        <w:gridCol w:w="4874"/>
      </w:tblGrid>
      <w:tr w:rsidR="00C50E92" w:rsidRPr="00591EA6" w:rsidTr="00D6033C">
        <w:trPr>
          <w:cnfStyle w:val="100000000000" w:firstRow="1" w:lastRow="0" w:firstColumn="0" w:lastColumn="0" w:oddVBand="0" w:evenVBand="0" w:oddHBand="0" w:evenHBand="0" w:firstRowFirstColumn="0" w:firstRowLastColumn="0" w:lastRowFirstColumn="0" w:lastRowLastColumn="0"/>
          <w:tblHeader/>
        </w:trPr>
        <w:tc>
          <w:tcPr>
            <w:tcW w:w="1413"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Component</w:t>
            </w:r>
          </w:p>
        </w:tc>
        <w:tc>
          <w:tcPr>
            <w:tcW w:w="2410"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Description</w:t>
            </w:r>
          </w:p>
        </w:tc>
        <w:tc>
          <w:tcPr>
            <w:tcW w:w="5357" w:type="dxa"/>
            <w:shd w:val="clear" w:color="auto" w:fill="auto"/>
            <w:vAlign w:val="center"/>
          </w:tcPr>
          <w:p w:rsidR="00C50E92" w:rsidRPr="00591EA6" w:rsidRDefault="00C50E92" w:rsidP="00066EF4">
            <w:pPr>
              <w:keepNext/>
              <w:keepLines/>
              <w:spacing w:before="0"/>
              <w:jc w:val="center"/>
              <w:rPr>
                <w:rFonts w:ascii="Arial Narrow" w:hAnsi="Arial Narrow"/>
                <w:sz w:val="20"/>
                <w:szCs w:val="20"/>
              </w:rPr>
            </w:pPr>
            <w:r w:rsidRPr="00591EA6">
              <w:rPr>
                <w:rFonts w:ascii="Arial Narrow" w:hAnsi="Arial Narrow"/>
                <w:sz w:val="20"/>
                <w:szCs w:val="20"/>
              </w:rPr>
              <w:t>Justification/comments</w:t>
            </w:r>
          </w:p>
        </w:tc>
      </w:tr>
      <w:tr w:rsidR="00C50E92" w:rsidRPr="00591EA6" w:rsidTr="00C50E92">
        <w:tc>
          <w:tcPr>
            <w:tcW w:w="1413"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 xml:space="preserve">Type of analysis </w:t>
            </w:r>
          </w:p>
        </w:tc>
        <w:tc>
          <w:tcPr>
            <w:tcW w:w="2410"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Cost-utility analysis</w:t>
            </w:r>
          </w:p>
        </w:tc>
        <w:tc>
          <w:tcPr>
            <w:tcW w:w="5357" w:type="dxa"/>
            <w:shd w:val="clear" w:color="auto" w:fill="auto"/>
            <w:vAlign w:val="center"/>
          </w:tcPr>
          <w:p w:rsidR="00C50E92" w:rsidRPr="00591EA6" w:rsidRDefault="00C50E92" w:rsidP="00066EF4">
            <w:pPr>
              <w:keepNext/>
              <w:keepLines/>
              <w:spacing w:before="0"/>
              <w:jc w:val="both"/>
              <w:rPr>
                <w:rFonts w:ascii="Arial Narrow" w:hAnsi="Arial Narrow"/>
                <w:sz w:val="20"/>
                <w:szCs w:val="20"/>
              </w:rPr>
            </w:pPr>
            <w:r w:rsidRPr="00591EA6">
              <w:rPr>
                <w:rFonts w:ascii="Arial Narrow" w:hAnsi="Arial Narrow"/>
                <w:sz w:val="20"/>
                <w:szCs w:val="20"/>
              </w:rPr>
              <w:t>This was appropriate.</w:t>
            </w:r>
          </w:p>
        </w:tc>
      </w:tr>
      <w:tr w:rsidR="00C50E92" w:rsidRPr="00591EA6" w:rsidTr="00C50E92">
        <w:tc>
          <w:tcPr>
            <w:tcW w:w="1413"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Outcomes</w:t>
            </w:r>
          </w:p>
        </w:tc>
        <w:tc>
          <w:tcPr>
            <w:tcW w:w="2410"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Life years gained (LYG); quality-adjusted life years (QALYs)</w:t>
            </w:r>
          </w:p>
        </w:tc>
        <w:tc>
          <w:tcPr>
            <w:tcW w:w="5357" w:type="dxa"/>
            <w:shd w:val="clear" w:color="auto" w:fill="auto"/>
            <w:vAlign w:val="center"/>
          </w:tcPr>
          <w:p w:rsidR="00C50E92" w:rsidRPr="00591EA6" w:rsidRDefault="00C50E92" w:rsidP="00066EF4">
            <w:pPr>
              <w:keepNext/>
              <w:keepLines/>
              <w:spacing w:before="0"/>
              <w:jc w:val="both"/>
              <w:rPr>
                <w:rFonts w:ascii="Arial Narrow" w:hAnsi="Arial Narrow"/>
                <w:sz w:val="20"/>
                <w:szCs w:val="20"/>
              </w:rPr>
            </w:pPr>
            <w:r w:rsidRPr="00591EA6">
              <w:rPr>
                <w:rFonts w:ascii="Arial Narrow" w:hAnsi="Arial Narrow"/>
                <w:sz w:val="20"/>
                <w:szCs w:val="20"/>
              </w:rPr>
              <w:t>This was appropriate.</w:t>
            </w:r>
          </w:p>
        </w:tc>
      </w:tr>
      <w:tr w:rsidR="00C50E92" w:rsidRPr="00591EA6" w:rsidTr="00C50E92">
        <w:tc>
          <w:tcPr>
            <w:tcW w:w="1413"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Time horizon</w:t>
            </w:r>
          </w:p>
        </w:tc>
        <w:tc>
          <w:tcPr>
            <w:tcW w:w="2410"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20 years</w:t>
            </w:r>
          </w:p>
        </w:tc>
        <w:tc>
          <w:tcPr>
            <w:tcW w:w="5357" w:type="dxa"/>
            <w:shd w:val="clear" w:color="auto" w:fill="auto"/>
            <w:vAlign w:val="center"/>
          </w:tcPr>
          <w:p w:rsidR="00C50E92" w:rsidRPr="00591EA6" w:rsidRDefault="00C50E92" w:rsidP="0095194B">
            <w:pPr>
              <w:keepNext/>
              <w:keepLines/>
              <w:spacing w:before="0"/>
              <w:jc w:val="both"/>
              <w:rPr>
                <w:rFonts w:ascii="Arial Narrow" w:hAnsi="Arial Narrow"/>
                <w:sz w:val="20"/>
                <w:szCs w:val="20"/>
              </w:rPr>
            </w:pPr>
            <w:r w:rsidRPr="00591EA6">
              <w:rPr>
                <w:rFonts w:ascii="Arial Narrow" w:hAnsi="Arial Narrow"/>
                <w:sz w:val="20"/>
                <w:szCs w:val="20"/>
              </w:rPr>
              <w:t>AIHW and SEER data were cited by the submission (p107) to support the use of a 20 year time horizon, as well as the July 2015 PBAC submission for bendamustine which used a 20 year model.</w:t>
            </w:r>
            <w:r w:rsidR="00A07559">
              <w:rPr>
                <w:rFonts w:ascii="Arial Narrow" w:hAnsi="Arial Narrow"/>
                <w:sz w:val="20"/>
                <w:szCs w:val="20"/>
              </w:rPr>
              <w:t xml:space="preserve"> </w:t>
            </w:r>
            <w:r w:rsidRPr="00591EA6">
              <w:rPr>
                <w:rFonts w:ascii="Arial Narrow" w:hAnsi="Arial Narrow"/>
                <w:sz w:val="20"/>
                <w:szCs w:val="20"/>
              </w:rPr>
              <w:t xml:space="preserve">The 20 year time horizon favoured obinutuzumab (see sensitivity analysis results below) and the submission’s justification of the time horizon </w:t>
            </w:r>
            <w:r w:rsidR="0095194B" w:rsidRPr="00591EA6">
              <w:rPr>
                <w:rFonts w:ascii="Arial Narrow" w:hAnsi="Arial Narrow"/>
                <w:sz w:val="20"/>
                <w:szCs w:val="20"/>
              </w:rPr>
              <w:t>may not be</w:t>
            </w:r>
            <w:r w:rsidRPr="00591EA6">
              <w:rPr>
                <w:rFonts w:ascii="Arial Narrow" w:hAnsi="Arial Narrow"/>
                <w:sz w:val="20"/>
                <w:szCs w:val="20"/>
              </w:rPr>
              <w:t xml:space="preserve"> adequate (see below).</w:t>
            </w:r>
            <w:r w:rsidR="00A07559">
              <w:rPr>
                <w:rFonts w:ascii="Arial Narrow" w:hAnsi="Arial Narrow"/>
                <w:sz w:val="20"/>
                <w:szCs w:val="20"/>
              </w:rPr>
              <w:t xml:space="preserve"> </w:t>
            </w:r>
          </w:p>
        </w:tc>
      </w:tr>
      <w:tr w:rsidR="00C50E92" w:rsidRPr="00591EA6" w:rsidTr="00C50E92">
        <w:tc>
          <w:tcPr>
            <w:tcW w:w="1413"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Methods used to generate results</w:t>
            </w:r>
          </w:p>
        </w:tc>
        <w:tc>
          <w:tcPr>
            <w:tcW w:w="2410"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Markov model</w:t>
            </w:r>
          </w:p>
        </w:tc>
        <w:tc>
          <w:tcPr>
            <w:tcW w:w="5357" w:type="dxa"/>
            <w:shd w:val="clear" w:color="auto" w:fill="auto"/>
            <w:vAlign w:val="center"/>
          </w:tcPr>
          <w:p w:rsidR="00C50E92" w:rsidRPr="00591EA6" w:rsidRDefault="00C50E92" w:rsidP="00066EF4">
            <w:pPr>
              <w:keepNext/>
              <w:keepLines/>
              <w:spacing w:before="0"/>
              <w:jc w:val="both"/>
              <w:rPr>
                <w:rFonts w:ascii="Arial Narrow" w:hAnsi="Arial Narrow"/>
                <w:sz w:val="20"/>
                <w:szCs w:val="20"/>
              </w:rPr>
            </w:pPr>
            <w:r w:rsidRPr="00591EA6">
              <w:rPr>
                <w:rFonts w:ascii="Arial Narrow" w:hAnsi="Arial Narrow"/>
                <w:sz w:val="20"/>
                <w:szCs w:val="20"/>
              </w:rPr>
              <w:t>This was appropriate.</w:t>
            </w:r>
          </w:p>
        </w:tc>
      </w:tr>
      <w:tr w:rsidR="00C50E92" w:rsidRPr="00591EA6" w:rsidTr="00C50E92">
        <w:tc>
          <w:tcPr>
            <w:tcW w:w="1413"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Health states</w:t>
            </w:r>
          </w:p>
        </w:tc>
        <w:tc>
          <w:tcPr>
            <w:tcW w:w="2410" w:type="dxa"/>
            <w:shd w:val="clear" w:color="auto" w:fill="auto"/>
            <w:vAlign w:val="center"/>
          </w:tcPr>
          <w:p w:rsidR="00C50E92" w:rsidRPr="00591EA6" w:rsidRDefault="00C50E92" w:rsidP="00066EF4">
            <w:pPr>
              <w:keepNext/>
              <w:keepLines/>
              <w:tabs>
                <w:tab w:val="left" w:pos="175"/>
              </w:tabs>
              <w:spacing w:before="0"/>
              <w:rPr>
                <w:rFonts w:ascii="Arial Narrow" w:hAnsi="Arial Narrow"/>
                <w:sz w:val="20"/>
                <w:szCs w:val="20"/>
              </w:rPr>
            </w:pPr>
            <w:r w:rsidRPr="00591EA6">
              <w:rPr>
                <w:rFonts w:ascii="Arial Narrow" w:hAnsi="Arial Narrow"/>
                <w:sz w:val="20"/>
                <w:szCs w:val="20"/>
              </w:rPr>
              <w:t>5 health states:</w:t>
            </w:r>
          </w:p>
          <w:p w:rsidR="00C50E92" w:rsidRPr="00591EA6" w:rsidRDefault="00C50E92" w:rsidP="00157984">
            <w:pPr>
              <w:pStyle w:val="ListParagraph"/>
              <w:keepNext/>
              <w:keepLines/>
              <w:numPr>
                <w:ilvl w:val="0"/>
                <w:numId w:val="8"/>
              </w:numPr>
              <w:spacing w:before="0"/>
              <w:ind w:left="175" w:hanging="142"/>
              <w:rPr>
                <w:rFonts w:ascii="Arial Narrow" w:hAnsi="Arial Narrow"/>
                <w:sz w:val="20"/>
                <w:szCs w:val="20"/>
              </w:rPr>
            </w:pPr>
            <w:r w:rsidRPr="00591EA6">
              <w:rPr>
                <w:rFonts w:ascii="Arial Narrow" w:hAnsi="Arial Narrow"/>
                <w:sz w:val="20"/>
                <w:szCs w:val="20"/>
              </w:rPr>
              <w:t>PFS on</w:t>
            </w:r>
            <w:r w:rsidR="00583AE3" w:rsidRPr="00591EA6">
              <w:rPr>
                <w:rFonts w:ascii="Arial Narrow" w:hAnsi="Arial Narrow"/>
                <w:sz w:val="20"/>
                <w:szCs w:val="20"/>
              </w:rPr>
              <w:t>/off</w:t>
            </w:r>
            <w:r w:rsidRPr="00591EA6">
              <w:rPr>
                <w:rFonts w:ascii="Arial Narrow" w:hAnsi="Arial Narrow"/>
                <w:sz w:val="20"/>
                <w:szCs w:val="20"/>
              </w:rPr>
              <w:t xml:space="preserve"> treatment</w:t>
            </w:r>
          </w:p>
          <w:p w:rsidR="00C50E92" w:rsidRPr="00591EA6" w:rsidRDefault="00C50E92" w:rsidP="00157984">
            <w:pPr>
              <w:pStyle w:val="ListParagraph"/>
              <w:keepNext/>
              <w:keepLines/>
              <w:numPr>
                <w:ilvl w:val="0"/>
                <w:numId w:val="8"/>
              </w:numPr>
              <w:spacing w:before="0"/>
              <w:ind w:left="175" w:hanging="142"/>
              <w:rPr>
                <w:rFonts w:ascii="Arial Narrow" w:hAnsi="Arial Narrow"/>
                <w:sz w:val="20"/>
                <w:szCs w:val="20"/>
              </w:rPr>
            </w:pPr>
            <w:r w:rsidRPr="00591EA6">
              <w:rPr>
                <w:rFonts w:ascii="Arial Narrow" w:hAnsi="Arial Narrow"/>
                <w:sz w:val="20"/>
                <w:szCs w:val="20"/>
              </w:rPr>
              <w:t>Asymptomatic progression</w:t>
            </w:r>
          </w:p>
          <w:p w:rsidR="00583AE3" w:rsidRPr="00591EA6" w:rsidRDefault="00C50E92" w:rsidP="00157984">
            <w:pPr>
              <w:pStyle w:val="ListParagraph"/>
              <w:keepNext/>
              <w:keepLines/>
              <w:numPr>
                <w:ilvl w:val="0"/>
                <w:numId w:val="8"/>
              </w:numPr>
              <w:spacing w:before="0"/>
              <w:ind w:left="175" w:hanging="142"/>
              <w:rPr>
                <w:rFonts w:ascii="Arial Narrow" w:hAnsi="Arial Narrow"/>
                <w:sz w:val="20"/>
                <w:szCs w:val="20"/>
              </w:rPr>
            </w:pPr>
            <w:r w:rsidRPr="00591EA6">
              <w:rPr>
                <w:rFonts w:ascii="Arial Narrow" w:hAnsi="Arial Narrow"/>
                <w:sz w:val="20"/>
                <w:szCs w:val="20"/>
              </w:rPr>
              <w:t>Symptomatic progression</w:t>
            </w:r>
          </w:p>
          <w:p w:rsidR="00C50E92" w:rsidRPr="00591EA6" w:rsidRDefault="00583AE3" w:rsidP="00157984">
            <w:pPr>
              <w:pStyle w:val="ListParagraph"/>
              <w:keepNext/>
              <w:keepLines/>
              <w:numPr>
                <w:ilvl w:val="0"/>
                <w:numId w:val="8"/>
              </w:numPr>
              <w:spacing w:before="0"/>
              <w:ind w:left="175" w:hanging="142"/>
              <w:rPr>
                <w:rFonts w:ascii="Arial Narrow" w:hAnsi="Arial Narrow"/>
                <w:sz w:val="20"/>
                <w:szCs w:val="20"/>
              </w:rPr>
            </w:pPr>
            <w:r w:rsidRPr="00591EA6">
              <w:rPr>
                <w:rFonts w:ascii="Arial Narrow" w:hAnsi="Arial Narrow"/>
                <w:sz w:val="20"/>
                <w:szCs w:val="20"/>
              </w:rPr>
              <w:t>Subsequent progression</w:t>
            </w:r>
            <w:r w:rsidR="00C50E92" w:rsidRPr="00591EA6">
              <w:rPr>
                <w:rFonts w:ascii="Arial Narrow" w:hAnsi="Arial Narrow"/>
                <w:sz w:val="20"/>
                <w:szCs w:val="20"/>
              </w:rPr>
              <w:t xml:space="preserve"> </w:t>
            </w:r>
          </w:p>
          <w:p w:rsidR="00C50E92" w:rsidRPr="00591EA6" w:rsidRDefault="00C50E92" w:rsidP="00157984">
            <w:pPr>
              <w:pStyle w:val="ListParagraph"/>
              <w:keepNext/>
              <w:keepLines/>
              <w:numPr>
                <w:ilvl w:val="0"/>
                <w:numId w:val="8"/>
              </w:numPr>
              <w:spacing w:before="0"/>
              <w:ind w:left="175" w:hanging="142"/>
              <w:rPr>
                <w:rFonts w:ascii="Arial Narrow" w:hAnsi="Arial Narrow"/>
                <w:sz w:val="20"/>
                <w:szCs w:val="20"/>
              </w:rPr>
            </w:pPr>
            <w:r w:rsidRPr="00591EA6">
              <w:rPr>
                <w:rFonts w:ascii="Arial Narrow" w:hAnsi="Arial Narrow"/>
                <w:sz w:val="20"/>
                <w:szCs w:val="20"/>
              </w:rPr>
              <w:t>Death</w:t>
            </w:r>
          </w:p>
        </w:tc>
        <w:tc>
          <w:tcPr>
            <w:tcW w:w="5357" w:type="dxa"/>
            <w:shd w:val="clear" w:color="auto" w:fill="auto"/>
            <w:vAlign w:val="center"/>
          </w:tcPr>
          <w:p w:rsidR="00C50E92" w:rsidRPr="00591EA6" w:rsidRDefault="00C50E92" w:rsidP="00580437">
            <w:pPr>
              <w:keepNext/>
              <w:keepLines/>
              <w:spacing w:before="0"/>
              <w:jc w:val="both"/>
              <w:rPr>
                <w:rFonts w:ascii="Arial Narrow" w:hAnsi="Arial Narrow"/>
                <w:sz w:val="20"/>
                <w:szCs w:val="20"/>
              </w:rPr>
            </w:pPr>
            <w:r w:rsidRPr="00591EA6">
              <w:rPr>
                <w:rFonts w:ascii="Arial Narrow" w:hAnsi="Arial Narrow"/>
                <w:sz w:val="20"/>
                <w:szCs w:val="20"/>
              </w:rPr>
              <w:t>The submission indicated (p105) the selected health states aligned with the treatment algorithm, reflected the disease course and was based on previous model structures accepted by the PBAC. The number and type of health states was appropriate although switching to 3 health states</w:t>
            </w:r>
            <w:r w:rsidR="001D43CB" w:rsidRPr="00591EA6">
              <w:rPr>
                <w:rFonts w:ascii="Arial Narrow" w:hAnsi="Arial Narrow"/>
                <w:sz w:val="20"/>
                <w:szCs w:val="20"/>
              </w:rPr>
              <w:t xml:space="preserve"> (progression-free, progression, death)</w:t>
            </w:r>
            <w:r w:rsidRPr="00591EA6">
              <w:rPr>
                <w:rFonts w:ascii="Arial Narrow" w:hAnsi="Arial Narrow"/>
                <w:sz w:val="20"/>
                <w:szCs w:val="20"/>
              </w:rPr>
              <w:t xml:space="preserve"> had minimal impact on the ICER ($</w:t>
            </w:r>
            <w:r w:rsidR="00CD21DA">
              <w:rPr>
                <w:rFonts w:ascii="Arial Narrow" w:hAnsi="Arial Narrow"/>
                <w:noProof/>
                <w:color w:val="000000"/>
                <w:sz w:val="20"/>
                <w:szCs w:val="20"/>
                <w:highlight w:val="black"/>
              </w:rPr>
              <w:t>''''''''''</w:t>
            </w:r>
            <w:r w:rsidR="00580437" w:rsidRPr="00591EA6">
              <w:rPr>
                <w:rFonts w:ascii="Arial Narrow" w:hAnsi="Arial Narrow"/>
                <w:sz w:val="20"/>
                <w:szCs w:val="20"/>
              </w:rPr>
              <w:t xml:space="preserve"> </w:t>
            </w:r>
            <w:r w:rsidRPr="00591EA6">
              <w:rPr>
                <w:rFonts w:ascii="Arial Narrow" w:hAnsi="Arial Narrow"/>
                <w:sz w:val="20"/>
                <w:szCs w:val="20"/>
              </w:rPr>
              <w:t>decrease; see results below).</w:t>
            </w:r>
          </w:p>
        </w:tc>
      </w:tr>
      <w:tr w:rsidR="00C50E92" w:rsidRPr="00591EA6" w:rsidTr="00C50E92">
        <w:tc>
          <w:tcPr>
            <w:tcW w:w="1413"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Cycle length</w:t>
            </w:r>
          </w:p>
        </w:tc>
        <w:tc>
          <w:tcPr>
            <w:tcW w:w="2410"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1 week with half cycle correction</w:t>
            </w:r>
          </w:p>
        </w:tc>
        <w:tc>
          <w:tcPr>
            <w:tcW w:w="5357" w:type="dxa"/>
            <w:shd w:val="clear" w:color="auto" w:fill="auto"/>
            <w:vAlign w:val="center"/>
          </w:tcPr>
          <w:p w:rsidR="00C50E92" w:rsidRPr="00591EA6" w:rsidRDefault="00C50E92" w:rsidP="00066EF4">
            <w:pPr>
              <w:keepNext/>
              <w:keepLines/>
              <w:spacing w:before="0"/>
              <w:jc w:val="both"/>
              <w:rPr>
                <w:rFonts w:ascii="Arial Narrow" w:hAnsi="Arial Narrow"/>
                <w:sz w:val="20"/>
                <w:szCs w:val="20"/>
              </w:rPr>
            </w:pPr>
            <w:r w:rsidRPr="00591EA6">
              <w:rPr>
                <w:rFonts w:ascii="Arial Narrow" w:hAnsi="Arial Narrow"/>
                <w:sz w:val="20"/>
                <w:szCs w:val="20"/>
              </w:rPr>
              <w:t>The submission stated (p108) a half cycle correction was included for completeness.</w:t>
            </w:r>
            <w:r w:rsidR="00A07559">
              <w:rPr>
                <w:rFonts w:ascii="Arial Narrow" w:hAnsi="Arial Narrow"/>
                <w:sz w:val="20"/>
                <w:szCs w:val="20"/>
              </w:rPr>
              <w:t xml:space="preserve"> </w:t>
            </w:r>
            <w:r w:rsidRPr="00591EA6">
              <w:rPr>
                <w:rFonts w:ascii="Arial Narrow" w:hAnsi="Arial Narrow"/>
                <w:sz w:val="20"/>
                <w:szCs w:val="20"/>
              </w:rPr>
              <w:t>This was reasonable.</w:t>
            </w:r>
          </w:p>
        </w:tc>
      </w:tr>
      <w:tr w:rsidR="00C50E92" w:rsidRPr="00591EA6" w:rsidTr="00C50E92">
        <w:tc>
          <w:tcPr>
            <w:tcW w:w="1413"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 xml:space="preserve">Transition probabilities </w:t>
            </w:r>
          </w:p>
        </w:tc>
        <w:tc>
          <w:tcPr>
            <w:tcW w:w="2410" w:type="dxa"/>
            <w:shd w:val="clear" w:color="auto" w:fill="auto"/>
            <w:vAlign w:val="center"/>
          </w:tcPr>
          <w:p w:rsidR="00C50E92" w:rsidRPr="00591EA6" w:rsidRDefault="00C50E92" w:rsidP="00066EF4">
            <w:pPr>
              <w:keepNext/>
              <w:keepLines/>
              <w:spacing w:before="0"/>
              <w:rPr>
                <w:rFonts w:ascii="Arial Narrow" w:hAnsi="Arial Narrow"/>
                <w:sz w:val="20"/>
                <w:szCs w:val="20"/>
              </w:rPr>
            </w:pPr>
            <w:r w:rsidRPr="00591EA6">
              <w:rPr>
                <w:rFonts w:ascii="Arial Narrow" w:hAnsi="Arial Narrow"/>
                <w:sz w:val="20"/>
                <w:szCs w:val="20"/>
              </w:rPr>
              <w:t>Sourced from the GALLIUM trial</w:t>
            </w:r>
          </w:p>
        </w:tc>
        <w:tc>
          <w:tcPr>
            <w:tcW w:w="5357" w:type="dxa"/>
            <w:shd w:val="clear" w:color="auto" w:fill="auto"/>
            <w:vAlign w:val="center"/>
          </w:tcPr>
          <w:p w:rsidR="00CD50DA" w:rsidRPr="00591EA6" w:rsidRDefault="000274F4" w:rsidP="00066EF4">
            <w:pPr>
              <w:keepNext/>
              <w:keepLines/>
              <w:spacing w:before="0"/>
              <w:jc w:val="both"/>
              <w:rPr>
                <w:rFonts w:ascii="Arial Narrow" w:hAnsi="Arial Narrow"/>
                <w:sz w:val="20"/>
                <w:szCs w:val="20"/>
              </w:rPr>
            </w:pPr>
            <w:r w:rsidRPr="00591EA6">
              <w:rPr>
                <w:rFonts w:ascii="Arial Narrow" w:hAnsi="Arial Narrow"/>
                <w:sz w:val="20"/>
                <w:szCs w:val="20"/>
                <w:u w:val="single"/>
              </w:rPr>
              <w:t>Progression-free</w:t>
            </w:r>
            <w:r w:rsidRPr="00591EA6">
              <w:rPr>
                <w:rFonts w:ascii="Arial Narrow" w:hAnsi="Arial Narrow"/>
                <w:sz w:val="20"/>
                <w:szCs w:val="20"/>
              </w:rPr>
              <w:t xml:space="preserve">: </w:t>
            </w:r>
            <w:r w:rsidR="007C7F1B" w:rsidRPr="00591EA6">
              <w:rPr>
                <w:rFonts w:ascii="Arial Narrow" w:hAnsi="Arial Narrow"/>
                <w:sz w:val="20"/>
                <w:szCs w:val="20"/>
              </w:rPr>
              <w:t>Kaplan-Meier estimates from GALLIUM until median follow-up of 41.1 months then parametric survival functions were used for the remainder of the 20 year time horizon.</w:t>
            </w:r>
          </w:p>
          <w:p w:rsidR="007C7F1B" w:rsidRPr="00591EA6" w:rsidRDefault="007C7F1B" w:rsidP="00066EF4">
            <w:pPr>
              <w:keepNext/>
              <w:keepLines/>
              <w:spacing w:before="0"/>
              <w:jc w:val="both"/>
              <w:rPr>
                <w:rFonts w:ascii="Arial Narrow" w:hAnsi="Arial Narrow"/>
                <w:sz w:val="20"/>
                <w:szCs w:val="20"/>
              </w:rPr>
            </w:pPr>
            <w:r w:rsidRPr="00591EA6">
              <w:rPr>
                <w:rFonts w:ascii="Arial Narrow" w:hAnsi="Arial Narrow"/>
                <w:sz w:val="20"/>
                <w:szCs w:val="20"/>
                <w:u w:val="single"/>
              </w:rPr>
              <w:t>PFS to asymptomatic progression</w:t>
            </w:r>
            <w:r w:rsidRPr="00591EA6">
              <w:rPr>
                <w:rFonts w:ascii="Arial Narrow" w:hAnsi="Arial Narrow"/>
                <w:sz w:val="20"/>
                <w:szCs w:val="20"/>
              </w:rPr>
              <w:t>: Proportion of patients leaving PFS minus those who directly transition to symptomatic progression or experienced death</w:t>
            </w:r>
            <w:r w:rsidR="000274F4" w:rsidRPr="00591EA6">
              <w:rPr>
                <w:rFonts w:ascii="Arial Narrow" w:hAnsi="Arial Narrow"/>
                <w:sz w:val="20"/>
                <w:szCs w:val="20"/>
              </w:rPr>
              <w:t>.</w:t>
            </w:r>
          </w:p>
          <w:p w:rsidR="000274F4" w:rsidRPr="00591EA6" w:rsidRDefault="000274F4" w:rsidP="00066EF4">
            <w:pPr>
              <w:keepNext/>
              <w:keepLines/>
              <w:spacing w:before="0"/>
              <w:jc w:val="both"/>
              <w:rPr>
                <w:rFonts w:ascii="Arial Narrow" w:hAnsi="Arial Narrow"/>
                <w:sz w:val="20"/>
                <w:szCs w:val="20"/>
              </w:rPr>
            </w:pPr>
            <w:r w:rsidRPr="00591EA6">
              <w:rPr>
                <w:rFonts w:ascii="Arial Narrow" w:hAnsi="Arial Narrow"/>
                <w:sz w:val="20"/>
                <w:szCs w:val="20"/>
                <w:u w:val="single"/>
              </w:rPr>
              <w:t>PFS to symptomatic progression</w:t>
            </w:r>
            <w:r w:rsidRPr="00591EA6">
              <w:rPr>
                <w:rFonts w:ascii="Arial Narrow" w:hAnsi="Arial Narrow"/>
                <w:sz w:val="20"/>
                <w:szCs w:val="20"/>
              </w:rPr>
              <w:t>: Treatment arm specific probability for time to next anti-lymphoma treatment to the proportion of patients leaving PFS minus those who experienced death.</w:t>
            </w:r>
          </w:p>
          <w:p w:rsidR="000274F4" w:rsidRPr="00591EA6" w:rsidRDefault="00CD4A4D" w:rsidP="00066EF4">
            <w:pPr>
              <w:keepNext/>
              <w:keepLines/>
              <w:spacing w:before="0"/>
              <w:jc w:val="both"/>
              <w:rPr>
                <w:rFonts w:ascii="Arial Narrow" w:hAnsi="Arial Narrow"/>
                <w:sz w:val="20"/>
                <w:szCs w:val="20"/>
              </w:rPr>
            </w:pPr>
            <w:r w:rsidRPr="00591EA6">
              <w:rPr>
                <w:rFonts w:ascii="Arial Narrow" w:hAnsi="Arial Narrow"/>
                <w:sz w:val="20"/>
                <w:szCs w:val="20"/>
                <w:u w:val="single"/>
              </w:rPr>
              <w:t>Asymptomati</w:t>
            </w:r>
            <w:r w:rsidR="000274F4" w:rsidRPr="00591EA6">
              <w:rPr>
                <w:rFonts w:ascii="Arial Narrow" w:hAnsi="Arial Narrow"/>
                <w:sz w:val="20"/>
                <w:szCs w:val="20"/>
                <w:u w:val="single"/>
              </w:rPr>
              <w:t>c progression to symptomatic progression</w:t>
            </w:r>
            <w:r w:rsidR="000274F4" w:rsidRPr="00591EA6">
              <w:rPr>
                <w:rFonts w:ascii="Arial Narrow" w:hAnsi="Arial Narrow"/>
                <w:sz w:val="20"/>
                <w:szCs w:val="20"/>
              </w:rPr>
              <w:t>: Treatment arm specific probability for time to next anti-lymphoma treatment to the proportion of patients remaining in the asymptomatic progression health state minus the patients who experienced death.</w:t>
            </w:r>
          </w:p>
          <w:p w:rsidR="000274F4" w:rsidRPr="00591EA6" w:rsidRDefault="000274F4" w:rsidP="00066EF4">
            <w:pPr>
              <w:keepNext/>
              <w:keepLines/>
              <w:spacing w:before="0"/>
              <w:jc w:val="both"/>
              <w:rPr>
                <w:rFonts w:ascii="Arial Narrow" w:hAnsi="Arial Narrow"/>
                <w:sz w:val="20"/>
                <w:szCs w:val="20"/>
              </w:rPr>
            </w:pPr>
            <w:r w:rsidRPr="00591EA6">
              <w:rPr>
                <w:rFonts w:ascii="Arial Narrow" w:hAnsi="Arial Narrow"/>
                <w:sz w:val="20"/>
                <w:szCs w:val="20"/>
                <w:u w:val="single"/>
              </w:rPr>
              <w:t>PFS to death</w:t>
            </w:r>
            <w:r w:rsidRPr="00591EA6">
              <w:rPr>
                <w:rFonts w:ascii="Arial Narrow" w:hAnsi="Arial Narrow"/>
                <w:sz w:val="20"/>
                <w:szCs w:val="20"/>
              </w:rPr>
              <w:t>: Patients transitioning out of the PFS health state were assumed to experience death or disease progression.</w:t>
            </w:r>
            <w:r w:rsidR="00A07559">
              <w:rPr>
                <w:rFonts w:ascii="Arial Narrow" w:hAnsi="Arial Narrow"/>
                <w:sz w:val="20"/>
                <w:szCs w:val="20"/>
              </w:rPr>
              <w:t xml:space="preserve"> </w:t>
            </w:r>
            <w:r w:rsidRPr="00591EA6">
              <w:rPr>
                <w:rFonts w:ascii="Arial Narrow" w:hAnsi="Arial Narrow"/>
                <w:sz w:val="20"/>
                <w:szCs w:val="20"/>
              </w:rPr>
              <w:t>The probability of death for those who remained progression-free was assumed to be the maximum of either age- or gender-specific background mortality observed in the Australian population or the treatment arm-specific mortality rate observed in PFS in GALLIUM.</w:t>
            </w:r>
            <w:r w:rsidR="00A07559">
              <w:rPr>
                <w:rFonts w:ascii="Arial Narrow" w:hAnsi="Arial Narrow"/>
                <w:sz w:val="20"/>
                <w:szCs w:val="20"/>
              </w:rPr>
              <w:t xml:space="preserve"> </w:t>
            </w:r>
            <w:r w:rsidRPr="00591EA6">
              <w:rPr>
                <w:rFonts w:ascii="Arial Narrow" w:hAnsi="Arial Narrow"/>
                <w:sz w:val="20"/>
                <w:szCs w:val="20"/>
              </w:rPr>
              <w:t>The remainder of patients were assumed to experience disease progression.</w:t>
            </w:r>
          </w:p>
          <w:p w:rsidR="000274F4" w:rsidRPr="00591EA6" w:rsidRDefault="000274F4" w:rsidP="00066EF4">
            <w:pPr>
              <w:keepNext/>
              <w:keepLines/>
              <w:spacing w:before="0"/>
              <w:jc w:val="both"/>
              <w:rPr>
                <w:rFonts w:ascii="Arial Narrow" w:hAnsi="Arial Narrow"/>
                <w:sz w:val="20"/>
                <w:szCs w:val="20"/>
              </w:rPr>
            </w:pPr>
            <w:r w:rsidRPr="00591EA6">
              <w:rPr>
                <w:rFonts w:ascii="Arial Narrow" w:hAnsi="Arial Narrow"/>
                <w:sz w:val="20"/>
                <w:szCs w:val="20"/>
                <w:u w:val="single"/>
              </w:rPr>
              <w:t>Progression (asymptomatic and symptomatic)</w:t>
            </w:r>
            <w:r w:rsidR="00C73271" w:rsidRPr="00591EA6">
              <w:rPr>
                <w:rFonts w:ascii="Arial Narrow" w:hAnsi="Arial Narrow"/>
                <w:sz w:val="20"/>
                <w:szCs w:val="20"/>
                <w:u w:val="single"/>
              </w:rPr>
              <w:t xml:space="preserve"> to death</w:t>
            </w:r>
            <w:r w:rsidRPr="00591EA6">
              <w:rPr>
                <w:rFonts w:ascii="Arial Narrow" w:hAnsi="Arial Narrow"/>
                <w:sz w:val="20"/>
                <w:szCs w:val="20"/>
              </w:rPr>
              <w:t>: Treatment arm-specific transition probabilities for post-progression survival from GALLIUM.</w:t>
            </w:r>
          </w:p>
          <w:p w:rsidR="00C50E92" w:rsidRPr="00591EA6" w:rsidRDefault="00C50E92" w:rsidP="00066EF4">
            <w:pPr>
              <w:keepNext/>
              <w:keepLines/>
              <w:spacing w:before="0"/>
              <w:jc w:val="both"/>
              <w:rPr>
                <w:rFonts w:ascii="Arial Narrow" w:hAnsi="Arial Narrow"/>
                <w:sz w:val="20"/>
                <w:szCs w:val="20"/>
              </w:rPr>
            </w:pPr>
            <w:r w:rsidRPr="00591EA6">
              <w:rPr>
                <w:rFonts w:ascii="Arial Narrow" w:hAnsi="Arial Narrow"/>
                <w:sz w:val="20"/>
                <w:szCs w:val="20"/>
              </w:rPr>
              <w:t>The available extrapolation parameters produced varying results, raising concern about the selection of base case parameters.</w:t>
            </w:r>
          </w:p>
        </w:tc>
      </w:tr>
    </w:tbl>
    <w:p w:rsidR="00C50E92" w:rsidRPr="00591EA6" w:rsidRDefault="00C50E92" w:rsidP="00066EF4">
      <w:pPr>
        <w:pStyle w:val="TableFooter"/>
        <w:keepNext/>
        <w:keepLines/>
      </w:pPr>
      <w:r w:rsidRPr="00591EA6">
        <w:t>AIHW=Australian Institute of Health and Welfare; CLL/SLL=chronic lymphocytic leukaemia/small lymphocytic lymphoma; PFS=progression free survival; SEER=Surveillance, Epidemiology and End Results Program</w:t>
      </w:r>
    </w:p>
    <w:p w:rsidR="00A2237B" w:rsidRDefault="00C50E92" w:rsidP="00C50E92">
      <w:pPr>
        <w:pStyle w:val="TableFooter"/>
      </w:pPr>
      <w:r w:rsidRPr="00591EA6">
        <w:t>Source: Table 3.1.2, p101 of the submission.</w:t>
      </w:r>
    </w:p>
    <w:p w:rsidR="004A18F8" w:rsidRPr="004267F6" w:rsidRDefault="004A18F8" w:rsidP="00A375D6">
      <w:pPr>
        <w:pStyle w:val="ListParagraph"/>
        <w:numPr>
          <w:ilvl w:val="1"/>
          <w:numId w:val="1"/>
        </w:numPr>
        <w:ind w:left="709" w:hanging="709"/>
        <w:jc w:val="both"/>
      </w:pPr>
      <w:r w:rsidRPr="004267F6">
        <w:t xml:space="preserve">The key drivers of the </w:t>
      </w:r>
      <w:r w:rsidRPr="00A375D6">
        <w:rPr>
          <w:rFonts w:cs="Arial"/>
          <w:bCs/>
          <w:snapToGrid w:val="0"/>
        </w:rPr>
        <w:t>model</w:t>
      </w:r>
      <w:r w:rsidRPr="004267F6">
        <w:t xml:space="preserve"> are identified in the table below.</w:t>
      </w:r>
    </w:p>
    <w:p w:rsidR="004F5799" w:rsidRPr="004267F6" w:rsidRDefault="004F5799" w:rsidP="00BA75EA">
      <w:pPr>
        <w:keepNext/>
        <w:spacing w:before="0" w:after="0"/>
        <w:rPr>
          <w:rFonts w:ascii="Arial Narrow" w:hAnsi="Arial Narrow"/>
          <w:b/>
          <w:sz w:val="20"/>
          <w:szCs w:val="20"/>
        </w:rPr>
      </w:pPr>
      <w:r w:rsidRPr="004267F6">
        <w:rPr>
          <w:rFonts w:ascii="Arial Narrow" w:hAnsi="Arial Narrow"/>
          <w:b/>
          <w:sz w:val="20"/>
          <w:szCs w:val="20"/>
        </w:rPr>
        <w:t>Table 8: Key drivers of the model</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8"/>
        <w:gridCol w:w="4557"/>
        <w:gridCol w:w="2268"/>
      </w:tblGrid>
      <w:tr w:rsidR="004F5799" w:rsidRPr="004267F6" w:rsidTr="006D5F33">
        <w:trPr>
          <w:tblHeader/>
        </w:trPr>
        <w:tc>
          <w:tcPr>
            <w:tcW w:w="1001" w:type="pct"/>
            <w:shd w:val="clear" w:color="auto" w:fill="auto"/>
            <w:vAlign w:val="center"/>
          </w:tcPr>
          <w:p w:rsidR="004F5799" w:rsidRPr="004267F6" w:rsidRDefault="004F5799" w:rsidP="00BA75EA">
            <w:pPr>
              <w:pStyle w:val="TableText"/>
              <w:widowControl w:val="0"/>
              <w:rPr>
                <w:b/>
              </w:rPr>
            </w:pPr>
            <w:r w:rsidRPr="004267F6">
              <w:rPr>
                <w:b/>
              </w:rPr>
              <w:t>Description</w:t>
            </w:r>
          </w:p>
        </w:tc>
        <w:tc>
          <w:tcPr>
            <w:tcW w:w="2670" w:type="pct"/>
            <w:shd w:val="clear" w:color="auto" w:fill="auto"/>
            <w:vAlign w:val="center"/>
          </w:tcPr>
          <w:p w:rsidR="004F5799" w:rsidRPr="004267F6" w:rsidRDefault="004F5799" w:rsidP="00BA75EA">
            <w:pPr>
              <w:pStyle w:val="TableText"/>
              <w:widowControl w:val="0"/>
              <w:jc w:val="center"/>
              <w:rPr>
                <w:b/>
              </w:rPr>
            </w:pPr>
            <w:r w:rsidRPr="004267F6">
              <w:rPr>
                <w:b/>
              </w:rPr>
              <w:t>Method/Value</w:t>
            </w:r>
          </w:p>
        </w:tc>
        <w:tc>
          <w:tcPr>
            <w:tcW w:w="1329" w:type="pct"/>
            <w:shd w:val="clear" w:color="auto" w:fill="auto"/>
            <w:vAlign w:val="center"/>
          </w:tcPr>
          <w:p w:rsidR="004F5799" w:rsidRPr="004267F6" w:rsidRDefault="004F5799" w:rsidP="00BA75EA">
            <w:pPr>
              <w:pStyle w:val="TableText"/>
              <w:widowControl w:val="0"/>
              <w:jc w:val="center"/>
              <w:rPr>
                <w:b/>
              </w:rPr>
            </w:pPr>
            <w:r w:rsidRPr="004267F6">
              <w:rPr>
                <w:b/>
              </w:rPr>
              <w:t>Impact</w:t>
            </w:r>
          </w:p>
        </w:tc>
      </w:tr>
      <w:tr w:rsidR="004A0334" w:rsidRPr="004267F6" w:rsidTr="006D5F33">
        <w:tc>
          <w:tcPr>
            <w:tcW w:w="1001" w:type="pct"/>
            <w:shd w:val="clear" w:color="auto" w:fill="auto"/>
            <w:vAlign w:val="center"/>
          </w:tcPr>
          <w:p w:rsidR="004F5799" w:rsidRPr="004267F6" w:rsidRDefault="004F5799" w:rsidP="00BA75EA">
            <w:pPr>
              <w:pStyle w:val="TableText"/>
              <w:widowControl w:val="0"/>
            </w:pPr>
            <w:r w:rsidRPr="004267F6">
              <w:t>Time horizon</w:t>
            </w:r>
          </w:p>
        </w:tc>
        <w:tc>
          <w:tcPr>
            <w:tcW w:w="2670" w:type="pct"/>
            <w:shd w:val="clear" w:color="auto" w:fill="auto"/>
            <w:vAlign w:val="center"/>
          </w:tcPr>
          <w:p w:rsidR="004F5799" w:rsidRPr="004267F6" w:rsidRDefault="004F5799" w:rsidP="00BA75EA">
            <w:pPr>
              <w:pStyle w:val="TableText"/>
              <w:widowControl w:val="0"/>
            </w:pPr>
            <w:r w:rsidRPr="004267F6">
              <w:t>20 years.</w:t>
            </w:r>
            <w:r w:rsidR="00A07559">
              <w:t xml:space="preserve"> </w:t>
            </w:r>
            <w:r w:rsidR="004A0334" w:rsidRPr="004267F6">
              <w:t>The model was</w:t>
            </w:r>
            <w:r w:rsidR="009D16E9" w:rsidRPr="004267F6">
              <w:t xml:space="preserve"> sensitive to the time horizon.</w:t>
            </w:r>
            <w:r w:rsidR="00A07559">
              <w:t xml:space="preserve"> </w:t>
            </w:r>
            <w:r w:rsidR="009D16E9" w:rsidRPr="004267F6">
              <w:t>The submission cited registry data to support high survival rates (eg 72.1% after 5 years).</w:t>
            </w:r>
            <w:r w:rsidR="00A07559">
              <w:t xml:space="preserve"> </w:t>
            </w:r>
            <w:r w:rsidR="009D16E9" w:rsidRPr="004267F6">
              <w:t xml:space="preserve">While the survival rates do suggest lengthy survival, it is not likely that the data that was used for these </w:t>
            </w:r>
            <w:r w:rsidR="0018504B" w:rsidRPr="004267F6">
              <w:t xml:space="preserve">registry </w:t>
            </w:r>
            <w:r w:rsidR="009D16E9" w:rsidRPr="004267F6">
              <w:t>estimates closely matches the proposed PBS population.</w:t>
            </w:r>
            <w:r w:rsidR="00A07559">
              <w:t xml:space="preserve"> </w:t>
            </w:r>
            <w:r w:rsidR="009D16E9" w:rsidRPr="004267F6">
              <w:t>In particular, there was no indication in the submission that the survival rates sourced from AIHW and SEER are based on treated patients only or on all patients with NHL or follicular lymphoma</w:t>
            </w:r>
            <w:r w:rsidR="0018504B" w:rsidRPr="004267F6">
              <w:t xml:space="preserve"> (the AIHW rates are based on patients at diagnosis)</w:t>
            </w:r>
            <w:r w:rsidR="009D16E9" w:rsidRPr="004267F6">
              <w:t>.</w:t>
            </w:r>
            <w:r w:rsidR="00A07559">
              <w:t xml:space="preserve"> </w:t>
            </w:r>
            <w:r w:rsidR="009D16E9" w:rsidRPr="004267F6">
              <w:t>It is reasonable to assume the data sources are referring to all patients and not just treated patients, as it is likely such would be specified.</w:t>
            </w:r>
            <w:r w:rsidR="00A07559">
              <w:t xml:space="preserve"> </w:t>
            </w:r>
            <w:r w:rsidR="009D16E9" w:rsidRPr="004267F6">
              <w:t>Consequently, the cited survival rates cannot be assumed to reflect those of the proposed PBS population</w:t>
            </w:r>
            <w:r w:rsidR="006212EE" w:rsidRPr="004267F6">
              <w:t>.</w:t>
            </w:r>
            <w:r w:rsidR="00FC19A4" w:rsidRPr="004267F6">
              <w:t xml:space="preserve"> </w:t>
            </w:r>
            <w:r w:rsidR="00191510" w:rsidRPr="004267F6">
              <w:t>The ESC agr</w:t>
            </w:r>
            <w:r w:rsidR="000C35D4" w:rsidRPr="004267F6">
              <w:t>eed with the evaluators that the survival rates sourced from AIHW and SEER may not be directly applicable to the proposed PBS population.</w:t>
            </w:r>
          </w:p>
        </w:tc>
        <w:tc>
          <w:tcPr>
            <w:tcW w:w="1329" w:type="pct"/>
            <w:shd w:val="clear" w:color="auto" w:fill="auto"/>
            <w:vAlign w:val="center"/>
          </w:tcPr>
          <w:p w:rsidR="004F5799" w:rsidRPr="004267F6" w:rsidRDefault="004F5799" w:rsidP="00BA75EA">
            <w:pPr>
              <w:pStyle w:val="TableText"/>
              <w:widowControl w:val="0"/>
            </w:pPr>
            <w:r w:rsidRPr="004267F6">
              <w:t>High, favour</w:t>
            </w:r>
            <w:r w:rsidR="004A0334" w:rsidRPr="004267F6">
              <w:t>ed</w:t>
            </w:r>
            <w:r w:rsidRPr="004267F6">
              <w:t xml:space="preserve"> obinutuzumab</w:t>
            </w:r>
          </w:p>
        </w:tc>
      </w:tr>
      <w:tr w:rsidR="004F5799" w:rsidRPr="004267F6" w:rsidTr="006D5F33">
        <w:tc>
          <w:tcPr>
            <w:tcW w:w="1001" w:type="pct"/>
            <w:shd w:val="clear" w:color="auto" w:fill="auto"/>
            <w:vAlign w:val="center"/>
          </w:tcPr>
          <w:p w:rsidR="004F5799" w:rsidRPr="004267F6" w:rsidRDefault="004F5799" w:rsidP="00BA75EA">
            <w:pPr>
              <w:pStyle w:val="TableText"/>
              <w:widowControl w:val="0"/>
            </w:pPr>
            <w:r w:rsidRPr="004267F6">
              <w:t>Extrapolation</w:t>
            </w:r>
          </w:p>
        </w:tc>
        <w:tc>
          <w:tcPr>
            <w:tcW w:w="2670" w:type="pct"/>
            <w:shd w:val="clear" w:color="auto" w:fill="auto"/>
            <w:vAlign w:val="center"/>
          </w:tcPr>
          <w:p w:rsidR="004F5799" w:rsidRPr="004267F6" w:rsidRDefault="004D240D" w:rsidP="00BA75EA">
            <w:pPr>
              <w:pStyle w:val="TableText"/>
              <w:widowControl w:val="0"/>
            </w:pPr>
            <w:r w:rsidRPr="004267F6">
              <w:t xml:space="preserve">Log-normal extrapolation </w:t>
            </w:r>
            <w:r w:rsidR="00B8058F" w:rsidRPr="004267F6">
              <w:t xml:space="preserve">of </w:t>
            </w:r>
            <w:r w:rsidRPr="004267F6">
              <w:t xml:space="preserve">PFS </w:t>
            </w:r>
            <w:r w:rsidR="00B8058F" w:rsidRPr="004267F6">
              <w:t xml:space="preserve">after </w:t>
            </w:r>
            <w:r w:rsidRPr="004267F6">
              <w:t>a median 41.1 months follow-up.</w:t>
            </w:r>
            <w:r w:rsidR="00A07559">
              <w:t xml:space="preserve"> </w:t>
            </w:r>
            <w:r w:rsidR="002F525F" w:rsidRPr="004267F6">
              <w:t xml:space="preserve">As illustrated by Figure </w:t>
            </w:r>
            <w:r w:rsidR="00466ED1" w:rsidRPr="004267F6">
              <w:t>5</w:t>
            </w:r>
            <w:r w:rsidR="002F525F" w:rsidRPr="004267F6">
              <w:t xml:space="preserve">, </w:t>
            </w:r>
            <w:r w:rsidR="005645E5" w:rsidRPr="004267F6">
              <w:t>length of time in PFS and differences between treatment arms varied greatly depending on the extrapolation function used.</w:t>
            </w:r>
          </w:p>
        </w:tc>
        <w:tc>
          <w:tcPr>
            <w:tcW w:w="1329" w:type="pct"/>
            <w:shd w:val="clear" w:color="auto" w:fill="auto"/>
            <w:vAlign w:val="center"/>
          </w:tcPr>
          <w:p w:rsidR="004F5799" w:rsidRPr="004267F6" w:rsidRDefault="004A0334" w:rsidP="00BA75EA">
            <w:pPr>
              <w:pStyle w:val="TableText"/>
              <w:widowControl w:val="0"/>
            </w:pPr>
            <w:r w:rsidRPr="004267F6">
              <w:t>High, favoured</w:t>
            </w:r>
            <w:r w:rsidR="004F5799" w:rsidRPr="004267F6">
              <w:t xml:space="preserve"> obinutuzumab</w:t>
            </w:r>
          </w:p>
        </w:tc>
      </w:tr>
      <w:tr w:rsidR="005F08F2" w:rsidRPr="004267F6" w:rsidTr="006D5F33">
        <w:tc>
          <w:tcPr>
            <w:tcW w:w="1001" w:type="pct"/>
            <w:shd w:val="clear" w:color="auto" w:fill="auto"/>
            <w:vAlign w:val="center"/>
          </w:tcPr>
          <w:p w:rsidR="005F08F2" w:rsidRPr="004267F6" w:rsidRDefault="005F08F2" w:rsidP="00BA75EA">
            <w:pPr>
              <w:pStyle w:val="TableText"/>
              <w:widowControl w:val="0"/>
            </w:pPr>
            <w:r w:rsidRPr="004267F6">
              <w:t xml:space="preserve">Assumed survival benefit </w:t>
            </w:r>
            <w:r w:rsidR="00E95EE1" w:rsidRPr="004267F6">
              <w:t xml:space="preserve">due to </w:t>
            </w:r>
            <w:r w:rsidR="006A7230" w:rsidRPr="004267F6">
              <w:t>delay in progression</w:t>
            </w:r>
          </w:p>
        </w:tc>
        <w:tc>
          <w:tcPr>
            <w:tcW w:w="2670" w:type="pct"/>
            <w:shd w:val="clear" w:color="auto" w:fill="auto"/>
            <w:vAlign w:val="center"/>
          </w:tcPr>
          <w:p w:rsidR="005F08F2" w:rsidRPr="004267F6" w:rsidRDefault="005F08F2" w:rsidP="00BA75EA">
            <w:pPr>
              <w:pStyle w:val="TableText"/>
              <w:widowControl w:val="0"/>
            </w:pPr>
            <w:r w:rsidRPr="004267F6">
              <w:t>While there was no statistically significant difference in OS, the model assumed a survival benefit for obinutuzumab-treated patients</w:t>
            </w:r>
            <w:r w:rsidR="00E95EE1" w:rsidRPr="004267F6">
              <w:t>.</w:t>
            </w:r>
            <w:r w:rsidR="00A07559">
              <w:t xml:space="preserve"> </w:t>
            </w:r>
            <w:r w:rsidR="00E95EE1" w:rsidRPr="004267F6">
              <w:t>A large portion of this assumed benefit was generated by delayed disease progression.</w:t>
            </w:r>
          </w:p>
        </w:tc>
        <w:tc>
          <w:tcPr>
            <w:tcW w:w="1329" w:type="pct"/>
            <w:shd w:val="clear" w:color="auto" w:fill="auto"/>
            <w:vAlign w:val="center"/>
          </w:tcPr>
          <w:p w:rsidR="005F08F2" w:rsidRPr="004267F6" w:rsidRDefault="005F08F2" w:rsidP="00BA75EA">
            <w:pPr>
              <w:pStyle w:val="TableText"/>
              <w:widowControl w:val="0"/>
            </w:pPr>
            <w:r w:rsidRPr="004267F6">
              <w:t>High, favoured obinutuzumab</w:t>
            </w:r>
          </w:p>
        </w:tc>
      </w:tr>
      <w:tr w:rsidR="005F08F2" w:rsidRPr="004267F6" w:rsidTr="006D5F33">
        <w:tc>
          <w:tcPr>
            <w:tcW w:w="1001" w:type="pct"/>
            <w:shd w:val="clear" w:color="auto" w:fill="auto"/>
            <w:vAlign w:val="center"/>
          </w:tcPr>
          <w:p w:rsidR="005F08F2" w:rsidRPr="004267F6" w:rsidRDefault="006A7230" w:rsidP="00BA75EA">
            <w:pPr>
              <w:pStyle w:val="TableText"/>
              <w:widowControl w:val="0"/>
            </w:pPr>
            <w:r w:rsidRPr="004267F6">
              <w:t>Treatment specific d</w:t>
            </w:r>
            <w:r w:rsidR="003B2FD4" w:rsidRPr="004267F6">
              <w:t>eath rates applied post-progression and in PFS</w:t>
            </w:r>
          </w:p>
        </w:tc>
        <w:tc>
          <w:tcPr>
            <w:tcW w:w="2670" w:type="pct"/>
            <w:shd w:val="clear" w:color="auto" w:fill="auto"/>
            <w:vAlign w:val="center"/>
          </w:tcPr>
          <w:p w:rsidR="006A7230" w:rsidRPr="004267F6" w:rsidRDefault="00E95EE1" w:rsidP="00BA75EA">
            <w:pPr>
              <w:pStyle w:val="TableText"/>
              <w:widowControl w:val="0"/>
            </w:pPr>
            <w:r w:rsidRPr="004267F6">
              <w:t xml:space="preserve">The submission assumed a </w:t>
            </w:r>
            <w:r w:rsidR="006A7230" w:rsidRPr="004267F6">
              <w:t xml:space="preserve">lower death rate for </w:t>
            </w:r>
            <w:r w:rsidR="007E0E2E" w:rsidRPr="004267F6">
              <w:t>obinutuzumab</w:t>
            </w:r>
            <w:r w:rsidR="006A7230" w:rsidRPr="004267F6">
              <w:t xml:space="preserve"> compared with rituximab-treated patients in the progression health states.</w:t>
            </w:r>
          </w:p>
          <w:p w:rsidR="005F08F2" w:rsidRPr="004267F6" w:rsidRDefault="00E95EE1" w:rsidP="00BA75EA">
            <w:pPr>
              <w:pStyle w:val="TableText"/>
              <w:widowControl w:val="0"/>
            </w:pPr>
            <w:r w:rsidRPr="004267F6">
              <w:t>Death was also assumed to occur in the PFS health state, the probab</w:t>
            </w:r>
            <w:r w:rsidR="00E10470" w:rsidRPr="004267F6">
              <w:t>ilit</w:t>
            </w:r>
            <w:r w:rsidRPr="004267F6">
              <w:t xml:space="preserve">y was similar between obinutuzumab and rituximab but was </w:t>
            </w:r>
            <w:r w:rsidR="00201F75" w:rsidRPr="004267F6">
              <w:t xml:space="preserve">slightly higher for the </w:t>
            </w:r>
            <w:r w:rsidRPr="004267F6">
              <w:t>obinutuzumab arm (as was observed in the trial).</w:t>
            </w:r>
            <w:r w:rsidR="00A07559">
              <w:t xml:space="preserve"> </w:t>
            </w:r>
          </w:p>
        </w:tc>
        <w:tc>
          <w:tcPr>
            <w:tcW w:w="1329" w:type="pct"/>
            <w:shd w:val="clear" w:color="auto" w:fill="auto"/>
            <w:vAlign w:val="center"/>
          </w:tcPr>
          <w:p w:rsidR="005F08F2" w:rsidRPr="004267F6" w:rsidRDefault="003B2FD4" w:rsidP="00BA75EA">
            <w:pPr>
              <w:pStyle w:val="TableText"/>
              <w:widowControl w:val="0"/>
            </w:pPr>
            <w:r w:rsidRPr="004267F6">
              <w:t>High, favoured obinutuzumab</w:t>
            </w:r>
          </w:p>
        </w:tc>
      </w:tr>
    </w:tbl>
    <w:p w:rsidR="004A18F8" w:rsidRPr="004267F6" w:rsidRDefault="004F5799" w:rsidP="00BA75EA">
      <w:pPr>
        <w:pStyle w:val="TableFooter"/>
        <w:keepNext/>
      </w:pPr>
      <w:r w:rsidRPr="004267F6">
        <w:t>Source: Table D.2, p14 of Section D of the submission</w:t>
      </w:r>
    </w:p>
    <w:p w:rsidR="009D2BBF" w:rsidRDefault="0090555D" w:rsidP="00A375D6">
      <w:pPr>
        <w:pStyle w:val="ListParagraph"/>
        <w:numPr>
          <w:ilvl w:val="1"/>
          <w:numId w:val="1"/>
        </w:numPr>
        <w:ind w:left="709" w:hanging="709"/>
        <w:jc w:val="both"/>
      </w:pPr>
      <w:r w:rsidRPr="00591EA6">
        <w:t xml:space="preserve">As part of the 9 steps of the stepped economic evaluation, the submission included the effective price of obinutuzumab as step 9, and the published price was </w:t>
      </w:r>
      <w:r w:rsidRPr="00A375D6">
        <w:rPr>
          <w:rFonts w:cs="Arial"/>
          <w:bCs/>
          <w:snapToGrid w:val="0"/>
        </w:rPr>
        <w:t>used</w:t>
      </w:r>
      <w:r w:rsidRPr="00591EA6">
        <w:t xml:space="preserve"> in the preceding 8 steps.</w:t>
      </w:r>
      <w:r w:rsidR="00A07559">
        <w:t xml:space="preserve"> </w:t>
      </w:r>
      <w:r w:rsidRPr="00591EA6">
        <w:t>The submission’s presentation of costs in steps 1 to 8 based on the published price of obinutuzumab, with the effective price of obinutuzumab added in step 9 was not informative for assessment of each step of the modelled evaluation</w:t>
      </w:r>
      <w:r w:rsidR="00B1558B" w:rsidRPr="00591EA6">
        <w:t xml:space="preserve"> as it inflated the ICERs by close to </w:t>
      </w:r>
      <w:r w:rsidR="00CD21DA">
        <w:rPr>
          <w:noProof/>
          <w:color w:val="000000"/>
          <w:highlight w:val="black"/>
        </w:rPr>
        <w:t>'''</w:t>
      </w:r>
      <w:r w:rsidR="00B1558B" w:rsidRPr="00591EA6">
        <w:t xml:space="preserve"> times their value based on the effective price</w:t>
      </w:r>
      <w:r w:rsidR="00362F0B" w:rsidRPr="00591EA6">
        <w:t>.</w:t>
      </w:r>
      <w:r w:rsidR="00A07559">
        <w:t xml:space="preserve"> </w:t>
      </w:r>
      <w:r w:rsidRPr="00591EA6">
        <w:t>Consequently, the results provided in the table below use the effective price of obinutuzumab from step 1.</w:t>
      </w:r>
      <w:r w:rsidR="00A07559">
        <w:t xml:space="preserve"> </w:t>
      </w:r>
      <w:r w:rsidR="00EB1A9C" w:rsidRPr="00591EA6">
        <w:t>In addition, current dispensing fees and preparation fees were added to the obinutuzumab and rituximab costs; given these factors the results provided in Table 9 below differ from those in the submission.</w:t>
      </w:r>
      <w:r w:rsidR="00A07559">
        <w:t xml:space="preserve"> </w:t>
      </w:r>
    </w:p>
    <w:p w:rsidR="0090555D" w:rsidRPr="00591EA6" w:rsidRDefault="0090555D" w:rsidP="00A375D6">
      <w:pPr>
        <w:pStyle w:val="ListParagraph"/>
        <w:numPr>
          <w:ilvl w:val="1"/>
          <w:numId w:val="1"/>
        </w:numPr>
        <w:ind w:left="709" w:hanging="709"/>
        <w:jc w:val="both"/>
      </w:pPr>
      <w:r w:rsidRPr="00591EA6">
        <w:t>While utility values were added in step 5 of the modelled evaluation, the submission indicated (p127) that the weighting of life years to determine QALYs automatically occurs inherently at each step of the model.</w:t>
      </w:r>
      <w:r w:rsidR="00A07559">
        <w:t xml:space="preserve"> </w:t>
      </w:r>
      <w:r w:rsidR="00F210B6" w:rsidRPr="00591EA6">
        <w:t xml:space="preserve">As such, results </w:t>
      </w:r>
      <w:r w:rsidRPr="00591EA6">
        <w:t xml:space="preserve">for incremental cost/QALY at each step of the model </w:t>
      </w:r>
      <w:r w:rsidR="00F210B6" w:rsidRPr="00591EA6">
        <w:t xml:space="preserve">were provided in the submission and </w:t>
      </w:r>
      <w:r w:rsidRPr="00591EA6">
        <w:t>are therefore also provided in the table below.</w:t>
      </w:r>
      <w:r w:rsidR="00A07559">
        <w:t xml:space="preserve"> </w:t>
      </w:r>
      <w:r w:rsidR="00F210B6" w:rsidRPr="00591EA6">
        <w:t xml:space="preserve">However, since the results for step 5 when utility values are added are the same as the results </w:t>
      </w:r>
      <w:r w:rsidR="00F210B6" w:rsidRPr="004267F6">
        <w:t>for the previous step, the step 5 results have not been included in the table below.</w:t>
      </w:r>
      <w:r w:rsidR="00A07559">
        <w:t xml:space="preserve"> </w:t>
      </w:r>
      <w:r w:rsidR="000F6F1A" w:rsidRPr="004267F6">
        <w:t>The ESC noted the submission sourced utility values from GALLIUM via EQ-5D scores and also applied literature-derived utility values. The ESC considered this approach to be appropriate.</w:t>
      </w:r>
    </w:p>
    <w:p w:rsidR="0069404B" w:rsidRDefault="0069404B">
      <w:pPr>
        <w:spacing w:before="0" w:line="259" w:lineRule="auto"/>
        <w:rPr>
          <w:rFonts w:ascii="Arial Narrow" w:hAnsi="Arial Narrow"/>
          <w:b/>
          <w:sz w:val="20"/>
          <w:szCs w:val="20"/>
        </w:rPr>
      </w:pPr>
      <w:r>
        <w:rPr>
          <w:rFonts w:ascii="Arial Narrow" w:hAnsi="Arial Narrow"/>
          <w:b/>
          <w:sz w:val="20"/>
          <w:szCs w:val="20"/>
        </w:rPr>
        <w:br w:type="page"/>
      </w:r>
    </w:p>
    <w:p w:rsidR="0090555D" w:rsidRPr="00591EA6" w:rsidRDefault="00734441" w:rsidP="00734441">
      <w:pPr>
        <w:keepNext/>
        <w:spacing w:before="0" w:after="0"/>
        <w:jc w:val="both"/>
        <w:rPr>
          <w:b/>
        </w:rPr>
      </w:pPr>
      <w:r w:rsidRPr="00591EA6">
        <w:rPr>
          <w:rFonts w:ascii="Arial Narrow" w:hAnsi="Arial Narrow"/>
          <w:b/>
          <w:sz w:val="20"/>
          <w:szCs w:val="20"/>
        </w:rPr>
        <w:t xml:space="preserve">Table </w:t>
      </w:r>
      <w:r w:rsidR="000C66A6" w:rsidRPr="00591EA6">
        <w:rPr>
          <w:rFonts w:ascii="Arial Narrow" w:hAnsi="Arial Narrow"/>
          <w:b/>
          <w:sz w:val="20"/>
          <w:szCs w:val="20"/>
        </w:rPr>
        <w:t>9</w:t>
      </w:r>
      <w:r w:rsidRPr="00591EA6">
        <w:rPr>
          <w:rFonts w:ascii="Arial Narrow" w:hAnsi="Arial Narrow"/>
          <w:b/>
          <w:sz w:val="20"/>
          <w:szCs w:val="20"/>
        </w:rPr>
        <w:t xml:space="preserve">: </w:t>
      </w:r>
      <w:r w:rsidRPr="00591EA6">
        <w:rPr>
          <w:rStyle w:val="CommentReference"/>
          <w:rFonts w:ascii="Arial Narrow" w:hAnsi="Arial Narrow"/>
          <w:b/>
          <w:sz w:val="20"/>
          <w:szCs w:val="20"/>
        </w:rPr>
        <w:t>Results of the stepped economic evaluation</w:t>
      </w:r>
      <w:r w:rsidR="000C3602" w:rsidRPr="00591EA6">
        <w:rPr>
          <w:rStyle w:val="CommentReference"/>
          <w:rFonts w:ascii="Arial Narrow" w:hAnsi="Arial Narrow"/>
          <w:b/>
          <w:sz w:val="20"/>
          <w:szCs w:val="20"/>
          <w:vertAlign w:val="superscript"/>
        </w:rPr>
        <w:t>a</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85"/>
        <w:gridCol w:w="2186"/>
        <w:gridCol w:w="2188"/>
        <w:gridCol w:w="2074"/>
      </w:tblGrid>
      <w:tr w:rsidR="0090555D" w:rsidRPr="00591EA6" w:rsidTr="00B17A06">
        <w:trPr>
          <w:trHeight w:val="20"/>
          <w:tblHeader/>
        </w:trPr>
        <w:tc>
          <w:tcPr>
            <w:tcW w:w="1222" w:type="pct"/>
            <w:vAlign w:val="center"/>
          </w:tcPr>
          <w:p w:rsidR="0090555D" w:rsidRPr="00591EA6" w:rsidRDefault="0090555D" w:rsidP="00734441">
            <w:pPr>
              <w:keepNext/>
              <w:spacing w:before="0" w:after="0"/>
              <w:rPr>
                <w:rFonts w:ascii="Arial Narrow" w:hAnsi="Arial Narrow" w:cs="Times New Roman"/>
                <w:b/>
                <w:sz w:val="20"/>
                <w:szCs w:val="20"/>
              </w:rPr>
            </w:pPr>
            <w:r w:rsidRPr="00591EA6">
              <w:rPr>
                <w:rFonts w:ascii="Arial Narrow" w:hAnsi="Arial Narrow" w:cs="Times New Roman"/>
                <w:b/>
                <w:sz w:val="20"/>
                <w:szCs w:val="20"/>
              </w:rPr>
              <w:t>Step and component</w:t>
            </w:r>
          </w:p>
        </w:tc>
        <w:tc>
          <w:tcPr>
            <w:tcW w:w="1281" w:type="pct"/>
          </w:tcPr>
          <w:p w:rsidR="0090555D" w:rsidRPr="00591EA6" w:rsidRDefault="0090555D" w:rsidP="00734441">
            <w:pPr>
              <w:keepNext/>
              <w:spacing w:before="0" w:after="0"/>
              <w:jc w:val="center"/>
              <w:rPr>
                <w:rFonts w:ascii="Arial Narrow" w:hAnsi="Arial Narrow" w:cs="Times New Roman"/>
                <w:b/>
                <w:sz w:val="20"/>
                <w:szCs w:val="20"/>
              </w:rPr>
            </w:pPr>
            <w:r w:rsidRPr="00591EA6">
              <w:rPr>
                <w:rFonts w:ascii="Arial Narrow" w:hAnsi="Arial Narrow" w:cs="Times New Roman"/>
                <w:b/>
                <w:sz w:val="20"/>
                <w:szCs w:val="20"/>
              </w:rPr>
              <w:t>G-Chemo</w:t>
            </w:r>
          </w:p>
        </w:tc>
        <w:tc>
          <w:tcPr>
            <w:tcW w:w="1282" w:type="pct"/>
            <w:vAlign w:val="center"/>
          </w:tcPr>
          <w:p w:rsidR="0090555D" w:rsidRPr="00591EA6" w:rsidRDefault="0090555D" w:rsidP="00734441">
            <w:pPr>
              <w:keepNext/>
              <w:spacing w:before="0" w:after="0"/>
              <w:jc w:val="center"/>
              <w:rPr>
                <w:rFonts w:ascii="Arial Narrow" w:hAnsi="Arial Narrow" w:cs="Times New Roman"/>
                <w:b/>
                <w:sz w:val="20"/>
                <w:szCs w:val="20"/>
              </w:rPr>
            </w:pPr>
            <w:r w:rsidRPr="00591EA6">
              <w:rPr>
                <w:rFonts w:ascii="Arial Narrow" w:hAnsi="Arial Narrow" w:cs="Times New Roman"/>
                <w:b/>
                <w:sz w:val="20"/>
                <w:szCs w:val="20"/>
              </w:rPr>
              <w:t>R-Chemo</w:t>
            </w:r>
          </w:p>
        </w:tc>
        <w:tc>
          <w:tcPr>
            <w:tcW w:w="1215" w:type="pct"/>
          </w:tcPr>
          <w:p w:rsidR="0090555D" w:rsidRPr="00591EA6" w:rsidRDefault="0090555D" w:rsidP="00734441">
            <w:pPr>
              <w:keepNext/>
              <w:spacing w:before="0" w:after="0"/>
              <w:jc w:val="center"/>
              <w:rPr>
                <w:rFonts w:ascii="Arial Narrow" w:hAnsi="Arial Narrow" w:cs="Times New Roman"/>
                <w:b/>
                <w:sz w:val="20"/>
                <w:szCs w:val="20"/>
              </w:rPr>
            </w:pPr>
            <w:r w:rsidRPr="00591EA6">
              <w:rPr>
                <w:rFonts w:ascii="Arial Narrow" w:hAnsi="Arial Narrow" w:cs="Times New Roman"/>
                <w:b/>
                <w:sz w:val="20"/>
                <w:szCs w:val="20"/>
              </w:rPr>
              <w:t>Increment</w:t>
            </w:r>
          </w:p>
        </w:tc>
      </w:tr>
      <w:tr w:rsidR="0090555D" w:rsidRPr="00591EA6" w:rsidTr="00B17A06">
        <w:trPr>
          <w:trHeight w:val="20"/>
        </w:trPr>
        <w:tc>
          <w:tcPr>
            <w:tcW w:w="5000" w:type="pct"/>
            <w:gridSpan w:val="4"/>
            <w:vAlign w:val="center"/>
          </w:tcPr>
          <w:p w:rsidR="0090555D" w:rsidRPr="00591EA6" w:rsidRDefault="0090555D" w:rsidP="0090555D">
            <w:pPr>
              <w:keepNext/>
              <w:spacing w:before="0" w:after="0"/>
              <w:rPr>
                <w:rFonts w:ascii="Arial Narrow" w:hAnsi="Arial Narrow" w:cs="Arial Narrow"/>
                <w:b/>
                <w:bCs/>
                <w:sz w:val="20"/>
                <w:szCs w:val="20"/>
              </w:rPr>
            </w:pPr>
            <w:r w:rsidRPr="00591EA6">
              <w:rPr>
                <w:rFonts w:ascii="Arial Narrow" w:hAnsi="Arial Narrow" w:cs="Arial Narrow"/>
                <w:b/>
                <w:bCs/>
                <w:sz w:val="20"/>
                <w:szCs w:val="20"/>
              </w:rPr>
              <w:t>Step 1: trial-based costs and outcomes</w:t>
            </w:r>
            <w:r w:rsidRPr="00591EA6">
              <w:rPr>
                <w:rFonts w:ascii="Arial Narrow" w:hAnsi="Arial Narrow"/>
                <w:sz w:val="20"/>
                <w:szCs w:val="20"/>
              </w:rPr>
              <w:t xml:space="preserve"> (</w:t>
            </w:r>
            <w:r w:rsidRPr="00591EA6">
              <w:rPr>
                <w:rFonts w:ascii="Arial Narrow" w:hAnsi="Arial Narrow" w:cs="Arial Narrow"/>
                <w:b/>
                <w:bCs/>
                <w:sz w:val="20"/>
                <w:szCs w:val="20"/>
              </w:rPr>
              <w:t>60.1 and 58.4 months of data)</w:t>
            </w:r>
          </w:p>
        </w:tc>
      </w:tr>
      <w:tr w:rsidR="000B4D99" w:rsidRPr="00591EA6" w:rsidTr="00B17A06">
        <w:trPr>
          <w:trHeight w:val="20"/>
        </w:trPr>
        <w:tc>
          <w:tcPr>
            <w:tcW w:w="1222" w:type="pct"/>
            <w:vAlign w:val="center"/>
          </w:tcPr>
          <w:p w:rsidR="000B4D99" w:rsidRPr="00591EA6" w:rsidRDefault="000B4D99"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Costs</w:t>
            </w:r>
          </w:p>
        </w:tc>
        <w:tc>
          <w:tcPr>
            <w:tcW w:w="1281" w:type="pct"/>
          </w:tcPr>
          <w:p w:rsidR="000B4D99" w:rsidRPr="00591EA6" w:rsidRDefault="000B4D99" w:rsidP="0090555D">
            <w:pPr>
              <w:keepNext/>
              <w:spacing w:before="0" w:after="0"/>
              <w:jc w:val="center"/>
              <w:rPr>
                <w:rFonts w:ascii="Arial Narrow" w:hAnsi="Arial Narrow" w:cs="Times New Roman"/>
                <w:sz w:val="20"/>
                <w:szCs w:val="20"/>
              </w:rPr>
            </w:pPr>
            <w:r w:rsidRPr="00591EA6">
              <w:rPr>
                <w:rFonts w:ascii="Arial Narrow" w:hAnsi="Arial Narrow" w:cs="Times New Roman"/>
                <w:sz w:val="20"/>
                <w:szCs w:val="20"/>
              </w:rPr>
              <w:t>$</w:t>
            </w:r>
            <w:r w:rsidR="00CD21DA">
              <w:rPr>
                <w:rFonts w:ascii="Arial Narrow" w:hAnsi="Arial Narrow" w:cs="Times New Roman"/>
                <w:noProof/>
                <w:color w:val="000000"/>
                <w:sz w:val="20"/>
                <w:szCs w:val="20"/>
                <w:highlight w:val="black"/>
              </w:rPr>
              <w:t>''''''''''''''''</w:t>
            </w:r>
          </w:p>
        </w:tc>
        <w:tc>
          <w:tcPr>
            <w:tcW w:w="1282" w:type="pct"/>
            <w:vAlign w:val="center"/>
          </w:tcPr>
          <w:p w:rsidR="000B4D99" w:rsidRPr="00591EA6" w:rsidRDefault="000B4D99" w:rsidP="0090555D">
            <w:pPr>
              <w:keepNext/>
              <w:spacing w:before="0" w:after="0"/>
              <w:jc w:val="center"/>
              <w:rPr>
                <w:rFonts w:ascii="Arial Narrow" w:hAnsi="Arial Narrow" w:cs="Times New Roman"/>
                <w:sz w:val="20"/>
                <w:szCs w:val="20"/>
              </w:rPr>
            </w:pPr>
            <w:r w:rsidRPr="00591EA6">
              <w:rPr>
                <w:rFonts w:ascii="Arial Narrow" w:hAnsi="Arial Narrow" w:cs="Times New Roman"/>
                <w:sz w:val="20"/>
                <w:szCs w:val="20"/>
              </w:rPr>
              <w:t>$</w:t>
            </w:r>
            <w:r w:rsidR="00CD21DA">
              <w:rPr>
                <w:rFonts w:ascii="Arial Narrow" w:hAnsi="Arial Narrow" w:cs="Times New Roman"/>
                <w:noProof/>
                <w:color w:val="000000"/>
                <w:sz w:val="20"/>
                <w:szCs w:val="20"/>
                <w:highlight w:val="black"/>
              </w:rPr>
              <w:t>'''''''''''''''</w:t>
            </w:r>
          </w:p>
        </w:tc>
        <w:tc>
          <w:tcPr>
            <w:tcW w:w="1215" w:type="pct"/>
          </w:tcPr>
          <w:p w:rsidR="000B4D99" w:rsidRPr="00591EA6" w:rsidRDefault="000B4D99" w:rsidP="000B4D99">
            <w:pPr>
              <w:keepNext/>
              <w:spacing w:before="0" w:after="0"/>
              <w:jc w:val="center"/>
              <w:rPr>
                <w:rFonts w:ascii="Arial Narrow" w:hAnsi="Arial Narrow" w:cs="Times New Roman"/>
                <w:sz w:val="20"/>
                <w:szCs w:val="20"/>
              </w:rPr>
            </w:pPr>
            <w:r w:rsidRPr="00591EA6">
              <w:rPr>
                <w:rFonts w:ascii="Arial Narrow" w:hAnsi="Arial Narrow" w:cs="Times New Roman"/>
                <w:sz w:val="20"/>
                <w:szCs w:val="20"/>
              </w:rPr>
              <w:t>$</w:t>
            </w:r>
            <w:r w:rsidR="00CD21DA">
              <w:rPr>
                <w:rFonts w:ascii="Arial Narrow" w:hAnsi="Arial Narrow" w:cs="Times New Roman"/>
                <w:noProof/>
                <w:color w:val="000000"/>
                <w:sz w:val="20"/>
                <w:szCs w:val="2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LYG</w:t>
            </w:r>
          </w:p>
        </w:tc>
        <w:tc>
          <w:tcPr>
            <w:tcW w:w="1281" w:type="pct"/>
          </w:tcPr>
          <w:p w:rsidR="0090555D" w:rsidRPr="00CD21DA" w:rsidRDefault="00CD21DA" w:rsidP="0090555D">
            <w:pPr>
              <w:keepNext/>
              <w:spacing w:before="0" w:after="0"/>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1282" w:type="pct"/>
            <w:vAlign w:val="center"/>
          </w:tcPr>
          <w:p w:rsidR="0090555D" w:rsidRPr="00CD21DA" w:rsidRDefault="00CD21DA" w:rsidP="0090555D">
            <w:pPr>
              <w:keepNext/>
              <w:spacing w:before="0" w:after="0"/>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1215" w:type="pct"/>
          </w:tcPr>
          <w:p w:rsidR="0090555D" w:rsidRPr="00CD21DA" w:rsidRDefault="00CD21DA" w:rsidP="0090555D">
            <w:pPr>
              <w:keepNext/>
              <w:spacing w:before="0" w:after="0"/>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QALY</w:t>
            </w:r>
          </w:p>
        </w:tc>
        <w:tc>
          <w:tcPr>
            <w:tcW w:w="1281" w:type="pct"/>
          </w:tcPr>
          <w:p w:rsidR="0090555D" w:rsidRPr="00CD21DA" w:rsidRDefault="00CD21DA" w:rsidP="0090555D">
            <w:pPr>
              <w:keepNext/>
              <w:spacing w:before="0" w:after="0"/>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1282" w:type="pct"/>
            <w:vAlign w:val="center"/>
          </w:tcPr>
          <w:p w:rsidR="0090555D" w:rsidRPr="00CD21DA" w:rsidRDefault="00CD21DA" w:rsidP="0090555D">
            <w:pPr>
              <w:keepNext/>
              <w:spacing w:before="0" w:after="0"/>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1215" w:type="pct"/>
          </w:tcPr>
          <w:p w:rsidR="0090555D" w:rsidRPr="00CD21DA" w:rsidRDefault="00CD21DA" w:rsidP="0090555D">
            <w:pPr>
              <w:keepNext/>
              <w:spacing w:before="0" w:after="0"/>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r>
      <w:tr w:rsidR="007B40E7" w:rsidRPr="00591EA6" w:rsidTr="00B17A06">
        <w:trPr>
          <w:trHeight w:val="20"/>
        </w:trPr>
        <w:tc>
          <w:tcPr>
            <w:tcW w:w="3785" w:type="pct"/>
            <w:gridSpan w:val="3"/>
            <w:vAlign w:val="center"/>
          </w:tcPr>
          <w:p w:rsidR="007B40E7" w:rsidRPr="00591EA6" w:rsidRDefault="007B40E7" w:rsidP="0090555D">
            <w:pPr>
              <w:keepNext/>
              <w:spacing w:before="0" w:after="0"/>
              <w:rPr>
                <w:rFonts w:ascii="Arial Narrow" w:hAnsi="Arial Narrow" w:cs="Times New Roman"/>
                <w:b/>
                <w:sz w:val="20"/>
                <w:szCs w:val="20"/>
              </w:rPr>
            </w:pPr>
            <w:r w:rsidRPr="00591EA6">
              <w:rPr>
                <w:rFonts w:ascii="Arial Narrow" w:hAnsi="Arial Narrow" w:cs="Times New Roman"/>
                <w:b/>
                <w:sz w:val="20"/>
                <w:szCs w:val="20"/>
              </w:rPr>
              <w:t>Incremental cost/LYG gained</w:t>
            </w:r>
          </w:p>
        </w:tc>
        <w:tc>
          <w:tcPr>
            <w:tcW w:w="1215" w:type="pct"/>
          </w:tcPr>
          <w:p w:rsidR="007B40E7" w:rsidRPr="00591EA6" w:rsidRDefault="007B40E7" w:rsidP="000B4D99">
            <w:pPr>
              <w:keepNext/>
              <w:spacing w:before="0" w:after="0"/>
              <w:jc w:val="center"/>
              <w:rPr>
                <w:rFonts w:ascii="Arial Narrow" w:hAnsi="Arial Narrow" w:cs="Times New Roman"/>
                <w:b/>
                <w:sz w:val="20"/>
                <w:szCs w:val="20"/>
              </w:rPr>
            </w:pPr>
            <w:r w:rsidRPr="00591EA6">
              <w:rPr>
                <w:rFonts w:ascii="Arial Narrow" w:hAnsi="Arial Narrow" w:cs="Times New Roman"/>
                <w:b/>
                <w:sz w:val="20"/>
                <w:szCs w:val="20"/>
              </w:rPr>
              <w:t>$</w:t>
            </w:r>
            <w:r w:rsidR="00CD21DA">
              <w:rPr>
                <w:rFonts w:ascii="Arial Narrow" w:hAnsi="Arial Narrow" w:cs="Times New Roman"/>
                <w:b/>
                <w:noProof/>
                <w:color w:val="000000"/>
                <w:sz w:val="20"/>
                <w:szCs w:val="20"/>
                <w:highlight w:val="black"/>
              </w:rPr>
              <w:t>'''''''''''''''</w:t>
            </w:r>
          </w:p>
        </w:tc>
      </w:tr>
      <w:tr w:rsidR="007B40E7" w:rsidRPr="00591EA6" w:rsidTr="00B17A06">
        <w:trPr>
          <w:trHeight w:val="20"/>
        </w:trPr>
        <w:tc>
          <w:tcPr>
            <w:tcW w:w="3785" w:type="pct"/>
            <w:gridSpan w:val="3"/>
            <w:vAlign w:val="center"/>
          </w:tcPr>
          <w:p w:rsidR="007B40E7" w:rsidRPr="00591EA6" w:rsidRDefault="007B40E7" w:rsidP="0090555D">
            <w:pPr>
              <w:keepNext/>
              <w:spacing w:before="0" w:after="0"/>
              <w:rPr>
                <w:rFonts w:ascii="Arial Narrow" w:hAnsi="Arial Narrow" w:cs="Times New Roman"/>
                <w:b/>
                <w:sz w:val="20"/>
                <w:szCs w:val="20"/>
              </w:rPr>
            </w:pPr>
            <w:r w:rsidRPr="00591EA6">
              <w:rPr>
                <w:rFonts w:ascii="Arial Narrow" w:hAnsi="Arial Narrow" w:cs="Times New Roman"/>
                <w:b/>
                <w:sz w:val="20"/>
                <w:szCs w:val="20"/>
              </w:rPr>
              <w:t>Incremental cost/QALY</w:t>
            </w:r>
          </w:p>
        </w:tc>
        <w:tc>
          <w:tcPr>
            <w:tcW w:w="1215" w:type="pct"/>
          </w:tcPr>
          <w:p w:rsidR="007B40E7" w:rsidRPr="00591EA6" w:rsidRDefault="007B40E7" w:rsidP="000B4D99">
            <w:pPr>
              <w:keepNext/>
              <w:spacing w:before="0" w:after="0"/>
              <w:jc w:val="center"/>
              <w:rPr>
                <w:rFonts w:ascii="Arial Narrow" w:hAnsi="Arial Narrow" w:cs="Times New Roman"/>
                <w:b/>
                <w:sz w:val="20"/>
                <w:szCs w:val="20"/>
              </w:rPr>
            </w:pPr>
            <w:r w:rsidRPr="00591EA6">
              <w:rPr>
                <w:rFonts w:ascii="Arial Narrow" w:hAnsi="Arial Narrow" w:cs="Times New Roman"/>
                <w:b/>
                <w:sz w:val="20"/>
                <w:szCs w:val="20"/>
              </w:rPr>
              <w:t>$</w:t>
            </w:r>
            <w:r w:rsidR="00CD21DA">
              <w:rPr>
                <w:rFonts w:ascii="Arial Narrow" w:hAnsi="Arial Narrow" w:cs="Times New Roman"/>
                <w:b/>
                <w:noProof/>
                <w:color w:val="000000"/>
                <w:sz w:val="20"/>
                <w:szCs w:val="20"/>
                <w:highlight w:val="black"/>
              </w:rPr>
              <w:t>''''''''''''''''</w:t>
            </w:r>
          </w:p>
        </w:tc>
      </w:tr>
      <w:tr w:rsidR="0090555D" w:rsidRPr="00591EA6" w:rsidTr="00B17A06">
        <w:trPr>
          <w:trHeight w:val="20"/>
        </w:trPr>
        <w:tc>
          <w:tcPr>
            <w:tcW w:w="5000" w:type="pct"/>
            <w:gridSpan w:val="4"/>
            <w:vAlign w:val="center"/>
          </w:tcPr>
          <w:p w:rsidR="0090555D" w:rsidRPr="00591EA6" w:rsidRDefault="0090555D" w:rsidP="0090555D">
            <w:pPr>
              <w:keepNext/>
              <w:spacing w:before="0" w:after="0"/>
              <w:rPr>
                <w:rFonts w:ascii="Arial Narrow" w:hAnsi="Arial Narrow" w:cs="Arial Narrow"/>
                <w:b/>
                <w:bCs/>
                <w:sz w:val="20"/>
                <w:szCs w:val="20"/>
              </w:rPr>
            </w:pPr>
            <w:r w:rsidRPr="00591EA6">
              <w:rPr>
                <w:rFonts w:ascii="Arial Narrow" w:hAnsi="Arial Narrow" w:cs="Arial Narrow"/>
                <w:b/>
                <w:bCs/>
                <w:sz w:val="20"/>
                <w:szCs w:val="20"/>
              </w:rPr>
              <w:t>Step 2: modelled evaluation across 20 years</w:t>
            </w:r>
          </w:p>
        </w:tc>
      </w:tr>
      <w:tr w:rsidR="007B40E7" w:rsidRPr="00591EA6" w:rsidTr="00B17A06">
        <w:trPr>
          <w:trHeight w:val="20"/>
        </w:trPr>
        <w:tc>
          <w:tcPr>
            <w:tcW w:w="1222" w:type="pct"/>
            <w:vAlign w:val="center"/>
          </w:tcPr>
          <w:p w:rsidR="007B40E7" w:rsidRPr="00591EA6" w:rsidRDefault="007B40E7"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Costs</w:t>
            </w:r>
          </w:p>
        </w:tc>
        <w:tc>
          <w:tcPr>
            <w:tcW w:w="1281" w:type="pct"/>
          </w:tcPr>
          <w:p w:rsidR="007B40E7" w:rsidRPr="00591EA6" w:rsidRDefault="007B40E7" w:rsidP="000B4D99">
            <w:pPr>
              <w:keepNext/>
              <w:spacing w:before="0" w:after="0"/>
              <w:jc w:val="center"/>
              <w:rPr>
                <w:rFonts w:ascii="Arial Narrow" w:hAnsi="Arial Narrow" w:cs="Times New Roman"/>
                <w:sz w:val="20"/>
                <w:szCs w:val="20"/>
              </w:rPr>
            </w:pPr>
            <w:r w:rsidRPr="00591EA6">
              <w:rPr>
                <w:rFonts w:ascii="Arial Narrow" w:hAnsi="Arial Narrow" w:cs="Times New Roman"/>
                <w:sz w:val="20"/>
                <w:szCs w:val="20"/>
              </w:rPr>
              <w:t>$</w:t>
            </w:r>
            <w:r w:rsidR="00CD21DA">
              <w:rPr>
                <w:rFonts w:ascii="Arial Narrow" w:hAnsi="Arial Narrow" w:cs="Times New Roman"/>
                <w:noProof/>
                <w:color w:val="000000"/>
                <w:sz w:val="20"/>
                <w:szCs w:val="20"/>
                <w:highlight w:val="black"/>
              </w:rPr>
              <w:t>''''''''''''''''</w:t>
            </w:r>
          </w:p>
        </w:tc>
        <w:tc>
          <w:tcPr>
            <w:tcW w:w="1282" w:type="pct"/>
            <w:vAlign w:val="center"/>
          </w:tcPr>
          <w:p w:rsidR="007B40E7" w:rsidRPr="00591EA6" w:rsidRDefault="007B40E7" w:rsidP="000B4D99">
            <w:pPr>
              <w:keepNext/>
              <w:spacing w:before="0" w:after="0"/>
              <w:jc w:val="center"/>
              <w:rPr>
                <w:rFonts w:ascii="Arial Narrow" w:hAnsi="Arial Narrow" w:cs="Times New Roman"/>
                <w:sz w:val="20"/>
                <w:szCs w:val="20"/>
              </w:rPr>
            </w:pPr>
            <w:r w:rsidRPr="00591EA6">
              <w:rPr>
                <w:rFonts w:ascii="Arial Narrow" w:hAnsi="Arial Narrow" w:cs="Times New Roman"/>
                <w:sz w:val="20"/>
                <w:szCs w:val="20"/>
              </w:rPr>
              <w:t>$</w:t>
            </w:r>
            <w:r w:rsidR="00CD21DA">
              <w:rPr>
                <w:rFonts w:ascii="Arial Narrow" w:hAnsi="Arial Narrow" w:cs="Times New Roman"/>
                <w:noProof/>
                <w:color w:val="000000"/>
                <w:sz w:val="20"/>
                <w:szCs w:val="20"/>
                <w:highlight w:val="black"/>
              </w:rPr>
              <w:t>'''''''''''''''</w:t>
            </w:r>
          </w:p>
        </w:tc>
        <w:tc>
          <w:tcPr>
            <w:tcW w:w="1215" w:type="pct"/>
          </w:tcPr>
          <w:p w:rsidR="007B40E7" w:rsidRPr="00591EA6" w:rsidRDefault="007B40E7" w:rsidP="000B4D99">
            <w:pPr>
              <w:keepNext/>
              <w:tabs>
                <w:tab w:val="center" w:pos="991"/>
                <w:tab w:val="right" w:pos="1983"/>
              </w:tabs>
              <w:spacing w:before="0" w:after="0"/>
              <w:jc w:val="center"/>
              <w:rPr>
                <w:rFonts w:ascii="Arial Narrow" w:hAnsi="Arial Narrow" w:cs="Times New Roman"/>
                <w:sz w:val="20"/>
                <w:szCs w:val="20"/>
              </w:rPr>
            </w:pPr>
            <w:r w:rsidRPr="00591EA6">
              <w:rPr>
                <w:rFonts w:ascii="Arial Narrow" w:hAnsi="Arial Narrow" w:cs="Times New Roman"/>
                <w:sz w:val="20"/>
                <w:szCs w:val="20"/>
              </w:rPr>
              <w:t>$</w:t>
            </w:r>
            <w:r w:rsidR="00CD21DA">
              <w:rPr>
                <w:rFonts w:ascii="Arial Narrow" w:hAnsi="Arial Narrow" w:cs="Times New Roman"/>
                <w:noProof/>
                <w:color w:val="000000"/>
                <w:sz w:val="20"/>
                <w:szCs w:val="2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LYG</w:t>
            </w:r>
          </w:p>
        </w:tc>
        <w:tc>
          <w:tcPr>
            <w:tcW w:w="1281" w:type="pct"/>
          </w:tcPr>
          <w:p w:rsidR="0090555D" w:rsidRPr="00CD21DA" w:rsidRDefault="00CD21DA" w:rsidP="0090555D">
            <w:pPr>
              <w:keepNext/>
              <w:spacing w:before="0" w:after="0"/>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1282" w:type="pct"/>
            <w:vAlign w:val="center"/>
          </w:tcPr>
          <w:p w:rsidR="0090555D" w:rsidRPr="00CD21DA" w:rsidRDefault="00CD21DA" w:rsidP="0090555D">
            <w:pPr>
              <w:keepNext/>
              <w:spacing w:before="0" w:after="0"/>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QALY</w:t>
            </w:r>
          </w:p>
        </w:tc>
        <w:tc>
          <w:tcPr>
            <w:tcW w:w="1281" w:type="pct"/>
          </w:tcPr>
          <w:p w:rsidR="0090555D" w:rsidRPr="00CD21DA" w:rsidRDefault="00CD21DA" w:rsidP="0090555D">
            <w:pPr>
              <w:keepNext/>
              <w:spacing w:before="0" w:after="0"/>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1282" w:type="pct"/>
            <w:vAlign w:val="center"/>
          </w:tcPr>
          <w:p w:rsidR="0090555D" w:rsidRPr="00CD21DA" w:rsidRDefault="00CD21DA" w:rsidP="0090555D">
            <w:pPr>
              <w:keepNext/>
              <w:spacing w:before="0" w:after="0"/>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7B40E7" w:rsidRPr="00591EA6" w:rsidTr="00B17A06">
        <w:trPr>
          <w:trHeight w:val="20"/>
        </w:trPr>
        <w:tc>
          <w:tcPr>
            <w:tcW w:w="3785" w:type="pct"/>
            <w:gridSpan w:val="3"/>
            <w:vAlign w:val="center"/>
          </w:tcPr>
          <w:p w:rsidR="007B40E7" w:rsidRPr="00591EA6" w:rsidRDefault="007B40E7" w:rsidP="0090555D">
            <w:pPr>
              <w:keepNext/>
              <w:spacing w:before="0" w:after="0"/>
              <w:rPr>
                <w:rFonts w:ascii="Arial Narrow" w:hAnsi="Arial Narrow" w:cs="Times New Roman"/>
                <w:b/>
                <w:sz w:val="20"/>
                <w:szCs w:val="20"/>
              </w:rPr>
            </w:pPr>
            <w:r w:rsidRPr="00591EA6">
              <w:rPr>
                <w:rFonts w:ascii="Arial Narrow" w:hAnsi="Arial Narrow" w:cs="Times New Roman"/>
                <w:b/>
                <w:sz w:val="20"/>
                <w:szCs w:val="20"/>
              </w:rPr>
              <w:t>Incremental cost/LYG</w:t>
            </w:r>
          </w:p>
        </w:tc>
        <w:tc>
          <w:tcPr>
            <w:tcW w:w="1215" w:type="pct"/>
            <w:vAlign w:val="center"/>
          </w:tcPr>
          <w:p w:rsidR="007B40E7" w:rsidRPr="00591EA6" w:rsidRDefault="007B40E7" w:rsidP="000B4D99">
            <w:pPr>
              <w:pStyle w:val="Tabletext0"/>
              <w:keepNext/>
              <w:jc w:val="center"/>
              <w:rPr>
                <w:b/>
              </w:rPr>
            </w:pPr>
            <w:r w:rsidRPr="00591EA6">
              <w:rPr>
                <w:b/>
              </w:rPr>
              <w:t>$</w:t>
            </w:r>
            <w:r w:rsidR="00CD21DA">
              <w:rPr>
                <w:b/>
                <w:noProof/>
                <w:color w:val="000000"/>
                <w:highlight w:val="black"/>
              </w:rPr>
              <w:t>''''''''''''''</w:t>
            </w:r>
          </w:p>
        </w:tc>
      </w:tr>
      <w:tr w:rsidR="007B40E7" w:rsidRPr="00591EA6" w:rsidTr="00B17A06">
        <w:trPr>
          <w:trHeight w:val="20"/>
        </w:trPr>
        <w:tc>
          <w:tcPr>
            <w:tcW w:w="3785" w:type="pct"/>
            <w:gridSpan w:val="3"/>
            <w:vAlign w:val="center"/>
          </w:tcPr>
          <w:p w:rsidR="007B40E7" w:rsidRPr="00591EA6" w:rsidRDefault="007B40E7" w:rsidP="0090555D">
            <w:pPr>
              <w:keepNext/>
              <w:spacing w:before="0" w:after="0"/>
              <w:rPr>
                <w:rFonts w:ascii="Arial Narrow" w:hAnsi="Arial Narrow" w:cs="Times New Roman"/>
                <w:sz w:val="20"/>
                <w:szCs w:val="20"/>
              </w:rPr>
            </w:pPr>
            <w:r w:rsidRPr="00591EA6">
              <w:rPr>
                <w:rFonts w:ascii="Arial Narrow" w:hAnsi="Arial Narrow" w:cs="Times New Roman"/>
                <w:b/>
                <w:sz w:val="20"/>
                <w:szCs w:val="20"/>
              </w:rPr>
              <w:t>Incremental cost/QALY</w:t>
            </w:r>
          </w:p>
        </w:tc>
        <w:tc>
          <w:tcPr>
            <w:tcW w:w="1215" w:type="pct"/>
            <w:vAlign w:val="center"/>
          </w:tcPr>
          <w:p w:rsidR="007B40E7" w:rsidRPr="00591EA6" w:rsidRDefault="007B40E7" w:rsidP="000B4D99">
            <w:pPr>
              <w:pStyle w:val="Tabletext0"/>
              <w:keepNext/>
              <w:jc w:val="center"/>
              <w:rPr>
                <w:b/>
              </w:rPr>
            </w:pPr>
            <w:r w:rsidRPr="00591EA6">
              <w:rPr>
                <w:b/>
              </w:rPr>
              <w:t>$</w:t>
            </w:r>
            <w:r w:rsidR="00CD21DA">
              <w:rPr>
                <w:b/>
                <w:noProof/>
                <w:color w:val="000000"/>
                <w:highlight w:val="black"/>
              </w:rPr>
              <w:t>''''''''''''''</w:t>
            </w:r>
          </w:p>
        </w:tc>
      </w:tr>
      <w:tr w:rsidR="0090555D" w:rsidRPr="00591EA6" w:rsidTr="00B17A06">
        <w:trPr>
          <w:trHeight w:val="20"/>
        </w:trPr>
        <w:tc>
          <w:tcPr>
            <w:tcW w:w="5000" w:type="pct"/>
            <w:gridSpan w:val="4"/>
            <w:vAlign w:val="center"/>
          </w:tcPr>
          <w:p w:rsidR="0090555D" w:rsidRPr="00591EA6" w:rsidRDefault="0090555D" w:rsidP="0090555D">
            <w:pPr>
              <w:keepNext/>
              <w:spacing w:before="0" w:after="0"/>
              <w:rPr>
                <w:rFonts w:ascii="Arial Narrow" w:hAnsi="Arial Narrow" w:cs="Arial Narrow"/>
                <w:b/>
                <w:bCs/>
                <w:sz w:val="20"/>
                <w:szCs w:val="20"/>
              </w:rPr>
            </w:pPr>
            <w:r w:rsidRPr="00591EA6">
              <w:rPr>
                <w:rFonts w:ascii="Arial Narrow" w:hAnsi="Arial Narrow" w:cs="Arial Narrow"/>
                <w:b/>
                <w:bCs/>
                <w:sz w:val="20"/>
                <w:szCs w:val="20"/>
              </w:rPr>
              <w:t>Step 3: incorporation of medical resource use costs</w:t>
            </w:r>
          </w:p>
        </w:tc>
      </w:tr>
      <w:tr w:rsidR="007B40E7" w:rsidRPr="00591EA6" w:rsidTr="00B17A06">
        <w:trPr>
          <w:trHeight w:val="20"/>
        </w:trPr>
        <w:tc>
          <w:tcPr>
            <w:tcW w:w="1222" w:type="pct"/>
            <w:vAlign w:val="center"/>
          </w:tcPr>
          <w:p w:rsidR="007B40E7" w:rsidRPr="00591EA6" w:rsidRDefault="007B40E7"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Costs</w:t>
            </w:r>
          </w:p>
        </w:tc>
        <w:tc>
          <w:tcPr>
            <w:tcW w:w="1281" w:type="pct"/>
            <w:vAlign w:val="center"/>
          </w:tcPr>
          <w:p w:rsidR="007B40E7" w:rsidRPr="00591EA6" w:rsidRDefault="007B40E7" w:rsidP="000B4D99">
            <w:pPr>
              <w:pStyle w:val="Tabletext0"/>
              <w:keepNext/>
              <w:jc w:val="center"/>
            </w:pPr>
            <w:r w:rsidRPr="00591EA6">
              <w:t>$</w:t>
            </w:r>
            <w:r w:rsidR="00CD21DA">
              <w:rPr>
                <w:noProof/>
                <w:color w:val="000000"/>
                <w:highlight w:val="black"/>
              </w:rPr>
              <w:t>''''''''''''''''</w:t>
            </w:r>
          </w:p>
        </w:tc>
        <w:tc>
          <w:tcPr>
            <w:tcW w:w="1282" w:type="pct"/>
            <w:vAlign w:val="center"/>
          </w:tcPr>
          <w:p w:rsidR="007B40E7" w:rsidRPr="00591EA6" w:rsidRDefault="007B40E7" w:rsidP="000B4D99">
            <w:pPr>
              <w:pStyle w:val="Tabletext0"/>
              <w:keepNext/>
              <w:jc w:val="center"/>
            </w:pPr>
            <w:r w:rsidRPr="00591EA6">
              <w:t>$</w:t>
            </w:r>
            <w:r w:rsidR="00CD21DA">
              <w:rPr>
                <w:noProof/>
                <w:color w:val="000000"/>
                <w:highlight w:val="black"/>
              </w:rPr>
              <w:t>'''''''''''''''''</w:t>
            </w:r>
          </w:p>
        </w:tc>
        <w:tc>
          <w:tcPr>
            <w:tcW w:w="1215" w:type="pct"/>
          </w:tcPr>
          <w:p w:rsidR="007B40E7" w:rsidRPr="00591EA6" w:rsidRDefault="007B40E7" w:rsidP="000B4D99">
            <w:pPr>
              <w:pStyle w:val="Tabletext0"/>
              <w:keepNext/>
              <w:jc w:val="center"/>
            </w:pPr>
            <w:r w:rsidRPr="00591EA6">
              <w:t>$</w:t>
            </w:r>
            <w:r w:rsidR="00CD21DA">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LYG</w:t>
            </w:r>
          </w:p>
        </w:tc>
        <w:tc>
          <w:tcPr>
            <w:tcW w:w="1281" w:type="pct"/>
          </w:tcPr>
          <w:p w:rsidR="0090555D" w:rsidRPr="00CD21DA" w:rsidRDefault="00CD21DA" w:rsidP="0090555D">
            <w:pPr>
              <w:pStyle w:val="Tabletext0"/>
              <w:keepNext/>
              <w:jc w:val="center"/>
              <w:rPr>
                <w:highlight w:val="black"/>
              </w:rPr>
            </w:pPr>
            <w:r>
              <w:rPr>
                <w:noProof/>
                <w:color w:val="000000"/>
                <w:highlight w:val="black"/>
              </w:rPr>
              <w:t>''''''''''''''</w:t>
            </w:r>
          </w:p>
        </w:tc>
        <w:tc>
          <w:tcPr>
            <w:tcW w:w="1282"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QALY</w:t>
            </w:r>
          </w:p>
        </w:tc>
        <w:tc>
          <w:tcPr>
            <w:tcW w:w="1281" w:type="pct"/>
          </w:tcPr>
          <w:p w:rsidR="0090555D" w:rsidRPr="00CD21DA" w:rsidRDefault="00CD21DA" w:rsidP="0090555D">
            <w:pPr>
              <w:pStyle w:val="Tabletext0"/>
              <w:keepNext/>
              <w:jc w:val="center"/>
              <w:rPr>
                <w:highlight w:val="black"/>
              </w:rPr>
            </w:pPr>
            <w:r>
              <w:rPr>
                <w:noProof/>
                <w:color w:val="000000"/>
                <w:highlight w:val="black"/>
              </w:rPr>
              <w:t>'''''''''''</w:t>
            </w:r>
          </w:p>
        </w:tc>
        <w:tc>
          <w:tcPr>
            <w:tcW w:w="1282"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7B40E7" w:rsidRPr="00591EA6" w:rsidTr="00B17A06">
        <w:trPr>
          <w:trHeight w:val="20"/>
        </w:trPr>
        <w:tc>
          <w:tcPr>
            <w:tcW w:w="3785" w:type="pct"/>
            <w:gridSpan w:val="3"/>
            <w:vAlign w:val="center"/>
          </w:tcPr>
          <w:p w:rsidR="007B40E7" w:rsidRPr="00591EA6" w:rsidRDefault="007B40E7" w:rsidP="0090555D">
            <w:pPr>
              <w:keepNext/>
              <w:spacing w:before="0" w:after="0"/>
              <w:rPr>
                <w:rFonts w:ascii="Arial Narrow" w:hAnsi="Arial Narrow" w:cs="Times New Roman"/>
                <w:b/>
                <w:sz w:val="20"/>
                <w:szCs w:val="20"/>
              </w:rPr>
            </w:pPr>
            <w:r w:rsidRPr="00591EA6">
              <w:rPr>
                <w:rFonts w:ascii="Arial Narrow" w:hAnsi="Arial Narrow" w:cs="Times New Roman"/>
                <w:b/>
                <w:sz w:val="20"/>
                <w:szCs w:val="20"/>
              </w:rPr>
              <w:t>Incremental cost/LYG</w:t>
            </w:r>
          </w:p>
        </w:tc>
        <w:tc>
          <w:tcPr>
            <w:tcW w:w="1215" w:type="pct"/>
          </w:tcPr>
          <w:p w:rsidR="007B40E7" w:rsidRPr="00591EA6" w:rsidRDefault="007B40E7" w:rsidP="000B4D99">
            <w:pPr>
              <w:pStyle w:val="TableText1"/>
              <w:spacing w:before="0" w:after="0"/>
              <w:jc w:val="center"/>
              <w:rPr>
                <w:b/>
              </w:rPr>
            </w:pPr>
            <w:r w:rsidRPr="00591EA6">
              <w:rPr>
                <w:b/>
              </w:rPr>
              <w:t>$</w:t>
            </w:r>
            <w:r w:rsidR="00CD21DA">
              <w:rPr>
                <w:b/>
                <w:noProof/>
                <w:color w:val="000000"/>
                <w:highlight w:val="black"/>
              </w:rPr>
              <w:t>''''''''''''''</w:t>
            </w:r>
          </w:p>
        </w:tc>
      </w:tr>
      <w:tr w:rsidR="007B40E7" w:rsidRPr="00591EA6" w:rsidTr="00B17A06">
        <w:trPr>
          <w:trHeight w:val="20"/>
        </w:trPr>
        <w:tc>
          <w:tcPr>
            <w:tcW w:w="3785" w:type="pct"/>
            <w:gridSpan w:val="3"/>
            <w:vAlign w:val="center"/>
          </w:tcPr>
          <w:p w:rsidR="007B40E7" w:rsidRPr="00591EA6" w:rsidRDefault="007B40E7" w:rsidP="0090555D">
            <w:pPr>
              <w:keepNext/>
              <w:spacing w:before="0" w:after="0"/>
              <w:rPr>
                <w:rFonts w:ascii="Arial Narrow" w:hAnsi="Arial Narrow" w:cs="Times New Roman"/>
                <w:sz w:val="20"/>
                <w:szCs w:val="20"/>
              </w:rPr>
            </w:pPr>
            <w:r w:rsidRPr="00591EA6">
              <w:rPr>
                <w:rFonts w:ascii="Arial Narrow" w:hAnsi="Arial Narrow" w:cs="Times New Roman"/>
                <w:b/>
                <w:sz w:val="20"/>
                <w:szCs w:val="20"/>
              </w:rPr>
              <w:t>Incremental cost/QALY</w:t>
            </w:r>
          </w:p>
        </w:tc>
        <w:tc>
          <w:tcPr>
            <w:tcW w:w="1215" w:type="pct"/>
          </w:tcPr>
          <w:p w:rsidR="007B40E7" w:rsidRPr="00591EA6" w:rsidRDefault="007B40E7" w:rsidP="000B4D99">
            <w:pPr>
              <w:pStyle w:val="TableText1"/>
              <w:spacing w:before="0" w:after="0"/>
              <w:jc w:val="center"/>
              <w:rPr>
                <w:b/>
              </w:rPr>
            </w:pPr>
            <w:r w:rsidRPr="00591EA6">
              <w:rPr>
                <w:b/>
              </w:rPr>
              <w:t>$</w:t>
            </w:r>
            <w:r w:rsidR="00CD21DA">
              <w:rPr>
                <w:b/>
                <w:noProof/>
                <w:color w:val="000000"/>
                <w:highlight w:val="black"/>
              </w:rPr>
              <w:t>'''''''''''''</w:t>
            </w:r>
          </w:p>
        </w:tc>
      </w:tr>
      <w:tr w:rsidR="0090555D" w:rsidRPr="00591EA6" w:rsidTr="00B17A06">
        <w:trPr>
          <w:trHeight w:val="20"/>
        </w:trPr>
        <w:tc>
          <w:tcPr>
            <w:tcW w:w="5000" w:type="pct"/>
            <w:gridSpan w:val="4"/>
            <w:vAlign w:val="center"/>
          </w:tcPr>
          <w:p w:rsidR="0090555D" w:rsidRPr="00591EA6" w:rsidRDefault="0090555D" w:rsidP="0090555D">
            <w:pPr>
              <w:keepNext/>
              <w:spacing w:before="0" w:after="0"/>
              <w:rPr>
                <w:rFonts w:ascii="Arial Narrow" w:hAnsi="Arial Narrow" w:cs="Arial Narrow"/>
                <w:b/>
                <w:bCs/>
                <w:sz w:val="20"/>
                <w:szCs w:val="20"/>
              </w:rPr>
            </w:pPr>
            <w:r w:rsidRPr="00591EA6">
              <w:rPr>
                <w:rFonts w:ascii="Arial Narrow" w:hAnsi="Arial Narrow" w:cs="Arial Narrow"/>
                <w:b/>
                <w:bCs/>
                <w:sz w:val="20"/>
                <w:szCs w:val="20"/>
              </w:rPr>
              <w:t>Step 4: incorporation of AE costs</w:t>
            </w:r>
          </w:p>
        </w:tc>
      </w:tr>
      <w:tr w:rsidR="003F4A14" w:rsidRPr="00591EA6" w:rsidTr="00B17A06">
        <w:trPr>
          <w:trHeight w:val="20"/>
        </w:trPr>
        <w:tc>
          <w:tcPr>
            <w:tcW w:w="1222" w:type="pct"/>
            <w:vAlign w:val="center"/>
          </w:tcPr>
          <w:p w:rsidR="003F4A14" w:rsidRPr="00591EA6" w:rsidRDefault="003F4A14"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Costs</w:t>
            </w:r>
          </w:p>
        </w:tc>
        <w:tc>
          <w:tcPr>
            <w:tcW w:w="1281" w:type="pct"/>
            <w:vAlign w:val="center"/>
          </w:tcPr>
          <w:p w:rsidR="003F4A14" w:rsidRPr="00591EA6" w:rsidRDefault="003F4A14" w:rsidP="0090555D">
            <w:pPr>
              <w:pStyle w:val="Tabletext0"/>
              <w:keepNext/>
              <w:jc w:val="center"/>
            </w:pPr>
            <w:r w:rsidRPr="00591EA6">
              <w:t>$</w:t>
            </w:r>
            <w:r w:rsidR="00CD21DA">
              <w:rPr>
                <w:noProof/>
                <w:color w:val="000000"/>
                <w:highlight w:val="black"/>
              </w:rPr>
              <w:t>'''''''''''''''''</w:t>
            </w:r>
          </w:p>
        </w:tc>
        <w:tc>
          <w:tcPr>
            <w:tcW w:w="1282" w:type="pct"/>
            <w:vAlign w:val="center"/>
          </w:tcPr>
          <w:p w:rsidR="003F4A14" w:rsidRPr="00591EA6" w:rsidRDefault="003F4A14" w:rsidP="0090555D">
            <w:pPr>
              <w:pStyle w:val="Tabletext0"/>
              <w:keepNext/>
              <w:jc w:val="center"/>
            </w:pPr>
            <w:r w:rsidRPr="00591EA6">
              <w:t>$</w:t>
            </w:r>
            <w:r w:rsidR="00CD21DA">
              <w:rPr>
                <w:noProof/>
                <w:color w:val="000000"/>
                <w:highlight w:val="black"/>
              </w:rPr>
              <w:t>''''''''''''''''</w:t>
            </w:r>
          </w:p>
        </w:tc>
        <w:tc>
          <w:tcPr>
            <w:tcW w:w="1215" w:type="pct"/>
          </w:tcPr>
          <w:p w:rsidR="003F4A14" w:rsidRPr="00591EA6" w:rsidRDefault="003F4A14" w:rsidP="0090555D">
            <w:pPr>
              <w:pStyle w:val="Tabletext0"/>
              <w:keepNext/>
              <w:jc w:val="center"/>
            </w:pPr>
            <w:r w:rsidRPr="00591EA6">
              <w:t>$</w:t>
            </w:r>
            <w:r w:rsidR="00CD21DA">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LYG</w:t>
            </w:r>
          </w:p>
        </w:tc>
        <w:tc>
          <w:tcPr>
            <w:tcW w:w="1281" w:type="pct"/>
          </w:tcPr>
          <w:p w:rsidR="0090555D" w:rsidRPr="00CD21DA" w:rsidRDefault="00CD21DA" w:rsidP="0090555D">
            <w:pPr>
              <w:pStyle w:val="Tabletext0"/>
              <w:keepNext/>
              <w:jc w:val="center"/>
              <w:rPr>
                <w:highlight w:val="black"/>
              </w:rPr>
            </w:pPr>
            <w:r>
              <w:rPr>
                <w:noProof/>
                <w:color w:val="000000"/>
                <w:highlight w:val="black"/>
              </w:rPr>
              <w:t>''''''''''''</w:t>
            </w:r>
          </w:p>
        </w:tc>
        <w:tc>
          <w:tcPr>
            <w:tcW w:w="1282"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QALY</w:t>
            </w:r>
          </w:p>
        </w:tc>
        <w:tc>
          <w:tcPr>
            <w:tcW w:w="1281" w:type="pct"/>
          </w:tcPr>
          <w:p w:rsidR="0090555D" w:rsidRPr="00CD21DA" w:rsidRDefault="00CD21DA" w:rsidP="0090555D">
            <w:pPr>
              <w:pStyle w:val="Tabletext0"/>
              <w:keepNext/>
              <w:jc w:val="center"/>
              <w:rPr>
                <w:highlight w:val="black"/>
              </w:rPr>
            </w:pPr>
            <w:r>
              <w:rPr>
                <w:noProof/>
                <w:color w:val="000000"/>
                <w:highlight w:val="black"/>
              </w:rPr>
              <w:t>''''''''''</w:t>
            </w:r>
          </w:p>
        </w:tc>
        <w:tc>
          <w:tcPr>
            <w:tcW w:w="1282"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3F4A14" w:rsidRPr="00591EA6" w:rsidTr="00B17A06">
        <w:trPr>
          <w:trHeight w:val="20"/>
        </w:trPr>
        <w:tc>
          <w:tcPr>
            <w:tcW w:w="3785" w:type="pct"/>
            <w:gridSpan w:val="3"/>
            <w:vAlign w:val="center"/>
          </w:tcPr>
          <w:p w:rsidR="003F4A14" w:rsidRPr="00591EA6" w:rsidRDefault="003F4A14" w:rsidP="0090555D">
            <w:pPr>
              <w:keepNext/>
              <w:spacing w:before="0" w:after="0"/>
              <w:rPr>
                <w:rFonts w:ascii="Arial Narrow" w:hAnsi="Arial Narrow" w:cs="Times New Roman"/>
                <w:b/>
                <w:sz w:val="20"/>
                <w:szCs w:val="20"/>
              </w:rPr>
            </w:pPr>
            <w:r w:rsidRPr="00591EA6">
              <w:rPr>
                <w:rFonts w:ascii="Arial Narrow" w:hAnsi="Arial Narrow" w:cs="Times New Roman"/>
                <w:b/>
                <w:sz w:val="20"/>
                <w:szCs w:val="20"/>
              </w:rPr>
              <w:t>Incremental cost/LYG</w:t>
            </w:r>
          </w:p>
        </w:tc>
        <w:tc>
          <w:tcPr>
            <w:tcW w:w="1215" w:type="pct"/>
          </w:tcPr>
          <w:p w:rsidR="003F4A14" w:rsidRPr="00591EA6" w:rsidRDefault="003F4A14" w:rsidP="0090555D">
            <w:pPr>
              <w:pStyle w:val="Tabletext0"/>
              <w:keepNext/>
              <w:jc w:val="center"/>
              <w:rPr>
                <w:b/>
              </w:rPr>
            </w:pPr>
            <w:r w:rsidRPr="00591EA6">
              <w:rPr>
                <w:b/>
              </w:rPr>
              <w:t>$</w:t>
            </w:r>
            <w:r w:rsidR="00CD21DA">
              <w:rPr>
                <w:b/>
                <w:noProof/>
                <w:color w:val="000000"/>
                <w:highlight w:val="black"/>
              </w:rPr>
              <w:t>'''''''''''''</w:t>
            </w:r>
          </w:p>
        </w:tc>
      </w:tr>
      <w:tr w:rsidR="003F4A14" w:rsidRPr="00591EA6" w:rsidTr="00B17A06">
        <w:trPr>
          <w:trHeight w:val="20"/>
        </w:trPr>
        <w:tc>
          <w:tcPr>
            <w:tcW w:w="3785" w:type="pct"/>
            <w:gridSpan w:val="3"/>
            <w:vAlign w:val="center"/>
          </w:tcPr>
          <w:p w:rsidR="003F4A14" w:rsidRPr="00591EA6" w:rsidRDefault="003F4A14" w:rsidP="0090555D">
            <w:pPr>
              <w:keepNext/>
              <w:spacing w:before="0" w:after="0"/>
              <w:rPr>
                <w:rFonts w:ascii="Arial Narrow" w:hAnsi="Arial Narrow" w:cs="Times New Roman"/>
                <w:sz w:val="20"/>
                <w:szCs w:val="20"/>
              </w:rPr>
            </w:pPr>
            <w:r w:rsidRPr="00591EA6">
              <w:rPr>
                <w:rFonts w:ascii="Arial Narrow" w:hAnsi="Arial Narrow" w:cs="Times New Roman"/>
                <w:b/>
                <w:sz w:val="20"/>
                <w:szCs w:val="20"/>
              </w:rPr>
              <w:t>Incremental cost/QALY</w:t>
            </w:r>
          </w:p>
        </w:tc>
        <w:tc>
          <w:tcPr>
            <w:tcW w:w="1215" w:type="pct"/>
          </w:tcPr>
          <w:p w:rsidR="003F4A14" w:rsidRPr="00591EA6" w:rsidRDefault="003F4A14" w:rsidP="0090555D">
            <w:pPr>
              <w:pStyle w:val="Tabletext0"/>
              <w:keepNext/>
              <w:jc w:val="center"/>
              <w:rPr>
                <w:b/>
              </w:rPr>
            </w:pPr>
            <w:r w:rsidRPr="00591EA6">
              <w:rPr>
                <w:b/>
              </w:rPr>
              <w:t>$</w:t>
            </w:r>
            <w:r w:rsidR="00CD21DA">
              <w:rPr>
                <w:b/>
                <w:noProof/>
                <w:color w:val="000000"/>
                <w:highlight w:val="black"/>
              </w:rPr>
              <w:t>''''''''''''</w:t>
            </w:r>
          </w:p>
        </w:tc>
      </w:tr>
      <w:tr w:rsidR="0090555D" w:rsidRPr="00591EA6" w:rsidTr="00B17A06">
        <w:trPr>
          <w:trHeight w:val="20"/>
        </w:trPr>
        <w:tc>
          <w:tcPr>
            <w:tcW w:w="5000" w:type="pct"/>
            <w:gridSpan w:val="4"/>
            <w:vAlign w:val="center"/>
          </w:tcPr>
          <w:p w:rsidR="0090555D" w:rsidRPr="00591EA6" w:rsidRDefault="0090555D" w:rsidP="00C20D2D">
            <w:pPr>
              <w:keepNext/>
              <w:spacing w:before="0" w:after="0"/>
              <w:rPr>
                <w:rFonts w:ascii="Arial Narrow" w:hAnsi="Arial Narrow" w:cs="Arial Narrow"/>
                <w:b/>
                <w:bCs/>
                <w:sz w:val="20"/>
                <w:szCs w:val="20"/>
              </w:rPr>
            </w:pPr>
            <w:r w:rsidRPr="00591EA6">
              <w:rPr>
                <w:rFonts w:ascii="Arial Narrow" w:hAnsi="Arial Narrow" w:cs="Arial Narrow"/>
                <w:b/>
                <w:bCs/>
                <w:sz w:val="20"/>
                <w:szCs w:val="20"/>
              </w:rPr>
              <w:t>Step 5: incorporation of utility values</w:t>
            </w:r>
            <w:r w:rsidR="00C20D2D" w:rsidRPr="00591EA6">
              <w:rPr>
                <w:rFonts w:ascii="Arial Narrow" w:hAnsi="Arial Narrow" w:cs="Arial Narrow"/>
                <w:b/>
                <w:bCs/>
                <w:sz w:val="20"/>
                <w:szCs w:val="20"/>
              </w:rPr>
              <w:t xml:space="preserve"> (incorporated at</w:t>
            </w:r>
            <w:r w:rsidR="00DB1887" w:rsidRPr="00591EA6">
              <w:rPr>
                <w:rFonts w:ascii="Arial Narrow" w:hAnsi="Arial Narrow" w:cs="Arial Narrow"/>
                <w:b/>
                <w:bCs/>
                <w:sz w:val="20"/>
                <w:szCs w:val="20"/>
              </w:rPr>
              <w:t xml:space="preserve"> </w:t>
            </w:r>
            <w:r w:rsidR="00C20D2D" w:rsidRPr="00591EA6">
              <w:rPr>
                <w:rFonts w:ascii="Arial Narrow" w:hAnsi="Arial Narrow" w:cs="Arial Narrow"/>
                <w:b/>
                <w:bCs/>
                <w:sz w:val="20"/>
                <w:szCs w:val="20"/>
              </w:rPr>
              <w:t>each</w:t>
            </w:r>
            <w:r w:rsidR="00DB1887" w:rsidRPr="00591EA6">
              <w:rPr>
                <w:rFonts w:ascii="Arial Narrow" w:hAnsi="Arial Narrow" w:cs="Arial Narrow"/>
                <w:b/>
                <w:bCs/>
                <w:sz w:val="20"/>
                <w:szCs w:val="20"/>
              </w:rPr>
              <w:t xml:space="preserve"> step in this table)</w:t>
            </w:r>
          </w:p>
        </w:tc>
      </w:tr>
      <w:tr w:rsidR="0090555D" w:rsidRPr="00591EA6" w:rsidTr="00B17A06">
        <w:trPr>
          <w:trHeight w:val="20"/>
        </w:trPr>
        <w:tc>
          <w:tcPr>
            <w:tcW w:w="5000" w:type="pct"/>
            <w:gridSpan w:val="4"/>
            <w:vAlign w:val="center"/>
          </w:tcPr>
          <w:p w:rsidR="0090555D" w:rsidRPr="00591EA6" w:rsidRDefault="0090555D" w:rsidP="0090555D">
            <w:pPr>
              <w:pStyle w:val="Tabletext0"/>
              <w:keepNext/>
              <w:rPr>
                <w:b/>
              </w:rPr>
            </w:pPr>
            <w:r w:rsidRPr="00591EA6">
              <w:rPr>
                <w:b/>
              </w:rPr>
              <w:t>Step 6: Inclusion of post-progression therapy</w:t>
            </w:r>
          </w:p>
        </w:tc>
      </w:tr>
      <w:tr w:rsidR="003F4A14" w:rsidRPr="00591EA6" w:rsidTr="00B17A06">
        <w:trPr>
          <w:trHeight w:val="20"/>
        </w:trPr>
        <w:tc>
          <w:tcPr>
            <w:tcW w:w="1222" w:type="pct"/>
            <w:vAlign w:val="center"/>
          </w:tcPr>
          <w:p w:rsidR="003F4A14" w:rsidRPr="00591EA6" w:rsidRDefault="003F4A14"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Costs</w:t>
            </w:r>
          </w:p>
        </w:tc>
        <w:tc>
          <w:tcPr>
            <w:tcW w:w="1281" w:type="pct"/>
            <w:vAlign w:val="center"/>
          </w:tcPr>
          <w:p w:rsidR="003F4A14" w:rsidRPr="00591EA6" w:rsidRDefault="003F4A14" w:rsidP="00B45257">
            <w:pPr>
              <w:pStyle w:val="Tabletext0"/>
              <w:keepNext/>
              <w:jc w:val="center"/>
            </w:pPr>
            <w:r w:rsidRPr="00591EA6">
              <w:t>$</w:t>
            </w:r>
            <w:r w:rsidR="00CD21DA">
              <w:rPr>
                <w:noProof/>
                <w:color w:val="000000"/>
                <w:highlight w:val="black"/>
              </w:rPr>
              <w:t>''''''''''''''''''</w:t>
            </w:r>
          </w:p>
        </w:tc>
        <w:tc>
          <w:tcPr>
            <w:tcW w:w="1282" w:type="pct"/>
            <w:vAlign w:val="center"/>
          </w:tcPr>
          <w:p w:rsidR="003F4A14" w:rsidRPr="00591EA6" w:rsidRDefault="003F4A14" w:rsidP="00B45257">
            <w:pPr>
              <w:pStyle w:val="Tabletext0"/>
              <w:keepNext/>
              <w:jc w:val="center"/>
            </w:pPr>
            <w:r w:rsidRPr="00591EA6">
              <w:t>$</w:t>
            </w:r>
            <w:r w:rsidR="00CD21DA">
              <w:rPr>
                <w:noProof/>
                <w:color w:val="000000"/>
                <w:highlight w:val="black"/>
              </w:rPr>
              <w:t>'''''''''''''''''</w:t>
            </w:r>
          </w:p>
        </w:tc>
        <w:tc>
          <w:tcPr>
            <w:tcW w:w="1215" w:type="pct"/>
          </w:tcPr>
          <w:p w:rsidR="003F4A14" w:rsidRPr="00591EA6" w:rsidRDefault="003F4A14" w:rsidP="00B45257">
            <w:pPr>
              <w:pStyle w:val="Tabletext0"/>
              <w:keepNext/>
              <w:jc w:val="center"/>
            </w:pPr>
            <w:r w:rsidRPr="00591EA6">
              <w:t>$</w:t>
            </w:r>
            <w:r w:rsidR="00CD21DA">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LYG</w:t>
            </w:r>
          </w:p>
        </w:tc>
        <w:tc>
          <w:tcPr>
            <w:tcW w:w="1281" w:type="pct"/>
          </w:tcPr>
          <w:p w:rsidR="0090555D" w:rsidRPr="00CD21DA" w:rsidRDefault="00CD21DA" w:rsidP="0090555D">
            <w:pPr>
              <w:pStyle w:val="Tabletext0"/>
              <w:keepNext/>
              <w:jc w:val="center"/>
              <w:rPr>
                <w:highlight w:val="black"/>
              </w:rPr>
            </w:pPr>
            <w:r>
              <w:rPr>
                <w:noProof/>
                <w:color w:val="000000"/>
                <w:highlight w:val="black"/>
              </w:rPr>
              <w:t>''''''''''''''</w:t>
            </w:r>
          </w:p>
        </w:tc>
        <w:tc>
          <w:tcPr>
            <w:tcW w:w="1282"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QALY</w:t>
            </w:r>
          </w:p>
        </w:tc>
        <w:tc>
          <w:tcPr>
            <w:tcW w:w="1281"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82"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3F4A14" w:rsidRPr="00591EA6" w:rsidTr="00B17A06">
        <w:trPr>
          <w:trHeight w:val="20"/>
        </w:trPr>
        <w:tc>
          <w:tcPr>
            <w:tcW w:w="3785" w:type="pct"/>
            <w:gridSpan w:val="3"/>
            <w:vAlign w:val="center"/>
          </w:tcPr>
          <w:p w:rsidR="003F4A14" w:rsidRPr="00591EA6" w:rsidRDefault="003F4A14" w:rsidP="0090555D">
            <w:pPr>
              <w:pStyle w:val="Tabletext0"/>
              <w:keepNext/>
            </w:pPr>
            <w:r w:rsidRPr="00591EA6">
              <w:rPr>
                <w:b/>
              </w:rPr>
              <w:t>Incremental cost/LYG</w:t>
            </w:r>
          </w:p>
        </w:tc>
        <w:tc>
          <w:tcPr>
            <w:tcW w:w="1215" w:type="pct"/>
          </w:tcPr>
          <w:p w:rsidR="003F4A14" w:rsidRPr="00591EA6" w:rsidRDefault="003F4A14" w:rsidP="00B45257">
            <w:pPr>
              <w:pStyle w:val="Tabletext0"/>
              <w:keepNext/>
              <w:jc w:val="center"/>
              <w:rPr>
                <w:b/>
              </w:rPr>
            </w:pPr>
            <w:r w:rsidRPr="00591EA6">
              <w:rPr>
                <w:b/>
              </w:rPr>
              <w:t>$</w:t>
            </w:r>
            <w:r w:rsidR="00CD21DA">
              <w:rPr>
                <w:b/>
                <w:noProof/>
                <w:color w:val="000000"/>
                <w:highlight w:val="black"/>
              </w:rPr>
              <w:t>'''''''''''''</w:t>
            </w:r>
          </w:p>
        </w:tc>
      </w:tr>
      <w:tr w:rsidR="003F4A14" w:rsidRPr="00591EA6" w:rsidTr="00B17A06">
        <w:trPr>
          <w:trHeight w:val="20"/>
        </w:trPr>
        <w:tc>
          <w:tcPr>
            <w:tcW w:w="3785" w:type="pct"/>
            <w:gridSpan w:val="3"/>
            <w:vAlign w:val="center"/>
          </w:tcPr>
          <w:p w:rsidR="003F4A14" w:rsidRPr="00591EA6" w:rsidRDefault="003F4A14" w:rsidP="0090555D">
            <w:pPr>
              <w:pStyle w:val="Tabletext0"/>
              <w:keepNext/>
            </w:pPr>
            <w:r w:rsidRPr="00591EA6">
              <w:rPr>
                <w:b/>
              </w:rPr>
              <w:t>Incremental cost/QALY</w:t>
            </w:r>
          </w:p>
        </w:tc>
        <w:tc>
          <w:tcPr>
            <w:tcW w:w="1215" w:type="pct"/>
          </w:tcPr>
          <w:p w:rsidR="003F4A14" w:rsidRPr="00591EA6" w:rsidRDefault="003F4A14" w:rsidP="00B45257">
            <w:pPr>
              <w:pStyle w:val="Tabletext0"/>
              <w:keepNext/>
              <w:jc w:val="center"/>
              <w:rPr>
                <w:b/>
              </w:rPr>
            </w:pPr>
            <w:r w:rsidRPr="00591EA6">
              <w:rPr>
                <w:b/>
              </w:rPr>
              <w:t>$</w:t>
            </w:r>
            <w:r w:rsidR="00CD21DA">
              <w:rPr>
                <w:b/>
                <w:noProof/>
                <w:color w:val="000000"/>
                <w:highlight w:val="black"/>
              </w:rPr>
              <w:t>''''''''''''''</w:t>
            </w:r>
          </w:p>
        </w:tc>
      </w:tr>
      <w:tr w:rsidR="0090555D" w:rsidRPr="00591EA6" w:rsidTr="00B17A06">
        <w:trPr>
          <w:trHeight w:val="20"/>
        </w:trPr>
        <w:tc>
          <w:tcPr>
            <w:tcW w:w="5000" w:type="pct"/>
            <w:gridSpan w:val="4"/>
            <w:vAlign w:val="center"/>
          </w:tcPr>
          <w:p w:rsidR="0090555D" w:rsidRPr="00591EA6" w:rsidRDefault="0090555D" w:rsidP="0090555D">
            <w:pPr>
              <w:pStyle w:val="Tabletext0"/>
              <w:keepNext/>
              <w:rPr>
                <w:b/>
              </w:rPr>
            </w:pPr>
            <w:r w:rsidRPr="00591EA6">
              <w:rPr>
                <w:b/>
              </w:rPr>
              <w:t>Step 7: Inclusion of end of life costs</w:t>
            </w:r>
          </w:p>
        </w:tc>
      </w:tr>
      <w:tr w:rsidR="00406591" w:rsidRPr="00591EA6" w:rsidTr="00B17A06">
        <w:trPr>
          <w:trHeight w:val="20"/>
        </w:trPr>
        <w:tc>
          <w:tcPr>
            <w:tcW w:w="1222" w:type="pct"/>
            <w:vAlign w:val="center"/>
          </w:tcPr>
          <w:p w:rsidR="00406591" w:rsidRPr="00591EA6" w:rsidRDefault="00406591"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Costs</w:t>
            </w:r>
          </w:p>
        </w:tc>
        <w:tc>
          <w:tcPr>
            <w:tcW w:w="1281" w:type="pct"/>
            <w:vAlign w:val="center"/>
          </w:tcPr>
          <w:p w:rsidR="00406591" w:rsidRPr="00591EA6" w:rsidRDefault="00406591" w:rsidP="00DF194B">
            <w:pPr>
              <w:pStyle w:val="Tabletext0"/>
              <w:keepNext/>
              <w:jc w:val="center"/>
            </w:pPr>
            <w:r w:rsidRPr="00591EA6">
              <w:t>$</w:t>
            </w:r>
            <w:r w:rsidR="00CD21DA">
              <w:rPr>
                <w:noProof/>
                <w:color w:val="000000"/>
                <w:highlight w:val="black"/>
              </w:rPr>
              <w:t>''''''''''''''''</w:t>
            </w:r>
          </w:p>
        </w:tc>
        <w:tc>
          <w:tcPr>
            <w:tcW w:w="1282" w:type="pct"/>
            <w:vAlign w:val="center"/>
          </w:tcPr>
          <w:p w:rsidR="00406591" w:rsidRPr="00591EA6" w:rsidRDefault="00406591" w:rsidP="00DF194B">
            <w:pPr>
              <w:pStyle w:val="Tabletext0"/>
              <w:keepNext/>
              <w:jc w:val="center"/>
            </w:pPr>
            <w:r w:rsidRPr="00591EA6">
              <w:t>$</w:t>
            </w:r>
            <w:r w:rsidR="00CD21DA">
              <w:rPr>
                <w:noProof/>
                <w:color w:val="000000"/>
                <w:highlight w:val="black"/>
              </w:rPr>
              <w:t>''''''''''''''''</w:t>
            </w:r>
          </w:p>
        </w:tc>
        <w:tc>
          <w:tcPr>
            <w:tcW w:w="1215" w:type="pct"/>
          </w:tcPr>
          <w:p w:rsidR="00406591" w:rsidRPr="00591EA6" w:rsidRDefault="00406591" w:rsidP="00DF194B">
            <w:pPr>
              <w:pStyle w:val="Tabletext0"/>
              <w:keepNext/>
              <w:jc w:val="center"/>
            </w:pPr>
            <w:r w:rsidRPr="00591EA6">
              <w:t>$</w:t>
            </w:r>
            <w:r w:rsidR="00CD21DA">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LYG</w:t>
            </w:r>
          </w:p>
        </w:tc>
        <w:tc>
          <w:tcPr>
            <w:tcW w:w="1281" w:type="pct"/>
          </w:tcPr>
          <w:p w:rsidR="0090555D" w:rsidRPr="00CD21DA" w:rsidRDefault="00CD21DA" w:rsidP="0090555D">
            <w:pPr>
              <w:pStyle w:val="Tabletext0"/>
              <w:keepNext/>
              <w:jc w:val="center"/>
              <w:rPr>
                <w:highlight w:val="black"/>
              </w:rPr>
            </w:pPr>
            <w:r>
              <w:rPr>
                <w:noProof/>
                <w:color w:val="000000"/>
                <w:highlight w:val="black"/>
              </w:rPr>
              <w:t>''''''''''''''</w:t>
            </w:r>
          </w:p>
        </w:tc>
        <w:tc>
          <w:tcPr>
            <w:tcW w:w="1282"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QALY</w:t>
            </w:r>
          </w:p>
        </w:tc>
        <w:tc>
          <w:tcPr>
            <w:tcW w:w="1281"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82"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406591" w:rsidRPr="00591EA6" w:rsidTr="00B17A06">
        <w:trPr>
          <w:trHeight w:val="20"/>
        </w:trPr>
        <w:tc>
          <w:tcPr>
            <w:tcW w:w="3785" w:type="pct"/>
            <w:gridSpan w:val="3"/>
            <w:vAlign w:val="center"/>
          </w:tcPr>
          <w:p w:rsidR="00406591" w:rsidRPr="00591EA6" w:rsidRDefault="00406591" w:rsidP="0090555D">
            <w:pPr>
              <w:pStyle w:val="Tabletext0"/>
              <w:keepNext/>
            </w:pPr>
            <w:r w:rsidRPr="00591EA6">
              <w:rPr>
                <w:b/>
              </w:rPr>
              <w:t>Incremental cost/LYG</w:t>
            </w:r>
          </w:p>
        </w:tc>
        <w:tc>
          <w:tcPr>
            <w:tcW w:w="1215" w:type="pct"/>
          </w:tcPr>
          <w:p w:rsidR="00406591" w:rsidRPr="008A1ACC" w:rsidRDefault="00EF43D8" w:rsidP="008A1ACC">
            <w:pPr>
              <w:pStyle w:val="Tabletext0"/>
              <w:keepNext/>
              <w:jc w:val="center"/>
              <w:rPr>
                <w:b/>
              </w:rPr>
            </w:pPr>
            <w:r w:rsidRPr="008A1ACC">
              <w:rPr>
                <w:b/>
              </w:rPr>
              <w:t>$</w:t>
            </w:r>
            <w:r w:rsidR="00CD21DA">
              <w:rPr>
                <w:b/>
                <w:noProof/>
                <w:color w:val="000000"/>
                <w:highlight w:val="black"/>
              </w:rPr>
              <w:t>''''''''''''</w:t>
            </w:r>
            <w:r w:rsidR="008A1ACC">
              <w:rPr>
                <w:b/>
              </w:rPr>
              <w:t>*</w:t>
            </w:r>
          </w:p>
        </w:tc>
      </w:tr>
      <w:tr w:rsidR="00406591" w:rsidRPr="00591EA6" w:rsidTr="00B17A06">
        <w:trPr>
          <w:trHeight w:val="20"/>
        </w:trPr>
        <w:tc>
          <w:tcPr>
            <w:tcW w:w="3785" w:type="pct"/>
            <w:gridSpan w:val="3"/>
            <w:vAlign w:val="center"/>
          </w:tcPr>
          <w:p w:rsidR="00406591" w:rsidRPr="00591EA6" w:rsidRDefault="00406591" w:rsidP="0090555D">
            <w:pPr>
              <w:pStyle w:val="Tabletext0"/>
              <w:keepNext/>
            </w:pPr>
            <w:r w:rsidRPr="00591EA6">
              <w:rPr>
                <w:b/>
              </w:rPr>
              <w:t>Incremental cost/QALY</w:t>
            </w:r>
          </w:p>
        </w:tc>
        <w:tc>
          <w:tcPr>
            <w:tcW w:w="1215" w:type="pct"/>
          </w:tcPr>
          <w:p w:rsidR="00406591" w:rsidRPr="008A1ACC" w:rsidRDefault="00EF43D8" w:rsidP="00DF194B">
            <w:pPr>
              <w:pStyle w:val="Tabletext0"/>
              <w:keepNext/>
              <w:jc w:val="center"/>
              <w:rPr>
                <w:b/>
              </w:rPr>
            </w:pPr>
            <w:r w:rsidRPr="008A1ACC">
              <w:rPr>
                <w:b/>
              </w:rPr>
              <w:t>$</w:t>
            </w:r>
            <w:r w:rsidR="00CD21DA">
              <w:rPr>
                <w:b/>
                <w:noProof/>
                <w:color w:val="000000"/>
                <w:highlight w:val="black"/>
              </w:rPr>
              <w:t>''''''''''''''</w:t>
            </w:r>
            <w:r w:rsidR="008A1ACC">
              <w:rPr>
                <w:b/>
              </w:rPr>
              <w:t>*</w:t>
            </w:r>
          </w:p>
        </w:tc>
      </w:tr>
      <w:tr w:rsidR="0090555D" w:rsidRPr="00591EA6" w:rsidTr="00B17A06">
        <w:trPr>
          <w:trHeight w:val="20"/>
        </w:trPr>
        <w:tc>
          <w:tcPr>
            <w:tcW w:w="5000" w:type="pct"/>
            <w:gridSpan w:val="4"/>
            <w:vAlign w:val="center"/>
          </w:tcPr>
          <w:p w:rsidR="0090555D" w:rsidRPr="00591EA6" w:rsidRDefault="0090555D" w:rsidP="0090555D">
            <w:pPr>
              <w:pStyle w:val="Tabletext0"/>
              <w:keepNext/>
              <w:rPr>
                <w:b/>
              </w:rPr>
            </w:pPr>
            <w:r w:rsidRPr="00591EA6">
              <w:rPr>
                <w:b/>
              </w:rPr>
              <w:t>Step 8: Convergence of survival curves</w:t>
            </w:r>
          </w:p>
        </w:tc>
      </w:tr>
      <w:tr w:rsidR="00406591" w:rsidRPr="00591EA6" w:rsidTr="00B17A06">
        <w:trPr>
          <w:trHeight w:val="20"/>
        </w:trPr>
        <w:tc>
          <w:tcPr>
            <w:tcW w:w="1222" w:type="pct"/>
            <w:vAlign w:val="center"/>
          </w:tcPr>
          <w:p w:rsidR="00406591" w:rsidRPr="00591EA6" w:rsidRDefault="00406591"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Costs</w:t>
            </w:r>
          </w:p>
        </w:tc>
        <w:tc>
          <w:tcPr>
            <w:tcW w:w="1281" w:type="pct"/>
            <w:vAlign w:val="center"/>
          </w:tcPr>
          <w:p w:rsidR="00406591" w:rsidRPr="00591EA6" w:rsidRDefault="00406591" w:rsidP="0090555D">
            <w:pPr>
              <w:pStyle w:val="Tabletext0"/>
              <w:keepNext/>
              <w:jc w:val="center"/>
            </w:pPr>
            <w:r w:rsidRPr="00591EA6">
              <w:t>$</w:t>
            </w:r>
            <w:r w:rsidR="00CD21DA">
              <w:rPr>
                <w:noProof/>
                <w:color w:val="000000"/>
                <w:highlight w:val="black"/>
              </w:rPr>
              <w:t>''''''''''''''''</w:t>
            </w:r>
          </w:p>
        </w:tc>
        <w:tc>
          <w:tcPr>
            <w:tcW w:w="1282" w:type="pct"/>
            <w:vAlign w:val="center"/>
          </w:tcPr>
          <w:p w:rsidR="00406591" w:rsidRPr="00591EA6" w:rsidRDefault="00406591" w:rsidP="0090555D">
            <w:pPr>
              <w:pStyle w:val="Tabletext0"/>
              <w:keepNext/>
              <w:jc w:val="center"/>
            </w:pPr>
            <w:r w:rsidRPr="00591EA6">
              <w:t>$</w:t>
            </w:r>
            <w:r w:rsidR="00CD21DA">
              <w:rPr>
                <w:noProof/>
                <w:color w:val="000000"/>
                <w:highlight w:val="black"/>
              </w:rPr>
              <w:t>''''''''''''''''</w:t>
            </w:r>
          </w:p>
        </w:tc>
        <w:tc>
          <w:tcPr>
            <w:tcW w:w="1215" w:type="pct"/>
          </w:tcPr>
          <w:p w:rsidR="00406591" w:rsidRPr="00591EA6" w:rsidRDefault="00406591" w:rsidP="0090555D">
            <w:pPr>
              <w:pStyle w:val="Tabletext0"/>
              <w:keepNext/>
              <w:jc w:val="center"/>
            </w:pPr>
            <w:r w:rsidRPr="00591EA6">
              <w:t>$</w:t>
            </w:r>
            <w:r w:rsidR="00CD21DA">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LYG</w:t>
            </w:r>
          </w:p>
        </w:tc>
        <w:tc>
          <w:tcPr>
            <w:tcW w:w="1281"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82"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90555D" w:rsidRPr="00591EA6" w:rsidTr="00B17A06">
        <w:trPr>
          <w:trHeight w:val="20"/>
        </w:trPr>
        <w:tc>
          <w:tcPr>
            <w:tcW w:w="1222" w:type="pct"/>
            <w:vAlign w:val="center"/>
          </w:tcPr>
          <w:p w:rsidR="0090555D" w:rsidRPr="00591EA6" w:rsidRDefault="0090555D" w:rsidP="0090555D">
            <w:pPr>
              <w:keepNext/>
              <w:spacing w:before="0" w:after="0"/>
              <w:rPr>
                <w:rFonts w:ascii="Arial Narrow" w:hAnsi="Arial Narrow" w:cs="Times New Roman"/>
                <w:sz w:val="20"/>
                <w:szCs w:val="20"/>
              </w:rPr>
            </w:pPr>
            <w:r w:rsidRPr="00591EA6">
              <w:rPr>
                <w:rFonts w:ascii="Arial Narrow" w:hAnsi="Arial Narrow" w:cs="Times New Roman"/>
                <w:sz w:val="20"/>
                <w:szCs w:val="20"/>
              </w:rPr>
              <w:t>QALY</w:t>
            </w:r>
          </w:p>
        </w:tc>
        <w:tc>
          <w:tcPr>
            <w:tcW w:w="1281"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82" w:type="pct"/>
            <w:vAlign w:val="center"/>
          </w:tcPr>
          <w:p w:rsidR="0090555D" w:rsidRPr="00CD21DA" w:rsidRDefault="00CD21DA" w:rsidP="0090555D">
            <w:pPr>
              <w:pStyle w:val="Tabletext0"/>
              <w:keepNext/>
              <w:jc w:val="center"/>
              <w:rPr>
                <w:highlight w:val="black"/>
              </w:rPr>
            </w:pPr>
            <w:r>
              <w:rPr>
                <w:noProof/>
                <w:color w:val="000000"/>
                <w:highlight w:val="black"/>
              </w:rPr>
              <w:t>''''''''''</w:t>
            </w:r>
          </w:p>
        </w:tc>
        <w:tc>
          <w:tcPr>
            <w:tcW w:w="1215" w:type="pct"/>
          </w:tcPr>
          <w:p w:rsidR="0090555D" w:rsidRPr="00CD21DA" w:rsidRDefault="00CD21DA" w:rsidP="0090555D">
            <w:pPr>
              <w:pStyle w:val="Tabletext0"/>
              <w:keepNext/>
              <w:jc w:val="center"/>
              <w:rPr>
                <w:highlight w:val="black"/>
              </w:rPr>
            </w:pPr>
            <w:r>
              <w:rPr>
                <w:noProof/>
                <w:color w:val="000000"/>
                <w:highlight w:val="black"/>
              </w:rPr>
              <w:t>''''''''''</w:t>
            </w:r>
          </w:p>
        </w:tc>
      </w:tr>
      <w:tr w:rsidR="00406591" w:rsidRPr="00591EA6" w:rsidTr="00B17A06">
        <w:trPr>
          <w:trHeight w:val="20"/>
        </w:trPr>
        <w:tc>
          <w:tcPr>
            <w:tcW w:w="3785" w:type="pct"/>
            <w:gridSpan w:val="3"/>
            <w:vAlign w:val="center"/>
          </w:tcPr>
          <w:p w:rsidR="00406591" w:rsidRPr="00591EA6" w:rsidRDefault="00406591" w:rsidP="0090555D">
            <w:pPr>
              <w:pStyle w:val="Tabletext0"/>
              <w:keepNext/>
            </w:pPr>
            <w:r w:rsidRPr="00591EA6">
              <w:rPr>
                <w:b/>
              </w:rPr>
              <w:t>Incremental cost/LYG</w:t>
            </w:r>
          </w:p>
        </w:tc>
        <w:tc>
          <w:tcPr>
            <w:tcW w:w="1215" w:type="pct"/>
          </w:tcPr>
          <w:p w:rsidR="00406591" w:rsidRPr="00591EA6" w:rsidRDefault="00406591" w:rsidP="0090555D">
            <w:pPr>
              <w:pStyle w:val="Tabletext0"/>
              <w:keepNext/>
              <w:jc w:val="center"/>
              <w:rPr>
                <w:b/>
              </w:rPr>
            </w:pPr>
            <w:r w:rsidRPr="00591EA6">
              <w:rPr>
                <w:b/>
              </w:rPr>
              <w:t>$</w:t>
            </w:r>
            <w:r w:rsidR="00CD21DA">
              <w:rPr>
                <w:b/>
                <w:noProof/>
                <w:color w:val="000000"/>
                <w:highlight w:val="black"/>
              </w:rPr>
              <w:t>''''''''''''</w:t>
            </w:r>
          </w:p>
        </w:tc>
      </w:tr>
      <w:tr w:rsidR="00406591" w:rsidRPr="00591EA6" w:rsidTr="00B17A06">
        <w:trPr>
          <w:trHeight w:val="20"/>
        </w:trPr>
        <w:tc>
          <w:tcPr>
            <w:tcW w:w="3785" w:type="pct"/>
            <w:gridSpan w:val="3"/>
            <w:vAlign w:val="center"/>
          </w:tcPr>
          <w:p w:rsidR="00406591" w:rsidRPr="00591EA6" w:rsidRDefault="00406591" w:rsidP="0090555D">
            <w:pPr>
              <w:pStyle w:val="Tabletext0"/>
              <w:keepNext/>
            </w:pPr>
            <w:r w:rsidRPr="00591EA6">
              <w:rPr>
                <w:b/>
              </w:rPr>
              <w:t>Incremental cost/QALY</w:t>
            </w:r>
          </w:p>
        </w:tc>
        <w:tc>
          <w:tcPr>
            <w:tcW w:w="1215" w:type="pct"/>
          </w:tcPr>
          <w:p w:rsidR="00406591" w:rsidRPr="00591EA6" w:rsidRDefault="00406591" w:rsidP="0090555D">
            <w:pPr>
              <w:pStyle w:val="Tabletext0"/>
              <w:keepNext/>
              <w:jc w:val="center"/>
              <w:rPr>
                <w:b/>
              </w:rPr>
            </w:pPr>
            <w:r w:rsidRPr="00591EA6">
              <w:rPr>
                <w:b/>
              </w:rPr>
              <w:t>$</w:t>
            </w:r>
            <w:r w:rsidR="00CD21DA">
              <w:rPr>
                <w:b/>
                <w:noProof/>
                <w:color w:val="000000"/>
                <w:highlight w:val="black"/>
              </w:rPr>
              <w:t>'''''''''''''''</w:t>
            </w:r>
          </w:p>
        </w:tc>
      </w:tr>
      <w:tr w:rsidR="0090555D" w:rsidRPr="00591EA6" w:rsidTr="00B17A06">
        <w:trPr>
          <w:trHeight w:val="20"/>
        </w:trPr>
        <w:tc>
          <w:tcPr>
            <w:tcW w:w="5000" w:type="pct"/>
            <w:gridSpan w:val="4"/>
            <w:vAlign w:val="center"/>
          </w:tcPr>
          <w:p w:rsidR="0090555D" w:rsidRPr="00591EA6" w:rsidRDefault="0090555D" w:rsidP="00C20D2D">
            <w:pPr>
              <w:pStyle w:val="Tabletext0"/>
              <w:keepNext/>
              <w:rPr>
                <w:b/>
              </w:rPr>
            </w:pPr>
            <w:r w:rsidRPr="00591EA6">
              <w:rPr>
                <w:b/>
              </w:rPr>
              <w:t xml:space="preserve">Step 9: Inclusion of effective price for obinutuzumab </w:t>
            </w:r>
            <w:r w:rsidR="00C20D2D" w:rsidRPr="00591EA6">
              <w:rPr>
                <w:b/>
              </w:rPr>
              <w:t>– results are the same as for step 8 as effective prices used in all of the above steps</w:t>
            </w:r>
          </w:p>
        </w:tc>
      </w:tr>
    </w:tbl>
    <w:p w:rsidR="00FB7AD9" w:rsidRDefault="00FB7AD9" w:rsidP="00CC2D0A">
      <w:pPr>
        <w:pStyle w:val="TableFooter"/>
        <w:tabs>
          <w:tab w:val="left" w:pos="142"/>
        </w:tabs>
        <w:ind w:left="142" w:hanging="142"/>
        <w:rPr>
          <w:szCs w:val="18"/>
        </w:rPr>
      </w:pPr>
      <w:r w:rsidRPr="00591EA6">
        <w:rPr>
          <w:szCs w:val="18"/>
          <w:vertAlign w:val="superscript"/>
        </w:rPr>
        <w:t>a</w:t>
      </w:r>
      <w:r w:rsidRPr="00591EA6">
        <w:rPr>
          <w:szCs w:val="18"/>
          <w:vertAlign w:val="superscript"/>
        </w:rPr>
        <w:tab/>
      </w:r>
      <w:r w:rsidRPr="00591EA6">
        <w:rPr>
          <w:szCs w:val="18"/>
        </w:rPr>
        <w:t>Drug prices were updated during the evaluation to include dispensing fees and preparation fees as of 1 July 2017. Given these alterations, all estimated costs differ slightly from those presented in the submission.</w:t>
      </w:r>
    </w:p>
    <w:p w:rsidR="00672F9B" w:rsidRPr="00591EA6" w:rsidRDefault="00672F9B" w:rsidP="00CC2D0A">
      <w:pPr>
        <w:pStyle w:val="TableFooter"/>
      </w:pPr>
      <w:r>
        <w:t>*</w:t>
      </w:r>
      <w:r w:rsidR="008D2C49" w:rsidRPr="008D2C49">
        <w:t xml:space="preserve"> </w:t>
      </w:r>
      <w:r w:rsidR="008D2C49">
        <w:t>Values were corrected by the sponsor in the PSCR</w:t>
      </w:r>
      <w:r>
        <w:t>.</w:t>
      </w:r>
    </w:p>
    <w:p w:rsidR="008A1ACC" w:rsidRDefault="0090555D" w:rsidP="00CC2D0A">
      <w:pPr>
        <w:pStyle w:val="TableFooter"/>
      </w:pPr>
      <w:r w:rsidRPr="00591EA6">
        <w:t>G-Chemo=obinutuzumab+chemotherapy; LYG=life years gained; QALY=quality adjusted life year; R-Chemo=rituximab+chemotherapy</w:t>
      </w:r>
    </w:p>
    <w:p w:rsidR="0090555D" w:rsidRPr="00591EA6" w:rsidRDefault="0090555D" w:rsidP="008A1ACC">
      <w:pPr>
        <w:pStyle w:val="TableFooter"/>
      </w:pPr>
      <w:r w:rsidRPr="00591EA6">
        <w:t>Source: Tables 3.8.1 to 3.8.7, p125-128 of the submission; Excel workbook ‘Economic Evaluation.xlsx’</w:t>
      </w:r>
    </w:p>
    <w:p w:rsidR="0026391A" w:rsidRPr="00591EA6" w:rsidRDefault="00C50E92" w:rsidP="00A375D6">
      <w:pPr>
        <w:pStyle w:val="ListParagraph"/>
        <w:numPr>
          <w:ilvl w:val="1"/>
          <w:numId w:val="1"/>
        </w:numPr>
        <w:ind w:left="709" w:hanging="709"/>
        <w:jc w:val="both"/>
      </w:pPr>
      <w:r w:rsidRPr="00591EA6">
        <w:t>As would be anticipated, there was a considerable drop between the trial-based step 1 result (cost/LYG=</w:t>
      </w:r>
      <w:r w:rsidR="0069404B">
        <w:t>$105,000 - $200,000</w:t>
      </w:r>
      <w:r w:rsidRPr="00591EA6">
        <w:t>) and the modelled evaluation (step</w:t>
      </w:r>
      <w:r w:rsidR="00C20D2D" w:rsidRPr="00591EA6">
        <w:t xml:space="preserve"> </w:t>
      </w:r>
      <w:r w:rsidRPr="00591EA6">
        <w:t>2: cost/LYG=</w:t>
      </w:r>
      <w:r w:rsidR="002C2A3B">
        <w:t>$15,000 - $45,000</w:t>
      </w:r>
      <w:r w:rsidRPr="00591EA6">
        <w:t>; cost/QALY=</w:t>
      </w:r>
      <w:r w:rsidR="002C2A3B">
        <w:t>$15,000 - $45,000</w:t>
      </w:r>
      <w:r w:rsidRPr="00591EA6">
        <w:t>).</w:t>
      </w:r>
      <w:r w:rsidR="00A07559">
        <w:t xml:space="preserve"> </w:t>
      </w:r>
      <w:r w:rsidRPr="00591EA6">
        <w:t xml:space="preserve">There was little change in the ICER with </w:t>
      </w:r>
      <w:r w:rsidRPr="00A375D6">
        <w:rPr>
          <w:rFonts w:cs="Arial"/>
          <w:bCs/>
          <w:snapToGrid w:val="0"/>
        </w:rPr>
        <w:t>addition</w:t>
      </w:r>
      <w:r w:rsidRPr="00591EA6">
        <w:t xml:space="preserve"> of </w:t>
      </w:r>
      <w:r w:rsidR="00FF193A" w:rsidRPr="00591EA6">
        <w:t>AE</w:t>
      </w:r>
      <w:r w:rsidRPr="00591EA6">
        <w:t xml:space="preserve"> costs while inclusion of costs of post-progression therapy and end of life costs </w:t>
      </w:r>
      <w:r w:rsidR="00553059" w:rsidRPr="00591EA6">
        <w:t xml:space="preserve">reduced </w:t>
      </w:r>
      <w:r w:rsidRPr="00591EA6">
        <w:t>the ICER by about $</w:t>
      </w:r>
      <w:r w:rsidR="00CD21DA">
        <w:rPr>
          <w:noProof/>
          <w:color w:val="000000"/>
          <w:highlight w:val="black"/>
        </w:rPr>
        <w:t>''''''''''</w:t>
      </w:r>
      <w:r w:rsidRPr="00591EA6">
        <w:t>.</w:t>
      </w:r>
      <w:r w:rsidR="00A07559">
        <w:t xml:space="preserve"> </w:t>
      </w:r>
      <w:r w:rsidRPr="00591EA6">
        <w:t>The ICER returned to levels similar to that seen in step 2 of the model (cost/QALY=</w:t>
      </w:r>
      <w:r w:rsidR="002C2A3B">
        <w:t>$15,000 - $45,000</w:t>
      </w:r>
      <w:r w:rsidRPr="00591EA6">
        <w:t xml:space="preserve">) with inclusion of the convergence of survival curves </w:t>
      </w:r>
      <w:r w:rsidR="00B93E69">
        <w:t>$15,000/QALY - $45,000/QALY</w:t>
      </w:r>
      <w:r w:rsidRPr="00591EA6">
        <w:t>).</w:t>
      </w:r>
      <w:r w:rsidR="00A07559">
        <w:t xml:space="preserve"> </w:t>
      </w:r>
      <w:r w:rsidR="006A7230" w:rsidRPr="00591EA6">
        <w:t>T</w:t>
      </w:r>
      <w:r w:rsidR="00DD1A1F" w:rsidRPr="00591EA6">
        <w:t>he submission stated</w:t>
      </w:r>
      <w:r w:rsidR="00631330" w:rsidRPr="00591EA6">
        <w:t xml:space="preserve"> (p114)</w:t>
      </w:r>
      <w:r w:rsidR="00DD1A1F" w:rsidRPr="00591EA6">
        <w:t xml:space="preserve"> that convergence was applied to both PFS and OS</w:t>
      </w:r>
      <w:r w:rsidR="006A7230" w:rsidRPr="00591EA6">
        <w:t xml:space="preserve">. </w:t>
      </w:r>
      <w:r w:rsidR="00184C25">
        <w:t>The PBAC noted that w</w:t>
      </w:r>
      <w:r w:rsidR="006A7230" w:rsidRPr="00591EA6">
        <w:t>hile</w:t>
      </w:r>
      <w:r w:rsidR="00DD1A1F" w:rsidRPr="00591EA6">
        <w:t xml:space="preserve"> PFS </w:t>
      </w:r>
      <w:r w:rsidR="00772221" w:rsidRPr="00591EA6">
        <w:t>did</w:t>
      </w:r>
      <w:r w:rsidR="009963B1" w:rsidRPr="00591EA6">
        <w:t xml:space="preserve"> </w:t>
      </w:r>
      <w:r w:rsidR="00DD1A1F" w:rsidRPr="00591EA6">
        <w:t xml:space="preserve">converge </w:t>
      </w:r>
      <w:r w:rsidR="009963B1" w:rsidRPr="00591EA6">
        <w:t>over</w:t>
      </w:r>
      <w:r w:rsidR="00DD1A1F" w:rsidRPr="00591EA6">
        <w:t xml:space="preserve"> </w:t>
      </w:r>
      <w:r w:rsidR="00772221" w:rsidRPr="00591EA6">
        <w:t>the model time horizon (</w:t>
      </w:r>
      <w:r w:rsidR="00DD1A1F" w:rsidRPr="00591EA6">
        <w:t>20 years</w:t>
      </w:r>
      <w:r w:rsidR="00772221" w:rsidRPr="00591EA6">
        <w:t xml:space="preserve"> in the base case),</w:t>
      </w:r>
      <w:r w:rsidR="00DD1A1F" w:rsidRPr="00591EA6">
        <w:t xml:space="preserve"> OS </w:t>
      </w:r>
      <w:r w:rsidR="00772221" w:rsidRPr="00591EA6">
        <w:t xml:space="preserve">did </w:t>
      </w:r>
      <w:r w:rsidR="00DD1A1F" w:rsidRPr="00591EA6">
        <w:t>not converge</w:t>
      </w:r>
      <w:r w:rsidR="009963B1" w:rsidRPr="00591EA6">
        <w:t xml:space="preserve"> within the </w:t>
      </w:r>
      <w:r w:rsidR="00772221" w:rsidRPr="00591EA6">
        <w:t xml:space="preserve">model </w:t>
      </w:r>
      <w:r w:rsidR="009963B1" w:rsidRPr="00591EA6">
        <w:t>time horizon</w:t>
      </w:r>
      <w:r w:rsidR="0026391A" w:rsidRPr="00591EA6">
        <w:t>. Th</w:t>
      </w:r>
      <w:r w:rsidR="00B13FE8" w:rsidRPr="00591EA6">
        <w:t>is is demonstrated in the</w:t>
      </w:r>
      <w:r w:rsidR="0026391A" w:rsidRPr="00591EA6">
        <w:t xml:space="preserve"> figure below.</w:t>
      </w:r>
      <w:r w:rsidR="00A07559">
        <w:t xml:space="preserve"> </w:t>
      </w:r>
      <w:r w:rsidR="007F042B" w:rsidRPr="00591EA6">
        <w:t>Examination of the Excel workbook indicated that convergence was not applied to OS.</w:t>
      </w:r>
      <w:r w:rsidR="00AA1852">
        <w:t xml:space="preserve"> </w:t>
      </w:r>
    </w:p>
    <w:p w:rsidR="0026391A" w:rsidRPr="00591EA6" w:rsidRDefault="00DD1A1F" w:rsidP="0026391A">
      <w:pPr>
        <w:keepNext/>
        <w:spacing w:before="0" w:after="0"/>
        <w:jc w:val="both"/>
        <w:rPr>
          <w:rFonts w:ascii="Arial Narrow" w:hAnsi="Arial Narrow"/>
          <w:b/>
          <w:sz w:val="20"/>
          <w:szCs w:val="20"/>
        </w:rPr>
      </w:pPr>
      <w:r w:rsidRPr="00591EA6">
        <w:t xml:space="preserve"> </w:t>
      </w:r>
      <w:r w:rsidR="0026391A" w:rsidRPr="00591EA6">
        <w:rPr>
          <w:rFonts w:ascii="Arial Narrow" w:hAnsi="Arial Narrow"/>
          <w:b/>
          <w:sz w:val="20"/>
          <w:szCs w:val="20"/>
        </w:rPr>
        <w:t xml:space="preserve">Figure </w:t>
      </w:r>
      <w:r w:rsidR="00466ED1" w:rsidRPr="0046417E">
        <w:rPr>
          <w:rFonts w:ascii="Arial Narrow" w:hAnsi="Arial Narrow"/>
          <w:b/>
          <w:sz w:val="20"/>
          <w:szCs w:val="20"/>
        </w:rPr>
        <w:t>4</w:t>
      </w:r>
      <w:r w:rsidR="0026391A" w:rsidRPr="0046417E">
        <w:rPr>
          <w:rFonts w:ascii="Arial Narrow" w:hAnsi="Arial Narrow"/>
          <w:b/>
          <w:sz w:val="20"/>
          <w:szCs w:val="20"/>
        </w:rPr>
        <w:t>:</w:t>
      </w:r>
      <w:r w:rsidR="00A07559" w:rsidRPr="0046417E">
        <w:rPr>
          <w:rFonts w:ascii="Arial Narrow" w:hAnsi="Arial Narrow"/>
          <w:b/>
          <w:sz w:val="20"/>
          <w:szCs w:val="20"/>
        </w:rPr>
        <w:t xml:space="preserve"> </w:t>
      </w:r>
      <w:r w:rsidR="00651130" w:rsidRPr="0046417E">
        <w:rPr>
          <w:rFonts w:ascii="Arial Narrow" w:hAnsi="Arial Narrow"/>
          <w:b/>
          <w:sz w:val="20"/>
          <w:szCs w:val="20"/>
        </w:rPr>
        <w:t>O</w:t>
      </w:r>
      <w:r w:rsidR="00772221" w:rsidRPr="0046417E">
        <w:rPr>
          <w:rFonts w:ascii="Arial Narrow" w:hAnsi="Arial Narrow"/>
          <w:b/>
          <w:sz w:val="20"/>
          <w:szCs w:val="20"/>
        </w:rPr>
        <w:t>verall</w:t>
      </w:r>
      <w:r w:rsidR="00772221" w:rsidRPr="00591EA6">
        <w:rPr>
          <w:rFonts w:ascii="Arial Narrow" w:hAnsi="Arial Narrow"/>
          <w:b/>
          <w:sz w:val="20"/>
          <w:szCs w:val="20"/>
        </w:rPr>
        <w:t xml:space="preserve"> s</w:t>
      </w:r>
      <w:r w:rsidR="0026391A" w:rsidRPr="00591EA6">
        <w:rPr>
          <w:rFonts w:ascii="Arial Narrow" w:hAnsi="Arial Narrow"/>
          <w:b/>
          <w:sz w:val="20"/>
          <w:szCs w:val="20"/>
        </w:rPr>
        <w:t xml:space="preserve">urvival </w:t>
      </w:r>
      <w:r w:rsidR="00772221" w:rsidRPr="00591EA6">
        <w:rPr>
          <w:rFonts w:ascii="Arial Narrow" w:hAnsi="Arial Narrow"/>
          <w:b/>
          <w:sz w:val="20"/>
          <w:szCs w:val="20"/>
        </w:rPr>
        <w:t xml:space="preserve">and progression free survival </w:t>
      </w:r>
      <w:r w:rsidR="0026391A" w:rsidRPr="00591EA6">
        <w:rPr>
          <w:rFonts w:ascii="Arial Narrow" w:hAnsi="Arial Narrow"/>
          <w:b/>
          <w:sz w:val="20"/>
          <w:szCs w:val="20"/>
        </w:rPr>
        <w:t>curves</w:t>
      </w:r>
      <w:r w:rsidR="00772221" w:rsidRPr="00591EA6">
        <w:rPr>
          <w:rFonts w:ascii="Arial Narrow" w:hAnsi="Arial Narrow"/>
          <w:b/>
          <w:sz w:val="20"/>
          <w:szCs w:val="20"/>
        </w:rPr>
        <w:t xml:space="preserve"> (base case: 20 year time horizon)</w:t>
      </w:r>
    </w:p>
    <w:p w:rsidR="0026391A" w:rsidRPr="00591EA6" w:rsidRDefault="00CD21DA" w:rsidP="0026391A">
      <w:pPr>
        <w:keepNext/>
        <w:jc w:val="both"/>
      </w:pPr>
      <w:r>
        <w:rPr>
          <w:noProof/>
          <w:lang w:eastAsia="en-AU"/>
        </w:rPr>
        <w:drawing>
          <wp:inline distT="0" distB="0" distL="0" distR="0">
            <wp:extent cx="5219700" cy="3269615"/>
            <wp:effectExtent l="0" t="0" r="0" b="6985"/>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19700" cy="3269615"/>
                    </a:xfrm>
                    <a:prstGeom prst="rect">
                      <a:avLst/>
                    </a:prstGeom>
                  </pic:spPr>
                </pic:pic>
              </a:graphicData>
            </a:graphic>
          </wp:inline>
        </w:drawing>
      </w:r>
    </w:p>
    <w:p w:rsidR="0026391A" w:rsidRPr="00591EA6" w:rsidRDefault="0026391A" w:rsidP="0026391A">
      <w:pPr>
        <w:pStyle w:val="TableFooter"/>
        <w:keepNext/>
      </w:pPr>
      <w:r w:rsidRPr="00591EA6">
        <w:t xml:space="preserve">Source: Figure 3A.4.3, p114 of the submission </w:t>
      </w:r>
    </w:p>
    <w:p w:rsidR="00C31595" w:rsidRPr="004267F6" w:rsidRDefault="00C31595" w:rsidP="00A375D6">
      <w:pPr>
        <w:pStyle w:val="ListParagraph"/>
        <w:numPr>
          <w:ilvl w:val="1"/>
          <w:numId w:val="1"/>
        </w:numPr>
        <w:ind w:left="709" w:hanging="709"/>
        <w:jc w:val="both"/>
      </w:pPr>
      <w:r w:rsidRPr="004267F6">
        <w:t xml:space="preserve">The ESC noted that the submission assumed that patients treated with </w:t>
      </w:r>
      <w:r w:rsidRPr="00A375D6">
        <w:rPr>
          <w:rFonts w:cs="Arial"/>
          <w:bCs/>
          <w:snapToGrid w:val="0"/>
        </w:rPr>
        <w:t>obinutuzumab</w:t>
      </w:r>
      <w:r w:rsidR="00CF40C5">
        <w:t>+</w:t>
      </w:r>
      <w:r w:rsidRPr="004267F6">
        <w:t>chemotherapy would continue to benefit from treatment over the 20 year time horizon in the economic model, despite the maximum treatment duration of 2.5 years of obinutuzumab</w:t>
      </w:r>
      <w:r w:rsidR="00CF40C5">
        <w:t>+</w:t>
      </w:r>
      <w:r w:rsidRPr="004267F6">
        <w:t>chemotherapy in the GALLIUM trial.</w:t>
      </w:r>
      <w:r w:rsidR="00C4470B" w:rsidRPr="004267F6">
        <w:t xml:space="preserve"> </w:t>
      </w:r>
      <w:r w:rsidR="002948BE" w:rsidRPr="004267F6">
        <w:t xml:space="preserve">The ESC </w:t>
      </w:r>
      <w:r w:rsidR="001613B1" w:rsidRPr="004267F6">
        <w:t xml:space="preserve">noted that while </w:t>
      </w:r>
      <w:r w:rsidR="002948BE" w:rsidRPr="004267F6">
        <w:t xml:space="preserve">continued benefit </w:t>
      </w:r>
      <w:r w:rsidR="001613B1" w:rsidRPr="004267F6">
        <w:t xml:space="preserve">was assumed </w:t>
      </w:r>
      <w:r w:rsidR="002948BE" w:rsidRPr="004267F6">
        <w:t xml:space="preserve">beyond the trial duration, no treatment costs occurred beyond 2.5 years. </w:t>
      </w:r>
      <w:r w:rsidR="00C4470B" w:rsidRPr="004267F6">
        <w:t xml:space="preserve">The </w:t>
      </w:r>
      <w:r w:rsidR="00E63D03">
        <w:t>PBAC</w:t>
      </w:r>
      <w:r w:rsidR="00E63D03" w:rsidRPr="004267F6">
        <w:t xml:space="preserve"> </w:t>
      </w:r>
      <w:r w:rsidR="00C4470B" w:rsidRPr="004267F6">
        <w:t>considered this may be an overestimate of the duration of benefit derived from treatment and hence the ICER may be underestimated.</w:t>
      </w:r>
      <w:r w:rsidR="007D16A6">
        <w:t xml:space="preserve"> </w:t>
      </w:r>
    </w:p>
    <w:p w:rsidR="00FE2BBC" w:rsidRPr="004267F6" w:rsidRDefault="00C50E92" w:rsidP="00A375D6">
      <w:pPr>
        <w:pStyle w:val="ListParagraph"/>
        <w:numPr>
          <w:ilvl w:val="1"/>
          <w:numId w:val="1"/>
        </w:numPr>
        <w:ind w:left="709" w:hanging="709"/>
        <w:jc w:val="both"/>
      </w:pPr>
      <w:r w:rsidRPr="004267F6">
        <w:t xml:space="preserve">The results of the stepped economic evaluation indicated that the key components of </w:t>
      </w:r>
      <w:r w:rsidRPr="00A375D6">
        <w:rPr>
          <w:rFonts w:cs="Arial"/>
          <w:bCs/>
          <w:snapToGrid w:val="0"/>
        </w:rPr>
        <w:t>the</w:t>
      </w:r>
      <w:r w:rsidRPr="004267F6">
        <w:t xml:space="preserve"> model </w:t>
      </w:r>
      <w:r w:rsidR="00C477A3" w:rsidRPr="004267F6">
        <w:t>were</w:t>
      </w:r>
      <w:r w:rsidRPr="004267F6">
        <w:t xml:space="preserve"> the chosen time horizon and underlying extrapolated data</w:t>
      </w:r>
      <w:r w:rsidR="00FE2BBC" w:rsidRPr="004267F6">
        <w:t>.</w:t>
      </w:r>
      <w:r w:rsidR="00A07559">
        <w:t xml:space="preserve"> </w:t>
      </w:r>
    </w:p>
    <w:p w:rsidR="00FE2BBC" w:rsidRPr="00591EA6" w:rsidRDefault="00FE2BBC" w:rsidP="00A375D6">
      <w:pPr>
        <w:pStyle w:val="ListParagraph"/>
        <w:numPr>
          <w:ilvl w:val="1"/>
          <w:numId w:val="1"/>
        </w:numPr>
        <w:ind w:left="709" w:hanging="709"/>
        <w:jc w:val="both"/>
      </w:pPr>
      <w:r w:rsidRPr="00591EA6">
        <w:t xml:space="preserve">The submission also provided results for a 3 health state model (PFS, progression, </w:t>
      </w:r>
      <w:r w:rsidRPr="00A375D6">
        <w:rPr>
          <w:rFonts w:cs="Arial"/>
          <w:bCs/>
          <w:snapToGrid w:val="0"/>
        </w:rPr>
        <w:t>death</w:t>
      </w:r>
      <w:r w:rsidRPr="00591EA6">
        <w:t>).</w:t>
      </w:r>
      <w:r w:rsidR="00A07559">
        <w:t xml:space="preserve"> </w:t>
      </w:r>
      <w:r w:rsidRPr="00591EA6">
        <w:t>These results are provided in the table below with the submission base case (5 health states) included for reference.</w:t>
      </w:r>
    </w:p>
    <w:p w:rsidR="000C66A6" w:rsidRPr="00591EA6" w:rsidRDefault="000C66A6" w:rsidP="00810A24">
      <w:pPr>
        <w:pStyle w:val="TableHeading0"/>
      </w:pPr>
      <w:r w:rsidRPr="00591EA6">
        <w:t>Table 10: Results of 3 health state model</w:t>
      </w:r>
      <w:r w:rsidR="009A25BA" w:rsidRPr="00591EA6">
        <w:rPr>
          <w:vertAlign w:val="superscript"/>
        </w:rPr>
        <w:t>a</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90"/>
        <w:gridCol w:w="2190"/>
        <w:gridCol w:w="2190"/>
        <w:gridCol w:w="2063"/>
      </w:tblGrid>
      <w:tr w:rsidR="000C66A6" w:rsidRPr="00591EA6" w:rsidTr="0046417E">
        <w:tc>
          <w:tcPr>
            <w:tcW w:w="1225" w:type="pct"/>
          </w:tcPr>
          <w:p w:rsidR="000C66A6" w:rsidRPr="00591EA6" w:rsidRDefault="000C66A6" w:rsidP="00583D58">
            <w:pPr>
              <w:pStyle w:val="TableText"/>
              <w:spacing w:before="0" w:after="0"/>
              <w:rPr>
                <w:b/>
              </w:rPr>
            </w:pPr>
            <w:r w:rsidRPr="00591EA6">
              <w:rPr>
                <w:b/>
              </w:rPr>
              <w:t>Component</w:t>
            </w:r>
          </w:p>
        </w:tc>
        <w:tc>
          <w:tcPr>
            <w:tcW w:w="1283" w:type="pct"/>
          </w:tcPr>
          <w:p w:rsidR="000C66A6" w:rsidRPr="00591EA6" w:rsidRDefault="000C66A6" w:rsidP="00583D58">
            <w:pPr>
              <w:pStyle w:val="TableText"/>
              <w:spacing w:before="0" w:after="0"/>
              <w:jc w:val="center"/>
            </w:pPr>
            <w:r w:rsidRPr="00591EA6">
              <w:rPr>
                <w:rFonts w:cs="Times New Roman"/>
                <w:b/>
                <w:szCs w:val="20"/>
              </w:rPr>
              <w:t>G-Chemo</w:t>
            </w:r>
          </w:p>
        </w:tc>
        <w:tc>
          <w:tcPr>
            <w:tcW w:w="1283" w:type="pct"/>
            <w:vAlign w:val="center"/>
          </w:tcPr>
          <w:p w:rsidR="000C66A6" w:rsidRPr="00591EA6" w:rsidRDefault="000C66A6" w:rsidP="00583D58">
            <w:pPr>
              <w:pStyle w:val="TableText"/>
              <w:spacing w:before="0" w:after="0"/>
              <w:jc w:val="center"/>
            </w:pPr>
            <w:r w:rsidRPr="00591EA6">
              <w:rPr>
                <w:rFonts w:cs="Times New Roman"/>
                <w:b/>
                <w:szCs w:val="20"/>
              </w:rPr>
              <w:t>R-Chemo</w:t>
            </w:r>
          </w:p>
        </w:tc>
        <w:tc>
          <w:tcPr>
            <w:tcW w:w="1210" w:type="pct"/>
          </w:tcPr>
          <w:p w:rsidR="000C66A6" w:rsidRPr="00591EA6" w:rsidRDefault="000C66A6" w:rsidP="00583D58">
            <w:pPr>
              <w:pStyle w:val="TableText"/>
              <w:spacing w:before="0" w:after="0"/>
              <w:jc w:val="center"/>
            </w:pPr>
            <w:r w:rsidRPr="00591EA6">
              <w:rPr>
                <w:rFonts w:cs="Times New Roman"/>
                <w:b/>
                <w:szCs w:val="20"/>
              </w:rPr>
              <w:t>Increment</w:t>
            </w:r>
          </w:p>
        </w:tc>
      </w:tr>
      <w:tr w:rsidR="000C66A6" w:rsidRPr="00591EA6" w:rsidTr="0046417E">
        <w:tc>
          <w:tcPr>
            <w:tcW w:w="5000" w:type="pct"/>
            <w:gridSpan w:val="4"/>
          </w:tcPr>
          <w:p w:rsidR="000C66A6" w:rsidRPr="00591EA6" w:rsidRDefault="000C66A6" w:rsidP="00583D58">
            <w:pPr>
              <w:pStyle w:val="TableText"/>
              <w:spacing w:before="0" w:after="0"/>
              <w:rPr>
                <w:b/>
              </w:rPr>
            </w:pPr>
            <w:r w:rsidRPr="00591EA6">
              <w:rPr>
                <w:b/>
              </w:rPr>
              <w:t>3 health states</w:t>
            </w:r>
          </w:p>
        </w:tc>
      </w:tr>
      <w:tr w:rsidR="009A25BA" w:rsidRPr="00591EA6" w:rsidTr="0046417E">
        <w:tc>
          <w:tcPr>
            <w:tcW w:w="1225" w:type="pct"/>
          </w:tcPr>
          <w:p w:rsidR="009A25BA" w:rsidRPr="00591EA6" w:rsidRDefault="009A25BA" w:rsidP="00583D58">
            <w:pPr>
              <w:pStyle w:val="TableText"/>
              <w:spacing w:before="0" w:after="0"/>
            </w:pPr>
            <w:r w:rsidRPr="00591EA6">
              <w:t>Costs</w:t>
            </w:r>
          </w:p>
        </w:tc>
        <w:tc>
          <w:tcPr>
            <w:tcW w:w="1283" w:type="pct"/>
          </w:tcPr>
          <w:p w:rsidR="009A25BA" w:rsidRPr="00591EA6" w:rsidRDefault="009A25BA" w:rsidP="00C97469">
            <w:pPr>
              <w:pStyle w:val="TableText"/>
              <w:spacing w:before="0" w:after="0"/>
              <w:jc w:val="center"/>
            </w:pPr>
            <w:r w:rsidRPr="00591EA6">
              <w:t>$</w:t>
            </w:r>
            <w:r w:rsidR="00CD21DA">
              <w:rPr>
                <w:noProof/>
                <w:color w:val="000000"/>
                <w:highlight w:val="black"/>
              </w:rPr>
              <w:t>'''''''''''''''</w:t>
            </w:r>
          </w:p>
        </w:tc>
        <w:tc>
          <w:tcPr>
            <w:tcW w:w="1283" w:type="pct"/>
          </w:tcPr>
          <w:p w:rsidR="009A25BA" w:rsidRPr="00591EA6" w:rsidRDefault="009A25BA" w:rsidP="00C97469">
            <w:pPr>
              <w:pStyle w:val="TableText"/>
              <w:spacing w:before="0" w:after="0"/>
              <w:jc w:val="center"/>
            </w:pPr>
            <w:r w:rsidRPr="00591EA6">
              <w:t>$</w:t>
            </w:r>
            <w:r w:rsidR="00CD21DA">
              <w:rPr>
                <w:noProof/>
                <w:color w:val="000000"/>
                <w:highlight w:val="black"/>
              </w:rPr>
              <w:t>'''''''''''''''</w:t>
            </w:r>
          </w:p>
        </w:tc>
        <w:tc>
          <w:tcPr>
            <w:tcW w:w="1210" w:type="pct"/>
          </w:tcPr>
          <w:p w:rsidR="009A25BA" w:rsidRPr="00591EA6" w:rsidRDefault="009A25BA" w:rsidP="00C97469">
            <w:pPr>
              <w:pStyle w:val="TableText"/>
              <w:spacing w:before="0" w:after="0"/>
              <w:jc w:val="center"/>
            </w:pPr>
            <w:r w:rsidRPr="00591EA6">
              <w:t>$</w:t>
            </w:r>
            <w:r w:rsidR="00CD21DA">
              <w:rPr>
                <w:noProof/>
                <w:color w:val="000000"/>
                <w:highlight w:val="black"/>
              </w:rPr>
              <w:t>''''''''''''''''</w:t>
            </w:r>
          </w:p>
        </w:tc>
      </w:tr>
      <w:tr w:rsidR="000C66A6" w:rsidRPr="00591EA6" w:rsidTr="0046417E">
        <w:tc>
          <w:tcPr>
            <w:tcW w:w="1225" w:type="pct"/>
          </w:tcPr>
          <w:p w:rsidR="000C66A6" w:rsidRPr="00591EA6" w:rsidRDefault="000C66A6" w:rsidP="00583D58">
            <w:pPr>
              <w:pStyle w:val="TableText"/>
              <w:spacing w:before="0" w:after="0"/>
            </w:pPr>
            <w:r w:rsidRPr="00591EA6">
              <w:t>LYG</w:t>
            </w:r>
          </w:p>
        </w:tc>
        <w:tc>
          <w:tcPr>
            <w:tcW w:w="1283" w:type="pct"/>
          </w:tcPr>
          <w:p w:rsidR="000C66A6" w:rsidRPr="00CD21DA" w:rsidRDefault="00CD21DA" w:rsidP="00583D58">
            <w:pPr>
              <w:pStyle w:val="TableText"/>
              <w:spacing w:before="0" w:after="0"/>
              <w:jc w:val="center"/>
              <w:rPr>
                <w:highlight w:val="black"/>
              </w:rPr>
            </w:pPr>
            <w:r>
              <w:rPr>
                <w:noProof/>
                <w:color w:val="000000"/>
                <w:highlight w:val="black"/>
              </w:rPr>
              <w:t>'''''''''''''''''</w:t>
            </w:r>
          </w:p>
        </w:tc>
        <w:tc>
          <w:tcPr>
            <w:tcW w:w="1283" w:type="pct"/>
          </w:tcPr>
          <w:p w:rsidR="000C66A6" w:rsidRPr="00CD21DA" w:rsidRDefault="00CD21DA" w:rsidP="00583D58">
            <w:pPr>
              <w:pStyle w:val="TableText"/>
              <w:spacing w:before="0" w:after="0"/>
              <w:jc w:val="center"/>
              <w:rPr>
                <w:highlight w:val="black"/>
              </w:rPr>
            </w:pPr>
            <w:r>
              <w:rPr>
                <w:noProof/>
                <w:color w:val="000000"/>
                <w:highlight w:val="black"/>
              </w:rPr>
              <w:t>'''''''''''''</w:t>
            </w:r>
          </w:p>
        </w:tc>
        <w:tc>
          <w:tcPr>
            <w:tcW w:w="1210" w:type="pct"/>
          </w:tcPr>
          <w:p w:rsidR="000C66A6" w:rsidRPr="00CD21DA" w:rsidRDefault="00CD21DA" w:rsidP="00583D58">
            <w:pPr>
              <w:pStyle w:val="TableText"/>
              <w:spacing w:before="0" w:after="0"/>
              <w:jc w:val="center"/>
              <w:rPr>
                <w:highlight w:val="black"/>
              </w:rPr>
            </w:pPr>
            <w:r>
              <w:rPr>
                <w:noProof/>
                <w:color w:val="000000"/>
                <w:highlight w:val="black"/>
              </w:rPr>
              <w:t>''''''''''''</w:t>
            </w:r>
          </w:p>
        </w:tc>
      </w:tr>
      <w:tr w:rsidR="000C66A6" w:rsidRPr="00591EA6" w:rsidTr="0046417E">
        <w:tc>
          <w:tcPr>
            <w:tcW w:w="1225" w:type="pct"/>
          </w:tcPr>
          <w:p w:rsidR="000C66A6" w:rsidRPr="00591EA6" w:rsidRDefault="000C66A6" w:rsidP="00583D58">
            <w:pPr>
              <w:pStyle w:val="TableText"/>
              <w:spacing w:before="0" w:after="0"/>
            </w:pPr>
            <w:r w:rsidRPr="00591EA6">
              <w:t>QALY</w:t>
            </w:r>
          </w:p>
        </w:tc>
        <w:tc>
          <w:tcPr>
            <w:tcW w:w="1283" w:type="pct"/>
          </w:tcPr>
          <w:p w:rsidR="000C66A6" w:rsidRPr="00CD21DA" w:rsidRDefault="00CD21DA" w:rsidP="00583D58">
            <w:pPr>
              <w:pStyle w:val="TableText"/>
              <w:spacing w:before="0" w:after="0"/>
              <w:jc w:val="center"/>
              <w:rPr>
                <w:highlight w:val="black"/>
              </w:rPr>
            </w:pPr>
            <w:r>
              <w:rPr>
                <w:noProof/>
                <w:color w:val="000000"/>
                <w:highlight w:val="black"/>
              </w:rPr>
              <w:t>''''''''''''''</w:t>
            </w:r>
          </w:p>
        </w:tc>
        <w:tc>
          <w:tcPr>
            <w:tcW w:w="1283" w:type="pct"/>
          </w:tcPr>
          <w:p w:rsidR="000C66A6" w:rsidRPr="00CD21DA" w:rsidRDefault="00CD21DA" w:rsidP="00583D58">
            <w:pPr>
              <w:pStyle w:val="TableText"/>
              <w:spacing w:before="0" w:after="0"/>
              <w:jc w:val="center"/>
              <w:rPr>
                <w:highlight w:val="black"/>
              </w:rPr>
            </w:pPr>
            <w:r>
              <w:rPr>
                <w:noProof/>
                <w:color w:val="000000"/>
                <w:highlight w:val="black"/>
              </w:rPr>
              <w:t>''''''''''''''</w:t>
            </w:r>
          </w:p>
        </w:tc>
        <w:tc>
          <w:tcPr>
            <w:tcW w:w="1210" w:type="pct"/>
          </w:tcPr>
          <w:p w:rsidR="000C66A6" w:rsidRPr="00CD21DA" w:rsidRDefault="00CD21DA" w:rsidP="00583D58">
            <w:pPr>
              <w:pStyle w:val="TableText"/>
              <w:spacing w:before="0" w:after="0"/>
              <w:jc w:val="center"/>
              <w:rPr>
                <w:highlight w:val="black"/>
              </w:rPr>
            </w:pPr>
            <w:r>
              <w:rPr>
                <w:noProof/>
                <w:color w:val="000000"/>
                <w:highlight w:val="black"/>
              </w:rPr>
              <w:t>''''''''''''''</w:t>
            </w:r>
          </w:p>
        </w:tc>
      </w:tr>
      <w:tr w:rsidR="000C66A6" w:rsidRPr="00591EA6" w:rsidTr="0046417E">
        <w:tc>
          <w:tcPr>
            <w:tcW w:w="3790" w:type="pct"/>
            <w:gridSpan w:val="3"/>
          </w:tcPr>
          <w:p w:rsidR="000C66A6" w:rsidRPr="00591EA6" w:rsidRDefault="000C66A6" w:rsidP="00583D58">
            <w:pPr>
              <w:pStyle w:val="TableText"/>
              <w:spacing w:before="0" w:after="0"/>
              <w:rPr>
                <w:b/>
              </w:rPr>
            </w:pPr>
            <w:r w:rsidRPr="00591EA6">
              <w:rPr>
                <w:b/>
              </w:rPr>
              <w:t>Incremental cost/LYG</w:t>
            </w:r>
          </w:p>
        </w:tc>
        <w:tc>
          <w:tcPr>
            <w:tcW w:w="1210" w:type="pct"/>
          </w:tcPr>
          <w:p w:rsidR="000C66A6" w:rsidRPr="00591EA6" w:rsidRDefault="000C66A6" w:rsidP="009A25BA">
            <w:pPr>
              <w:pStyle w:val="TableText"/>
              <w:spacing w:before="0" w:after="0"/>
              <w:jc w:val="center"/>
              <w:rPr>
                <w:b/>
              </w:rPr>
            </w:pPr>
            <w:r w:rsidRPr="00591EA6">
              <w:rPr>
                <w:b/>
              </w:rPr>
              <w:t>$</w:t>
            </w:r>
            <w:r w:rsidR="00CD21DA">
              <w:rPr>
                <w:b/>
                <w:noProof/>
                <w:color w:val="000000"/>
                <w:highlight w:val="black"/>
              </w:rPr>
              <w:t>'''''''''''''</w:t>
            </w:r>
          </w:p>
        </w:tc>
      </w:tr>
      <w:tr w:rsidR="000C66A6" w:rsidRPr="00591EA6" w:rsidTr="0046417E">
        <w:tc>
          <w:tcPr>
            <w:tcW w:w="3790" w:type="pct"/>
            <w:gridSpan w:val="3"/>
          </w:tcPr>
          <w:p w:rsidR="000C66A6" w:rsidRPr="00591EA6" w:rsidRDefault="000C66A6" w:rsidP="00583D58">
            <w:pPr>
              <w:pStyle w:val="TableText"/>
              <w:spacing w:before="0" w:after="0"/>
              <w:rPr>
                <w:rFonts w:ascii="Times" w:eastAsia="Times New Roman" w:hAnsi="Times" w:cs="Times New Roman"/>
                <w:b/>
              </w:rPr>
            </w:pPr>
            <w:r w:rsidRPr="00591EA6">
              <w:rPr>
                <w:b/>
              </w:rPr>
              <w:t>Incremental cost/QALY</w:t>
            </w:r>
          </w:p>
        </w:tc>
        <w:tc>
          <w:tcPr>
            <w:tcW w:w="1210" w:type="pct"/>
          </w:tcPr>
          <w:p w:rsidR="000C66A6" w:rsidRPr="00591EA6" w:rsidRDefault="000C66A6" w:rsidP="009A25BA">
            <w:pPr>
              <w:pStyle w:val="TableText"/>
              <w:spacing w:before="0" w:after="0"/>
              <w:jc w:val="center"/>
              <w:rPr>
                <w:rFonts w:ascii="Times" w:eastAsia="Times New Roman" w:hAnsi="Times" w:cs="Times New Roman"/>
                <w:b/>
              </w:rPr>
            </w:pPr>
            <w:r w:rsidRPr="00591EA6">
              <w:rPr>
                <w:b/>
              </w:rPr>
              <w:t>$</w:t>
            </w:r>
            <w:r w:rsidR="00CD21DA">
              <w:rPr>
                <w:b/>
                <w:noProof/>
                <w:color w:val="000000"/>
                <w:highlight w:val="black"/>
              </w:rPr>
              <w:t>''''''''''''</w:t>
            </w:r>
          </w:p>
        </w:tc>
      </w:tr>
      <w:tr w:rsidR="000C66A6" w:rsidRPr="00591EA6" w:rsidTr="0046417E">
        <w:tc>
          <w:tcPr>
            <w:tcW w:w="5000" w:type="pct"/>
            <w:gridSpan w:val="4"/>
          </w:tcPr>
          <w:p w:rsidR="000C66A6" w:rsidRPr="00591EA6" w:rsidRDefault="000C66A6" w:rsidP="00583D58">
            <w:pPr>
              <w:pStyle w:val="TableText"/>
              <w:spacing w:before="0" w:after="0"/>
              <w:rPr>
                <w:b/>
              </w:rPr>
            </w:pPr>
            <w:r w:rsidRPr="00591EA6">
              <w:rPr>
                <w:b/>
              </w:rPr>
              <w:t>Submission base case (5 health states) for reference</w:t>
            </w:r>
          </w:p>
        </w:tc>
      </w:tr>
      <w:tr w:rsidR="009A25BA" w:rsidRPr="00591EA6" w:rsidTr="0046417E">
        <w:tc>
          <w:tcPr>
            <w:tcW w:w="1225" w:type="pct"/>
            <w:vAlign w:val="center"/>
          </w:tcPr>
          <w:p w:rsidR="009A25BA" w:rsidRPr="00591EA6" w:rsidRDefault="009A25BA" w:rsidP="00583D58">
            <w:pPr>
              <w:pStyle w:val="TableText"/>
              <w:spacing w:before="0" w:after="0"/>
            </w:pPr>
            <w:r w:rsidRPr="00591EA6">
              <w:rPr>
                <w:rFonts w:cs="Times New Roman"/>
                <w:szCs w:val="20"/>
              </w:rPr>
              <w:t>Costs</w:t>
            </w:r>
          </w:p>
        </w:tc>
        <w:tc>
          <w:tcPr>
            <w:tcW w:w="1283" w:type="pct"/>
            <w:vAlign w:val="center"/>
          </w:tcPr>
          <w:p w:rsidR="009A25BA" w:rsidRPr="00591EA6" w:rsidRDefault="009A25BA" w:rsidP="00583D58">
            <w:pPr>
              <w:pStyle w:val="TableText"/>
              <w:spacing w:before="0" w:after="0"/>
              <w:jc w:val="center"/>
            </w:pPr>
            <w:r w:rsidRPr="00591EA6">
              <w:t>$</w:t>
            </w:r>
            <w:r w:rsidR="00CD21DA">
              <w:rPr>
                <w:noProof/>
                <w:color w:val="000000"/>
                <w:highlight w:val="black"/>
              </w:rPr>
              <w:t>'''''''''''''''''</w:t>
            </w:r>
          </w:p>
        </w:tc>
        <w:tc>
          <w:tcPr>
            <w:tcW w:w="1283" w:type="pct"/>
            <w:vAlign w:val="center"/>
          </w:tcPr>
          <w:p w:rsidR="009A25BA" w:rsidRPr="00591EA6" w:rsidRDefault="009A25BA" w:rsidP="00583D58">
            <w:pPr>
              <w:pStyle w:val="TableText"/>
              <w:spacing w:before="0" w:after="0"/>
              <w:jc w:val="center"/>
            </w:pPr>
            <w:r w:rsidRPr="00591EA6">
              <w:t>$</w:t>
            </w:r>
            <w:r w:rsidR="00CD21DA">
              <w:rPr>
                <w:noProof/>
                <w:color w:val="000000"/>
                <w:highlight w:val="black"/>
              </w:rPr>
              <w:t>''''''''''''''''</w:t>
            </w:r>
          </w:p>
        </w:tc>
        <w:tc>
          <w:tcPr>
            <w:tcW w:w="1210" w:type="pct"/>
          </w:tcPr>
          <w:p w:rsidR="009A25BA" w:rsidRPr="00591EA6" w:rsidRDefault="009A25BA" w:rsidP="00583D58">
            <w:pPr>
              <w:pStyle w:val="TableText"/>
              <w:spacing w:before="0" w:after="0"/>
              <w:jc w:val="center"/>
            </w:pPr>
            <w:r w:rsidRPr="00591EA6">
              <w:t>$</w:t>
            </w:r>
            <w:r w:rsidR="00CD21DA">
              <w:rPr>
                <w:noProof/>
                <w:color w:val="000000"/>
                <w:highlight w:val="black"/>
              </w:rPr>
              <w:t>''''''''''''''''</w:t>
            </w:r>
          </w:p>
        </w:tc>
      </w:tr>
      <w:tr w:rsidR="00C97469" w:rsidRPr="00591EA6" w:rsidTr="0046417E">
        <w:tc>
          <w:tcPr>
            <w:tcW w:w="1225" w:type="pct"/>
            <w:vAlign w:val="center"/>
          </w:tcPr>
          <w:p w:rsidR="00C97469" w:rsidRPr="00591EA6" w:rsidRDefault="00C97469" w:rsidP="00583D58">
            <w:pPr>
              <w:pStyle w:val="TableText"/>
              <w:spacing w:before="0" w:after="0"/>
            </w:pPr>
            <w:r w:rsidRPr="00591EA6">
              <w:rPr>
                <w:rFonts w:cs="Times New Roman"/>
                <w:szCs w:val="20"/>
              </w:rPr>
              <w:t>LYG</w:t>
            </w:r>
          </w:p>
        </w:tc>
        <w:tc>
          <w:tcPr>
            <w:tcW w:w="1283" w:type="pct"/>
            <w:vAlign w:val="center"/>
          </w:tcPr>
          <w:p w:rsidR="00C97469" w:rsidRPr="00CD21DA" w:rsidRDefault="00CD21DA" w:rsidP="00754263">
            <w:pPr>
              <w:pStyle w:val="TableText"/>
              <w:spacing w:before="0" w:after="0"/>
              <w:jc w:val="center"/>
              <w:rPr>
                <w:highlight w:val="black"/>
              </w:rPr>
            </w:pPr>
            <w:r>
              <w:rPr>
                <w:noProof/>
                <w:color w:val="000000"/>
                <w:highlight w:val="black"/>
              </w:rPr>
              <w:t>''''''''''''''''</w:t>
            </w:r>
          </w:p>
        </w:tc>
        <w:tc>
          <w:tcPr>
            <w:tcW w:w="1283" w:type="pct"/>
            <w:vAlign w:val="center"/>
          </w:tcPr>
          <w:p w:rsidR="00C97469" w:rsidRPr="00CD21DA" w:rsidRDefault="00CD21DA" w:rsidP="00583D58">
            <w:pPr>
              <w:pStyle w:val="TableText"/>
              <w:spacing w:before="0" w:after="0"/>
              <w:jc w:val="center"/>
              <w:rPr>
                <w:highlight w:val="black"/>
              </w:rPr>
            </w:pPr>
            <w:r>
              <w:rPr>
                <w:noProof/>
                <w:color w:val="000000"/>
                <w:highlight w:val="black"/>
              </w:rPr>
              <w:t>'''''''''''''</w:t>
            </w:r>
          </w:p>
        </w:tc>
        <w:tc>
          <w:tcPr>
            <w:tcW w:w="1210" w:type="pct"/>
          </w:tcPr>
          <w:p w:rsidR="00C97469" w:rsidRPr="00CD21DA" w:rsidRDefault="00CD21DA" w:rsidP="00583D58">
            <w:pPr>
              <w:pStyle w:val="TableText"/>
              <w:spacing w:before="0" w:after="0"/>
              <w:jc w:val="center"/>
              <w:rPr>
                <w:highlight w:val="black"/>
              </w:rPr>
            </w:pPr>
            <w:r>
              <w:rPr>
                <w:noProof/>
                <w:color w:val="000000"/>
                <w:highlight w:val="black"/>
              </w:rPr>
              <w:t>'''''''''''''</w:t>
            </w:r>
          </w:p>
        </w:tc>
      </w:tr>
      <w:tr w:rsidR="00C97469" w:rsidRPr="00591EA6" w:rsidTr="0046417E">
        <w:tc>
          <w:tcPr>
            <w:tcW w:w="1225" w:type="pct"/>
            <w:vAlign w:val="center"/>
          </w:tcPr>
          <w:p w:rsidR="00C97469" w:rsidRPr="00591EA6" w:rsidRDefault="00C97469" w:rsidP="00583D58">
            <w:pPr>
              <w:pStyle w:val="TableText"/>
              <w:spacing w:before="0" w:after="0"/>
              <w:rPr>
                <w:rFonts w:ascii="Times" w:eastAsia="Times New Roman" w:hAnsi="Times" w:cs="Times New Roman"/>
              </w:rPr>
            </w:pPr>
            <w:r w:rsidRPr="00591EA6">
              <w:rPr>
                <w:rFonts w:cs="Times New Roman"/>
                <w:szCs w:val="20"/>
              </w:rPr>
              <w:t>QALY</w:t>
            </w:r>
          </w:p>
        </w:tc>
        <w:tc>
          <w:tcPr>
            <w:tcW w:w="1283" w:type="pct"/>
            <w:vAlign w:val="center"/>
          </w:tcPr>
          <w:p w:rsidR="00C97469" w:rsidRPr="00CD21DA" w:rsidRDefault="00CD21DA" w:rsidP="00583D58">
            <w:pPr>
              <w:pStyle w:val="TableText"/>
              <w:spacing w:before="0" w:after="0"/>
              <w:jc w:val="center"/>
              <w:rPr>
                <w:highlight w:val="black"/>
              </w:rPr>
            </w:pPr>
            <w:r>
              <w:rPr>
                <w:noProof/>
                <w:color w:val="000000"/>
                <w:highlight w:val="black"/>
              </w:rPr>
              <w:t>''''''''''''''</w:t>
            </w:r>
          </w:p>
        </w:tc>
        <w:tc>
          <w:tcPr>
            <w:tcW w:w="1283" w:type="pct"/>
            <w:vAlign w:val="center"/>
          </w:tcPr>
          <w:p w:rsidR="00C97469" w:rsidRPr="00CD21DA" w:rsidRDefault="00CD21DA" w:rsidP="00583D58">
            <w:pPr>
              <w:pStyle w:val="TableText"/>
              <w:spacing w:before="0" w:after="0"/>
              <w:jc w:val="center"/>
              <w:rPr>
                <w:highlight w:val="black"/>
              </w:rPr>
            </w:pPr>
            <w:r>
              <w:rPr>
                <w:noProof/>
                <w:color w:val="000000"/>
                <w:highlight w:val="black"/>
              </w:rPr>
              <w:t>'''''''''''''</w:t>
            </w:r>
          </w:p>
        </w:tc>
        <w:tc>
          <w:tcPr>
            <w:tcW w:w="1210" w:type="pct"/>
          </w:tcPr>
          <w:p w:rsidR="00C97469" w:rsidRPr="00CD21DA" w:rsidRDefault="00CD21DA" w:rsidP="00583D58">
            <w:pPr>
              <w:pStyle w:val="TableText"/>
              <w:spacing w:before="0" w:after="0"/>
              <w:jc w:val="center"/>
              <w:rPr>
                <w:highlight w:val="black"/>
              </w:rPr>
            </w:pPr>
            <w:r>
              <w:rPr>
                <w:noProof/>
                <w:color w:val="000000"/>
                <w:highlight w:val="black"/>
              </w:rPr>
              <w:t>''''''''''''</w:t>
            </w:r>
          </w:p>
        </w:tc>
      </w:tr>
      <w:tr w:rsidR="009A25BA" w:rsidRPr="00591EA6" w:rsidTr="0046417E">
        <w:tc>
          <w:tcPr>
            <w:tcW w:w="3790" w:type="pct"/>
            <w:gridSpan w:val="3"/>
            <w:vAlign w:val="center"/>
          </w:tcPr>
          <w:p w:rsidR="009A25BA" w:rsidRPr="00591EA6" w:rsidRDefault="009A25BA" w:rsidP="00583D58">
            <w:pPr>
              <w:pStyle w:val="TableText"/>
              <w:spacing w:before="0" w:after="0"/>
            </w:pPr>
            <w:r w:rsidRPr="00591EA6">
              <w:rPr>
                <w:b/>
              </w:rPr>
              <w:t>Incremental cost/LYG</w:t>
            </w:r>
          </w:p>
        </w:tc>
        <w:tc>
          <w:tcPr>
            <w:tcW w:w="1210" w:type="pct"/>
          </w:tcPr>
          <w:p w:rsidR="009A25BA" w:rsidRPr="00591EA6" w:rsidRDefault="009A25BA" w:rsidP="00583D58">
            <w:pPr>
              <w:pStyle w:val="TableText"/>
              <w:spacing w:before="0" w:after="0"/>
              <w:jc w:val="center"/>
            </w:pPr>
            <w:r w:rsidRPr="00591EA6">
              <w:rPr>
                <w:b/>
              </w:rPr>
              <w:t>$</w:t>
            </w:r>
            <w:r w:rsidR="00CD21DA">
              <w:rPr>
                <w:b/>
                <w:noProof/>
                <w:color w:val="000000"/>
                <w:highlight w:val="black"/>
              </w:rPr>
              <w:t>''''''''''''''</w:t>
            </w:r>
          </w:p>
        </w:tc>
      </w:tr>
      <w:tr w:rsidR="009A25BA" w:rsidRPr="00591EA6" w:rsidTr="0046417E">
        <w:tc>
          <w:tcPr>
            <w:tcW w:w="3790" w:type="pct"/>
            <w:gridSpan w:val="3"/>
            <w:vAlign w:val="center"/>
          </w:tcPr>
          <w:p w:rsidR="009A25BA" w:rsidRPr="00591EA6" w:rsidRDefault="009A25BA" w:rsidP="00583D58">
            <w:pPr>
              <w:pStyle w:val="TableText"/>
              <w:spacing w:before="0" w:after="0"/>
              <w:rPr>
                <w:rFonts w:ascii="Times" w:eastAsia="Times New Roman" w:hAnsi="Times" w:cs="Times New Roman"/>
              </w:rPr>
            </w:pPr>
            <w:r w:rsidRPr="00591EA6">
              <w:rPr>
                <w:b/>
              </w:rPr>
              <w:t>Incremental cost/QALY</w:t>
            </w:r>
          </w:p>
        </w:tc>
        <w:tc>
          <w:tcPr>
            <w:tcW w:w="1210" w:type="pct"/>
          </w:tcPr>
          <w:p w:rsidR="009A25BA" w:rsidRPr="00591EA6" w:rsidRDefault="009A25BA" w:rsidP="00583D58">
            <w:pPr>
              <w:pStyle w:val="TableText"/>
              <w:spacing w:before="0" w:after="0"/>
              <w:jc w:val="center"/>
              <w:rPr>
                <w:rFonts w:ascii="Times" w:eastAsia="Times New Roman" w:hAnsi="Times" w:cs="Times New Roman"/>
              </w:rPr>
            </w:pPr>
            <w:r w:rsidRPr="00591EA6">
              <w:rPr>
                <w:b/>
              </w:rPr>
              <w:t>$</w:t>
            </w:r>
            <w:r w:rsidR="00CD21DA">
              <w:rPr>
                <w:b/>
                <w:noProof/>
                <w:color w:val="000000"/>
                <w:highlight w:val="black"/>
              </w:rPr>
              <w:t>'''''''''''''</w:t>
            </w:r>
          </w:p>
        </w:tc>
      </w:tr>
    </w:tbl>
    <w:p w:rsidR="009A25BA" w:rsidRPr="00591EA6" w:rsidRDefault="009A25BA" w:rsidP="009A25BA">
      <w:pPr>
        <w:pStyle w:val="TableFooter"/>
        <w:tabs>
          <w:tab w:val="left" w:pos="142"/>
        </w:tabs>
        <w:ind w:left="142" w:hanging="142"/>
      </w:pPr>
      <w:r w:rsidRPr="00591EA6">
        <w:rPr>
          <w:szCs w:val="18"/>
          <w:vertAlign w:val="superscript"/>
        </w:rPr>
        <w:t>a</w:t>
      </w:r>
      <w:r w:rsidRPr="00591EA6">
        <w:rPr>
          <w:szCs w:val="18"/>
          <w:vertAlign w:val="superscript"/>
        </w:rPr>
        <w:tab/>
      </w:r>
      <w:r w:rsidRPr="00591EA6">
        <w:rPr>
          <w:szCs w:val="18"/>
        </w:rPr>
        <w:t>Drug prices were updated during the evaluation to include dispensing fees and preparation fees as of 1 July 2017. Given these alterations, all estimated costs differ slightly from those presented in the submission.</w:t>
      </w:r>
    </w:p>
    <w:p w:rsidR="000C66A6" w:rsidRPr="00591EA6" w:rsidRDefault="000C66A6" w:rsidP="000C66A6">
      <w:pPr>
        <w:pStyle w:val="TableFooter"/>
      </w:pPr>
      <w:r w:rsidRPr="00591EA6">
        <w:t>G-Chemo=obinutuzumab+chemotherapy; LYG=life years gained; QALY=quality adjusted life year; R-Chemo=rituximab+chemotherapy</w:t>
      </w:r>
    </w:p>
    <w:p w:rsidR="00FE2BBC" w:rsidRPr="00591EA6" w:rsidRDefault="000C66A6" w:rsidP="00583D58">
      <w:pPr>
        <w:pStyle w:val="TableFooter"/>
      </w:pPr>
      <w:r w:rsidRPr="00591EA6">
        <w:t>Source: Table 3.8.3, p126 of the submission</w:t>
      </w:r>
      <w:r w:rsidR="000C3602" w:rsidRPr="00591EA6">
        <w:t>; Excel workbook ‘Economic Evaluation.xlsx’</w:t>
      </w:r>
      <w:r w:rsidR="00406591" w:rsidRPr="00591EA6">
        <w:t xml:space="preserve"> provided with the submission.</w:t>
      </w:r>
    </w:p>
    <w:p w:rsidR="00583D58" w:rsidRPr="004267F6" w:rsidRDefault="00583D58" w:rsidP="00A375D6">
      <w:pPr>
        <w:pStyle w:val="ListParagraph"/>
        <w:numPr>
          <w:ilvl w:val="1"/>
          <w:numId w:val="1"/>
        </w:numPr>
        <w:ind w:left="709" w:hanging="709"/>
        <w:jc w:val="both"/>
      </w:pPr>
      <w:r w:rsidRPr="004267F6">
        <w:t xml:space="preserve">There </w:t>
      </w:r>
      <w:r w:rsidR="00821050" w:rsidRPr="004267F6">
        <w:t>wa</w:t>
      </w:r>
      <w:r w:rsidRPr="004267F6">
        <w:t>s only a $</w:t>
      </w:r>
      <w:r w:rsidR="00CD21DA">
        <w:rPr>
          <w:noProof/>
          <w:color w:val="000000"/>
          <w:highlight w:val="black"/>
        </w:rPr>
        <w:t>''''''''</w:t>
      </w:r>
      <w:r w:rsidR="0097196B" w:rsidRPr="004267F6">
        <w:t xml:space="preserve"> </w:t>
      </w:r>
      <w:r w:rsidRPr="004267F6">
        <w:t xml:space="preserve">difference between the 3 health state and 5 health state </w:t>
      </w:r>
      <w:r w:rsidRPr="00A375D6">
        <w:rPr>
          <w:rFonts w:cs="Arial"/>
          <w:bCs/>
          <w:snapToGrid w:val="0"/>
        </w:rPr>
        <w:t>models</w:t>
      </w:r>
      <w:r w:rsidRPr="004267F6">
        <w:t xml:space="preserve"> for incremental cost/QALY.</w:t>
      </w:r>
      <w:r w:rsidR="00A07559">
        <w:t xml:space="preserve"> </w:t>
      </w:r>
      <w:r w:rsidRPr="004267F6">
        <w:t xml:space="preserve">While the PBAC had indicated the need for a health state to account for patients who are progressed but well (paragraph 7.13, July 2014 obinutuzumab PSD), the inclusion of two additional health states to account for this in the current model </w:t>
      </w:r>
      <w:r w:rsidR="00AD17F2" w:rsidRPr="004267F6">
        <w:t xml:space="preserve">appeared to have </w:t>
      </w:r>
      <w:r w:rsidRPr="004267F6">
        <w:t>little impact.</w:t>
      </w:r>
      <w:r w:rsidR="00BA2C9F">
        <w:t xml:space="preserve"> </w:t>
      </w:r>
    </w:p>
    <w:p w:rsidR="000E7F84" w:rsidRPr="004267F6" w:rsidRDefault="00813E6A" w:rsidP="00A375D6">
      <w:pPr>
        <w:pStyle w:val="ListParagraph"/>
        <w:numPr>
          <w:ilvl w:val="1"/>
          <w:numId w:val="1"/>
        </w:numPr>
        <w:ind w:left="709" w:hanging="709"/>
        <w:jc w:val="both"/>
      </w:pPr>
      <w:r w:rsidRPr="004267F6">
        <w:t xml:space="preserve">The ESC reviewed the sensitivity analysis around utility weights applied in the </w:t>
      </w:r>
      <w:r w:rsidRPr="00A375D6">
        <w:rPr>
          <w:rFonts w:cs="Arial"/>
          <w:bCs/>
          <w:snapToGrid w:val="0"/>
        </w:rPr>
        <w:t>economic</w:t>
      </w:r>
      <w:r w:rsidRPr="004267F6">
        <w:t xml:space="preserve"> model</w:t>
      </w:r>
      <w:r w:rsidR="000E7F84" w:rsidRPr="004267F6">
        <w:t xml:space="preserve"> </w:t>
      </w:r>
      <w:r w:rsidRPr="004267F6">
        <w:t>presented in the submission</w:t>
      </w:r>
      <w:r w:rsidR="00D82545" w:rsidRPr="004267F6">
        <w:t xml:space="preserve"> (p</w:t>
      </w:r>
      <w:r w:rsidRPr="004267F6">
        <w:t xml:space="preserve">131) and noted that varying the choice of utilities had minimal impact on the ICER. </w:t>
      </w:r>
      <w:r w:rsidR="000E7F84" w:rsidRPr="004267F6">
        <w:t xml:space="preserve">The </w:t>
      </w:r>
      <w:r w:rsidR="00F860AD">
        <w:t>PBAC</w:t>
      </w:r>
      <w:r w:rsidR="000E7F84" w:rsidRPr="004267F6">
        <w:t xml:space="preserve"> considered this indicates the </w:t>
      </w:r>
      <w:r w:rsidR="00CD18A1" w:rsidRPr="004267F6">
        <w:t>QALY</w:t>
      </w:r>
      <w:r w:rsidR="000E7F84" w:rsidRPr="004267F6">
        <w:t xml:space="preserve"> gains in the model are</w:t>
      </w:r>
      <w:r w:rsidR="00950BC5" w:rsidRPr="004267F6">
        <w:t xml:space="preserve"> driven by OS outcomes</w:t>
      </w:r>
      <w:r w:rsidR="000E7F84" w:rsidRPr="004267F6">
        <w:t>, which were not statistically significant in the GALLIUM trial.</w:t>
      </w:r>
      <w:r w:rsidR="0092107B">
        <w:t xml:space="preserve"> </w:t>
      </w:r>
      <w:r w:rsidR="005366B7">
        <w:t>T</w:t>
      </w:r>
      <w:r w:rsidR="0092107B">
        <w:t xml:space="preserve">he PBAC did not consider it appropriate for the </w:t>
      </w:r>
      <w:r w:rsidR="005366B7">
        <w:t>economic</w:t>
      </w:r>
      <w:r w:rsidR="0092107B">
        <w:t xml:space="preserve"> model to be driven by immature OS data.</w:t>
      </w:r>
    </w:p>
    <w:p w:rsidR="00583D58" w:rsidRPr="004267F6" w:rsidRDefault="00C50E92" w:rsidP="00A375D6">
      <w:pPr>
        <w:pStyle w:val="ListParagraph"/>
        <w:numPr>
          <w:ilvl w:val="1"/>
          <w:numId w:val="1"/>
        </w:numPr>
        <w:ind w:left="709" w:hanging="709"/>
        <w:jc w:val="both"/>
      </w:pPr>
      <w:r w:rsidRPr="004267F6">
        <w:t xml:space="preserve">Sensitivity analyses demonstrated that the model was sensitive to the chosen time </w:t>
      </w:r>
      <w:r w:rsidRPr="00A375D6">
        <w:rPr>
          <w:rFonts w:cs="Arial"/>
          <w:bCs/>
          <w:snapToGrid w:val="0"/>
        </w:rPr>
        <w:t>horizon</w:t>
      </w:r>
      <w:r w:rsidRPr="004267F6">
        <w:t xml:space="preserve"> and the method of </w:t>
      </w:r>
      <w:r w:rsidR="00C1307A" w:rsidRPr="004267F6">
        <w:t xml:space="preserve">PFS </w:t>
      </w:r>
      <w:r w:rsidRPr="004267F6">
        <w:t>extrapolation used</w:t>
      </w:r>
      <w:r w:rsidR="00EA5ECE" w:rsidRPr="004267F6">
        <w:t xml:space="preserve"> (Table 11)</w:t>
      </w:r>
      <w:r w:rsidRPr="004267F6">
        <w:t xml:space="preserve">. For example, decreasing the time horizon from the submission’s base case of 20 years to 15 years increased the ICER by almost </w:t>
      </w:r>
      <w:r w:rsidR="00CD21DA">
        <w:rPr>
          <w:noProof/>
          <w:color w:val="000000"/>
          <w:highlight w:val="black"/>
        </w:rPr>
        <w:t>'''''</w:t>
      </w:r>
      <w:r w:rsidRPr="004267F6">
        <w:t xml:space="preserve">%, to </w:t>
      </w:r>
      <w:r w:rsidR="002C2A3B">
        <w:t>$15,000/QALY - $45,000/QALY</w:t>
      </w:r>
      <w:r w:rsidRPr="004267F6">
        <w:t xml:space="preserve">. </w:t>
      </w:r>
      <w:r w:rsidR="00FF193A" w:rsidRPr="004267F6">
        <w:t>A</w:t>
      </w:r>
      <w:r w:rsidRPr="004267F6">
        <w:t xml:space="preserve"> 10 year time horizon increased the ICER to </w:t>
      </w:r>
      <w:r w:rsidR="002C2A3B">
        <w:t>$75,000/QALY - $105,000/QALY</w:t>
      </w:r>
      <w:r w:rsidRPr="004267F6">
        <w:t xml:space="preserve">. </w:t>
      </w:r>
      <w:r w:rsidR="005D5781">
        <w:t xml:space="preserve">The pre-PBAC response (p3) argued that PBAC accepted a 20 year time horizon </w:t>
      </w:r>
      <w:r w:rsidR="005D5781">
        <w:rPr>
          <w:rFonts w:ascii="Calibri" w:hAnsi="Calibri" w:cs="Calibri"/>
          <w:bCs/>
        </w:rPr>
        <w:t>a</w:t>
      </w:r>
      <w:r w:rsidR="005D5781" w:rsidRPr="003E1846">
        <w:rPr>
          <w:rFonts w:ascii="Calibri" w:hAnsi="Calibri" w:cs="Calibri"/>
          <w:bCs/>
        </w:rPr>
        <w:t xml:space="preserve">t </w:t>
      </w:r>
      <w:r w:rsidR="005D5781">
        <w:rPr>
          <w:rFonts w:ascii="Calibri" w:hAnsi="Calibri" w:cs="Calibri"/>
          <w:bCs/>
        </w:rPr>
        <w:t xml:space="preserve">its </w:t>
      </w:r>
      <w:r w:rsidR="005D5781" w:rsidRPr="003E1846">
        <w:rPr>
          <w:rFonts w:ascii="Calibri" w:hAnsi="Calibri" w:cs="Calibri"/>
          <w:bCs/>
        </w:rPr>
        <w:t>July 2015 consideration of bendamustine for indolent NHL</w:t>
      </w:r>
      <w:r w:rsidR="005D5781">
        <w:rPr>
          <w:rFonts w:ascii="Calibri" w:hAnsi="Calibri" w:cs="Calibri"/>
          <w:bCs/>
        </w:rPr>
        <w:t xml:space="preserve">. The PBAC </w:t>
      </w:r>
      <w:r w:rsidR="00C95EA5">
        <w:rPr>
          <w:rFonts w:ascii="Calibri" w:hAnsi="Calibri" w:cs="Calibri"/>
          <w:bCs/>
        </w:rPr>
        <w:t xml:space="preserve">noted that in this submission the OS did not converge within the model time horizon and </w:t>
      </w:r>
      <w:r w:rsidR="005D5781">
        <w:t xml:space="preserve">considered it was uncertain that the </w:t>
      </w:r>
      <w:r w:rsidR="00C95EA5">
        <w:t xml:space="preserve">assumed </w:t>
      </w:r>
      <w:r w:rsidR="005D5781">
        <w:t>survival difference</w:t>
      </w:r>
      <w:r w:rsidR="00C95EA5">
        <w:t xml:space="preserve"> favouring obin</w:t>
      </w:r>
      <w:r w:rsidR="00B06EFD">
        <w:t>u</w:t>
      </w:r>
      <w:r w:rsidR="00C95EA5">
        <w:t>tuzumab</w:t>
      </w:r>
      <w:r w:rsidR="005D5781">
        <w:t xml:space="preserve"> would be realised</w:t>
      </w:r>
      <w:r w:rsidR="00C95EA5">
        <w:t>.</w:t>
      </w:r>
      <w:r w:rsidR="005D5781">
        <w:t xml:space="preserve"> The PBAC recommended a shorter time horizon would be more appropriate. </w:t>
      </w:r>
    </w:p>
    <w:p w:rsidR="00EA5ECE" w:rsidRPr="00655805" w:rsidRDefault="00EA5ECE" w:rsidP="00EA5ECE">
      <w:pPr>
        <w:pStyle w:val="TableHeading0"/>
      </w:pPr>
      <w:r w:rsidRPr="00655805">
        <w:t>Table 11 Results of sensitivity analyses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91"/>
        <w:gridCol w:w="1306"/>
        <w:gridCol w:w="1435"/>
        <w:gridCol w:w="1201"/>
      </w:tblGrid>
      <w:tr w:rsidR="00EA5ECE" w:rsidRPr="00A72FA7" w:rsidTr="00C32758">
        <w:trPr>
          <w:tblHeader/>
        </w:trPr>
        <w:tc>
          <w:tcPr>
            <w:tcW w:w="2690" w:type="pct"/>
            <w:tcBorders>
              <w:top w:val="single" w:sz="4" w:space="0" w:color="auto"/>
              <w:left w:val="single" w:sz="4" w:space="0" w:color="auto"/>
              <w:bottom w:val="single" w:sz="4" w:space="0" w:color="auto"/>
              <w:right w:val="single" w:sz="4" w:space="0" w:color="auto"/>
            </w:tcBorders>
            <w:vAlign w:val="center"/>
          </w:tcPr>
          <w:p w:rsidR="00EA5ECE" w:rsidRPr="00D70FC8" w:rsidRDefault="00EA5ECE" w:rsidP="00943B30">
            <w:pPr>
              <w:pStyle w:val="TableText"/>
              <w:keepLines/>
              <w:widowControl w:val="0"/>
              <w:tabs>
                <w:tab w:val="left" w:pos="142"/>
              </w:tabs>
              <w:spacing w:before="0" w:after="0"/>
              <w:rPr>
                <w:b/>
              </w:rPr>
            </w:pPr>
            <w:r w:rsidRPr="00D70FC8">
              <w:rPr>
                <w:b/>
              </w:rPr>
              <w:t>Analyses</w:t>
            </w:r>
          </w:p>
        </w:tc>
        <w:tc>
          <w:tcPr>
            <w:tcW w:w="765" w:type="pct"/>
            <w:tcBorders>
              <w:top w:val="single" w:sz="4" w:space="0" w:color="auto"/>
              <w:left w:val="single" w:sz="4" w:space="0" w:color="auto"/>
              <w:bottom w:val="single" w:sz="4" w:space="0" w:color="auto"/>
              <w:right w:val="single" w:sz="4" w:space="0" w:color="auto"/>
            </w:tcBorders>
            <w:vAlign w:val="center"/>
          </w:tcPr>
          <w:p w:rsidR="00EA5ECE" w:rsidRPr="00D70FC8" w:rsidRDefault="00EA5ECE" w:rsidP="00943B30">
            <w:pPr>
              <w:pStyle w:val="TableText"/>
              <w:keepLines/>
              <w:widowControl w:val="0"/>
              <w:spacing w:before="0" w:after="0"/>
              <w:jc w:val="center"/>
              <w:rPr>
                <w:b/>
              </w:rPr>
            </w:pPr>
            <w:r w:rsidRPr="00D70FC8">
              <w:rPr>
                <w:b/>
              </w:rPr>
              <w:t>Incremental cost</w:t>
            </w:r>
          </w:p>
        </w:tc>
        <w:tc>
          <w:tcPr>
            <w:tcW w:w="841" w:type="pct"/>
            <w:tcBorders>
              <w:top w:val="single" w:sz="4" w:space="0" w:color="auto"/>
              <w:left w:val="single" w:sz="4" w:space="0" w:color="auto"/>
              <w:bottom w:val="single" w:sz="4" w:space="0" w:color="auto"/>
              <w:right w:val="single" w:sz="4" w:space="0" w:color="auto"/>
            </w:tcBorders>
            <w:vAlign w:val="center"/>
          </w:tcPr>
          <w:p w:rsidR="00EA5ECE" w:rsidRPr="00D70FC8" w:rsidRDefault="00EA5ECE" w:rsidP="00943B30">
            <w:pPr>
              <w:pStyle w:val="TableText"/>
              <w:keepLines/>
              <w:widowControl w:val="0"/>
              <w:spacing w:before="0" w:after="0"/>
              <w:jc w:val="center"/>
              <w:rPr>
                <w:b/>
              </w:rPr>
            </w:pPr>
            <w:r w:rsidRPr="00D70FC8">
              <w:rPr>
                <w:b/>
              </w:rPr>
              <w:t>Incremental QALY</w:t>
            </w:r>
          </w:p>
        </w:tc>
        <w:tc>
          <w:tcPr>
            <w:tcW w:w="704" w:type="pct"/>
            <w:tcBorders>
              <w:top w:val="single" w:sz="4" w:space="0" w:color="auto"/>
              <w:left w:val="single" w:sz="4" w:space="0" w:color="auto"/>
              <w:bottom w:val="single" w:sz="4" w:space="0" w:color="auto"/>
              <w:right w:val="single" w:sz="4" w:space="0" w:color="auto"/>
            </w:tcBorders>
            <w:vAlign w:val="center"/>
          </w:tcPr>
          <w:p w:rsidR="00EA5ECE" w:rsidRPr="00D70FC8" w:rsidRDefault="00EA5ECE" w:rsidP="00943B30">
            <w:pPr>
              <w:pStyle w:val="TableText"/>
              <w:keepLines/>
              <w:widowControl w:val="0"/>
              <w:spacing w:before="0" w:after="0"/>
              <w:jc w:val="center"/>
              <w:rPr>
                <w:b/>
              </w:rPr>
            </w:pPr>
            <w:r w:rsidRPr="00D70FC8">
              <w:rPr>
                <w:b/>
              </w:rPr>
              <w:t>ICER</w:t>
            </w:r>
          </w:p>
        </w:tc>
      </w:tr>
      <w:tr w:rsidR="00EA5ECE" w:rsidRPr="00522144" w:rsidTr="00C32758">
        <w:tc>
          <w:tcPr>
            <w:tcW w:w="2690" w:type="pct"/>
            <w:tcBorders>
              <w:top w:val="single" w:sz="4" w:space="0" w:color="auto"/>
              <w:left w:val="single" w:sz="4" w:space="0" w:color="auto"/>
              <w:bottom w:val="single" w:sz="4" w:space="0" w:color="auto"/>
              <w:right w:val="single" w:sz="4" w:space="0" w:color="auto"/>
            </w:tcBorders>
            <w:vAlign w:val="center"/>
          </w:tcPr>
          <w:p w:rsidR="00EA5ECE" w:rsidRPr="00D70FC8" w:rsidRDefault="00EA5ECE" w:rsidP="00943B30">
            <w:pPr>
              <w:pStyle w:val="TableText"/>
              <w:keepLines/>
              <w:widowControl w:val="0"/>
              <w:tabs>
                <w:tab w:val="left" w:pos="142"/>
              </w:tabs>
              <w:spacing w:before="0" w:after="0"/>
              <w:rPr>
                <w:b/>
              </w:rPr>
            </w:pPr>
            <w:r w:rsidRPr="00D70FC8">
              <w:rPr>
                <w:b/>
              </w:rPr>
              <w:t>Base case</w:t>
            </w:r>
          </w:p>
        </w:tc>
        <w:tc>
          <w:tcPr>
            <w:tcW w:w="765" w:type="pct"/>
            <w:tcBorders>
              <w:top w:val="single" w:sz="4" w:space="0" w:color="auto"/>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b/>
                <w:highlight w:val="black"/>
              </w:rPr>
            </w:pPr>
            <w:r>
              <w:rPr>
                <w:b/>
                <w:noProof/>
                <w:color w:val="000000"/>
                <w:highlight w:val="black"/>
              </w:rPr>
              <w:t>'''''''''''''''''</w:t>
            </w:r>
          </w:p>
        </w:tc>
        <w:tc>
          <w:tcPr>
            <w:tcW w:w="841" w:type="pct"/>
            <w:tcBorders>
              <w:top w:val="single" w:sz="4" w:space="0" w:color="auto"/>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b/>
                <w:highlight w:val="black"/>
              </w:rPr>
            </w:pPr>
            <w:r>
              <w:rPr>
                <w:b/>
                <w:noProof/>
                <w:color w:val="000000"/>
                <w:highlight w:val="black"/>
              </w:rPr>
              <w:t>'''''''''''</w:t>
            </w:r>
          </w:p>
        </w:tc>
        <w:tc>
          <w:tcPr>
            <w:tcW w:w="704" w:type="pct"/>
            <w:tcBorders>
              <w:top w:val="single" w:sz="4" w:space="0" w:color="auto"/>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b/>
                <w:highlight w:val="black"/>
              </w:rPr>
            </w:pPr>
            <w:r>
              <w:rPr>
                <w:b/>
                <w:noProof/>
                <w:color w:val="000000"/>
                <w:highlight w:val="black"/>
              </w:rPr>
              <w:t>''''''''''''''''</w:t>
            </w:r>
          </w:p>
        </w:tc>
      </w:tr>
      <w:tr w:rsidR="00EA5ECE" w:rsidRPr="004E2ADC" w:rsidTr="00C32758">
        <w:tc>
          <w:tcPr>
            <w:tcW w:w="2690" w:type="pct"/>
            <w:tcBorders>
              <w:top w:val="single" w:sz="4" w:space="0" w:color="auto"/>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pPr>
            <w:r w:rsidRPr="00D70FC8">
              <w:t>Discount rate (base case: 5% costs and outcomes)</w:t>
            </w:r>
          </w:p>
        </w:tc>
        <w:tc>
          <w:tcPr>
            <w:tcW w:w="765" w:type="pct"/>
            <w:tcBorders>
              <w:top w:val="single" w:sz="4" w:space="0" w:color="auto"/>
              <w:left w:val="single" w:sz="4" w:space="0" w:color="auto"/>
              <w:bottom w:val="nil"/>
              <w:right w:val="single" w:sz="4" w:space="0" w:color="auto"/>
            </w:tcBorders>
            <w:vAlign w:val="center"/>
          </w:tcPr>
          <w:p w:rsidR="00EA5ECE" w:rsidRPr="00CD21DA" w:rsidRDefault="00EA5ECE" w:rsidP="00943B30">
            <w:pPr>
              <w:pStyle w:val="TableText"/>
              <w:keepLines/>
              <w:widowControl w:val="0"/>
              <w:spacing w:before="0" w:after="0"/>
              <w:jc w:val="center"/>
            </w:pPr>
          </w:p>
        </w:tc>
        <w:tc>
          <w:tcPr>
            <w:tcW w:w="841" w:type="pct"/>
            <w:tcBorders>
              <w:top w:val="single" w:sz="4" w:space="0" w:color="auto"/>
              <w:left w:val="single" w:sz="4" w:space="0" w:color="auto"/>
              <w:bottom w:val="nil"/>
              <w:right w:val="single" w:sz="4" w:space="0" w:color="auto"/>
            </w:tcBorders>
            <w:vAlign w:val="center"/>
          </w:tcPr>
          <w:p w:rsidR="00EA5ECE" w:rsidRPr="00CD21DA" w:rsidRDefault="00EA5ECE" w:rsidP="00943B30">
            <w:pPr>
              <w:pStyle w:val="TableText"/>
              <w:keepLines/>
              <w:widowControl w:val="0"/>
              <w:spacing w:before="0" w:after="0"/>
              <w:jc w:val="center"/>
            </w:pPr>
          </w:p>
        </w:tc>
        <w:tc>
          <w:tcPr>
            <w:tcW w:w="704" w:type="pct"/>
            <w:tcBorders>
              <w:top w:val="single" w:sz="4" w:space="0" w:color="auto"/>
              <w:left w:val="single" w:sz="4" w:space="0" w:color="auto"/>
              <w:bottom w:val="nil"/>
              <w:right w:val="single" w:sz="4" w:space="0" w:color="auto"/>
            </w:tcBorders>
            <w:vAlign w:val="center"/>
          </w:tcPr>
          <w:p w:rsidR="00EA5ECE" w:rsidRPr="00CD21DA" w:rsidRDefault="00EA5ECE" w:rsidP="00943B30">
            <w:pPr>
              <w:pStyle w:val="TableText"/>
              <w:keepLines/>
              <w:widowControl w:val="0"/>
              <w:spacing w:before="0" w:after="0"/>
              <w:jc w:val="center"/>
            </w:pPr>
          </w:p>
        </w:tc>
      </w:tr>
      <w:tr w:rsidR="00EA5ECE" w:rsidRPr="004E2ADC"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pPr>
            <w:r w:rsidRPr="00D70FC8">
              <w:tab/>
              <w:t>0% costs and outcomes</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4E2ADC" w:rsidTr="00C32758">
        <w:tc>
          <w:tcPr>
            <w:tcW w:w="2690" w:type="pct"/>
            <w:tcBorders>
              <w:top w:val="nil"/>
              <w:left w:val="single" w:sz="4" w:space="0" w:color="auto"/>
              <w:bottom w:val="single" w:sz="4" w:space="0" w:color="auto"/>
              <w:right w:val="single" w:sz="4" w:space="0" w:color="auto"/>
            </w:tcBorders>
            <w:vAlign w:val="center"/>
          </w:tcPr>
          <w:p w:rsidR="00EA5ECE" w:rsidRPr="00D70FC8" w:rsidRDefault="00EA5ECE" w:rsidP="00943B30">
            <w:pPr>
              <w:pStyle w:val="TableText"/>
              <w:keepLines/>
              <w:widowControl w:val="0"/>
              <w:tabs>
                <w:tab w:val="left" w:pos="142"/>
              </w:tabs>
              <w:spacing w:before="0" w:after="0"/>
            </w:pPr>
            <w:r w:rsidRPr="00D70FC8">
              <w:tab/>
              <w:t>3.5% costs and outcomes</w:t>
            </w:r>
          </w:p>
        </w:tc>
        <w:tc>
          <w:tcPr>
            <w:tcW w:w="765"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4E2ADC" w:rsidTr="00C32758">
        <w:tc>
          <w:tcPr>
            <w:tcW w:w="2690" w:type="pct"/>
            <w:tcBorders>
              <w:top w:val="single" w:sz="4" w:space="0" w:color="auto"/>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pPr>
            <w:r w:rsidRPr="00D70FC8">
              <w:t>Time horizon (base case: 20 years)</w:t>
            </w:r>
          </w:p>
        </w:tc>
        <w:tc>
          <w:tcPr>
            <w:tcW w:w="765" w:type="pct"/>
            <w:tcBorders>
              <w:top w:val="single" w:sz="4" w:space="0" w:color="auto"/>
              <w:left w:val="single" w:sz="4" w:space="0" w:color="auto"/>
              <w:bottom w:val="nil"/>
              <w:right w:val="single" w:sz="4" w:space="0" w:color="auto"/>
            </w:tcBorders>
            <w:vAlign w:val="center"/>
          </w:tcPr>
          <w:p w:rsidR="00EA5ECE" w:rsidRPr="00CD21DA" w:rsidRDefault="00EA5ECE" w:rsidP="00943B30">
            <w:pPr>
              <w:pStyle w:val="TableText"/>
              <w:keepLines/>
              <w:widowControl w:val="0"/>
              <w:spacing w:before="0" w:after="0"/>
              <w:jc w:val="center"/>
            </w:pPr>
          </w:p>
        </w:tc>
        <w:tc>
          <w:tcPr>
            <w:tcW w:w="841" w:type="pct"/>
            <w:tcBorders>
              <w:top w:val="single" w:sz="4" w:space="0" w:color="auto"/>
              <w:left w:val="single" w:sz="4" w:space="0" w:color="auto"/>
              <w:bottom w:val="nil"/>
              <w:right w:val="single" w:sz="4" w:space="0" w:color="auto"/>
            </w:tcBorders>
            <w:vAlign w:val="center"/>
          </w:tcPr>
          <w:p w:rsidR="00EA5ECE" w:rsidRPr="00CD21DA" w:rsidRDefault="00EA5ECE" w:rsidP="00943B30">
            <w:pPr>
              <w:pStyle w:val="TableText"/>
              <w:keepLines/>
              <w:widowControl w:val="0"/>
              <w:spacing w:before="0" w:after="0"/>
              <w:jc w:val="center"/>
            </w:pPr>
          </w:p>
        </w:tc>
        <w:tc>
          <w:tcPr>
            <w:tcW w:w="704" w:type="pct"/>
            <w:tcBorders>
              <w:top w:val="single" w:sz="4" w:space="0" w:color="auto"/>
              <w:left w:val="single" w:sz="4" w:space="0" w:color="auto"/>
              <w:bottom w:val="nil"/>
              <w:right w:val="single" w:sz="4" w:space="0" w:color="auto"/>
            </w:tcBorders>
            <w:vAlign w:val="center"/>
          </w:tcPr>
          <w:p w:rsidR="00EA5ECE" w:rsidRPr="00CD21DA" w:rsidRDefault="00EA5ECE" w:rsidP="00943B30">
            <w:pPr>
              <w:pStyle w:val="TableText"/>
              <w:keepLines/>
              <w:widowControl w:val="0"/>
              <w:spacing w:before="0" w:after="0"/>
              <w:jc w:val="center"/>
            </w:pPr>
          </w:p>
        </w:tc>
      </w:tr>
      <w:tr w:rsidR="00EA5ECE" w:rsidRPr="004E2ADC"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pPr>
            <w:r w:rsidRPr="00D70FC8">
              <w:tab/>
              <w:t>15 years</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4E2ADC"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pPr>
            <w:r w:rsidRPr="00D70FC8">
              <w:tab/>
              <w:t>25 years</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4E2ADC"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pPr>
            <w:r w:rsidRPr="00D70FC8">
              <w:tab/>
              <w:t>10 years</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4E2ADC" w:rsidTr="00C32758">
        <w:tc>
          <w:tcPr>
            <w:tcW w:w="2690" w:type="pct"/>
            <w:tcBorders>
              <w:top w:val="nil"/>
              <w:left w:val="single" w:sz="4" w:space="0" w:color="auto"/>
              <w:bottom w:val="single" w:sz="4" w:space="0" w:color="auto"/>
              <w:right w:val="single" w:sz="4" w:space="0" w:color="auto"/>
            </w:tcBorders>
            <w:vAlign w:val="center"/>
          </w:tcPr>
          <w:p w:rsidR="00EA5ECE" w:rsidRPr="00D70FC8" w:rsidRDefault="00EA5ECE" w:rsidP="00943B30">
            <w:pPr>
              <w:pStyle w:val="TableText"/>
              <w:keepLines/>
              <w:widowControl w:val="0"/>
              <w:tabs>
                <w:tab w:val="left" w:pos="142"/>
              </w:tabs>
              <w:spacing w:before="0" w:after="0"/>
            </w:pPr>
            <w:r w:rsidRPr="00D70FC8">
              <w:tab/>
              <w:t>5 years</w:t>
            </w:r>
          </w:p>
        </w:tc>
        <w:tc>
          <w:tcPr>
            <w:tcW w:w="765"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4E2ADC" w:rsidTr="00C32758">
        <w:tc>
          <w:tcPr>
            <w:tcW w:w="2690" w:type="pct"/>
            <w:tcBorders>
              <w:top w:val="single" w:sz="4" w:space="0" w:color="auto"/>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pPr>
            <w:r w:rsidRPr="00D70FC8">
              <w:t>Extrapolation (base case: KM to 41.1 months and log-normal extrapolation)</w:t>
            </w:r>
          </w:p>
        </w:tc>
        <w:tc>
          <w:tcPr>
            <w:tcW w:w="765" w:type="pct"/>
            <w:tcBorders>
              <w:top w:val="single" w:sz="4" w:space="0" w:color="auto"/>
              <w:left w:val="single" w:sz="4" w:space="0" w:color="auto"/>
              <w:bottom w:val="nil"/>
              <w:right w:val="single" w:sz="4" w:space="0" w:color="auto"/>
            </w:tcBorders>
            <w:vAlign w:val="center"/>
          </w:tcPr>
          <w:p w:rsidR="00EA5ECE" w:rsidRPr="00CD21DA" w:rsidRDefault="00EA5ECE" w:rsidP="00943B30">
            <w:pPr>
              <w:pStyle w:val="TableText"/>
              <w:keepLines/>
              <w:widowControl w:val="0"/>
              <w:spacing w:before="0" w:after="0"/>
              <w:jc w:val="center"/>
            </w:pPr>
          </w:p>
        </w:tc>
        <w:tc>
          <w:tcPr>
            <w:tcW w:w="841" w:type="pct"/>
            <w:tcBorders>
              <w:top w:val="single" w:sz="4" w:space="0" w:color="auto"/>
              <w:left w:val="single" w:sz="4" w:space="0" w:color="auto"/>
              <w:bottom w:val="nil"/>
              <w:right w:val="single" w:sz="4" w:space="0" w:color="auto"/>
            </w:tcBorders>
            <w:vAlign w:val="center"/>
          </w:tcPr>
          <w:p w:rsidR="00EA5ECE" w:rsidRPr="00CD21DA" w:rsidRDefault="00EA5ECE" w:rsidP="00943B30">
            <w:pPr>
              <w:pStyle w:val="TableText"/>
              <w:keepLines/>
              <w:widowControl w:val="0"/>
              <w:spacing w:before="0" w:after="0"/>
              <w:jc w:val="center"/>
            </w:pPr>
          </w:p>
        </w:tc>
        <w:tc>
          <w:tcPr>
            <w:tcW w:w="704" w:type="pct"/>
            <w:tcBorders>
              <w:top w:val="single" w:sz="4" w:space="0" w:color="auto"/>
              <w:left w:val="single" w:sz="4" w:space="0" w:color="auto"/>
              <w:bottom w:val="nil"/>
              <w:right w:val="single" w:sz="4" w:space="0" w:color="auto"/>
            </w:tcBorders>
            <w:vAlign w:val="center"/>
          </w:tcPr>
          <w:p w:rsidR="00EA5ECE" w:rsidRPr="00CD21DA" w:rsidRDefault="00EA5ECE" w:rsidP="00943B30">
            <w:pPr>
              <w:pStyle w:val="TableText"/>
              <w:keepLines/>
              <w:widowControl w:val="0"/>
              <w:spacing w:before="0" w:after="0"/>
              <w:jc w:val="center"/>
            </w:pPr>
          </w:p>
        </w:tc>
      </w:tr>
      <w:tr w:rsidR="00EA5ECE" w:rsidRPr="00FB037B"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pPr>
            <w:r w:rsidRPr="00D70FC8">
              <w:rPr>
                <w:rFonts w:eastAsia="Times New Roman" w:cs="Times New Roman"/>
              </w:rPr>
              <w:t>Parametric extrapolation when 90% of events occurred (</w:t>
            </w:r>
            <w:r w:rsidR="00CD21DA">
              <w:rPr>
                <w:rFonts w:eastAsia="Times New Roman" w:cs="Times New Roman"/>
                <w:noProof/>
                <w:color w:val="000000"/>
                <w:highlight w:val="black"/>
              </w:rPr>
              <w:t>'''''''''''</w:t>
            </w:r>
            <w:r w:rsidRPr="00D70FC8">
              <w:rPr>
                <w:rFonts w:eastAsia="Times New Roman" w:cs="Times New Roman"/>
              </w:rPr>
              <w:t xml:space="preserve"> months)</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34774D"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KM to 41.1 months and Weibull extrapolation</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34774D"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Weibull extrapolation</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34774D"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KM to 41.1 months and exponential extrapolation</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34774D"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KM to 41.1 months and log-logistic extrapolation</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34774D"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KM to 41.1 months and gamma extrapolation</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34774D"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KM to 41.1 months and Gompertz extrapolation</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highlight w:val="black"/>
              </w:rPr>
            </w:pPr>
            <w:r>
              <w:rPr>
                <w:noProof/>
                <w:color w:val="000000"/>
                <w:highlight w:val="black"/>
              </w:rPr>
              <w:t>'''''''''''''''''''''</w:t>
            </w:r>
          </w:p>
        </w:tc>
      </w:tr>
      <w:tr w:rsidR="00EA5ECE" w:rsidRPr="0034774D"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Gompertz extrapolation</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r w:rsidR="00EA5ECE" w:rsidRPr="00587AE9"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Overall survival (risk of progression death) equal between obi and ritux (obi risk)</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r w:rsidR="00EA5ECE" w:rsidRPr="00587AE9" w:rsidTr="00C32758">
        <w:tc>
          <w:tcPr>
            <w:tcW w:w="2690" w:type="pct"/>
            <w:tcBorders>
              <w:top w:val="nil"/>
              <w:left w:val="single" w:sz="4" w:space="0" w:color="auto"/>
              <w:bottom w:val="single" w:sz="4" w:space="0" w:color="auto"/>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Overall survival (risk of progression death) equal between obi and ritux (ritux risk)</w:t>
            </w:r>
          </w:p>
        </w:tc>
        <w:tc>
          <w:tcPr>
            <w:tcW w:w="765"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r w:rsidR="00EA5ECE" w:rsidRPr="00587AE9" w:rsidTr="00C32758">
        <w:tc>
          <w:tcPr>
            <w:tcW w:w="5000" w:type="pct"/>
            <w:gridSpan w:val="4"/>
            <w:tcBorders>
              <w:top w:val="single" w:sz="4" w:space="0" w:color="auto"/>
              <w:left w:val="single" w:sz="4" w:space="0" w:color="auto"/>
              <w:bottom w:val="single" w:sz="4" w:space="0" w:color="auto"/>
              <w:right w:val="single" w:sz="4" w:space="0" w:color="auto"/>
            </w:tcBorders>
            <w:vAlign w:val="center"/>
          </w:tcPr>
          <w:p w:rsidR="00EA5ECE" w:rsidRPr="00D70FC8" w:rsidRDefault="00EA5ECE" w:rsidP="00943B30">
            <w:pPr>
              <w:pStyle w:val="TableText"/>
              <w:keepLines/>
              <w:widowControl w:val="0"/>
              <w:spacing w:before="0" w:after="0"/>
              <w:rPr>
                <w:b/>
                <w:szCs w:val="20"/>
              </w:rPr>
            </w:pPr>
            <w:r w:rsidRPr="00D70FC8">
              <w:rPr>
                <w:rFonts w:eastAsia="Times New Roman" w:cs="Times New Roman"/>
                <w:b/>
                <w:szCs w:val="20"/>
              </w:rPr>
              <w:t>Multivariate analyses</w:t>
            </w:r>
          </w:p>
        </w:tc>
      </w:tr>
      <w:tr w:rsidR="00EA5ECE" w:rsidRPr="00587AE9" w:rsidTr="00C32758">
        <w:tc>
          <w:tcPr>
            <w:tcW w:w="2690" w:type="pct"/>
            <w:tcBorders>
              <w:top w:val="single" w:sz="4" w:space="0" w:color="auto"/>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15 year time horizon + KM to 41.1 months with Weibull extrapolation</w:t>
            </w:r>
          </w:p>
        </w:tc>
        <w:tc>
          <w:tcPr>
            <w:tcW w:w="765" w:type="pct"/>
            <w:tcBorders>
              <w:top w:val="single" w:sz="4" w:space="0" w:color="auto"/>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single" w:sz="4" w:space="0" w:color="auto"/>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single" w:sz="4" w:space="0" w:color="auto"/>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r w:rsidR="00EA5ECE" w:rsidRPr="00587AE9"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10 year time horizon + KM to 41.1 months with Weibull extrapolation</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r w:rsidR="00EA5ECE" w:rsidRPr="00587AE9"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15 year time horizon + KM to 41.1 months with gamma extrapolation</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r w:rsidR="00EA5ECE" w:rsidRPr="00587AE9"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10 year time horizon + KM to 41.1 months with gamma extrapolation</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r w:rsidR="00EA5ECE" w:rsidRPr="00587AE9"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15 year time horizon + KM to 41.1 months with Weibull extrapolation + equal risk progression death (obi)</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r w:rsidR="00EA5ECE" w:rsidRPr="00587AE9"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15 year time horizon + KM to 41.1 months with Weibull extrapolation + equal risk progression death (ritux)</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r w:rsidR="00EA5ECE" w:rsidRPr="00587AE9" w:rsidTr="00C32758">
        <w:tc>
          <w:tcPr>
            <w:tcW w:w="2690" w:type="pct"/>
            <w:tcBorders>
              <w:top w:val="nil"/>
              <w:left w:val="single" w:sz="4" w:space="0" w:color="auto"/>
              <w:bottom w:val="nil"/>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KM to 41.1 months with Weibull extrapolation + equal risk progression death (obi)</w:t>
            </w:r>
          </w:p>
        </w:tc>
        <w:tc>
          <w:tcPr>
            <w:tcW w:w="765"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nil"/>
              <w:left w:val="single" w:sz="4" w:space="0" w:color="auto"/>
              <w:bottom w:val="nil"/>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r w:rsidR="00EA5ECE" w:rsidRPr="00587AE9" w:rsidTr="00C32758">
        <w:tc>
          <w:tcPr>
            <w:tcW w:w="2690" w:type="pct"/>
            <w:tcBorders>
              <w:top w:val="nil"/>
              <w:left w:val="single" w:sz="4" w:space="0" w:color="auto"/>
              <w:bottom w:val="single" w:sz="4" w:space="0" w:color="auto"/>
              <w:right w:val="single" w:sz="4" w:space="0" w:color="auto"/>
            </w:tcBorders>
            <w:vAlign w:val="center"/>
          </w:tcPr>
          <w:p w:rsidR="00EA5ECE" w:rsidRPr="00D70FC8" w:rsidRDefault="00EA5ECE" w:rsidP="00943B30">
            <w:pPr>
              <w:pStyle w:val="TableText"/>
              <w:keepLines/>
              <w:widowControl w:val="0"/>
              <w:tabs>
                <w:tab w:val="left" w:pos="142"/>
              </w:tabs>
              <w:spacing w:before="0" w:after="0"/>
              <w:rPr>
                <w:rFonts w:eastAsia="Times New Roman" w:cs="Times New Roman"/>
                <w:szCs w:val="20"/>
              </w:rPr>
            </w:pPr>
            <w:r w:rsidRPr="00D70FC8">
              <w:rPr>
                <w:rFonts w:eastAsia="Times New Roman" w:cs="Times New Roman"/>
                <w:szCs w:val="20"/>
              </w:rPr>
              <w:t>KM to 41.1 months with Weibull extrapolation + equal risk progression death (ritux)</w:t>
            </w:r>
          </w:p>
        </w:tc>
        <w:tc>
          <w:tcPr>
            <w:tcW w:w="765"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841"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c>
          <w:tcPr>
            <w:tcW w:w="704" w:type="pct"/>
            <w:tcBorders>
              <w:top w:val="nil"/>
              <w:left w:val="single" w:sz="4" w:space="0" w:color="auto"/>
              <w:bottom w:val="single" w:sz="4" w:space="0" w:color="auto"/>
              <w:right w:val="single" w:sz="4" w:space="0" w:color="auto"/>
            </w:tcBorders>
            <w:vAlign w:val="center"/>
          </w:tcPr>
          <w:p w:rsidR="00EA5ECE" w:rsidRPr="00CD21DA" w:rsidRDefault="00CD21DA" w:rsidP="00943B30">
            <w:pPr>
              <w:pStyle w:val="TableText"/>
              <w:keepLines/>
              <w:widowControl w:val="0"/>
              <w:spacing w:before="0" w:after="0"/>
              <w:jc w:val="center"/>
              <w:rPr>
                <w:szCs w:val="20"/>
                <w:highlight w:val="black"/>
              </w:rPr>
            </w:pPr>
            <w:r>
              <w:rPr>
                <w:noProof/>
                <w:color w:val="000000"/>
                <w:szCs w:val="20"/>
                <w:highlight w:val="black"/>
              </w:rPr>
              <w:t>'''''''''''''''''''</w:t>
            </w:r>
          </w:p>
        </w:tc>
      </w:tr>
    </w:tbl>
    <w:p w:rsidR="00EA5ECE" w:rsidRPr="00E51E3C" w:rsidRDefault="00EA5ECE" w:rsidP="00EA5ECE">
      <w:pPr>
        <w:pStyle w:val="TableFooter"/>
      </w:pPr>
      <w:r w:rsidRPr="00D13A3E">
        <w:t>Source:</w:t>
      </w:r>
      <w:r>
        <w:t xml:space="preserve"> Table 3.9.1, p130; Table 3.9.2, p131 of the submission and Excel workbook ‘Economic Evaluation.xlsx’.</w:t>
      </w:r>
      <w:r w:rsidRPr="00D13A3E">
        <w:t xml:space="preserve"> </w:t>
      </w:r>
    </w:p>
    <w:p w:rsidR="009A07AF" w:rsidRPr="00C34272" w:rsidRDefault="00C550EE" w:rsidP="00A375D6">
      <w:pPr>
        <w:pStyle w:val="ListParagraph"/>
        <w:numPr>
          <w:ilvl w:val="1"/>
          <w:numId w:val="1"/>
        </w:numPr>
        <w:ind w:left="709" w:hanging="709"/>
        <w:jc w:val="both"/>
      </w:pPr>
      <w:r w:rsidRPr="00591EA6">
        <w:t xml:space="preserve">The </w:t>
      </w:r>
      <w:r w:rsidRPr="00C34272">
        <w:t xml:space="preserve">model was sensitive to the extrapolation function used, and alternate PFS extrapolation methods (submission used log-normal beyond median follow up for the base case) produced varying results, with ICERs ranging from </w:t>
      </w:r>
      <w:r w:rsidR="00C429C4">
        <w:t>$15,000/QALY - $45,000/QALY</w:t>
      </w:r>
      <w:r w:rsidRPr="00C34272">
        <w:t xml:space="preserve"> to over </w:t>
      </w:r>
      <w:r w:rsidR="00C429C4">
        <w:t>$45,000/QALY - $75,000/QALY</w:t>
      </w:r>
      <w:r w:rsidRPr="00C34272">
        <w:t xml:space="preserve"> (base case </w:t>
      </w:r>
      <w:r w:rsidR="00C429C4">
        <w:t>$15,000/QALY - $45,000/QALY</w:t>
      </w:r>
      <w:r w:rsidRPr="00C34272">
        <w:t>).</w:t>
      </w:r>
      <w:r w:rsidR="00A07559">
        <w:t xml:space="preserve"> </w:t>
      </w:r>
      <w:r w:rsidRPr="00C34272">
        <w:t>Much of the variability was due to uncertain fit of the parametric functions beyond trial data (shape of the tail distributions).</w:t>
      </w:r>
      <w:r w:rsidR="00A07559">
        <w:t xml:space="preserve"> </w:t>
      </w:r>
      <w:r w:rsidR="005366B7" w:rsidRPr="00C34272">
        <w:t xml:space="preserve">The ESC noted that there were minimal differences in Akaike Information Criteria (AIC) values between log-normal, Weibull, gamma and log-logistic extrapolation functions. The ESC noted the Kaplan-Meier plots with the extrapolated log-normal plots and an alternative plot using the Weibull function (Figure 5). The ESC agreed with the evaluator that while both Weibull and log-normal curves appear to follow the Kaplan-Meier trial-based curves, their extrapolated data varied greatly with the log-normal function allowing patients to spend a far greater time in PFS. </w:t>
      </w:r>
      <w:r w:rsidR="00143AA3" w:rsidRPr="00C34272">
        <w:t>The PSCR</w:t>
      </w:r>
      <w:r w:rsidR="00D82545" w:rsidRPr="00C34272">
        <w:t xml:space="preserve"> </w:t>
      </w:r>
      <w:r w:rsidR="00143AA3" w:rsidRPr="00C34272">
        <w:t>(p3) argued that the log-normal extrapolation applied in the economic model was the most objective based on statistical criteria and confers the greatest level of fit visually. The PSCR</w:t>
      </w:r>
      <w:r w:rsidR="00D82545" w:rsidRPr="00C34272">
        <w:t xml:space="preserve"> </w:t>
      </w:r>
      <w:r w:rsidR="00143AA3" w:rsidRPr="00C34272">
        <w:t>(p3) also argue</w:t>
      </w:r>
      <w:r w:rsidR="00293DEF">
        <w:t>d</w:t>
      </w:r>
      <w:r w:rsidR="00143AA3" w:rsidRPr="00C34272">
        <w:t xml:space="preserve"> the log-normal extrapolation appropriately predicts what is clinically reasonable and plausible based on Australian survival data in lymphoma sourced from AIHW. </w:t>
      </w:r>
      <w:r w:rsidR="00072C84" w:rsidRPr="00CF25FB">
        <w:rPr>
          <w:rFonts w:ascii="Calibri" w:hAnsi="Calibri" w:cs="Calibri"/>
          <w:bCs/>
        </w:rPr>
        <w:t xml:space="preserve">Additionally, the pre-PBAC response (p3) argued </w:t>
      </w:r>
      <w:r w:rsidR="00072C84">
        <w:rPr>
          <w:rFonts w:ascii="Calibri" w:hAnsi="Calibri" w:cs="Calibri"/>
          <w:bCs/>
        </w:rPr>
        <w:t>that t</w:t>
      </w:r>
      <w:r w:rsidR="00072C84" w:rsidRPr="00CF25FB">
        <w:rPr>
          <w:rFonts w:ascii="Calibri" w:hAnsi="Calibri" w:cs="Calibri"/>
          <w:bCs/>
        </w:rPr>
        <w:t xml:space="preserve">he </w:t>
      </w:r>
      <w:r w:rsidR="00072C84">
        <w:rPr>
          <w:rFonts w:ascii="Calibri" w:hAnsi="Calibri" w:cs="Calibri"/>
          <w:bCs/>
        </w:rPr>
        <w:t>commentary applied</w:t>
      </w:r>
      <w:r w:rsidR="00072C84" w:rsidRPr="00CF25FB">
        <w:rPr>
          <w:rFonts w:ascii="Calibri" w:hAnsi="Calibri" w:cs="Calibri"/>
          <w:bCs/>
        </w:rPr>
        <w:t xml:space="preserve"> extrapolations resulting in implausible outcomes, contrary to Australian observed data that shows 51.3% of NHL patients alive after 20 years.</w:t>
      </w:r>
      <w:r w:rsidR="00B41EDF">
        <w:rPr>
          <w:rFonts w:ascii="Calibri" w:hAnsi="Calibri" w:cs="Calibri"/>
          <w:bCs/>
        </w:rPr>
        <w:t xml:space="preserve"> </w:t>
      </w:r>
      <w:r w:rsidR="00455F21" w:rsidRPr="00C34272">
        <w:t xml:space="preserve">The </w:t>
      </w:r>
      <w:r w:rsidR="00C95EA5">
        <w:t>PBAC</w:t>
      </w:r>
      <w:r w:rsidR="00455F21" w:rsidRPr="00C34272">
        <w:t xml:space="preserve"> noted t</w:t>
      </w:r>
      <w:r w:rsidR="00C50E92" w:rsidRPr="00C34272">
        <w:t>he alternate extrapolation methods</w:t>
      </w:r>
      <w:r w:rsidR="00D4385D" w:rsidRPr="00C34272">
        <w:t xml:space="preserve"> for PFS </w:t>
      </w:r>
      <w:r w:rsidR="00C50E92" w:rsidRPr="00C34272">
        <w:t>produced varying results.</w:t>
      </w:r>
      <w:r w:rsidR="00A07559">
        <w:t xml:space="preserve"> </w:t>
      </w:r>
      <w:r w:rsidR="00C50E92" w:rsidRPr="00C34272">
        <w:t xml:space="preserve">Changing log-normal to Weibull extrapolation for both treatment arms increased the ICER to </w:t>
      </w:r>
      <w:r w:rsidR="00C429C4">
        <w:t>$15,000/QALY - $45,000/QALY</w:t>
      </w:r>
      <w:r w:rsidR="00C50E92" w:rsidRPr="00C34272">
        <w:t xml:space="preserve"> while applying gamma extrapolation decreased the ICER by less than $</w:t>
      </w:r>
      <w:r w:rsidR="00CD21DA">
        <w:rPr>
          <w:noProof/>
          <w:color w:val="000000"/>
          <w:highlight w:val="black"/>
        </w:rPr>
        <w:t>''''''''</w:t>
      </w:r>
      <w:r w:rsidR="00C50E92" w:rsidRPr="00C34272">
        <w:t xml:space="preserve"> to </w:t>
      </w:r>
      <w:r w:rsidR="00C429C4">
        <w:t>$15,000/QALY - $45,000/QALY</w:t>
      </w:r>
      <w:r w:rsidR="00930F99" w:rsidRPr="00C34272">
        <w:t xml:space="preserve">. </w:t>
      </w:r>
    </w:p>
    <w:p w:rsidR="00BC06F7" w:rsidRPr="00C34272" w:rsidRDefault="00A90AB4" w:rsidP="00C240AE">
      <w:pPr>
        <w:pStyle w:val="TableHeader"/>
      </w:pPr>
      <w:r w:rsidRPr="00C34272">
        <w:t xml:space="preserve">Figure </w:t>
      </w:r>
      <w:r w:rsidR="00466ED1" w:rsidRPr="00C34272">
        <w:t>5</w:t>
      </w:r>
      <w:r w:rsidR="00C240AE" w:rsidRPr="00C34272">
        <w:t>: PFS extrapolations of the Kaplan-Meier plots of trial data</w:t>
      </w:r>
      <w:r w:rsidR="00A07559">
        <w:t xml:space="preserve"> </w:t>
      </w:r>
    </w:p>
    <w:p w:rsidR="00454C02" w:rsidRDefault="00CD21DA" w:rsidP="00D0351B">
      <w:pPr>
        <w:pStyle w:val="TableHeader"/>
      </w:pPr>
      <w:r>
        <w:rPr>
          <w:noProof/>
          <w:snapToGrid/>
          <w:lang w:eastAsia="en-AU"/>
        </w:rPr>
        <w:drawing>
          <wp:inline distT="0" distB="0" distL="0" distR="0">
            <wp:extent cx="5731510" cy="295402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954020"/>
                    </a:xfrm>
                    <a:prstGeom prst="rect">
                      <a:avLst/>
                    </a:prstGeom>
                  </pic:spPr>
                </pic:pic>
              </a:graphicData>
            </a:graphic>
          </wp:inline>
        </w:drawing>
      </w:r>
    </w:p>
    <w:p w:rsidR="00C92154" w:rsidRPr="00C34272" w:rsidRDefault="00C92154" w:rsidP="00A375D6">
      <w:pPr>
        <w:pStyle w:val="ListParagraph"/>
        <w:numPr>
          <w:ilvl w:val="1"/>
          <w:numId w:val="1"/>
        </w:numPr>
        <w:ind w:left="709" w:hanging="709"/>
        <w:jc w:val="both"/>
      </w:pPr>
      <w:r w:rsidRPr="00C34272">
        <w:t>The modelled benefit with obinutuzumab was driven by the difference in PFS</w:t>
      </w:r>
      <w:r w:rsidR="00B252E9">
        <w:t>,</w:t>
      </w:r>
      <w:r w:rsidRPr="00C34272">
        <w:t xml:space="preserve"> and related to this the Commentary requested that the results of the economic model be provided using IRC-assessed PFS instead of investigator-assessed PFS. This was not provided in the PSCR, rather it was noted that the PFS results were similar for PFS assessed by IRC (HR 0.72; 95% CI 0.56, 0.93) and </w:t>
      </w:r>
      <w:r w:rsidR="00245593" w:rsidRPr="00C34272">
        <w:t>investigators (HR 0.68; 95% CI 0.54, 0.87).</w:t>
      </w:r>
      <w:r w:rsidRPr="00C34272">
        <w:t xml:space="preserve"> </w:t>
      </w:r>
      <w:r w:rsidR="00245593" w:rsidRPr="00C34272">
        <w:t xml:space="preserve">The </w:t>
      </w:r>
      <w:r w:rsidR="00293DEF">
        <w:t xml:space="preserve">PBAC </w:t>
      </w:r>
      <w:r w:rsidR="00245593" w:rsidRPr="00C34272">
        <w:t>noted relatively small changes in the PFS results may impact on the ICER given this outcome drives the model and is extrapolated over a long time period.</w:t>
      </w:r>
      <w:r w:rsidR="006B7465">
        <w:t xml:space="preserve"> </w:t>
      </w:r>
      <w:r w:rsidR="00C95EA5" w:rsidRPr="0051126C">
        <w:rPr>
          <w:color w:val="000000" w:themeColor="text1"/>
        </w:rPr>
        <w:t>The PBAC considered that extrapolation using PFS assessed by the IRC would be informative.</w:t>
      </w:r>
    </w:p>
    <w:p w:rsidR="00C550EE" w:rsidRPr="00C34272" w:rsidRDefault="00813C39" w:rsidP="00A375D6">
      <w:pPr>
        <w:pStyle w:val="ListParagraph"/>
        <w:numPr>
          <w:ilvl w:val="1"/>
          <w:numId w:val="1"/>
        </w:numPr>
        <w:ind w:left="709" w:hanging="709"/>
        <w:jc w:val="both"/>
      </w:pPr>
      <w:r>
        <w:t>The PBAC noted t</w:t>
      </w:r>
      <w:r w:rsidR="00C550EE" w:rsidRPr="00591EA6">
        <w:t>he model was also sensitive to the application of treatment specific death rates within each health state</w:t>
      </w:r>
      <w:r w:rsidR="00C550EE">
        <w:t xml:space="preserve"> (Table 11</w:t>
      </w:r>
      <w:r w:rsidR="00C550EE" w:rsidRPr="00C34272">
        <w:t xml:space="preserve">). When the risk of progression death and dying in PFS was made equal between obinutuzumab and rituximab, the ICER increased to </w:t>
      </w:r>
      <w:r w:rsidR="00C429C4">
        <w:t>$15,000/QALY - $45,000/QALY</w:t>
      </w:r>
      <w:r w:rsidR="00C429C4" w:rsidRPr="00C34272" w:rsidDel="00C429C4">
        <w:t xml:space="preserve"> </w:t>
      </w:r>
      <w:r w:rsidR="00C550EE" w:rsidRPr="00C34272">
        <w:t xml:space="preserve">(obinutuzumab probability) and to </w:t>
      </w:r>
      <w:r w:rsidR="00C429C4">
        <w:t>$15,000/QALY - $45,000/QALY</w:t>
      </w:r>
      <w:r w:rsidR="00C429C4" w:rsidRPr="00C34272" w:rsidDel="00C429C4">
        <w:t xml:space="preserve"> </w:t>
      </w:r>
      <w:r w:rsidR="00C550EE" w:rsidRPr="00C34272">
        <w:t>(rituximab probability). The</w:t>
      </w:r>
      <w:r w:rsidR="006C0706">
        <w:t xml:space="preserve"> PBAC</w:t>
      </w:r>
      <w:r w:rsidR="00C550EE" w:rsidRPr="00C34272">
        <w:t xml:space="preserve"> noted that this scenario maintains the advantage in survival due to delayed disease progression </w:t>
      </w:r>
      <w:r w:rsidR="009146DE">
        <w:t>and</w:t>
      </w:r>
      <w:r w:rsidR="009146DE" w:rsidRPr="00C34272">
        <w:t xml:space="preserve"> </w:t>
      </w:r>
      <w:r w:rsidR="00C550EE" w:rsidRPr="00C34272">
        <w:t xml:space="preserve">the </w:t>
      </w:r>
      <w:r w:rsidR="00BE5338" w:rsidRPr="00C34272">
        <w:t>immature OS data do not allow</w:t>
      </w:r>
      <w:r w:rsidR="00C550EE" w:rsidRPr="00C34272">
        <w:t xml:space="preserve"> this to be fully tested. </w:t>
      </w:r>
    </w:p>
    <w:p w:rsidR="0013100F" w:rsidRPr="00C34272" w:rsidRDefault="00547CD8" w:rsidP="00A375D6">
      <w:pPr>
        <w:pStyle w:val="ListParagraph"/>
        <w:numPr>
          <w:ilvl w:val="1"/>
          <w:numId w:val="1"/>
        </w:numPr>
        <w:ind w:left="709" w:hanging="709"/>
        <w:jc w:val="both"/>
      </w:pPr>
      <w:r w:rsidRPr="00591EA6">
        <w:t xml:space="preserve">Combining shortening of the time horizon (to 15 years), use of Weibull extrapolation </w:t>
      </w:r>
      <w:r w:rsidR="004E1758" w:rsidRPr="00591EA6">
        <w:t xml:space="preserve">(beyond median follow up of 41.1 months) </w:t>
      </w:r>
      <w:r w:rsidRPr="00591EA6">
        <w:t xml:space="preserve">and removing the </w:t>
      </w:r>
      <w:r w:rsidR="008E5689" w:rsidRPr="00591EA6">
        <w:t>difference in</w:t>
      </w:r>
      <w:r w:rsidR="0013100F" w:rsidRPr="00591EA6">
        <w:t xml:space="preserve"> the additional risk of </w:t>
      </w:r>
      <w:r w:rsidR="008E5689" w:rsidRPr="00591EA6">
        <w:t>death for progressed patients</w:t>
      </w:r>
      <w:r w:rsidR="00450BCC" w:rsidRPr="00591EA6">
        <w:t xml:space="preserve"> and patients in PFS</w:t>
      </w:r>
      <w:r w:rsidRPr="00591EA6">
        <w:t xml:space="preserve"> </w:t>
      </w:r>
      <w:r w:rsidR="000D4544" w:rsidRPr="00591EA6">
        <w:t xml:space="preserve">(but not the inherent OS benefit associated with delayed progression) </w:t>
      </w:r>
      <w:r w:rsidRPr="00591EA6">
        <w:t xml:space="preserve">resulted in an ICER of </w:t>
      </w:r>
      <w:r w:rsidR="00C429C4">
        <w:t>$75,000/QALY - $105,000/QALY</w:t>
      </w:r>
      <w:r w:rsidRPr="00591EA6">
        <w:t xml:space="preserve"> when the risk of death was </w:t>
      </w:r>
      <w:r w:rsidRPr="00C34272">
        <w:t xml:space="preserve">the rituximab risk for both arms; and </w:t>
      </w:r>
      <w:r w:rsidR="00C429C4">
        <w:t>$75,000/QALY - $105,000/QALY</w:t>
      </w:r>
      <w:r w:rsidR="00C429C4" w:rsidRPr="00591EA6">
        <w:t xml:space="preserve"> </w:t>
      </w:r>
      <w:r w:rsidRPr="00C34272">
        <w:t>when the obinutuzumab risk was applied to both arms</w:t>
      </w:r>
      <w:r w:rsidR="00454C02" w:rsidRPr="00C34272">
        <w:t xml:space="preserve"> (Table </w:t>
      </w:r>
      <w:r w:rsidR="00454C02" w:rsidRPr="00A375D6">
        <w:rPr>
          <w:rFonts w:cs="Arial"/>
          <w:bCs/>
          <w:snapToGrid w:val="0"/>
        </w:rPr>
        <w:t>11</w:t>
      </w:r>
      <w:r w:rsidR="00454C02" w:rsidRPr="00C34272">
        <w:t>)</w:t>
      </w:r>
      <w:r w:rsidRPr="00C34272">
        <w:t>.</w:t>
      </w:r>
      <w:r w:rsidR="00A07559">
        <w:t xml:space="preserve"> </w:t>
      </w:r>
      <w:r w:rsidR="0013100F" w:rsidRPr="00C34272">
        <w:t>While the time horizon had impacted on many of the analyses presented, altering extrapolation (Weibull</w:t>
      </w:r>
      <w:r w:rsidR="00E10470" w:rsidRPr="00C34272">
        <w:t xml:space="preserve"> post Kaplan Meier</w:t>
      </w:r>
      <w:r w:rsidR="0013100F" w:rsidRPr="00C34272">
        <w:t xml:space="preserve">) and equalising the additional risk of death applied in the PFS and post-progression states, but leaving the time horizon at 20 years resulted in ICERs of around </w:t>
      </w:r>
      <w:r w:rsidR="00C429C4">
        <w:t>$75,000/QALY - $105,000/QALY</w:t>
      </w:r>
      <w:r w:rsidR="00B252E9">
        <w:t>,</w:t>
      </w:r>
      <w:r w:rsidR="00A07559">
        <w:t xml:space="preserve"> </w:t>
      </w:r>
      <w:r w:rsidR="00B252E9">
        <w:t>t</w:t>
      </w:r>
      <w:r w:rsidR="0013100F" w:rsidRPr="00C34272">
        <w:t xml:space="preserve">herefore demonstrating the independent importance of PFS extrapolation and death to the modelled results. </w:t>
      </w:r>
      <w:r w:rsidR="00653E32" w:rsidRPr="00C34272">
        <w:t xml:space="preserve">The PSCR (p3) claimed that the multivariate analyses unreasonably focus on combining issues that had been addressed independently (i.e. model time horizon, extrapolation and survival benefit) and result in implausible survival outcomes. </w:t>
      </w:r>
      <w:r w:rsidR="00C21EAD">
        <w:t xml:space="preserve">The pre-PBAC response (p3) </w:t>
      </w:r>
      <w:r w:rsidR="004F7649">
        <w:t xml:space="preserve">presented </w:t>
      </w:r>
      <w:r w:rsidR="004F7649" w:rsidRPr="004F7649">
        <w:t>counter</w:t>
      </w:r>
      <w:r w:rsidR="00C95EA5">
        <w:t>-</w:t>
      </w:r>
      <w:r w:rsidR="004F7649" w:rsidRPr="004F7649">
        <w:t xml:space="preserve">factual multivariate sensitivity analysis assuming a time horizon of 25 years and a log-logistic extrapolation </w:t>
      </w:r>
      <w:r w:rsidR="004F7649">
        <w:t>which resulted in an</w:t>
      </w:r>
      <w:r w:rsidR="004F7649" w:rsidRPr="004F7649">
        <w:t xml:space="preserve"> ICER of </w:t>
      </w:r>
      <w:r w:rsidR="00C429C4">
        <w:t>$15,000/QALY - $45,000/QALY</w:t>
      </w:r>
      <w:r w:rsidR="004F7649" w:rsidRPr="004F7649">
        <w:t>.</w:t>
      </w:r>
      <w:r w:rsidR="001419C5">
        <w:t xml:space="preserve"> </w:t>
      </w:r>
      <w:r w:rsidR="00497E1C">
        <w:t xml:space="preserve">The </w:t>
      </w:r>
      <w:r w:rsidR="001302EB">
        <w:t>PBAC</w:t>
      </w:r>
      <w:r w:rsidR="00653E32" w:rsidRPr="00C34272">
        <w:t xml:space="preserve"> consid</w:t>
      </w:r>
      <w:r w:rsidR="00AA3C30" w:rsidRPr="00C34272">
        <w:t xml:space="preserve">ered the analyses </w:t>
      </w:r>
      <w:r w:rsidR="004E30B8">
        <w:t xml:space="preserve">testing the key model assumptions </w:t>
      </w:r>
      <w:r w:rsidR="00AA3C30" w:rsidRPr="00C34272">
        <w:t>informative</w:t>
      </w:r>
      <w:r w:rsidR="00C95EA5">
        <w:t>.</w:t>
      </w:r>
      <w:r w:rsidR="004E30B8">
        <w:t xml:space="preserve"> </w:t>
      </w:r>
    </w:p>
    <w:p w:rsidR="009A07AF" w:rsidRPr="005B598A" w:rsidRDefault="009D285D" w:rsidP="00A375D6">
      <w:pPr>
        <w:pStyle w:val="ListParagraph"/>
        <w:numPr>
          <w:ilvl w:val="1"/>
          <w:numId w:val="1"/>
        </w:numPr>
        <w:ind w:left="709" w:hanging="709"/>
        <w:jc w:val="both"/>
        <w:rPr>
          <w:lang w:val="en-GB" w:eastAsia="en-GB"/>
        </w:rPr>
      </w:pPr>
      <w:r w:rsidRPr="005B598A">
        <w:t xml:space="preserve">The </w:t>
      </w:r>
      <w:r w:rsidRPr="00A375D6">
        <w:rPr>
          <w:rFonts w:cs="Arial"/>
          <w:bCs/>
          <w:snapToGrid w:val="0"/>
        </w:rPr>
        <w:t>PBAC</w:t>
      </w:r>
      <w:r w:rsidRPr="005B598A">
        <w:t xml:space="preserve"> considered the</w:t>
      </w:r>
      <w:r w:rsidR="005B598A">
        <w:t xml:space="preserve"> ICER was highly uncertain because it was driven by the gain in OS which was non-significant in the trial and relied on extensive extrapolation.</w:t>
      </w:r>
    </w:p>
    <w:p w:rsidR="00C317F3" w:rsidRPr="00591EA6" w:rsidRDefault="00365A0D" w:rsidP="00772501">
      <w:pPr>
        <w:pStyle w:val="Heading2"/>
        <w:rPr>
          <w:i w:val="0"/>
        </w:rPr>
      </w:pPr>
      <w:bookmarkStart w:id="26" w:name="_Toc413139283"/>
      <w:bookmarkStart w:id="27" w:name="_Toc365635916"/>
      <w:r w:rsidRPr="00591EA6">
        <w:rPr>
          <w:i w:val="0"/>
        </w:rPr>
        <w:t>Drug cost/patient</w:t>
      </w:r>
      <w:r w:rsidR="00C317F3" w:rsidRPr="00591EA6">
        <w:rPr>
          <w:i w:val="0"/>
        </w:rPr>
        <w:t>/year</w:t>
      </w:r>
      <w:bookmarkEnd w:id="26"/>
      <w:bookmarkEnd w:id="27"/>
      <w:r w:rsidR="000037E7" w:rsidRPr="00591EA6">
        <w:rPr>
          <w:i w:val="0"/>
        </w:rPr>
        <w:t>: $</w:t>
      </w:r>
      <w:r w:rsidR="00CD21DA">
        <w:rPr>
          <w:i w:val="0"/>
          <w:noProof/>
          <w:color w:val="000000"/>
          <w:highlight w:val="black"/>
        </w:rPr>
        <w:t>''''''''''''''''''''</w:t>
      </w:r>
    </w:p>
    <w:p w:rsidR="00365A0D" w:rsidRPr="00C34272" w:rsidRDefault="00365A0D" w:rsidP="00A375D6">
      <w:pPr>
        <w:pStyle w:val="ListParagraph"/>
        <w:numPr>
          <w:ilvl w:val="1"/>
          <w:numId w:val="1"/>
        </w:numPr>
        <w:ind w:left="709" w:hanging="709"/>
        <w:jc w:val="both"/>
      </w:pPr>
      <w:r w:rsidRPr="00C34272">
        <w:t>The estimated cost for a year of treatment with obinutuzumab was $</w:t>
      </w:r>
      <w:r w:rsidR="00CD21DA">
        <w:rPr>
          <w:noProof/>
          <w:color w:val="000000"/>
          <w:highlight w:val="black"/>
        </w:rPr>
        <w:t>'''''''''''''''''''</w:t>
      </w:r>
      <w:r w:rsidRPr="00C34272">
        <w:t xml:space="preserve"> (</w:t>
      </w:r>
      <w:r w:rsidRPr="00A375D6">
        <w:rPr>
          <w:rFonts w:cs="Arial"/>
          <w:bCs/>
          <w:snapToGrid w:val="0"/>
        </w:rPr>
        <w:t>updated</w:t>
      </w:r>
      <w:r w:rsidRPr="00C34272">
        <w:t xml:space="preserve"> for current dispensing</w:t>
      </w:r>
      <w:r w:rsidR="008868F6" w:rsidRPr="00C34272">
        <w:t xml:space="preserve"> and preparation</w:t>
      </w:r>
      <w:r w:rsidRPr="00C34272">
        <w:t xml:space="preserve"> fees).</w:t>
      </w:r>
      <w:r w:rsidR="00A07559">
        <w:t xml:space="preserve"> </w:t>
      </w:r>
      <w:r w:rsidRPr="00C34272">
        <w:t xml:space="preserve">This was based on nine cycles of treatment (11 vials) which included a full induction course (6 cycles of therapy) as well as three cycles of obinutuzumab maintenance. </w:t>
      </w:r>
      <w:r w:rsidR="002042E3">
        <w:t>The PBAC noted that i</w:t>
      </w:r>
      <w:r w:rsidRPr="00C34272">
        <w:t>nduction therapy for obinutuzumab varies between 8 to 10 doses and the submission selected the lower of those, 8 doses, to determine cost</w:t>
      </w:r>
      <w:r w:rsidR="00D70C2B" w:rsidRPr="00C34272">
        <w:t>.</w:t>
      </w:r>
      <w:r w:rsidR="002042E3">
        <w:t xml:space="preserve"> </w:t>
      </w:r>
      <w:r w:rsidR="00C95EA5" w:rsidRPr="0051126C">
        <w:rPr>
          <w:color w:val="000000" w:themeColor="text1"/>
        </w:rPr>
        <w:t>The PBAC considered the dosing regimen for obin</w:t>
      </w:r>
      <w:r w:rsidR="00B06EFD">
        <w:rPr>
          <w:color w:val="000000" w:themeColor="text1"/>
        </w:rPr>
        <w:t>u</w:t>
      </w:r>
      <w:r w:rsidR="00C95EA5" w:rsidRPr="0051126C">
        <w:rPr>
          <w:color w:val="000000" w:themeColor="text1"/>
        </w:rPr>
        <w:t xml:space="preserve">tuzumab in the GALLIUM trial may include a higher number of doses per induction cycle than </w:t>
      </w:r>
      <w:r w:rsidR="0051126C">
        <w:rPr>
          <w:color w:val="000000" w:themeColor="text1"/>
        </w:rPr>
        <w:t>required</w:t>
      </w:r>
      <w:r w:rsidR="00C95EA5" w:rsidRPr="0051126C">
        <w:rPr>
          <w:color w:val="000000" w:themeColor="text1"/>
        </w:rPr>
        <w:t xml:space="preserve"> in clinical practice. </w:t>
      </w:r>
    </w:p>
    <w:p w:rsidR="00C95EA5" w:rsidRDefault="00365A0D" w:rsidP="00A375D6">
      <w:pPr>
        <w:pStyle w:val="ListParagraph"/>
        <w:numPr>
          <w:ilvl w:val="1"/>
          <w:numId w:val="1"/>
        </w:numPr>
        <w:ind w:left="709" w:hanging="709"/>
        <w:jc w:val="both"/>
      </w:pPr>
      <w:r w:rsidRPr="00C34272">
        <w:t xml:space="preserve">The </w:t>
      </w:r>
      <w:r w:rsidRPr="00A375D6">
        <w:rPr>
          <w:rFonts w:cs="Arial"/>
          <w:bCs/>
          <w:snapToGrid w:val="0"/>
        </w:rPr>
        <w:t>submission</w:t>
      </w:r>
      <w:r w:rsidRPr="00C34272">
        <w:t xml:space="preserve"> did not provide corresponding 1 year costs for patients treated with rituximab</w:t>
      </w:r>
      <w:r w:rsidR="00D70C2B" w:rsidRPr="00C34272">
        <w:t>. This cost</w:t>
      </w:r>
      <w:r w:rsidR="008C04D6" w:rsidRPr="00C34272">
        <w:t xml:space="preserve"> </w:t>
      </w:r>
      <w:r w:rsidRPr="00C34272">
        <w:t>was calculated during the evaluation using the same methodology as the submission applied for obinutuzumab costs.</w:t>
      </w:r>
      <w:r w:rsidR="00A07559">
        <w:t xml:space="preserve"> </w:t>
      </w:r>
      <w:r w:rsidRPr="00C34272">
        <w:t>The estimated cost for a year of treatment with rituximab was $</w:t>
      </w:r>
      <w:r w:rsidR="00CD21DA">
        <w:rPr>
          <w:noProof/>
          <w:color w:val="000000"/>
          <w:highlight w:val="black"/>
        </w:rPr>
        <w:t>''''''''''''''''''''</w:t>
      </w:r>
      <w:r w:rsidRPr="00C34272">
        <w:t xml:space="preserve"> (</w:t>
      </w:r>
      <w:r w:rsidR="008868F6" w:rsidRPr="00C34272">
        <w:t>updated for current dispensing and preparation fees and pharmacy mark-up</w:t>
      </w:r>
      <w:r w:rsidRPr="00C34272">
        <w:t>).</w:t>
      </w:r>
      <w:r w:rsidR="00A07559">
        <w:t xml:space="preserve"> </w:t>
      </w:r>
      <w:r w:rsidRPr="00C34272">
        <w:t>As for obinutuzumab</w:t>
      </w:r>
      <w:r w:rsidR="004E02A8">
        <w:t>,</w:t>
      </w:r>
      <w:r w:rsidRPr="00C34272">
        <w:t xml:space="preserve"> this was based on nine cycles of treatment </w:t>
      </w:r>
      <w:r w:rsidR="004E02A8">
        <w:t xml:space="preserve">that </w:t>
      </w:r>
      <w:r w:rsidRPr="00C34272">
        <w:t>included a full induction course (6 cycles of therapy) as well as three cycles of rituximab maintenance.</w:t>
      </w:r>
      <w:r w:rsidR="00A07559">
        <w:t xml:space="preserve"> </w:t>
      </w:r>
      <w:r w:rsidRPr="00C34272">
        <w:t>For induction with rituximab</w:t>
      </w:r>
      <w:r w:rsidR="004E02A8">
        <w:t>,</w:t>
      </w:r>
      <w:r w:rsidRPr="00C34272">
        <w:t xml:space="preserve"> 6 to 8 doses are recommended.</w:t>
      </w:r>
      <w:r w:rsidR="00A07559">
        <w:t xml:space="preserve"> </w:t>
      </w:r>
      <w:r w:rsidR="00D70C2B" w:rsidRPr="00C34272">
        <w:t xml:space="preserve">Consistent with </w:t>
      </w:r>
      <w:r w:rsidRPr="00C34272">
        <w:t>the submission</w:t>
      </w:r>
      <w:r w:rsidR="00D70C2B" w:rsidRPr="00C34272">
        <w:t>’s approach</w:t>
      </w:r>
      <w:r w:rsidRPr="00C34272">
        <w:t xml:space="preserve"> for obinutuzumab, </w:t>
      </w:r>
      <w:r w:rsidR="00D70C2B" w:rsidRPr="00C34272">
        <w:t xml:space="preserve">the lower end of the range </w:t>
      </w:r>
      <w:r w:rsidRPr="00C34272">
        <w:t>was</w:t>
      </w:r>
      <w:r w:rsidR="00D70C2B" w:rsidRPr="00C34272">
        <w:t xml:space="preserve"> used for the</w:t>
      </w:r>
      <w:r w:rsidRPr="00C34272">
        <w:t xml:space="preserve"> rituximab costing.</w:t>
      </w:r>
      <w:r w:rsidR="00A07559">
        <w:t xml:space="preserve"> </w:t>
      </w:r>
      <w:r w:rsidRPr="00C34272">
        <w:t>The same weighted price per administration (32% public hospital</w:t>
      </w:r>
      <w:r w:rsidRPr="00591EA6">
        <w:t>; 68% private hospital) was applied.</w:t>
      </w:r>
      <w:r w:rsidR="002042E3">
        <w:t xml:space="preserve"> </w:t>
      </w:r>
    </w:p>
    <w:p w:rsidR="00365A0D" w:rsidRPr="00591EA6" w:rsidRDefault="002042E3" w:rsidP="00A375D6">
      <w:pPr>
        <w:pStyle w:val="ListParagraph"/>
        <w:numPr>
          <w:ilvl w:val="1"/>
          <w:numId w:val="1"/>
        </w:numPr>
        <w:ind w:left="709" w:hanging="709"/>
        <w:jc w:val="both"/>
      </w:pPr>
      <w:r>
        <w:t xml:space="preserve">The </w:t>
      </w:r>
      <w:r w:rsidRPr="00A375D6">
        <w:rPr>
          <w:rFonts w:cs="Arial"/>
          <w:bCs/>
          <w:snapToGrid w:val="0"/>
        </w:rPr>
        <w:t>PBAC</w:t>
      </w:r>
      <w:r>
        <w:t xml:space="preserve"> considered the drug cost of obinutuzumab to be significantly higher than rituximab.</w:t>
      </w:r>
      <w:r w:rsidR="00C95EA5">
        <w:rPr>
          <w:lang w:val="en-GB"/>
        </w:rPr>
        <w:t xml:space="preserve"> </w:t>
      </w:r>
      <w:r w:rsidR="00BD2E94">
        <w:rPr>
          <w:lang w:val="en-GB"/>
        </w:rPr>
        <w:t>The PBAC noted t</w:t>
      </w:r>
      <w:r w:rsidR="00BC2756">
        <w:rPr>
          <w:lang w:val="en-GB"/>
        </w:rPr>
        <w:t>he difference in drug cost</w:t>
      </w:r>
      <w:r w:rsidR="00E002DA">
        <w:rPr>
          <w:lang w:val="en-GB"/>
        </w:rPr>
        <w:t xml:space="preserve"> to the PBS </w:t>
      </w:r>
      <w:r w:rsidR="00A30058">
        <w:rPr>
          <w:lang w:val="en-GB"/>
        </w:rPr>
        <w:t>based on the proposed</w:t>
      </w:r>
      <w:r w:rsidR="00E002DA">
        <w:rPr>
          <w:lang w:val="en-GB"/>
        </w:rPr>
        <w:t xml:space="preserve"> treatment course</w:t>
      </w:r>
      <w:r w:rsidR="00BC2756">
        <w:rPr>
          <w:lang w:val="en-GB"/>
        </w:rPr>
        <w:t xml:space="preserve"> is </w:t>
      </w:r>
      <w:r w:rsidR="00FF72C9">
        <w:rPr>
          <w:lang w:val="en-GB"/>
        </w:rPr>
        <w:t xml:space="preserve">further </w:t>
      </w:r>
      <w:r w:rsidR="00BC2756">
        <w:rPr>
          <w:lang w:val="en-GB"/>
        </w:rPr>
        <w:t xml:space="preserve">magnified </w:t>
      </w:r>
      <w:r w:rsidR="001540DC">
        <w:rPr>
          <w:lang w:val="en-GB"/>
        </w:rPr>
        <w:t xml:space="preserve">when </w:t>
      </w:r>
      <w:r w:rsidR="00BD2E94">
        <w:rPr>
          <w:lang w:val="en-GB"/>
        </w:rPr>
        <w:t>treatment is combined</w:t>
      </w:r>
      <w:r w:rsidR="00B13F42">
        <w:rPr>
          <w:lang w:val="en-GB"/>
        </w:rPr>
        <w:t xml:space="preserve"> with bendamustine</w:t>
      </w:r>
      <w:r w:rsidR="00EA320C">
        <w:rPr>
          <w:lang w:val="en-GB"/>
        </w:rPr>
        <w:t>, as</w:t>
      </w:r>
      <w:r w:rsidR="00B13F42">
        <w:rPr>
          <w:lang w:val="en-GB"/>
        </w:rPr>
        <w:t xml:space="preserve"> </w:t>
      </w:r>
      <w:r w:rsidR="00EA320C">
        <w:rPr>
          <w:lang w:val="en-GB"/>
        </w:rPr>
        <w:t>o</w:t>
      </w:r>
      <w:r w:rsidR="00B13F42">
        <w:rPr>
          <w:lang w:val="en-GB"/>
        </w:rPr>
        <w:t>binutuzumab maintenance after bendamustine-o</w:t>
      </w:r>
      <w:r w:rsidR="00E002DA">
        <w:rPr>
          <w:lang w:val="en-GB"/>
        </w:rPr>
        <w:t>bin</w:t>
      </w:r>
      <w:r w:rsidR="00B13F42">
        <w:rPr>
          <w:lang w:val="en-GB"/>
        </w:rPr>
        <w:t xml:space="preserve">utuzumab </w:t>
      </w:r>
      <w:r w:rsidR="00E002DA">
        <w:rPr>
          <w:lang w:val="en-GB"/>
        </w:rPr>
        <w:t xml:space="preserve">induction </w:t>
      </w:r>
      <w:r w:rsidR="00B13F42">
        <w:rPr>
          <w:lang w:val="en-GB"/>
        </w:rPr>
        <w:t xml:space="preserve">is proposed to replace </w:t>
      </w:r>
      <w:r w:rsidR="00FF72C9">
        <w:rPr>
          <w:lang w:val="en-GB"/>
        </w:rPr>
        <w:t xml:space="preserve">the current standard of </w:t>
      </w:r>
      <w:r w:rsidR="00B13F42">
        <w:rPr>
          <w:lang w:val="en-GB"/>
        </w:rPr>
        <w:t>no maintenance</w:t>
      </w:r>
      <w:r w:rsidR="00E002DA">
        <w:rPr>
          <w:lang w:val="en-GB"/>
        </w:rPr>
        <w:t xml:space="preserve"> after bendamustin</w:t>
      </w:r>
      <w:r w:rsidR="00FF72C9">
        <w:rPr>
          <w:lang w:val="en-GB"/>
        </w:rPr>
        <w:t>e</w:t>
      </w:r>
      <w:r w:rsidR="00E002DA">
        <w:rPr>
          <w:lang w:val="en-GB"/>
        </w:rPr>
        <w:t>-rituximab induction.</w:t>
      </w:r>
      <w:r w:rsidR="00176527">
        <w:rPr>
          <w:lang w:val="en-GB"/>
        </w:rPr>
        <w:t xml:space="preserve"> </w:t>
      </w:r>
    </w:p>
    <w:p w:rsidR="00C317F3" w:rsidRPr="00C34272" w:rsidRDefault="00C317F3" w:rsidP="00772501">
      <w:pPr>
        <w:pStyle w:val="Heading2"/>
        <w:rPr>
          <w:i w:val="0"/>
        </w:rPr>
      </w:pPr>
      <w:bookmarkStart w:id="28" w:name="_Toc413139284"/>
      <w:bookmarkStart w:id="29" w:name="_Toc365635917"/>
      <w:r w:rsidRPr="00C34272">
        <w:rPr>
          <w:i w:val="0"/>
        </w:rPr>
        <w:t>Estimated PBS usage &amp; financial implications</w:t>
      </w:r>
      <w:bookmarkEnd w:id="28"/>
      <w:bookmarkEnd w:id="29"/>
    </w:p>
    <w:p w:rsidR="00C317F3" w:rsidRPr="00C34272" w:rsidRDefault="0095707A" w:rsidP="00A375D6">
      <w:pPr>
        <w:pStyle w:val="ListParagraph"/>
        <w:numPr>
          <w:ilvl w:val="1"/>
          <w:numId w:val="1"/>
        </w:numPr>
        <w:ind w:left="709" w:hanging="709"/>
        <w:jc w:val="both"/>
      </w:pPr>
      <w:r w:rsidRPr="00C34272">
        <w:t>This submission was not considered by DUSC</w:t>
      </w:r>
      <w:r w:rsidR="00F062F9">
        <w:t xml:space="preserve">. </w:t>
      </w:r>
      <w:r w:rsidR="00EC68A9" w:rsidRPr="00C34272">
        <w:t xml:space="preserve">The submission employed an </w:t>
      </w:r>
      <w:r w:rsidR="00EC68A9" w:rsidRPr="00A375D6">
        <w:rPr>
          <w:rFonts w:cs="Arial"/>
          <w:bCs/>
          <w:snapToGrid w:val="0"/>
        </w:rPr>
        <w:t>epidemiological</w:t>
      </w:r>
      <w:r w:rsidR="00EC68A9" w:rsidRPr="00C34272">
        <w:t xml:space="preserve"> approach to develop the financial estimates. AIHW data was used to estimate the follicular lymphoma population and market research was used to estimate </w:t>
      </w:r>
      <w:r w:rsidR="004E02A8">
        <w:t xml:space="preserve">the </w:t>
      </w:r>
      <w:r w:rsidR="00EC68A9" w:rsidRPr="00C34272">
        <w:t>uptake rate.</w:t>
      </w:r>
      <w:r w:rsidR="00A07559">
        <w:t xml:space="preserve"> </w:t>
      </w:r>
      <w:r w:rsidR="00EC68A9" w:rsidRPr="00C34272">
        <w:t xml:space="preserve">The proportion of patients achieving a response and moving on to maintenance treatment was based on the GALLIUM trial, as </w:t>
      </w:r>
      <w:r w:rsidR="008C474C" w:rsidRPr="00C34272">
        <w:t>were</w:t>
      </w:r>
      <w:r w:rsidR="00EC68A9" w:rsidRPr="00C34272">
        <w:t xml:space="preserve"> the dosages used.</w:t>
      </w:r>
      <w:r w:rsidR="00A07559">
        <w:t xml:space="preserve"> </w:t>
      </w:r>
      <w:r w:rsidR="00793448" w:rsidRPr="00C34272">
        <w:t>It was assumed that obinutuzumab would substitute for rituximab.</w:t>
      </w:r>
      <w:r w:rsidR="00BE24F5">
        <w:t xml:space="preserve"> The PBAC considered that the uptake rate proposed </w:t>
      </w:r>
      <w:r w:rsidR="00C95EA5">
        <w:t>may be</w:t>
      </w:r>
      <w:r w:rsidR="00BE24F5">
        <w:t xml:space="preserve"> underestimated. </w:t>
      </w:r>
    </w:p>
    <w:p w:rsidR="008C474C" w:rsidRPr="00C34272" w:rsidRDefault="005F4CE4" w:rsidP="00A375D6">
      <w:pPr>
        <w:pStyle w:val="ListParagraph"/>
        <w:numPr>
          <w:ilvl w:val="1"/>
          <w:numId w:val="1"/>
        </w:numPr>
        <w:ind w:left="709" w:hanging="709"/>
        <w:jc w:val="both"/>
      </w:pPr>
      <w:r w:rsidRPr="00C34272">
        <w:t xml:space="preserve">The </w:t>
      </w:r>
      <w:r w:rsidRPr="00A375D6">
        <w:rPr>
          <w:rFonts w:cs="Arial"/>
          <w:bCs/>
          <w:snapToGrid w:val="0"/>
        </w:rPr>
        <w:t>table</w:t>
      </w:r>
      <w:r w:rsidRPr="00C34272">
        <w:t xml:space="preserve"> below provides a summary of estimated patient numbers, scripts and costs to PBS and the Government.</w:t>
      </w:r>
      <w:r w:rsidR="00A07559">
        <w:t xml:space="preserve"> </w:t>
      </w:r>
    </w:p>
    <w:p w:rsidR="008C474C" w:rsidRPr="00591EA6" w:rsidRDefault="008C474C" w:rsidP="008868F6">
      <w:pPr>
        <w:keepNext/>
        <w:spacing w:before="0" w:after="0"/>
        <w:jc w:val="both"/>
        <w:rPr>
          <w:rFonts w:ascii="Arial Narrow" w:hAnsi="Arial Narrow"/>
          <w:b/>
          <w:sz w:val="20"/>
          <w:szCs w:val="20"/>
        </w:rPr>
      </w:pPr>
      <w:r w:rsidRPr="00591EA6">
        <w:rPr>
          <w:rFonts w:ascii="Arial Narrow" w:hAnsi="Arial Narrow"/>
          <w:b/>
          <w:sz w:val="20"/>
          <w:szCs w:val="20"/>
        </w:rPr>
        <w:t>Table 1</w:t>
      </w:r>
      <w:r w:rsidR="00454C02">
        <w:rPr>
          <w:rFonts w:ascii="Arial Narrow" w:hAnsi="Arial Narrow"/>
          <w:b/>
          <w:sz w:val="20"/>
          <w:szCs w:val="20"/>
        </w:rPr>
        <w:t>2</w:t>
      </w:r>
      <w:r w:rsidRPr="00591EA6">
        <w:rPr>
          <w:rFonts w:ascii="Arial Narrow" w:hAnsi="Arial Narrow"/>
          <w:b/>
          <w:sz w:val="20"/>
          <w:szCs w:val="20"/>
        </w:rPr>
        <w:t>:</w:t>
      </w:r>
      <w:r w:rsidR="00A07559">
        <w:rPr>
          <w:rFonts w:ascii="Arial Narrow" w:hAnsi="Arial Narrow"/>
          <w:b/>
          <w:sz w:val="20"/>
          <w:szCs w:val="20"/>
        </w:rPr>
        <w:t xml:space="preserve"> </w:t>
      </w:r>
      <w:r w:rsidRPr="00591EA6">
        <w:rPr>
          <w:rFonts w:ascii="Arial Narrow" w:hAnsi="Arial Narrow"/>
          <w:b/>
          <w:sz w:val="20"/>
          <w:szCs w:val="20"/>
        </w:rPr>
        <w:t>Estimated use and financial implications</w:t>
      </w:r>
    </w:p>
    <w:tbl>
      <w:tblPr>
        <w:tblStyle w:val="TableGrid"/>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Estimated use and financial implications"/>
      </w:tblPr>
      <w:tblGrid>
        <w:gridCol w:w="2239"/>
        <w:gridCol w:w="1040"/>
        <w:gridCol w:w="1040"/>
        <w:gridCol w:w="1070"/>
        <w:gridCol w:w="1039"/>
        <w:gridCol w:w="1041"/>
        <w:gridCol w:w="1037"/>
      </w:tblGrid>
      <w:tr w:rsidR="008C474C" w:rsidRPr="00591EA6" w:rsidTr="00D64102">
        <w:trPr>
          <w:cnfStyle w:val="100000000000" w:firstRow="1" w:lastRow="0" w:firstColumn="0" w:lastColumn="0" w:oddVBand="0" w:evenVBand="0" w:oddHBand="0" w:evenHBand="0" w:firstRowFirstColumn="0" w:firstRowLastColumn="0" w:lastRowFirstColumn="0" w:lastRowLastColumn="0"/>
          <w:trHeight w:val="229"/>
          <w:tblHeader/>
        </w:trPr>
        <w:tc>
          <w:tcPr>
            <w:tcW w:w="1319" w:type="pct"/>
            <w:shd w:val="clear" w:color="auto" w:fill="auto"/>
            <w:vAlign w:val="center"/>
          </w:tcPr>
          <w:p w:rsidR="008C474C" w:rsidRPr="00591EA6" w:rsidRDefault="008C474C" w:rsidP="008868F6">
            <w:pPr>
              <w:keepNext/>
              <w:tabs>
                <w:tab w:val="left" w:pos="142"/>
              </w:tabs>
              <w:spacing w:before="0"/>
              <w:rPr>
                <w:rFonts w:ascii="Arial Narrow" w:hAnsi="Arial Narrow"/>
                <w:sz w:val="20"/>
                <w:szCs w:val="20"/>
              </w:rPr>
            </w:pPr>
          </w:p>
        </w:tc>
        <w:tc>
          <w:tcPr>
            <w:tcW w:w="614" w:type="pct"/>
            <w:shd w:val="clear" w:color="auto" w:fill="auto"/>
            <w:vAlign w:val="center"/>
          </w:tcPr>
          <w:p w:rsidR="008C474C" w:rsidRPr="00591EA6" w:rsidRDefault="008C474C" w:rsidP="008868F6">
            <w:pPr>
              <w:keepNext/>
              <w:spacing w:before="0"/>
              <w:jc w:val="center"/>
              <w:rPr>
                <w:rFonts w:ascii="Arial Narrow" w:hAnsi="Arial Narrow"/>
                <w:sz w:val="20"/>
                <w:szCs w:val="20"/>
              </w:rPr>
            </w:pPr>
            <w:r w:rsidRPr="00591EA6">
              <w:rPr>
                <w:rFonts w:ascii="Arial Narrow" w:hAnsi="Arial Narrow"/>
                <w:sz w:val="20"/>
                <w:szCs w:val="20"/>
              </w:rPr>
              <w:t>Year 1</w:t>
            </w:r>
          </w:p>
        </w:tc>
        <w:tc>
          <w:tcPr>
            <w:tcW w:w="614" w:type="pct"/>
            <w:shd w:val="clear" w:color="auto" w:fill="auto"/>
            <w:vAlign w:val="center"/>
          </w:tcPr>
          <w:p w:rsidR="008C474C" w:rsidRPr="00591EA6" w:rsidRDefault="008C474C" w:rsidP="008868F6">
            <w:pPr>
              <w:keepNext/>
              <w:spacing w:before="0"/>
              <w:jc w:val="center"/>
              <w:rPr>
                <w:rFonts w:ascii="Arial Narrow" w:hAnsi="Arial Narrow"/>
                <w:sz w:val="20"/>
                <w:szCs w:val="20"/>
              </w:rPr>
            </w:pPr>
            <w:r w:rsidRPr="00591EA6">
              <w:rPr>
                <w:rFonts w:ascii="Arial Narrow" w:hAnsi="Arial Narrow"/>
                <w:sz w:val="20"/>
                <w:szCs w:val="20"/>
              </w:rPr>
              <w:t>Year 2</w:t>
            </w:r>
          </w:p>
        </w:tc>
        <w:tc>
          <w:tcPr>
            <w:tcW w:w="614" w:type="pct"/>
            <w:shd w:val="clear" w:color="auto" w:fill="auto"/>
            <w:vAlign w:val="center"/>
          </w:tcPr>
          <w:p w:rsidR="008C474C" w:rsidRPr="00591EA6" w:rsidRDefault="008C474C" w:rsidP="008868F6">
            <w:pPr>
              <w:keepNext/>
              <w:spacing w:before="0"/>
              <w:jc w:val="center"/>
              <w:rPr>
                <w:rFonts w:ascii="Arial Narrow" w:hAnsi="Arial Narrow"/>
                <w:sz w:val="20"/>
                <w:szCs w:val="20"/>
              </w:rPr>
            </w:pPr>
            <w:r w:rsidRPr="00591EA6">
              <w:rPr>
                <w:rFonts w:ascii="Arial Narrow" w:hAnsi="Arial Narrow"/>
                <w:sz w:val="20"/>
                <w:szCs w:val="20"/>
              </w:rPr>
              <w:t>Year 3</w:t>
            </w:r>
          </w:p>
        </w:tc>
        <w:tc>
          <w:tcPr>
            <w:tcW w:w="613" w:type="pct"/>
            <w:shd w:val="clear" w:color="auto" w:fill="auto"/>
            <w:vAlign w:val="center"/>
          </w:tcPr>
          <w:p w:rsidR="008C474C" w:rsidRPr="00591EA6" w:rsidRDefault="008C474C" w:rsidP="008868F6">
            <w:pPr>
              <w:keepNext/>
              <w:spacing w:before="0"/>
              <w:jc w:val="center"/>
              <w:rPr>
                <w:rFonts w:ascii="Arial Narrow" w:hAnsi="Arial Narrow"/>
                <w:sz w:val="20"/>
                <w:szCs w:val="20"/>
              </w:rPr>
            </w:pPr>
            <w:r w:rsidRPr="00591EA6">
              <w:rPr>
                <w:rFonts w:ascii="Arial Narrow" w:hAnsi="Arial Narrow"/>
                <w:sz w:val="20"/>
                <w:szCs w:val="20"/>
              </w:rPr>
              <w:t>Year 4</w:t>
            </w:r>
          </w:p>
        </w:tc>
        <w:tc>
          <w:tcPr>
            <w:tcW w:w="614" w:type="pct"/>
            <w:shd w:val="clear" w:color="auto" w:fill="auto"/>
            <w:vAlign w:val="center"/>
          </w:tcPr>
          <w:p w:rsidR="008C474C" w:rsidRPr="00591EA6" w:rsidRDefault="008C474C" w:rsidP="008868F6">
            <w:pPr>
              <w:keepNext/>
              <w:spacing w:before="0"/>
              <w:jc w:val="center"/>
              <w:rPr>
                <w:rFonts w:ascii="Arial Narrow" w:hAnsi="Arial Narrow"/>
                <w:sz w:val="20"/>
                <w:szCs w:val="20"/>
              </w:rPr>
            </w:pPr>
            <w:r w:rsidRPr="00591EA6">
              <w:rPr>
                <w:rFonts w:ascii="Arial Narrow" w:hAnsi="Arial Narrow"/>
                <w:sz w:val="20"/>
                <w:szCs w:val="20"/>
              </w:rPr>
              <w:t>Year 5</w:t>
            </w:r>
          </w:p>
        </w:tc>
        <w:tc>
          <w:tcPr>
            <w:tcW w:w="612" w:type="pct"/>
            <w:shd w:val="clear" w:color="auto" w:fill="auto"/>
            <w:vAlign w:val="center"/>
          </w:tcPr>
          <w:p w:rsidR="008C474C" w:rsidRPr="00591EA6" w:rsidRDefault="008C474C" w:rsidP="008868F6">
            <w:pPr>
              <w:keepNext/>
              <w:spacing w:before="0"/>
              <w:jc w:val="center"/>
              <w:rPr>
                <w:rFonts w:ascii="Arial Narrow" w:hAnsi="Arial Narrow"/>
                <w:sz w:val="20"/>
                <w:szCs w:val="20"/>
              </w:rPr>
            </w:pPr>
            <w:r w:rsidRPr="00591EA6">
              <w:rPr>
                <w:rFonts w:ascii="Arial Narrow" w:hAnsi="Arial Narrow"/>
                <w:sz w:val="20"/>
                <w:szCs w:val="20"/>
              </w:rPr>
              <w:t>Year 6</w:t>
            </w:r>
          </w:p>
        </w:tc>
      </w:tr>
      <w:tr w:rsidR="008C474C" w:rsidRPr="00591EA6" w:rsidTr="00D64102">
        <w:trPr>
          <w:trHeight w:val="211"/>
        </w:trPr>
        <w:tc>
          <w:tcPr>
            <w:tcW w:w="5000" w:type="pct"/>
            <w:gridSpan w:val="7"/>
            <w:shd w:val="clear" w:color="auto" w:fill="auto"/>
            <w:vAlign w:val="center"/>
          </w:tcPr>
          <w:p w:rsidR="008C474C" w:rsidRPr="00591EA6" w:rsidRDefault="008C474C" w:rsidP="008C474C">
            <w:pPr>
              <w:spacing w:before="0"/>
              <w:rPr>
                <w:rFonts w:ascii="Arial Narrow" w:hAnsi="Arial Narrow"/>
                <w:b/>
                <w:sz w:val="20"/>
                <w:szCs w:val="20"/>
              </w:rPr>
            </w:pPr>
            <w:r w:rsidRPr="00591EA6">
              <w:rPr>
                <w:rFonts w:ascii="Arial Narrow" w:hAnsi="Arial Narrow"/>
                <w:b/>
                <w:bCs/>
                <w:color w:val="000000"/>
                <w:sz w:val="20"/>
                <w:lang w:val="en-GB"/>
              </w:rPr>
              <w:t>Estimated extent of use</w:t>
            </w:r>
          </w:p>
        </w:tc>
      </w:tr>
      <w:tr w:rsidR="00793448" w:rsidRPr="00591EA6" w:rsidTr="00D64102">
        <w:trPr>
          <w:trHeight w:val="229"/>
        </w:trPr>
        <w:tc>
          <w:tcPr>
            <w:tcW w:w="1319" w:type="pct"/>
            <w:shd w:val="clear" w:color="auto" w:fill="auto"/>
            <w:vAlign w:val="center"/>
          </w:tcPr>
          <w:p w:rsidR="00793448" w:rsidRPr="00591EA6" w:rsidRDefault="00793448" w:rsidP="008C474C">
            <w:pPr>
              <w:tabs>
                <w:tab w:val="left" w:pos="142"/>
              </w:tabs>
              <w:spacing w:before="0"/>
              <w:rPr>
                <w:rFonts w:ascii="Arial Narrow" w:hAnsi="Arial Narrow"/>
                <w:sz w:val="20"/>
                <w:szCs w:val="20"/>
              </w:rPr>
            </w:pPr>
            <w:r w:rsidRPr="00591EA6">
              <w:rPr>
                <w:rFonts w:ascii="Arial Narrow" w:hAnsi="Arial Narrow" w:cs="Times New Roman"/>
                <w:sz w:val="20"/>
                <w:lang w:eastAsia="en-AU"/>
              </w:rPr>
              <w:t xml:space="preserve">Uptake </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3"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2"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93448" w:rsidRPr="00591EA6" w:rsidTr="00D64102">
        <w:trPr>
          <w:trHeight w:val="459"/>
        </w:trPr>
        <w:tc>
          <w:tcPr>
            <w:tcW w:w="1319" w:type="pct"/>
            <w:shd w:val="clear" w:color="auto" w:fill="auto"/>
            <w:vAlign w:val="center"/>
          </w:tcPr>
          <w:p w:rsidR="00793448" w:rsidRPr="00591EA6" w:rsidRDefault="00793448" w:rsidP="008C474C">
            <w:pPr>
              <w:tabs>
                <w:tab w:val="left" w:pos="142"/>
              </w:tabs>
              <w:spacing w:before="0"/>
              <w:rPr>
                <w:rFonts w:ascii="Arial Narrow" w:hAnsi="Arial Narrow"/>
                <w:sz w:val="20"/>
                <w:szCs w:val="20"/>
              </w:rPr>
            </w:pPr>
            <w:r w:rsidRPr="00591EA6">
              <w:rPr>
                <w:rFonts w:ascii="Arial Narrow" w:hAnsi="Arial Narrow" w:cs="Times New Roman"/>
                <w:sz w:val="20"/>
                <w:lang w:eastAsia="en-AU"/>
              </w:rPr>
              <w:t>Number of patients treated - induction</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13"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12"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793448" w:rsidRPr="00591EA6" w:rsidTr="00D64102">
        <w:trPr>
          <w:trHeight w:val="459"/>
        </w:trPr>
        <w:tc>
          <w:tcPr>
            <w:tcW w:w="1319" w:type="pct"/>
            <w:shd w:val="clear" w:color="auto" w:fill="auto"/>
            <w:vAlign w:val="center"/>
          </w:tcPr>
          <w:p w:rsidR="00793448" w:rsidRPr="00591EA6" w:rsidRDefault="00793448" w:rsidP="008C474C">
            <w:pPr>
              <w:tabs>
                <w:tab w:val="left" w:pos="142"/>
              </w:tabs>
              <w:spacing w:before="0"/>
              <w:rPr>
                <w:rFonts w:ascii="Arial Narrow" w:hAnsi="Arial Narrow" w:cs="Times New Roman"/>
                <w:sz w:val="20"/>
                <w:lang w:eastAsia="en-AU"/>
              </w:rPr>
            </w:pPr>
            <w:r w:rsidRPr="00591EA6">
              <w:rPr>
                <w:rFonts w:ascii="Arial Narrow" w:hAnsi="Arial Narrow"/>
                <w:sz w:val="20"/>
                <w:szCs w:val="20"/>
              </w:rPr>
              <w:t>Proportion going on to maintenance treatment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3"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2"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93448" w:rsidRPr="00591EA6" w:rsidTr="00D64102">
        <w:trPr>
          <w:trHeight w:val="459"/>
        </w:trPr>
        <w:tc>
          <w:tcPr>
            <w:tcW w:w="1319" w:type="pct"/>
            <w:shd w:val="clear" w:color="auto" w:fill="auto"/>
            <w:vAlign w:val="center"/>
          </w:tcPr>
          <w:p w:rsidR="00793448" w:rsidRPr="00591EA6" w:rsidRDefault="00793448" w:rsidP="008C474C">
            <w:pPr>
              <w:tabs>
                <w:tab w:val="left" w:pos="142"/>
              </w:tabs>
              <w:spacing w:before="0"/>
              <w:rPr>
                <w:rFonts w:ascii="Arial Narrow" w:hAnsi="Arial Narrow" w:cs="Times New Roman"/>
                <w:sz w:val="20"/>
                <w:lang w:eastAsia="en-AU"/>
              </w:rPr>
            </w:pPr>
            <w:r w:rsidRPr="00591EA6">
              <w:rPr>
                <w:rFonts w:ascii="Arial Narrow" w:hAnsi="Arial Narrow" w:cs="Times New Roman"/>
                <w:sz w:val="20"/>
                <w:lang w:eastAsia="en-AU"/>
              </w:rPr>
              <w:t>Number of patients treated - maintenance</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3"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2"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93448" w:rsidRPr="00591EA6" w:rsidTr="00D64102">
        <w:trPr>
          <w:trHeight w:val="479"/>
        </w:trPr>
        <w:tc>
          <w:tcPr>
            <w:tcW w:w="1319" w:type="pct"/>
            <w:shd w:val="clear" w:color="auto" w:fill="auto"/>
            <w:vAlign w:val="center"/>
          </w:tcPr>
          <w:p w:rsidR="00793448" w:rsidRPr="00591EA6" w:rsidRDefault="00793448" w:rsidP="008C474C">
            <w:pPr>
              <w:tabs>
                <w:tab w:val="left" w:pos="142"/>
              </w:tabs>
              <w:spacing w:before="0"/>
              <w:rPr>
                <w:rFonts w:ascii="Arial Narrow" w:hAnsi="Arial Narrow"/>
                <w:sz w:val="20"/>
                <w:szCs w:val="20"/>
              </w:rPr>
            </w:pPr>
            <w:r w:rsidRPr="00591EA6">
              <w:rPr>
                <w:rFonts w:ascii="Arial Narrow" w:hAnsi="Arial Narrow" w:cs="Times New Roman"/>
                <w:sz w:val="20"/>
                <w:lang w:eastAsia="en-AU"/>
              </w:rPr>
              <w:t>Number of scripts - induction and maintenance</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b/>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b/>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b/>
                <w:noProof/>
                <w:color w:val="000000"/>
                <w:sz w:val="20"/>
                <w:szCs w:val="20"/>
                <w:highlight w:val="black"/>
              </w:rPr>
              <w:t>'''''''''''''''</w:t>
            </w:r>
          </w:p>
        </w:tc>
        <w:tc>
          <w:tcPr>
            <w:tcW w:w="613"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b/>
                <w:noProof/>
                <w:color w:val="000000"/>
                <w:sz w:val="20"/>
                <w:szCs w:val="20"/>
                <w:highlight w:val="black"/>
              </w:rPr>
              <w:t>''''''''''''''</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b/>
                <w:noProof/>
                <w:color w:val="000000"/>
                <w:sz w:val="20"/>
                <w:szCs w:val="20"/>
                <w:highlight w:val="black"/>
              </w:rPr>
              <w:t>'''''''''''''</w:t>
            </w:r>
          </w:p>
        </w:tc>
        <w:tc>
          <w:tcPr>
            <w:tcW w:w="612"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b/>
                <w:noProof/>
                <w:color w:val="000000"/>
                <w:sz w:val="20"/>
                <w:szCs w:val="20"/>
                <w:highlight w:val="black"/>
              </w:rPr>
              <w:t>''''''''''''</w:t>
            </w:r>
          </w:p>
        </w:tc>
      </w:tr>
      <w:tr w:rsidR="00793448" w:rsidRPr="00591EA6" w:rsidTr="00D64102">
        <w:trPr>
          <w:trHeight w:val="211"/>
        </w:trPr>
        <w:tc>
          <w:tcPr>
            <w:tcW w:w="5000" w:type="pct"/>
            <w:gridSpan w:val="7"/>
            <w:shd w:val="clear" w:color="auto" w:fill="auto"/>
            <w:vAlign w:val="center"/>
          </w:tcPr>
          <w:p w:rsidR="00793448" w:rsidRPr="00591EA6" w:rsidRDefault="00793448" w:rsidP="008C474C">
            <w:pPr>
              <w:spacing w:before="0"/>
              <w:rPr>
                <w:rFonts w:ascii="Arial Narrow" w:hAnsi="Arial Narrow"/>
                <w:b/>
                <w:sz w:val="20"/>
                <w:szCs w:val="20"/>
              </w:rPr>
            </w:pPr>
            <w:r w:rsidRPr="00591EA6">
              <w:rPr>
                <w:rFonts w:ascii="Arial Narrow" w:hAnsi="Arial Narrow" w:cs="Times New Roman"/>
                <w:b/>
                <w:sz w:val="20"/>
                <w:lang w:eastAsia="en-AU"/>
              </w:rPr>
              <w:t>Estimated financial implications</w:t>
            </w:r>
          </w:p>
        </w:tc>
      </w:tr>
      <w:tr w:rsidR="00763625" w:rsidRPr="00591EA6" w:rsidTr="00D64102">
        <w:trPr>
          <w:trHeight w:val="459"/>
        </w:trPr>
        <w:tc>
          <w:tcPr>
            <w:tcW w:w="1319" w:type="pct"/>
            <w:shd w:val="clear" w:color="auto" w:fill="auto"/>
            <w:vAlign w:val="center"/>
          </w:tcPr>
          <w:p w:rsidR="00763625" w:rsidRPr="00591EA6" w:rsidRDefault="00763625" w:rsidP="008C474C">
            <w:pPr>
              <w:tabs>
                <w:tab w:val="left" w:pos="142"/>
              </w:tabs>
              <w:spacing w:before="0"/>
              <w:rPr>
                <w:rFonts w:ascii="Arial Narrow" w:hAnsi="Arial Narrow"/>
                <w:sz w:val="20"/>
                <w:szCs w:val="20"/>
              </w:rPr>
            </w:pPr>
            <w:r w:rsidRPr="00591EA6">
              <w:rPr>
                <w:rFonts w:ascii="Arial Narrow" w:hAnsi="Arial Narrow" w:cs="Times New Roman"/>
                <w:sz w:val="20"/>
                <w:lang w:eastAsia="en-AU"/>
              </w:rPr>
              <w:t>Overall net cost to PBS/RPBS</w:t>
            </w:r>
          </w:p>
        </w:tc>
        <w:tc>
          <w:tcPr>
            <w:tcW w:w="614" w:type="pct"/>
            <w:shd w:val="clear" w:color="auto" w:fill="auto"/>
            <w:vAlign w:val="center"/>
          </w:tcPr>
          <w:p w:rsidR="00763625" w:rsidRPr="00CD21DA" w:rsidRDefault="00CD21DA" w:rsidP="008C474C">
            <w:pPr>
              <w:spacing w:before="0"/>
              <w:jc w:val="center"/>
              <w:rPr>
                <w:rFonts w:ascii="Arial Narrow" w:hAnsi="Arial Narrow"/>
                <w:sz w:val="20"/>
                <w:szCs w:val="20"/>
                <w:highlight w:val="black"/>
              </w:rPr>
            </w:pPr>
            <w:r>
              <w:rPr>
                <w:rFonts w:ascii="Arial Narrow" w:eastAsia="Times New Roman" w:hAnsi="Arial Narrow" w:cs="Arial"/>
                <w:b/>
                <w:bCs/>
                <w:noProof/>
                <w:color w:val="000000"/>
                <w:sz w:val="20"/>
                <w:szCs w:val="20"/>
                <w:highlight w:val="black"/>
              </w:rPr>
              <w:t>''''''''''''''''''''''''</w:t>
            </w:r>
          </w:p>
        </w:tc>
        <w:tc>
          <w:tcPr>
            <w:tcW w:w="614" w:type="pct"/>
            <w:shd w:val="clear" w:color="auto" w:fill="auto"/>
            <w:vAlign w:val="center"/>
          </w:tcPr>
          <w:p w:rsidR="00763625" w:rsidRPr="00CD21DA" w:rsidRDefault="00CD21DA" w:rsidP="008C474C">
            <w:pPr>
              <w:spacing w:before="0"/>
              <w:jc w:val="center"/>
              <w:rPr>
                <w:rFonts w:ascii="Arial Narrow" w:hAnsi="Arial Narrow"/>
                <w:sz w:val="20"/>
                <w:szCs w:val="20"/>
                <w:highlight w:val="black"/>
              </w:rPr>
            </w:pPr>
            <w:r>
              <w:rPr>
                <w:rFonts w:ascii="Arial Narrow" w:eastAsia="Times New Roman" w:hAnsi="Arial Narrow" w:cs="Arial"/>
                <w:b/>
                <w:bCs/>
                <w:noProof/>
                <w:color w:val="000000"/>
                <w:sz w:val="20"/>
                <w:szCs w:val="20"/>
                <w:highlight w:val="black"/>
              </w:rPr>
              <w:t>'''''''''''''''''''''''''</w:t>
            </w:r>
          </w:p>
        </w:tc>
        <w:tc>
          <w:tcPr>
            <w:tcW w:w="614" w:type="pct"/>
            <w:shd w:val="clear" w:color="auto" w:fill="auto"/>
            <w:vAlign w:val="center"/>
          </w:tcPr>
          <w:p w:rsidR="00763625" w:rsidRPr="00CD21DA" w:rsidRDefault="00CD21DA" w:rsidP="008C474C">
            <w:pPr>
              <w:spacing w:before="0"/>
              <w:jc w:val="center"/>
              <w:rPr>
                <w:rFonts w:ascii="Arial Narrow" w:hAnsi="Arial Narrow"/>
                <w:sz w:val="20"/>
                <w:szCs w:val="20"/>
                <w:highlight w:val="black"/>
              </w:rPr>
            </w:pPr>
            <w:r>
              <w:rPr>
                <w:rFonts w:ascii="Arial Narrow" w:eastAsia="Times New Roman" w:hAnsi="Arial Narrow" w:cs="Arial"/>
                <w:b/>
                <w:bCs/>
                <w:noProof/>
                <w:color w:val="000000"/>
                <w:sz w:val="20"/>
                <w:szCs w:val="20"/>
                <w:highlight w:val="black"/>
              </w:rPr>
              <w:t>''''''''''''''''''''''</w:t>
            </w:r>
          </w:p>
        </w:tc>
        <w:tc>
          <w:tcPr>
            <w:tcW w:w="613" w:type="pct"/>
            <w:shd w:val="clear" w:color="auto" w:fill="auto"/>
            <w:vAlign w:val="center"/>
          </w:tcPr>
          <w:p w:rsidR="00763625" w:rsidRPr="00CD21DA" w:rsidRDefault="00CD21DA" w:rsidP="008C474C">
            <w:pPr>
              <w:spacing w:before="0"/>
              <w:jc w:val="center"/>
              <w:rPr>
                <w:rFonts w:ascii="Arial Narrow" w:hAnsi="Arial Narrow"/>
                <w:sz w:val="20"/>
                <w:szCs w:val="20"/>
                <w:highlight w:val="black"/>
              </w:rPr>
            </w:pPr>
            <w:r>
              <w:rPr>
                <w:rFonts w:ascii="Arial Narrow" w:eastAsia="Times New Roman" w:hAnsi="Arial Narrow" w:cs="Arial"/>
                <w:b/>
                <w:bCs/>
                <w:noProof/>
                <w:color w:val="000000"/>
                <w:sz w:val="20"/>
                <w:szCs w:val="20"/>
                <w:highlight w:val="black"/>
              </w:rPr>
              <w:t>''''''''''''''''''''''</w:t>
            </w:r>
          </w:p>
        </w:tc>
        <w:tc>
          <w:tcPr>
            <w:tcW w:w="614" w:type="pct"/>
            <w:shd w:val="clear" w:color="auto" w:fill="auto"/>
            <w:vAlign w:val="center"/>
          </w:tcPr>
          <w:p w:rsidR="00763625" w:rsidRPr="00CD21DA" w:rsidRDefault="00CD21DA" w:rsidP="008C474C">
            <w:pPr>
              <w:spacing w:before="0"/>
              <w:jc w:val="center"/>
              <w:rPr>
                <w:rFonts w:ascii="Arial Narrow" w:hAnsi="Arial Narrow"/>
                <w:sz w:val="20"/>
                <w:szCs w:val="20"/>
                <w:highlight w:val="black"/>
              </w:rPr>
            </w:pPr>
            <w:r>
              <w:rPr>
                <w:rFonts w:ascii="Arial Narrow" w:eastAsia="Times New Roman" w:hAnsi="Arial Narrow" w:cs="Arial"/>
                <w:b/>
                <w:bCs/>
                <w:noProof/>
                <w:color w:val="000000"/>
                <w:sz w:val="20"/>
                <w:szCs w:val="20"/>
                <w:highlight w:val="black"/>
              </w:rPr>
              <w:t>''''''''''''''''''''''</w:t>
            </w:r>
          </w:p>
        </w:tc>
        <w:tc>
          <w:tcPr>
            <w:tcW w:w="612" w:type="pct"/>
            <w:shd w:val="clear" w:color="auto" w:fill="auto"/>
            <w:vAlign w:val="center"/>
          </w:tcPr>
          <w:p w:rsidR="00763625" w:rsidRPr="00CD21DA" w:rsidRDefault="00CD21DA" w:rsidP="008C474C">
            <w:pPr>
              <w:spacing w:before="0"/>
              <w:jc w:val="center"/>
              <w:rPr>
                <w:rFonts w:ascii="Arial Narrow" w:hAnsi="Arial Narrow"/>
                <w:sz w:val="20"/>
                <w:szCs w:val="20"/>
                <w:highlight w:val="black"/>
              </w:rPr>
            </w:pPr>
            <w:r>
              <w:rPr>
                <w:rFonts w:ascii="Arial Narrow" w:eastAsia="Times New Roman" w:hAnsi="Arial Narrow" w:cs="Arial"/>
                <w:b/>
                <w:bCs/>
                <w:noProof/>
                <w:color w:val="000000"/>
                <w:sz w:val="20"/>
                <w:szCs w:val="20"/>
                <w:highlight w:val="black"/>
              </w:rPr>
              <w:t>'''''''''''''''''''''''</w:t>
            </w:r>
          </w:p>
        </w:tc>
      </w:tr>
      <w:tr w:rsidR="00793448" w:rsidRPr="00591EA6" w:rsidTr="00D64102">
        <w:trPr>
          <w:trHeight w:val="229"/>
        </w:trPr>
        <w:tc>
          <w:tcPr>
            <w:tcW w:w="1319" w:type="pct"/>
            <w:shd w:val="clear" w:color="auto" w:fill="auto"/>
            <w:vAlign w:val="center"/>
          </w:tcPr>
          <w:p w:rsidR="00793448" w:rsidRPr="00591EA6" w:rsidRDefault="00793448" w:rsidP="008C474C">
            <w:pPr>
              <w:tabs>
                <w:tab w:val="left" w:pos="142"/>
              </w:tabs>
              <w:spacing w:before="0"/>
              <w:rPr>
                <w:rFonts w:ascii="Arial Narrow" w:hAnsi="Arial Narrow"/>
                <w:sz w:val="20"/>
                <w:szCs w:val="20"/>
              </w:rPr>
            </w:pPr>
            <w:r w:rsidRPr="00591EA6">
              <w:rPr>
                <w:rFonts w:ascii="Arial Narrow" w:hAnsi="Arial Narrow"/>
                <w:sz w:val="20"/>
              </w:rPr>
              <w:t>Cost to government for MBS</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13"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14"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12" w:type="pct"/>
            <w:shd w:val="clear" w:color="auto" w:fill="auto"/>
            <w:vAlign w:val="center"/>
          </w:tcPr>
          <w:p w:rsidR="00793448" w:rsidRPr="00CD21DA" w:rsidRDefault="00CD21DA" w:rsidP="008C474C">
            <w:pPr>
              <w:spacing w:before="0"/>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r>
      <w:tr w:rsidR="00763625" w:rsidRPr="00591EA6" w:rsidTr="00D64102">
        <w:trPr>
          <w:trHeight w:val="479"/>
        </w:trPr>
        <w:tc>
          <w:tcPr>
            <w:tcW w:w="1319" w:type="pct"/>
            <w:shd w:val="clear" w:color="auto" w:fill="auto"/>
            <w:vAlign w:val="center"/>
          </w:tcPr>
          <w:p w:rsidR="00763625" w:rsidRPr="00591EA6" w:rsidRDefault="00763625" w:rsidP="008C474C">
            <w:pPr>
              <w:tabs>
                <w:tab w:val="left" w:pos="142"/>
              </w:tabs>
              <w:spacing w:before="0"/>
              <w:rPr>
                <w:rFonts w:ascii="Arial Narrow" w:hAnsi="Arial Narrow"/>
                <w:sz w:val="20"/>
                <w:szCs w:val="20"/>
              </w:rPr>
            </w:pPr>
            <w:r w:rsidRPr="00591EA6">
              <w:rPr>
                <w:rFonts w:ascii="Arial Narrow" w:hAnsi="Arial Narrow" w:cs="Times New Roman"/>
                <w:b/>
                <w:sz w:val="20"/>
                <w:lang w:eastAsia="en-AU"/>
              </w:rPr>
              <w:t>Overall net cost to Government</w:t>
            </w:r>
          </w:p>
        </w:tc>
        <w:tc>
          <w:tcPr>
            <w:tcW w:w="614" w:type="pct"/>
            <w:shd w:val="clear" w:color="auto" w:fill="auto"/>
            <w:vAlign w:val="center"/>
          </w:tcPr>
          <w:p w:rsidR="00763625" w:rsidRPr="00CD21DA" w:rsidRDefault="00CD21DA" w:rsidP="00763625">
            <w:pPr>
              <w:spacing w:before="0"/>
              <w:rPr>
                <w:rFonts w:ascii="Arial Narrow" w:hAnsi="Arial Narrow" w:cs="Arial"/>
                <w:color w:val="000000"/>
                <w:sz w:val="20"/>
                <w:szCs w:val="20"/>
                <w:highlight w:val="black"/>
              </w:rPr>
            </w:pPr>
            <w:r>
              <w:rPr>
                <w:rFonts w:ascii="Arial Narrow" w:eastAsia="Times New Roman" w:hAnsi="Arial Narrow" w:cs="Arial"/>
                <w:b/>
                <w:bCs/>
                <w:noProof/>
                <w:color w:val="000000"/>
                <w:sz w:val="20"/>
                <w:szCs w:val="20"/>
                <w:highlight w:val="black"/>
              </w:rPr>
              <w:t xml:space="preserve">'''''''''''''''''''''' </w:t>
            </w:r>
          </w:p>
        </w:tc>
        <w:tc>
          <w:tcPr>
            <w:tcW w:w="614" w:type="pct"/>
            <w:shd w:val="clear" w:color="auto" w:fill="auto"/>
            <w:vAlign w:val="center"/>
          </w:tcPr>
          <w:p w:rsidR="00763625" w:rsidRPr="00CD21DA" w:rsidRDefault="00CD21DA" w:rsidP="00763625">
            <w:pPr>
              <w:spacing w:before="0"/>
              <w:rPr>
                <w:rFonts w:ascii="Arial Narrow" w:hAnsi="Arial Narrow" w:cs="Arial"/>
                <w:color w:val="000000"/>
                <w:sz w:val="20"/>
                <w:szCs w:val="20"/>
                <w:highlight w:val="black"/>
              </w:rPr>
            </w:pPr>
            <w:r>
              <w:rPr>
                <w:rFonts w:ascii="Arial Narrow" w:eastAsia="Times New Roman" w:hAnsi="Arial Narrow" w:cs="Arial"/>
                <w:b/>
                <w:bCs/>
                <w:noProof/>
                <w:color w:val="000000"/>
                <w:sz w:val="20"/>
                <w:szCs w:val="20"/>
                <w:highlight w:val="black"/>
              </w:rPr>
              <w:t xml:space="preserve">'''''''''''''''''''''''' </w:t>
            </w:r>
          </w:p>
        </w:tc>
        <w:tc>
          <w:tcPr>
            <w:tcW w:w="614" w:type="pct"/>
            <w:shd w:val="clear" w:color="auto" w:fill="auto"/>
            <w:vAlign w:val="center"/>
          </w:tcPr>
          <w:p w:rsidR="00763625" w:rsidRPr="00CD21DA" w:rsidRDefault="00CD21DA" w:rsidP="00763625">
            <w:pPr>
              <w:spacing w:before="0"/>
              <w:rPr>
                <w:rFonts w:ascii="Arial Narrow" w:hAnsi="Arial Narrow" w:cs="Arial"/>
                <w:color w:val="000000"/>
                <w:sz w:val="20"/>
                <w:szCs w:val="20"/>
                <w:highlight w:val="black"/>
              </w:rPr>
            </w:pPr>
            <w:r>
              <w:rPr>
                <w:rFonts w:ascii="Arial Narrow" w:eastAsia="Times New Roman" w:hAnsi="Arial Narrow" w:cs="Arial"/>
                <w:b/>
                <w:bCs/>
                <w:noProof/>
                <w:color w:val="000000"/>
                <w:sz w:val="20"/>
                <w:szCs w:val="20"/>
                <w:highlight w:val="black"/>
              </w:rPr>
              <w:t xml:space="preserve">'''''''''''''''''''''''''' </w:t>
            </w:r>
          </w:p>
        </w:tc>
        <w:tc>
          <w:tcPr>
            <w:tcW w:w="613" w:type="pct"/>
            <w:shd w:val="clear" w:color="auto" w:fill="auto"/>
            <w:vAlign w:val="center"/>
          </w:tcPr>
          <w:p w:rsidR="00763625" w:rsidRPr="00CD21DA" w:rsidRDefault="00CD21DA" w:rsidP="00763625">
            <w:pPr>
              <w:spacing w:before="0"/>
              <w:rPr>
                <w:rFonts w:ascii="Arial Narrow" w:hAnsi="Arial Narrow" w:cs="Arial"/>
                <w:color w:val="000000"/>
                <w:sz w:val="20"/>
                <w:szCs w:val="20"/>
                <w:highlight w:val="black"/>
              </w:rPr>
            </w:pPr>
            <w:r>
              <w:rPr>
                <w:rFonts w:ascii="Arial Narrow" w:eastAsia="Times New Roman" w:hAnsi="Arial Narrow" w:cs="Arial"/>
                <w:b/>
                <w:bCs/>
                <w:noProof/>
                <w:color w:val="000000"/>
                <w:sz w:val="20"/>
                <w:szCs w:val="20"/>
                <w:highlight w:val="black"/>
              </w:rPr>
              <w:t xml:space="preserve">'''''''''''''''''''''''' </w:t>
            </w:r>
          </w:p>
        </w:tc>
        <w:tc>
          <w:tcPr>
            <w:tcW w:w="614" w:type="pct"/>
            <w:shd w:val="clear" w:color="auto" w:fill="auto"/>
            <w:vAlign w:val="center"/>
          </w:tcPr>
          <w:p w:rsidR="00763625" w:rsidRPr="00CD21DA" w:rsidRDefault="00CD21DA" w:rsidP="00763625">
            <w:pPr>
              <w:spacing w:before="0"/>
              <w:rPr>
                <w:rFonts w:ascii="Arial Narrow" w:hAnsi="Arial Narrow" w:cs="Arial"/>
                <w:color w:val="000000"/>
                <w:sz w:val="20"/>
                <w:szCs w:val="20"/>
                <w:highlight w:val="black"/>
              </w:rPr>
            </w:pPr>
            <w:r>
              <w:rPr>
                <w:rFonts w:ascii="Arial Narrow" w:eastAsia="Times New Roman" w:hAnsi="Arial Narrow" w:cs="Arial"/>
                <w:b/>
                <w:bCs/>
                <w:noProof/>
                <w:color w:val="000000"/>
                <w:sz w:val="20"/>
                <w:szCs w:val="20"/>
                <w:highlight w:val="black"/>
              </w:rPr>
              <w:t xml:space="preserve">''''''''''''''''''''''' </w:t>
            </w:r>
          </w:p>
        </w:tc>
        <w:tc>
          <w:tcPr>
            <w:tcW w:w="612" w:type="pct"/>
            <w:shd w:val="clear" w:color="auto" w:fill="auto"/>
            <w:vAlign w:val="center"/>
          </w:tcPr>
          <w:p w:rsidR="00763625" w:rsidRPr="00CD21DA" w:rsidRDefault="00CD21DA" w:rsidP="00763625">
            <w:pPr>
              <w:spacing w:before="0"/>
              <w:rPr>
                <w:rFonts w:ascii="Arial Narrow" w:hAnsi="Arial Narrow" w:cs="Arial"/>
                <w:color w:val="000000"/>
                <w:sz w:val="20"/>
                <w:szCs w:val="20"/>
                <w:highlight w:val="black"/>
              </w:rPr>
            </w:pPr>
            <w:r>
              <w:rPr>
                <w:rFonts w:ascii="Arial Narrow" w:eastAsia="Times New Roman" w:hAnsi="Arial Narrow" w:cs="Arial"/>
                <w:b/>
                <w:bCs/>
                <w:noProof/>
                <w:color w:val="000000"/>
                <w:sz w:val="20"/>
                <w:szCs w:val="20"/>
                <w:highlight w:val="black"/>
              </w:rPr>
              <w:t xml:space="preserve">'''''''''''''''''''''' </w:t>
            </w:r>
          </w:p>
        </w:tc>
      </w:tr>
    </w:tbl>
    <w:p w:rsidR="008C474C" w:rsidRPr="00591EA6" w:rsidRDefault="008C474C" w:rsidP="008C474C">
      <w:pPr>
        <w:pStyle w:val="TableFooter"/>
        <w:tabs>
          <w:tab w:val="left" w:pos="142"/>
        </w:tabs>
        <w:ind w:left="142" w:hanging="142"/>
      </w:pPr>
      <w:r w:rsidRPr="00591EA6">
        <w:rPr>
          <w:szCs w:val="18"/>
          <w:vertAlign w:val="superscript"/>
        </w:rPr>
        <w:t>a</w:t>
      </w:r>
      <w:r w:rsidRPr="00591EA6">
        <w:rPr>
          <w:szCs w:val="18"/>
          <w:vertAlign w:val="superscript"/>
        </w:rPr>
        <w:tab/>
      </w:r>
      <w:r w:rsidR="00763625" w:rsidRPr="00591EA6">
        <w:rPr>
          <w:szCs w:val="18"/>
        </w:rPr>
        <w:t>Drug prices were updated during the evaluation to include dispensing fees and preparation fees as of 1 July 2017. Given these alterations, all estimated costs differ slightly from those presented in the submission.</w:t>
      </w:r>
    </w:p>
    <w:p w:rsidR="008C474C" w:rsidRPr="00591EA6" w:rsidRDefault="008C474C" w:rsidP="007223FF">
      <w:pPr>
        <w:pStyle w:val="TableFooter"/>
      </w:pPr>
      <w:r w:rsidRPr="00591EA6">
        <w:t>Source:</w:t>
      </w:r>
      <w:r w:rsidR="00A07559">
        <w:t xml:space="preserve"> </w:t>
      </w:r>
      <w:r w:rsidR="00793448" w:rsidRPr="00591EA6">
        <w:t>Tables 4.2.2 to 4.2.7, p143-46 of the submission</w:t>
      </w:r>
      <w:r w:rsidR="00763625" w:rsidRPr="00591EA6">
        <w:t xml:space="preserve"> and Excel workbook ‘Section 4 Workbook’.xlsx</w:t>
      </w:r>
      <w:r w:rsidRPr="00591EA6">
        <w:t>.</w:t>
      </w:r>
      <w:r w:rsidR="00A07559">
        <w:t xml:space="preserve"> </w:t>
      </w:r>
    </w:p>
    <w:p w:rsidR="00C429C4" w:rsidRPr="00265271" w:rsidRDefault="0007764C" w:rsidP="00C429C4">
      <w:pPr>
        <w:pStyle w:val="ListParagraph"/>
        <w:ind w:left="576"/>
        <w:jc w:val="both"/>
        <w:rPr>
          <w:szCs w:val="24"/>
        </w:rPr>
      </w:pPr>
      <w:r w:rsidRPr="00265271">
        <w:rPr>
          <w:rFonts w:eastAsia="Times New Roman" w:cs="Times New Roman"/>
          <w:szCs w:val="24"/>
          <w:lang w:eastAsia="en-AU"/>
        </w:rPr>
        <w:t>The redacted table shows that at year 5, the estimated number of patients was less than 10,000 per year</w:t>
      </w:r>
      <w:r w:rsidR="003574E7" w:rsidRPr="00265271">
        <w:rPr>
          <w:rFonts w:eastAsia="Times New Roman" w:cs="Times New Roman"/>
          <w:szCs w:val="24"/>
          <w:lang w:eastAsia="en-AU"/>
        </w:rPr>
        <w:t xml:space="preserve"> </w:t>
      </w:r>
      <w:r w:rsidR="003574E7" w:rsidRPr="00265271">
        <w:rPr>
          <w:rFonts w:cs="Arial"/>
          <w:szCs w:val="24"/>
        </w:rPr>
        <w:t>and the net cost to the PBS would be $10 - $20 million per year</w:t>
      </w:r>
      <w:r w:rsidRPr="00265271">
        <w:rPr>
          <w:rFonts w:eastAsia="Times New Roman" w:cs="Times New Roman"/>
          <w:szCs w:val="24"/>
          <w:lang w:eastAsia="en-AU"/>
        </w:rPr>
        <w:t>.</w:t>
      </w:r>
    </w:p>
    <w:p w:rsidR="000A0003" w:rsidRPr="00C34272" w:rsidRDefault="00C50E92" w:rsidP="00D32929">
      <w:pPr>
        <w:pStyle w:val="ListParagraph"/>
        <w:numPr>
          <w:ilvl w:val="1"/>
          <w:numId w:val="1"/>
        </w:numPr>
        <w:jc w:val="both"/>
      </w:pPr>
      <w:r w:rsidRPr="00C34272">
        <w:t>Estimated net costs</w:t>
      </w:r>
      <w:r w:rsidR="00230B9A" w:rsidRPr="00C34272">
        <w:t xml:space="preserve"> to the Government</w:t>
      </w:r>
      <w:r w:rsidRPr="00C34272">
        <w:t xml:space="preserve"> over the first 6 years of listing were </w:t>
      </w:r>
      <w:r w:rsidR="00F85059">
        <w:t>$60 - $100 million</w:t>
      </w:r>
      <w:r w:rsidRPr="00C34272">
        <w:t>.</w:t>
      </w:r>
      <w:r w:rsidR="00A07559">
        <w:t xml:space="preserve"> </w:t>
      </w:r>
      <w:r w:rsidR="00990D44">
        <w:t>The PBAC considered that</w:t>
      </w:r>
      <w:r w:rsidRPr="00C34272">
        <w:t xml:space="preserve"> it is not likely that the uptake rate </w:t>
      </w:r>
      <w:r w:rsidR="00CD21DA">
        <w:rPr>
          <w:noProof/>
          <w:color w:val="000000"/>
          <w:highlight w:val="black"/>
        </w:rPr>
        <w:t>'''''''' '''''''''''''' '''''' ''''''''''</w:t>
      </w:r>
      <w:r w:rsidRPr="00C34272">
        <w:t xml:space="preserve"> across the first 6 years of listing, and it is also possible that treatment response and dosage (based on GALLIUM) may not be reflected in clinical practice</w:t>
      </w:r>
      <w:r w:rsidR="000A0003" w:rsidRPr="00C34272">
        <w:t>.</w:t>
      </w:r>
      <w:r w:rsidR="00F97DA3" w:rsidRPr="00C34272">
        <w:t xml:space="preserve"> </w:t>
      </w:r>
      <w:r w:rsidR="00D32929" w:rsidRPr="00105DE2">
        <w:rPr>
          <w:rFonts w:cs="Arial"/>
          <w:bCs/>
          <w:snapToGrid w:val="0"/>
          <w:lang w:val="en-GB"/>
        </w:rPr>
        <w:t xml:space="preserve">The PBAC considered that the uptake rate proposed </w:t>
      </w:r>
      <w:r w:rsidR="00D32929">
        <w:rPr>
          <w:rFonts w:cs="Arial"/>
          <w:bCs/>
          <w:snapToGrid w:val="0"/>
          <w:lang w:val="en-GB"/>
        </w:rPr>
        <w:t>may be</w:t>
      </w:r>
      <w:r w:rsidR="00D32929" w:rsidRPr="00105DE2">
        <w:rPr>
          <w:rFonts w:cs="Arial"/>
          <w:bCs/>
          <w:snapToGrid w:val="0"/>
          <w:lang w:val="en-GB"/>
        </w:rPr>
        <w:t xml:space="preserve"> underestimated</w:t>
      </w:r>
      <w:r w:rsidR="00D32929">
        <w:rPr>
          <w:rFonts w:cs="Arial"/>
          <w:bCs/>
          <w:snapToGrid w:val="0"/>
          <w:lang w:val="en-GB"/>
        </w:rPr>
        <w:t>.</w:t>
      </w:r>
      <w:r w:rsidR="00A07559">
        <w:t xml:space="preserve"> </w:t>
      </w:r>
      <w:r w:rsidR="00D32929" w:rsidRPr="00D32929">
        <w:t>As such, the degree of certainty regarding the estimates is difficult to determine.</w:t>
      </w:r>
    </w:p>
    <w:p w:rsidR="00C317F3" w:rsidRPr="00591EA6" w:rsidRDefault="00C317F3" w:rsidP="00772501">
      <w:pPr>
        <w:pStyle w:val="Heading2"/>
        <w:rPr>
          <w:i w:val="0"/>
        </w:rPr>
      </w:pPr>
      <w:bookmarkStart w:id="30" w:name="_Toc413139286"/>
      <w:bookmarkStart w:id="31" w:name="_Toc365635919"/>
      <w:r w:rsidRPr="00591EA6">
        <w:rPr>
          <w:i w:val="0"/>
        </w:rPr>
        <w:t xml:space="preserve">Financial </w:t>
      </w:r>
      <w:r w:rsidR="00661286" w:rsidRPr="00591EA6">
        <w:rPr>
          <w:i w:val="0"/>
        </w:rPr>
        <w:t>m</w:t>
      </w:r>
      <w:r w:rsidRPr="00591EA6">
        <w:rPr>
          <w:i w:val="0"/>
        </w:rPr>
        <w:t xml:space="preserve">anagement – </w:t>
      </w:r>
      <w:r w:rsidR="00661286" w:rsidRPr="00591EA6">
        <w:rPr>
          <w:i w:val="0"/>
        </w:rPr>
        <w:t>r</w:t>
      </w:r>
      <w:r w:rsidRPr="00591EA6">
        <w:rPr>
          <w:i w:val="0"/>
        </w:rPr>
        <w:t xml:space="preserve">isk </w:t>
      </w:r>
      <w:r w:rsidR="00661286" w:rsidRPr="00591EA6">
        <w:rPr>
          <w:i w:val="0"/>
        </w:rPr>
        <w:t>s</w:t>
      </w:r>
      <w:r w:rsidRPr="00591EA6">
        <w:rPr>
          <w:i w:val="0"/>
        </w:rPr>
        <w:t xml:space="preserve">haring </w:t>
      </w:r>
      <w:r w:rsidR="00661286" w:rsidRPr="00591EA6">
        <w:rPr>
          <w:i w:val="0"/>
        </w:rPr>
        <w:t>a</w:t>
      </w:r>
      <w:r w:rsidRPr="00591EA6">
        <w:rPr>
          <w:i w:val="0"/>
        </w:rPr>
        <w:t>rrangements</w:t>
      </w:r>
      <w:bookmarkEnd w:id="30"/>
      <w:bookmarkEnd w:id="31"/>
    </w:p>
    <w:p w:rsidR="00C317F3" w:rsidRPr="00591EA6" w:rsidRDefault="000A0003" w:rsidP="00A375D6">
      <w:pPr>
        <w:pStyle w:val="ListParagraph"/>
        <w:numPr>
          <w:ilvl w:val="1"/>
          <w:numId w:val="1"/>
        </w:numPr>
        <w:ind w:left="709" w:hanging="709"/>
        <w:jc w:val="both"/>
      </w:pPr>
      <w:r w:rsidRPr="00591EA6">
        <w:t xml:space="preserve">The </w:t>
      </w:r>
      <w:r w:rsidRPr="00A375D6">
        <w:rPr>
          <w:rFonts w:cs="Arial"/>
          <w:bCs/>
          <w:snapToGrid w:val="0"/>
        </w:rPr>
        <w:t>submission</w:t>
      </w:r>
      <w:r w:rsidRPr="00591EA6">
        <w:t xml:space="preserve"> proposed a subsidisation cap</w:t>
      </w:r>
      <w:r w:rsidR="0027618C">
        <w:t>,</w:t>
      </w:r>
      <w:r w:rsidRPr="00591EA6">
        <w:t xml:space="preserve"> that it stated (p166) represents the proportion of expected utilisation for obinutuzumab within the total population with previously untreated follicular lymphoma who are eligible for obinutuzumab.</w:t>
      </w:r>
      <w:r w:rsidR="00A07559">
        <w:t xml:space="preserve"> </w:t>
      </w:r>
      <w:r w:rsidRPr="00591EA6">
        <w:t>The following table provides the proposed subsidisation caps for obinutuzumab.</w:t>
      </w:r>
      <w:r w:rsidR="00A07559">
        <w:t xml:space="preserve"> </w:t>
      </w:r>
      <w:r w:rsidRPr="00591EA6">
        <w:t xml:space="preserve">The caps were based on a </w:t>
      </w:r>
      <w:r w:rsidR="00CD21DA">
        <w:rPr>
          <w:noProof/>
          <w:color w:val="000000"/>
          <w:highlight w:val="black"/>
        </w:rPr>
        <w:t>'''''</w:t>
      </w:r>
      <w:r w:rsidRPr="00591EA6">
        <w:t>% uptake rate.</w:t>
      </w:r>
      <w:r w:rsidR="00A07559">
        <w:t xml:space="preserve"> </w:t>
      </w:r>
      <w:r w:rsidRPr="00591EA6">
        <w:t xml:space="preserve">The sponsor proposed that any expenditure above this subsidisation cap would trigger a rebate by the sponsor to Government, </w:t>
      </w:r>
      <w:r w:rsidR="00CD21DA">
        <w:rPr>
          <w:noProof/>
          <w:color w:val="000000"/>
          <w:highlight w:val="black"/>
        </w:rPr>
        <w:t>'''' ''''''' ''''''''' '''' '''''' '''''''''' '''' '''''' '''''''''''''''''''''''' ''''''''''''''''</w:t>
      </w:r>
      <w:r w:rsidRPr="00591EA6">
        <w:t>.</w:t>
      </w:r>
      <w:r w:rsidR="00A07559">
        <w:t xml:space="preserve"> </w:t>
      </w:r>
      <w:r w:rsidRPr="00591EA6">
        <w:t xml:space="preserve">The submission added that since obinutuzumab is the first </w:t>
      </w:r>
      <w:r w:rsidR="00F92ED1">
        <w:t xml:space="preserve">submission of a </w:t>
      </w:r>
      <w:r w:rsidRPr="00591EA6">
        <w:t>new molecule in class based on a cost-effectiveness analysis with rituximab</w:t>
      </w:r>
      <w:r w:rsidR="00F92ED1">
        <w:t xml:space="preserve"> in this population</w:t>
      </w:r>
      <w:r w:rsidRPr="00591EA6">
        <w:t xml:space="preserve">, it is reasonable that any additional new molecules for the previously untreated advanced follicular lymphoma would require a </w:t>
      </w:r>
      <w:r w:rsidR="00CD21DA">
        <w:rPr>
          <w:noProof/>
          <w:color w:val="000000"/>
          <w:highlight w:val="black"/>
        </w:rPr>
        <w:t>''''''''''''''' ''''''''''''''''''''''' '''''' ''''' ''' '''''''''''''''''''''''''''' '''' '''''' ''''''''''''''''''' '''''''''''''''''''''' ''''''''</w:t>
      </w:r>
      <w:r w:rsidRPr="00591EA6">
        <w:t xml:space="preserve"> prior to PBS listing.</w:t>
      </w:r>
      <w:r w:rsidR="00104666" w:rsidRPr="00104666">
        <w:t xml:space="preserve"> </w:t>
      </w:r>
      <w:r w:rsidR="00104666">
        <w:t>The PBAC considered the subsidisation cap proposed in the submission may not be reasonable</w:t>
      </w:r>
      <w:r w:rsidR="00DB6969">
        <w:t>,</w:t>
      </w:r>
      <w:r w:rsidR="00104666">
        <w:t xml:space="preserve"> given there were uncertainties with the uptake rates proposed. </w:t>
      </w:r>
    </w:p>
    <w:p w:rsidR="007F042B" w:rsidRPr="00443C11" w:rsidRDefault="007F042B" w:rsidP="00443C11">
      <w:pPr>
        <w:keepNext/>
        <w:spacing w:before="0" w:after="0"/>
        <w:jc w:val="both"/>
        <w:rPr>
          <w:rFonts w:ascii="Arial Narrow" w:hAnsi="Arial Narrow"/>
          <w:b/>
          <w:sz w:val="20"/>
          <w:szCs w:val="20"/>
        </w:rPr>
      </w:pPr>
      <w:r w:rsidRPr="00443C11">
        <w:rPr>
          <w:rFonts w:ascii="Arial Narrow" w:hAnsi="Arial Narrow"/>
          <w:b/>
          <w:sz w:val="20"/>
          <w:szCs w:val="20"/>
        </w:rPr>
        <w:t>Table 1</w:t>
      </w:r>
      <w:r w:rsidR="00454C02" w:rsidRPr="00443C11">
        <w:rPr>
          <w:rFonts w:ascii="Arial Narrow" w:hAnsi="Arial Narrow"/>
          <w:b/>
          <w:sz w:val="20"/>
          <w:szCs w:val="20"/>
        </w:rPr>
        <w:t>3</w:t>
      </w:r>
      <w:r w:rsidRPr="00443C11">
        <w:rPr>
          <w:rFonts w:ascii="Arial Narrow" w:hAnsi="Arial Narrow"/>
          <w:b/>
          <w:sz w:val="20"/>
          <w:szCs w:val="20"/>
        </w:rPr>
        <w:t>:</w:t>
      </w:r>
      <w:r w:rsidR="00A07559" w:rsidRPr="00443C11">
        <w:rPr>
          <w:rFonts w:ascii="Arial Narrow" w:hAnsi="Arial Narrow"/>
          <w:b/>
          <w:sz w:val="20"/>
          <w:szCs w:val="20"/>
        </w:rPr>
        <w:t xml:space="preserve"> </w:t>
      </w:r>
      <w:r w:rsidRPr="00443C11">
        <w:rPr>
          <w:rFonts w:ascii="Arial Narrow" w:hAnsi="Arial Narrow"/>
          <w:b/>
          <w:sz w:val="20"/>
          <w:szCs w:val="20"/>
        </w:rPr>
        <w:t>Proposed subsidisation caps for obinutuzumab</w:t>
      </w:r>
    </w:p>
    <w:tbl>
      <w:tblPr>
        <w:tblStyle w:val="TableGrid"/>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Proposed subsidisation caps for obinutuzumab"/>
      </w:tblPr>
      <w:tblGrid>
        <w:gridCol w:w="2546"/>
        <w:gridCol w:w="1031"/>
        <w:gridCol w:w="968"/>
        <w:gridCol w:w="1031"/>
        <w:gridCol w:w="1000"/>
        <w:gridCol w:w="1031"/>
        <w:gridCol w:w="919"/>
      </w:tblGrid>
      <w:tr w:rsidR="007F042B" w:rsidRPr="00591EA6" w:rsidTr="00D6033C">
        <w:trPr>
          <w:cnfStyle w:val="100000000000" w:firstRow="1" w:lastRow="0" w:firstColumn="0" w:lastColumn="0" w:oddVBand="0" w:evenVBand="0" w:oddHBand="0" w:evenHBand="0" w:firstRowFirstColumn="0" w:firstRowLastColumn="0" w:lastRowFirstColumn="0" w:lastRowLastColumn="0"/>
          <w:trHeight w:val="224"/>
          <w:tblHeader/>
        </w:trPr>
        <w:tc>
          <w:tcPr>
            <w:tcW w:w="1520" w:type="pct"/>
            <w:shd w:val="clear" w:color="auto" w:fill="auto"/>
          </w:tcPr>
          <w:p w:rsidR="007F042B" w:rsidRPr="00591EA6" w:rsidRDefault="007F042B" w:rsidP="007F042B">
            <w:pPr>
              <w:keepNext/>
              <w:spacing w:before="0"/>
              <w:rPr>
                <w:rFonts w:ascii="Arial Narrow" w:hAnsi="Arial Narrow"/>
                <w:sz w:val="20"/>
                <w:szCs w:val="20"/>
              </w:rPr>
            </w:pPr>
          </w:p>
        </w:tc>
        <w:tc>
          <w:tcPr>
            <w:tcW w:w="580" w:type="pct"/>
            <w:shd w:val="clear" w:color="auto" w:fill="auto"/>
          </w:tcPr>
          <w:p w:rsidR="007F042B" w:rsidRPr="00591EA6" w:rsidRDefault="007F042B" w:rsidP="007F042B">
            <w:pPr>
              <w:keepNext/>
              <w:spacing w:before="0"/>
              <w:jc w:val="center"/>
              <w:rPr>
                <w:rFonts w:ascii="Arial Narrow" w:hAnsi="Arial Narrow"/>
                <w:sz w:val="20"/>
                <w:szCs w:val="20"/>
              </w:rPr>
            </w:pPr>
            <w:r w:rsidRPr="00591EA6">
              <w:rPr>
                <w:rFonts w:ascii="Arial Narrow" w:hAnsi="Arial Narrow"/>
                <w:sz w:val="20"/>
                <w:szCs w:val="20"/>
              </w:rPr>
              <w:t>Year 1</w:t>
            </w:r>
          </w:p>
        </w:tc>
        <w:tc>
          <w:tcPr>
            <w:tcW w:w="580" w:type="pct"/>
            <w:shd w:val="clear" w:color="auto" w:fill="auto"/>
          </w:tcPr>
          <w:p w:rsidR="007F042B" w:rsidRPr="00591EA6" w:rsidRDefault="007F042B" w:rsidP="007F042B">
            <w:pPr>
              <w:keepNext/>
              <w:spacing w:before="0"/>
              <w:jc w:val="center"/>
              <w:rPr>
                <w:rFonts w:ascii="Arial Narrow" w:hAnsi="Arial Narrow"/>
                <w:sz w:val="20"/>
                <w:szCs w:val="20"/>
              </w:rPr>
            </w:pPr>
            <w:r w:rsidRPr="00591EA6">
              <w:rPr>
                <w:rFonts w:ascii="Arial Narrow" w:hAnsi="Arial Narrow"/>
                <w:sz w:val="20"/>
                <w:szCs w:val="20"/>
              </w:rPr>
              <w:t>Year 2</w:t>
            </w:r>
          </w:p>
        </w:tc>
        <w:tc>
          <w:tcPr>
            <w:tcW w:w="580" w:type="pct"/>
            <w:shd w:val="clear" w:color="auto" w:fill="auto"/>
          </w:tcPr>
          <w:p w:rsidR="007F042B" w:rsidRPr="00591EA6" w:rsidRDefault="007F042B" w:rsidP="007F042B">
            <w:pPr>
              <w:keepNext/>
              <w:spacing w:before="0"/>
              <w:jc w:val="center"/>
              <w:rPr>
                <w:rFonts w:ascii="Arial Narrow" w:hAnsi="Arial Narrow"/>
                <w:sz w:val="20"/>
                <w:szCs w:val="20"/>
              </w:rPr>
            </w:pPr>
            <w:r w:rsidRPr="00591EA6">
              <w:rPr>
                <w:rFonts w:ascii="Arial Narrow" w:hAnsi="Arial Narrow"/>
                <w:sz w:val="20"/>
                <w:szCs w:val="20"/>
              </w:rPr>
              <w:t>Year 3</w:t>
            </w:r>
          </w:p>
        </w:tc>
        <w:tc>
          <w:tcPr>
            <w:tcW w:w="580" w:type="pct"/>
            <w:shd w:val="clear" w:color="auto" w:fill="auto"/>
          </w:tcPr>
          <w:p w:rsidR="007F042B" w:rsidRPr="00591EA6" w:rsidRDefault="007F042B" w:rsidP="007F042B">
            <w:pPr>
              <w:keepNext/>
              <w:spacing w:before="0"/>
              <w:jc w:val="center"/>
              <w:rPr>
                <w:rFonts w:ascii="Arial Narrow" w:hAnsi="Arial Narrow"/>
                <w:sz w:val="20"/>
                <w:szCs w:val="20"/>
              </w:rPr>
            </w:pPr>
            <w:r w:rsidRPr="00591EA6">
              <w:rPr>
                <w:rFonts w:ascii="Arial Narrow" w:hAnsi="Arial Narrow"/>
                <w:sz w:val="20"/>
                <w:szCs w:val="20"/>
              </w:rPr>
              <w:t>Year 4</w:t>
            </w:r>
          </w:p>
        </w:tc>
        <w:tc>
          <w:tcPr>
            <w:tcW w:w="580" w:type="pct"/>
            <w:shd w:val="clear" w:color="auto" w:fill="auto"/>
          </w:tcPr>
          <w:p w:rsidR="007F042B" w:rsidRPr="00591EA6" w:rsidRDefault="007F042B" w:rsidP="007F042B">
            <w:pPr>
              <w:keepNext/>
              <w:spacing w:before="0"/>
              <w:jc w:val="center"/>
              <w:rPr>
                <w:rFonts w:ascii="Arial Narrow" w:hAnsi="Arial Narrow"/>
                <w:sz w:val="20"/>
                <w:szCs w:val="20"/>
              </w:rPr>
            </w:pPr>
            <w:r w:rsidRPr="00591EA6">
              <w:rPr>
                <w:rFonts w:ascii="Arial Narrow" w:hAnsi="Arial Narrow"/>
                <w:sz w:val="20"/>
                <w:szCs w:val="20"/>
              </w:rPr>
              <w:t>Year 5</w:t>
            </w:r>
          </w:p>
        </w:tc>
        <w:tc>
          <w:tcPr>
            <w:tcW w:w="580" w:type="pct"/>
            <w:shd w:val="clear" w:color="auto" w:fill="auto"/>
          </w:tcPr>
          <w:p w:rsidR="007F042B" w:rsidRPr="00591EA6" w:rsidRDefault="007F042B" w:rsidP="007F042B">
            <w:pPr>
              <w:keepNext/>
              <w:spacing w:before="0"/>
              <w:jc w:val="center"/>
              <w:rPr>
                <w:rFonts w:ascii="Arial Narrow" w:hAnsi="Arial Narrow"/>
                <w:sz w:val="20"/>
                <w:szCs w:val="20"/>
              </w:rPr>
            </w:pPr>
            <w:r w:rsidRPr="00591EA6">
              <w:rPr>
                <w:rFonts w:ascii="Arial Narrow" w:hAnsi="Arial Narrow"/>
                <w:sz w:val="20"/>
                <w:szCs w:val="20"/>
              </w:rPr>
              <w:t>Year 6</w:t>
            </w:r>
          </w:p>
        </w:tc>
      </w:tr>
      <w:tr w:rsidR="007F042B" w:rsidRPr="00591EA6" w:rsidTr="002A6BEF">
        <w:trPr>
          <w:trHeight w:val="449"/>
        </w:trPr>
        <w:tc>
          <w:tcPr>
            <w:tcW w:w="1520" w:type="pct"/>
            <w:shd w:val="clear" w:color="auto" w:fill="auto"/>
          </w:tcPr>
          <w:p w:rsidR="007F042B" w:rsidRPr="00591EA6" w:rsidRDefault="007F042B" w:rsidP="007F042B">
            <w:pPr>
              <w:spacing w:before="0"/>
              <w:rPr>
                <w:rFonts w:ascii="Arial Narrow" w:hAnsi="Arial Narrow"/>
                <w:sz w:val="20"/>
                <w:szCs w:val="20"/>
              </w:rPr>
            </w:pPr>
            <w:r w:rsidRPr="00591EA6">
              <w:rPr>
                <w:rFonts w:ascii="Arial Narrow" w:hAnsi="Arial Narrow"/>
                <w:sz w:val="20"/>
                <w:szCs w:val="20"/>
              </w:rPr>
              <w:t>Number receiving obinutuzumab (induction and maintenance)</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F042B" w:rsidRPr="00591EA6" w:rsidTr="002A6BEF">
        <w:trPr>
          <w:trHeight w:val="224"/>
        </w:trPr>
        <w:tc>
          <w:tcPr>
            <w:tcW w:w="1520" w:type="pct"/>
            <w:shd w:val="clear" w:color="auto" w:fill="auto"/>
          </w:tcPr>
          <w:p w:rsidR="007F042B" w:rsidRPr="00591EA6" w:rsidRDefault="007F042B" w:rsidP="007F042B">
            <w:pPr>
              <w:spacing w:before="0"/>
              <w:rPr>
                <w:rFonts w:ascii="Arial Narrow" w:hAnsi="Arial Narrow"/>
                <w:sz w:val="20"/>
                <w:szCs w:val="20"/>
              </w:rPr>
            </w:pPr>
            <w:r w:rsidRPr="00591EA6">
              <w:rPr>
                <w:rFonts w:ascii="Arial Narrow" w:hAnsi="Arial Narrow"/>
                <w:sz w:val="20"/>
                <w:szCs w:val="20"/>
              </w:rPr>
              <w:t>Subsidisation cap</w:t>
            </w:r>
            <w:r w:rsidRPr="00591EA6">
              <w:rPr>
                <w:rFonts w:ascii="Arial Narrow" w:hAnsi="Arial Narrow"/>
                <w:sz w:val="20"/>
                <w:szCs w:val="20"/>
                <w:vertAlign w:val="superscript"/>
              </w:rPr>
              <w:t>a</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eastAsia="Times New Roman" w:hAnsi="Arial Narrow" w:cs="Arial"/>
                <w:bCs/>
                <w:noProof/>
                <w:color w:val="000000"/>
                <w:sz w:val="20"/>
                <w:szCs w:val="20"/>
                <w:highlight w:val="black"/>
              </w:rPr>
              <w:t>'''''''''''''''''''''''''''''''</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eastAsia="Times New Roman" w:hAnsi="Arial Narrow" w:cs="Arial"/>
                <w:bCs/>
                <w:noProof/>
                <w:color w:val="000000"/>
                <w:sz w:val="20"/>
                <w:szCs w:val="20"/>
                <w:highlight w:val="black"/>
              </w:rPr>
              <w:t>'''''''''''''''''''''''''''''</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eastAsia="Times New Roman" w:hAnsi="Arial Narrow" w:cs="Arial"/>
                <w:bCs/>
                <w:noProof/>
                <w:color w:val="000000"/>
                <w:sz w:val="20"/>
                <w:szCs w:val="20"/>
                <w:highlight w:val="black"/>
              </w:rPr>
              <w:t>'''''''''''''''''''''''''''''''</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eastAsia="Times New Roman" w:hAnsi="Arial Narrow" w:cs="Arial"/>
                <w:bCs/>
                <w:noProof/>
                <w:color w:val="000000"/>
                <w:sz w:val="20"/>
                <w:szCs w:val="20"/>
                <w:highlight w:val="black"/>
              </w:rPr>
              <w:t>''''''''''''''''''''''''''''''</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eastAsia="Times New Roman" w:hAnsi="Arial Narrow" w:cs="Arial"/>
                <w:bCs/>
                <w:noProof/>
                <w:color w:val="000000"/>
                <w:sz w:val="20"/>
                <w:szCs w:val="20"/>
                <w:highlight w:val="black"/>
              </w:rPr>
              <w:t>'''''''''''''''''''''''''''''''</w:t>
            </w:r>
          </w:p>
        </w:tc>
        <w:tc>
          <w:tcPr>
            <w:tcW w:w="580" w:type="pct"/>
            <w:shd w:val="clear" w:color="auto" w:fill="auto"/>
            <w:vAlign w:val="center"/>
          </w:tcPr>
          <w:p w:rsidR="007F042B" w:rsidRPr="00CD21DA" w:rsidRDefault="00CD21DA" w:rsidP="007F042B">
            <w:pPr>
              <w:spacing w:before="0"/>
              <w:jc w:val="center"/>
              <w:rPr>
                <w:rFonts w:ascii="Arial Narrow" w:hAnsi="Arial Narrow"/>
                <w:sz w:val="20"/>
                <w:szCs w:val="20"/>
                <w:highlight w:val="black"/>
              </w:rPr>
            </w:pPr>
            <w:r>
              <w:rPr>
                <w:rFonts w:ascii="Arial Narrow" w:eastAsia="Times New Roman" w:hAnsi="Arial Narrow" w:cs="Arial"/>
                <w:bCs/>
                <w:noProof/>
                <w:color w:val="000000"/>
                <w:sz w:val="20"/>
                <w:szCs w:val="20"/>
                <w:highlight w:val="black"/>
              </w:rPr>
              <w:t>'''''''''''''''''''''''''''</w:t>
            </w:r>
          </w:p>
        </w:tc>
      </w:tr>
    </w:tbl>
    <w:p w:rsidR="007F042B" w:rsidRPr="00591EA6" w:rsidRDefault="007F042B" w:rsidP="007F042B">
      <w:pPr>
        <w:pStyle w:val="TableFooter"/>
        <w:tabs>
          <w:tab w:val="left" w:pos="142"/>
        </w:tabs>
        <w:ind w:left="142" w:hanging="142"/>
      </w:pPr>
      <w:r w:rsidRPr="00591EA6">
        <w:rPr>
          <w:sz w:val="20"/>
          <w:vertAlign w:val="superscript"/>
        </w:rPr>
        <w:t>a</w:t>
      </w:r>
      <w:r w:rsidRPr="00591EA6">
        <w:rPr>
          <w:sz w:val="20"/>
          <w:vertAlign w:val="superscript"/>
        </w:rPr>
        <w:tab/>
      </w:r>
      <w:r w:rsidRPr="00591EA6">
        <w:t>The estimated subsidisation caps were updated during the evaluation to include dispensing fees and preparation fees as of 1 July 2017. Given these alterations, all estimated costs differ slightly from those presented in the submission.</w:t>
      </w:r>
    </w:p>
    <w:p w:rsidR="007F042B" w:rsidRDefault="007F042B" w:rsidP="007F042B">
      <w:pPr>
        <w:pStyle w:val="TableFooter"/>
        <w:tabs>
          <w:tab w:val="left" w:pos="142"/>
        </w:tabs>
        <w:ind w:left="142" w:hanging="142"/>
      </w:pPr>
      <w:r w:rsidRPr="00591EA6">
        <w:t>Source:</w:t>
      </w:r>
      <w:r w:rsidR="00A07559">
        <w:t xml:space="preserve"> </w:t>
      </w:r>
      <w:r w:rsidRPr="00591EA6">
        <w:t>Table 4.6.5, p166 of the submission</w:t>
      </w:r>
    </w:p>
    <w:p w:rsidR="00CE37E4" w:rsidRDefault="00CE37E4" w:rsidP="007F042B">
      <w:pPr>
        <w:pStyle w:val="TableFooter"/>
        <w:tabs>
          <w:tab w:val="left" w:pos="142"/>
        </w:tabs>
        <w:ind w:left="142" w:hanging="142"/>
      </w:pPr>
    </w:p>
    <w:p w:rsidR="003C568F" w:rsidRPr="00C34272" w:rsidRDefault="00253BC7" w:rsidP="00A375D6">
      <w:pPr>
        <w:pStyle w:val="ListParagraph"/>
        <w:numPr>
          <w:ilvl w:val="1"/>
          <w:numId w:val="1"/>
        </w:numPr>
        <w:ind w:left="709" w:hanging="709"/>
        <w:jc w:val="both"/>
      </w:pPr>
      <w:r w:rsidRPr="00C34272">
        <w:rPr>
          <w:iCs/>
          <w:lang w:val="en-GB"/>
        </w:rPr>
        <w:t>Rituximab has a weighted price across several indications. The submission used an AEMP per mg of $3.73 based on the published price. The actual AEMP per mg of rituximab for previously untreated follicular lymphoma is $</w:t>
      </w:r>
      <w:r w:rsidR="00CD21DA">
        <w:rPr>
          <w:iCs/>
          <w:noProof/>
          <w:color w:val="000000"/>
          <w:highlight w:val="black"/>
          <w:lang w:val="en-GB"/>
        </w:rPr>
        <w:t>'''''''''</w:t>
      </w:r>
      <w:r w:rsidRPr="00C34272">
        <w:rPr>
          <w:iCs/>
          <w:lang w:val="en-GB"/>
        </w:rPr>
        <w:t xml:space="preserve"> for induction and $</w:t>
      </w:r>
      <w:r w:rsidR="00CD21DA">
        <w:rPr>
          <w:iCs/>
          <w:noProof/>
          <w:color w:val="000000"/>
          <w:highlight w:val="black"/>
          <w:lang w:val="en-GB"/>
        </w:rPr>
        <w:t xml:space="preserve">''''''''' </w:t>
      </w:r>
      <w:r w:rsidRPr="00C34272">
        <w:rPr>
          <w:iCs/>
          <w:lang w:val="en-GB"/>
        </w:rPr>
        <w:t>for maintenance (</w:t>
      </w:r>
      <w:r w:rsidR="00B93E69">
        <w:rPr>
          <w:iCs/>
          <w:lang w:val="en-GB"/>
        </w:rPr>
        <w:t>PSD</w:t>
      </w:r>
      <w:r w:rsidRPr="00C34272">
        <w:rPr>
          <w:iCs/>
          <w:lang w:val="en-GB"/>
        </w:rPr>
        <w:t>, July 2017, Item 4.04 rituximab).</w:t>
      </w:r>
      <w:r w:rsidR="00A07559">
        <w:rPr>
          <w:iCs/>
          <w:lang w:val="en-GB"/>
        </w:rPr>
        <w:t xml:space="preserve"> </w:t>
      </w:r>
    </w:p>
    <w:p w:rsidR="00063C3A" w:rsidRPr="00C34272" w:rsidRDefault="00063C3A" w:rsidP="00A375D6">
      <w:pPr>
        <w:pStyle w:val="ListParagraph"/>
        <w:ind w:left="709"/>
        <w:jc w:val="both"/>
        <w:rPr>
          <w:rFonts w:cs="Arial"/>
          <w:bCs/>
          <w:szCs w:val="24"/>
        </w:rPr>
      </w:pPr>
      <w:r w:rsidRPr="00A375D6">
        <w:rPr>
          <w:rFonts w:cs="Arial"/>
          <w:bCs/>
          <w:snapToGrid w:val="0"/>
        </w:rPr>
        <w:t>For</w:t>
      </w:r>
      <w:r w:rsidRPr="0051126C">
        <w:rPr>
          <w:i/>
        </w:rPr>
        <w:t xml:space="preserve"> more detail on PBAC’s view, see section 7 PBAC outcome.</w:t>
      </w:r>
    </w:p>
    <w:p w:rsidR="006F4EF4" w:rsidRPr="00361CF9" w:rsidRDefault="006F4EF4" w:rsidP="006F4EF4">
      <w:pPr>
        <w:pStyle w:val="Heading1"/>
        <w:ind w:left="709" w:hanging="709"/>
        <w:rPr>
          <w:rFonts w:cs="Arial"/>
          <w:b w:val="0"/>
          <w:bCs/>
          <w:snapToGrid w:val="0"/>
        </w:rPr>
      </w:pPr>
      <w:r w:rsidRPr="00361CF9">
        <w:t>PBAC</w:t>
      </w:r>
      <w:r w:rsidRPr="00361CF9">
        <w:rPr>
          <w:rFonts w:cs="Arial"/>
          <w:bCs/>
          <w:snapToGrid w:val="0"/>
        </w:rPr>
        <w:t xml:space="preserve"> </w:t>
      </w:r>
      <w:r w:rsidRPr="00A375D6">
        <w:t>Outcome</w:t>
      </w:r>
    </w:p>
    <w:p w:rsidR="00361CF9" w:rsidRPr="00110AF0" w:rsidRDefault="00361CF9" w:rsidP="00A375D6">
      <w:pPr>
        <w:pStyle w:val="ListParagraph"/>
        <w:numPr>
          <w:ilvl w:val="1"/>
          <w:numId w:val="1"/>
        </w:numPr>
        <w:ind w:left="709" w:hanging="709"/>
        <w:jc w:val="both"/>
      </w:pPr>
      <w:r w:rsidRPr="007D1B58">
        <w:rPr>
          <w:rFonts w:cs="Arial"/>
          <w:bCs/>
          <w:snapToGrid w:val="0"/>
          <w:lang w:val="en-GB"/>
        </w:rPr>
        <w:t>The PBAC did not recommend the listing of obinutuzumab on the PBS for treatment of previously untreated advanced follicular lymphoma (stage II bulky or stage III/IV)</w:t>
      </w:r>
      <w:r w:rsidR="00DB6969">
        <w:rPr>
          <w:rFonts w:cs="Arial"/>
          <w:bCs/>
          <w:snapToGrid w:val="0"/>
          <w:lang w:val="en-GB"/>
        </w:rPr>
        <w:t>,</w:t>
      </w:r>
      <w:r w:rsidRPr="007D1B58">
        <w:rPr>
          <w:rFonts w:cs="Arial"/>
          <w:bCs/>
          <w:snapToGrid w:val="0"/>
          <w:lang w:val="en-GB"/>
        </w:rPr>
        <w:t xml:space="preserve"> as the clinical need </w:t>
      </w:r>
      <w:r w:rsidR="00DB6969">
        <w:rPr>
          <w:rFonts w:cs="Arial"/>
          <w:bCs/>
          <w:snapToGrid w:val="0"/>
          <w:lang w:val="en-GB"/>
        </w:rPr>
        <w:t xml:space="preserve">for the majority of patients </w:t>
      </w:r>
      <w:r w:rsidRPr="007D1B58">
        <w:rPr>
          <w:rFonts w:cs="Arial"/>
          <w:bCs/>
          <w:snapToGrid w:val="0"/>
          <w:lang w:val="en-GB"/>
        </w:rPr>
        <w:t xml:space="preserve">was </w:t>
      </w:r>
      <w:r w:rsidR="00DB6969">
        <w:rPr>
          <w:rFonts w:cs="Arial"/>
          <w:bCs/>
          <w:snapToGrid w:val="0"/>
          <w:lang w:val="en-GB"/>
        </w:rPr>
        <w:t>already met,</w:t>
      </w:r>
      <w:r w:rsidR="000475D3">
        <w:rPr>
          <w:rFonts w:cs="Arial"/>
          <w:bCs/>
          <w:snapToGrid w:val="0"/>
          <w:lang w:val="en-GB"/>
        </w:rPr>
        <w:t xml:space="preserve"> and</w:t>
      </w:r>
      <w:r w:rsidR="00751687">
        <w:rPr>
          <w:rFonts w:cs="Arial"/>
          <w:bCs/>
          <w:snapToGrid w:val="0"/>
          <w:lang w:val="en-GB"/>
        </w:rPr>
        <w:t xml:space="preserve"> </w:t>
      </w:r>
      <w:r w:rsidR="0060548A">
        <w:rPr>
          <w:rFonts w:cs="Arial"/>
          <w:bCs/>
          <w:snapToGrid w:val="0"/>
          <w:lang w:val="en-GB"/>
        </w:rPr>
        <w:t>the</w:t>
      </w:r>
      <w:r w:rsidR="00DD13F7">
        <w:rPr>
          <w:rFonts w:cs="Arial"/>
          <w:bCs/>
          <w:snapToGrid w:val="0"/>
          <w:lang w:val="en-GB"/>
        </w:rPr>
        <w:t xml:space="preserve"> </w:t>
      </w:r>
      <w:r w:rsidR="00F50879" w:rsidRPr="007D1B58">
        <w:rPr>
          <w:rFonts w:cs="Arial"/>
          <w:bCs/>
          <w:snapToGrid w:val="0"/>
          <w:lang w:val="en-GB"/>
        </w:rPr>
        <w:t>clinical benefits</w:t>
      </w:r>
      <w:r w:rsidR="00920E33">
        <w:rPr>
          <w:rFonts w:cs="Arial"/>
          <w:bCs/>
          <w:snapToGrid w:val="0"/>
          <w:lang w:val="en-GB"/>
        </w:rPr>
        <w:t xml:space="preserve"> of therapy over </w:t>
      </w:r>
      <w:r w:rsidR="009F1B48">
        <w:rPr>
          <w:rFonts w:cs="Arial"/>
          <w:bCs/>
          <w:snapToGrid w:val="0"/>
          <w:lang w:val="en-GB"/>
        </w:rPr>
        <w:t xml:space="preserve">rituximab </w:t>
      </w:r>
      <w:r w:rsidR="00751687">
        <w:rPr>
          <w:rFonts w:cs="Arial"/>
          <w:bCs/>
          <w:snapToGrid w:val="0"/>
          <w:lang w:val="en-GB"/>
        </w:rPr>
        <w:t>were uncertain</w:t>
      </w:r>
      <w:r w:rsidR="00481EEE">
        <w:rPr>
          <w:rFonts w:cs="Arial"/>
          <w:bCs/>
          <w:snapToGrid w:val="0"/>
          <w:lang w:val="en-GB"/>
        </w:rPr>
        <w:t>,</w:t>
      </w:r>
      <w:r w:rsidR="00751687">
        <w:rPr>
          <w:rFonts w:cs="Arial"/>
          <w:bCs/>
          <w:snapToGrid w:val="0"/>
          <w:lang w:val="en-GB"/>
        </w:rPr>
        <w:t xml:space="preserve"> </w:t>
      </w:r>
      <w:r w:rsidR="009F1B48">
        <w:rPr>
          <w:rFonts w:cs="Arial"/>
          <w:bCs/>
          <w:snapToGrid w:val="0"/>
          <w:lang w:val="en-GB"/>
        </w:rPr>
        <w:t xml:space="preserve">with </w:t>
      </w:r>
      <w:r w:rsidR="004325DE">
        <w:rPr>
          <w:rFonts w:cs="Arial"/>
          <w:bCs/>
          <w:snapToGrid w:val="0"/>
          <w:lang w:val="en-GB"/>
        </w:rPr>
        <w:t xml:space="preserve">no demonstrated improvement in quality of life or </w:t>
      </w:r>
      <w:r w:rsidR="00296669">
        <w:rPr>
          <w:rFonts w:cs="Arial"/>
          <w:bCs/>
          <w:snapToGrid w:val="0"/>
          <w:lang w:val="en-GB"/>
        </w:rPr>
        <w:t>OS</w:t>
      </w:r>
      <w:r w:rsidR="004325DE">
        <w:rPr>
          <w:rFonts w:cs="Arial"/>
          <w:bCs/>
          <w:snapToGrid w:val="0"/>
          <w:lang w:val="en-GB"/>
        </w:rPr>
        <w:t xml:space="preserve"> and </w:t>
      </w:r>
      <w:r w:rsidR="009F1B48">
        <w:rPr>
          <w:rFonts w:cs="Arial"/>
          <w:bCs/>
          <w:snapToGrid w:val="0"/>
          <w:lang w:val="en-GB"/>
        </w:rPr>
        <w:t xml:space="preserve">an inferior comparative safety profile. </w:t>
      </w:r>
      <w:r w:rsidR="000475D3">
        <w:rPr>
          <w:rFonts w:cs="Arial"/>
          <w:bCs/>
          <w:snapToGrid w:val="0"/>
          <w:lang w:val="en-GB"/>
        </w:rPr>
        <w:t>Further, t</w:t>
      </w:r>
      <w:r w:rsidR="00223FF8">
        <w:rPr>
          <w:rFonts w:cs="Arial"/>
          <w:bCs/>
          <w:snapToGrid w:val="0"/>
          <w:lang w:val="en-GB"/>
        </w:rPr>
        <w:t xml:space="preserve">he PBAC </w:t>
      </w:r>
      <w:r w:rsidR="001D76D7">
        <w:rPr>
          <w:rFonts w:cs="Arial"/>
          <w:bCs/>
          <w:snapToGrid w:val="0"/>
          <w:lang w:val="en-GB"/>
        </w:rPr>
        <w:t xml:space="preserve">considered the </w:t>
      </w:r>
      <w:r w:rsidRPr="007D1B58">
        <w:rPr>
          <w:rFonts w:cs="Arial"/>
          <w:bCs/>
          <w:snapToGrid w:val="0"/>
          <w:lang w:val="en-GB"/>
        </w:rPr>
        <w:t xml:space="preserve">cost-effectiveness against rituximab </w:t>
      </w:r>
      <w:r w:rsidR="001D76D7">
        <w:rPr>
          <w:rFonts w:cs="Arial"/>
          <w:bCs/>
          <w:snapToGrid w:val="0"/>
          <w:lang w:val="en-GB"/>
        </w:rPr>
        <w:t>to be highly uncertai</w:t>
      </w:r>
      <w:r w:rsidR="00730C4F">
        <w:rPr>
          <w:rFonts w:cs="Arial"/>
          <w:bCs/>
          <w:snapToGrid w:val="0"/>
          <w:lang w:val="en-GB"/>
        </w:rPr>
        <w:t>n</w:t>
      </w:r>
      <w:r w:rsidR="00481EEE">
        <w:rPr>
          <w:rFonts w:cs="Arial"/>
          <w:bCs/>
          <w:snapToGrid w:val="0"/>
          <w:lang w:val="en-GB"/>
        </w:rPr>
        <w:t>,</w:t>
      </w:r>
      <w:r w:rsidR="00753051">
        <w:rPr>
          <w:rFonts w:cs="Arial"/>
          <w:bCs/>
          <w:snapToGrid w:val="0"/>
          <w:lang w:val="en-GB"/>
        </w:rPr>
        <w:t xml:space="preserve"> as the economic model </w:t>
      </w:r>
      <w:r w:rsidR="00481EEE">
        <w:rPr>
          <w:rFonts w:cs="Arial"/>
          <w:bCs/>
          <w:snapToGrid w:val="0"/>
          <w:lang w:val="en-GB"/>
        </w:rPr>
        <w:t xml:space="preserve">assumed </w:t>
      </w:r>
      <w:r w:rsidR="00265F8A">
        <w:rPr>
          <w:rFonts w:cs="Arial"/>
          <w:bCs/>
          <w:snapToGrid w:val="0"/>
          <w:lang w:val="en-GB"/>
        </w:rPr>
        <w:t>an advantage in survival based on delayed disease progression that is unable to be fully tested due to immature OS data</w:t>
      </w:r>
      <w:r w:rsidR="00730C4F">
        <w:rPr>
          <w:rFonts w:cs="Arial"/>
          <w:bCs/>
          <w:snapToGrid w:val="0"/>
          <w:lang w:val="en-GB"/>
        </w:rPr>
        <w:t>.</w:t>
      </w:r>
    </w:p>
    <w:p w:rsidR="00550BB4" w:rsidRPr="007D1B58" w:rsidRDefault="00550BB4" w:rsidP="00A375D6">
      <w:pPr>
        <w:pStyle w:val="ListParagraph"/>
        <w:numPr>
          <w:ilvl w:val="1"/>
          <w:numId w:val="1"/>
        </w:numPr>
        <w:ind w:left="709" w:hanging="709"/>
        <w:jc w:val="both"/>
      </w:pPr>
      <w:r>
        <w:rPr>
          <w:szCs w:val="24"/>
        </w:rPr>
        <w:t xml:space="preserve">The PBAC </w:t>
      </w:r>
      <w:r w:rsidRPr="00A375D6">
        <w:rPr>
          <w:rFonts w:cs="Arial"/>
          <w:bCs/>
          <w:snapToGrid w:val="0"/>
          <w:lang w:val="en-GB"/>
        </w:rPr>
        <w:t>noted</w:t>
      </w:r>
      <w:r>
        <w:rPr>
          <w:szCs w:val="24"/>
        </w:rPr>
        <w:t xml:space="preserve"> that </w:t>
      </w:r>
      <w:r w:rsidRPr="00730A34">
        <w:rPr>
          <w:szCs w:val="24"/>
        </w:rPr>
        <w:t xml:space="preserve">57% of patients in the </w:t>
      </w:r>
      <w:r>
        <w:rPr>
          <w:szCs w:val="24"/>
        </w:rPr>
        <w:t xml:space="preserve">GALLIUM </w:t>
      </w:r>
      <w:r w:rsidRPr="00730A34">
        <w:rPr>
          <w:szCs w:val="24"/>
        </w:rPr>
        <w:t>trial received bendamustine</w:t>
      </w:r>
      <w:r w:rsidR="00481EEE">
        <w:rPr>
          <w:szCs w:val="24"/>
        </w:rPr>
        <w:t>,</w:t>
      </w:r>
      <w:r>
        <w:rPr>
          <w:szCs w:val="24"/>
        </w:rPr>
        <w:t xml:space="preserve"> and that </w:t>
      </w:r>
      <w:r w:rsidR="00991643">
        <w:rPr>
          <w:szCs w:val="24"/>
        </w:rPr>
        <w:t xml:space="preserve">treatment with </w:t>
      </w:r>
      <w:r w:rsidR="00991643" w:rsidRPr="00C34046">
        <w:rPr>
          <w:rFonts w:cs="Arial"/>
          <w:bCs/>
          <w:snapToGrid w:val="0"/>
          <w:lang w:val="en-GB"/>
        </w:rPr>
        <w:t>obinutuzumab</w:t>
      </w:r>
      <w:r w:rsidR="00991643">
        <w:rPr>
          <w:szCs w:val="24"/>
        </w:rPr>
        <w:t>+</w:t>
      </w:r>
      <w:r w:rsidR="00991643" w:rsidRPr="00730A34">
        <w:rPr>
          <w:szCs w:val="24"/>
        </w:rPr>
        <w:t>bendamustine</w:t>
      </w:r>
      <w:r w:rsidR="00991643" w:rsidRPr="004A2C46" w:rsidDel="00991643">
        <w:rPr>
          <w:szCs w:val="24"/>
        </w:rPr>
        <w:t xml:space="preserve"> </w:t>
      </w:r>
      <w:r w:rsidRPr="004A2C46">
        <w:rPr>
          <w:szCs w:val="24"/>
        </w:rPr>
        <w:t>was associated with higher rates of grade 3 to 5 infection and second neoplasm during the maintenance and follow-up phases</w:t>
      </w:r>
      <w:r>
        <w:rPr>
          <w:szCs w:val="24"/>
        </w:rPr>
        <w:t xml:space="preserve">. The PBAC </w:t>
      </w:r>
      <w:r w:rsidR="00650F07">
        <w:rPr>
          <w:szCs w:val="24"/>
        </w:rPr>
        <w:t>notes</w:t>
      </w:r>
      <w:r w:rsidR="00481EEE">
        <w:rPr>
          <w:szCs w:val="24"/>
        </w:rPr>
        <w:t xml:space="preserve"> uncertainty regarding the clinical place of </w:t>
      </w:r>
      <w:r w:rsidR="00650F07">
        <w:rPr>
          <w:szCs w:val="24"/>
        </w:rPr>
        <w:t xml:space="preserve">obinutuzumab-bendamustine combination </w:t>
      </w:r>
      <w:r w:rsidR="00481EEE">
        <w:rPr>
          <w:szCs w:val="24"/>
        </w:rPr>
        <w:t xml:space="preserve">followed by </w:t>
      </w:r>
      <w:r w:rsidR="00650F07">
        <w:rPr>
          <w:szCs w:val="24"/>
        </w:rPr>
        <w:t xml:space="preserve">obinutuzumab maintenance in this population.  </w:t>
      </w:r>
    </w:p>
    <w:p w:rsidR="00C07ECB" w:rsidRPr="00C07ECB" w:rsidRDefault="00BA30CA" w:rsidP="00A375D6">
      <w:pPr>
        <w:pStyle w:val="ListParagraph"/>
        <w:numPr>
          <w:ilvl w:val="1"/>
          <w:numId w:val="1"/>
        </w:numPr>
        <w:ind w:left="709" w:hanging="709"/>
        <w:jc w:val="both"/>
        <w:rPr>
          <w:rFonts w:cs="Arial"/>
          <w:bCs/>
          <w:snapToGrid w:val="0"/>
          <w:lang w:val="en-GB"/>
        </w:rPr>
      </w:pPr>
      <w:r>
        <w:rPr>
          <w:rFonts w:cs="Arial"/>
          <w:bCs/>
          <w:snapToGrid w:val="0"/>
          <w:lang w:val="en-GB"/>
        </w:rPr>
        <w:t>T</w:t>
      </w:r>
      <w:r w:rsidR="00E421E6" w:rsidRPr="00C34046">
        <w:rPr>
          <w:rFonts w:cs="Arial"/>
          <w:bCs/>
          <w:snapToGrid w:val="0"/>
          <w:lang w:val="en-GB"/>
        </w:rPr>
        <w:t>he PBA</w:t>
      </w:r>
      <w:r>
        <w:rPr>
          <w:rFonts w:cs="Arial"/>
          <w:bCs/>
          <w:snapToGrid w:val="0"/>
          <w:lang w:val="en-GB"/>
        </w:rPr>
        <w:t>C considered</w:t>
      </w:r>
      <w:r w:rsidR="00E421E6" w:rsidRPr="00C34046">
        <w:rPr>
          <w:rFonts w:cs="Arial"/>
          <w:bCs/>
          <w:snapToGrid w:val="0"/>
          <w:lang w:val="en-GB"/>
        </w:rPr>
        <w:t xml:space="preserve"> </w:t>
      </w:r>
      <w:r>
        <w:rPr>
          <w:rFonts w:cs="Arial"/>
          <w:bCs/>
          <w:snapToGrid w:val="0"/>
          <w:lang w:val="en-GB"/>
        </w:rPr>
        <w:t>that, g</w:t>
      </w:r>
      <w:r w:rsidRPr="00C34046">
        <w:rPr>
          <w:rFonts w:cs="Arial"/>
          <w:bCs/>
          <w:snapToGrid w:val="0"/>
          <w:lang w:val="en-GB"/>
        </w:rPr>
        <w:t xml:space="preserve">iven the </w:t>
      </w:r>
      <w:r>
        <w:rPr>
          <w:rFonts w:cs="Arial"/>
          <w:bCs/>
          <w:snapToGrid w:val="0"/>
          <w:lang w:val="en-GB"/>
        </w:rPr>
        <w:t xml:space="preserve">prognosis of the disease and its high response to </w:t>
      </w:r>
      <w:r w:rsidRPr="00C34046">
        <w:rPr>
          <w:rFonts w:cs="Arial"/>
          <w:bCs/>
          <w:snapToGrid w:val="0"/>
          <w:lang w:val="en-GB"/>
        </w:rPr>
        <w:t>rituximab</w:t>
      </w:r>
      <w:r>
        <w:rPr>
          <w:rFonts w:cs="Arial"/>
          <w:bCs/>
          <w:snapToGrid w:val="0"/>
          <w:lang w:val="en-GB"/>
        </w:rPr>
        <w:t>,</w:t>
      </w:r>
      <w:r w:rsidRPr="00C34046">
        <w:rPr>
          <w:rFonts w:cs="Arial"/>
          <w:bCs/>
          <w:snapToGrid w:val="0"/>
          <w:lang w:val="en-GB"/>
        </w:rPr>
        <w:t xml:space="preserve"> </w:t>
      </w:r>
      <w:r w:rsidR="00E421E6">
        <w:rPr>
          <w:rFonts w:cs="Arial"/>
          <w:bCs/>
          <w:snapToGrid w:val="0"/>
          <w:lang w:val="en-GB"/>
        </w:rPr>
        <w:t xml:space="preserve">the clinical need for </w:t>
      </w:r>
      <w:r w:rsidR="00E421E6" w:rsidRPr="00C34046">
        <w:rPr>
          <w:rFonts w:cs="Arial"/>
          <w:bCs/>
          <w:snapToGrid w:val="0"/>
          <w:lang w:val="en-GB"/>
        </w:rPr>
        <w:t xml:space="preserve">obinutuzumab in </w:t>
      </w:r>
      <w:r>
        <w:rPr>
          <w:rFonts w:cs="Arial"/>
          <w:bCs/>
          <w:snapToGrid w:val="0"/>
          <w:lang w:val="en-GB"/>
        </w:rPr>
        <w:t>the first</w:t>
      </w:r>
      <w:r w:rsidR="00477419">
        <w:rPr>
          <w:rFonts w:cs="Arial"/>
          <w:bCs/>
          <w:snapToGrid w:val="0"/>
          <w:lang w:val="en-GB"/>
        </w:rPr>
        <w:t>-</w:t>
      </w:r>
      <w:r>
        <w:rPr>
          <w:rFonts w:cs="Arial"/>
          <w:bCs/>
          <w:snapToGrid w:val="0"/>
          <w:lang w:val="en-GB"/>
        </w:rPr>
        <w:t xml:space="preserve">line </w:t>
      </w:r>
      <w:r w:rsidR="00E421E6" w:rsidRPr="00C34046">
        <w:rPr>
          <w:rFonts w:cs="Arial"/>
          <w:bCs/>
          <w:snapToGrid w:val="0"/>
          <w:lang w:val="en-GB"/>
        </w:rPr>
        <w:t>setting may be limited to those patients able to tolerate its increased toxicity</w:t>
      </w:r>
      <w:r w:rsidR="00DB7B0A">
        <w:rPr>
          <w:rFonts w:cs="Arial"/>
          <w:bCs/>
          <w:snapToGrid w:val="0"/>
          <w:lang w:val="en-GB"/>
        </w:rPr>
        <w:t>,</w:t>
      </w:r>
      <w:r w:rsidR="00650F07">
        <w:rPr>
          <w:rFonts w:cs="Arial"/>
          <w:bCs/>
          <w:snapToGrid w:val="0"/>
          <w:lang w:val="en-GB"/>
        </w:rPr>
        <w:t xml:space="preserve"> and who do not optimally respond to rituximab-based regimes </w:t>
      </w:r>
      <w:r w:rsidR="00A40862">
        <w:rPr>
          <w:rFonts w:cs="Arial"/>
          <w:bCs/>
          <w:snapToGrid w:val="0"/>
          <w:lang w:val="en-GB"/>
        </w:rPr>
        <w:t>(</w:t>
      </w:r>
      <w:r w:rsidR="00650F07">
        <w:rPr>
          <w:rFonts w:cs="Arial"/>
          <w:bCs/>
          <w:snapToGrid w:val="0"/>
          <w:lang w:val="en-GB"/>
        </w:rPr>
        <w:t>eg</w:t>
      </w:r>
      <w:r w:rsidR="00A40862">
        <w:rPr>
          <w:rFonts w:cs="Arial"/>
          <w:bCs/>
          <w:snapToGrid w:val="0"/>
          <w:lang w:val="en-GB"/>
        </w:rPr>
        <w:t>.</w:t>
      </w:r>
      <w:r w:rsidR="00650F07">
        <w:rPr>
          <w:rFonts w:cs="Arial"/>
          <w:bCs/>
          <w:snapToGrid w:val="0"/>
          <w:lang w:val="en-GB"/>
        </w:rPr>
        <w:t xml:space="preserve"> with a </w:t>
      </w:r>
      <w:r w:rsidR="00A45CA5">
        <w:rPr>
          <w:rFonts w:cs="Arial"/>
          <w:bCs/>
          <w:snapToGrid w:val="0"/>
          <w:lang w:val="en-GB"/>
        </w:rPr>
        <w:t>short</w:t>
      </w:r>
      <w:r w:rsidR="00650F07">
        <w:rPr>
          <w:rFonts w:cs="Arial"/>
          <w:bCs/>
          <w:snapToGrid w:val="0"/>
          <w:lang w:val="en-GB"/>
        </w:rPr>
        <w:t xml:space="preserve"> time to</w:t>
      </w:r>
      <w:r w:rsidR="00DB7B0A">
        <w:rPr>
          <w:rFonts w:cs="Arial"/>
          <w:bCs/>
          <w:snapToGrid w:val="0"/>
          <w:lang w:val="en-GB"/>
        </w:rPr>
        <w:t xml:space="preserve"> progression</w:t>
      </w:r>
      <w:r w:rsidR="00A40862">
        <w:rPr>
          <w:rFonts w:cs="Arial"/>
          <w:bCs/>
          <w:snapToGrid w:val="0"/>
          <w:lang w:val="en-GB"/>
        </w:rPr>
        <w:t>)</w:t>
      </w:r>
      <w:r w:rsidR="00E421E6" w:rsidRPr="00C34046">
        <w:rPr>
          <w:rFonts w:cs="Arial"/>
          <w:bCs/>
          <w:snapToGrid w:val="0"/>
          <w:lang w:val="en-GB"/>
        </w:rPr>
        <w:t>.</w:t>
      </w:r>
      <w:r w:rsidR="00E421E6">
        <w:rPr>
          <w:b/>
        </w:rPr>
        <w:t xml:space="preserve"> </w:t>
      </w:r>
      <w:r w:rsidR="00C83560">
        <w:rPr>
          <w:rFonts w:cs="Arial"/>
          <w:bCs/>
          <w:snapToGrid w:val="0"/>
          <w:lang w:val="en-GB"/>
        </w:rPr>
        <w:t xml:space="preserve">The PBAC </w:t>
      </w:r>
      <w:r>
        <w:rPr>
          <w:rFonts w:cs="Arial"/>
          <w:bCs/>
          <w:snapToGrid w:val="0"/>
          <w:lang w:val="en-GB"/>
        </w:rPr>
        <w:t>considered that</w:t>
      </w:r>
      <w:r w:rsidR="00C60C2F">
        <w:rPr>
          <w:rFonts w:cs="Arial"/>
          <w:bCs/>
          <w:snapToGrid w:val="0"/>
          <w:lang w:val="en-GB"/>
        </w:rPr>
        <w:t xml:space="preserve"> while </w:t>
      </w:r>
      <w:r w:rsidR="00A40862">
        <w:rPr>
          <w:rFonts w:cs="Arial"/>
          <w:bCs/>
          <w:snapToGrid w:val="0"/>
          <w:lang w:val="en-GB"/>
        </w:rPr>
        <w:t xml:space="preserve">this </w:t>
      </w:r>
      <w:r w:rsidR="00C83560">
        <w:rPr>
          <w:rFonts w:cs="Arial"/>
          <w:bCs/>
          <w:snapToGrid w:val="0"/>
          <w:lang w:val="en-GB"/>
        </w:rPr>
        <w:t xml:space="preserve">small sub-group of patients </w:t>
      </w:r>
      <w:r w:rsidR="00842C31">
        <w:rPr>
          <w:rFonts w:cs="Arial"/>
          <w:bCs/>
          <w:snapToGrid w:val="0"/>
          <w:lang w:val="en-GB"/>
        </w:rPr>
        <w:t xml:space="preserve">could </w:t>
      </w:r>
      <w:r w:rsidR="00C83560">
        <w:rPr>
          <w:rFonts w:cs="Arial"/>
          <w:bCs/>
          <w:snapToGrid w:val="0"/>
          <w:lang w:val="en-GB"/>
        </w:rPr>
        <w:t>benefit from obinutuzumab over rituximab</w:t>
      </w:r>
      <w:r w:rsidR="00842C31">
        <w:rPr>
          <w:rFonts w:cs="Arial"/>
          <w:bCs/>
          <w:snapToGrid w:val="0"/>
          <w:lang w:val="en-GB"/>
        </w:rPr>
        <w:t>,</w:t>
      </w:r>
      <w:r w:rsidR="00C83560">
        <w:rPr>
          <w:rFonts w:cs="Arial"/>
          <w:bCs/>
          <w:snapToGrid w:val="0"/>
          <w:lang w:val="en-GB"/>
        </w:rPr>
        <w:t xml:space="preserve"> </w:t>
      </w:r>
      <w:r w:rsidR="00C60C2F">
        <w:rPr>
          <w:rFonts w:cs="Arial"/>
          <w:bCs/>
          <w:snapToGrid w:val="0"/>
          <w:lang w:val="en-GB"/>
        </w:rPr>
        <w:t xml:space="preserve">the submission did not identify such a </w:t>
      </w:r>
      <w:r w:rsidR="00842C31">
        <w:rPr>
          <w:rFonts w:cs="Arial"/>
          <w:bCs/>
          <w:snapToGrid w:val="0"/>
          <w:lang w:val="en-GB"/>
        </w:rPr>
        <w:t>sub-</w:t>
      </w:r>
      <w:r w:rsidR="00C60C2F">
        <w:rPr>
          <w:rFonts w:cs="Arial"/>
          <w:bCs/>
          <w:snapToGrid w:val="0"/>
          <w:lang w:val="en-GB"/>
        </w:rPr>
        <w:t>group</w:t>
      </w:r>
      <w:r w:rsidR="00C83560">
        <w:rPr>
          <w:rFonts w:cs="Arial"/>
          <w:bCs/>
          <w:snapToGrid w:val="0"/>
          <w:lang w:val="en-GB"/>
        </w:rPr>
        <w:t>.</w:t>
      </w:r>
      <w:r w:rsidR="00C34046">
        <w:rPr>
          <w:rFonts w:cs="Arial"/>
          <w:bCs/>
          <w:snapToGrid w:val="0"/>
          <w:color w:val="FF0000"/>
          <w:lang w:val="en-GB"/>
        </w:rPr>
        <w:t xml:space="preserve"> </w:t>
      </w:r>
    </w:p>
    <w:p w:rsidR="00381493" w:rsidRPr="00012865" w:rsidRDefault="00112179" w:rsidP="00A375D6">
      <w:pPr>
        <w:pStyle w:val="ListParagraph"/>
        <w:numPr>
          <w:ilvl w:val="1"/>
          <w:numId w:val="1"/>
        </w:numPr>
        <w:ind w:left="709" w:hanging="709"/>
        <w:jc w:val="both"/>
        <w:rPr>
          <w:rFonts w:cs="Arial"/>
          <w:bCs/>
          <w:snapToGrid w:val="0"/>
          <w:lang w:val="en-GB"/>
        </w:rPr>
      </w:pPr>
      <w:r w:rsidRPr="00012865">
        <w:rPr>
          <w:rFonts w:cs="Arial"/>
          <w:bCs/>
          <w:snapToGrid w:val="0"/>
          <w:lang w:val="en-GB"/>
        </w:rPr>
        <w:t xml:space="preserve">The PBAC considered that </w:t>
      </w:r>
      <w:r w:rsidRPr="00012865">
        <w:t>rituximab in combination with chemotherapy for induction treatment and rituximab monotherapy for maintenance treatment as the main comparator was appropriate.</w:t>
      </w:r>
      <w:r w:rsidR="004E7C17">
        <w:t xml:space="preserve"> </w:t>
      </w:r>
    </w:p>
    <w:p w:rsidR="006F4EF4" w:rsidRPr="00B50005" w:rsidRDefault="00362CA0" w:rsidP="00A375D6">
      <w:pPr>
        <w:pStyle w:val="ListParagraph"/>
        <w:numPr>
          <w:ilvl w:val="1"/>
          <w:numId w:val="1"/>
        </w:numPr>
        <w:ind w:left="709" w:hanging="709"/>
        <w:jc w:val="both"/>
        <w:rPr>
          <w:rFonts w:cs="Arial"/>
          <w:bCs/>
          <w:snapToGrid w:val="0"/>
          <w:lang w:val="en-GB"/>
        </w:rPr>
      </w:pPr>
      <w:r w:rsidRPr="00B50005">
        <w:rPr>
          <w:rFonts w:cs="Arial"/>
          <w:bCs/>
          <w:snapToGrid w:val="0"/>
          <w:lang w:val="en-GB"/>
        </w:rPr>
        <w:t xml:space="preserve">The PBAC considered the </w:t>
      </w:r>
      <w:r w:rsidR="009967BB">
        <w:rPr>
          <w:rFonts w:cs="Arial"/>
          <w:bCs/>
          <w:snapToGrid w:val="0"/>
          <w:lang w:val="en-GB"/>
        </w:rPr>
        <w:t xml:space="preserve">key clinical </w:t>
      </w:r>
      <w:r w:rsidR="008A4F01">
        <w:rPr>
          <w:rFonts w:cs="Arial"/>
          <w:bCs/>
          <w:snapToGrid w:val="0"/>
          <w:lang w:val="en-GB"/>
        </w:rPr>
        <w:t xml:space="preserve">trial </w:t>
      </w:r>
      <w:r w:rsidR="009967BB">
        <w:rPr>
          <w:rFonts w:cs="Arial"/>
          <w:bCs/>
          <w:snapToGrid w:val="0"/>
          <w:lang w:val="en-GB"/>
        </w:rPr>
        <w:t xml:space="preserve">(GALLIUM) </w:t>
      </w:r>
      <w:r w:rsidRPr="00B50005">
        <w:rPr>
          <w:rFonts w:cs="Arial"/>
          <w:bCs/>
          <w:snapToGrid w:val="0"/>
          <w:lang w:val="en-GB"/>
        </w:rPr>
        <w:t>to be associated with a high risk of bias due to the open</w:t>
      </w:r>
      <w:r w:rsidR="009967BB">
        <w:rPr>
          <w:rFonts w:cs="Arial"/>
          <w:bCs/>
          <w:snapToGrid w:val="0"/>
          <w:lang w:val="en-GB"/>
        </w:rPr>
        <w:t>-</w:t>
      </w:r>
      <w:r w:rsidRPr="00B50005">
        <w:rPr>
          <w:rFonts w:cs="Arial"/>
          <w:bCs/>
          <w:snapToGrid w:val="0"/>
          <w:lang w:val="en-GB"/>
        </w:rPr>
        <w:t xml:space="preserve">label nature of the trial, particularly given that the primary outcome was investigator-assessed PFS. </w:t>
      </w:r>
      <w:r w:rsidR="009967BB">
        <w:rPr>
          <w:rFonts w:cs="Arial"/>
          <w:bCs/>
          <w:snapToGrid w:val="0"/>
          <w:lang w:val="en-GB"/>
        </w:rPr>
        <w:t>The PBAC also considered that t</w:t>
      </w:r>
      <w:r w:rsidRPr="00B50005">
        <w:rPr>
          <w:rFonts w:cs="Arial"/>
          <w:bCs/>
          <w:snapToGrid w:val="0"/>
          <w:lang w:val="en-GB"/>
        </w:rPr>
        <w:t xml:space="preserve">here was a high risk of bias in the secondary outcomes of quality of life and reported AEs. </w:t>
      </w:r>
    </w:p>
    <w:p w:rsidR="005064C1" w:rsidRDefault="00B5054B" w:rsidP="00A375D6">
      <w:pPr>
        <w:pStyle w:val="ListParagraph"/>
        <w:numPr>
          <w:ilvl w:val="1"/>
          <w:numId w:val="1"/>
        </w:numPr>
        <w:ind w:left="709" w:hanging="709"/>
        <w:jc w:val="both"/>
        <w:rPr>
          <w:rFonts w:cs="Arial"/>
          <w:bCs/>
          <w:snapToGrid w:val="0"/>
          <w:lang w:val="en-GB"/>
        </w:rPr>
      </w:pPr>
      <w:r>
        <w:rPr>
          <w:rFonts w:cs="Arial"/>
          <w:bCs/>
          <w:snapToGrid w:val="0"/>
          <w:lang w:val="en-GB"/>
        </w:rPr>
        <w:t xml:space="preserve">The PBAC </w:t>
      </w:r>
      <w:r w:rsidR="00064813">
        <w:rPr>
          <w:rFonts w:cs="Arial"/>
          <w:bCs/>
          <w:snapToGrid w:val="0"/>
          <w:lang w:val="en-GB"/>
        </w:rPr>
        <w:t xml:space="preserve">noted that the clinical claim for obinutuzumab over </w:t>
      </w:r>
      <w:r w:rsidR="001B0C77">
        <w:rPr>
          <w:rFonts w:cs="Arial"/>
          <w:bCs/>
          <w:snapToGrid w:val="0"/>
          <w:lang w:val="en-GB"/>
        </w:rPr>
        <w:t xml:space="preserve">rituximab was made </w:t>
      </w:r>
      <w:r w:rsidR="004E02A8">
        <w:rPr>
          <w:rFonts w:cs="Arial"/>
          <w:bCs/>
          <w:snapToGrid w:val="0"/>
          <w:lang w:val="en-GB"/>
        </w:rPr>
        <w:t>based on</w:t>
      </w:r>
      <w:r w:rsidR="001B0C77">
        <w:rPr>
          <w:rFonts w:cs="Arial"/>
          <w:bCs/>
          <w:snapToGrid w:val="0"/>
          <w:lang w:val="en-GB"/>
        </w:rPr>
        <w:t xml:space="preserve"> superior investigator-assessed PFS. </w:t>
      </w:r>
      <w:r w:rsidR="009F00B5">
        <w:rPr>
          <w:rFonts w:cs="Arial"/>
          <w:bCs/>
          <w:snapToGrid w:val="0"/>
          <w:lang w:val="en-GB"/>
        </w:rPr>
        <w:t>The PBAC reiterated that it considered PFS to be a</w:t>
      </w:r>
      <w:r w:rsidR="004E7841">
        <w:rPr>
          <w:rFonts w:cs="Arial"/>
          <w:bCs/>
          <w:snapToGrid w:val="0"/>
          <w:lang w:val="en-GB"/>
        </w:rPr>
        <w:t xml:space="preserve"> potentially</w:t>
      </w:r>
      <w:r w:rsidR="009F00B5">
        <w:rPr>
          <w:rFonts w:cs="Arial"/>
          <w:bCs/>
          <w:snapToGrid w:val="0"/>
          <w:lang w:val="en-GB"/>
        </w:rPr>
        <w:t xml:space="preserve"> important outcome in indolent diseases such as </w:t>
      </w:r>
      <w:r w:rsidR="009F00B5" w:rsidRPr="007D1B58">
        <w:rPr>
          <w:rFonts w:cs="Arial"/>
          <w:bCs/>
          <w:snapToGrid w:val="0"/>
          <w:lang w:val="en-GB"/>
        </w:rPr>
        <w:t>follicular lymphoma</w:t>
      </w:r>
      <w:r w:rsidR="009F00B5">
        <w:rPr>
          <w:rFonts w:cs="Arial"/>
          <w:bCs/>
          <w:snapToGrid w:val="0"/>
          <w:lang w:val="en-GB"/>
        </w:rPr>
        <w:t>.</w:t>
      </w:r>
      <w:r w:rsidR="001824D8">
        <w:rPr>
          <w:rFonts w:cs="Arial"/>
          <w:bCs/>
          <w:snapToGrid w:val="0"/>
          <w:lang w:val="en-GB"/>
        </w:rPr>
        <w:t xml:space="preserve"> However, for this submission the PBAC was concerned that the modest gain in PFS over rituximab may be offset by increases in serious AEs. In addition, the PBAC noted</w:t>
      </w:r>
      <w:r w:rsidR="00A16AFE">
        <w:rPr>
          <w:rFonts w:cs="Arial"/>
          <w:bCs/>
          <w:snapToGrid w:val="0"/>
          <w:lang w:val="en-GB"/>
        </w:rPr>
        <w:t xml:space="preserve"> that no</w:t>
      </w:r>
      <w:r w:rsidR="001824D8">
        <w:rPr>
          <w:rFonts w:cs="Arial"/>
          <w:bCs/>
          <w:snapToGrid w:val="0"/>
          <w:lang w:val="en-GB"/>
        </w:rPr>
        <w:t xml:space="preserve"> </w:t>
      </w:r>
      <w:r w:rsidR="001824D8" w:rsidRPr="00310981">
        <w:t xml:space="preserve">difference in </w:t>
      </w:r>
      <w:r w:rsidR="0050490B">
        <w:t xml:space="preserve">OS or </w:t>
      </w:r>
      <w:r w:rsidR="001824D8" w:rsidRPr="00310981">
        <w:t>health-related quality of life measures was demonstrated</w:t>
      </w:r>
      <w:r w:rsidR="001824D8">
        <w:t xml:space="preserve"> between treatment arms. </w:t>
      </w:r>
      <w:r w:rsidR="00A16AFE">
        <w:t xml:space="preserve">Hence, the PBAC considered </w:t>
      </w:r>
      <w:r w:rsidR="009D3351">
        <w:t xml:space="preserve">the </w:t>
      </w:r>
      <w:r w:rsidR="00FA5CBF">
        <w:t xml:space="preserve">clinical claim </w:t>
      </w:r>
      <w:r w:rsidR="000E0E85">
        <w:t xml:space="preserve">of superior effectiveness </w:t>
      </w:r>
      <w:r w:rsidR="009D3351">
        <w:rPr>
          <w:rFonts w:cs="Arial"/>
          <w:bCs/>
          <w:snapToGrid w:val="0"/>
          <w:lang w:val="en-GB"/>
        </w:rPr>
        <w:t xml:space="preserve">to be </w:t>
      </w:r>
      <w:r w:rsidR="00EA1369">
        <w:rPr>
          <w:rFonts w:cs="Arial"/>
          <w:bCs/>
          <w:snapToGrid w:val="0"/>
          <w:lang w:val="en-GB"/>
        </w:rPr>
        <w:t>inadequately supported</w:t>
      </w:r>
      <w:r w:rsidR="00A16AFE" w:rsidRPr="004267F6">
        <w:t>.</w:t>
      </w:r>
      <w:r w:rsidR="00A07559">
        <w:t xml:space="preserve"> </w:t>
      </w:r>
    </w:p>
    <w:p w:rsidR="007237FD" w:rsidRPr="007237FD" w:rsidRDefault="00542886" w:rsidP="00A375D6">
      <w:pPr>
        <w:pStyle w:val="ListParagraph"/>
        <w:numPr>
          <w:ilvl w:val="1"/>
          <w:numId w:val="1"/>
        </w:numPr>
        <w:ind w:left="709" w:hanging="709"/>
        <w:jc w:val="both"/>
        <w:rPr>
          <w:rFonts w:cs="Arial"/>
          <w:bCs/>
          <w:snapToGrid w:val="0"/>
          <w:lang w:val="en-GB"/>
        </w:rPr>
      </w:pPr>
      <w:r>
        <w:rPr>
          <w:rFonts w:cs="Arial"/>
          <w:bCs/>
          <w:snapToGrid w:val="0"/>
          <w:lang w:val="en-GB"/>
        </w:rPr>
        <w:t>The PBAC considered</w:t>
      </w:r>
      <w:r w:rsidR="005C4990">
        <w:rPr>
          <w:rFonts w:cs="Arial"/>
          <w:bCs/>
          <w:snapToGrid w:val="0"/>
          <w:lang w:val="en-GB"/>
        </w:rPr>
        <w:t xml:space="preserve"> that </w:t>
      </w:r>
      <w:r>
        <w:rPr>
          <w:rFonts w:cs="Arial"/>
          <w:bCs/>
          <w:snapToGrid w:val="0"/>
          <w:lang w:val="en-GB"/>
        </w:rPr>
        <w:t xml:space="preserve">the </w:t>
      </w:r>
      <w:r w:rsidR="00D96697">
        <w:rPr>
          <w:rFonts w:cs="Arial"/>
          <w:bCs/>
          <w:snapToGrid w:val="0"/>
          <w:lang w:val="en-GB"/>
        </w:rPr>
        <w:t xml:space="preserve">OS data from the </w:t>
      </w:r>
      <w:r>
        <w:rPr>
          <w:rFonts w:cs="Arial"/>
          <w:bCs/>
          <w:snapToGrid w:val="0"/>
          <w:lang w:val="en-GB"/>
        </w:rPr>
        <w:t xml:space="preserve">GALLIUM trial </w:t>
      </w:r>
      <w:r>
        <w:t>were immature</w:t>
      </w:r>
      <w:r w:rsidR="00FB0025">
        <w:t>,</w:t>
      </w:r>
      <w:r w:rsidR="00D96697">
        <w:t xml:space="preserve"> with </w:t>
      </w:r>
      <w:r w:rsidR="008A383A" w:rsidRPr="004267F6">
        <w:t xml:space="preserve">less than </w:t>
      </w:r>
      <w:r w:rsidR="00CD21DA">
        <w:rPr>
          <w:noProof/>
          <w:color w:val="000000"/>
          <w:highlight w:val="black"/>
        </w:rPr>
        <w:t>'''''</w:t>
      </w:r>
      <w:r w:rsidR="008A383A" w:rsidRPr="004267F6">
        <w:t xml:space="preserve">% of patients </w:t>
      </w:r>
      <w:r w:rsidR="00D96697">
        <w:t xml:space="preserve">in each arm having </w:t>
      </w:r>
      <w:r w:rsidR="008A383A" w:rsidRPr="004267F6">
        <w:t>died as of the September 2016 data cut</w:t>
      </w:r>
      <w:r w:rsidR="007237FD">
        <w:t xml:space="preserve">. </w:t>
      </w:r>
      <w:r w:rsidR="001A7C18">
        <w:t xml:space="preserve">The PBAC considered that the </w:t>
      </w:r>
      <w:r w:rsidR="001A7C18" w:rsidRPr="004267F6">
        <w:t xml:space="preserve">absence of a statistically significant OS benefit </w:t>
      </w:r>
      <w:r w:rsidR="008B5107">
        <w:t xml:space="preserve">(HR=0.82; 95% CI: 0.54, 1.22) </w:t>
      </w:r>
      <w:r w:rsidR="001A7C18" w:rsidRPr="004267F6">
        <w:t xml:space="preserve">in the </w:t>
      </w:r>
      <w:r w:rsidR="000F6C01" w:rsidRPr="004267F6">
        <w:t>available</w:t>
      </w:r>
      <w:r w:rsidR="000F6C01">
        <w:t xml:space="preserve"> </w:t>
      </w:r>
      <w:r w:rsidR="001A7C18" w:rsidRPr="004267F6">
        <w:t xml:space="preserve">immature data </w:t>
      </w:r>
      <w:r w:rsidR="001A7C18">
        <w:t xml:space="preserve">limits any extrapolations based on these results. </w:t>
      </w:r>
      <w:r w:rsidR="00CB5448">
        <w:t xml:space="preserve">The PBAC noted that the </w:t>
      </w:r>
      <w:r w:rsidR="003B5F69">
        <w:t>OS benefit of obinutuzumab was more favourable in CLL (HR=0.70; 95% CI: 0.47 to 1.02) (</w:t>
      </w:r>
      <w:r w:rsidR="00455738">
        <w:t>paragraph 6.10, March 2015</w:t>
      </w:r>
      <w:r w:rsidR="00455738" w:rsidRPr="004267F6">
        <w:t xml:space="preserve"> obinutuzumab PSD).</w:t>
      </w:r>
    </w:p>
    <w:p w:rsidR="00980648" w:rsidRPr="009D2258" w:rsidRDefault="00980648" w:rsidP="00A375D6">
      <w:pPr>
        <w:pStyle w:val="ListParagraph"/>
        <w:numPr>
          <w:ilvl w:val="1"/>
          <w:numId w:val="1"/>
        </w:numPr>
        <w:ind w:left="709" w:hanging="709"/>
        <w:jc w:val="both"/>
        <w:rPr>
          <w:rFonts w:cs="Arial"/>
          <w:bCs/>
          <w:snapToGrid w:val="0"/>
          <w:lang w:val="en-GB"/>
        </w:rPr>
      </w:pPr>
      <w:r>
        <w:t xml:space="preserve">The PBAC considered that the claim of inferior safety </w:t>
      </w:r>
      <w:r>
        <w:rPr>
          <w:rFonts w:cs="Arial"/>
          <w:bCs/>
          <w:snapToGrid w:val="0"/>
          <w:lang w:val="en-GB"/>
        </w:rPr>
        <w:t xml:space="preserve">compared with </w:t>
      </w:r>
      <w:r w:rsidR="009A70F8">
        <w:rPr>
          <w:rFonts w:cs="Arial"/>
          <w:bCs/>
          <w:snapToGrid w:val="0"/>
          <w:lang w:val="en-GB"/>
        </w:rPr>
        <w:t xml:space="preserve">the </w:t>
      </w:r>
      <w:r w:rsidRPr="00A375D6">
        <w:rPr>
          <w:rFonts w:cs="Arial"/>
          <w:bCs/>
          <w:snapToGrid w:val="0"/>
          <w:lang w:val="en-GB"/>
        </w:rPr>
        <w:t>rituximab</w:t>
      </w:r>
      <w:r w:rsidR="009A70F8">
        <w:t xml:space="preserve"> treatment arm </w:t>
      </w:r>
      <w:r>
        <w:t xml:space="preserve">was </w:t>
      </w:r>
      <w:r w:rsidR="005866D7">
        <w:t xml:space="preserve">consistent with </w:t>
      </w:r>
      <w:r w:rsidRPr="00B5054B">
        <w:t>the data</w:t>
      </w:r>
      <w:r w:rsidR="001A2028">
        <w:t>.</w:t>
      </w:r>
      <w:r w:rsidR="00B26498">
        <w:t xml:space="preserve"> </w:t>
      </w:r>
      <w:r w:rsidR="001A2028">
        <w:t xml:space="preserve">The PBAC noted </w:t>
      </w:r>
      <w:r w:rsidR="006B12F3">
        <w:t xml:space="preserve">with </w:t>
      </w:r>
      <w:r w:rsidR="006B12F3" w:rsidRPr="004267F6">
        <w:t>obinutuzumab+chemotherapy</w:t>
      </w:r>
      <w:r w:rsidR="006B12F3">
        <w:t xml:space="preserve"> </w:t>
      </w:r>
      <w:r>
        <w:t xml:space="preserve">there </w:t>
      </w:r>
      <w:r w:rsidRPr="004267F6">
        <w:t>were statistically significantly more serious AEs</w:t>
      </w:r>
      <w:r w:rsidR="00014027">
        <w:t xml:space="preserve"> and</w:t>
      </w:r>
      <w:r w:rsidRPr="004267F6">
        <w:t xml:space="preserve"> treatment-related serious AEs </w:t>
      </w:r>
      <w:r w:rsidR="00014027">
        <w:t xml:space="preserve">such as </w:t>
      </w:r>
      <w:r w:rsidR="00014027" w:rsidRPr="004267F6">
        <w:t>serious infusion-related reactions and serious cardiac events</w:t>
      </w:r>
      <w:r w:rsidRPr="004267F6">
        <w:t>.</w:t>
      </w:r>
      <w:r>
        <w:t xml:space="preserve"> </w:t>
      </w:r>
      <w:r w:rsidR="005722B4">
        <w:t xml:space="preserve">The PBAC </w:t>
      </w:r>
      <w:r w:rsidR="005223C8">
        <w:t xml:space="preserve">were concerned </w:t>
      </w:r>
      <w:r w:rsidR="006129BF">
        <w:t xml:space="preserve">that the </w:t>
      </w:r>
      <w:r w:rsidR="009C41B9">
        <w:t xml:space="preserve">incidence of serious AEs was </w:t>
      </w:r>
      <w:r w:rsidR="00CD21DA">
        <w:rPr>
          <w:noProof/>
          <w:color w:val="000000"/>
          <w:highlight w:val="black"/>
        </w:rPr>
        <w:t>'''''''''</w:t>
      </w:r>
      <w:r w:rsidR="006129BF" w:rsidRPr="00E978F9">
        <w:t xml:space="preserve">% </w:t>
      </w:r>
      <w:r w:rsidR="007F50C8">
        <w:t>higher</w:t>
      </w:r>
      <w:r w:rsidR="006129BF" w:rsidRPr="00E978F9">
        <w:t xml:space="preserve"> in </w:t>
      </w:r>
      <w:r w:rsidR="006129BF">
        <w:t xml:space="preserve">patients </w:t>
      </w:r>
      <w:r w:rsidR="007F50C8">
        <w:t>≥</w:t>
      </w:r>
      <w:r w:rsidR="007F50C8" w:rsidRPr="00E978F9">
        <w:t xml:space="preserve"> </w:t>
      </w:r>
      <w:r w:rsidR="006129BF" w:rsidRPr="00E978F9">
        <w:t>65 years</w:t>
      </w:r>
      <w:r w:rsidR="00937D2D">
        <w:t xml:space="preserve"> </w:t>
      </w:r>
      <w:r w:rsidR="00701F1F">
        <w:t xml:space="preserve">treated with </w:t>
      </w:r>
      <w:r w:rsidR="00701F1F" w:rsidRPr="004267F6">
        <w:t>obinutuzumab</w:t>
      </w:r>
      <w:r w:rsidR="00701F1F">
        <w:t>+chemotherapy versus those treated with rituximab+chemotherapy</w:t>
      </w:r>
      <w:r w:rsidR="00701F1F" w:rsidRPr="004267F6">
        <w:t xml:space="preserve"> </w:t>
      </w:r>
      <w:r w:rsidR="00937D2D" w:rsidRPr="004267F6">
        <w:t>in the GALLIUM trial</w:t>
      </w:r>
      <w:r w:rsidR="005223C8">
        <w:t>, and that there were also more AEs leading to treatment discontinuation and AEs leading to death in this elderly population</w:t>
      </w:r>
      <w:r w:rsidR="006129BF" w:rsidRPr="00E978F9">
        <w:t>.</w:t>
      </w:r>
      <w:r w:rsidR="006129BF">
        <w:t xml:space="preserve"> </w:t>
      </w:r>
    </w:p>
    <w:p w:rsidR="009D2258" w:rsidRPr="00102686" w:rsidRDefault="009D2258" w:rsidP="00A375D6">
      <w:pPr>
        <w:pStyle w:val="ListParagraph"/>
        <w:numPr>
          <w:ilvl w:val="1"/>
          <w:numId w:val="1"/>
        </w:numPr>
        <w:ind w:left="709" w:hanging="709"/>
        <w:jc w:val="both"/>
        <w:rPr>
          <w:rFonts w:cs="Arial"/>
          <w:bCs/>
          <w:snapToGrid w:val="0"/>
          <w:lang w:val="en-GB"/>
        </w:rPr>
      </w:pPr>
      <w:r w:rsidRPr="009D2258">
        <w:t xml:space="preserve">The </w:t>
      </w:r>
      <w:r w:rsidRPr="00A375D6">
        <w:rPr>
          <w:rFonts w:cs="Arial"/>
          <w:bCs/>
          <w:snapToGrid w:val="0"/>
          <w:lang w:val="en-GB"/>
        </w:rPr>
        <w:t>PBAC</w:t>
      </w:r>
      <w:r>
        <w:t xml:space="preserve"> </w:t>
      </w:r>
      <w:r w:rsidR="00CE00C0">
        <w:t>was concerned regarding the</w:t>
      </w:r>
      <w:r w:rsidRPr="004267F6">
        <w:t xml:space="preserve"> applicability of </w:t>
      </w:r>
      <w:r w:rsidR="00CE00C0">
        <w:t>the</w:t>
      </w:r>
      <w:r w:rsidRPr="004267F6">
        <w:t xml:space="preserve"> GALLIUM trial </w:t>
      </w:r>
      <w:r w:rsidR="00CE00C0">
        <w:t xml:space="preserve">results </w:t>
      </w:r>
      <w:r w:rsidRPr="004267F6">
        <w:t xml:space="preserve">to </w:t>
      </w:r>
      <w:r>
        <w:t xml:space="preserve">the </w:t>
      </w:r>
      <w:r w:rsidR="00CE00C0">
        <w:t xml:space="preserve">intended Australian </w:t>
      </w:r>
      <w:r w:rsidRPr="004267F6">
        <w:t>population</w:t>
      </w:r>
      <w:r w:rsidR="00CE00C0">
        <w:t xml:space="preserve">. </w:t>
      </w:r>
      <w:r>
        <w:t>T</w:t>
      </w:r>
      <w:r w:rsidRPr="004267F6">
        <w:t xml:space="preserve">he </w:t>
      </w:r>
      <w:r w:rsidR="00CE00C0">
        <w:t xml:space="preserve">PBAC noted data indicating the proposed </w:t>
      </w:r>
      <w:r w:rsidRPr="004267F6">
        <w:t>PBS population</w:t>
      </w:r>
      <w:r w:rsidR="00CE00C0">
        <w:t xml:space="preserve"> (mean age </w:t>
      </w:r>
      <w:r w:rsidR="00CD21DA">
        <w:rPr>
          <w:noProof/>
          <w:color w:val="000000"/>
          <w:highlight w:val="black"/>
        </w:rPr>
        <w:t>'''''</w:t>
      </w:r>
      <w:r w:rsidR="00CE00C0">
        <w:t xml:space="preserve"> years)</w:t>
      </w:r>
      <w:r w:rsidRPr="004267F6">
        <w:t xml:space="preserve"> </w:t>
      </w:r>
      <w:r>
        <w:t xml:space="preserve">was on </w:t>
      </w:r>
      <w:r w:rsidRPr="004267F6">
        <w:t xml:space="preserve">average </w:t>
      </w:r>
      <w:r w:rsidR="00CD21DA">
        <w:rPr>
          <w:noProof/>
          <w:color w:val="000000"/>
          <w:highlight w:val="black"/>
        </w:rPr>
        <w:t>'''</w:t>
      </w:r>
      <w:r w:rsidRPr="004267F6">
        <w:t xml:space="preserve"> years older than the trial population</w:t>
      </w:r>
      <w:r w:rsidR="00D63FC9">
        <w:t>,</w:t>
      </w:r>
      <w:r w:rsidRPr="004267F6">
        <w:t xml:space="preserve"> </w:t>
      </w:r>
      <w:r w:rsidR="00CE00C0">
        <w:t>with</w:t>
      </w:r>
      <w:r w:rsidR="00CE00C0" w:rsidRPr="004267F6">
        <w:t xml:space="preserve"> </w:t>
      </w:r>
      <w:r w:rsidR="00CD21DA">
        <w:rPr>
          <w:noProof/>
          <w:color w:val="000000"/>
          <w:highlight w:val="black"/>
        </w:rPr>
        <w:t>'''''</w:t>
      </w:r>
      <w:r w:rsidRPr="004267F6">
        <w:t xml:space="preserve">% </w:t>
      </w:r>
      <w:r w:rsidR="00CE00C0">
        <w:t>reporting</w:t>
      </w:r>
      <w:r w:rsidRPr="004267F6">
        <w:t xml:space="preserve"> at least one co-morbidity. </w:t>
      </w:r>
      <w:r>
        <w:t xml:space="preserve">The PBAC considered that given these characteristics, the toxicity </w:t>
      </w:r>
      <w:r w:rsidR="00CE00C0">
        <w:t xml:space="preserve">of </w:t>
      </w:r>
      <w:r w:rsidR="00CE00C0" w:rsidRPr="004267F6">
        <w:t>obinutuzumab</w:t>
      </w:r>
      <w:r w:rsidR="00CE00C0">
        <w:t xml:space="preserve"> </w:t>
      </w:r>
      <w:r>
        <w:t xml:space="preserve">would </w:t>
      </w:r>
      <w:r w:rsidR="00CE00C0">
        <w:t xml:space="preserve">be </w:t>
      </w:r>
      <w:r>
        <w:t>expected to be higher in the Australian PBS population</w:t>
      </w:r>
      <w:r w:rsidR="00D63FC9">
        <w:t>,</w:t>
      </w:r>
      <w:r w:rsidR="00D62D00">
        <w:t xml:space="preserve"> and the benefits </w:t>
      </w:r>
      <w:r w:rsidR="00374C30">
        <w:t xml:space="preserve">as </w:t>
      </w:r>
      <w:r w:rsidR="00D62D00">
        <w:t xml:space="preserve">demonstrated in trial </w:t>
      </w:r>
      <w:r w:rsidR="00374C30">
        <w:t xml:space="preserve">are </w:t>
      </w:r>
      <w:r w:rsidR="00D62D00">
        <w:t>unlikely to be realised</w:t>
      </w:r>
      <w:r>
        <w:t>.</w:t>
      </w:r>
    </w:p>
    <w:p w:rsidR="004C6593" w:rsidRPr="008A499D" w:rsidRDefault="00CE1E22" w:rsidP="00A375D6">
      <w:pPr>
        <w:pStyle w:val="ListParagraph"/>
        <w:numPr>
          <w:ilvl w:val="1"/>
          <w:numId w:val="1"/>
        </w:numPr>
        <w:ind w:left="709" w:hanging="709"/>
        <w:jc w:val="both"/>
        <w:rPr>
          <w:rFonts w:cs="Arial"/>
          <w:bCs/>
          <w:snapToGrid w:val="0"/>
          <w:lang w:val="en-GB"/>
        </w:rPr>
      </w:pPr>
      <w:r>
        <w:rPr>
          <w:rFonts w:cs="Arial"/>
          <w:bCs/>
          <w:snapToGrid w:val="0"/>
          <w:lang w:val="en-GB"/>
        </w:rPr>
        <w:t xml:space="preserve">The PBAC noted </w:t>
      </w:r>
      <w:r w:rsidRPr="000779DC">
        <w:rPr>
          <w:rFonts w:cs="Arial"/>
          <w:bCs/>
          <w:snapToGrid w:val="0"/>
          <w:lang w:val="en-GB"/>
        </w:rPr>
        <w:t xml:space="preserve">that </w:t>
      </w:r>
      <w:r w:rsidR="000E15AB">
        <w:rPr>
          <w:rFonts w:cs="Arial"/>
          <w:bCs/>
          <w:snapToGrid w:val="0"/>
          <w:lang w:val="en-GB"/>
        </w:rPr>
        <w:t>the economic model</w:t>
      </w:r>
      <w:r w:rsidRPr="000779DC">
        <w:rPr>
          <w:rFonts w:cs="Arial"/>
          <w:bCs/>
          <w:snapToGrid w:val="0"/>
          <w:lang w:val="en-GB"/>
        </w:rPr>
        <w:t xml:space="preserve"> comparing obinutuzumab and rituximab </w:t>
      </w:r>
      <w:r w:rsidR="000E15AB">
        <w:rPr>
          <w:rFonts w:cs="Arial"/>
          <w:bCs/>
          <w:snapToGrid w:val="0"/>
          <w:lang w:val="en-GB"/>
        </w:rPr>
        <w:t xml:space="preserve">included </w:t>
      </w:r>
      <w:r w:rsidR="004E02A8">
        <w:rPr>
          <w:szCs w:val="24"/>
        </w:rPr>
        <w:t>five</w:t>
      </w:r>
      <w:r w:rsidR="004E02A8" w:rsidRPr="000779DC">
        <w:rPr>
          <w:szCs w:val="24"/>
        </w:rPr>
        <w:t xml:space="preserve"> </w:t>
      </w:r>
      <w:r w:rsidR="000779DC" w:rsidRPr="000779DC">
        <w:rPr>
          <w:szCs w:val="24"/>
        </w:rPr>
        <w:t>health state</w:t>
      </w:r>
      <w:r w:rsidR="00E2781E">
        <w:rPr>
          <w:szCs w:val="24"/>
        </w:rPr>
        <w:t>s</w:t>
      </w:r>
      <w:r w:rsidR="000E15AB">
        <w:rPr>
          <w:szCs w:val="24"/>
        </w:rPr>
        <w:t>, and considered this appropriately captured the different treatment phases</w:t>
      </w:r>
      <w:r w:rsidR="000779DC">
        <w:rPr>
          <w:szCs w:val="24"/>
        </w:rPr>
        <w:t xml:space="preserve">. </w:t>
      </w:r>
      <w:r w:rsidR="00B1468B">
        <w:rPr>
          <w:szCs w:val="24"/>
        </w:rPr>
        <w:t xml:space="preserve">The PBAC noted that the QALY gains in the model were driven by </w:t>
      </w:r>
      <w:r w:rsidR="000E15AB">
        <w:rPr>
          <w:szCs w:val="24"/>
        </w:rPr>
        <w:t xml:space="preserve">the gain in </w:t>
      </w:r>
      <w:r w:rsidR="00B1468B">
        <w:rPr>
          <w:szCs w:val="24"/>
        </w:rPr>
        <w:t>OS</w:t>
      </w:r>
      <w:r w:rsidR="000779DC">
        <w:rPr>
          <w:szCs w:val="24"/>
        </w:rPr>
        <w:t xml:space="preserve">, </w:t>
      </w:r>
      <w:r w:rsidR="000E15AB">
        <w:rPr>
          <w:szCs w:val="24"/>
        </w:rPr>
        <w:t>and</w:t>
      </w:r>
      <w:r w:rsidR="00E2781E">
        <w:rPr>
          <w:szCs w:val="24"/>
        </w:rPr>
        <w:t xml:space="preserve"> </w:t>
      </w:r>
      <w:r w:rsidR="000779DC" w:rsidRPr="000779DC">
        <w:rPr>
          <w:szCs w:val="24"/>
        </w:rPr>
        <w:t xml:space="preserve">considered </w:t>
      </w:r>
      <w:r w:rsidR="000779DC">
        <w:rPr>
          <w:szCs w:val="24"/>
        </w:rPr>
        <w:t xml:space="preserve">that </w:t>
      </w:r>
      <w:r w:rsidR="000E15AB">
        <w:rPr>
          <w:szCs w:val="24"/>
        </w:rPr>
        <w:t>this did not accurately reflect the available data where there was a difference in PFS but the OS data were immature and the difference was not statistically significant</w:t>
      </w:r>
      <w:r w:rsidR="000779DC" w:rsidRPr="000779DC">
        <w:rPr>
          <w:szCs w:val="24"/>
        </w:rPr>
        <w:t>.</w:t>
      </w:r>
      <w:r w:rsidR="00A07559">
        <w:rPr>
          <w:szCs w:val="24"/>
        </w:rPr>
        <w:t xml:space="preserve"> </w:t>
      </w:r>
    </w:p>
    <w:p w:rsidR="005D5781" w:rsidRPr="00FE455E" w:rsidRDefault="007C52DC" w:rsidP="001E262F">
      <w:pPr>
        <w:pStyle w:val="ListParagraph"/>
        <w:numPr>
          <w:ilvl w:val="1"/>
          <w:numId w:val="1"/>
        </w:numPr>
        <w:ind w:left="709" w:hanging="709"/>
        <w:jc w:val="both"/>
        <w:rPr>
          <w:rFonts w:cs="Arial"/>
          <w:bCs/>
          <w:snapToGrid w:val="0"/>
          <w:lang w:val="en-GB"/>
        </w:rPr>
      </w:pPr>
      <w:r>
        <w:rPr>
          <w:rFonts w:cs="Arial"/>
          <w:bCs/>
          <w:snapToGrid w:val="0"/>
          <w:lang w:val="en-GB"/>
        </w:rPr>
        <w:t xml:space="preserve">The PBAC </w:t>
      </w:r>
      <w:r w:rsidR="00424B41">
        <w:rPr>
          <w:rFonts w:cs="Arial"/>
          <w:bCs/>
          <w:snapToGrid w:val="0"/>
          <w:lang w:val="en-GB"/>
        </w:rPr>
        <w:t>noted a 20</w:t>
      </w:r>
      <w:r w:rsidR="004E02A8">
        <w:rPr>
          <w:rFonts w:cs="Arial"/>
          <w:bCs/>
          <w:snapToGrid w:val="0"/>
          <w:lang w:val="en-GB"/>
        </w:rPr>
        <w:t>-</w:t>
      </w:r>
      <w:r w:rsidR="00424B41">
        <w:rPr>
          <w:rFonts w:cs="Arial"/>
          <w:bCs/>
          <w:snapToGrid w:val="0"/>
          <w:lang w:val="en-GB"/>
        </w:rPr>
        <w:t xml:space="preserve">year time horizon was used in the submission base case. </w:t>
      </w:r>
      <w:r>
        <w:t>The PBAC recalled its acceptance of</w:t>
      </w:r>
      <w:r w:rsidRPr="007C52DC">
        <w:t xml:space="preserve"> a 20</w:t>
      </w:r>
      <w:r w:rsidR="004E02A8">
        <w:t>-</w:t>
      </w:r>
      <w:r w:rsidRPr="007C52DC">
        <w:t>year time horizon at its July 2015 consideration of bendamustine for indolent</w:t>
      </w:r>
      <w:r>
        <w:t xml:space="preserve"> NHL</w:t>
      </w:r>
      <w:r w:rsidR="002B7429">
        <w:t>, but considered a shorter time horizon of no more than 10 years would be appropriate in this submission for the following reasons</w:t>
      </w:r>
      <w:r w:rsidR="00A2208C">
        <w:t xml:space="preserve">. </w:t>
      </w:r>
      <w:r w:rsidR="001E262F" w:rsidRPr="001E262F">
        <w:t>The PBAC noted that there was no significant difference in OS in the trial, and that in the economic model the OS did not converge within the model time horizon.</w:t>
      </w:r>
      <w:r w:rsidR="00714566">
        <w:t xml:space="preserve"> The PBAC </w:t>
      </w:r>
      <w:r w:rsidR="0041204B">
        <w:t xml:space="preserve">considered it was uncertain </w:t>
      </w:r>
      <w:r w:rsidR="00714566">
        <w:t xml:space="preserve">if </w:t>
      </w:r>
      <w:r w:rsidR="0041204B">
        <w:t xml:space="preserve">the </w:t>
      </w:r>
      <w:r w:rsidR="008D510C">
        <w:t xml:space="preserve">assumed </w:t>
      </w:r>
      <w:r w:rsidR="0041204B">
        <w:t>survival benefit</w:t>
      </w:r>
      <w:r w:rsidR="008D510C">
        <w:t xml:space="preserve"> </w:t>
      </w:r>
      <w:r w:rsidR="001E1816">
        <w:t>favouring</w:t>
      </w:r>
      <w:r w:rsidR="008D510C">
        <w:t xml:space="preserve"> obin</w:t>
      </w:r>
      <w:r w:rsidR="006E0D4C">
        <w:t>u</w:t>
      </w:r>
      <w:r w:rsidR="008D510C">
        <w:t>tuzumab</w:t>
      </w:r>
      <w:r w:rsidR="0041204B">
        <w:t xml:space="preserve"> would be realised</w:t>
      </w:r>
      <w:r w:rsidR="008D510C">
        <w:t>.</w:t>
      </w:r>
      <w:r w:rsidR="00A07559">
        <w:t xml:space="preserve"> </w:t>
      </w:r>
      <w:r w:rsidR="006E0D4C">
        <w:t>In addition, t</w:t>
      </w:r>
      <w:r w:rsidR="00424B41">
        <w:t xml:space="preserve">he PBAC noted the model was </w:t>
      </w:r>
      <w:r w:rsidR="002B7429">
        <w:t xml:space="preserve">highly </w:t>
      </w:r>
      <w:r w:rsidR="00424B41">
        <w:t>sensitive to the time horizon</w:t>
      </w:r>
      <w:r w:rsidR="00714566">
        <w:t>.</w:t>
      </w:r>
    </w:p>
    <w:p w:rsidR="00A41055" w:rsidRPr="00A41055" w:rsidRDefault="001B41A0" w:rsidP="00A375D6">
      <w:pPr>
        <w:pStyle w:val="ListParagraph"/>
        <w:numPr>
          <w:ilvl w:val="1"/>
          <w:numId w:val="1"/>
        </w:numPr>
        <w:ind w:left="709" w:hanging="709"/>
        <w:jc w:val="both"/>
        <w:rPr>
          <w:rFonts w:cs="Arial"/>
          <w:bCs/>
          <w:snapToGrid w:val="0"/>
          <w:lang w:val="en-GB"/>
        </w:rPr>
      </w:pPr>
      <w:r>
        <w:rPr>
          <w:rFonts w:cs="Arial"/>
          <w:bCs/>
          <w:snapToGrid w:val="0"/>
          <w:lang w:val="en-GB"/>
        </w:rPr>
        <w:t xml:space="preserve">The PBAC </w:t>
      </w:r>
      <w:r w:rsidRPr="001B41A0">
        <w:rPr>
          <w:rFonts w:cs="Arial"/>
          <w:bCs/>
          <w:snapToGrid w:val="0"/>
          <w:lang w:val="en-GB"/>
        </w:rPr>
        <w:t xml:space="preserve">noted the </w:t>
      </w:r>
      <w:r w:rsidRPr="001B41A0">
        <w:t>model was sensitive to the extrapolation function used</w:t>
      </w:r>
      <w:r w:rsidR="00F7403B">
        <w:t xml:space="preserve"> with alternate PFS extrapolation methods producing varying results</w:t>
      </w:r>
      <w:r w:rsidR="00CD01BF">
        <w:t>. The</w:t>
      </w:r>
      <w:r w:rsidR="00F7403B">
        <w:t xml:space="preserve"> PBAC noted that m</w:t>
      </w:r>
      <w:r w:rsidR="00B41EDF" w:rsidRPr="00B41EDF">
        <w:t xml:space="preserve">uch of the variability was due to uncertain fit of the parametric functions beyond trial data. </w:t>
      </w:r>
      <w:r w:rsidR="00A36926">
        <w:t>The PBAC considered that the log-normal function used in the model favoured obinutuzumab as it allowed patients to spend a far greater time in PFS than other extrapolation methods.</w:t>
      </w:r>
    </w:p>
    <w:p w:rsidR="00FE455E" w:rsidRPr="00D00A05" w:rsidRDefault="00866438" w:rsidP="00A375D6">
      <w:pPr>
        <w:pStyle w:val="ListParagraph"/>
        <w:numPr>
          <w:ilvl w:val="1"/>
          <w:numId w:val="1"/>
        </w:numPr>
        <w:ind w:left="709" w:hanging="709"/>
        <w:jc w:val="both"/>
        <w:rPr>
          <w:rFonts w:cs="Arial"/>
          <w:bCs/>
          <w:snapToGrid w:val="0"/>
          <w:lang w:val="en-GB"/>
        </w:rPr>
      </w:pPr>
      <w:r w:rsidRPr="00C34272">
        <w:t xml:space="preserve">The </w:t>
      </w:r>
      <w:r w:rsidRPr="00A375D6">
        <w:rPr>
          <w:rFonts w:cs="Arial"/>
          <w:bCs/>
          <w:snapToGrid w:val="0"/>
          <w:lang w:val="en-GB"/>
        </w:rPr>
        <w:t>PBAC</w:t>
      </w:r>
      <w:r w:rsidRPr="00C34272">
        <w:t xml:space="preserve"> noted </w:t>
      </w:r>
      <w:r w:rsidR="00746342" w:rsidRPr="004267F6">
        <w:t xml:space="preserve">the model </w:t>
      </w:r>
      <w:r w:rsidR="000E15AB">
        <w:t>generated</w:t>
      </w:r>
      <w:r w:rsidR="000E15AB" w:rsidRPr="004267F6">
        <w:t xml:space="preserve"> </w:t>
      </w:r>
      <w:r w:rsidR="00746342" w:rsidRPr="004267F6">
        <w:t xml:space="preserve">a survival benefit </w:t>
      </w:r>
      <w:r w:rsidR="00C80D01">
        <w:t>by delaying disease progression as well as by assuming a lower death rate for obinu</w:t>
      </w:r>
      <w:r w:rsidR="00256077">
        <w:t xml:space="preserve">tuzumab compared with rituximab for patients in the post-progression health state. The PBAC </w:t>
      </w:r>
      <w:r w:rsidR="000E15AB" w:rsidRPr="00B26498">
        <w:rPr>
          <w:color w:val="000000" w:themeColor="text1"/>
        </w:rPr>
        <w:t xml:space="preserve">considered </w:t>
      </w:r>
      <w:r w:rsidR="005514CD" w:rsidRPr="00B26498">
        <w:rPr>
          <w:color w:val="000000" w:themeColor="text1"/>
        </w:rPr>
        <w:t>the difference in death rates post-progression</w:t>
      </w:r>
      <w:r w:rsidR="000E15AB" w:rsidRPr="00B26498">
        <w:rPr>
          <w:color w:val="000000" w:themeColor="text1"/>
        </w:rPr>
        <w:t xml:space="preserve"> further increased the uncertainty associated with the modelled OS gain.</w:t>
      </w:r>
    </w:p>
    <w:p w:rsidR="00D00A05" w:rsidRPr="00393760" w:rsidRDefault="00942DF1" w:rsidP="00A375D6">
      <w:pPr>
        <w:pStyle w:val="ListParagraph"/>
        <w:numPr>
          <w:ilvl w:val="1"/>
          <w:numId w:val="1"/>
        </w:numPr>
        <w:ind w:left="709" w:hanging="709"/>
        <w:jc w:val="both"/>
        <w:rPr>
          <w:rFonts w:cs="Arial"/>
          <w:bCs/>
          <w:snapToGrid w:val="0"/>
          <w:lang w:val="en-GB"/>
        </w:rPr>
      </w:pPr>
      <w:r>
        <w:t>T</w:t>
      </w:r>
      <w:r w:rsidR="00F50113">
        <w:t xml:space="preserve">he PBAC </w:t>
      </w:r>
      <w:r>
        <w:t xml:space="preserve">noted the variability in the ICERs generated </w:t>
      </w:r>
      <w:r w:rsidR="00F50113">
        <w:t>within the sensitivity analyses</w:t>
      </w:r>
      <w:r>
        <w:t>. The PBAC considered that this variability, along with concerns regarding the model time horizon, the PFS extrapolation method</w:t>
      </w:r>
      <w:r w:rsidR="005F4F7C">
        <w:t>,</w:t>
      </w:r>
      <w:r>
        <w:t xml:space="preserve"> and the assumed survival benefit, </w:t>
      </w:r>
      <w:r w:rsidR="00E257EA" w:rsidRPr="00C34272">
        <w:t xml:space="preserve">indicated that the base case </w:t>
      </w:r>
      <w:r w:rsidR="00A776B3">
        <w:t xml:space="preserve">ICER was highly uncertain </w:t>
      </w:r>
      <w:r w:rsidR="006B264A">
        <w:t>and likely underestimated</w:t>
      </w:r>
      <w:r w:rsidR="00105CC0">
        <w:t xml:space="preserve">. </w:t>
      </w:r>
    </w:p>
    <w:p w:rsidR="005F7DBD" w:rsidRPr="00105DE2" w:rsidRDefault="00E30E32" w:rsidP="00A375D6">
      <w:pPr>
        <w:pStyle w:val="ListParagraph"/>
        <w:numPr>
          <w:ilvl w:val="1"/>
          <w:numId w:val="1"/>
        </w:numPr>
        <w:ind w:left="709" w:hanging="709"/>
        <w:jc w:val="both"/>
        <w:rPr>
          <w:rFonts w:cs="Arial"/>
          <w:bCs/>
          <w:snapToGrid w:val="0"/>
          <w:lang w:val="en-GB"/>
        </w:rPr>
      </w:pPr>
      <w:r>
        <w:rPr>
          <w:rFonts w:cs="Arial"/>
          <w:bCs/>
          <w:snapToGrid w:val="0"/>
          <w:lang w:val="en-GB"/>
        </w:rPr>
        <w:t>T</w:t>
      </w:r>
      <w:r w:rsidRPr="00105DE2">
        <w:rPr>
          <w:rFonts w:cs="Arial"/>
          <w:bCs/>
          <w:snapToGrid w:val="0"/>
          <w:lang w:val="en-GB"/>
        </w:rPr>
        <w:t xml:space="preserve">he PBAC considered the financial impact </w:t>
      </w:r>
      <w:r>
        <w:rPr>
          <w:rFonts w:cs="Arial"/>
          <w:bCs/>
          <w:snapToGrid w:val="0"/>
          <w:lang w:val="en-GB"/>
        </w:rPr>
        <w:t xml:space="preserve">of obinutuzumab </w:t>
      </w:r>
      <w:r w:rsidRPr="00105DE2">
        <w:rPr>
          <w:rFonts w:cs="Arial"/>
          <w:bCs/>
          <w:snapToGrid w:val="0"/>
          <w:lang w:val="en-GB"/>
        </w:rPr>
        <w:t>was uncertain.</w:t>
      </w:r>
      <w:r>
        <w:rPr>
          <w:rFonts w:cs="Arial"/>
          <w:bCs/>
          <w:snapToGrid w:val="0"/>
          <w:lang w:val="en-GB"/>
        </w:rPr>
        <w:t xml:space="preserve"> </w:t>
      </w:r>
      <w:r w:rsidR="00092CD4" w:rsidRPr="00105DE2">
        <w:rPr>
          <w:rFonts w:cs="Arial"/>
          <w:bCs/>
          <w:snapToGrid w:val="0"/>
          <w:lang w:val="en-GB"/>
        </w:rPr>
        <w:t xml:space="preserve">The PBAC considered that the uptake rate proposed </w:t>
      </w:r>
      <w:r w:rsidR="00FA0CA7">
        <w:rPr>
          <w:rFonts w:cs="Arial"/>
          <w:bCs/>
          <w:snapToGrid w:val="0"/>
          <w:lang w:val="en-GB"/>
        </w:rPr>
        <w:t>may be</w:t>
      </w:r>
      <w:r w:rsidR="00092CD4" w:rsidRPr="00105DE2">
        <w:rPr>
          <w:rFonts w:cs="Arial"/>
          <w:bCs/>
          <w:snapToGrid w:val="0"/>
          <w:lang w:val="en-GB"/>
        </w:rPr>
        <w:t xml:space="preserve"> underestimated</w:t>
      </w:r>
      <w:r w:rsidR="001247CB">
        <w:rPr>
          <w:rFonts w:cs="Arial"/>
          <w:bCs/>
          <w:snapToGrid w:val="0"/>
          <w:lang w:val="en-GB"/>
        </w:rPr>
        <w:t>, and</w:t>
      </w:r>
      <w:r w:rsidR="004538A5">
        <w:rPr>
          <w:rFonts w:cs="Arial"/>
          <w:bCs/>
          <w:snapToGrid w:val="0"/>
          <w:lang w:val="en-GB"/>
        </w:rPr>
        <w:t xml:space="preserve"> </w:t>
      </w:r>
      <w:r w:rsidR="004A02F8">
        <w:rPr>
          <w:rFonts w:cs="Arial"/>
          <w:bCs/>
          <w:snapToGrid w:val="0"/>
          <w:lang w:val="en-GB"/>
        </w:rPr>
        <w:t xml:space="preserve">noted </w:t>
      </w:r>
      <w:r w:rsidR="007557DD">
        <w:rPr>
          <w:rFonts w:cs="Arial"/>
          <w:bCs/>
          <w:snapToGrid w:val="0"/>
          <w:lang w:val="en-GB"/>
        </w:rPr>
        <w:t xml:space="preserve">the </w:t>
      </w:r>
      <w:r w:rsidR="004538A5">
        <w:rPr>
          <w:rFonts w:cs="Arial"/>
          <w:bCs/>
          <w:snapToGrid w:val="0"/>
          <w:lang w:val="en-GB"/>
        </w:rPr>
        <w:t xml:space="preserve">high </w:t>
      </w:r>
      <w:r w:rsidR="007557DD">
        <w:rPr>
          <w:rFonts w:cs="Arial"/>
          <w:bCs/>
          <w:snapToGrid w:val="0"/>
          <w:lang w:val="en-GB"/>
        </w:rPr>
        <w:t xml:space="preserve">incremental </w:t>
      </w:r>
      <w:r w:rsidR="000F64EF" w:rsidRPr="00105DE2">
        <w:rPr>
          <w:rFonts w:cs="Arial"/>
          <w:bCs/>
          <w:snapToGrid w:val="0"/>
          <w:lang w:val="en-GB"/>
        </w:rPr>
        <w:t xml:space="preserve">drug cost of obinutuzumab </w:t>
      </w:r>
      <w:r w:rsidR="004538A5">
        <w:rPr>
          <w:rFonts w:cs="Arial"/>
          <w:bCs/>
          <w:snapToGrid w:val="0"/>
          <w:lang w:val="en-GB"/>
        </w:rPr>
        <w:t>over rituximab</w:t>
      </w:r>
      <w:r w:rsidR="005417B6">
        <w:rPr>
          <w:rFonts w:cs="Arial"/>
          <w:bCs/>
          <w:snapToGrid w:val="0"/>
          <w:lang w:val="en-GB"/>
        </w:rPr>
        <w:t xml:space="preserve">. </w:t>
      </w:r>
    </w:p>
    <w:p w:rsidR="006F4EF4" w:rsidRPr="00105DE2" w:rsidRDefault="00DA08E4" w:rsidP="00A375D6">
      <w:pPr>
        <w:pStyle w:val="ListParagraph"/>
        <w:numPr>
          <w:ilvl w:val="1"/>
          <w:numId w:val="1"/>
        </w:numPr>
        <w:ind w:left="709" w:hanging="709"/>
        <w:jc w:val="both"/>
        <w:rPr>
          <w:rFonts w:cs="Arial"/>
          <w:bCs/>
          <w:snapToGrid w:val="0"/>
          <w:lang w:val="en-GB"/>
        </w:rPr>
      </w:pPr>
      <w:r w:rsidRPr="00105DE2">
        <w:rPr>
          <w:rFonts w:cs="Arial"/>
          <w:bCs/>
          <w:snapToGrid w:val="0"/>
          <w:lang w:val="en-GB"/>
        </w:rPr>
        <w:t xml:space="preserve">The PBAC </w:t>
      </w:r>
      <w:r w:rsidR="00941081">
        <w:rPr>
          <w:rFonts w:cs="Arial"/>
          <w:bCs/>
          <w:snapToGrid w:val="0"/>
          <w:lang w:val="en-GB"/>
        </w:rPr>
        <w:t xml:space="preserve">proposed that </w:t>
      </w:r>
      <w:r w:rsidRPr="00105DE2">
        <w:rPr>
          <w:rFonts w:cs="Arial"/>
          <w:bCs/>
          <w:snapToGrid w:val="0"/>
          <w:lang w:val="en-GB"/>
        </w:rPr>
        <w:t>any resubmissi</w:t>
      </w:r>
      <w:r w:rsidR="00C75CEE" w:rsidRPr="00105DE2">
        <w:rPr>
          <w:rFonts w:cs="Arial"/>
          <w:bCs/>
          <w:snapToGrid w:val="0"/>
          <w:lang w:val="en-GB"/>
        </w:rPr>
        <w:t xml:space="preserve">on should be a major submission. The resubmission </w:t>
      </w:r>
      <w:r w:rsidRPr="00105DE2">
        <w:rPr>
          <w:rFonts w:cs="Arial"/>
          <w:bCs/>
          <w:snapToGrid w:val="0"/>
          <w:lang w:val="en-GB"/>
        </w:rPr>
        <w:t xml:space="preserve">would need to </w:t>
      </w:r>
      <w:r w:rsidR="004A02F8">
        <w:rPr>
          <w:rFonts w:cs="Arial"/>
          <w:bCs/>
          <w:snapToGrid w:val="0"/>
          <w:lang w:val="en-GB"/>
        </w:rPr>
        <w:t xml:space="preserve">more </w:t>
      </w:r>
      <w:r w:rsidR="004925F3">
        <w:rPr>
          <w:rFonts w:cs="Arial"/>
          <w:bCs/>
          <w:snapToGrid w:val="0"/>
          <w:lang w:val="en-GB"/>
        </w:rPr>
        <w:t xml:space="preserve">clearly </w:t>
      </w:r>
      <w:r w:rsidRPr="00105DE2">
        <w:rPr>
          <w:rFonts w:cs="Arial"/>
          <w:bCs/>
          <w:snapToGrid w:val="0"/>
          <w:lang w:val="en-GB"/>
        </w:rPr>
        <w:t>establish the clinical need</w:t>
      </w:r>
      <w:r w:rsidR="004A02F8">
        <w:rPr>
          <w:rFonts w:cs="Arial"/>
          <w:bCs/>
          <w:snapToGrid w:val="0"/>
          <w:lang w:val="en-GB"/>
        </w:rPr>
        <w:t>,</w:t>
      </w:r>
      <w:r w:rsidRPr="00105DE2">
        <w:rPr>
          <w:rFonts w:cs="Arial"/>
          <w:bCs/>
          <w:snapToGrid w:val="0"/>
          <w:lang w:val="en-GB"/>
        </w:rPr>
        <w:t xml:space="preserve"> </w:t>
      </w:r>
      <w:r w:rsidR="004925F3">
        <w:rPr>
          <w:rFonts w:cs="Arial"/>
          <w:bCs/>
          <w:snapToGrid w:val="0"/>
          <w:lang w:val="en-GB"/>
        </w:rPr>
        <w:t xml:space="preserve">and </w:t>
      </w:r>
      <w:r w:rsidR="008325D6">
        <w:rPr>
          <w:rFonts w:cs="Arial"/>
          <w:bCs/>
          <w:snapToGrid w:val="0"/>
          <w:lang w:val="en-GB"/>
        </w:rPr>
        <w:t xml:space="preserve">demonstrate the </w:t>
      </w:r>
      <w:r w:rsidR="008325D6" w:rsidRPr="007D1B58">
        <w:rPr>
          <w:rFonts w:cs="Arial"/>
          <w:bCs/>
          <w:snapToGrid w:val="0"/>
          <w:lang w:val="en-GB"/>
        </w:rPr>
        <w:t>clinical benefits</w:t>
      </w:r>
      <w:r w:rsidR="004A02F8">
        <w:rPr>
          <w:rFonts w:cs="Arial"/>
          <w:bCs/>
          <w:snapToGrid w:val="0"/>
          <w:lang w:val="en-GB"/>
        </w:rPr>
        <w:t>,</w:t>
      </w:r>
      <w:r w:rsidR="00D22454">
        <w:rPr>
          <w:rFonts w:cs="Arial"/>
          <w:bCs/>
          <w:snapToGrid w:val="0"/>
          <w:lang w:val="en-GB"/>
        </w:rPr>
        <w:t xml:space="preserve"> of </w:t>
      </w:r>
      <w:r w:rsidR="004A02F8">
        <w:t xml:space="preserve">obinutuzumab </w:t>
      </w:r>
      <w:r w:rsidR="004925F3">
        <w:rPr>
          <w:rFonts w:cs="Arial"/>
          <w:bCs/>
          <w:snapToGrid w:val="0"/>
          <w:lang w:val="en-GB"/>
        </w:rPr>
        <w:t>over rituximab in the first</w:t>
      </w:r>
      <w:r w:rsidR="00477419">
        <w:rPr>
          <w:rFonts w:cs="Arial"/>
          <w:bCs/>
          <w:snapToGrid w:val="0"/>
          <w:lang w:val="en-GB"/>
        </w:rPr>
        <w:t>-</w:t>
      </w:r>
      <w:r w:rsidR="004925F3">
        <w:rPr>
          <w:rFonts w:cs="Arial"/>
          <w:bCs/>
          <w:snapToGrid w:val="0"/>
          <w:lang w:val="en-GB"/>
        </w:rPr>
        <w:t xml:space="preserve">line setting. </w:t>
      </w:r>
      <w:r w:rsidR="004A02F8">
        <w:rPr>
          <w:rFonts w:cs="Arial"/>
          <w:bCs/>
          <w:snapToGrid w:val="0"/>
          <w:lang w:val="en-GB"/>
        </w:rPr>
        <w:t>In particular, t</w:t>
      </w:r>
      <w:r w:rsidR="00112205">
        <w:rPr>
          <w:rFonts w:cs="Arial"/>
          <w:bCs/>
          <w:snapToGrid w:val="0"/>
          <w:lang w:val="en-GB"/>
        </w:rPr>
        <w:t xml:space="preserve">he </w:t>
      </w:r>
      <w:r w:rsidRPr="00105DE2">
        <w:rPr>
          <w:rFonts w:cs="Arial"/>
          <w:bCs/>
          <w:snapToGrid w:val="0"/>
          <w:lang w:val="en-GB"/>
        </w:rPr>
        <w:t xml:space="preserve">Committee would welcome updated data for </w:t>
      </w:r>
      <w:r w:rsidR="00D22454">
        <w:rPr>
          <w:rFonts w:cs="Arial"/>
          <w:bCs/>
          <w:snapToGrid w:val="0"/>
          <w:lang w:val="en-GB"/>
        </w:rPr>
        <w:t>OS</w:t>
      </w:r>
      <w:r w:rsidRPr="00105DE2">
        <w:rPr>
          <w:rFonts w:cs="Arial"/>
          <w:bCs/>
          <w:snapToGrid w:val="0"/>
          <w:lang w:val="en-GB"/>
        </w:rPr>
        <w:t xml:space="preserve">. </w:t>
      </w:r>
      <w:r w:rsidR="00D22454">
        <w:rPr>
          <w:rFonts w:cs="Arial"/>
          <w:bCs/>
          <w:snapToGrid w:val="0"/>
          <w:lang w:val="en-GB"/>
        </w:rPr>
        <w:t xml:space="preserve">The PBAC considered that such a submission </w:t>
      </w:r>
      <w:r w:rsidR="006B2AD4">
        <w:rPr>
          <w:rFonts w:cs="Arial"/>
          <w:bCs/>
          <w:snapToGrid w:val="0"/>
          <w:lang w:val="en-GB"/>
        </w:rPr>
        <w:t xml:space="preserve">should </w:t>
      </w:r>
      <w:r w:rsidR="00D22454">
        <w:rPr>
          <w:rFonts w:cs="Arial"/>
          <w:bCs/>
          <w:snapToGrid w:val="0"/>
          <w:lang w:val="en-GB"/>
        </w:rPr>
        <w:t>revise the economic model to include more conservative assumptions regarding PFS</w:t>
      </w:r>
      <w:r w:rsidR="006B2AD4">
        <w:rPr>
          <w:rFonts w:cs="Arial"/>
          <w:bCs/>
          <w:snapToGrid w:val="0"/>
          <w:lang w:val="en-GB"/>
        </w:rPr>
        <w:t xml:space="preserve"> (and hence OS)</w:t>
      </w:r>
      <w:r w:rsidR="00D22454">
        <w:rPr>
          <w:rFonts w:cs="Arial"/>
          <w:bCs/>
          <w:snapToGrid w:val="0"/>
          <w:lang w:val="en-GB"/>
        </w:rPr>
        <w:t xml:space="preserve">, </w:t>
      </w:r>
      <w:r w:rsidR="006B2AD4">
        <w:rPr>
          <w:rFonts w:cs="Arial"/>
          <w:bCs/>
          <w:snapToGrid w:val="0"/>
          <w:lang w:val="en-GB"/>
        </w:rPr>
        <w:t>assume the same death rate for obinutuzumab and rituximab post-p</w:t>
      </w:r>
      <w:r w:rsidR="006B264A">
        <w:rPr>
          <w:rFonts w:cs="Arial"/>
          <w:bCs/>
          <w:snapToGrid w:val="0"/>
          <w:lang w:val="en-GB"/>
        </w:rPr>
        <w:t>ro</w:t>
      </w:r>
      <w:r w:rsidR="006B2AD4">
        <w:rPr>
          <w:rFonts w:cs="Arial"/>
          <w:bCs/>
          <w:snapToGrid w:val="0"/>
          <w:lang w:val="en-GB"/>
        </w:rPr>
        <w:t>gression</w:t>
      </w:r>
      <w:r w:rsidR="006B264A">
        <w:rPr>
          <w:rFonts w:cs="Arial"/>
          <w:bCs/>
          <w:snapToGrid w:val="0"/>
          <w:lang w:val="en-GB"/>
        </w:rPr>
        <w:t xml:space="preserve">, </w:t>
      </w:r>
      <w:r w:rsidR="00D22454">
        <w:rPr>
          <w:rFonts w:cs="Arial"/>
          <w:bCs/>
          <w:snapToGrid w:val="0"/>
          <w:lang w:val="en-GB"/>
        </w:rPr>
        <w:t xml:space="preserve">use a time horizon </w:t>
      </w:r>
      <w:r w:rsidR="008C12DE">
        <w:rPr>
          <w:rFonts w:cs="Arial"/>
          <w:bCs/>
          <w:snapToGrid w:val="0"/>
          <w:lang w:val="en-GB"/>
        </w:rPr>
        <w:t xml:space="preserve">of no more than 10 years, </w:t>
      </w:r>
      <w:r w:rsidR="00D22454">
        <w:rPr>
          <w:rFonts w:cs="Arial"/>
          <w:bCs/>
          <w:snapToGrid w:val="0"/>
          <w:lang w:val="en-GB"/>
        </w:rPr>
        <w:t xml:space="preserve">and ensure the </w:t>
      </w:r>
      <w:r w:rsidR="00D22454" w:rsidRPr="00105DE2">
        <w:t xml:space="preserve">convergence of survival </w:t>
      </w:r>
      <w:r w:rsidR="00573192">
        <w:t xml:space="preserve">curves </w:t>
      </w:r>
      <w:r w:rsidR="00D22454" w:rsidRPr="00105DE2">
        <w:t>within the modelled timeframe</w:t>
      </w:r>
      <w:r w:rsidR="00D22454">
        <w:t>.</w:t>
      </w:r>
      <w:r w:rsidR="006B264A">
        <w:t xml:space="preserve"> The PBAC noted that the clinical need for obinutuzumab as a first-line treatment may be restricted to a subgroup of patients only</w:t>
      </w:r>
      <w:r w:rsidR="008C12DE">
        <w:t>, that had not been identified in the submission</w:t>
      </w:r>
      <w:r w:rsidR="006B264A">
        <w:t xml:space="preserve">. </w:t>
      </w:r>
    </w:p>
    <w:p w:rsidR="00DA08E4" w:rsidRPr="00DA08E4" w:rsidRDefault="006F4EF4" w:rsidP="00A375D6">
      <w:pPr>
        <w:pStyle w:val="ListParagraph"/>
        <w:numPr>
          <w:ilvl w:val="1"/>
          <w:numId w:val="1"/>
        </w:numPr>
        <w:ind w:left="709" w:hanging="709"/>
        <w:jc w:val="both"/>
        <w:rPr>
          <w:rFonts w:cs="Arial"/>
          <w:bCs/>
          <w:i/>
          <w:snapToGrid w:val="0"/>
          <w:lang w:val="en-GB"/>
        </w:rPr>
      </w:pPr>
      <w:r w:rsidRPr="00DA08E4">
        <w:rPr>
          <w:rFonts w:cs="Arial"/>
          <w:bCs/>
          <w:snapToGrid w:val="0"/>
          <w:lang w:val="en-GB"/>
        </w:rPr>
        <w:t>The PBAC noted that this submission is eligible for an Independent Review.</w:t>
      </w:r>
    </w:p>
    <w:p w:rsidR="006F4EF4" w:rsidRPr="00B9753D" w:rsidRDefault="006F4EF4" w:rsidP="006F4EF4">
      <w:pPr>
        <w:spacing w:before="240"/>
        <w:jc w:val="both"/>
        <w:rPr>
          <w:rFonts w:cs="Arial"/>
          <w:b/>
          <w:bCs/>
          <w:snapToGrid w:val="0"/>
          <w:lang w:val="en-GB"/>
        </w:rPr>
      </w:pPr>
      <w:r w:rsidRPr="00B9753D">
        <w:rPr>
          <w:rFonts w:cs="Arial"/>
          <w:b/>
          <w:bCs/>
          <w:snapToGrid w:val="0"/>
          <w:lang w:val="en-GB"/>
        </w:rPr>
        <w:t>Outcome:</w:t>
      </w:r>
    </w:p>
    <w:p w:rsidR="006F4EF4" w:rsidRPr="00B9753D" w:rsidRDefault="006F4EF4" w:rsidP="006F4EF4">
      <w:pPr>
        <w:jc w:val="both"/>
        <w:rPr>
          <w:rFonts w:cs="Arial"/>
          <w:bCs/>
          <w:snapToGrid w:val="0"/>
          <w:lang w:val="en-GB"/>
        </w:rPr>
      </w:pPr>
      <w:r w:rsidRPr="00B9753D">
        <w:rPr>
          <w:rFonts w:cs="Arial"/>
          <w:bCs/>
          <w:snapToGrid w:val="0"/>
          <w:lang w:val="en-GB"/>
        </w:rPr>
        <w:t>Rejected</w:t>
      </w:r>
    </w:p>
    <w:p w:rsidR="006F4EF4" w:rsidRPr="005A48A5" w:rsidRDefault="006F4EF4" w:rsidP="006F4EF4">
      <w:pPr>
        <w:widowControl w:val="0"/>
        <w:jc w:val="both"/>
        <w:rPr>
          <w:rFonts w:cs="Arial"/>
          <w:b/>
          <w:bCs/>
          <w:snapToGrid w:val="0"/>
          <w:highlight w:val="yellow"/>
        </w:rPr>
      </w:pPr>
    </w:p>
    <w:p w:rsidR="00103F27" w:rsidRPr="00103F27" w:rsidRDefault="00103F27" w:rsidP="00103F27">
      <w:pPr>
        <w:pStyle w:val="Heading1"/>
        <w:ind w:left="709" w:hanging="709"/>
      </w:pPr>
      <w:r w:rsidRPr="00103F27">
        <w:t>Context for Decision</w:t>
      </w:r>
    </w:p>
    <w:p w:rsidR="00103F27" w:rsidRPr="00103F27" w:rsidRDefault="00103F27" w:rsidP="00103F27">
      <w:pPr>
        <w:spacing w:after="120"/>
        <w:rPr>
          <w:rFonts w:ascii="Calibri" w:eastAsia="Calibri" w:hAnsi="Calibri" w:cs="Arial"/>
        </w:rPr>
      </w:pPr>
      <w:r w:rsidRPr="00103F27">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03F27" w:rsidRPr="00103F27" w:rsidRDefault="00103F27" w:rsidP="00103F27">
      <w:pPr>
        <w:pStyle w:val="Heading1"/>
        <w:ind w:left="709" w:hanging="709"/>
      </w:pPr>
      <w:r w:rsidRPr="00103F27">
        <w:t>Sponsor’s Comment</w:t>
      </w:r>
    </w:p>
    <w:p w:rsidR="006F4EF4" w:rsidRPr="000B7CCC" w:rsidRDefault="000B7CCC" w:rsidP="006F4EF4">
      <w:pPr>
        <w:widowControl w:val="0"/>
        <w:jc w:val="both"/>
        <w:rPr>
          <w:rFonts w:ascii="Calibri" w:eastAsia="Calibri" w:hAnsi="Calibri" w:cs="Arial"/>
        </w:rPr>
      </w:pPr>
      <w:r w:rsidRPr="000B7CCC">
        <w:rPr>
          <w:rFonts w:ascii="Calibri" w:eastAsia="Calibri" w:hAnsi="Calibri" w:cs="Arial"/>
        </w:rPr>
        <w:t>There remains an unmet need for a novel treatment alternative to rituximab that can prolong progression free survival for all previously untreated patients with advanced stage follicular lymphoma. Roche is committed to working with the Department of Health and the PBAC to enable access to obinutuzumab for people with advanced follicular lymphoma.</w:t>
      </w:r>
    </w:p>
    <w:sectPr w:rsidR="006F4EF4" w:rsidRPr="000B7CCC" w:rsidSect="00AD0652">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4DE98B" w15:done="0"/>
  <w15:commentEx w15:paraId="5012CEDC" w15:done="0"/>
  <w15:commentEx w15:paraId="4EBD119B" w15:done="0"/>
  <w15:commentEx w15:paraId="5E0BE6A6" w15:done="0"/>
  <w15:commentEx w15:paraId="6AD2A501" w15:done="0"/>
  <w15:commentEx w15:paraId="0E9513DB" w15:done="0"/>
  <w15:commentEx w15:paraId="11CF5A3A" w15:paraIdParent="0E9513DB" w15:done="0"/>
  <w15:commentEx w15:paraId="791CAC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DA" w:rsidRDefault="00CD21DA" w:rsidP="00BA3306">
      <w:pPr>
        <w:spacing w:before="0" w:after="0"/>
      </w:pPr>
      <w:r>
        <w:separator/>
      </w:r>
    </w:p>
  </w:endnote>
  <w:endnote w:type="continuationSeparator" w:id="0">
    <w:p w:rsidR="00CD21DA" w:rsidRDefault="00CD21DA"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DA" w:rsidRDefault="00CD2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F6" w:rsidRPr="009A3550" w:rsidRDefault="00844DF6" w:rsidP="009A3550">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CD21DA">
      <w:rPr>
        <w:rFonts w:ascii="Calibri" w:hAnsi="Calibri" w:cs="Arial"/>
        <w:b/>
        <w:noProof/>
        <w:sz w:val="20"/>
      </w:rPr>
      <w:t>1</w:t>
    </w:r>
    <w:r w:rsidRPr="00F90A91">
      <w:rPr>
        <w:rFonts w:ascii="Calibri" w:hAnsi="Calibri" w:cs="Arial"/>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DA" w:rsidRDefault="00CD2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DA" w:rsidRDefault="00CD21DA" w:rsidP="00BA3306">
      <w:pPr>
        <w:spacing w:before="0" w:after="0"/>
      </w:pPr>
      <w:r>
        <w:separator/>
      </w:r>
    </w:p>
  </w:footnote>
  <w:footnote w:type="continuationSeparator" w:id="0">
    <w:p w:rsidR="00CD21DA" w:rsidRDefault="00CD21DA" w:rsidP="00BA3306">
      <w:pPr>
        <w:spacing w:before="0" w:after="0"/>
      </w:pPr>
      <w:r>
        <w:continuationSeparator/>
      </w:r>
    </w:p>
  </w:footnote>
  <w:footnote w:id="1">
    <w:p w:rsidR="00844DF6" w:rsidRDefault="00844DF6" w:rsidP="005A0C0E">
      <w:pPr>
        <w:pStyle w:val="FootnoteText"/>
      </w:pPr>
      <w:r>
        <w:rPr>
          <w:rStyle w:val="FootnoteReference"/>
        </w:rPr>
        <w:footnoteRef/>
      </w:r>
      <w:r>
        <w:t xml:space="preserve"> Note: All page references in the commentary were based on the merged submission document received on 17 July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DA" w:rsidRDefault="00CD2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F6" w:rsidRPr="00F90A91" w:rsidRDefault="00844DF6" w:rsidP="00E33F21">
    <w:pPr>
      <w:pStyle w:val="Header"/>
      <w:ind w:left="360"/>
      <w:jc w:val="center"/>
      <w:rPr>
        <w:rFonts w:cs="Arial"/>
        <w:i/>
        <w:color w:val="808080"/>
        <w:sz w:val="22"/>
      </w:rPr>
    </w:pPr>
    <w:r>
      <w:rPr>
        <w:rFonts w:cs="Arial"/>
        <w:i/>
        <w:color w:val="808080"/>
        <w:sz w:val="22"/>
      </w:rPr>
      <w:t>Public Summary Document</w:t>
    </w:r>
    <w:r w:rsidRPr="00F90A91">
      <w:rPr>
        <w:rFonts w:cs="Arial"/>
        <w:i/>
        <w:color w:val="808080"/>
        <w:sz w:val="22"/>
      </w:rPr>
      <w:t xml:space="preserve"> – </w:t>
    </w:r>
    <w:r>
      <w:rPr>
        <w:rFonts w:cs="Arial"/>
        <w:i/>
        <w:color w:val="808080"/>
        <w:sz w:val="22"/>
      </w:rPr>
      <w:t xml:space="preserve">November 2017 </w:t>
    </w:r>
    <w:r w:rsidRPr="00F90A91">
      <w:rPr>
        <w:rFonts w:cs="Arial"/>
        <w:i/>
        <w:color w:val="808080"/>
        <w:sz w:val="22"/>
      </w:rPr>
      <w:t>PBAC Meeting</w:t>
    </w:r>
  </w:p>
  <w:p w:rsidR="00844DF6" w:rsidRDefault="00844D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DA" w:rsidRDefault="00CD2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4A2773"/>
    <w:multiLevelType w:val="hybridMultilevel"/>
    <w:tmpl w:val="21DAFADC"/>
    <w:lvl w:ilvl="0" w:tplc="5FCA5276">
      <w:start w:val="1"/>
      <w:numFmt w:val="bullet"/>
      <w:lvlText w:val="–"/>
      <w:lvlJc w:val="left"/>
      <w:pPr>
        <w:tabs>
          <w:tab w:val="num" w:pos="720"/>
        </w:tabs>
        <w:ind w:left="720" w:hanging="360"/>
      </w:pPr>
      <w:rPr>
        <w:rFonts w:ascii="Arial" w:hAnsi="Arial" w:hint="default"/>
      </w:rPr>
    </w:lvl>
    <w:lvl w:ilvl="1" w:tplc="D3481FE0">
      <w:start w:val="1"/>
      <w:numFmt w:val="bullet"/>
      <w:lvlText w:val="–"/>
      <w:lvlJc w:val="left"/>
      <w:pPr>
        <w:tabs>
          <w:tab w:val="num" w:pos="1440"/>
        </w:tabs>
        <w:ind w:left="1440" w:hanging="360"/>
      </w:pPr>
      <w:rPr>
        <w:rFonts w:ascii="Arial" w:hAnsi="Arial" w:hint="default"/>
      </w:rPr>
    </w:lvl>
    <w:lvl w:ilvl="2" w:tplc="385EFF70" w:tentative="1">
      <w:start w:val="1"/>
      <w:numFmt w:val="bullet"/>
      <w:lvlText w:val="–"/>
      <w:lvlJc w:val="left"/>
      <w:pPr>
        <w:tabs>
          <w:tab w:val="num" w:pos="2160"/>
        </w:tabs>
        <w:ind w:left="2160" w:hanging="360"/>
      </w:pPr>
      <w:rPr>
        <w:rFonts w:ascii="Arial" w:hAnsi="Arial" w:hint="default"/>
      </w:rPr>
    </w:lvl>
    <w:lvl w:ilvl="3" w:tplc="369EA3D4" w:tentative="1">
      <w:start w:val="1"/>
      <w:numFmt w:val="bullet"/>
      <w:lvlText w:val="–"/>
      <w:lvlJc w:val="left"/>
      <w:pPr>
        <w:tabs>
          <w:tab w:val="num" w:pos="2880"/>
        </w:tabs>
        <w:ind w:left="2880" w:hanging="360"/>
      </w:pPr>
      <w:rPr>
        <w:rFonts w:ascii="Arial" w:hAnsi="Arial" w:hint="default"/>
      </w:rPr>
    </w:lvl>
    <w:lvl w:ilvl="4" w:tplc="9260FD08" w:tentative="1">
      <w:start w:val="1"/>
      <w:numFmt w:val="bullet"/>
      <w:lvlText w:val="–"/>
      <w:lvlJc w:val="left"/>
      <w:pPr>
        <w:tabs>
          <w:tab w:val="num" w:pos="3600"/>
        </w:tabs>
        <w:ind w:left="3600" w:hanging="360"/>
      </w:pPr>
      <w:rPr>
        <w:rFonts w:ascii="Arial" w:hAnsi="Arial" w:hint="default"/>
      </w:rPr>
    </w:lvl>
    <w:lvl w:ilvl="5" w:tplc="E96A1682" w:tentative="1">
      <w:start w:val="1"/>
      <w:numFmt w:val="bullet"/>
      <w:lvlText w:val="–"/>
      <w:lvlJc w:val="left"/>
      <w:pPr>
        <w:tabs>
          <w:tab w:val="num" w:pos="4320"/>
        </w:tabs>
        <w:ind w:left="4320" w:hanging="360"/>
      </w:pPr>
      <w:rPr>
        <w:rFonts w:ascii="Arial" w:hAnsi="Arial" w:hint="default"/>
      </w:rPr>
    </w:lvl>
    <w:lvl w:ilvl="6" w:tplc="F81CD696" w:tentative="1">
      <w:start w:val="1"/>
      <w:numFmt w:val="bullet"/>
      <w:lvlText w:val="–"/>
      <w:lvlJc w:val="left"/>
      <w:pPr>
        <w:tabs>
          <w:tab w:val="num" w:pos="5040"/>
        </w:tabs>
        <w:ind w:left="5040" w:hanging="360"/>
      </w:pPr>
      <w:rPr>
        <w:rFonts w:ascii="Arial" w:hAnsi="Arial" w:hint="default"/>
      </w:rPr>
    </w:lvl>
    <w:lvl w:ilvl="7" w:tplc="BF0CCF74" w:tentative="1">
      <w:start w:val="1"/>
      <w:numFmt w:val="bullet"/>
      <w:lvlText w:val="–"/>
      <w:lvlJc w:val="left"/>
      <w:pPr>
        <w:tabs>
          <w:tab w:val="num" w:pos="5760"/>
        </w:tabs>
        <w:ind w:left="5760" w:hanging="360"/>
      </w:pPr>
      <w:rPr>
        <w:rFonts w:ascii="Arial" w:hAnsi="Arial" w:hint="default"/>
      </w:rPr>
    </w:lvl>
    <w:lvl w:ilvl="8" w:tplc="38DEFE58" w:tentative="1">
      <w:start w:val="1"/>
      <w:numFmt w:val="bullet"/>
      <w:lvlText w:val="–"/>
      <w:lvlJc w:val="left"/>
      <w:pPr>
        <w:tabs>
          <w:tab w:val="num" w:pos="6480"/>
        </w:tabs>
        <w:ind w:left="6480" w:hanging="360"/>
      </w:pPr>
      <w:rPr>
        <w:rFonts w:ascii="Arial" w:hAnsi="Arial" w:hint="default"/>
      </w:rPr>
    </w:lvl>
  </w:abstractNum>
  <w:abstractNum w:abstractNumId="2">
    <w:nsid w:val="04DB6EC1"/>
    <w:multiLevelType w:val="hybridMultilevel"/>
    <w:tmpl w:val="EF4C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65AFE"/>
    <w:multiLevelType w:val="hybridMultilevel"/>
    <w:tmpl w:val="394A17C4"/>
    <w:lvl w:ilvl="0" w:tplc="0C36DC5A">
      <w:start w:val="1"/>
      <w:numFmt w:val="bullet"/>
      <w:lvlText w:val="•"/>
      <w:lvlJc w:val="left"/>
      <w:pPr>
        <w:tabs>
          <w:tab w:val="num" w:pos="720"/>
        </w:tabs>
        <w:ind w:left="720" w:hanging="360"/>
      </w:pPr>
      <w:rPr>
        <w:rFonts w:ascii="Arial" w:hAnsi="Arial" w:hint="default"/>
      </w:rPr>
    </w:lvl>
    <w:lvl w:ilvl="1" w:tplc="190C25D0">
      <w:start w:val="1"/>
      <w:numFmt w:val="bullet"/>
      <w:lvlText w:val="•"/>
      <w:lvlJc w:val="left"/>
      <w:pPr>
        <w:tabs>
          <w:tab w:val="num" w:pos="1440"/>
        </w:tabs>
        <w:ind w:left="1440" w:hanging="360"/>
      </w:pPr>
      <w:rPr>
        <w:rFonts w:ascii="Arial" w:hAnsi="Arial" w:hint="default"/>
      </w:rPr>
    </w:lvl>
    <w:lvl w:ilvl="2" w:tplc="2278AB78" w:tentative="1">
      <w:start w:val="1"/>
      <w:numFmt w:val="bullet"/>
      <w:lvlText w:val="•"/>
      <w:lvlJc w:val="left"/>
      <w:pPr>
        <w:tabs>
          <w:tab w:val="num" w:pos="2160"/>
        </w:tabs>
        <w:ind w:left="2160" w:hanging="360"/>
      </w:pPr>
      <w:rPr>
        <w:rFonts w:ascii="Arial" w:hAnsi="Arial" w:hint="default"/>
      </w:rPr>
    </w:lvl>
    <w:lvl w:ilvl="3" w:tplc="88C43532" w:tentative="1">
      <w:start w:val="1"/>
      <w:numFmt w:val="bullet"/>
      <w:lvlText w:val="•"/>
      <w:lvlJc w:val="left"/>
      <w:pPr>
        <w:tabs>
          <w:tab w:val="num" w:pos="2880"/>
        </w:tabs>
        <w:ind w:left="2880" w:hanging="360"/>
      </w:pPr>
      <w:rPr>
        <w:rFonts w:ascii="Arial" w:hAnsi="Arial" w:hint="default"/>
      </w:rPr>
    </w:lvl>
    <w:lvl w:ilvl="4" w:tplc="1C8EE008" w:tentative="1">
      <w:start w:val="1"/>
      <w:numFmt w:val="bullet"/>
      <w:lvlText w:val="•"/>
      <w:lvlJc w:val="left"/>
      <w:pPr>
        <w:tabs>
          <w:tab w:val="num" w:pos="3600"/>
        </w:tabs>
        <w:ind w:left="3600" w:hanging="360"/>
      </w:pPr>
      <w:rPr>
        <w:rFonts w:ascii="Arial" w:hAnsi="Arial" w:hint="default"/>
      </w:rPr>
    </w:lvl>
    <w:lvl w:ilvl="5" w:tplc="4E1878DE" w:tentative="1">
      <w:start w:val="1"/>
      <w:numFmt w:val="bullet"/>
      <w:lvlText w:val="•"/>
      <w:lvlJc w:val="left"/>
      <w:pPr>
        <w:tabs>
          <w:tab w:val="num" w:pos="4320"/>
        </w:tabs>
        <w:ind w:left="4320" w:hanging="360"/>
      </w:pPr>
      <w:rPr>
        <w:rFonts w:ascii="Arial" w:hAnsi="Arial" w:hint="default"/>
      </w:rPr>
    </w:lvl>
    <w:lvl w:ilvl="6" w:tplc="3A681498" w:tentative="1">
      <w:start w:val="1"/>
      <w:numFmt w:val="bullet"/>
      <w:lvlText w:val="•"/>
      <w:lvlJc w:val="left"/>
      <w:pPr>
        <w:tabs>
          <w:tab w:val="num" w:pos="5040"/>
        </w:tabs>
        <w:ind w:left="5040" w:hanging="360"/>
      </w:pPr>
      <w:rPr>
        <w:rFonts w:ascii="Arial" w:hAnsi="Arial" w:hint="default"/>
      </w:rPr>
    </w:lvl>
    <w:lvl w:ilvl="7" w:tplc="495EE73C" w:tentative="1">
      <w:start w:val="1"/>
      <w:numFmt w:val="bullet"/>
      <w:lvlText w:val="•"/>
      <w:lvlJc w:val="left"/>
      <w:pPr>
        <w:tabs>
          <w:tab w:val="num" w:pos="5760"/>
        </w:tabs>
        <w:ind w:left="5760" w:hanging="360"/>
      </w:pPr>
      <w:rPr>
        <w:rFonts w:ascii="Arial" w:hAnsi="Arial" w:hint="default"/>
      </w:rPr>
    </w:lvl>
    <w:lvl w:ilvl="8" w:tplc="692ADF3A" w:tentative="1">
      <w:start w:val="1"/>
      <w:numFmt w:val="bullet"/>
      <w:lvlText w:val="•"/>
      <w:lvlJc w:val="left"/>
      <w:pPr>
        <w:tabs>
          <w:tab w:val="num" w:pos="6480"/>
        </w:tabs>
        <w:ind w:left="6480" w:hanging="360"/>
      </w:pPr>
      <w:rPr>
        <w:rFonts w:ascii="Arial" w:hAnsi="Arial" w:hint="default"/>
      </w:rPr>
    </w:lvl>
  </w:abstractNum>
  <w:abstractNum w:abstractNumId="4">
    <w:nsid w:val="09390EB8"/>
    <w:multiLevelType w:val="hybridMultilevel"/>
    <w:tmpl w:val="92A0857E"/>
    <w:lvl w:ilvl="0" w:tplc="C6041610">
      <w:start w:val="1"/>
      <w:numFmt w:val="bullet"/>
      <w:lvlText w:val="–"/>
      <w:lvlJc w:val="left"/>
      <w:pPr>
        <w:tabs>
          <w:tab w:val="num" w:pos="720"/>
        </w:tabs>
        <w:ind w:left="720" w:hanging="360"/>
      </w:pPr>
      <w:rPr>
        <w:rFonts w:ascii="Arial" w:hAnsi="Arial" w:hint="default"/>
      </w:rPr>
    </w:lvl>
    <w:lvl w:ilvl="1" w:tplc="B15C924A">
      <w:start w:val="1"/>
      <w:numFmt w:val="bullet"/>
      <w:lvlText w:val="–"/>
      <w:lvlJc w:val="left"/>
      <w:pPr>
        <w:tabs>
          <w:tab w:val="num" w:pos="1440"/>
        </w:tabs>
        <w:ind w:left="1440" w:hanging="360"/>
      </w:pPr>
      <w:rPr>
        <w:rFonts w:ascii="Arial" w:hAnsi="Arial" w:hint="default"/>
      </w:rPr>
    </w:lvl>
    <w:lvl w:ilvl="2" w:tplc="A9F22A74" w:tentative="1">
      <w:start w:val="1"/>
      <w:numFmt w:val="bullet"/>
      <w:lvlText w:val="–"/>
      <w:lvlJc w:val="left"/>
      <w:pPr>
        <w:tabs>
          <w:tab w:val="num" w:pos="2160"/>
        </w:tabs>
        <w:ind w:left="2160" w:hanging="360"/>
      </w:pPr>
      <w:rPr>
        <w:rFonts w:ascii="Arial" w:hAnsi="Arial" w:hint="default"/>
      </w:rPr>
    </w:lvl>
    <w:lvl w:ilvl="3" w:tplc="2C727B84" w:tentative="1">
      <w:start w:val="1"/>
      <w:numFmt w:val="bullet"/>
      <w:lvlText w:val="–"/>
      <w:lvlJc w:val="left"/>
      <w:pPr>
        <w:tabs>
          <w:tab w:val="num" w:pos="2880"/>
        </w:tabs>
        <w:ind w:left="2880" w:hanging="360"/>
      </w:pPr>
      <w:rPr>
        <w:rFonts w:ascii="Arial" w:hAnsi="Arial" w:hint="default"/>
      </w:rPr>
    </w:lvl>
    <w:lvl w:ilvl="4" w:tplc="E8267788" w:tentative="1">
      <w:start w:val="1"/>
      <w:numFmt w:val="bullet"/>
      <w:lvlText w:val="–"/>
      <w:lvlJc w:val="left"/>
      <w:pPr>
        <w:tabs>
          <w:tab w:val="num" w:pos="3600"/>
        </w:tabs>
        <w:ind w:left="3600" w:hanging="360"/>
      </w:pPr>
      <w:rPr>
        <w:rFonts w:ascii="Arial" w:hAnsi="Arial" w:hint="default"/>
      </w:rPr>
    </w:lvl>
    <w:lvl w:ilvl="5" w:tplc="FE76908A" w:tentative="1">
      <w:start w:val="1"/>
      <w:numFmt w:val="bullet"/>
      <w:lvlText w:val="–"/>
      <w:lvlJc w:val="left"/>
      <w:pPr>
        <w:tabs>
          <w:tab w:val="num" w:pos="4320"/>
        </w:tabs>
        <w:ind w:left="4320" w:hanging="360"/>
      </w:pPr>
      <w:rPr>
        <w:rFonts w:ascii="Arial" w:hAnsi="Arial" w:hint="default"/>
      </w:rPr>
    </w:lvl>
    <w:lvl w:ilvl="6" w:tplc="646E6512" w:tentative="1">
      <w:start w:val="1"/>
      <w:numFmt w:val="bullet"/>
      <w:lvlText w:val="–"/>
      <w:lvlJc w:val="left"/>
      <w:pPr>
        <w:tabs>
          <w:tab w:val="num" w:pos="5040"/>
        </w:tabs>
        <w:ind w:left="5040" w:hanging="360"/>
      </w:pPr>
      <w:rPr>
        <w:rFonts w:ascii="Arial" w:hAnsi="Arial" w:hint="default"/>
      </w:rPr>
    </w:lvl>
    <w:lvl w:ilvl="7" w:tplc="FE2A45BE" w:tentative="1">
      <w:start w:val="1"/>
      <w:numFmt w:val="bullet"/>
      <w:lvlText w:val="–"/>
      <w:lvlJc w:val="left"/>
      <w:pPr>
        <w:tabs>
          <w:tab w:val="num" w:pos="5760"/>
        </w:tabs>
        <w:ind w:left="5760" w:hanging="360"/>
      </w:pPr>
      <w:rPr>
        <w:rFonts w:ascii="Arial" w:hAnsi="Arial" w:hint="default"/>
      </w:rPr>
    </w:lvl>
    <w:lvl w:ilvl="8" w:tplc="F112BF52" w:tentative="1">
      <w:start w:val="1"/>
      <w:numFmt w:val="bullet"/>
      <w:lvlText w:val="–"/>
      <w:lvlJc w:val="left"/>
      <w:pPr>
        <w:tabs>
          <w:tab w:val="num" w:pos="6480"/>
        </w:tabs>
        <w:ind w:left="6480" w:hanging="360"/>
      </w:pPr>
      <w:rPr>
        <w:rFonts w:ascii="Arial" w:hAnsi="Arial"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9A1BC0"/>
    <w:multiLevelType w:val="hybridMultilevel"/>
    <w:tmpl w:val="8054B2DA"/>
    <w:lvl w:ilvl="0" w:tplc="D7848DEE">
      <w:start w:val="1"/>
      <w:numFmt w:val="bullet"/>
      <w:lvlText w:val="–"/>
      <w:lvlJc w:val="left"/>
      <w:pPr>
        <w:tabs>
          <w:tab w:val="num" w:pos="720"/>
        </w:tabs>
        <w:ind w:left="720" w:hanging="360"/>
      </w:pPr>
      <w:rPr>
        <w:rFonts w:ascii="Arial" w:hAnsi="Arial" w:hint="default"/>
      </w:rPr>
    </w:lvl>
    <w:lvl w:ilvl="1" w:tplc="56CEA6FA">
      <w:start w:val="1"/>
      <w:numFmt w:val="bullet"/>
      <w:lvlText w:val="–"/>
      <w:lvlJc w:val="left"/>
      <w:pPr>
        <w:tabs>
          <w:tab w:val="num" w:pos="1440"/>
        </w:tabs>
        <w:ind w:left="1440" w:hanging="360"/>
      </w:pPr>
      <w:rPr>
        <w:rFonts w:ascii="Arial" w:hAnsi="Arial" w:hint="default"/>
      </w:rPr>
    </w:lvl>
    <w:lvl w:ilvl="2" w:tplc="3F96B32A" w:tentative="1">
      <w:start w:val="1"/>
      <w:numFmt w:val="bullet"/>
      <w:lvlText w:val="–"/>
      <w:lvlJc w:val="left"/>
      <w:pPr>
        <w:tabs>
          <w:tab w:val="num" w:pos="2160"/>
        </w:tabs>
        <w:ind w:left="2160" w:hanging="360"/>
      </w:pPr>
      <w:rPr>
        <w:rFonts w:ascii="Arial" w:hAnsi="Arial" w:hint="default"/>
      </w:rPr>
    </w:lvl>
    <w:lvl w:ilvl="3" w:tplc="DF069582" w:tentative="1">
      <w:start w:val="1"/>
      <w:numFmt w:val="bullet"/>
      <w:lvlText w:val="–"/>
      <w:lvlJc w:val="left"/>
      <w:pPr>
        <w:tabs>
          <w:tab w:val="num" w:pos="2880"/>
        </w:tabs>
        <w:ind w:left="2880" w:hanging="360"/>
      </w:pPr>
      <w:rPr>
        <w:rFonts w:ascii="Arial" w:hAnsi="Arial" w:hint="default"/>
      </w:rPr>
    </w:lvl>
    <w:lvl w:ilvl="4" w:tplc="313E69AA" w:tentative="1">
      <w:start w:val="1"/>
      <w:numFmt w:val="bullet"/>
      <w:lvlText w:val="–"/>
      <w:lvlJc w:val="left"/>
      <w:pPr>
        <w:tabs>
          <w:tab w:val="num" w:pos="3600"/>
        </w:tabs>
        <w:ind w:left="3600" w:hanging="360"/>
      </w:pPr>
      <w:rPr>
        <w:rFonts w:ascii="Arial" w:hAnsi="Arial" w:hint="default"/>
      </w:rPr>
    </w:lvl>
    <w:lvl w:ilvl="5" w:tplc="3D927C5E" w:tentative="1">
      <w:start w:val="1"/>
      <w:numFmt w:val="bullet"/>
      <w:lvlText w:val="–"/>
      <w:lvlJc w:val="left"/>
      <w:pPr>
        <w:tabs>
          <w:tab w:val="num" w:pos="4320"/>
        </w:tabs>
        <w:ind w:left="4320" w:hanging="360"/>
      </w:pPr>
      <w:rPr>
        <w:rFonts w:ascii="Arial" w:hAnsi="Arial" w:hint="default"/>
      </w:rPr>
    </w:lvl>
    <w:lvl w:ilvl="6" w:tplc="A468B27C" w:tentative="1">
      <w:start w:val="1"/>
      <w:numFmt w:val="bullet"/>
      <w:lvlText w:val="–"/>
      <w:lvlJc w:val="left"/>
      <w:pPr>
        <w:tabs>
          <w:tab w:val="num" w:pos="5040"/>
        </w:tabs>
        <w:ind w:left="5040" w:hanging="360"/>
      </w:pPr>
      <w:rPr>
        <w:rFonts w:ascii="Arial" w:hAnsi="Arial" w:hint="default"/>
      </w:rPr>
    </w:lvl>
    <w:lvl w:ilvl="7" w:tplc="AEDCB00E" w:tentative="1">
      <w:start w:val="1"/>
      <w:numFmt w:val="bullet"/>
      <w:lvlText w:val="–"/>
      <w:lvlJc w:val="left"/>
      <w:pPr>
        <w:tabs>
          <w:tab w:val="num" w:pos="5760"/>
        </w:tabs>
        <w:ind w:left="5760" w:hanging="360"/>
      </w:pPr>
      <w:rPr>
        <w:rFonts w:ascii="Arial" w:hAnsi="Arial" w:hint="default"/>
      </w:rPr>
    </w:lvl>
    <w:lvl w:ilvl="8" w:tplc="76CE5A86" w:tentative="1">
      <w:start w:val="1"/>
      <w:numFmt w:val="bullet"/>
      <w:lvlText w:val="–"/>
      <w:lvlJc w:val="left"/>
      <w:pPr>
        <w:tabs>
          <w:tab w:val="num" w:pos="6480"/>
        </w:tabs>
        <w:ind w:left="6480" w:hanging="360"/>
      </w:pPr>
      <w:rPr>
        <w:rFonts w:ascii="Arial" w:hAnsi="Arial" w:hint="default"/>
      </w:rPr>
    </w:lvl>
  </w:abstractNum>
  <w:abstractNum w:abstractNumId="7">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3F266EC"/>
    <w:multiLevelType w:val="hybridMultilevel"/>
    <w:tmpl w:val="79A8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0944CF"/>
    <w:multiLevelType w:val="hybridMultilevel"/>
    <w:tmpl w:val="1DE41738"/>
    <w:lvl w:ilvl="0" w:tplc="F64EABC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361B50"/>
    <w:multiLevelType w:val="hybridMultilevel"/>
    <w:tmpl w:val="1174F822"/>
    <w:lvl w:ilvl="0" w:tplc="DBB0A8C2">
      <w:start w:val="1"/>
      <w:numFmt w:val="bullet"/>
      <w:lvlText w:val="•"/>
      <w:lvlJc w:val="left"/>
      <w:pPr>
        <w:tabs>
          <w:tab w:val="num" w:pos="720"/>
        </w:tabs>
        <w:ind w:left="720" w:hanging="360"/>
      </w:pPr>
      <w:rPr>
        <w:rFonts w:ascii="Arial" w:hAnsi="Arial" w:hint="default"/>
      </w:rPr>
    </w:lvl>
    <w:lvl w:ilvl="1" w:tplc="B93CDA42" w:tentative="1">
      <w:start w:val="1"/>
      <w:numFmt w:val="bullet"/>
      <w:lvlText w:val="•"/>
      <w:lvlJc w:val="left"/>
      <w:pPr>
        <w:tabs>
          <w:tab w:val="num" w:pos="1440"/>
        </w:tabs>
        <w:ind w:left="1440" w:hanging="360"/>
      </w:pPr>
      <w:rPr>
        <w:rFonts w:ascii="Arial" w:hAnsi="Arial" w:hint="default"/>
      </w:rPr>
    </w:lvl>
    <w:lvl w:ilvl="2" w:tplc="C9149904" w:tentative="1">
      <w:start w:val="1"/>
      <w:numFmt w:val="bullet"/>
      <w:lvlText w:val="•"/>
      <w:lvlJc w:val="left"/>
      <w:pPr>
        <w:tabs>
          <w:tab w:val="num" w:pos="2160"/>
        </w:tabs>
        <w:ind w:left="2160" w:hanging="360"/>
      </w:pPr>
      <w:rPr>
        <w:rFonts w:ascii="Arial" w:hAnsi="Arial" w:hint="default"/>
      </w:rPr>
    </w:lvl>
    <w:lvl w:ilvl="3" w:tplc="C8F6154A" w:tentative="1">
      <w:start w:val="1"/>
      <w:numFmt w:val="bullet"/>
      <w:lvlText w:val="•"/>
      <w:lvlJc w:val="left"/>
      <w:pPr>
        <w:tabs>
          <w:tab w:val="num" w:pos="2880"/>
        </w:tabs>
        <w:ind w:left="2880" w:hanging="360"/>
      </w:pPr>
      <w:rPr>
        <w:rFonts w:ascii="Arial" w:hAnsi="Arial" w:hint="default"/>
      </w:rPr>
    </w:lvl>
    <w:lvl w:ilvl="4" w:tplc="38D012C2" w:tentative="1">
      <w:start w:val="1"/>
      <w:numFmt w:val="bullet"/>
      <w:lvlText w:val="•"/>
      <w:lvlJc w:val="left"/>
      <w:pPr>
        <w:tabs>
          <w:tab w:val="num" w:pos="3600"/>
        </w:tabs>
        <w:ind w:left="3600" w:hanging="360"/>
      </w:pPr>
      <w:rPr>
        <w:rFonts w:ascii="Arial" w:hAnsi="Arial" w:hint="default"/>
      </w:rPr>
    </w:lvl>
    <w:lvl w:ilvl="5" w:tplc="047A3E5A" w:tentative="1">
      <w:start w:val="1"/>
      <w:numFmt w:val="bullet"/>
      <w:lvlText w:val="•"/>
      <w:lvlJc w:val="left"/>
      <w:pPr>
        <w:tabs>
          <w:tab w:val="num" w:pos="4320"/>
        </w:tabs>
        <w:ind w:left="4320" w:hanging="360"/>
      </w:pPr>
      <w:rPr>
        <w:rFonts w:ascii="Arial" w:hAnsi="Arial" w:hint="default"/>
      </w:rPr>
    </w:lvl>
    <w:lvl w:ilvl="6" w:tplc="537883FC" w:tentative="1">
      <w:start w:val="1"/>
      <w:numFmt w:val="bullet"/>
      <w:lvlText w:val="•"/>
      <w:lvlJc w:val="left"/>
      <w:pPr>
        <w:tabs>
          <w:tab w:val="num" w:pos="5040"/>
        </w:tabs>
        <w:ind w:left="5040" w:hanging="360"/>
      </w:pPr>
      <w:rPr>
        <w:rFonts w:ascii="Arial" w:hAnsi="Arial" w:hint="default"/>
      </w:rPr>
    </w:lvl>
    <w:lvl w:ilvl="7" w:tplc="F4D2C506" w:tentative="1">
      <w:start w:val="1"/>
      <w:numFmt w:val="bullet"/>
      <w:lvlText w:val="•"/>
      <w:lvlJc w:val="left"/>
      <w:pPr>
        <w:tabs>
          <w:tab w:val="num" w:pos="5760"/>
        </w:tabs>
        <w:ind w:left="5760" w:hanging="360"/>
      </w:pPr>
      <w:rPr>
        <w:rFonts w:ascii="Arial" w:hAnsi="Arial" w:hint="default"/>
      </w:rPr>
    </w:lvl>
    <w:lvl w:ilvl="8" w:tplc="12B626F6" w:tentative="1">
      <w:start w:val="1"/>
      <w:numFmt w:val="bullet"/>
      <w:lvlText w:val="•"/>
      <w:lvlJc w:val="left"/>
      <w:pPr>
        <w:tabs>
          <w:tab w:val="num" w:pos="6480"/>
        </w:tabs>
        <w:ind w:left="6480" w:hanging="360"/>
      </w:pPr>
      <w:rPr>
        <w:rFonts w:ascii="Arial" w:hAnsi="Arial" w:hint="default"/>
      </w:rPr>
    </w:lvl>
  </w:abstractNum>
  <w:abstractNum w:abstractNumId="11">
    <w:nsid w:val="145530CF"/>
    <w:multiLevelType w:val="hybridMultilevel"/>
    <w:tmpl w:val="6F38589E"/>
    <w:lvl w:ilvl="0" w:tplc="110EC564">
      <w:start w:val="1"/>
      <w:numFmt w:val="bullet"/>
      <w:lvlText w:val="•"/>
      <w:lvlJc w:val="left"/>
      <w:pPr>
        <w:tabs>
          <w:tab w:val="num" w:pos="720"/>
        </w:tabs>
        <w:ind w:left="720" w:hanging="360"/>
      </w:pPr>
      <w:rPr>
        <w:rFonts w:ascii="Arial" w:hAnsi="Arial" w:hint="default"/>
      </w:rPr>
    </w:lvl>
    <w:lvl w:ilvl="1" w:tplc="417C9DEC">
      <w:start w:val="1"/>
      <w:numFmt w:val="bullet"/>
      <w:lvlText w:val="•"/>
      <w:lvlJc w:val="left"/>
      <w:pPr>
        <w:tabs>
          <w:tab w:val="num" w:pos="1440"/>
        </w:tabs>
        <w:ind w:left="1440" w:hanging="360"/>
      </w:pPr>
      <w:rPr>
        <w:rFonts w:ascii="Arial" w:hAnsi="Arial" w:hint="default"/>
      </w:rPr>
    </w:lvl>
    <w:lvl w:ilvl="2" w:tplc="17187D32" w:tentative="1">
      <w:start w:val="1"/>
      <w:numFmt w:val="bullet"/>
      <w:lvlText w:val="•"/>
      <w:lvlJc w:val="left"/>
      <w:pPr>
        <w:tabs>
          <w:tab w:val="num" w:pos="2160"/>
        </w:tabs>
        <w:ind w:left="2160" w:hanging="360"/>
      </w:pPr>
      <w:rPr>
        <w:rFonts w:ascii="Arial" w:hAnsi="Arial" w:hint="default"/>
      </w:rPr>
    </w:lvl>
    <w:lvl w:ilvl="3" w:tplc="4482AAFC" w:tentative="1">
      <w:start w:val="1"/>
      <w:numFmt w:val="bullet"/>
      <w:lvlText w:val="•"/>
      <w:lvlJc w:val="left"/>
      <w:pPr>
        <w:tabs>
          <w:tab w:val="num" w:pos="2880"/>
        </w:tabs>
        <w:ind w:left="2880" w:hanging="360"/>
      </w:pPr>
      <w:rPr>
        <w:rFonts w:ascii="Arial" w:hAnsi="Arial" w:hint="default"/>
      </w:rPr>
    </w:lvl>
    <w:lvl w:ilvl="4" w:tplc="08169D6C" w:tentative="1">
      <w:start w:val="1"/>
      <w:numFmt w:val="bullet"/>
      <w:lvlText w:val="•"/>
      <w:lvlJc w:val="left"/>
      <w:pPr>
        <w:tabs>
          <w:tab w:val="num" w:pos="3600"/>
        </w:tabs>
        <w:ind w:left="3600" w:hanging="360"/>
      </w:pPr>
      <w:rPr>
        <w:rFonts w:ascii="Arial" w:hAnsi="Arial" w:hint="default"/>
      </w:rPr>
    </w:lvl>
    <w:lvl w:ilvl="5" w:tplc="A3A6A3A6" w:tentative="1">
      <w:start w:val="1"/>
      <w:numFmt w:val="bullet"/>
      <w:lvlText w:val="•"/>
      <w:lvlJc w:val="left"/>
      <w:pPr>
        <w:tabs>
          <w:tab w:val="num" w:pos="4320"/>
        </w:tabs>
        <w:ind w:left="4320" w:hanging="360"/>
      </w:pPr>
      <w:rPr>
        <w:rFonts w:ascii="Arial" w:hAnsi="Arial" w:hint="default"/>
      </w:rPr>
    </w:lvl>
    <w:lvl w:ilvl="6" w:tplc="C896983A" w:tentative="1">
      <w:start w:val="1"/>
      <w:numFmt w:val="bullet"/>
      <w:lvlText w:val="•"/>
      <w:lvlJc w:val="left"/>
      <w:pPr>
        <w:tabs>
          <w:tab w:val="num" w:pos="5040"/>
        </w:tabs>
        <w:ind w:left="5040" w:hanging="360"/>
      </w:pPr>
      <w:rPr>
        <w:rFonts w:ascii="Arial" w:hAnsi="Arial" w:hint="default"/>
      </w:rPr>
    </w:lvl>
    <w:lvl w:ilvl="7" w:tplc="81FE7C34" w:tentative="1">
      <w:start w:val="1"/>
      <w:numFmt w:val="bullet"/>
      <w:lvlText w:val="•"/>
      <w:lvlJc w:val="left"/>
      <w:pPr>
        <w:tabs>
          <w:tab w:val="num" w:pos="5760"/>
        </w:tabs>
        <w:ind w:left="5760" w:hanging="360"/>
      </w:pPr>
      <w:rPr>
        <w:rFonts w:ascii="Arial" w:hAnsi="Arial" w:hint="default"/>
      </w:rPr>
    </w:lvl>
    <w:lvl w:ilvl="8" w:tplc="634838D8" w:tentative="1">
      <w:start w:val="1"/>
      <w:numFmt w:val="bullet"/>
      <w:lvlText w:val="•"/>
      <w:lvlJc w:val="left"/>
      <w:pPr>
        <w:tabs>
          <w:tab w:val="num" w:pos="6480"/>
        </w:tabs>
        <w:ind w:left="6480" w:hanging="360"/>
      </w:pPr>
      <w:rPr>
        <w:rFonts w:ascii="Arial" w:hAnsi="Arial" w:hint="default"/>
      </w:rPr>
    </w:lvl>
  </w:abstractNum>
  <w:abstractNum w:abstractNumId="12">
    <w:nsid w:val="15B14949"/>
    <w:multiLevelType w:val="hybridMultilevel"/>
    <w:tmpl w:val="4E907C6A"/>
    <w:lvl w:ilvl="0" w:tplc="9642D07E">
      <w:start w:val="1"/>
      <w:numFmt w:val="bullet"/>
      <w:lvlText w:val="•"/>
      <w:lvlJc w:val="left"/>
      <w:pPr>
        <w:tabs>
          <w:tab w:val="num" w:pos="720"/>
        </w:tabs>
        <w:ind w:left="720" w:hanging="360"/>
      </w:pPr>
      <w:rPr>
        <w:rFonts w:ascii="Arial" w:hAnsi="Arial" w:hint="default"/>
      </w:rPr>
    </w:lvl>
    <w:lvl w:ilvl="1" w:tplc="EE0E2E6E">
      <w:start w:val="1"/>
      <w:numFmt w:val="bullet"/>
      <w:lvlText w:val="•"/>
      <w:lvlJc w:val="left"/>
      <w:pPr>
        <w:tabs>
          <w:tab w:val="num" w:pos="1440"/>
        </w:tabs>
        <w:ind w:left="1440" w:hanging="360"/>
      </w:pPr>
      <w:rPr>
        <w:rFonts w:ascii="Arial" w:hAnsi="Arial" w:hint="default"/>
      </w:rPr>
    </w:lvl>
    <w:lvl w:ilvl="2" w:tplc="B51C9C1C" w:tentative="1">
      <w:start w:val="1"/>
      <w:numFmt w:val="bullet"/>
      <w:lvlText w:val="•"/>
      <w:lvlJc w:val="left"/>
      <w:pPr>
        <w:tabs>
          <w:tab w:val="num" w:pos="2160"/>
        </w:tabs>
        <w:ind w:left="2160" w:hanging="360"/>
      </w:pPr>
      <w:rPr>
        <w:rFonts w:ascii="Arial" w:hAnsi="Arial" w:hint="default"/>
      </w:rPr>
    </w:lvl>
    <w:lvl w:ilvl="3" w:tplc="75384D74" w:tentative="1">
      <w:start w:val="1"/>
      <w:numFmt w:val="bullet"/>
      <w:lvlText w:val="•"/>
      <w:lvlJc w:val="left"/>
      <w:pPr>
        <w:tabs>
          <w:tab w:val="num" w:pos="2880"/>
        </w:tabs>
        <w:ind w:left="2880" w:hanging="360"/>
      </w:pPr>
      <w:rPr>
        <w:rFonts w:ascii="Arial" w:hAnsi="Arial" w:hint="default"/>
      </w:rPr>
    </w:lvl>
    <w:lvl w:ilvl="4" w:tplc="AD02BD0A" w:tentative="1">
      <w:start w:val="1"/>
      <w:numFmt w:val="bullet"/>
      <w:lvlText w:val="•"/>
      <w:lvlJc w:val="left"/>
      <w:pPr>
        <w:tabs>
          <w:tab w:val="num" w:pos="3600"/>
        </w:tabs>
        <w:ind w:left="3600" w:hanging="360"/>
      </w:pPr>
      <w:rPr>
        <w:rFonts w:ascii="Arial" w:hAnsi="Arial" w:hint="default"/>
      </w:rPr>
    </w:lvl>
    <w:lvl w:ilvl="5" w:tplc="97669F76" w:tentative="1">
      <w:start w:val="1"/>
      <w:numFmt w:val="bullet"/>
      <w:lvlText w:val="•"/>
      <w:lvlJc w:val="left"/>
      <w:pPr>
        <w:tabs>
          <w:tab w:val="num" w:pos="4320"/>
        </w:tabs>
        <w:ind w:left="4320" w:hanging="360"/>
      </w:pPr>
      <w:rPr>
        <w:rFonts w:ascii="Arial" w:hAnsi="Arial" w:hint="default"/>
      </w:rPr>
    </w:lvl>
    <w:lvl w:ilvl="6" w:tplc="DA94E604" w:tentative="1">
      <w:start w:val="1"/>
      <w:numFmt w:val="bullet"/>
      <w:lvlText w:val="•"/>
      <w:lvlJc w:val="left"/>
      <w:pPr>
        <w:tabs>
          <w:tab w:val="num" w:pos="5040"/>
        </w:tabs>
        <w:ind w:left="5040" w:hanging="360"/>
      </w:pPr>
      <w:rPr>
        <w:rFonts w:ascii="Arial" w:hAnsi="Arial" w:hint="default"/>
      </w:rPr>
    </w:lvl>
    <w:lvl w:ilvl="7" w:tplc="E892B56A" w:tentative="1">
      <w:start w:val="1"/>
      <w:numFmt w:val="bullet"/>
      <w:lvlText w:val="•"/>
      <w:lvlJc w:val="left"/>
      <w:pPr>
        <w:tabs>
          <w:tab w:val="num" w:pos="5760"/>
        </w:tabs>
        <w:ind w:left="5760" w:hanging="360"/>
      </w:pPr>
      <w:rPr>
        <w:rFonts w:ascii="Arial" w:hAnsi="Arial" w:hint="default"/>
      </w:rPr>
    </w:lvl>
    <w:lvl w:ilvl="8" w:tplc="2B0E3086" w:tentative="1">
      <w:start w:val="1"/>
      <w:numFmt w:val="bullet"/>
      <w:lvlText w:val="•"/>
      <w:lvlJc w:val="left"/>
      <w:pPr>
        <w:tabs>
          <w:tab w:val="num" w:pos="6480"/>
        </w:tabs>
        <w:ind w:left="6480" w:hanging="360"/>
      </w:pPr>
      <w:rPr>
        <w:rFonts w:ascii="Arial" w:hAnsi="Arial" w:hint="default"/>
      </w:rPr>
    </w:lvl>
  </w:abstractNum>
  <w:abstractNum w:abstractNumId="13">
    <w:nsid w:val="1AF15442"/>
    <w:multiLevelType w:val="hybridMultilevel"/>
    <w:tmpl w:val="8F3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E14297"/>
    <w:multiLevelType w:val="hybridMultilevel"/>
    <w:tmpl w:val="D6B0B5EA"/>
    <w:lvl w:ilvl="0" w:tplc="883ABF4E">
      <w:start w:val="1"/>
      <w:numFmt w:val="bullet"/>
      <w:lvlText w:val="•"/>
      <w:lvlJc w:val="left"/>
      <w:pPr>
        <w:tabs>
          <w:tab w:val="num" w:pos="720"/>
        </w:tabs>
        <w:ind w:left="720" w:hanging="360"/>
      </w:pPr>
      <w:rPr>
        <w:rFonts w:ascii="Arial" w:hAnsi="Arial" w:hint="default"/>
      </w:rPr>
    </w:lvl>
    <w:lvl w:ilvl="1" w:tplc="95A08F9A" w:tentative="1">
      <w:start w:val="1"/>
      <w:numFmt w:val="bullet"/>
      <w:lvlText w:val="•"/>
      <w:lvlJc w:val="left"/>
      <w:pPr>
        <w:tabs>
          <w:tab w:val="num" w:pos="1440"/>
        </w:tabs>
        <w:ind w:left="1440" w:hanging="360"/>
      </w:pPr>
      <w:rPr>
        <w:rFonts w:ascii="Arial" w:hAnsi="Arial" w:hint="default"/>
      </w:rPr>
    </w:lvl>
    <w:lvl w:ilvl="2" w:tplc="B434D50C" w:tentative="1">
      <w:start w:val="1"/>
      <w:numFmt w:val="bullet"/>
      <w:lvlText w:val="•"/>
      <w:lvlJc w:val="left"/>
      <w:pPr>
        <w:tabs>
          <w:tab w:val="num" w:pos="2160"/>
        </w:tabs>
        <w:ind w:left="2160" w:hanging="360"/>
      </w:pPr>
      <w:rPr>
        <w:rFonts w:ascii="Arial" w:hAnsi="Arial" w:hint="default"/>
      </w:rPr>
    </w:lvl>
    <w:lvl w:ilvl="3" w:tplc="C0669AEE" w:tentative="1">
      <w:start w:val="1"/>
      <w:numFmt w:val="bullet"/>
      <w:lvlText w:val="•"/>
      <w:lvlJc w:val="left"/>
      <w:pPr>
        <w:tabs>
          <w:tab w:val="num" w:pos="2880"/>
        </w:tabs>
        <w:ind w:left="2880" w:hanging="360"/>
      </w:pPr>
      <w:rPr>
        <w:rFonts w:ascii="Arial" w:hAnsi="Arial" w:hint="default"/>
      </w:rPr>
    </w:lvl>
    <w:lvl w:ilvl="4" w:tplc="146488D6" w:tentative="1">
      <w:start w:val="1"/>
      <w:numFmt w:val="bullet"/>
      <w:lvlText w:val="•"/>
      <w:lvlJc w:val="left"/>
      <w:pPr>
        <w:tabs>
          <w:tab w:val="num" w:pos="3600"/>
        </w:tabs>
        <w:ind w:left="3600" w:hanging="360"/>
      </w:pPr>
      <w:rPr>
        <w:rFonts w:ascii="Arial" w:hAnsi="Arial" w:hint="default"/>
      </w:rPr>
    </w:lvl>
    <w:lvl w:ilvl="5" w:tplc="2004AA96" w:tentative="1">
      <w:start w:val="1"/>
      <w:numFmt w:val="bullet"/>
      <w:lvlText w:val="•"/>
      <w:lvlJc w:val="left"/>
      <w:pPr>
        <w:tabs>
          <w:tab w:val="num" w:pos="4320"/>
        </w:tabs>
        <w:ind w:left="4320" w:hanging="360"/>
      </w:pPr>
      <w:rPr>
        <w:rFonts w:ascii="Arial" w:hAnsi="Arial" w:hint="default"/>
      </w:rPr>
    </w:lvl>
    <w:lvl w:ilvl="6" w:tplc="A7D872EA" w:tentative="1">
      <w:start w:val="1"/>
      <w:numFmt w:val="bullet"/>
      <w:lvlText w:val="•"/>
      <w:lvlJc w:val="left"/>
      <w:pPr>
        <w:tabs>
          <w:tab w:val="num" w:pos="5040"/>
        </w:tabs>
        <w:ind w:left="5040" w:hanging="360"/>
      </w:pPr>
      <w:rPr>
        <w:rFonts w:ascii="Arial" w:hAnsi="Arial" w:hint="default"/>
      </w:rPr>
    </w:lvl>
    <w:lvl w:ilvl="7" w:tplc="037CED28" w:tentative="1">
      <w:start w:val="1"/>
      <w:numFmt w:val="bullet"/>
      <w:lvlText w:val="•"/>
      <w:lvlJc w:val="left"/>
      <w:pPr>
        <w:tabs>
          <w:tab w:val="num" w:pos="5760"/>
        </w:tabs>
        <w:ind w:left="5760" w:hanging="360"/>
      </w:pPr>
      <w:rPr>
        <w:rFonts w:ascii="Arial" w:hAnsi="Arial" w:hint="default"/>
      </w:rPr>
    </w:lvl>
    <w:lvl w:ilvl="8" w:tplc="AB44CEFE" w:tentative="1">
      <w:start w:val="1"/>
      <w:numFmt w:val="bullet"/>
      <w:lvlText w:val="•"/>
      <w:lvlJc w:val="left"/>
      <w:pPr>
        <w:tabs>
          <w:tab w:val="num" w:pos="6480"/>
        </w:tabs>
        <w:ind w:left="6480" w:hanging="360"/>
      </w:pPr>
      <w:rPr>
        <w:rFonts w:ascii="Arial" w:hAnsi="Arial" w:hint="default"/>
      </w:rPr>
    </w:lvl>
  </w:abstractNum>
  <w:abstractNum w:abstractNumId="15">
    <w:nsid w:val="1E3A3B58"/>
    <w:multiLevelType w:val="hybridMultilevel"/>
    <w:tmpl w:val="9D601D56"/>
    <w:lvl w:ilvl="0" w:tplc="B3569486">
      <w:start w:val="1"/>
      <w:numFmt w:val="bullet"/>
      <w:lvlText w:val="•"/>
      <w:lvlJc w:val="left"/>
      <w:pPr>
        <w:tabs>
          <w:tab w:val="num" w:pos="720"/>
        </w:tabs>
        <w:ind w:left="720" w:hanging="360"/>
      </w:pPr>
      <w:rPr>
        <w:rFonts w:ascii="Arial" w:hAnsi="Arial" w:hint="default"/>
      </w:rPr>
    </w:lvl>
    <w:lvl w:ilvl="1" w:tplc="7528DE8E">
      <w:start w:val="5836"/>
      <w:numFmt w:val="bullet"/>
      <w:lvlText w:val="–"/>
      <w:lvlJc w:val="left"/>
      <w:pPr>
        <w:tabs>
          <w:tab w:val="num" w:pos="1440"/>
        </w:tabs>
        <w:ind w:left="1440" w:hanging="360"/>
      </w:pPr>
      <w:rPr>
        <w:rFonts w:ascii="Arial" w:hAnsi="Arial" w:hint="default"/>
      </w:rPr>
    </w:lvl>
    <w:lvl w:ilvl="2" w:tplc="8D240BF6" w:tentative="1">
      <w:start w:val="1"/>
      <w:numFmt w:val="bullet"/>
      <w:lvlText w:val="•"/>
      <w:lvlJc w:val="left"/>
      <w:pPr>
        <w:tabs>
          <w:tab w:val="num" w:pos="2160"/>
        </w:tabs>
        <w:ind w:left="2160" w:hanging="360"/>
      </w:pPr>
      <w:rPr>
        <w:rFonts w:ascii="Arial" w:hAnsi="Arial" w:hint="default"/>
      </w:rPr>
    </w:lvl>
    <w:lvl w:ilvl="3" w:tplc="4BDEF09A" w:tentative="1">
      <w:start w:val="1"/>
      <w:numFmt w:val="bullet"/>
      <w:lvlText w:val="•"/>
      <w:lvlJc w:val="left"/>
      <w:pPr>
        <w:tabs>
          <w:tab w:val="num" w:pos="2880"/>
        </w:tabs>
        <w:ind w:left="2880" w:hanging="360"/>
      </w:pPr>
      <w:rPr>
        <w:rFonts w:ascii="Arial" w:hAnsi="Arial" w:hint="default"/>
      </w:rPr>
    </w:lvl>
    <w:lvl w:ilvl="4" w:tplc="CFAEDA28" w:tentative="1">
      <w:start w:val="1"/>
      <w:numFmt w:val="bullet"/>
      <w:lvlText w:val="•"/>
      <w:lvlJc w:val="left"/>
      <w:pPr>
        <w:tabs>
          <w:tab w:val="num" w:pos="3600"/>
        </w:tabs>
        <w:ind w:left="3600" w:hanging="360"/>
      </w:pPr>
      <w:rPr>
        <w:rFonts w:ascii="Arial" w:hAnsi="Arial" w:hint="default"/>
      </w:rPr>
    </w:lvl>
    <w:lvl w:ilvl="5" w:tplc="C5EA3CE2" w:tentative="1">
      <w:start w:val="1"/>
      <w:numFmt w:val="bullet"/>
      <w:lvlText w:val="•"/>
      <w:lvlJc w:val="left"/>
      <w:pPr>
        <w:tabs>
          <w:tab w:val="num" w:pos="4320"/>
        </w:tabs>
        <w:ind w:left="4320" w:hanging="360"/>
      </w:pPr>
      <w:rPr>
        <w:rFonts w:ascii="Arial" w:hAnsi="Arial" w:hint="default"/>
      </w:rPr>
    </w:lvl>
    <w:lvl w:ilvl="6" w:tplc="3EB65862" w:tentative="1">
      <w:start w:val="1"/>
      <w:numFmt w:val="bullet"/>
      <w:lvlText w:val="•"/>
      <w:lvlJc w:val="left"/>
      <w:pPr>
        <w:tabs>
          <w:tab w:val="num" w:pos="5040"/>
        </w:tabs>
        <w:ind w:left="5040" w:hanging="360"/>
      </w:pPr>
      <w:rPr>
        <w:rFonts w:ascii="Arial" w:hAnsi="Arial" w:hint="default"/>
      </w:rPr>
    </w:lvl>
    <w:lvl w:ilvl="7" w:tplc="388CB472" w:tentative="1">
      <w:start w:val="1"/>
      <w:numFmt w:val="bullet"/>
      <w:lvlText w:val="•"/>
      <w:lvlJc w:val="left"/>
      <w:pPr>
        <w:tabs>
          <w:tab w:val="num" w:pos="5760"/>
        </w:tabs>
        <w:ind w:left="5760" w:hanging="360"/>
      </w:pPr>
      <w:rPr>
        <w:rFonts w:ascii="Arial" w:hAnsi="Arial" w:hint="default"/>
      </w:rPr>
    </w:lvl>
    <w:lvl w:ilvl="8" w:tplc="19D8FC7E" w:tentative="1">
      <w:start w:val="1"/>
      <w:numFmt w:val="bullet"/>
      <w:lvlText w:val="•"/>
      <w:lvlJc w:val="left"/>
      <w:pPr>
        <w:tabs>
          <w:tab w:val="num" w:pos="6480"/>
        </w:tabs>
        <w:ind w:left="6480" w:hanging="360"/>
      </w:pPr>
      <w:rPr>
        <w:rFonts w:ascii="Arial" w:hAnsi="Arial" w:hint="default"/>
      </w:rPr>
    </w:lvl>
  </w:abstractNum>
  <w:abstractNum w:abstractNumId="16">
    <w:nsid w:val="1F3A1E43"/>
    <w:multiLevelType w:val="hybridMultilevel"/>
    <w:tmpl w:val="3B42E5DA"/>
    <w:lvl w:ilvl="0" w:tplc="7A2449CE">
      <w:start w:val="1"/>
      <w:numFmt w:val="bullet"/>
      <w:lvlText w:val="•"/>
      <w:lvlJc w:val="left"/>
      <w:pPr>
        <w:tabs>
          <w:tab w:val="num" w:pos="720"/>
        </w:tabs>
        <w:ind w:left="720" w:hanging="360"/>
      </w:pPr>
      <w:rPr>
        <w:rFonts w:ascii="Arial" w:hAnsi="Arial" w:hint="default"/>
      </w:rPr>
    </w:lvl>
    <w:lvl w:ilvl="1" w:tplc="DB1EB6C4">
      <w:start w:val="5715"/>
      <w:numFmt w:val="bullet"/>
      <w:lvlText w:val="–"/>
      <w:lvlJc w:val="left"/>
      <w:pPr>
        <w:tabs>
          <w:tab w:val="num" w:pos="1440"/>
        </w:tabs>
        <w:ind w:left="1440" w:hanging="360"/>
      </w:pPr>
      <w:rPr>
        <w:rFonts w:ascii="Arial" w:hAnsi="Arial" w:hint="default"/>
      </w:rPr>
    </w:lvl>
    <w:lvl w:ilvl="2" w:tplc="20CA573E" w:tentative="1">
      <w:start w:val="1"/>
      <w:numFmt w:val="bullet"/>
      <w:lvlText w:val="•"/>
      <w:lvlJc w:val="left"/>
      <w:pPr>
        <w:tabs>
          <w:tab w:val="num" w:pos="2160"/>
        </w:tabs>
        <w:ind w:left="2160" w:hanging="360"/>
      </w:pPr>
      <w:rPr>
        <w:rFonts w:ascii="Arial" w:hAnsi="Arial" w:hint="default"/>
      </w:rPr>
    </w:lvl>
    <w:lvl w:ilvl="3" w:tplc="7564064E" w:tentative="1">
      <w:start w:val="1"/>
      <w:numFmt w:val="bullet"/>
      <w:lvlText w:val="•"/>
      <w:lvlJc w:val="left"/>
      <w:pPr>
        <w:tabs>
          <w:tab w:val="num" w:pos="2880"/>
        </w:tabs>
        <w:ind w:left="2880" w:hanging="360"/>
      </w:pPr>
      <w:rPr>
        <w:rFonts w:ascii="Arial" w:hAnsi="Arial" w:hint="default"/>
      </w:rPr>
    </w:lvl>
    <w:lvl w:ilvl="4" w:tplc="52C0240A" w:tentative="1">
      <w:start w:val="1"/>
      <w:numFmt w:val="bullet"/>
      <w:lvlText w:val="•"/>
      <w:lvlJc w:val="left"/>
      <w:pPr>
        <w:tabs>
          <w:tab w:val="num" w:pos="3600"/>
        </w:tabs>
        <w:ind w:left="3600" w:hanging="360"/>
      </w:pPr>
      <w:rPr>
        <w:rFonts w:ascii="Arial" w:hAnsi="Arial" w:hint="default"/>
      </w:rPr>
    </w:lvl>
    <w:lvl w:ilvl="5" w:tplc="ECAADA82" w:tentative="1">
      <w:start w:val="1"/>
      <w:numFmt w:val="bullet"/>
      <w:lvlText w:val="•"/>
      <w:lvlJc w:val="left"/>
      <w:pPr>
        <w:tabs>
          <w:tab w:val="num" w:pos="4320"/>
        </w:tabs>
        <w:ind w:left="4320" w:hanging="360"/>
      </w:pPr>
      <w:rPr>
        <w:rFonts w:ascii="Arial" w:hAnsi="Arial" w:hint="default"/>
      </w:rPr>
    </w:lvl>
    <w:lvl w:ilvl="6" w:tplc="35B2493E" w:tentative="1">
      <w:start w:val="1"/>
      <w:numFmt w:val="bullet"/>
      <w:lvlText w:val="•"/>
      <w:lvlJc w:val="left"/>
      <w:pPr>
        <w:tabs>
          <w:tab w:val="num" w:pos="5040"/>
        </w:tabs>
        <w:ind w:left="5040" w:hanging="360"/>
      </w:pPr>
      <w:rPr>
        <w:rFonts w:ascii="Arial" w:hAnsi="Arial" w:hint="default"/>
      </w:rPr>
    </w:lvl>
    <w:lvl w:ilvl="7" w:tplc="5A1EBC58" w:tentative="1">
      <w:start w:val="1"/>
      <w:numFmt w:val="bullet"/>
      <w:lvlText w:val="•"/>
      <w:lvlJc w:val="left"/>
      <w:pPr>
        <w:tabs>
          <w:tab w:val="num" w:pos="5760"/>
        </w:tabs>
        <w:ind w:left="5760" w:hanging="360"/>
      </w:pPr>
      <w:rPr>
        <w:rFonts w:ascii="Arial" w:hAnsi="Arial" w:hint="default"/>
      </w:rPr>
    </w:lvl>
    <w:lvl w:ilvl="8" w:tplc="32D8F3BE" w:tentative="1">
      <w:start w:val="1"/>
      <w:numFmt w:val="bullet"/>
      <w:lvlText w:val="•"/>
      <w:lvlJc w:val="left"/>
      <w:pPr>
        <w:tabs>
          <w:tab w:val="num" w:pos="6480"/>
        </w:tabs>
        <w:ind w:left="6480" w:hanging="360"/>
      </w:pPr>
      <w:rPr>
        <w:rFonts w:ascii="Arial" w:hAnsi="Arial" w:hint="default"/>
      </w:rPr>
    </w:lvl>
  </w:abstractNum>
  <w:abstractNum w:abstractNumId="1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4177D1"/>
    <w:multiLevelType w:val="hybridMultilevel"/>
    <w:tmpl w:val="9EA0DFBE"/>
    <w:lvl w:ilvl="0" w:tplc="29E48382">
      <w:start w:val="1"/>
      <w:numFmt w:val="bullet"/>
      <w:lvlText w:val="•"/>
      <w:lvlJc w:val="left"/>
      <w:pPr>
        <w:tabs>
          <w:tab w:val="num" w:pos="720"/>
        </w:tabs>
        <w:ind w:left="720" w:hanging="360"/>
      </w:pPr>
      <w:rPr>
        <w:rFonts w:ascii="Arial" w:hAnsi="Arial" w:hint="default"/>
      </w:rPr>
    </w:lvl>
    <w:lvl w:ilvl="1" w:tplc="891A35C0">
      <w:start w:val="1"/>
      <w:numFmt w:val="bullet"/>
      <w:lvlText w:val="•"/>
      <w:lvlJc w:val="left"/>
      <w:pPr>
        <w:tabs>
          <w:tab w:val="num" w:pos="1440"/>
        </w:tabs>
        <w:ind w:left="1440" w:hanging="360"/>
      </w:pPr>
      <w:rPr>
        <w:rFonts w:ascii="Arial" w:hAnsi="Arial" w:hint="default"/>
      </w:rPr>
    </w:lvl>
    <w:lvl w:ilvl="2" w:tplc="573C33BC" w:tentative="1">
      <w:start w:val="1"/>
      <w:numFmt w:val="bullet"/>
      <w:lvlText w:val="•"/>
      <w:lvlJc w:val="left"/>
      <w:pPr>
        <w:tabs>
          <w:tab w:val="num" w:pos="2160"/>
        </w:tabs>
        <w:ind w:left="2160" w:hanging="360"/>
      </w:pPr>
      <w:rPr>
        <w:rFonts w:ascii="Arial" w:hAnsi="Arial" w:hint="default"/>
      </w:rPr>
    </w:lvl>
    <w:lvl w:ilvl="3" w:tplc="FF201428" w:tentative="1">
      <w:start w:val="1"/>
      <w:numFmt w:val="bullet"/>
      <w:lvlText w:val="•"/>
      <w:lvlJc w:val="left"/>
      <w:pPr>
        <w:tabs>
          <w:tab w:val="num" w:pos="2880"/>
        </w:tabs>
        <w:ind w:left="2880" w:hanging="360"/>
      </w:pPr>
      <w:rPr>
        <w:rFonts w:ascii="Arial" w:hAnsi="Arial" w:hint="default"/>
      </w:rPr>
    </w:lvl>
    <w:lvl w:ilvl="4" w:tplc="9E1406BC" w:tentative="1">
      <w:start w:val="1"/>
      <w:numFmt w:val="bullet"/>
      <w:lvlText w:val="•"/>
      <w:lvlJc w:val="left"/>
      <w:pPr>
        <w:tabs>
          <w:tab w:val="num" w:pos="3600"/>
        </w:tabs>
        <w:ind w:left="3600" w:hanging="360"/>
      </w:pPr>
      <w:rPr>
        <w:rFonts w:ascii="Arial" w:hAnsi="Arial" w:hint="default"/>
      </w:rPr>
    </w:lvl>
    <w:lvl w:ilvl="5" w:tplc="B6E86678" w:tentative="1">
      <w:start w:val="1"/>
      <w:numFmt w:val="bullet"/>
      <w:lvlText w:val="•"/>
      <w:lvlJc w:val="left"/>
      <w:pPr>
        <w:tabs>
          <w:tab w:val="num" w:pos="4320"/>
        </w:tabs>
        <w:ind w:left="4320" w:hanging="360"/>
      </w:pPr>
      <w:rPr>
        <w:rFonts w:ascii="Arial" w:hAnsi="Arial" w:hint="default"/>
      </w:rPr>
    </w:lvl>
    <w:lvl w:ilvl="6" w:tplc="99DCF3D6" w:tentative="1">
      <w:start w:val="1"/>
      <w:numFmt w:val="bullet"/>
      <w:lvlText w:val="•"/>
      <w:lvlJc w:val="left"/>
      <w:pPr>
        <w:tabs>
          <w:tab w:val="num" w:pos="5040"/>
        </w:tabs>
        <w:ind w:left="5040" w:hanging="360"/>
      </w:pPr>
      <w:rPr>
        <w:rFonts w:ascii="Arial" w:hAnsi="Arial" w:hint="default"/>
      </w:rPr>
    </w:lvl>
    <w:lvl w:ilvl="7" w:tplc="F2C88998" w:tentative="1">
      <w:start w:val="1"/>
      <w:numFmt w:val="bullet"/>
      <w:lvlText w:val="•"/>
      <w:lvlJc w:val="left"/>
      <w:pPr>
        <w:tabs>
          <w:tab w:val="num" w:pos="5760"/>
        </w:tabs>
        <w:ind w:left="5760" w:hanging="360"/>
      </w:pPr>
      <w:rPr>
        <w:rFonts w:ascii="Arial" w:hAnsi="Arial" w:hint="default"/>
      </w:rPr>
    </w:lvl>
    <w:lvl w:ilvl="8" w:tplc="2D2AF9C0" w:tentative="1">
      <w:start w:val="1"/>
      <w:numFmt w:val="bullet"/>
      <w:lvlText w:val="•"/>
      <w:lvlJc w:val="left"/>
      <w:pPr>
        <w:tabs>
          <w:tab w:val="num" w:pos="6480"/>
        </w:tabs>
        <w:ind w:left="6480" w:hanging="360"/>
      </w:pPr>
      <w:rPr>
        <w:rFonts w:ascii="Arial" w:hAnsi="Arial" w:hint="default"/>
      </w:rPr>
    </w:lvl>
  </w:abstractNum>
  <w:abstractNum w:abstractNumId="19">
    <w:nsid w:val="28086554"/>
    <w:multiLevelType w:val="hybridMultilevel"/>
    <w:tmpl w:val="BD0864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84E6825"/>
    <w:multiLevelType w:val="multilevel"/>
    <w:tmpl w:val="962E11B8"/>
    <w:lvl w:ilvl="0">
      <w:start w:val="1"/>
      <w:numFmt w:val="decimal"/>
      <w:pStyle w:val="Heading1"/>
      <w:lvlText w:val="%1"/>
      <w:lvlJc w:val="left"/>
      <w:pPr>
        <w:ind w:left="432" w:hanging="432"/>
      </w:pPr>
      <w:rPr>
        <w:rFonts w:hint="default"/>
        <w:b/>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EB6264D"/>
    <w:multiLevelType w:val="hybridMultilevel"/>
    <w:tmpl w:val="3E466944"/>
    <w:lvl w:ilvl="0" w:tplc="D86E8E62">
      <w:start w:val="1"/>
      <w:numFmt w:val="bullet"/>
      <w:lvlText w:val="•"/>
      <w:lvlJc w:val="left"/>
      <w:pPr>
        <w:tabs>
          <w:tab w:val="num" w:pos="720"/>
        </w:tabs>
        <w:ind w:left="720" w:hanging="360"/>
      </w:pPr>
      <w:rPr>
        <w:rFonts w:ascii="Arial" w:hAnsi="Arial" w:hint="default"/>
      </w:rPr>
    </w:lvl>
    <w:lvl w:ilvl="1" w:tplc="AF06F85E">
      <w:start w:val="985"/>
      <w:numFmt w:val="bullet"/>
      <w:lvlText w:val="–"/>
      <w:lvlJc w:val="left"/>
      <w:pPr>
        <w:tabs>
          <w:tab w:val="num" w:pos="1440"/>
        </w:tabs>
        <w:ind w:left="1440" w:hanging="360"/>
      </w:pPr>
      <w:rPr>
        <w:rFonts w:ascii="Arial" w:hAnsi="Arial" w:hint="default"/>
      </w:rPr>
    </w:lvl>
    <w:lvl w:ilvl="2" w:tplc="D010A8AC">
      <w:start w:val="985"/>
      <w:numFmt w:val="bullet"/>
      <w:lvlText w:val="•"/>
      <w:lvlJc w:val="left"/>
      <w:pPr>
        <w:tabs>
          <w:tab w:val="num" w:pos="2160"/>
        </w:tabs>
        <w:ind w:left="2160" w:hanging="360"/>
      </w:pPr>
      <w:rPr>
        <w:rFonts w:ascii="Arial" w:hAnsi="Arial" w:hint="default"/>
      </w:rPr>
    </w:lvl>
    <w:lvl w:ilvl="3" w:tplc="69F2D1E8" w:tentative="1">
      <w:start w:val="1"/>
      <w:numFmt w:val="bullet"/>
      <w:lvlText w:val="•"/>
      <w:lvlJc w:val="left"/>
      <w:pPr>
        <w:tabs>
          <w:tab w:val="num" w:pos="2880"/>
        </w:tabs>
        <w:ind w:left="2880" w:hanging="360"/>
      </w:pPr>
      <w:rPr>
        <w:rFonts w:ascii="Arial" w:hAnsi="Arial" w:hint="default"/>
      </w:rPr>
    </w:lvl>
    <w:lvl w:ilvl="4" w:tplc="6FEADFC2" w:tentative="1">
      <w:start w:val="1"/>
      <w:numFmt w:val="bullet"/>
      <w:lvlText w:val="•"/>
      <w:lvlJc w:val="left"/>
      <w:pPr>
        <w:tabs>
          <w:tab w:val="num" w:pos="3600"/>
        </w:tabs>
        <w:ind w:left="3600" w:hanging="360"/>
      </w:pPr>
      <w:rPr>
        <w:rFonts w:ascii="Arial" w:hAnsi="Arial" w:hint="default"/>
      </w:rPr>
    </w:lvl>
    <w:lvl w:ilvl="5" w:tplc="CC36EDBC" w:tentative="1">
      <w:start w:val="1"/>
      <w:numFmt w:val="bullet"/>
      <w:lvlText w:val="•"/>
      <w:lvlJc w:val="left"/>
      <w:pPr>
        <w:tabs>
          <w:tab w:val="num" w:pos="4320"/>
        </w:tabs>
        <w:ind w:left="4320" w:hanging="360"/>
      </w:pPr>
      <w:rPr>
        <w:rFonts w:ascii="Arial" w:hAnsi="Arial" w:hint="default"/>
      </w:rPr>
    </w:lvl>
    <w:lvl w:ilvl="6" w:tplc="C882A6C2" w:tentative="1">
      <w:start w:val="1"/>
      <w:numFmt w:val="bullet"/>
      <w:lvlText w:val="•"/>
      <w:lvlJc w:val="left"/>
      <w:pPr>
        <w:tabs>
          <w:tab w:val="num" w:pos="5040"/>
        </w:tabs>
        <w:ind w:left="5040" w:hanging="360"/>
      </w:pPr>
      <w:rPr>
        <w:rFonts w:ascii="Arial" w:hAnsi="Arial" w:hint="default"/>
      </w:rPr>
    </w:lvl>
    <w:lvl w:ilvl="7" w:tplc="DD5236BC" w:tentative="1">
      <w:start w:val="1"/>
      <w:numFmt w:val="bullet"/>
      <w:lvlText w:val="•"/>
      <w:lvlJc w:val="left"/>
      <w:pPr>
        <w:tabs>
          <w:tab w:val="num" w:pos="5760"/>
        </w:tabs>
        <w:ind w:left="5760" w:hanging="360"/>
      </w:pPr>
      <w:rPr>
        <w:rFonts w:ascii="Arial" w:hAnsi="Arial" w:hint="default"/>
      </w:rPr>
    </w:lvl>
    <w:lvl w:ilvl="8" w:tplc="30AC957A" w:tentative="1">
      <w:start w:val="1"/>
      <w:numFmt w:val="bullet"/>
      <w:lvlText w:val="•"/>
      <w:lvlJc w:val="left"/>
      <w:pPr>
        <w:tabs>
          <w:tab w:val="num" w:pos="6480"/>
        </w:tabs>
        <w:ind w:left="6480" w:hanging="360"/>
      </w:pPr>
      <w:rPr>
        <w:rFonts w:ascii="Arial" w:hAnsi="Arial" w:hint="default"/>
      </w:rPr>
    </w:lvl>
  </w:abstractNum>
  <w:abstractNum w:abstractNumId="23">
    <w:nsid w:val="3AAC26E8"/>
    <w:multiLevelType w:val="hybridMultilevel"/>
    <w:tmpl w:val="98B25672"/>
    <w:lvl w:ilvl="0" w:tplc="DF3CB7E0">
      <w:start w:val="1"/>
      <w:numFmt w:val="bullet"/>
      <w:lvlText w:val="•"/>
      <w:lvlJc w:val="left"/>
      <w:pPr>
        <w:tabs>
          <w:tab w:val="num" w:pos="720"/>
        </w:tabs>
        <w:ind w:left="720" w:hanging="360"/>
      </w:pPr>
      <w:rPr>
        <w:rFonts w:ascii="Arial" w:hAnsi="Arial" w:hint="default"/>
      </w:rPr>
    </w:lvl>
    <w:lvl w:ilvl="1" w:tplc="9628F792" w:tentative="1">
      <w:start w:val="1"/>
      <w:numFmt w:val="bullet"/>
      <w:lvlText w:val="•"/>
      <w:lvlJc w:val="left"/>
      <w:pPr>
        <w:tabs>
          <w:tab w:val="num" w:pos="1440"/>
        </w:tabs>
        <w:ind w:left="1440" w:hanging="360"/>
      </w:pPr>
      <w:rPr>
        <w:rFonts w:ascii="Arial" w:hAnsi="Arial" w:hint="default"/>
      </w:rPr>
    </w:lvl>
    <w:lvl w:ilvl="2" w:tplc="52BA25AE" w:tentative="1">
      <w:start w:val="1"/>
      <w:numFmt w:val="bullet"/>
      <w:lvlText w:val="•"/>
      <w:lvlJc w:val="left"/>
      <w:pPr>
        <w:tabs>
          <w:tab w:val="num" w:pos="2160"/>
        </w:tabs>
        <w:ind w:left="2160" w:hanging="360"/>
      </w:pPr>
      <w:rPr>
        <w:rFonts w:ascii="Arial" w:hAnsi="Arial" w:hint="default"/>
      </w:rPr>
    </w:lvl>
    <w:lvl w:ilvl="3" w:tplc="D79049F8" w:tentative="1">
      <w:start w:val="1"/>
      <w:numFmt w:val="bullet"/>
      <w:lvlText w:val="•"/>
      <w:lvlJc w:val="left"/>
      <w:pPr>
        <w:tabs>
          <w:tab w:val="num" w:pos="2880"/>
        </w:tabs>
        <w:ind w:left="2880" w:hanging="360"/>
      </w:pPr>
      <w:rPr>
        <w:rFonts w:ascii="Arial" w:hAnsi="Arial" w:hint="default"/>
      </w:rPr>
    </w:lvl>
    <w:lvl w:ilvl="4" w:tplc="265AAFB8" w:tentative="1">
      <w:start w:val="1"/>
      <w:numFmt w:val="bullet"/>
      <w:lvlText w:val="•"/>
      <w:lvlJc w:val="left"/>
      <w:pPr>
        <w:tabs>
          <w:tab w:val="num" w:pos="3600"/>
        </w:tabs>
        <w:ind w:left="3600" w:hanging="360"/>
      </w:pPr>
      <w:rPr>
        <w:rFonts w:ascii="Arial" w:hAnsi="Arial" w:hint="default"/>
      </w:rPr>
    </w:lvl>
    <w:lvl w:ilvl="5" w:tplc="A9246D60" w:tentative="1">
      <w:start w:val="1"/>
      <w:numFmt w:val="bullet"/>
      <w:lvlText w:val="•"/>
      <w:lvlJc w:val="left"/>
      <w:pPr>
        <w:tabs>
          <w:tab w:val="num" w:pos="4320"/>
        </w:tabs>
        <w:ind w:left="4320" w:hanging="360"/>
      </w:pPr>
      <w:rPr>
        <w:rFonts w:ascii="Arial" w:hAnsi="Arial" w:hint="default"/>
      </w:rPr>
    </w:lvl>
    <w:lvl w:ilvl="6" w:tplc="5FC0C962" w:tentative="1">
      <w:start w:val="1"/>
      <w:numFmt w:val="bullet"/>
      <w:lvlText w:val="•"/>
      <w:lvlJc w:val="left"/>
      <w:pPr>
        <w:tabs>
          <w:tab w:val="num" w:pos="5040"/>
        </w:tabs>
        <w:ind w:left="5040" w:hanging="360"/>
      </w:pPr>
      <w:rPr>
        <w:rFonts w:ascii="Arial" w:hAnsi="Arial" w:hint="default"/>
      </w:rPr>
    </w:lvl>
    <w:lvl w:ilvl="7" w:tplc="3D86CA6C" w:tentative="1">
      <w:start w:val="1"/>
      <w:numFmt w:val="bullet"/>
      <w:lvlText w:val="•"/>
      <w:lvlJc w:val="left"/>
      <w:pPr>
        <w:tabs>
          <w:tab w:val="num" w:pos="5760"/>
        </w:tabs>
        <w:ind w:left="5760" w:hanging="360"/>
      </w:pPr>
      <w:rPr>
        <w:rFonts w:ascii="Arial" w:hAnsi="Arial" w:hint="default"/>
      </w:rPr>
    </w:lvl>
    <w:lvl w:ilvl="8" w:tplc="0B6A5E0E" w:tentative="1">
      <w:start w:val="1"/>
      <w:numFmt w:val="bullet"/>
      <w:lvlText w:val="•"/>
      <w:lvlJc w:val="left"/>
      <w:pPr>
        <w:tabs>
          <w:tab w:val="num" w:pos="6480"/>
        </w:tabs>
        <w:ind w:left="6480" w:hanging="360"/>
      </w:pPr>
      <w:rPr>
        <w:rFonts w:ascii="Arial" w:hAnsi="Arial" w:hint="default"/>
      </w:rPr>
    </w:lvl>
  </w:abstractNum>
  <w:abstractNum w:abstractNumId="24">
    <w:nsid w:val="49574F62"/>
    <w:multiLevelType w:val="hybridMultilevel"/>
    <w:tmpl w:val="39A61BC6"/>
    <w:lvl w:ilvl="0" w:tplc="D6680CEE">
      <w:start w:val="1"/>
      <w:numFmt w:val="bullet"/>
      <w:lvlText w:val="•"/>
      <w:lvlJc w:val="left"/>
      <w:pPr>
        <w:tabs>
          <w:tab w:val="num" w:pos="720"/>
        </w:tabs>
        <w:ind w:left="720" w:hanging="360"/>
      </w:pPr>
      <w:rPr>
        <w:rFonts w:ascii="Arial" w:hAnsi="Arial" w:hint="default"/>
      </w:rPr>
    </w:lvl>
    <w:lvl w:ilvl="1" w:tplc="59940E66">
      <w:start w:val="1"/>
      <w:numFmt w:val="bullet"/>
      <w:lvlText w:val="•"/>
      <w:lvlJc w:val="left"/>
      <w:pPr>
        <w:tabs>
          <w:tab w:val="num" w:pos="1440"/>
        </w:tabs>
        <w:ind w:left="1440" w:hanging="360"/>
      </w:pPr>
      <w:rPr>
        <w:rFonts w:ascii="Arial" w:hAnsi="Arial" w:hint="default"/>
      </w:rPr>
    </w:lvl>
    <w:lvl w:ilvl="2" w:tplc="D5C2FD06" w:tentative="1">
      <w:start w:val="1"/>
      <w:numFmt w:val="bullet"/>
      <w:lvlText w:val="•"/>
      <w:lvlJc w:val="left"/>
      <w:pPr>
        <w:tabs>
          <w:tab w:val="num" w:pos="2160"/>
        </w:tabs>
        <w:ind w:left="2160" w:hanging="360"/>
      </w:pPr>
      <w:rPr>
        <w:rFonts w:ascii="Arial" w:hAnsi="Arial" w:hint="default"/>
      </w:rPr>
    </w:lvl>
    <w:lvl w:ilvl="3" w:tplc="8A06962C" w:tentative="1">
      <w:start w:val="1"/>
      <w:numFmt w:val="bullet"/>
      <w:lvlText w:val="•"/>
      <w:lvlJc w:val="left"/>
      <w:pPr>
        <w:tabs>
          <w:tab w:val="num" w:pos="2880"/>
        </w:tabs>
        <w:ind w:left="2880" w:hanging="360"/>
      </w:pPr>
      <w:rPr>
        <w:rFonts w:ascii="Arial" w:hAnsi="Arial" w:hint="default"/>
      </w:rPr>
    </w:lvl>
    <w:lvl w:ilvl="4" w:tplc="ABF0C012" w:tentative="1">
      <w:start w:val="1"/>
      <w:numFmt w:val="bullet"/>
      <w:lvlText w:val="•"/>
      <w:lvlJc w:val="left"/>
      <w:pPr>
        <w:tabs>
          <w:tab w:val="num" w:pos="3600"/>
        </w:tabs>
        <w:ind w:left="3600" w:hanging="360"/>
      </w:pPr>
      <w:rPr>
        <w:rFonts w:ascii="Arial" w:hAnsi="Arial" w:hint="default"/>
      </w:rPr>
    </w:lvl>
    <w:lvl w:ilvl="5" w:tplc="ED6E1CC0" w:tentative="1">
      <w:start w:val="1"/>
      <w:numFmt w:val="bullet"/>
      <w:lvlText w:val="•"/>
      <w:lvlJc w:val="left"/>
      <w:pPr>
        <w:tabs>
          <w:tab w:val="num" w:pos="4320"/>
        </w:tabs>
        <w:ind w:left="4320" w:hanging="360"/>
      </w:pPr>
      <w:rPr>
        <w:rFonts w:ascii="Arial" w:hAnsi="Arial" w:hint="default"/>
      </w:rPr>
    </w:lvl>
    <w:lvl w:ilvl="6" w:tplc="3BE8C1FA" w:tentative="1">
      <w:start w:val="1"/>
      <w:numFmt w:val="bullet"/>
      <w:lvlText w:val="•"/>
      <w:lvlJc w:val="left"/>
      <w:pPr>
        <w:tabs>
          <w:tab w:val="num" w:pos="5040"/>
        </w:tabs>
        <w:ind w:left="5040" w:hanging="360"/>
      </w:pPr>
      <w:rPr>
        <w:rFonts w:ascii="Arial" w:hAnsi="Arial" w:hint="default"/>
      </w:rPr>
    </w:lvl>
    <w:lvl w:ilvl="7" w:tplc="3C388394" w:tentative="1">
      <w:start w:val="1"/>
      <w:numFmt w:val="bullet"/>
      <w:lvlText w:val="•"/>
      <w:lvlJc w:val="left"/>
      <w:pPr>
        <w:tabs>
          <w:tab w:val="num" w:pos="5760"/>
        </w:tabs>
        <w:ind w:left="5760" w:hanging="360"/>
      </w:pPr>
      <w:rPr>
        <w:rFonts w:ascii="Arial" w:hAnsi="Arial" w:hint="default"/>
      </w:rPr>
    </w:lvl>
    <w:lvl w:ilvl="8" w:tplc="3F9A6322" w:tentative="1">
      <w:start w:val="1"/>
      <w:numFmt w:val="bullet"/>
      <w:lvlText w:val="•"/>
      <w:lvlJc w:val="left"/>
      <w:pPr>
        <w:tabs>
          <w:tab w:val="num" w:pos="6480"/>
        </w:tabs>
        <w:ind w:left="6480" w:hanging="360"/>
      </w:pPr>
      <w:rPr>
        <w:rFonts w:ascii="Arial" w:hAnsi="Arial" w:hint="default"/>
      </w:rPr>
    </w:lvl>
  </w:abstractNum>
  <w:abstractNum w:abstractNumId="25">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302AD6"/>
    <w:multiLevelType w:val="hybridMultilevel"/>
    <w:tmpl w:val="1390F74E"/>
    <w:lvl w:ilvl="0" w:tplc="3258DAC8">
      <w:start w:val="1"/>
      <w:numFmt w:val="bullet"/>
      <w:lvlText w:val="•"/>
      <w:lvlJc w:val="left"/>
      <w:pPr>
        <w:tabs>
          <w:tab w:val="num" w:pos="720"/>
        </w:tabs>
        <w:ind w:left="720" w:hanging="360"/>
      </w:pPr>
      <w:rPr>
        <w:rFonts w:ascii="Arial" w:hAnsi="Arial" w:hint="default"/>
      </w:rPr>
    </w:lvl>
    <w:lvl w:ilvl="1" w:tplc="E0F80FA2">
      <w:start w:val="1"/>
      <w:numFmt w:val="bullet"/>
      <w:lvlText w:val="•"/>
      <w:lvlJc w:val="left"/>
      <w:pPr>
        <w:tabs>
          <w:tab w:val="num" w:pos="1440"/>
        </w:tabs>
        <w:ind w:left="1440" w:hanging="360"/>
      </w:pPr>
      <w:rPr>
        <w:rFonts w:ascii="Arial" w:hAnsi="Arial" w:hint="default"/>
      </w:rPr>
    </w:lvl>
    <w:lvl w:ilvl="2" w:tplc="FAD2DC50" w:tentative="1">
      <w:start w:val="1"/>
      <w:numFmt w:val="bullet"/>
      <w:lvlText w:val="•"/>
      <w:lvlJc w:val="left"/>
      <w:pPr>
        <w:tabs>
          <w:tab w:val="num" w:pos="2160"/>
        </w:tabs>
        <w:ind w:left="2160" w:hanging="360"/>
      </w:pPr>
      <w:rPr>
        <w:rFonts w:ascii="Arial" w:hAnsi="Arial" w:hint="default"/>
      </w:rPr>
    </w:lvl>
    <w:lvl w:ilvl="3" w:tplc="66EE2CE6" w:tentative="1">
      <w:start w:val="1"/>
      <w:numFmt w:val="bullet"/>
      <w:lvlText w:val="•"/>
      <w:lvlJc w:val="left"/>
      <w:pPr>
        <w:tabs>
          <w:tab w:val="num" w:pos="2880"/>
        </w:tabs>
        <w:ind w:left="2880" w:hanging="360"/>
      </w:pPr>
      <w:rPr>
        <w:rFonts w:ascii="Arial" w:hAnsi="Arial" w:hint="default"/>
      </w:rPr>
    </w:lvl>
    <w:lvl w:ilvl="4" w:tplc="BA5E2C84" w:tentative="1">
      <w:start w:val="1"/>
      <w:numFmt w:val="bullet"/>
      <w:lvlText w:val="•"/>
      <w:lvlJc w:val="left"/>
      <w:pPr>
        <w:tabs>
          <w:tab w:val="num" w:pos="3600"/>
        </w:tabs>
        <w:ind w:left="3600" w:hanging="360"/>
      </w:pPr>
      <w:rPr>
        <w:rFonts w:ascii="Arial" w:hAnsi="Arial" w:hint="default"/>
      </w:rPr>
    </w:lvl>
    <w:lvl w:ilvl="5" w:tplc="4C62CDA0" w:tentative="1">
      <w:start w:val="1"/>
      <w:numFmt w:val="bullet"/>
      <w:lvlText w:val="•"/>
      <w:lvlJc w:val="left"/>
      <w:pPr>
        <w:tabs>
          <w:tab w:val="num" w:pos="4320"/>
        </w:tabs>
        <w:ind w:left="4320" w:hanging="360"/>
      </w:pPr>
      <w:rPr>
        <w:rFonts w:ascii="Arial" w:hAnsi="Arial" w:hint="default"/>
      </w:rPr>
    </w:lvl>
    <w:lvl w:ilvl="6" w:tplc="08749348" w:tentative="1">
      <w:start w:val="1"/>
      <w:numFmt w:val="bullet"/>
      <w:lvlText w:val="•"/>
      <w:lvlJc w:val="left"/>
      <w:pPr>
        <w:tabs>
          <w:tab w:val="num" w:pos="5040"/>
        </w:tabs>
        <w:ind w:left="5040" w:hanging="360"/>
      </w:pPr>
      <w:rPr>
        <w:rFonts w:ascii="Arial" w:hAnsi="Arial" w:hint="default"/>
      </w:rPr>
    </w:lvl>
    <w:lvl w:ilvl="7" w:tplc="99526088" w:tentative="1">
      <w:start w:val="1"/>
      <w:numFmt w:val="bullet"/>
      <w:lvlText w:val="•"/>
      <w:lvlJc w:val="left"/>
      <w:pPr>
        <w:tabs>
          <w:tab w:val="num" w:pos="5760"/>
        </w:tabs>
        <w:ind w:left="5760" w:hanging="360"/>
      </w:pPr>
      <w:rPr>
        <w:rFonts w:ascii="Arial" w:hAnsi="Arial" w:hint="default"/>
      </w:rPr>
    </w:lvl>
    <w:lvl w:ilvl="8" w:tplc="CC86BC36" w:tentative="1">
      <w:start w:val="1"/>
      <w:numFmt w:val="bullet"/>
      <w:lvlText w:val="•"/>
      <w:lvlJc w:val="left"/>
      <w:pPr>
        <w:tabs>
          <w:tab w:val="num" w:pos="6480"/>
        </w:tabs>
        <w:ind w:left="6480" w:hanging="360"/>
      </w:pPr>
      <w:rPr>
        <w:rFonts w:ascii="Arial" w:hAnsi="Arial" w:hint="default"/>
      </w:rPr>
    </w:lvl>
  </w:abstractNum>
  <w:abstractNum w:abstractNumId="27">
    <w:nsid w:val="4C505EE2"/>
    <w:multiLevelType w:val="hybridMultilevel"/>
    <w:tmpl w:val="77E4C3CA"/>
    <w:lvl w:ilvl="0" w:tplc="D16A80B0">
      <w:start w:val="1"/>
      <w:numFmt w:val="bullet"/>
      <w:lvlText w:val="•"/>
      <w:lvlJc w:val="left"/>
      <w:pPr>
        <w:tabs>
          <w:tab w:val="num" w:pos="720"/>
        </w:tabs>
        <w:ind w:left="720" w:hanging="360"/>
      </w:pPr>
      <w:rPr>
        <w:rFonts w:ascii="Arial" w:hAnsi="Arial" w:hint="default"/>
      </w:rPr>
    </w:lvl>
    <w:lvl w:ilvl="1" w:tplc="43EE7AB4" w:tentative="1">
      <w:start w:val="1"/>
      <w:numFmt w:val="bullet"/>
      <w:lvlText w:val="•"/>
      <w:lvlJc w:val="left"/>
      <w:pPr>
        <w:tabs>
          <w:tab w:val="num" w:pos="1440"/>
        </w:tabs>
        <w:ind w:left="1440" w:hanging="360"/>
      </w:pPr>
      <w:rPr>
        <w:rFonts w:ascii="Arial" w:hAnsi="Arial" w:hint="default"/>
      </w:rPr>
    </w:lvl>
    <w:lvl w:ilvl="2" w:tplc="E982C51C" w:tentative="1">
      <w:start w:val="1"/>
      <w:numFmt w:val="bullet"/>
      <w:lvlText w:val="•"/>
      <w:lvlJc w:val="left"/>
      <w:pPr>
        <w:tabs>
          <w:tab w:val="num" w:pos="2160"/>
        </w:tabs>
        <w:ind w:left="2160" w:hanging="360"/>
      </w:pPr>
      <w:rPr>
        <w:rFonts w:ascii="Arial" w:hAnsi="Arial" w:hint="default"/>
      </w:rPr>
    </w:lvl>
    <w:lvl w:ilvl="3" w:tplc="7D26A9B6" w:tentative="1">
      <w:start w:val="1"/>
      <w:numFmt w:val="bullet"/>
      <w:lvlText w:val="•"/>
      <w:lvlJc w:val="left"/>
      <w:pPr>
        <w:tabs>
          <w:tab w:val="num" w:pos="2880"/>
        </w:tabs>
        <w:ind w:left="2880" w:hanging="360"/>
      </w:pPr>
      <w:rPr>
        <w:rFonts w:ascii="Arial" w:hAnsi="Arial" w:hint="default"/>
      </w:rPr>
    </w:lvl>
    <w:lvl w:ilvl="4" w:tplc="32DC6C2A" w:tentative="1">
      <w:start w:val="1"/>
      <w:numFmt w:val="bullet"/>
      <w:lvlText w:val="•"/>
      <w:lvlJc w:val="left"/>
      <w:pPr>
        <w:tabs>
          <w:tab w:val="num" w:pos="3600"/>
        </w:tabs>
        <w:ind w:left="3600" w:hanging="360"/>
      </w:pPr>
      <w:rPr>
        <w:rFonts w:ascii="Arial" w:hAnsi="Arial" w:hint="default"/>
      </w:rPr>
    </w:lvl>
    <w:lvl w:ilvl="5" w:tplc="E460F2C6" w:tentative="1">
      <w:start w:val="1"/>
      <w:numFmt w:val="bullet"/>
      <w:lvlText w:val="•"/>
      <w:lvlJc w:val="left"/>
      <w:pPr>
        <w:tabs>
          <w:tab w:val="num" w:pos="4320"/>
        </w:tabs>
        <w:ind w:left="4320" w:hanging="360"/>
      </w:pPr>
      <w:rPr>
        <w:rFonts w:ascii="Arial" w:hAnsi="Arial" w:hint="default"/>
      </w:rPr>
    </w:lvl>
    <w:lvl w:ilvl="6" w:tplc="50EE1EC8" w:tentative="1">
      <w:start w:val="1"/>
      <w:numFmt w:val="bullet"/>
      <w:lvlText w:val="•"/>
      <w:lvlJc w:val="left"/>
      <w:pPr>
        <w:tabs>
          <w:tab w:val="num" w:pos="5040"/>
        </w:tabs>
        <w:ind w:left="5040" w:hanging="360"/>
      </w:pPr>
      <w:rPr>
        <w:rFonts w:ascii="Arial" w:hAnsi="Arial" w:hint="default"/>
      </w:rPr>
    </w:lvl>
    <w:lvl w:ilvl="7" w:tplc="21947AA6" w:tentative="1">
      <w:start w:val="1"/>
      <w:numFmt w:val="bullet"/>
      <w:lvlText w:val="•"/>
      <w:lvlJc w:val="left"/>
      <w:pPr>
        <w:tabs>
          <w:tab w:val="num" w:pos="5760"/>
        </w:tabs>
        <w:ind w:left="5760" w:hanging="360"/>
      </w:pPr>
      <w:rPr>
        <w:rFonts w:ascii="Arial" w:hAnsi="Arial" w:hint="default"/>
      </w:rPr>
    </w:lvl>
    <w:lvl w:ilvl="8" w:tplc="CC18514A" w:tentative="1">
      <w:start w:val="1"/>
      <w:numFmt w:val="bullet"/>
      <w:lvlText w:val="•"/>
      <w:lvlJc w:val="left"/>
      <w:pPr>
        <w:tabs>
          <w:tab w:val="num" w:pos="6480"/>
        </w:tabs>
        <w:ind w:left="6480" w:hanging="360"/>
      </w:pPr>
      <w:rPr>
        <w:rFonts w:ascii="Arial" w:hAnsi="Arial" w:hint="default"/>
      </w:rPr>
    </w:lvl>
  </w:abstractNum>
  <w:abstractNum w:abstractNumId="28">
    <w:nsid w:val="4D840D4D"/>
    <w:multiLevelType w:val="hybridMultilevel"/>
    <w:tmpl w:val="DF927A3E"/>
    <w:lvl w:ilvl="0" w:tplc="43CC6054">
      <w:start w:val="1"/>
      <w:numFmt w:val="bullet"/>
      <w:lvlText w:val="–"/>
      <w:lvlJc w:val="left"/>
      <w:pPr>
        <w:tabs>
          <w:tab w:val="num" w:pos="720"/>
        </w:tabs>
        <w:ind w:left="720" w:hanging="360"/>
      </w:pPr>
      <w:rPr>
        <w:rFonts w:ascii="Arial" w:hAnsi="Arial" w:hint="default"/>
      </w:rPr>
    </w:lvl>
    <w:lvl w:ilvl="1" w:tplc="034AA680">
      <w:start w:val="1"/>
      <w:numFmt w:val="bullet"/>
      <w:lvlText w:val="–"/>
      <w:lvlJc w:val="left"/>
      <w:pPr>
        <w:tabs>
          <w:tab w:val="num" w:pos="1440"/>
        </w:tabs>
        <w:ind w:left="1440" w:hanging="360"/>
      </w:pPr>
      <w:rPr>
        <w:rFonts w:ascii="Arial" w:hAnsi="Arial" w:hint="default"/>
      </w:rPr>
    </w:lvl>
    <w:lvl w:ilvl="2" w:tplc="1FE26320" w:tentative="1">
      <w:start w:val="1"/>
      <w:numFmt w:val="bullet"/>
      <w:lvlText w:val="–"/>
      <w:lvlJc w:val="left"/>
      <w:pPr>
        <w:tabs>
          <w:tab w:val="num" w:pos="2160"/>
        </w:tabs>
        <w:ind w:left="2160" w:hanging="360"/>
      </w:pPr>
      <w:rPr>
        <w:rFonts w:ascii="Arial" w:hAnsi="Arial" w:hint="default"/>
      </w:rPr>
    </w:lvl>
    <w:lvl w:ilvl="3" w:tplc="18B66FA0" w:tentative="1">
      <w:start w:val="1"/>
      <w:numFmt w:val="bullet"/>
      <w:lvlText w:val="–"/>
      <w:lvlJc w:val="left"/>
      <w:pPr>
        <w:tabs>
          <w:tab w:val="num" w:pos="2880"/>
        </w:tabs>
        <w:ind w:left="2880" w:hanging="360"/>
      </w:pPr>
      <w:rPr>
        <w:rFonts w:ascii="Arial" w:hAnsi="Arial" w:hint="default"/>
      </w:rPr>
    </w:lvl>
    <w:lvl w:ilvl="4" w:tplc="F0AA3A94" w:tentative="1">
      <w:start w:val="1"/>
      <w:numFmt w:val="bullet"/>
      <w:lvlText w:val="–"/>
      <w:lvlJc w:val="left"/>
      <w:pPr>
        <w:tabs>
          <w:tab w:val="num" w:pos="3600"/>
        </w:tabs>
        <w:ind w:left="3600" w:hanging="360"/>
      </w:pPr>
      <w:rPr>
        <w:rFonts w:ascii="Arial" w:hAnsi="Arial" w:hint="default"/>
      </w:rPr>
    </w:lvl>
    <w:lvl w:ilvl="5" w:tplc="BF1AC80A" w:tentative="1">
      <w:start w:val="1"/>
      <w:numFmt w:val="bullet"/>
      <w:lvlText w:val="–"/>
      <w:lvlJc w:val="left"/>
      <w:pPr>
        <w:tabs>
          <w:tab w:val="num" w:pos="4320"/>
        </w:tabs>
        <w:ind w:left="4320" w:hanging="360"/>
      </w:pPr>
      <w:rPr>
        <w:rFonts w:ascii="Arial" w:hAnsi="Arial" w:hint="default"/>
      </w:rPr>
    </w:lvl>
    <w:lvl w:ilvl="6" w:tplc="BC0CBC06" w:tentative="1">
      <w:start w:val="1"/>
      <w:numFmt w:val="bullet"/>
      <w:lvlText w:val="–"/>
      <w:lvlJc w:val="left"/>
      <w:pPr>
        <w:tabs>
          <w:tab w:val="num" w:pos="5040"/>
        </w:tabs>
        <w:ind w:left="5040" w:hanging="360"/>
      </w:pPr>
      <w:rPr>
        <w:rFonts w:ascii="Arial" w:hAnsi="Arial" w:hint="default"/>
      </w:rPr>
    </w:lvl>
    <w:lvl w:ilvl="7" w:tplc="D6306B20" w:tentative="1">
      <w:start w:val="1"/>
      <w:numFmt w:val="bullet"/>
      <w:lvlText w:val="–"/>
      <w:lvlJc w:val="left"/>
      <w:pPr>
        <w:tabs>
          <w:tab w:val="num" w:pos="5760"/>
        </w:tabs>
        <w:ind w:left="5760" w:hanging="360"/>
      </w:pPr>
      <w:rPr>
        <w:rFonts w:ascii="Arial" w:hAnsi="Arial" w:hint="default"/>
      </w:rPr>
    </w:lvl>
    <w:lvl w:ilvl="8" w:tplc="2D16F464" w:tentative="1">
      <w:start w:val="1"/>
      <w:numFmt w:val="bullet"/>
      <w:lvlText w:val="–"/>
      <w:lvlJc w:val="left"/>
      <w:pPr>
        <w:tabs>
          <w:tab w:val="num" w:pos="6480"/>
        </w:tabs>
        <w:ind w:left="6480" w:hanging="360"/>
      </w:pPr>
      <w:rPr>
        <w:rFonts w:ascii="Arial" w:hAnsi="Arial" w:hint="default"/>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0864F2"/>
    <w:multiLevelType w:val="hybridMultilevel"/>
    <w:tmpl w:val="EC88A14C"/>
    <w:lvl w:ilvl="0" w:tplc="6862D72A">
      <w:start w:val="1"/>
      <w:numFmt w:val="bullet"/>
      <w:lvlText w:val="•"/>
      <w:lvlJc w:val="left"/>
      <w:pPr>
        <w:tabs>
          <w:tab w:val="num" w:pos="720"/>
        </w:tabs>
        <w:ind w:left="720" w:hanging="360"/>
      </w:pPr>
      <w:rPr>
        <w:rFonts w:ascii="Arial" w:hAnsi="Arial" w:hint="default"/>
      </w:rPr>
    </w:lvl>
    <w:lvl w:ilvl="1" w:tplc="F2AA0844" w:tentative="1">
      <w:start w:val="1"/>
      <w:numFmt w:val="bullet"/>
      <w:lvlText w:val="•"/>
      <w:lvlJc w:val="left"/>
      <w:pPr>
        <w:tabs>
          <w:tab w:val="num" w:pos="1440"/>
        </w:tabs>
        <w:ind w:left="1440" w:hanging="360"/>
      </w:pPr>
      <w:rPr>
        <w:rFonts w:ascii="Arial" w:hAnsi="Arial" w:hint="default"/>
      </w:rPr>
    </w:lvl>
    <w:lvl w:ilvl="2" w:tplc="8CE225F8" w:tentative="1">
      <w:start w:val="1"/>
      <w:numFmt w:val="bullet"/>
      <w:lvlText w:val="•"/>
      <w:lvlJc w:val="left"/>
      <w:pPr>
        <w:tabs>
          <w:tab w:val="num" w:pos="2160"/>
        </w:tabs>
        <w:ind w:left="2160" w:hanging="360"/>
      </w:pPr>
      <w:rPr>
        <w:rFonts w:ascii="Arial" w:hAnsi="Arial" w:hint="default"/>
      </w:rPr>
    </w:lvl>
    <w:lvl w:ilvl="3" w:tplc="EF76053C" w:tentative="1">
      <w:start w:val="1"/>
      <w:numFmt w:val="bullet"/>
      <w:lvlText w:val="•"/>
      <w:lvlJc w:val="left"/>
      <w:pPr>
        <w:tabs>
          <w:tab w:val="num" w:pos="2880"/>
        </w:tabs>
        <w:ind w:left="2880" w:hanging="360"/>
      </w:pPr>
      <w:rPr>
        <w:rFonts w:ascii="Arial" w:hAnsi="Arial" w:hint="default"/>
      </w:rPr>
    </w:lvl>
    <w:lvl w:ilvl="4" w:tplc="478C53CA" w:tentative="1">
      <w:start w:val="1"/>
      <w:numFmt w:val="bullet"/>
      <w:lvlText w:val="•"/>
      <w:lvlJc w:val="left"/>
      <w:pPr>
        <w:tabs>
          <w:tab w:val="num" w:pos="3600"/>
        </w:tabs>
        <w:ind w:left="3600" w:hanging="360"/>
      </w:pPr>
      <w:rPr>
        <w:rFonts w:ascii="Arial" w:hAnsi="Arial" w:hint="default"/>
      </w:rPr>
    </w:lvl>
    <w:lvl w:ilvl="5" w:tplc="C2C805B8" w:tentative="1">
      <w:start w:val="1"/>
      <w:numFmt w:val="bullet"/>
      <w:lvlText w:val="•"/>
      <w:lvlJc w:val="left"/>
      <w:pPr>
        <w:tabs>
          <w:tab w:val="num" w:pos="4320"/>
        </w:tabs>
        <w:ind w:left="4320" w:hanging="360"/>
      </w:pPr>
      <w:rPr>
        <w:rFonts w:ascii="Arial" w:hAnsi="Arial" w:hint="default"/>
      </w:rPr>
    </w:lvl>
    <w:lvl w:ilvl="6" w:tplc="DD9AF0D4" w:tentative="1">
      <w:start w:val="1"/>
      <w:numFmt w:val="bullet"/>
      <w:lvlText w:val="•"/>
      <w:lvlJc w:val="left"/>
      <w:pPr>
        <w:tabs>
          <w:tab w:val="num" w:pos="5040"/>
        </w:tabs>
        <w:ind w:left="5040" w:hanging="360"/>
      </w:pPr>
      <w:rPr>
        <w:rFonts w:ascii="Arial" w:hAnsi="Arial" w:hint="default"/>
      </w:rPr>
    </w:lvl>
    <w:lvl w:ilvl="7" w:tplc="B2087844" w:tentative="1">
      <w:start w:val="1"/>
      <w:numFmt w:val="bullet"/>
      <w:lvlText w:val="•"/>
      <w:lvlJc w:val="left"/>
      <w:pPr>
        <w:tabs>
          <w:tab w:val="num" w:pos="5760"/>
        </w:tabs>
        <w:ind w:left="5760" w:hanging="360"/>
      </w:pPr>
      <w:rPr>
        <w:rFonts w:ascii="Arial" w:hAnsi="Arial" w:hint="default"/>
      </w:rPr>
    </w:lvl>
    <w:lvl w:ilvl="8" w:tplc="41B65168" w:tentative="1">
      <w:start w:val="1"/>
      <w:numFmt w:val="bullet"/>
      <w:lvlText w:val="•"/>
      <w:lvlJc w:val="left"/>
      <w:pPr>
        <w:tabs>
          <w:tab w:val="num" w:pos="6480"/>
        </w:tabs>
        <w:ind w:left="6480" w:hanging="360"/>
      </w:pPr>
      <w:rPr>
        <w:rFonts w:ascii="Arial" w:hAnsi="Arial" w:hint="default"/>
      </w:rPr>
    </w:lvl>
  </w:abstractNum>
  <w:abstractNum w:abstractNumId="31">
    <w:nsid w:val="589F1880"/>
    <w:multiLevelType w:val="hybridMultilevel"/>
    <w:tmpl w:val="4504FAFC"/>
    <w:lvl w:ilvl="0" w:tplc="55680104">
      <w:start w:val="1"/>
      <w:numFmt w:val="bullet"/>
      <w:lvlText w:val="•"/>
      <w:lvlJc w:val="left"/>
      <w:pPr>
        <w:tabs>
          <w:tab w:val="num" w:pos="720"/>
        </w:tabs>
        <w:ind w:left="720" w:hanging="360"/>
      </w:pPr>
      <w:rPr>
        <w:rFonts w:ascii="Arial" w:hAnsi="Arial" w:hint="default"/>
      </w:rPr>
    </w:lvl>
    <w:lvl w:ilvl="1" w:tplc="78E43E20">
      <w:start w:val="1"/>
      <w:numFmt w:val="bullet"/>
      <w:lvlText w:val="•"/>
      <w:lvlJc w:val="left"/>
      <w:pPr>
        <w:tabs>
          <w:tab w:val="num" w:pos="1440"/>
        </w:tabs>
        <w:ind w:left="1440" w:hanging="360"/>
      </w:pPr>
      <w:rPr>
        <w:rFonts w:ascii="Arial" w:hAnsi="Arial" w:hint="default"/>
      </w:rPr>
    </w:lvl>
    <w:lvl w:ilvl="2" w:tplc="E6282D7C" w:tentative="1">
      <w:start w:val="1"/>
      <w:numFmt w:val="bullet"/>
      <w:lvlText w:val="•"/>
      <w:lvlJc w:val="left"/>
      <w:pPr>
        <w:tabs>
          <w:tab w:val="num" w:pos="2160"/>
        </w:tabs>
        <w:ind w:left="2160" w:hanging="360"/>
      </w:pPr>
      <w:rPr>
        <w:rFonts w:ascii="Arial" w:hAnsi="Arial" w:hint="default"/>
      </w:rPr>
    </w:lvl>
    <w:lvl w:ilvl="3" w:tplc="52760F7A" w:tentative="1">
      <w:start w:val="1"/>
      <w:numFmt w:val="bullet"/>
      <w:lvlText w:val="•"/>
      <w:lvlJc w:val="left"/>
      <w:pPr>
        <w:tabs>
          <w:tab w:val="num" w:pos="2880"/>
        </w:tabs>
        <w:ind w:left="2880" w:hanging="360"/>
      </w:pPr>
      <w:rPr>
        <w:rFonts w:ascii="Arial" w:hAnsi="Arial" w:hint="default"/>
      </w:rPr>
    </w:lvl>
    <w:lvl w:ilvl="4" w:tplc="3D7E6B90" w:tentative="1">
      <w:start w:val="1"/>
      <w:numFmt w:val="bullet"/>
      <w:lvlText w:val="•"/>
      <w:lvlJc w:val="left"/>
      <w:pPr>
        <w:tabs>
          <w:tab w:val="num" w:pos="3600"/>
        </w:tabs>
        <w:ind w:left="3600" w:hanging="360"/>
      </w:pPr>
      <w:rPr>
        <w:rFonts w:ascii="Arial" w:hAnsi="Arial" w:hint="default"/>
      </w:rPr>
    </w:lvl>
    <w:lvl w:ilvl="5" w:tplc="DA36E392" w:tentative="1">
      <w:start w:val="1"/>
      <w:numFmt w:val="bullet"/>
      <w:lvlText w:val="•"/>
      <w:lvlJc w:val="left"/>
      <w:pPr>
        <w:tabs>
          <w:tab w:val="num" w:pos="4320"/>
        </w:tabs>
        <w:ind w:left="4320" w:hanging="360"/>
      </w:pPr>
      <w:rPr>
        <w:rFonts w:ascii="Arial" w:hAnsi="Arial" w:hint="default"/>
      </w:rPr>
    </w:lvl>
    <w:lvl w:ilvl="6" w:tplc="050AA2E2" w:tentative="1">
      <w:start w:val="1"/>
      <w:numFmt w:val="bullet"/>
      <w:lvlText w:val="•"/>
      <w:lvlJc w:val="left"/>
      <w:pPr>
        <w:tabs>
          <w:tab w:val="num" w:pos="5040"/>
        </w:tabs>
        <w:ind w:left="5040" w:hanging="360"/>
      </w:pPr>
      <w:rPr>
        <w:rFonts w:ascii="Arial" w:hAnsi="Arial" w:hint="default"/>
      </w:rPr>
    </w:lvl>
    <w:lvl w:ilvl="7" w:tplc="65A86D78" w:tentative="1">
      <w:start w:val="1"/>
      <w:numFmt w:val="bullet"/>
      <w:lvlText w:val="•"/>
      <w:lvlJc w:val="left"/>
      <w:pPr>
        <w:tabs>
          <w:tab w:val="num" w:pos="5760"/>
        </w:tabs>
        <w:ind w:left="5760" w:hanging="360"/>
      </w:pPr>
      <w:rPr>
        <w:rFonts w:ascii="Arial" w:hAnsi="Arial" w:hint="default"/>
      </w:rPr>
    </w:lvl>
    <w:lvl w:ilvl="8" w:tplc="0BE0012C" w:tentative="1">
      <w:start w:val="1"/>
      <w:numFmt w:val="bullet"/>
      <w:lvlText w:val="•"/>
      <w:lvlJc w:val="left"/>
      <w:pPr>
        <w:tabs>
          <w:tab w:val="num" w:pos="6480"/>
        </w:tabs>
        <w:ind w:left="6480" w:hanging="360"/>
      </w:pPr>
      <w:rPr>
        <w:rFonts w:ascii="Arial" w:hAnsi="Arial" w:hint="default"/>
      </w:rPr>
    </w:lvl>
  </w:abstractNum>
  <w:abstractNum w:abstractNumId="32">
    <w:nsid w:val="58B614C9"/>
    <w:multiLevelType w:val="hybridMultilevel"/>
    <w:tmpl w:val="3DA65C12"/>
    <w:lvl w:ilvl="0" w:tplc="A1247EFC">
      <w:start w:val="1"/>
      <w:numFmt w:val="bullet"/>
      <w:lvlText w:val="•"/>
      <w:lvlJc w:val="left"/>
      <w:pPr>
        <w:tabs>
          <w:tab w:val="num" w:pos="720"/>
        </w:tabs>
        <w:ind w:left="720" w:hanging="360"/>
      </w:pPr>
      <w:rPr>
        <w:rFonts w:ascii="Arial" w:hAnsi="Arial" w:hint="default"/>
      </w:rPr>
    </w:lvl>
    <w:lvl w:ilvl="1" w:tplc="EDFC64F8">
      <w:start w:val="5715"/>
      <w:numFmt w:val="bullet"/>
      <w:lvlText w:val="–"/>
      <w:lvlJc w:val="left"/>
      <w:pPr>
        <w:tabs>
          <w:tab w:val="num" w:pos="1440"/>
        </w:tabs>
        <w:ind w:left="1440" w:hanging="360"/>
      </w:pPr>
      <w:rPr>
        <w:rFonts w:ascii="Arial" w:hAnsi="Arial" w:hint="default"/>
      </w:rPr>
    </w:lvl>
    <w:lvl w:ilvl="2" w:tplc="F7E8474A" w:tentative="1">
      <w:start w:val="1"/>
      <w:numFmt w:val="bullet"/>
      <w:lvlText w:val="•"/>
      <w:lvlJc w:val="left"/>
      <w:pPr>
        <w:tabs>
          <w:tab w:val="num" w:pos="2160"/>
        </w:tabs>
        <w:ind w:left="2160" w:hanging="360"/>
      </w:pPr>
      <w:rPr>
        <w:rFonts w:ascii="Arial" w:hAnsi="Arial" w:hint="default"/>
      </w:rPr>
    </w:lvl>
    <w:lvl w:ilvl="3" w:tplc="5B6EFD0E" w:tentative="1">
      <w:start w:val="1"/>
      <w:numFmt w:val="bullet"/>
      <w:lvlText w:val="•"/>
      <w:lvlJc w:val="left"/>
      <w:pPr>
        <w:tabs>
          <w:tab w:val="num" w:pos="2880"/>
        </w:tabs>
        <w:ind w:left="2880" w:hanging="360"/>
      </w:pPr>
      <w:rPr>
        <w:rFonts w:ascii="Arial" w:hAnsi="Arial" w:hint="default"/>
      </w:rPr>
    </w:lvl>
    <w:lvl w:ilvl="4" w:tplc="97C00A42" w:tentative="1">
      <w:start w:val="1"/>
      <w:numFmt w:val="bullet"/>
      <w:lvlText w:val="•"/>
      <w:lvlJc w:val="left"/>
      <w:pPr>
        <w:tabs>
          <w:tab w:val="num" w:pos="3600"/>
        </w:tabs>
        <w:ind w:left="3600" w:hanging="360"/>
      </w:pPr>
      <w:rPr>
        <w:rFonts w:ascii="Arial" w:hAnsi="Arial" w:hint="default"/>
      </w:rPr>
    </w:lvl>
    <w:lvl w:ilvl="5" w:tplc="D58ACAC8" w:tentative="1">
      <w:start w:val="1"/>
      <w:numFmt w:val="bullet"/>
      <w:lvlText w:val="•"/>
      <w:lvlJc w:val="left"/>
      <w:pPr>
        <w:tabs>
          <w:tab w:val="num" w:pos="4320"/>
        </w:tabs>
        <w:ind w:left="4320" w:hanging="360"/>
      </w:pPr>
      <w:rPr>
        <w:rFonts w:ascii="Arial" w:hAnsi="Arial" w:hint="default"/>
      </w:rPr>
    </w:lvl>
    <w:lvl w:ilvl="6" w:tplc="DAC6768A" w:tentative="1">
      <w:start w:val="1"/>
      <w:numFmt w:val="bullet"/>
      <w:lvlText w:val="•"/>
      <w:lvlJc w:val="left"/>
      <w:pPr>
        <w:tabs>
          <w:tab w:val="num" w:pos="5040"/>
        </w:tabs>
        <w:ind w:left="5040" w:hanging="360"/>
      </w:pPr>
      <w:rPr>
        <w:rFonts w:ascii="Arial" w:hAnsi="Arial" w:hint="default"/>
      </w:rPr>
    </w:lvl>
    <w:lvl w:ilvl="7" w:tplc="27486F84" w:tentative="1">
      <w:start w:val="1"/>
      <w:numFmt w:val="bullet"/>
      <w:lvlText w:val="•"/>
      <w:lvlJc w:val="left"/>
      <w:pPr>
        <w:tabs>
          <w:tab w:val="num" w:pos="5760"/>
        </w:tabs>
        <w:ind w:left="5760" w:hanging="360"/>
      </w:pPr>
      <w:rPr>
        <w:rFonts w:ascii="Arial" w:hAnsi="Arial" w:hint="default"/>
      </w:rPr>
    </w:lvl>
    <w:lvl w:ilvl="8" w:tplc="8EBAD81E" w:tentative="1">
      <w:start w:val="1"/>
      <w:numFmt w:val="bullet"/>
      <w:lvlText w:val="•"/>
      <w:lvlJc w:val="left"/>
      <w:pPr>
        <w:tabs>
          <w:tab w:val="num" w:pos="6480"/>
        </w:tabs>
        <w:ind w:left="6480" w:hanging="360"/>
      </w:pPr>
      <w:rPr>
        <w:rFonts w:ascii="Arial" w:hAnsi="Arial" w:hint="default"/>
      </w:rPr>
    </w:lvl>
  </w:abstractNum>
  <w:abstractNum w:abstractNumId="33">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5D4475"/>
    <w:multiLevelType w:val="hybridMultilevel"/>
    <w:tmpl w:val="013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8938BD"/>
    <w:multiLevelType w:val="hybridMultilevel"/>
    <w:tmpl w:val="F3D609A2"/>
    <w:lvl w:ilvl="0" w:tplc="FF2E4566">
      <w:start w:val="1"/>
      <w:numFmt w:val="bullet"/>
      <w:lvlText w:val="•"/>
      <w:lvlJc w:val="left"/>
      <w:pPr>
        <w:tabs>
          <w:tab w:val="num" w:pos="720"/>
        </w:tabs>
        <w:ind w:left="720" w:hanging="360"/>
      </w:pPr>
      <w:rPr>
        <w:rFonts w:ascii="Arial" w:hAnsi="Arial" w:hint="default"/>
      </w:rPr>
    </w:lvl>
    <w:lvl w:ilvl="1" w:tplc="B1B62F94" w:tentative="1">
      <w:start w:val="1"/>
      <w:numFmt w:val="bullet"/>
      <w:lvlText w:val="•"/>
      <w:lvlJc w:val="left"/>
      <w:pPr>
        <w:tabs>
          <w:tab w:val="num" w:pos="1440"/>
        </w:tabs>
        <w:ind w:left="1440" w:hanging="360"/>
      </w:pPr>
      <w:rPr>
        <w:rFonts w:ascii="Arial" w:hAnsi="Arial" w:hint="default"/>
      </w:rPr>
    </w:lvl>
    <w:lvl w:ilvl="2" w:tplc="9658209C" w:tentative="1">
      <w:start w:val="1"/>
      <w:numFmt w:val="bullet"/>
      <w:lvlText w:val="•"/>
      <w:lvlJc w:val="left"/>
      <w:pPr>
        <w:tabs>
          <w:tab w:val="num" w:pos="2160"/>
        </w:tabs>
        <w:ind w:left="2160" w:hanging="360"/>
      </w:pPr>
      <w:rPr>
        <w:rFonts w:ascii="Arial" w:hAnsi="Arial" w:hint="default"/>
      </w:rPr>
    </w:lvl>
    <w:lvl w:ilvl="3" w:tplc="4754EE20" w:tentative="1">
      <w:start w:val="1"/>
      <w:numFmt w:val="bullet"/>
      <w:lvlText w:val="•"/>
      <w:lvlJc w:val="left"/>
      <w:pPr>
        <w:tabs>
          <w:tab w:val="num" w:pos="2880"/>
        </w:tabs>
        <w:ind w:left="2880" w:hanging="360"/>
      </w:pPr>
      <w:rPr>
        <w:rFonts w:ascii="Arial" w:hAnsi="Arial" w:hint="default"/>
      </w:rPr>
    </w:lvl>
    <w:lvl w:ilvl="4" w:tplc="C6F2C8A4" w:tentative="1">
      <w:start w:val="1"/>
      <w:numFmt w:val="bullet"/>
      <w:lvlText w:val="•"/>
      <w:lvlJc w:val="left"/>
      <w:pPr>
        <w:tabs>
          <w:tab w:val="num" w:pos="3600"/>
        </w:tabs>
        <w:ind w:left="3600" w:hanging="360"/>
      </w:pPr>
      <w:rPr>
        <w:rFonts w:ascii="Arial" w:hAnsi="Arial" w:hint="default"/>
      </w:rPr>
    </w:lvl>
    <w:lvl w:ilvl="5" w:tplc="D902B238" w:tentative="1">
      <w:start w:val="1"/>
      <w:numFmt w:val="bullet"/>
      <w:lvlText w:val="•"/>
      <w:lvlJc w:val="left"/>
      <w:pPr>
        <w:tabs>
          <w:tab w:val="num" w:pos="4320"/>
        </w:tabs>
        <w:ind w:left="4320" w:hanging="360"/>
      </w:pPr>
      <w:rPr>
        <w:rFonts w:ascii="Arial" w:hAnsi="Arial" w:hint="default"/>
      </w:rPr>
    </w:lvl>
    <w:lvl w:ilvl="6" w:tplc="9FC281F6" w:tentative="1">
      <w:start w:val="1"/>
      <w:numFmt w:val="bullet"/>
      <w:lvlText w:val="•"/>
      <w:lvlJc w:val="left"/>
      <w:pPr>
        <w:tabs>
          <w:tab w:val="num" w:pos="5040"/>
        </w:tabs>
        <w:ind w:left="5040" w:hanging="360"/>
      </w:pPr>
      <w:rPr>
        <w:rFonts w:ascii="Arial" w:hAnsi="Arial" w:hint="default"/>
      </w:rPr>
    </w:lvl>
    <w:lvl w:ilvl="7" w:tplc="2B445EA6" w:tentative="1">
      <w:start w:val="1"/>
      <w:numFmt w:val="bullet"/>
      <w:lvlText w:val="•"/>
      <w:lvlJc w:val="left"/>
      <w:pPr>
        <w:tabs>
          <w:tab w:val="num" w:pos="5760"/>
        </w:tabs>
        <w:ind w:left="5760" w:hanging="360"/>
      </w:pPr>
      <w:rPr>
        <w:rFonts w:ascii="Arial" w:hAnsi="Arial" w:hint="default"/>
      </w:rPr>
    </w:lvl>
    <w:lvl w:ilvl="8" w:tplc="77BE2DF6" w:tentative="1">
      <w:start w:val="1"/>
      <w:numFmt w:val="bullet"/>
      <w:lvlText w:val="•"/>
      <w:lvlJc w:val="left"/>
      <w:pPr>
        <w:tabs>
          <w:tab w:val="num" w:pos="6480"/>
        </w:tabs>
        <w:ind w:left="6480" w:hanging="360"/>
      </w:pPr>
      <w:rPr>
        <w:rFonts w:ascii="Arial" w:hAnsi="Arial" w:hint="default"/>
      </w:rPr>
    </w:lvl>
  </w:abstractNum>
  <w:abstractNum w:abstractNumId="36">
    <w:nsid w:val="63BA120F"/>
    <w:multiLevelType w:val="hybridMultilevel"/>
    <w:tmpl w:val="1464B01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225819"/>
    <w:multiLevelType w:val="hybridMultilevel"/>
    <w:tmpl w:val="229648F8"/>
    <w:lvl w:ilvl="0" w:tplc="A262106A">
      <w:start w:val="1"/>
      <w:numFmt w:val="bullet"/>
      <w:lvlText w:val="•"/>
      <w:lvlJc w:val="left"/>
      <w:pPr>
        <w:tabs>
          <w:tab w:val="num" w:pos="720"/>
        </w:tabs>
        <w:ind w:left="720" w:hanging="360"/>
      </w:pPr>
      <w:rPr>
        <w:rFonts w:ascii="Arial" w:hAnsi="Arial" w:hint="default"/>
      </w:rPr>
    </w:lvl>
    <w:lvl w:ilvl="1" w:tplc="22FC6076">
      <w:start w:val="5545"/>
      <w:numFmt w:val="bullet"/>
      <w:lvlText w:val="–"/>
      <w:lvlJc w:val="left"/>
      <w:pPr>
        <w:tabs>
          <w:tab w:val="num" w:pos="1440"/>
        </w:tabs>
        <w:ind w:left="1440" w:hanging="360"/>
      </w:pPr>
      <w:rPr>
        <w:rFonts w:ascii="Arial" w:hAnsi="Arial" w:hint="default"/>
      </w:rPr>
    </w:lvl>
    <w:lvl w:ilvl="2" w:tplc="0CE61BDE" w:tentative="1">
      <w:start w:val="1"/>
      <w:numFmt w:val="bullet"/>
      <w:lvlText w:val="•"/>
      <w:lvlJc w:val="left"/>
      <w:pPr>
        <w:tabs>
          <w:tab w:val="num" w:pos="2160"/>
        </w:tabs>
        <w:ind w:left="2160" w:hanging="360"/>
      </w:pPr>
      <w:rPr>
        <w:rFonts w:ascii="Arial" w:hAnsi="Arial" w:hint="default"/>
      </w:rPr>
    </w:lvl>
    <w:lvl w:ilvl="3" w:tplc="93B8920A" w:tentative="1">
      <w:start w:val="1"/>
      <w:numFmt w:val="bullet"/>
      <w:lvlText w:val="•"/>
      <w:lvlJc w:val="left"/>
      <w:pPr>
        <w:tabs>
          <w:tab w:val="num" w:pos="2880"/>
        </w:tabs>
        <w:ind w:left="2880" w:hanging="360"/>
      </w:pPr>
      <w:rPr>
        <w:rFonts w:ascii="Arial" w:hAnsi="Arial" w:hint="default"/>
      </w:rPr>
    </w:lvl>
    <w:lvl w:ilvl="4" w:tplc="2DA0CFB0" w:tentative="1">
      <w:start w:val="1"/>
      <w:numFmt w:val="bullet"/>
      <w:lvlText w:val="•"/>
      <w:lvlJc w:val="left"/>
      <w:pPr>
        <w:tabs>
          <w:tab w:val="num" w:pos="3600"/>
        </w:tabs>
        <w:ind w:left="3600" w:hanging="360"/>
      </w:pPr>
      <w:rPr>
        <w:rFonts w:ascii="Arial" w:hAnsi="Arial" w:hint="default"/>
      </w:rPr>
    </w:lvl>
    <w:lvl w:ilvl="5" w:tplc="49BC3B18" w:tentative="1">
      <w:start w:val="1"/>
      <w:numFmt w:val="bullet"/>
      <w:lvlText w:val="•"/>
      <w:lvlJc w:val="left"/>
      <w:pPr>
        <w:tabs>
          <w:tab w:val="num" w:pos="4320"/>
        </w:tabs>
        <w:ind w:left="4320" w:hanging="360"/>
      </w:pPr>
      <w:rPr>
        <w:rFonts w:ascii="Arial" w:hAnsi="Arial" w:hint="default"/>
      </w:rPr>
    </w:lvl>
    <w:lvl w:ilvl="6" w:tplc="70641CEA" w:tentative="1">
      <w:start w:val="1"/>
      <w:numFmt w:val="bullet"/>
      <w:lvlText w:val="•"/>
      <w:lvlJc w:val="left"/>
      <w:pPr>
        <w:tabs>
          <w:tab w:val="num" w:pos="5040"/>
        </w:tabs>
        <w:ind w:left="5040" w:hanging="360"/>
      </w:pPr>
      <w:rPr>
        <w:rFonts w:ascii="Arial" w:hAnsi="Arial" w:hint="default"/>
      </w:rPr>
    </w:lvl>
    <w:lvl w:ilvl="7" w:tplc="BA6AEA7E" w:tentative="1">
      <w:start w:val="1"/>
      <w:numFmt w:val="bullet"/>
      <w:lvlText w:val="•"/>
      <w:lvlJc w:val="left"/>
      <w:pPr>
        <w:tabs>
          <w:tab w:val="num" w:pos="5760"/>
        </w:tabs>
        <w:ind w:left="5760" w:hanging="360"/>
      </w:pPr>
      <w:rPr>
        <w:rFonts w:ascii="Arial" w:hAnsi="Arial" w:hint="default"/>
      </w:rPr>
    </w:lvl>
    <w:lvl w:ilvl="8" w:tplc="A162D3EA" w:tentative="1">
      <w:start w:val="1"/>
      <w:numFmt w:val="bullet"/>
      <w:lvlText w:val="•"/>
      <w:lvlJc w:val="left"/>
      <w:pPr>
        <w:tabs>
          <w:tab w:val="num" w:pos="6480"/>
        </w:tabs>
        <w:ind w:left="6480" w:hanging="360"/>
      </w:pPr>
      <w:rPr>
        <w:rFonts w:ascii="Arial" w:hAnsi="Arial" w:hint="default"/>
      </w:rPr>
    </w:lvl>
  </w:abstractNum>
  <w:abstractNum w:abstractNumId="38">
    <w:nsid w:val="73F4220F"/>
    <w:multiLevelType w:val="hybridMultilevel"/>
    <w:tmpl w:val="BBDA3FE6"/>
    <w:lvl w:ilvl="0" w:tplc="EA8EFC24">
      <w:start w:val="1"/>
      <w:numFmt w:val="bullet"/>
      <w:lvlText w:val="•"/>
      <w:lvlJc w:val="left"/>
      <w:pPr>
        <w:tabs>
          <w:tab w:val="num" w:pos="720"/>
        </w:tabs>
        <w:ind w:left="720" w:hanging="360"/>
      </w:pPr>
      <w:rPr>
        <w:rFonts w:ascii="Arial" w:hAnsi="Arial" w:hint="default"/>
      </w:rPr>
    </w:lvl>
    <w:lvl w:ilvl="1" w:tplc="B01EF5B2" w:tentative="1">
      <w:start w:val="1"/>
      <w:numFmt w:val="bullet"/>
      <w:lvlText w:val="•"/>
      <w:lvlJc w:val="left"/>
      <w:pPr>
        <w:tabs>
          <w:tab w:val="num" w:pos="1440"/>
        </w:tabs>
        <w:ind w:left="1440" w:hanging="360"/>
      </w:pPr>
      <w:rPr>
        <w:rFonts w:ascii="Arial" w:hAnsi="Arial" w:hint="default"/>
      </w:rPr>
    </w:lvl>
    <w:lvl w:ilvl="2" w:tplc="47A4D2DA" w:tentative="1">
      <w:start w:val="1"/>
      <w:numFmt w:val="bullet"/>
      <w:lvlText w:val="•"/>
      <w:lvlJc w:val="left"/>
      <w:pPr>
        <w:tabs>
          <w:tab w:val="num" w:pos="2160"/>
        </w:tabs>
        <w:ind w:left="2160" w:hanging="360"/>
      </w:pPr>
      <w:rPr>
        <w:rFonts w:ascii="Arial" w:hAnsi="Arial" w:hint="default"/>
      </w:rPr>
    </w:lvl>
    <w:lvl w:ilvl="3" w:tplc="7556BEE6" w:tentative="1">
      <w:start w:val="1"/>
      <w:numFmt w:val="bullet"/>
      <w:lvlText w:val="•"/>
      <w:lvlJc w:val="left"/>
      <w:pPr>
        <w:tabs>
          <w:tab w:val="num" w:pos="2880"/>
        </w:tabs>
        <w:ind w:left="2880" w:hanging="360"/>
      </w:pPr>
      <w:rPr>
        <w:rFonts w:ascii="Arial" w:hAnsi="Arial" w:hint="default"/>
      </w:rPr>
    </w:lvl>
    <w:lvl w:ilvl="4" w:tplc="0C7C4854" w:tentative="1">
      <w:start w:val="1"/>
      <w:numFmt w:val="bullet"/>
      <w:lvlText w:val="•"/>
      <w:lvlJc w:val="left"/>
      <w:pPr>
        <w:tabs>
          <w:tab w:val="num" w:pos="3600"/>
        </w:tabs>
        <w:ind w:left="3600" w:hanging="360"/>
      </w:pPr>
      <w:rPr>
        <w:rFonts w:ascii="Arial" w:hAnsi="Arial" w:hint="default"/>
      </w:rPr>
    </w:lvl>
    <w:lvl w:ilvl="5" w:tplc="28605290" w:tentative="1">
      <w:start w:val="1"/>
      <w:numFmt w:val="bullet"/>
      <w:lvlText w:val="•"/>
      <w:lvlJc w:val="left"/>
      <w:pPr>
        <w:tabs>
          <w:tab w:val="num" w:pos="4320"/>
        </w:tabs>
        <w:ind w:left="4320" w:hanging="360"/>
      </w:pPr>
      <w:rPr>
        <w:rFonts w:ascii="Arial" w:hAnsi="Arial" w:hint="default"/>
      </w:rPr>
    </w:lvl>
    <w:lvl w:ilvl="6" w:tplc="D9B6BD82" w:tentative="1">
      <w:start w:val="1"/>
      <w:numFmt w:val="bullet"/>
      <w:lvlText w:val="•"/>
      <w:lvlJc w:val="left"/>
      <w:pPr>
        <w:tabs>
          <w:tab w:val="num" w:pos="5040"/>
        </w:tabs>
        <w:ind w:left="5040" w:hanging="360"/>
      </w:pPr>
      <w:rPr>
        <w:rFonts w:ascii="Arial" w:hAnsi="Arial" w:hint="default"/>
      </w:rPr>
    </w:lvl>
    <w:lvl w:ilvl="7" w:tplc="CB5AC24E" w:tentative="1">
      <w:start w:val="1"/>
      <w:numFmt w:val="bullet"/>
      <w:lvlText w:val="•"/>
      <w:lvlJc w:val="left"/>
      <w:pPr>
        <w:tabs>
          <w:tab w:val="num" w:pos="5760"/>
        </w:tabs>
        <w:ind w:left="5760" w:hanging="360"/>
      </w:pPr>
      <w:rPr>
        <w:rFonts w:ascii="Arial" w:hAnsi="Arial" w:hint="default"/>
      </w:rPr>
    </w:lvl>
    <w:lvl w:ilvl="8" w:tplc="C646F33E" w:tentative="1">
      <w:start w:val="1"/>
      <w:numFmt w:val="bullet"/>
      <w:lvlText w:val="•"/>
      <w:lvlJc w:val="left"/>
      <w:pPr>
        <w:tabs>
          <w:tab w:val="num" w:pos="6480"/>
        </w:tabs>
        <w:ind w:left="6480" w:hanging="360"/>
      </w:pPr>
      <w:rPr>
        <w:rFonts w:ascii="Arial" w:hAnsi="Arial" w:hint="default"/>
      </w:rPr>
    </w:lvl>
  </w:abstractNum>
  <w:abstractNum w:abstractNumId="39">
    <w:nsid w:val="763C28B9"/>
    <w:multiLevelType w:val="hybridMultilevel"/>
    <w:tmpl w:val="1BCE006E"/>
    <w:lvl w:ilvl="0" w:tplc="C8E0BDB2">
      <w:start w:val="1"/>
      <w:numFmt w:val="bullet"/>
      <w:lvlText w:val="–"/>
      <w:lvlJc w:val="left"/>
      <w:pPr>
        <w:tabs>
          <w:tab w:val="num" w:pos="720"/>
        </w:tabs>
        <w:ind w:left="720" w:hanging="360"/>
      </w:pPr>
      <w:rPr>
        <w:rFonts w:ascii="Arial" w:hAnsi="Arial" w:hint="default"/>
      </w:rPr>
    </w:lvl>
    <w:lvl w:ilvl="1" w:tplc="0DF25592">
      <w:start w:val="1"/>
      <w:numFmt w:val="bullet"/>
      <w:lvlText w:val="–"/>
      <w:lvlJc w:val="left"/>
      <w:pPr>
        <w:tabs>
          <w:tab w:val="num" w:pos="1440"/>
        </w:tabs>
        <w:ind w:left="1440" w:hanging="360"/>
      </w:pPr>
      <w:rPr>
        <w:rFonts w:ascii="Arial" w:hAnsi="Arial" w:hint="default"/>
      </w:rPr>
    </w:lvl>
    <w:lvl w:ilvl="2" w:tplc="4AA63620">
      <w:start w:val="985"/>
      <w:numFmt w:val="bullet"/>
      <w:lvlText w:val="•"/>
      <w:lvlJc w:val="left"/>
      <w:pPr>
        <w:tabs>
          <w:tab w:val="num" w:pos="2160"/>
        </w:tabs>
        <w:ind w:left="2160" w:hanging="360"/>
      </w:pPr>
      <w:rPr>
        <w:rFonts w:ascii="Arial" w:hAnsi="Arial" w:hint="default"/>
      </w:rPr>
    </w:lvl>
    <w:lvl w:ilvl="3" w:tplc="B1FA30B8" w:tentative="1">
      <w:start w:val="1"/>
      <w:numFmt w:val="bullet"/>
      <w:lvlText w:val="–"/>
      <w:lvlJc w:val="left"/>
      <w:pPr>
        <w:tabs>
          <w:tab w:val="num" w:pos="2880"/>
        </w:tabs>
        <w:ind w:left="2880" w:hanging="360"/>
      </w:pPr>
      <w:rPr>
        <w:rFonts w:ascii="Arial" w:hAnsi="Arial" w:hint="default"/>
      </w:rPr>
    </w:lvl>
    <w:lvl w:ilvl="4" w:tplc="5BDA55AC" w:tentative="1">
      <w:start w:val="1"/>
      <w:numFmt w:val="bullet"/>
      <w:lvlText w:val="–"/>
      <w:lvlJc w:val="left"/>
      <w:pPr>
        <w:tabs>
          <w:tab w:val="num" w:pos="3600"/>
        </w:tabs>
        <w:ind w:left="3600" w:hanging="360"/>
      </w:pPr>
      <w:rPr>
        <w:rFonts w:ascii="Arial" w:hAnsi="Arial" w:hint="default"/>
      </w:rPr>
    </w:lvl>
    <w:lvl w:ilvl="5" w:tplc="F74CE604" w:tentative="1">
      <w:start w:val="1"/>
      <w:numFmt w:val="bullet"/>
      <w:lvlText w:val="–"/>
      <w:lvlJc w:val="left"/>
      <w:pPr>
        <w:tabs>
          <w:tab w:val="num" w:pos="4320"/>
        </w:tabs>
        <w:ind w:left="4320" w:hanging="360"/>
      </w:pPr>
      <w:rPr>
        <w:rFonts w:ascii="Arial" w:hAnsi="Arial" w:hint="default"/>
      </w:rPr>
    </w:lvl>
    <w:lvl w:ilvl="6" w:tplc="D7CC3F58" w:tentative="1">
      <w:start w:val="1"/>
      <w:numFmt w:val="bullet"/>
      <w:lvlText w:val="–"/>
      <w:lvlJc w:val="left"/>
      <w:pPr>
        <w:tabs>
          <w:tab w:val="num" w:pos="5040"/>
        </w:tabs>
        <w:ind w:left="5040" w:hanging="360"/>
      </w:pPr>
      <w:rPr>
        <w:rFonts w:ascii="Arial" w:hAnsi="Arial" w:hint="default"/>
      </w:rPr>
    </w:lvl>
    <w:lvl w:ilvl="7" w:tplc="A0AA07DA" w:tentative="1">
      <w:start w:val="1"/>
      <w:numFmt w:val="bullet"/>
      <w:lvlText w:val="–"/>
      <w:lvlJc w:val="left"/>
      <w:pPr>
        <w:tabs>
          <w:tab w:val="num" w:pos="5760"/>
        </w:tabs>
        <w:ind w:left="5760" w:hanging="360"/>
      </w:pPr>
      <w:rPr>
        <w:rFonts w:ascii="Arial" w:hAnsi="Arial" w:hint="default"/>
      </w:rPr>
    </w:lvl>
    <w:lvl w:ilvl="8" w:tplc="A55AF032" w:tentative="1">
      <w:start w:val="1"/>
      <w:numFmt w:val="bullet"/>
      <w:lvlText w:val="–"/>
      <w:lvlJc w:val="left"/>
      <w:pPr>
        <w:tabs>
          <w:tab w:val="num" w:pos="6480"/>
        </w:tabs>
        <w:ind w:left="6480" w:hanging="360"/>
      </w:pPr>
      <w:rPr>
        <w:rFonts w:ascii="Arial" w:hAnsi="Arial" w:hint="default"/>
      </w:rPr>
    </w:lvl>
  </w:abstractNum>
  <w:abstractNum w:abstractNumId="40">
    <w:nsid w:val="76B41D57"/>
    <w:multiLevelType w:val="hybridMultilevel"/>
    <w:tmpl w:val="A066DCC4"/>
    <w:lvl w:ilvl="0" w:tplc="CE0ADD3E">
      <w:start w:val="1"/>
      <w:numFmt w:val="bullet"/>
      <w:lvlText w:val="•"/>
      <w:lvlJc w:val="left"/>
      <w:pPr>
        <w:tabs>
          <w:tab w:val="num" w:pos="720"/>
        </w:tabs>
        <w:ind w:left="720" w:hanging="360"/>
      </w:pPr>
      <w:rPr>
        <w:rFonts w:ascii="Arial" w:hAnsi="Arial" w:hint="default"/>
      </w:rPr>
    </w:lvl>
    <w:lvl w:ilvl="1" w:tplc="40CE84B4">
      <w:start w:val="5545"/>
      <w:numFmt w:val="bullet"/>
      <w:lvlText w:val="–"/>
      <w:lvlJc w:val="left"/>
      <w:pPr>
        <w:tabs>
          <w:tab w:val="num" w:pos="1440"/>
        </w:tabs>
        <w:ind w:left="1440" w:hanging="360"/>
      </w:pPr>
      <w:rPr>
        <w:rFonts w:ascii="Arial" w:hAnsi="Arial" w:hint="default"/>
      </w:rPr>
    </w:lvl>
    <w:lvl w:ilvl="2" w:tplc="783E4FEE" w:tentative="1">
      <w:start w:val="1"/>
      <w:numFmt w:val="bullet"/>
      <w:lvlText w:val="•"/>
      <w:lvlJc w:val="left"/>
      <w:pPr>
        <w:tabs>
          <w:tab w:val="num" w:pos="2160"/>
        </w:tabs>
        <w:ind w:left="2160" w:hanging="360"/>
      </w:pPr>
      <w:rPr>
        <w:rFonts w:ascii="Arial" w:hAnsi="Arial" w:hint="default"/>
      </w:rPr>
    </w:lvl>
    <w:lvl w:ilvl="3" w:tplc="EB829B74" w:tentative="1">
      <w:start w:val="1"/>
      <w:numFmt w:val="bullet"/>
      <w:lvlText w:val="•"/>
      <w:lvlJc w:val="left"/>
      <w:pPr>
        <w:tabs>
          <w:tab w:val="num" w:pos="2880"/>
        </w:tabs>
        <w:ind w:left="2880" w:hanging="360"/>
      </w:pPr>
      <w:rPr>
        <w:rFonts w:ascii="Arial" w:hAnsi="Arial" w:hint="default"/>
      </w:rPr>
    </w:lvl>
    <w:lvl w:ilvl="4" w:tplc="3A02B964" w:tentative="1">
      <w:start w:val="1"/>
      <w:numFmt w:val="bullet"/>
      <w:lvlText w:val="•"/>
      <w:lvlJc w:val="left"/>
      <w:pPr>
        <w:tabs>
          <w:tab w:val="num" w:pos="3600"/>
        </w:tabs>
        <w:ind w:left="3600" w:hanging="360"/>
      </w:pPr>
      <w:rPr>
        <w:rFonts w:ascii="Arial" w:hAnsi="Arial" w:hint="default"/>
      </w:rPr>
    </w:lvl>
    <w:lvl w:ilvl="5" w:tplc="CEAE6C92" w:tentative="1">
      <w:start w:val="1"/>
      <w:numFmt w:val="bullet"/>
      <w:lvlText w:val="•"/>
      <w:lvlJc w:val="left"/>
      <w:pPr>
        <w:tabs>
          <w:tab w:val="num" w:pos="4320"/>
        </w:tabs>
        <w:ind w:left="4320" w:hanging="360"/>
      </w:pPr>
      <w:rPr>
        <w:rFonts w:ascii="Arial" w:hAnsi="Arial" w:hint="default"/>
      </w:rPr>
    </w:lvl>
    <w:lvl w:ilvl="6" w:tplc="82C2E638" w:tentative="1">
      <w:start w:val="1"/>
      <w:numFmt w:val="bullet"/>
      <w:lvlText w:val="•"/>
      <w:lvlJc w:val="left"/>
      <w:pPr>
        <w:tabs>
          <w:tab w:val="num" w:pos="5040"/>
        </w:tabs>
        <w:ind w:left="5040" w:hanging="360"/>
      </w:pPr>
      <w:rPr>
        <w:rFonts w:ascii="Arial" w:hAnsi="Arial" w:hint="default"/>
      </w:rPr>
    </w:lvl>
    <w:lvl w:ilvl="7" w:tplc="A950F7A4" w:tentative="1">
      <w:start w:val="1"/>
      <w:numFmt w:val="bullet"/>
      <w:lvlText w:val="•"/>
      <w:lvlJc w:val="left"/>
      <w:pPr>
        <w:tabs>
          <w:tab w:val="num" w:pos="5760"/>
        </w:tabs>
        <w:ind w:left="5760" w:hanging="360"/>
      </w:pPr>
      <w:rPr>
        <w:rFonts w:ascii="Arial" w:hAnsi="Arial" w:hint="default"/>
      </w:rPr>
    </w:lvl>
    <w:lvl w:ilvl="8" w:tplc="DEA058B2" w:tentative="1">
      <w:start w:val="1"/>
      <w:numFmt w:val="bullet"/>
      <w:lvlText w:val="•"/>
      <w:lvlJc w:val="left"/>
      <w:pPr>
        <w:tabs>
          <w:tab w:val="num" w:pos="6480"/>
        </w:tabs>
        <w:ind w:left="6480" w:hanging="360"/>
      </w:pPr>
      <w:rPr>
        <w:rFonts w:ascii="Arial" w:hAnsi="Arial" w:hint="default"/>
      </w:rPr>
    </w:lvl>
  </w:abstractNum>
  <w:abstractNum w:abstractNumId="41">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5"/>
  </w:num>
  <w:num w:numId="3">
    <w:abstractNumId w:val="2"/>
  </w:num>
  <w:num w:numId="4">
    <w:abstractNumId w:val="41"/>
  </w:num>
  <w:num w:numId="5">
    <w:abstractNumId w:val="21"/>
  </w:num>
  <w:num w:numId="6">
    <w:abstractNumId w:val="33"/>
  </w:num>
  <w:num w:numId="7">
    <w:abstractNumId w:val="7"/>
  </w:num>
  <w:num w:numId="8">
    <w:abstractNumId w:val="34"/>
  </w:num>
  <w:num w:numId="9">
    <w:abstractNumId w:val="13"/>
  </w:num>
  <w:num w:numId="10">
    <w:abstractNumId w:val="36"/>
  </w:num>
  <w:num w:numId="11">
    <w:abstractNumId w:val="8"/>
  </w:num>
  <w:num w:numId="12">
    <w:abstractNumId w:val="29"/>
  </w:num>
  <w:num w:numId="13">
    <w:abstractNumId w:val="5"/>
  </w:num>
  <w:num w:numId="14">
    <w:abstractNumId w:val="0"/>
  </w:num>
  <w:num w:numId="15">
    <w:abstractNumId w:val="17"/>
  </w:num>
  <w:num w:numId="16">
    <w:abstractNumId w:val="19"/>
  </w:num>
  <w:num w:numId="17">
    <w:abstractNumId w:val="3"/>
  </w:num>
  <w:num w:numId="18">
    <w:abstractNumId w:val="12"/>
  </w:num>
  <w:num w:numId="19">
    <w:abstractNumId w:val="18"/>
  </w:num>
  <w:num w:numId="20">
    <w:abstractNumId w:val="30"/>
  </w:num>
  <w:num w:numId="21">
    <w:abstractNumId w:val="14"/>
  </w:num>
  <w:num w:numId="22">
    <w:abstractNumId w:val="10"/>
  </w:num>
  <w:num w:numId="23">
    <w:abstractNumId w:val="38"/>
  </w:num>
  <w:num w:numId="24">
    <w:abstractNumId w:val="35"/>
  </w:num>
  <w:num w:numId="25">
    <w:abstractNumId w:val="26"/>
  </w:num>
  <w:num w:numId="26">
    <w:abstractNumId w:val="23"/>
  </w:num>
  <w:num w:numId="27">
    <w:abstractNumId w:val="24"/>
  </w:num>
  <w:num w:numId="28">
    <w:abstractNumId w:val="31"/>
  </w:num>
  <w:num w:numId="29">
    <w:abstractNumId w:val="11"/>
  </w:num>
  <w:num w:numId="30">
    <w:abstractNumId w:val="32"/>
  </w:num>
  <w:num w:numId="31">
    <w:abstractNumId w:val="16"/>
  </w:num>
  <w:num w:numId="32">
    <w:abstractNumId w:val="28"/>
  </w:num>
  <w:num w:numId="33">
    <w:abstractNumId w:val="39"/>
  </w:num>
  <w:num w:numId="34">
    <w:abstractNumId w:val="4"/>
  </w:num>
  <w:num w:numId="35">
    <w:abstractNumId w:val="1"/>
  </w:num>
  <w:num w:numId="36">
    <w:abstractNumId w:val="6"/>
  </w:num>
  <w:num w:numId="37">
    <w:abstractNumId w:val="27"/>
  </w:num>
  <w:num w:numId="38">
    <w:abstractNumId w:val="15"/>
  </w:num>
  <w:num w:numId="39">
    <w:abstractNumId w:val="37"/>
  </w:num>
  <w:num w:numId="40">
    <w:abstractNumId w:val="22"/>
  </w:num>
  <w:num w:numId="41">
    <w:abstractNumId w:val="40"/>
  </w:num>
  <w:num w:numId="42">
    <w:abstractNumId w:val="9"/>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IdMacAtCleanup w:val="4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y Ho">
    <w15:presenceInfo w15:providerId="None" w15:userId="Joy Ho"/>
  </w15:person>
  <w15:person w15:author="Peter Grimison">
    <w15:presenceInfo w15:providerId="Windows Live" w15:userId="3f62feba809989bf"/>
  </w15:person>
  <w15:person w15:author="Andrew Roberts">
    <w15:presenceInfo w15:providerId="None" w15:userId="Andrew Roberts"/>
  </w15:person>
  <w15:person w15:author="Kylie Easton">
    <w15:presenceInfo w15:providerId="Windows Live" w15:userId="dd0024c87543b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02FCE"/>
    <w:rsid w:val="000037E7"/>
    <w:rsid w:val="00004683"/>
    <w:rsid w:val="00004D29"/>
    <w:rsid w:val="00004FD1"/>
    <w:rsid w:val="000050A8"/>
    <w:rsid w:val="0000672D"/>
    <w:rsid w:val="00006CB4"/>
    <w:rsid w:val="00007878"/>
    <w:rsid w:val="00007A5E"/>
    <w:rsid w:val="00007B4C"/>
    <w:rsid w:val="00007D42"/>
    <w:rsid w:val="0001055A"/>
    <w:rsid w:val="0001066F"/>
    <w:rsid w:val="000119C3"/>
    <w:rsid w:val="00011ACA"/>
    <w:rsid w:val="00012865"/>
    <w:rsid w:val="00013222"/>
    <w:rsid w:val="00014027"/>
    <w:rsid w:val="00014473"/>
    <w:rsid w:val="0001473F"/>
    <w:rsid w:val="00014914"/>
    <w:rsid w:val="000155ED"/>
    <w:rsid w:val="0001572A"/>
    <w:rsid w:val="00015C33"/>
    <w:rsid w:val="00016481"/>
    <w:rsid w:val="00017847"/>
    <w:rsid w:val="000203DA"/>
    <w:rsid w:val="0002095B"/>
    <w:rsid w:val="00021979"/>
    <w:rsid w:val="00021BE3"/>
    <w:rsid w:val="00023653"/>
    <w:rsid w:val="00023B25"/>
    <w:rsid w:val="00024711"/>
    <w:rsid w:val="000249F9"/>
    <w:rsid w:val="00025E61"/>
    <w:rsid w:val="00026F0D"/>
    <w:rsid w:val="0002749A"/>
    <w:rsid w:val="000274F4"/>
    <w:rsid w:val="00027AF6"/>
    <w:rsid w:val="000306A1"/>
    <w:rsid w:val="0003071A"/>
    <w:rsid w:val="00032458"/>
    <w:rsid w:val="00033B48"/>
    <w:rsid w:val="00033FDA"/>
    <w:rsid w:val="0003438E"/>
    <w:rsid w:val="00034404"/>
    <w:rsid w:val="00034D48"/>
    <w:rsid w:val="00036686"/>
    <w:rsid w:val="00036751"/>
    <w:rsid w:val="00036898"/>
    <w:rsid w:val="00036E50"/>
    <w:rsid w:val="00037AE5"/>
    <w:rsid w:val="00040D72"/>
    <w:rsid w:val="0004134F"/>
    <w:rsid w:val="000429D2"/>
    <w:rsid w:val="00042AD6"/>
    <w:rsid w:val="00043388"/>
    <w:rsid w:val="00043F2E"/>
    <w:rsid w:val="00044114"/>
    <w:rsid w:val="0004497E"/>
    <w:rsid w:val="000449C9"/>
    <w:rsid w:val="000456EC"/>
    <w:rsid w:val="0004577D"/>
    <w:rsid w:val="00045AED"/>
    <w:rsid w:val="000461CF"/>
    <w:rsid w:val="000475D3"/>
    <w:rsid w:val="00047A6D"/>
    <w:rsid w:val="00050AA3"/>
    <w:rsid w:val="000531B8"/>
    <w:rsid w:val="000532E0"/>
    <w:rsid w:val="000552B3"/>
    <w:rsid w:val="00056043"/>
    <w:rsid w:val="00056C61"/>
    <w:rsid w:val="00057F71"/>
    <w:rsid w:val="00060841"/>
    <w:rsid w:val="00062067"/>
    <w:rsid w:val="0006287E"/>
    <w:rsid w:val="00063256"/>
    <w:rsid w:val="000635D3"/>
    <w:rsid w:val="00063C3A"/>
    <w:rsid w:val="00064813"/>
    <w:rsid w:val="00064C98"/>
    <w:rsid w:val="00064CC5"/>
    <w:rsid w:val="00064E47"/>
    <w:rsid w:val="00065624"/>
    <w:rsid w:val="00065C62"/>
    <w:rsid w:val="00065CDE"/>
    <w:rsid w:val="00065F4A"/>
    <w:rsid w:val="000660F2"/>
    <w:rsid w:val="00066A29"/>
    <w:rsid w:val="00066EF4"/>
    <w:rsid w:val="00067242"/>
    <w:rsid w:val="00070803"/>
    <w:rsid w:val="00071F47"/>
    <w:rsid w:val="00072C84"/>
    <w:rsid w:val="00072C85"/>
    <w:rsid w:val="000737E1"/>
    <w:rsid w:val="0007392E"/>
    <w:rsid w:val="00074E3C"/>
    <w:rsid w:val="00075415"/>
    <w:rsid w:val="000755A3"/>
    <w:rsid w:val="00075B08"/>
    <w:rsid w:val="000761CC"/>
    <w:rsid w:val="000767A5"/>
    <w:rsid w:val="0007764C"/>
    <w:rsid w:val="000779DC"/>
    <w:rsid w:val="00077F2E"/>
    <w:rsid w:val="0008068A"/>
    <w:rsid w:val="00080E93"/>
    <w:rsid w:val="00080FF3"/>
    <w:rsid w:val="000815D5"/>
    <w:rsid w:val="00081E0C"/>
    <w:rsid w:val="00081F4B"/>
    <w:rsid w:val="00081F6A"/>
    <w:rsid w:val="00082919"/>
    <w:rsid w:val="000835D1"/>
    <w:rsid w:val="00084168"/>
    <w:rsid w:val="000847FE"/>
    <w:rsid w:val="0008489B"/>
    <w:rsid w:val="00084D6C"/>
    <w:rsid w:val="00086133"/>
    <w:rsid w:val="000863A5"/>
    <w:rsid w:val="00090528"/>
    <w:rsid w:val="000925DB"/>
    <w:rsid w:val="000926FB"/>
    <w:rsid w:val="00092CD4"/>
    <w:rsid w:val="00095785"/>
    <w:rsid w:val="00095B7F"/>
    <w:rsid w:val="000967D8"/>
    <w:rsid w:val="000A0003"/>
    <w:rsid w:val="000A02A2"/>
    <w:rsid w:val="000A0AA2"/>
    <w:rsid w:val="000A106E"/>
    <w:rsid w:val="000A1579"/>
    <w:rsid w:val="000A2694"/>
    <w:rsid w:val="000A2AEC"/>
    <w:rsid w:val="000A2EF1"/>
    <w:rsid w:val="000A38BE"/>
    <w:rsid w:val="000A4F44"/>
    <w:rsid w:val="000A6B8D"/>
    <w:rsid w:val="000A6FBD"/>
    <w:rsid w:val="000A7BDA"/>
    <w:rsid w:val="000B171C"/>
    <w:rsid w:val="000B447D"/>
    <w:rsid w:val="000B4D99"/>
    <w:rsid w:val="000B4E80"/>
    <w:rsid w:val="000B56CD"/>
    <w:rsid w:val="000B5852"/>
    <w:rsid w:val="000B6B69"/>
    <w:rsid w:val="000B74D5"/>
    <w:rsid w:val="000B7CCC"/>
    <w:rsid w:val="000C0142"/>
    <w:rsid w:val="000C04FF"/>
    <w:rsid w:val="000C051C"/>
    <w:rsid w:val="000C0726"/>
    <w:rsid w:val="000C0F31"/>
    <w:rsid w:val="000C24B7"/>
    <w:rsid w:val="000C35D4"/>
    <w:rsid w:val="000C3602"/>
    <w:rsid w:val="000C3B3E"/>
    <w:rsid w:val="000C471A"/>
    <w:rsid w:val="000C5DBC"/>
    <w:rsid w:val="000C66A6"/>
    <w:rsid w:val="000C6A40"/>
    <w:rsid w:val="000C6A75"/>
    <w:rsid w:val="000C6E49"/>
    <w:rsid w:val="000D0023"/>
    <w:rsid w:val="000D021E"/>
    <w:rsid w:val="000D037F"/>
    <w:rsid w:val="000D0838"/>
    <w:rsid w:val="000D1F7E"/>
    <w:rsid w:val="000D2541"/>
    <w:rsid w:val="000D2E92"/>
    <w:rsid w:val="000D3036"/>
    <w:rsid w:val="000D4544"/>
    <w:rsid w:val="000D5F9A"/>
    <w:rsid w:val="000D6923"/>
    <w:rsid w:val="000D769E"/>
    <w:rsid w:val="000E0990"/>
    <w:rsid w:val="000E0E85"/>
    <w:rsid w:val="000E15AB"/>
    <w:rsid w:val="000E1636"/>
    <w:rsid w:val="000E17B6"/>
    <w:rsid w:val="000E27F8"/>
    <w:rsid w:val="000E2B83"/>
    <w:rsid w:val="000E2E42"/>
    <w:rsid w:val="000E465D"/>
    <w:rsid w:val="000E5DAC"/>
    <w:rsid w:val="000E6CD7"/>
    <w:rsid w:val="000E7293"/>
    <w:rsid w:val="000E7F84"/>
    <w:rsid w:val="000F09CD"/>
    <w:rsid w:val="000F2534"/>
    <w:rsid w:val="000F3652"/>
    <w:rsid w:val="000F36BC"/>
    <w:rsid w:val="000F4AC9"/>
    <w:rsid w:val="000F4BBF"/>
    <w:rsid w:val="000F55E1"/>
    <w:rsid w:val="000F5DB3"/>
    <w:rsid w:val="000F64EF"/>
    <w:rsid w:val="000F6B96"/>
    <w:rsid w:val="000F6C01"/>
    <w:rsid w:val="000F6EB3"/>
    <w:rsid w:val="000F6F1A"/>
    <w:rsid w:val="000F7E9A"/>
    <w:rsid w:val="00101CCC"/>
    <w:rsid w:val="00102062"/>
    <w:rsid w:val="00102686"/>
    <w:rsid w:val="00102D4C"/>
    <w:rsid w:val="00103F27"/>
    <w:rsid w:val="00104356"/>
    <w:rsid w:val="00104666"/>
    <w:rsid w:val="00105CC0"/>
    <w:rsid w:val="00105DE2"/>
    <w:rsid w:val="00110AF0"/>
    <w:rsid w:val="00112179"/>
    <w:rsid w:val="00112205"/>
    <w:rsid w:val="001133D6"/>
    <w:rsid w:val="0011389F"/>
    <w:rsid w:val="00114992"/>
    <w:rsid w:val="00115713"/>
    <w:rsid w:val="00116173"/>
    <w:rsid w:val="001168D7"/>
    <w:rsid w:val="00117A01"/>
    <w:rsid w:val="00120A54"/>
    <w:rsid w:val="00120B0E"/>
    <w:rsid w:val="00120EAF"/>
    <w:rsid w:val="00121541"/>
    <w:rsid w:val="001247CB"/>
    <w:rsid w:val="00126066"/>
    <w:rsid w:val="00126A94"/>
    <w:rsid w:val="0012701F"/>
    <w:rsid w:val="001279AE"/>
    <w:rsid w:val="001302EB"/>
    <w:rsid w:val="0013092C"/>
    <w:rsid w:val="0013100F"/>
    <w:rsid w:val="00131E95"/>
    <w:rsid w:val="00132124"/>
    <w:rsid w:val="001340A6"/>
    <w:rsid w:val="00135649"/>
    <w:rsid w:val="0013569F"/>
    <w:rsid w:val="00135759"/>
    <w:rsid w:val="00136E76"/>
    <w:rsid w:val="001379A7"/>
    <w:rsid w:val="00137A71"/>
    <w:rsid w:val="0014013E"/>
    <w:rsid w:val="001411E1"/>
    <w:rsid w:val="00141225"/>
    <w:rsid w:val="001412C7"/>
    <w:rsid w:val="001419C5"/>
    <w:rsid w:val="001429B3"/>
    <w:rsid w:val="00142AD1"/>
    <w:rsid w:val="00143AA3"/>
    <w:rsid w:val="00144CCF"/>
    <w:rsid w:val="00144EBA"/>
    <w:rsid w:val="00144F1E"/>
    <w:rsid w:val="001468C6"/>
    <w:rsid w:val="00146C47"/>
    <w:rsid w:val="001477AB"/>
    <w:rsid w:val="0015065A"/>
    <w:rsid w:val="00150B7B"/>
    <w:rsid w:val="001513EE"/>
    <w:rsid w:val="001520CE"/>
    <w:rsid w:val="00152C52"/>
    <w:rsid w:val="00152F97"/>
    <w:rsid w:val="001535DD"/>
    <w:rsid w:val="001540DC"/>
    <w:rsid w:val="00155454"/>
    <w:rsid w:val="001564F2"/>
    <w:rsid w:val="00156EEF"/>
    <w:rsid w:val="001572A5"/>
    <w:rsid w:val="00157984"/>
    <w:rsid w:val="00157EB3"/>
    <w:rsid w:val="00160996"/>
    <w:rsid w:val="001613B1"/>
    <w:rsid w:val="001616AD"/>
    <w:rsid w:val="001639E1"/>
    <w:rsid w:val="0016491D"/>
    <w:rsid w:val="00165883"/>
    <w:rsid w:val="00165A49"/>
    <w:rsid w:val="00165B64"/>
    <w:rsid w:val="00165FF0"/>
    <w:rsid w:val="001660F5"/>
    <w:rsid w:val="00166237"/>
    <w:rsid w:val="00166BD4"/>
    <w:rsid w:val="00166C85"/>
    <w:rsid w:val="00166DFF"/>
    <w:rsid w:val="00171BD2"/>
    <w:rsid w:val="001722AD"/>
    <w:rsid w:val="00173577"/>
    <w:rsid w:val="00173CE3"/>
    <w:rsid w:val="00174315"/>
    <w:rsid w:val="00175D74"/>
    <w:rsid w:val="001762D5"/>
    <w:rsid w:val="0017638E"/>
    <w:rsid w:val="00176527"/>
    <w:rsid w:val="00176AA5"/>
    <w:rsid w:val="00176E2B"/>
    <w:rsid w:val="0017720E"/>
    <w:rsid w:val="0017744F"/>
    <w:rsid w:val="00177893"/>
    <w:rsid w:val="00180E36"/>
    <w:rsid w:val="00181737"/>
    <w:rsid w:val="00181C4F"/>
    <w:rsid w:val="001824D8"/>
    <w:rsid w:val="00182917"/>
    <w:rsid w:val="00182E3F"/>
    <w:rsid w:val="00183726"/>
    <w:rsid w:val="00183D6D"/>
    <w:rsid w:val="00184221"/>
    <w:rsid w:val="001847E7"/>
    <w:rsid w:val="001849E7"/>
    <w:rsid w:val="00184C25"/>
    <w:rsid w:val="0018504B"/>
    <w:rsid w:val="00185A5B"/>
    <w:rsid w:val="00186307"/>
    <w:rsid w:val="0018636B"/>
    <w:rsid w:val="00186CEC"/>
    <w:rsid w:val="00186EBC"/>
    <w:rsid w:val="00187009"/>
    <w:rsid w:val="00190112"/>
    <w:rsid w:val="0019074C"/>
    <w:rsid w:val="00191510"/>
    <w:rsid w:val="00191639"/>
    <w:rsid w:val="00191B4D"/>
    <w:rsid w:val="001930C4"/>
    <w:rsid w:val="00193CD3"/>
    <w:rsid w:val="00195A64"/>
    <w:rsid w:val="00195CBE"/>
    <w:rsid w:val="00195DA4"/>
    <w:rsid w:val="001970A2"/>
    <w:rsid w:val="0019743B"/>
    <w:rsid w:val="00197E70"/>
    <w:rsid w:val="00197FC3"/>
    <w:rsid w:val="001A0142"/>
    <w:rsid w:val="001A02B2"/>
    <w:rsid w:val="001A05FE"/>
    <w:rsid w:val="001A08B3"/>
    <w:rsid w:val="001A0CB5"/>
    <w:rsid w:val="001A2028"/>
    <w:rsid w:val="001A2326"/>
    <w:rsid w:val="001A2561"/>
    <w:rsid w:val="001A28EC"/>
    <w:rsid w:val="001A2D67"/>
    <w:rsid w:val="001A2FB1"/>
    <w:rsid w:val="001A329F"/>
    <w:rsid w:val="001A32B1"/>
    <w:rsid w:val="001A380A"/>
    <w:rsid w:val="001A7C18"/>
    <w:rsid w:val="001B00CE"/>
    <w:rsid w:val="001B0C77"/>
    <w:rsid w:val="001B1C7F"/>
    <w:rsid w:val="001B2818"/>
    <w:rsid w:val="001B2BB9"/>
    <w:rsid w:val="001B3918"/>
    <w:rsid w:val="001B41A0"/>
    <w:rsid w:val="001B4591"/>
    <w:rsid w:val="001B46BA"/>
    <w:rsid w:val="001B4F39"/>
    <w:rsid w:val="001B57A7"/>
    <w:rsid w:val="001B5B80"/>
    <w:rsid w:val="001B6389"/>
    <w:rsid w:val="001B67BC"/>
    <w:rsid w:val="001B683F"/>
    <w:rsid w:val="001B6F6E"/>
    <w:rsid w:val="001B7185"/>
    <w:rsid w:val="001B7B15"/>
    <w:rsid w:val="001B7DFD"/>
    <w:rsid w:val="001C045F"/>
    <w:rsid w:val="001C04CC"/>
    <w:rsid w:val="001C051E"/>
    <w:rsid w:val="001C07E5"/>
    <w:rsid w:val="001C0D63"/>
    <w:rsid w:val="001C0FA6"/>
    <w:rsid w:val="001C128A"/>
    <w:rsid w:val="001C17C9"/>
    <w:rsid w:val="001C18EF"/>
    <w:rsid w:val="001C4435"/>
    <w:rsid w:val="001C5490"/>
    <w:rsid w:val="001C63DC"/>
    <w:rsid w:val="001C7FD9"/>
    <w:rsid w:val="001D061C"/>
    <w:rsid w:val="001D0D39"/>
    <w:rsid w:val="001D2504"/>
    <w:rsid w:val="001D33D8"/>
    <w:rsid w:val="001D3A84"/>
    <w:rsid w:val="001D4075"/>
    <w:rsid w:val="001D43CB"/>
    <w:rsid w:val="001D511A"/>
    <w:rsid w:val="001D574D"/>
    <w:rsid w:val="001D58AC"/>
    <w:rsid w:val="001D5921"/>
    <w:rsid w:val="001D5DE3"/>
    <w:rsid w:val="001D6072"/>
    <w:rsid w:val="001D6626"/>
    <w:rsid w:val="001D662C"/>
    <w:rsid w:val="001D71D3"/>
    <w:rsid w:val="001D76D7"/>
    <w:rsid w:val="001D791D"/>
    <w:rsid w:val="001E134C"/>
    <w:rsid w:val="001E1816"/>
    <w:rsid w:val="001E223E"/>
    <w:rsid w:val="001E262F"/>
    <w:rsid w:val="001E2A45"/>
    <w:rsid w:val="001E2CC0"/>
    <w:rsid w:val="001E371A"/>
    <w:rsid w:val="001E3740"/>
    <w:rsid w:val="001E3A3B"/>
    <w:rsid w:val="001E4361"/>
    <w:rsid w:val="001E4BA7"/>
    <w:rsid w:val="001E5918"/>
    <w:rsid w:val="001E5C44"/>
    <w:rsid w:val="001E78FB"/>
    <w:rsid w:val="001E7B5A"/>
    <w:rsid w:val="001F073C"/>
    <w:rsid w:val="001F0E01"/>
    <w:rsid w:val="001F0E1E"/>
    <w:rsid w:val="001F0F67"/>
    <w:rsid w:val="001F140B"/>
    <w:rsid w:val="001F1C32"/>
    <w:rsid w:val="001F1F82"/>
    <w:rsid w:val="001F2912"/>
    <w:rsid w:val="001F2E07"/>
    <w:rsid w:val="001F3EEF"/>
    <w:rsid w:val="001F50A2"/>
    <w:rsid w:val="001F6EA7"/>
    <w:rsid w:val="001F7E7E"/>
    <w:rsid w:val="002001C6"/>
    <w:rsid w:val="00200227"/>
    <w:rsid w:val="00200296"/>
    <w:rsid w:val="00200810"/>
    <w:rsid w:val="002009CA"/>
    <w:rsid w:val="00201602"/>
    <w:rsid w:val="00201945"/>
    <w:rsid w:val="00201ADB"/>
    <w:rsid w:val="00201F75"/>
    <w:rsid w:val="0020249E"/>
    <w:rsid w:val="00202FEC"/>
    <w:rsid w:val="00203295"/>
    <w:rsid w:val="00203659"/>
    <w:rsid w:val="002038F1"/>
    <w:rsid w:val="0020413C"/>
    <w:rsid w:val="002042E3"/>
    <w:rsid w:val="0020509E"/>
    <w:rsid w:val="002055F9"/>
    <w:rsid w:val="002058E5"/>
    <w:rsid w:val="00205D39"/>
    <w:rsid w:val="00205E67"/>
    <w:rsid w:val="002063AD"/>
    <w:rsid w:val="002076FB"/>
    <w:rsid w:val="00210FAA"/>
    <w:rsid w:val="0021143C"/>
    <w:rsid w:val="0021187F"/>
    <w:rsid w:val="00211A45"/>
    <w:rsid w:val="00212939"/>
    <w:rsid w:val="00212B47"/>
    <w:rsid w:val="00214212"/>
    <w:rsid w:val="00221642"/>
    <w:rsid w:val="002221CF"/>
    <w:rsid w:val="002234A6"/>
    <w:rsid w:val="00223FF8"/>
    <w:rsid w:val="002248F8"/>
    <w:rsid w:val="00224DD5"/>
    <w:rsid w:val="00224E94"/>
    <w:rsid w:val="0022680D"/>
    <w:rsid w:val="00230B9A"/>
    <w:rsid w:val="00231319"/>
    <w:rsid w:val="002314A2"/>
    <w:rsid w:val="00231A18"/>
    <w:rsid w:val="002320FF"/>
    <w:rsid w:val="00232833"/>
    <w:rsid w:val="00233A0A"/>
    <w:rsid w:val="00233DAF"/>
    <w:rsid w:val="002346D8"/>
    <w:rsid w:val="0023598C"/>
    <w:rsid w:val="00235D59"/>
    <w:rsid w:val="0023646D"/>
    <w:rsid w:val="00236E43"/>
    <w:rsid w:val="0023772B"/>
    <w:rsid w:val="0023774B"/>
    <w:rsid w:val="00240084"/>
    <w:rsid w:val="002402B1"/>
    <w:rsid w:val="0024043A"/>
    <w:rsid w:val="00240676"/>
    <w:rsid w:val="00240752"/>
    <w:rsid w:val="00240B35"/>
    <w:rsid w:val="00240C27"/>
    <w:rsid w:val="00240D4C"/>
    <w:rsid w:val="002417B1"/>
    <w:rsid w:val="0024205F"/>
    <w:rsid w:val="0024213E"/>
    <w:rsid w:val="002425EA"/>
    <w:rsid w:val="00242EA0"/>
    <w:rsid w:val="00243685"/>
    <w:rsid w:val="00244004"/>
    <w:rsid w:val="002448F1"/>
    <w:rsid w:val="00245593"/>
    <w:rsid w:val="00245691"/>
    <w:rsid w:val="00245BD7"/>
    <w:rsid w:val="002461E5"/>
    <w:rsid w:val="00247348"/>
    <w:rsid w:val="0024778C"/>
    <w:rsid w:val="00250588"/>
    <w:rsid w:val="002508AB"/>
    <w:rsid w:val="00250BD6"/>
    <w:rsid w:val="00251152"/>
    <w:rsid w:val="002519D6"/>
    <w:rsid w:val="00252ABF"/>
    <w:rsid w:val="00252B2F"/>
    <w:rsid w:val="00253BC7"/>
    <w:rsid w:val="0025519D"/>
    <w:rsid w:val="002557CA"/>
    <w:rsid w:val="00255839"/>
    <w:rsid w:val="00256077"/>
    <w:rsid w:val="0025613F"/>
    <w:rsid w:val="00256A8B"/>
    <w:rsid w:val="00260A06"/>
    <w:rsid w:val="00260F3E"/>
    <w:rsid w:val="00261B26"/>
    <w:rsid w:val="00261DC6"/>
    <w:rsid w:val="0026336A"/>
    <w:rsid w:val="0026391A"/>
    <w:rsid w:val="00264623"/>
    <w:rsid w:val="00264DE0"/>
    <w:rsid w:val="00265271"/>
    <w:rsid w:val="00265F8A"/>
    <w:rsid w:val="002700B9"/>
    <w:rsid w:val="00273C92"/>
    <w:rsid w:val="002748ED"/>
    <w:rsid w:val="0027618C"/>
    <w:rsid w:val="00276677"/>
    <w:rsid w:val="0027677C"/>
    <w:rsid w:val="002777BF"/>
    <w:rsid w:val="00280B5B"/>
    <w:rsid w:val="00280CE2"/>
    <w:rsid w:val="00281D44"/>
    <w:rsid w:val="00282CAD"/>
    <w:rsid w:val="00282D1F"/>
    <w:rsid w:val="002836DF"/>
    <w:rsid w:val="00284561"/>
    <w:rsid w:val="002845DA"/>
    <w:rsid w:val="002859A4"/>
    <w:rsid w:val="00286211"/>
    <w:rsid w:val="002869B2"/>
    <w:rsid w:val="002871FC"/>
    <w:rsid w:val="0028722C"/>
    <w:rsid w:val="00287A74"/>
    <w:rsid w:val="00290092"/>
    <w:rsid w:val="002900B8"/>
    <w:rsid w:val="00292528"/>
    <w:rsid w:val="00292589"/>
    <w:rsid w:val="002928F4"/>
    <w:rsid w:val="00293DEF"/>
    <w:rsid w:val="00293E4A"/>
    <w:rsid w:val="002948BE"/>
    <w:rsid w:val="00295213"/>
    <w:rsid w:val="00295A37"/>
    <w:rsid w:val="00295B8E"/>
    <w:rsid w:val="00296669"/>
    <w:rsid w:val="002A0A6D"/>
    <w:rsid w:val="002A0B12"/>
    <w:rsid w:val="002A0B64"/>
    <w:rsid w:val="002A19BD"/>
    <w:rsid w:val="002A22E2"/>
    <w:rsid w:val="002A2B88"/>
    <w:rsid w:val="002A36B3"/>
    <w:rsid w:val="002A3FDF"/>
    <w:rsid w:val="002A401C"/>
    <w:rsid w:val="002A4323"/>
    <w:rsid w:val="002A4503"/>
    <w:rsid w:val="002A4DE0"/>
    <w:rsid w:val="002A5703"/>
    <w:rsid w:val="002A69AB"/>
    <w:rsid w:val="002A6BEF"/>
    <w:rsid w:val="002A6DC7"/>
    <w:rsid w:val="002B07B9"/>
    <w:rsid w:val="002B2342"/>
    <w:rsid w:val="002B23F7"/>
    <w:rsid w:val="002B2EB3"/>
    <w:rsid w:val="002B334E"/>
    <w:rsid w:val="002B3FEA"/>
    <w:rsid w:val="002B4941"/>
    <w:rsid w:val="002B5D74"/>
    <w:rsid w:val="002B668C"/>
    <w:rsid w:val="002B7221"/>
    <w:rsid w:val="002B7429"/>
    <w:rsid w:val="002B7698"/>
    <w:rsid w:val="002B79B9"/>
    <w:rsid w:val="002B7ADB"/>
    <w:rsid w:val="002B7B68"/>
    <w:rsid w:val="002C0DE9"/>
    <w:rsid w:val="002C1168"/>
    <w:rsid w:val="002C1D2F"/>
    <w:rsid w:val="002C226E"/>
    <w:rsid w:val="002C2A3B"/>
    <w:rsid w:val="002D00C0"/>
    <w:rsid w:val="002D10A9"/>
    <w:rsid w:val="002D1F93"/>
    <w:rsid w:val="002D2FCA"/>
    <w:rsid w:val="002D34C2"/>
    <w:rsid w:val="002D5683"/>
    <w:rsid w:val="002D5FD0"/>
    <w:rsid w:val="002D76F2"/>
    <w:rsid w:val="002D7798"/>
    <w:rsid w:val="002D7823"/>
    <w:rsid w:val="002E111D"/>
    <w:rsid w:val="002E19D6"/>
    <w:rsid w:val="002E1D9A"/>
    <w:rsid w:val="002E23FD"/>
    <w:rsid w:val="002E30C5"/>
    <w:rsid w:val="002E42FD"/>
    <w:rsid w:val="002E468A"/>
    <w:rsid w:val="002E4B2D"/>
    <w:rsid w:val="002E4C2D"/>
    <w:rsid w:val="002E52C2"/>
    <w:rsid w:val="002E5DEA"/>
    <w:rsid w:val="002E603E"/>
    <w:rsid w:val="002E724A"/>
    <w:rsid w:val="002E740B"/>
    <w:rsid w:val="002F0024"/>
    <w:rsid w:val="002F0CC4"/>
    <w:rsid w:val="002F23AF"/>
    <w:rsid w:val="002F311E"/>
    <w:rsid w:val="002F3FAF"/>
    <w:rsid w:val="002F4AFD"/>
    <w:rsid w:val="002F4BEB"/>
    <w:rsid w:val="002F525F"/>
    <w:rsid w:val="002F5EF7"/>
    <w:rsid w:val="002F61A5"/>
    <w:rsid w:val="002F71B8"/>
    <w:rsid w:val="0030057F"/>
    <w:rsid w:val="00301EA1"/>
    <w:rsid w:val="0030264C"/>
    <w:rsid w:val="00302B7D"/>
    <w:rsid w:val="00302FCC"/>
    <w:rsid w:val="003030B2"/>
    <w:rsid w:val="00303427"/>
    <w:rsid w:val="00303CD5"/>
    <w:rsid w:val="0030549C"/>
    <w:rsid w:val="00305F04"/>
    <w:rsid w:val="003062AE"/>
    <w:rsid w:val="00306881"/>
    <w:rsid w:val="0030705B"/>
    <w:rsid w:val="00307411"/>
    <w:rsid w:val="00307801"/>
    <w:rsid w:val="00307E35"/>
    <w:rsid w:val="00310981"/>
    <w:rsid w:val="0031099A"/>
    <w:rsid w:val="003119AD"/>
    <w:rsid w:val="003119E3"/>
    <w:rsid w:val="00312CC5"/>
    <w:rsid w:val="003134C6"/>
    <w:rsid w:val="00313E16"/>
    <w:rsid w:val="00314142"/>
    <w:rsid w:val="00314403"/>
    <w:rsid w:val="00315349"/>
    <w:rsid w:val="00315514"/>
    <w:rsid w:val="00317469"/>
    <w:rsid w:val="003176DE"/>
    <w:rsid w:val="00317DFD"/>
    <w:rsid w:val="00320987"/>
    <w:rsid w:val="00320B0D"/>
    <w:rsid w:val="00321633"/>
    <w:rsid w:val="00321807"/>
    <w:rsid w:val="0032227E"/>
    <w:rsid w:val="00325970"/>
    <w:rsid w:val="00326B81"/>
    <w:rsid w:val="00326EAE"/>
    <w:rsid w:val="00330BE9"/>
    <w:rsid w:val="00332491"/>
    <w:rsid w:val="00332779"/>
    <w:rsid w:val="00334A90"/>
    <w:rsid w:val="00334ACF"/>
    <w:rsid w:val="0033541B"/>
    <w:rsid w:val="003404B1"/>
    <w:rsid w:val="003408FE"/>
    <w:rsid w:val="00341A14"/>
    <w:rsid w:val="003421BF"/>
    <w:rsid w:val="0034357B"/>
    <w:rsid w:val="003437B5"/>
    <w:rsid w:val="00344259"/>
    <w:rsid w:val="0034506E"/>
    <w:rsid w:val="003455F8"/>
    <w:rsid w:val="00345858"/>
    <w:rsid w:val="00345DBF"/>
    <w:rsid w:val="003464DC"/>
    <w:rsid w:val="0034774D"/>
    <w:rsid w:val="003500C4"/>
    <w:rsid w:val="00351381"/>
    <w:rsid w:val="00351653"/>
    <w:rsid w:val="0035250E"/>
    <w:rsid w:val="003530A6"/>
    <w:rsid w:val="00353627"/>
    <w:rsid w:val="00353EA7"/>
    <w:rsid w:val="0035426C"/>
    <w:rsid w:val="00355618"/>
    <w:rsid w:val="00355F72"/>
    <w:rsid w:val="00356759"/>
    <w:rsid w:val="0035732C"/>
    <w:rsid w:val="003574E7"/>
    <w:rsid w:val="00357657"/>
    <w:rsid w:val="00357B91"/>
    <w:rsid w:val="00357F67"/>
    <w:rsid w:val="00360495"/>
    <w:rsid w:val="00361CF9"/>
    <w:rsid w:val="00361EA2"/>
    <w:rsid w:val="00362CA0"/>
    <w:rsid w:val="00362F0B"/>
    <w:rsid w:val="003639A6"/>
    <w:rsid w:val="00364710"/>
    <w:rsid w:val="00365A0D"/>
    <w:rsid w:val="00366293"/>
    <w:rsid w:val="003677F8"/>
    <w:rsid w:val="003679AE"/>
    <w:rsid w:val="00370C6F"/>
    <w:rsid w:val="00370DE2"/>
    <w:rsid w:val="00371EB7"/>
    <w:rsid w:val="0037214E"/>
    <w:rsid w:val="00374264"/>
    <w:rsid w:val="0037490F"/>
    <w:rsid w:val="00374C30"/>
    <w:rsid w:val="0038042C"/>
    <w:rsid w:val="00381493"/>
    <w:rsid w:val="00381991"/>
    <w:rsid w:val="0038281C"/>
    <w:rsid w:val="003828F3"/>
    <w:rsid w:val="00382BFE"/>
    <w:rsid w:val="003832BA"/>
    <w:rsid w:val="00383E25"/>
    <w:rsid w:val="00384C09"/>
    <w:rsid w:val="003851FE"/>
    <w:rsid w:val="00385A64"/>
    <w:rsid w:val="00386363"/>
    <w:rsid w:val="00386375"/>
    <w:rsid w:val="003865B7"/>
    <w:rsid w:val="00386D1A"/>
    <w:rsid w:val="003901B2"/>
    <w:rsid w:val="00390A99"/>
    <w:rsid w:val="00391A5D"/>
    <w:rsid w:val="00391C4D"/>
    <w:rsid w:val="00391CF1"/>
    <w:rsid w:val="00391D97"/>
    <w:rsid w:val="003931E4"/>
    <w:rsid w:val="003934B7"/>
    <w:rsid w:val="00393760"/>
    <w:rsid w:val="00393A02"/>
    <w:rsid w:val="00393C04"/>
    <w:rsid w:val="00393F49"/>
    <w:rsid w:val="0039402D"/>
    <w:rsid w:val="003948E7"/>
    <w:rsid w:val="00394F81"/>
    <w:rsid w:val="00397170"/>
    <w:rsid w:val="003A0109"/>
    <w:rsid w:val="003A04DE"/>
    <w:rsid w:val="003A0734"/>
    <w:rsid w:val="003A2215"/>
    <w:rsid w:val="003A2C60"/>
    <w:rsid w:val="003A3433"/>
    <w:rsid w:val="003A3602"/>
    <w:rsid w:val="003A4D06"/>
    <w:rsid w:val="003A537E"/>
    <w:rsid w:val="003A6363"/>
    <w:rsid w:val="003A65E1"/>
    <w:rsid w:val="003A660F"/>
    <w:rsid w:val="003A6EF4"/>
    <w:rsid w:val="003B095E"/>
    <w:rsid w:val="003B1EE9"/>
    <w:rsid w:val="003B2883"/>
    <w:rsid w:val="003B2FD4"/>
    <w:rsid w:val="003B4973"/>
    <w:rsid w:val="003B5255"/>
    <w:rsid w:val="003B5F69"/>
    <w:rsid w:val="003B64B1"/>
    <w:rsid w:val="003C0BF9"/>
    <w:rsid w:val="003C0EAF"/>
    <w:rsid w:val="003C1A9F"/>
    <w:rsid w:val="003C2B5D"/>
    <w:rsid w:val="003C2DD1"/>
    <w:rsid w:val="003C31C7"/>
    <w:rsid w:val="003C4964"/>
    <w:rsid w:val="003C4BCB"/>
    <w:rsid w:val="003C5655"/>
    <w:rsid w:val="003C568F"/>
    <w:rsid w:val="003C58BE"/>
    <w:rsid w:val="003C5F28"/>
    <w:rsid w:val="003C606F"/>
    <w:rsid w:val="003C6B68"/>
    <w:rsid w:val="003C7D82"/>
    <w:rsid w:val="003D0460"/>
    <w:rsid w:val="003D11A9"/>
    <w:rsid w:val="003D14C2"/>
    <w:rsid w:val="003D1C9F"/>
    <w:rsid w:val="003D2251"/>
    <w:rsid w:val="003D2A37"/>
    <w:rsid w:val="003D38BA"/>
    <w:rsid w:val="003D3EF2"/>
    <w:rsid w:val="003D47B1"/>
    <w:rsid w:val="003D4C4A"/>
    <w:rsid w:val="003D69EF"/>
    <w:rsid w:val="003D72AC"/>
    <w:rsid w:val="003D7F8C"/>
    <w:rsid w:val="003E0048"/>
    <w:rsid w:val="003E0475"/>
    <w:rsid w:val="003E0A26"/>
    <w:rsid w:val="003E0EDB"/>
    <w:rsid w:val="003E1A44"/>
    <w:rsid w:val="003E1EE8"/>
    <w:rsid w:val="003E20E2"/>
    <w:rsid w:val="003E2E2F"/>
    <w:rsid w:val="003E2E84"/>
    <w:rsid w:val="003E3685"/>
    <w:rsid w:val="003E42EE"/>
    <w:rsid w:val="003E4A65"/>
    <w:rsid w:val="003E5151"/>
    <w:rsid w:val="003E564B"/>
    <w:rsid w:val="003E5BD3"/>
    <w:rsid w:val="003E5C50"/>
    <w:rsid w:val="003E6475"/>
    <w:rsid w:val="003E68BE"/>
    <w:rsid w:val="003E6E78"/>
    <w:rsid w:val="003E7356"/>
    <w:rsid w:val="003E7DC6"/>
    <w:rsid w:val="003F035D"/>
    <w:rsid w:val="003F0544"/>
    <w:rsid w:val="003F105A"/>
    <w:rsid w:val="003F1EF1"/>
    <w:rsid w:val="003F255E"/>
    <w:rsid w:val="003F283D"/>
    <w:rsid w:val="003F2BF7"/>
    <w:rsid w:val="003F2C02"/>
    <w:rsid w:val="003F2F6B"/>
    <w:rsid w:val="003F3B02"/>
    <w:rsid w:val="003F43ED"/>
    <w:rsid w:val="003F4A14"/>
    <w:rsid w:val="003F4C35"/>
    <w:rsid w:val="003F4CB1"/>
    <w:rsid w:val="003F4DDC"/>
    <w:rsid w:val="003F5890"/>
    <w:rsid w:val="003F6199"/>
    <w:rsid w:val="003F6D35"/>
    <w:rsid w:val="003F786D"/>
    <w:rsid w:val="003F7A8C"/>
    <w:rsid w:val="003F7C3C"/>
    <w:rsid w:val="004002A1"/>
    <w:rsid w:val="00400AD2"/>
    <w:rsid w:val="00401914"/>
    <w:rsid w:val="00401FB6"/>
    <w:rsid w:val="004033BF"/>
    <w:rsid w:val="0040353F"/>
    <w:rsid w:val="00404F9C"/>
    <w:rsid w:val="004055EF"/>
    <w:rsid w:val="004056F5"/>
    <w:rsid w:val="004061CC"/>
    <w:rsid w:val="004062F4"/>
    <w:rsid w:val="00406591"/>
    <w:rsid w:val="00406815"/>
    <w:rsid w:val="00406907"/>
    <w:rsid w:val="00407012"/>
    <w:rsid w:val="0041015C"/>
    <w:rsid w:val="00411C07"/>
    <w:rsid w:val="00411ECE"/>
    <w:rsid w:val="0041204B"/>
    <w:rsid w:val="004126C9"/>
    <w:rsid w:val="0041294D"/>
    <w:rsid w:val="0041354F"/>
    <w:rsid w:val="00413561"/>
    <w:rsid w:val="004146C0"/>
    <w:rsid w:val="0041526B"/>
    <w:rsid w:val="004178CB"/>
    <w:rsid w:val="00417A7D"/>
    <w:rsid w:val="00421450"/>
    <w:rsid w:val="00421477"/>
    <w:rsid w:val="004220D6"/>
    <w:rsid w:val="0042248D"/>
    <w:rsid w:val="00422508"/>
    <w:rsid w:val="00422B8A"/>
    <w:rsid w:val="00422F05"/>
    <w:rsid w:val="00423D9D"/>
    <w:rsid w:val="00424787"/>
    <w:rsid w:val="004249E9"/>
    <w:rsid w:val="00424B41"/>
    <w:rsid w:val="00424B68"/>
    <w:rsid w:val="00425B59"/>
    <w:rsid w:val="004261CA"/>
    <w:rsid w:val="004267F6"/>
    <w:rsid w:val="00426C9E"/>
    <w:rsid w:val="00426D9B"/>
    <w:rsid w:val="00427D99"/>
    <w:rsid w:val="00427E55"/>
    <w:rsid w:val="00431268"/>
    <w:rsid w:val="00431343"/>
    <w:rsid w:val="004314D2"/>
    <w:rsid w:val="004325DE"/>
    <w:rsid w:val="0043529A"/>
    <w:rsid w:val="004377B6"/>
    <w:rsid w:val="00437BB5"/>
    <w:rsid w:val="0044039F"/>
    <w:rsid w:val="00440C3E"/>
    <w:rsid w:val="00440CC3"/>
    <w:rsid w:val="004412D4"/>
    <w:rsid w:val="00441EFC"/>
    <w:rsid w:val="004420B3"/>
    <w:rsid w:val="00443C11"/>
    <w:rsid w:val="0044644E"/>
    <w:rsid w:val="004475EA"/>
    <w:rsid w:val="00450B58"/>
    <w:rsid w:val="00450BCC"/>
    <w:rsid w:val="00450E23"/>
    <w:rsid w:val="00452015"/>
    <w:rsid w:val="00452271"/>
    <w:rsid w:val="004523D1"/>
    <w:rsid w:val="00453163"/>
    <w:rsid w:val="004535CF"/>
    <w:rsid w:val="004538A5"/>
    <w:rsid w:val="00453B86"/>
    <w:rsid w:val="00453BAE"/>
    <w:rsid w:val="00453D59"/>
    <w:rsid w:val="004541F1"/>
    <w:rsid w:val="00454493"/>
    <w:rsid w:val="00454C02"/>
    <w:rsid w:val="00455738"/>
    <w:rsid w:val="00455F21"/>
    <w:rsid w:val="0045614C"/>
    <w:rsid w:val="004568D7"/>
    <w:rsid w:val="004569A6"/>
    <w:rsid w:val="004601A8"/>
    <w:rsid w:val="004619BB"/>
    <w:rsid w:val="0046285B"/>
    <w:rsid w:val="0046417E"/>
    <w:rsid w:val="00464376"/>
    <w:rsid w:val="00465891"/>
    <w:rsid w:val="00465D3F"/>
    <w:rsid w:val="00465DCE"/>
    <w:rsid w:val="0046621E"/>
    <w:rsid w:val="004664BB"/>
    <w:rsid w:val="00466C4D"/>
    <w:rsid w:val="00466E76"/>
    <w:rsid w:val="00466ED1"/>
    <w:rsid w:val="00467A90"/>
    <w:rsid w:val="004711BB"/>
    <w:rsid w:val="00471796"/>
    <w:rsid w:val="00471B2A"/>
    <w:rsid w:val="004729DF"/>
    <w:rsid w:val="00472D4D"/>
    <w:rsid w:val="004730AC"/>
    <w:rsid w:val="00477419"/>
    <w:rsid w:val="0048056F"/>
    <w:rsid w:val="00481EEE"/>
    <w:rsid w:val="00482E43"/>
    <w:rsid w:val="004830B3"/>
    <w:rsid w:val="004834BF"/>
    <w:rsid w:val="0048672B"/>
    <w:rsid w:val="00486E24"/>
    <w:rsid w:val="00487458"/>
    <w:rsid w:val="004900F5"/>
    <w:rsid w:val="004904E5"/>
    <w:rsid w:val="0049078F"/>
    <w:rsid w:val="00490FD7"/>
    <w:rsid w:val="004919DD"/>
    <w:rsid w:val="004925F3"/>
    <w:rsid w:val="00493899"/>
    <w:rsid w:val="004940FE"/>
    <w:rsid w:val="004943EC"/>
    <w:rsid w:val="00494F7C"/>
    <w:rsid w:val="004966F2"/>
    <w:rsid w:val="00496967"/>
    <w:rsid w:val="00497E1C"/>
    <w:rsid w:val="004A02F8"/>
    <w:rsid w:val="004A0334"/>
    <w:rsid w:val="004A0B1F"/>
    <w:rsid w:val="004A17D9"/>
    <w:rsid w:val="004A18F8"/>
    <w:rsid w:val="004A2C46"/>
    <w:rsid w:val="004A2DF5"/>
    <w:rsid w:val="004A3136"/>
    <w:rsid w:val="004A4E7A"/>
    <w:rsid w:val="004A4EF3"/>
    <w:rsid w:val="004A71EB"/>
    <w:rsid w:val="004A7A9F"/>
    <w:rsid w:val="004B0E99"/>
    <w:rsid w:val="004B1295"/>
    <w:rsid w:val="004B14ED"/>
    <w:rsid w:val="004B19F8"/>
    <w:rsid w:val="004B2AD6"/>
    <w:rsid w:val="004B3C00"/>
    <w:rsid w:val="004B4EC0"/>
    <w:rsid w:val="004B541C"/>
    <w:rsid w:val="004B5A22"/>
    <w:rsid w:val="004B5E81"/>
    <w:rsid w:val="004C0370"/>
    <w:rsid w:val="004C04A1"/>
    <w:rsid w:val="004C0819"/>
    <w:rsid w:val="004C6593"/>
    <w:rsid w:val="004C7AFE"/>
    <w:rsid w:val="004D01BE"/>
    <w:rsid w:val="004D073B"/>
    <w:rsid w:val="004D1006"/>
    <w:rsid w:val="004D1D68"/>
    <w:rsid w:val="004D240D"/>
    <w:rsid w:val="004D2F8D"/>
    <w:rsid w:val="004D3074"/>
    <w:rsid w:val="004D3520"/>
    <w:rsid w:val="004D3713"/>
    <w:rsid w:val="004D3C87"/>
    <w:rsid w:val="004D45DF"/>
    <w:rsid w:val="004D4760"/>
    <w:rsid w:val="004D4D09"/>
    <w:rsid w:val="004D4F61"/>
    <w:rsid w:val="004D6D1C"/>
    <w:rsid w:val="004E02A8"/>
    <w:rsid w:val="004E0C0B"/>
    <w:rsid w:val="004E1758"/>
    <w:rsid w:val="004E1D0B"/>
    <w:rsid w:val="004E2125"/>
    <w:rsid w:val="004E2CB2"/>
    <w:rsid w:val="004E2CD4"/>
    <w:rsid w:val="004E30B8"/>
    <w:rsid w:val="004E3EA8"/>
    <w:rsid w:val="004E4535"/>
    <w:rsid w:val="004E48FE"/>
    <w:rsid w:val="004E5AB2"/>
    <w:rsid w:val="004E6460"/>
    <w:rsid w:val="004E7841"/>
    <w:rsid w:val="004E7B9A"/>
    <w:rsid w:val="004E7C17"/>
    <w:rsid w:val="004F2954"/>
    <w:rsid w:val="004F2B6E"/>
    <w:rsid w:val="004F2C9C"/>
    <w:rsid w:val="004F3688"/>
    <w:rsid w:val="004F3AAE"/>
    <w:rsid w:val="004F4415"/>
    <w:rsid w:val="004F4BDE"/>
    <w:rsid w:val="004F4E50"/>
    <w:rsid w:val="004F50C2"/>
    <w:rsid w:val="004F5799"/>
    <w:rsid w:val="004F5AD7"/>
    <w:rsid w:val="004F6112"/>
    <w:rsid w:val="004F6163"/>
    <w:rsid w:val="004F6C88"/>
    <w:rsid w:val="004F6EE1"/>
    <w:rsid w:val="004F7649"/>
    <w:rsid w:val="004F7CAC"/>
    <w:rsid w:val="004F7D88"/>
    <w:rsid w:val="00500D6B"/>
    <w:rsid w:val="00500E18"/>
    <w:rsid w:val="005023D3"/>
    <w:rsid w:val="00502FFE"/>
    <w:rsid w:val="0050490B"/>
    <w:rsid w:val="00504E3C"/>
    <w:rsid w:val="00504F3E"/>
    <w:rsid w:val="00505037"/>
    <w:rsid w:val="00505D85"/>
    <w:rsid w:val="005064C1"/>
    <w:rsid w:val="00506D98"/>
    <w:rsid w:val="005075FA"/>
    <w:rsid w:val="0050768C"/>
    <w:rsid w:val="00507713"/>
    <w:rsid w:val="00507ECB"/>
    <w:rsid w:val="0051126C"/>
    <w:rsid w:val="00511320"/>
    <w:rsid w:val="00511A0A"/>
    <w:rsid w:val="005128BC"/>
    <w:rsid w:val="005139B0"/>
    <w:rsid w:val="00513EDF"/>
    <w:rsid w:val="005143F9"/>
    <w:rsid w:val="00514F92"/>
    <w:rsid w:val="00515424"/>
    <w:rsid w:val="00515579"/>
    <w:rsid w:val="00516566"/>
    <w:rsid w:val="0051719F"/>
    <w:rsid w:val="00517669"/>
    <w:rsid w:val="00517B7D"/>
    <w:rsid w:val="00517D71"/>
    <w:rsid w:val="005216DE"/>
    <w:rsid w:val="005218C3"/>
    <w:rsid w:val="00521B12"/>
    <w:rsid w:val="00522144"/>
    <w:rsid w:val="005223C8"/>
    <w:rsid w:val="00522B6D"/>
    <w:rsid w:val="00523937"/>
    <w:rsid w:val="00524F98"/>
    <w:rsid w:val="00525FC8"/>
    <w:rsid w:val="005261FA"/>
    <w:rsid w:val="005263A6"/>
    <w:rsid w:val="00527DC2"/>
    <w:rsid w:val="005316A3"/>
    <w:rsid w:val="00531C11"/>
    <w:rsid w:val="00534B19"/>
    <w:rsid w:val="00535C74"/>
    <w:rsid w:val="00535FF7"/>
    <w:rsid w:val="005361AB"/>
    <w:rsid w:val="005364B3"/>
    <w:rsid w:val="005366B7"/>
    <w:rsid w:val="00537109"/>
    <w:rsid w:val="00537B2E"/>
    <w:rsid w:val="00537EB3"/>
    <w:rsid w:val="005404B2"/>
    <w:rsid w:val="00540C9F"/>
    <w:rsid w:val="005413CA"/>
    <w:rsid w:val="005417B6"/>
    <w:rsid w:val="00541D43"/>
    <w:rsid w:val="00542068"/>
    <w:rsid w:val="00542886"/>
    <w:rsid w:val="00542938"/>
    <w:rsid w:val="00542DB3"/>
    <w:rsid w:val="00542ED7"/>
    <w:rsid w:val="00543AF9"/>
    <w:rsid w:val="00543F2F"/>
    <w:rsid w:val="0054549D"/>
    <w:rsid w:val="005461B0"/>
    <w:rsid w:val="00546CFD"/>
    <w:rsid w:val="00547042"/>
    <w:rsid w:val="00547CD8"/>
    <w:rsid w:val="00550BB4"/>
    <w:rsid w:val="00550D34"/>
    <w:rsid w:val="00551153"/>
    <w:rsid w:val="005514CD"/>
    <w:rsid w:val="005515ED"/>
    <w:rsid w:val="00553059"/>
    <w:rsid w:val="005531EE"/>
    <w:rsid w:val="005532BC"/>
    <w:rsid w:val="00553EC7"/>
    <w:rsid w:val="00553F4D"/>
    <w:rsid w:val="00554CBB"/>
    <w:rsid w:val="00554CE1"/>
    <w:rsid w:val="0055532F"/>
    <w:rsid w:val="005558A9"/>
    <w:rsid w:val="005578D0"/>
    <w:rsid w:val="00560763"/>
    <w:rsid w:val="00561777"/>
    <w:rsid w:val="00561D24"/>
    <w:rsid w:val="005645E5"/>
    <w:rsid w:val="00564B6B"/>
    <w:rsid w:val="00565BE0"/>
    <w:rsid w:val="00565C8B"/>
    <w:rsid w:val="00565E8A"/>
    <w:rsid w:val="00566742"/>
    <w:rsid w:val="00566D84"/>
    <w:rsid w:val="00567C39"/>
    <w:rsid w:val="00570B74"/>
    <w:rsid w:val="00571549"/>
    <w:rsid w:val="005722B4"/>
    <w:rsid w:val="00572B28"/>
    <w:rsid w:val="005730FC"/>
    <w:rsid w:val="00573161"/>
    <w:rsid w:val="00573192"/>
    <w:rsid w:val="00574644"/>
    <w:rsid w:val="00574DB3"/>
    <w:rsid w:val="00574DE8"/>
    <w:rsid w:val="00574E75"/>
    <w:rsid w:val="0057638E"/>
    <w:rsid w:val="00576ADE"/>
    <w:rsid w:val="005770B9"/>
    <w:rsid w:val="00577CFD"/>
    <w:rsid w:val="00577DEF"/>
    <w:rsid w:val="00580437"/>
    <w:rsid w:val="00580445"/>
    <w:rsid w:val="005810C7"/>
    <w:rsid w:val="00582163"/>
    <w:rsid w:val="00582226"/>
    <w:rsid w:val="00582651"/>
    <w:rsid w:val="0058302E"/>
    <w:rsid w:val="0058340A"/>
    <w:rsid w:val="00583AE3"/>
    <w:rsid w:val="00583B50"/>
    <w:rsid w:val="00583BCC"/>
    <w:rsid w:val="00583C57"/>
    <w:rsid w:val="00583D58"/>
    <w:rsid w:val="00584025"/>
    <w:rsid w:val="0058403A"/>
    <w:rsid w:val="00584247"/>
    <w:rsid w:val="0058449A"/>
    <w:rsid w:val="00584A69"/>
    <w:rsid w:val="0058572E"/>
    <w:rsid w:val="00586136"/>
    <w:rsid w:val="005863BA"/>
    <w:rsid w:val="005866D7"/>
    <w:rsid w:val="00587023"/>
    <w:rsid w:val="005873AD"/>
    <w:rsid w:val="00587AE9"/>
    <w:rsid w:val="00590974"/>
    <w:rsid w:val="00590D5D"/>
    <w:rsid w:val="00591EA6"/>
    <w:rsid w:val="005924A7"/>
    <w:rsid w:val="00592DB8"/>
    <w:rsid w:val="005948F6"/>
    <w:rsid w:val="00596919"/>
    <w:rsid w:val="00596DC1"/>
    <w:rsid w:val="005974E2"/>
    <w:rsid w:val="00597972"/>
    <w:rsid w:val="005A0C0E"/>
    <w:rsid w:val="005A101E"/>
    <w:rsid w:val="005A1E4B"/>
    <w:rsid w:val="005A1FDF"/>
    <w:rsid w:val="005A2A5C"/>
    <w:rsid w:val="005A2B72"/>
    <w:rsid w:val="005A48ED"/>
    <w:rsid w:val="005A4A5F"/>
    <w:rsid w:val="005A5769"/>
    <w:rsid w:val="005A61D5"/>
    <w:rsid w:val="005A78F4"/>
    <w:rsid w:val="005B0E4E"/>
    <w:rsid w:val="005B1381"/>
    <w:rsid w:val="005B1A88"/>
    <w:rsid w:val="005B2144"/>
    <w:rsid w:val="005B26F5"/>
    <w:rsid w:val="005B2D0C"/>
    <w:rsid w:val="005B3E49"/>
    <w:rsid w:val="005B4489"/>
    <w:rsid w:val="005B44BB"/>
    <w:rsid w:val="005B4761"/>
    <w:rsid w:val="005B49D2"/>
    <w:rsid w:val="005B4B3A"/>
    <w:rsid w:val="005B568F"/>
    <w:rsid w:val="005B5953"/>
    <w:rsid w:val="005B598A"/>
    <w:rsid w:val="005B6239"/>
    <w:rsid w:val="005B7A37"/>
    <w:rsid w:val="005B7EAB"/>
    <w:rsid w:val="005C0168"/>
    <w:rsid w:val="005C1540"/>
    <w:rsid w:val="005C2455"/>
    <w:rsid w:val="005C2C8D"/>
    <w:rsid w:val="005C3BD2"/>
    <w:rsid w:val="005C45A0"/>
    <w:rsid w:val="005C4990"/>
    <w:rsid w:val="005C5143"/>
    <w:rsid w:val="005C59DC"/>
    <w:rsid w:val="005C5A8F"/>
    <w:rsid w:val="005C6165"/>
    <w:rsid w:val="005C6285"/>
    <w:rsid w:val="005C67D9"/>
    <w:rsid w:val="005C6F13"/>
    <w:rsid w:val="005D079D"/>
    <w:rsid w:val="005D1B9C"/>
    <w:rsid w:val="005D229A"/>
    <w:rsid w:val="005D2C67"/>
    <w:rsid w:val="005D2D78"/>
    <w:rsid w:val="005D2DF4"/>
    <w:rsid w:val="005D5781"/>
    <w:rsid w:val="005D5BA1"/>
    <w:rsid w:val="005D622E"/>
    <w:rsid w:val="005D62A5"/>
    <w:rsid w:val="005D6C5E"/>
    <w:rsid w:val="005D7D09"/>
    <w:rsid w:val="005D7F01"/>
    <w:rsid w:val="005E0C44"/>
    <w:rsid w:val="005E133F"/>
    <w:rsid w:val="005E1F38"/>
    <w:rsid w:val="005E26AE"/>
    <w:rsid w:val="005E26D5"/>
    <w:rsid w:val="005E283C"/>
    <w:rsid w:val="005E2877"/>
    <w:rsid w:val="005E389C"/>
    <w:rsid w:val="005E49B2"/>
    <w:rsid w:val="005E4B22"/>
    <w:rsid w:val="005E5798"/>
    <w:rsid w:val="005E6DE0"/>
    <w:rsid w:val="005E6E7D"/>
    <w:rsid w:val="005E72BD"/>
    <w:rsid w:val="005E7976"/>
    <w:rsid w:val="005E7DC9"/>
    <w:rsid w:val="005F08F2"/>
    <w:rsid w:val="005F0ABC"/>
    <w:rsid w:val="005F0AE8"/>
    <w:rsid w:val="005F11B0"/>
    <w:rsid w:val="005F15D0"/>
    <w:rsid w:val="005F1F9C"/>
    <w:rsid w:val="005F2A6B"/>
    <w:rsid w:val="005F3BF8"/>
    <w:rsid w:val="005F40C1"/>
    <w:rsid w:val="005F4CE4"/>
    <w:rsid w:val="005F4F7C"/>
    <w:rsid w:val="005F63CA"/>
    <w:rsid w:val="005F657C"/>
    <w:rsid w:val="005F6AAB"/>
    <w:rsid w:val="005F6ACE"/>
    <w:rsid w:val="005F6E92"/>
    <w:rsid w:val="005F6F44"/>
    <w:rsid w:val="005F7036"/>
    <w:rsid w:val="005F7DBD"/>
    <w:rsid w:val="005F7DEE"/>
    <w:rsid w:val="006024D3"/>
    <w:rsid w:val="0060315A"/>
    <w:rsid w:val="00604104"/>
    <w:rsid w:val="00604A84"/>
    <w:rsid w:val="0060548A"/>
    <w:rsid w:val="00605A0B"/>
    <w:rsid w:val="00606450"/>
    <w:rsid w:val="006066CA"/>
    <w:rsid w:val="00606EF9"/>
    <w:rsid w:val="0060706A"/>
    <w:rsid w:val="006070C4"/>
    <w:rsid w:val="00607758"/>
    <w:rsid w:val="00607E18"/>
    <w:rsid w:val="00607E63"/>
    <w:rsid w:val="00610B45"/>
    <w:rsid w:val="00610D5E"/>
    <w:rsid w:val="006110E8"/>
    <w:rsid w:val="00611A02"/>
    <w:rsid w:val="00611AD3"/>
    <w:rsid w:val="00611C93"/>
    <w:rsid w:val="006123B4"/>
    <w:rsid w:val="0061298C"/>
    <w:rsid w:val="006129BF"/>
    <w:rsid w:val="00613467"/>
    <w:rsid w:val="006140DB"/>
    <w:rsid w:val="00615207"/>
    <w:rsid w:val="00616352"/>
    <w:rsid w:val="00616562"/>
    <w:rsid w:val="00616E2A"/>
    <w:rsid w:val="006201A4"/>
    <w:rsid w:val="00621284"/>
    <w:rsid w:val="006212EE"/>
    <w:rsid w:val="00621515"/>
    <w:rsid w:val="006218A3"/>
    <w:rsid w:val="00621B38"/>
    <w:rsid w:val="006220D5"/>
    <w:rsid w:val="0062354C"/>
    <w:rsid w:val="0062356C"/>
    <w:rsid w:val="0062379C"/>
    <w:rsid w:val="006242AF"/>
    <w:rsid w:val="006242DE"/>
    <w:rsid w:val="00624315"/>
    <w:rsid w:val="0062545B"/>
    <w:rsid w:val="0062552A"/>
    <w:rsid w:val="0062570C"/>
    <w:rsid w:val="00627D4E"/>
    <w:rsid w:val="0063015E"/>
    <w:rsid w:val="006301D2"/>
    <w:rsid w:val="00631330"/>
    <w:rsid w:val="00631D79"/>
    <w:rsid w:val="006332BE"/>
    <w:rsid w:val="006333A5"/>
    <w:rsid w:val="00634723"/>
    <w:rsid w:val="006355BF"/>
    <w:rsid w:val="00636236"/>
    <w:rsid w:val="0063668B"/>
    <w:rsid w:val="006371B2"/>
    <w:rsid w:val="00637A02"/>
    <w:rsid w:val="006408C3"/>
    <w:rsid w:val="006419B2"/>
    <w:rsid w:val="00641CBB"/>
    <w:rsid w:val="00642E78"/>
    <w:rsid w:val="00643BA2"/>
    <w:rsid w:val="00643D66"/>
    <w:rsid w:val="00643E83"/>
    <w:rsid w:val="0064409E"/>
    <w:rsid w:val="00645089"/>
    <w:rsid w:val="006450B5"/>
    <w:rsid w:val="0064524F"/>
    <w:rsid w:val="0064620D"/>
    <w:rsid w:val="006462C7"/>
    <w:rsid w:val="00647142"/>
    <w:rsid w:val="00650F07"/>
    <w:rsid w:val="00651130"/>
    <w:rsid w:val="00652DE2"/>
    <w:rsid w:val="00653E32"/>
    <w:rsid w:val="00654756"/>
    <w:rsid w:val="00654DA2"/>
    <w:rsid w:val="00654F8A"/>
    <w:rsid w:val="006556A3"/>
    <w:rsid w:val="00655805"/>
    <w:rsid w:val="006559DC"/>
    <w:rsid w:val="00655BDF"/>
    <w:rsid w:val="00655C24"/>
    <w:rsid w:val="00656489"/>
    <w:rsid w:val="00657754"/>
    <w:rsid w:val="00661251"/>
    <w:rsid w:val="00661286"/>
    <w:rsid w:val="00661923"/>
    <w:rsid w:val="00662246"/>
    <w:rsid w:val="00662DFF"/>
    <w:rsid w:val="006641E5"/>
    <w:rsid w:val="00664356"/>
    <w:rsid w:val="006643AC"/>
    <w:rsid w:val="0066537F"/>
    <w:rsid w:val="006660F2"/>
    <w:rsid w:val="00666EC0"/>
    <w:rsid w:val="00667DAF"/>
    <w:rsid w:val="00667EDA"/>
    <w:rsid w:val="00670D21"/>
    <w:rsid w:val="00670F87"/>
    <w:rsid w:val="00672120"/>
    <w:rsid w:val="00672403"/>
    <w:rsid w:val="00672F9B"/>
    <w:rsid w:val="006739C4"/>
    <w:rsid w:val="00674045"/>
    <w:rsid w:val="00674BEB"/>
    <w:rsid w:val="00675BB2"/>
    <w:rsid w:val="0067771A"/>
    <w:rsid w:val="00680339"/>
    <w:rsid w:val="00682883"/>
    <w:rsid w:val="0068318D"/>
    <w:rsid w:val="0068363C"/>
    <w:rsid w:val="00686B8B"/>
    <w:rsid w:val="006876B2"/>
    <w:rsid w:val="006878A3"/>
    <w:rsid w:val="00690DC5"/>
    <w:rsid w:val="00691913"/>
    <w:rsid w:val="00692FB3"/>
    <w:rsid w:val="00693820"/>
    <w:rsid w:val="0069404B"/>
    <w:rsid w:val="006A0192"/>
    <w:rsid w:val="006A138B"/>
    <w:rsid w:val="006A1392"/>
    <w:rsid w:val="006A5AE6"/>
    <w:rsid w:val="006A70B6"/>
    <w:rsid w:val="006A7230"/>
    <w:rsid w:val="006A7926"/>
    <w:rsid w:val="006A7B71"/>
    <w:rsid w:val="006B12F3"/>
    <w:rsid w:val="006B140A"/>
    <w:rsid w:val="006B264A"/>
    <w:rsid w:val="006B29C7"/>
    <w:rsid w:val="006B2AD4"/>
    <w:rsid w:val="006B3DD2"/>
    <w:rsid w:val="006B4281"/>
    <w:rsid w:val="006B565E"/>
    <w:rsid w:val="006B5BB8"/>
    <w:rsid w:val="006B613C"/>
    <w:rsid w:val="006B6EE0"/>
    <w:rsid w:val="006B7465"/>
    <w:rsid w:val="006C0706"/>
    <w:rsid w:val="006C075F"/>
    <w:rsid w:val="006C138F"/>
    <w:rsid w:val="006C30B9"/>
    <w:rsid w:val="006C4906"/>
    <w:rsid w:val="006C51F9"/>
    <w:rsid w:val="006C5C57"/>
    <w:rsid w:val="006C655E"/>
    <w:rsid w:val="006C7D0B"/>
    <w:rsid w:val="006D11D8"/>
    <w:rsid w:val="006D124C"/>
    <w:rsid w:val="006D1325"/>
    <w:rsid w:val="006D1776"/>
    <w:rsid w:val="006D1EB5"/>
    <w:rsid w:val="006D2074"/>
    <w:rsid w:val="006D285A"/>
    <w:rsid w:val="006D2B72"/>
    <w:rsid w:val="006D3271"/>
    <w:rsid w:val="006D3D36"/>
    <w:rsid w:val="006D404C"/>
    <w:rsid w:val="006D5F33"/>
    <w:rsid w:val="006E0650"/>
    <w:rsid w:val="006E0CF9"/>
    <w:rsid w:val="006E0D4C"/>
    <w:rsid w:val="006E2F78"/>
    <w:rsid w:val="006E3B98"/>
    <w:rsid w:val="006E46CE"/>
    <w:rsid w:val="006E4DB3"/>
    <w:rsid w:val="006E54ED"/>
    <w:rsid w:val="006E6FB2"/>
    <w:rsid w:val="006E7034"/>
    <w:rsid w:val="006E7302"/>
    <w:rsid w:val="006E7907"/>
    <w:rsid w:val="006E7EE5"/>
    <w:rsid w:val="006F1508"/>
    <w:rsid w:val="006F161E"/>
    <w:rsid w:val="006F21CC"/>
    <w:rsid w:val="006F282B"/>
    <w:rsid w:val="006F4246"/>
    <w:rsid w:val="006F4795"/>
    <w:rsid w:val="006F4EF4"/>
    <w:rsid w:val="006F54B4"/>
    <w:rsid w:val="00700182"/>
    <w:rsid w:val="00701F1F"/>
    <w:rsid w:val="00703712"/>
    <w:rsid w:val="0070465E"/>
    <w:rsid w:val="00704E54"/>
    <w:rsid w:val="0070540E"/>
    <w:rsid w:val="007061CE"/>
    <w:rsid w:val="00706E7F"/>
    <w:rsid w:val="00707082"/>
    <w:rsid w:val="00707C19"/>
    <w:rsid w:val="0071225A"/>
    <w:rsid w:val="007123F7"/>
    <w:rsid w:val="00712A00"/>
    <w:rsid w:val="00712C73"/>
    <w:rsid w:val="007130C0"/>
    <w:rsid w:val="00713800"/>
    <w:rsid w:val="007138EB"/>
    <w:rsid w:val="00714566"/>
    <w:rsid w:val="0071533E"/>
    <w:rsid w:val="007167E5"/>
    <w:rsid w:val="00717135"/>
    <w:rsid w:val="007203D6"/>
    <w:rsid w:val="0072061E"/>
    <w:rsid w:val="00722358"/>
    <w:rsid w:val="007223FF"/>
    <w:rsid w:val="00722D6E"/>
    <w:rsid w:val="007237FD"/>
    <w:rsid w:val="0072387B"/>
    <w:rsid w:val="00723AB1"/>
    <w:rsid w:val="00723E1E"/>
    <w:rsid w:val="00724E93"/>
    <w:rsid w:val="007276FC"/>
    <w:rsid w:val="00730A34"/>
    <w:rsid w:val="00730C4F"/>
    <w:rsid w:val="007311DA"/>
    <w:rsid w:val="007327BA"/>
    <w:rsid w:val="007339B6"/>
    <w:rsid w:val="00734441"/>
    <w:rsid w:val="00734E50"/>
    <w:rsid w:val="0073500B"/>
    <w:rsid w:val="0073522C"/>
    <w:rsid w:val="00735D3A"/>
    <w:rsid w:val="007377E8"/>
    <w:rsid w:val="00737B4B"/>
    <w:rsid w:val="00740E12"/>
    <w:rsid w:val="0074118D"/>
    <w:rsid w:val="00741419"/>
    <w:rsid w:val="007437C7"/>
    <w:rsid w:val="007444A1"/>
    <w:rsid w:val="007450B5"/>
    <w:rsid w:val="00746342"/>
    <w:rsid w:val="007464F7"/>
    <w:rsid w:val="00746801"/>
    <w:rsid w:val="00746B5F"/>
    <w:rsid w:val="00747333"/>
    <w:rsid w:val="00750310"/>
    <w:rsid w:val="00750940"/>
    <w:rsid w:val="007509A6"/>
    <w:rsid w:val="00750B5A"/>
    <w:rsid w:val="00751687"/>
    <w:rsid w:val="0075168E"/>
    <w:rsid w:val="00751984"/>
    <w:rsid w:val="007522E0"/>
    <w:rsid w:val="00753051"/>
    <w:rsid w:val="00754263"/>
    <w:rsid w:val="007542E9"/>
    <w:rsid w:val="007557DD"/>
    <w:rsid w:val="00756149"/>
    <w:rsid w:val="007565D8"/>
    <w:rsid w:val="00756734"/>
    <w:rsid w:val="007574B7"/>
    <w:rsid w:val="00757F0C"/>
    <w:rsid w:val="007608C9"/>
    <w:rsid w:val="00761C5A"/>
    <w:rsid w:val="007622A9"/>
    <w:rsid w:val="00762FC8"/>
    <w:rsid w:val="007633B0"/>
    <w:rsid w:val="00763625"/>
    <w:rsid w:val="00763C9A"/>
    <w:rsid w:val="00763CD8"/>
    <w:rsid w:val="00763CEA"/>
    <w:rsid w:val="00763DC6"/>
    <w:rsid w:val="007648A1"/>
    <w:rsid w:val="00764A9A"/>
    <w:rsid w:val="00764F7C"/>
    <w:rsid w:val="00765FDF"/>
    <w:rsid w:val="007662E0"/>
    <w:rsid w:val="00766D40"/>
    <w:rsid w:val="00766EC6"/>
    <w:rsid w:val="0077153F"/>
    <w:rsid w:val="007715D2"/>
    <w:rsid w:val="00772221"/>
    <w:rsid w:val="00772501"/>
    <w:rsid w:val="007729E0"/>
    <w:rsid w:val="00772A8D"/>
    <w:rsid w:val="00772C70"/>
    <w:rsid w:val="00774293"/>
    <w:rsid w:val="00774C8B"/>
    <w:rsid w:val="0077729C"/>
    <w:rsid w:val="0078045F"/>
    <w:rsid w:val="00780743"/>
    <w:rsid w:val="00780C42"/>
    <w:rsid w:val="00781EAB"/>
    <w:rsid w:val="007847FA"/>
    <w:rsid w:val="007849E5"/>
    <w:rsid w:val="00784C43"/>
    <w:rsid w:val="007863ED"/>
    <w:rsid w:val="00790910"/>
    <w:rsid w:val="00790EB2"/>
    <w:rsid w:val="0079167C"/>
    <w:rsid w:val="00791B3F"/>
    <w:rsid w:val="00791DE1"/>
    <w:rsid w:val="0079212B"/>
    <w:rsid w:val="00793448"/>
    <w:rsid w:val="00793D76"/>
    <w:rsid w:val="00794E97"/>
    <w:rsid w:val="00794F66"/>
    <w:rsid w:val="00795003"/>
    <w:rsid w:val="007963DB"/>
    <w:rsid w:val="00796415"/>
    <w:rsid w:val="00796748"/>
    <w:rsid w:val="007967A6"/>
    <w:rsid w:val="007A01A9"/>
    <w:rsid w:val="007A09D0"/>
    <w:rsid w:val="007A1790"/>
    <w:rsid w:val="007A1936"/>
    <w:rsid w:val="007A21BF"/>
    <w:rsid w:val="007A2280"/>
    <w:rsid w:val="007A2CC6"/>
    <w:rsid w:val="007A37DD"/>
    <w:rsid w:val="007A3A8C"/>
    <w:rsid w:val="007A658A"/>
    <w:rsid w:val="007A6E56"/>
    <w:rsid w:val="007B0D81"/>
    <w:rsid w:val="007B0E0C"/>
    <w:rsid w:val="007B141B"/>
    <w:rsid w:val="007B18B9"/>
    <w:rsid w:val="007B2DE2"/>
    <w:rsid w:val="007B40E7"/>
    <w:rsid w:val="007B4685"/>
    <w:rsid w:val="007B4D8E"/>
    <w:rsid w:val="007B4DE3"/>
    <w:rsid w:val="007B79D2"/>
    <w:rsid w:val="007C0654"/>
    <w:rsid w:val="007C133A"/>
    <w:rsid w:val="007C15A8"/>
    <w:rsid w:val="007C1E3C"/>
    <w:rsid w:val="007C26E5"/>
    <w:rsid w:val="007C2E7F"/>
    <w:rsid w:val="007C46D5"/>
    <w:rsid w:val="007C52DC"/>
    <w:rsid w:val="007C55E9"/>
    <w:rsid w:val="007C720A"/>
    <w:rsid w:val="007C7A11"/>
    <w:rsid w:val="007C7E66"/>
    <w:rsid w:val="007C7F1B"/>
    <w:rsid w:val="007D01B1"/>
    <w:rsid w:val="007D04C4"/>
    <w:rsid w:val="007D1092"/>
    <w:rsid w:val="007D1417"/>
    <w:rsid w:val="007D149D"/>
    <w:rsid w:val="007D16A6"/>
    <w:rsid w:val="007D1B58"/>
    <w:rsid w:val="007D2621"/>
    <w:rsid w:val="007D37E5"/>
    <w:rsid w:val="007D38B5"/>
    <w:rsid w:val="007D3D9F"/>
    <w:rsid w:val="007D426F"/>
    <w:rsid w:val="007D6418"/>
    <w:rsid w:val="007D6AC7"/>
    <w:rsid w:val="007D793F"/>
    <w:rsid w:val="007E0043"/>
    <w:rsid w:val="007E0E2E"/>
    <w:rsid w:val="007E262B"/>
    <w:rsid w:val="007E3562"/>
    <w:rsid w:val="007E36D3"/>
    <w:rsid w:val="007E3C89"/>
    <w:rsid w:val="007E3CCF"/>
    <w:rsid w:val="007E46CD"/>
    <w:rsid w:val="007E4B9B"/>
    <w:rsid w:val="007E6F57"/>
    <w:rsid w:val="007E7120"/>
    <w:rsid w:val="007E78C8"/>
    <w:rsid w:val="007F042B"/>
    <w:rsid w:val="007F04CC"/>
    <w:rsid w:val="007F08CA"/>
    <w:rsid w:val="007F1B6F"/>
    <w:rsid w:val="007F39EA"/>
    <w:rsid w:val="007F3B6E"/>
    <w:rsid w:val="007F3FB0"/>
    <w:rsid w:val="007F5011"/>
    <w:rsid w:val="007F50C8"/>
    <w:rsid w:val="007F50D4"/>
    <w:rsid w:val="007F6046"/>
    <w:rsid w:val="007F62A1"/>
    <w:rsid w:val="007F7F1F"/>
    <w:rsid w:val="008001BB"/>
    <w:rsid w:val="0080136F"/>
    <w:rsid w:val="00803926"/>
    <w:rsid w:val="00804E90"/>
    <w:rsid w:val="008058E8"/>
    <w:rsid w:val="008059E0"/>
    <w:rsid w:val="00805A12"/>
    <w:rsid w:val="00805C83"/>
    <w:rsid w:val="0080605A"/>
    <w:rsid w:val="00806434"/>
    <w:rsid w:val="008064E0"/>
    <w:rsid w:val="00806BF8"/>
    <w:rsid w:val="00810A24"/>
    <w:rsid w:val="00813288"/>
    <w:rsid w:val="00813C39"/>
    <w:rsid w:val="00813DD0"/>
    <w:rsid w:val="00813E6A"/>
    <w:rsid w:val="00814AE8"/>
    <w:rsid w:val="00814B61"/>
    <w:rsid w:val="0081505A"/>
    <w:rsid w:val="00815642"/>
    <w:rsid w:val="00815C28"/>
    <w:rsid w:val="008169E6"/>
    <w:rsid w:val="00820DF7"/>
    <w:rsid w:val="00821050"/>
    <w:rsid w:val="00821A29"/>
    <w:rsid w:val="00822C1D"/>
    <w:rsid w:val="00823233"/>
    <w:rsid w:val="00824426"/>
    <w:rsid w:val="008249FA"/>
    <w:rsid w:val="00825796"/>
    <w:rsid w:val="008257F5"/>
    <w:rsid w:val="0082659A"/>
    <w:rsid w:val="008269FE"/>
    <w:rsid w:val="00826B29"/>
    <w:rsid w:val="0083042A"/>
    <w:rsid w:val="00830E52"/>
    <w:rsid w:val="008324E3"/>
    <w:rsid w:val="008325D6"/>
    <w:rsid w:val="00834DD9"/>
    <w:rsid w:val="00834F96"/>
    <w:rsid w:val="008362CF"/>
    <w:rsid w:val="00836714"/>
    <w:rsid w:val="00836E8D"/>
    <w:rsid w:val="00837D5C"/>
    <w:rsid w:val="00842C31"/>
    <w:rsid w:val="008431A5"/>
    <w:rsid w:val="00843929"/>
    <w:rsid w:val="00843AF7"/>
    <w:rsid w:val="00843CE4"/>
    <w:rsid w:val="00844DF6"/>
    <w:rsid w:val="0084522B"/>
    <w:rsid w:val="00845946"/>
    <w:rsid w:val="00846E11"/>
    <w:rsid w:val="00846F58"/>
    <w:rsid w:val="008476A0"/>
    <w:rsid w:val="0084788C"/>
    <w:rsid w:val="0085036F"/>
    <w:rsid w:val="008504DB"/>
    <w:rsid w:val="008508CA"/>
    <w:rsid w:val="008508F2"/>
    <w:rsid w:val="008513BF"/>
    <w:rsid w:val="0085239C"/>
    <w:rsid w:val="00852F38"/>
    <w:rsid w:val="00853F17"/>
    <w:rsid w:val="00854054"/>
    <w:rsid w:val="00854393"/>
    <w:rsid w:val="00854C36"/>
    <w:rsid w:val="00856202"/>
    <w:rsid w:val="00856C34"/>
    <w:rsid w:val="00857F8F"/>
    <w:rsid w:val="008619A4"/>
    <w:rsid w:val="00863493"/>
    <w:rsid w:val="00863A4C"/>
    <w:rsid w:val="00863ADC"/>
    <w:rsid w:val="00863E2F"/>
    <w:rsid w:val="00864BCC"/>
    <w:rsid w:val="00864FF3"/>
    <w:rsid w:val="00865540"/>
    <w:rsid w:val="008659A6"/>
    <w:rsid w:val="00865DC1"/>
    <w:rsid w:val="0086615A"/>
    <w:rsid w:val="00866438"/>
    <w:rsid w:val="0086733B"/>
    <w:rsid w:val="00867DB2"/>
    <w:rsid w:val="00870089"/>
    <w:rsid w:val="008706F4"/>
    <w:rsid w:val="0087128C"/>
    <w:rsid w:val="008714DA"/>
    <w:rsid w:val="008715B1"/>
    <w:rsid w:val="00871AEC"/>
    <w:rsid w:val="00871B65"/>
    <w:rsid w:val="00871DE2"/>
    <w:rsid w:val="00872225"/>
    <w:rsid w:val="00872CE0"/>
    <w:rsid w:val="00875087"/>
    <w:rsid w:val="008750F9"/>
    <w:rsid w:val="00875341"/>
    <w:rsid w:val="0087536F"/>
    <w:rsid w:val="008755CC"/>
    <w:rsid w:val="00875934"/>
    <w:rsid w:val="008768A2"/>
    <w:rsid w:val="00877116"/>
    <w:rsid w:val="00877726"/>
    <w:rsid w:val="00880A40"/>
    <w:rsid w:val="00882217"/>
    <w:rsid w:val="008829EB"/>
    <w:rsid w:val="00882D15"/>
    <w:rsid w:val="008839EA"/>
    <w:rsid w:val="00884DC0"/>
    <w:rsid w:val="00884ED8"/>
    <w:rsid w:val="00885E0F"/>
    <w:rsid w:val="00885F65"/>
    <w:rsid w:val="008868F6"/>
    <w:rsid w:val="008869F4"/>
    <w:rsid w:val="00890479"/>
    <w:rsid w:val="00890B9A"/>
    <w:rsid w:val="008937D1"/>
    <w:rsid w:val="00893EEF"/>
    <w:rsid w:val="008945D0"/>
    <w:rsid w:val="008956C6"/>
    <w:rsid w:val="0089643F"/>
    <w:rsid w:val="00897C97"/>
    <w:rsid w:val="008A101A"/>
    <w:rsid w:val="008A17B0"/>
    <w:rsid w:val="008A1ACC"/>
    <w:rsid w:val="008A1B11"/>
    <w:rsid w:val="008A1DD0"/>
    <w:rsid w:val="008A2D40"/>
    <w:rsid w:val="008A383A"/>
    <w:rsid w:val="008A3C58"/>
    <w:rsid w:val="008A3DC9"/>
    <w:rsid w:val="008A4880"/>
    <w:rsid w:val="008A499D"/>
    <w:rsid w:val="008A4E4B"/>
    <w:rsid w:val="008A4F01"/>
    <w:rsid w:val="008A52B1"/>
    <w:rsid w:val="008A67A3"/>
    <w:rsid w:val="008B24C2"/>
    <w:rsid w:val="008B27D6"/>
    <w:rsid w:val="008B5107"/>
    <w:rsid w:val="008B5B32"/>
    <w:rsid w:val="008B6549"/>
    <w:rsid w:val="008B655D"/>
    <w:rsid w:val="008B7244"/>
    <w:rsid w:val="008B759B"/>
    <w:rsid w:val="008B77DB"/>
    <w:rsid w:val="008B78CF"/>
    <w:rsid w:val="008B7BCF"/>
    <w:rsid w:val="008C04D6"/>
    <w:rsid w:val="008C0620"/>
    <w:rsid w:val="008C12DE"/>
    <w:rsid w:val="008C1B2C"/>
    <w:rsid w:val="008C2516"/>
    <w:rsid w:val="008C2933"/>
    <w:rsid w:val="008C2C9E"/>
    <w:rsid w:val="008C2E0A"/>
    <w:rsid w:val="008C3712"/>
    <w:rsid w:val="008C474C"/>
    <w:rsid w:val="008C5D11"/>
    <w:rsid w:val="008C657F"/>
    <w:rsid w:val="008C67B6"/>
    <w:rsid w:val="008C6D53"/>
    <w:rsid w:val="008C6EA4"/>
    <w:rsid w:val="008C6FF3"/>
    <w:rsid w:val="008C70AC"/>
    <w:rsid w:val="008C73CE"/>
    <w:rsid w:val="008C7A76"/>
    <w:rsid w:val="008C7E28"/>
    <w:rsid w:val="008D003D"/>
    <w:rsid w:val="008D12BF"/>
    <w:rsid w:val="008D1311"/>
    <w:rsid w:val="008D211F"/>
    <w:rsid w:val="008D29A8"/>
    <w:rsid w:val="008D2C49"/>
    <w:rsid w:val="008D510C"/>
    <w:rsid w:val="008D516A"/>
    <w:rsid w:val="008D638F"/>
    <w:rsid w:val="008D6767"/>
    <w:rsid w:val="008D678F"/>
    <w:rsid w:val="008D78FF"/>
    <w:rsid w:val="008E06CE"/>
    <w:rsid w:val="008E0947"/>
    <w:rsid w:val="008E0C42"/>
    <w:rsid w:val="008E117D"/>
    <w:rsid w:val="008E1301"/>
    <w:rsid w:val="008E1351"/>
    <w:rsid w:val="008E230F"/>
    <w:rsid w:val="008E2D40"/>
    <w:rsid w:val="008E37CA"/>
    <w:rsid w:val="008E5689"/>
    <w:rsid w:val="008E64DA"/>
    <w:rsid w:val="008E6D67"/>
    <w:rsid w:val="008E7ECD"/>
    <w:rsid w:val="008F1B36"/>
    <w:rsid w:val="008F21C8"/>
    <w:rsid w:val="008F3C49"/>
    <w:rsid w:val="008F489F"/>
    <w:rsid w:val="008F4AE3"/>
    <w:rsid w:val="008F4B69"/>
    <w:rsid w:val="008F4EF2"/>
    <w:rsid w:val="008F549F"/>
    <w:rsid w:val="008F62B4"/>
    <w:rsid w:val="008F6AB6"/>
    <w:rsid w:val="008F6CF9"/>
    <w:rsid w:val="008F7A65"/>
    <w:rsid w:val="00900744"/>
    <w:rsid w:val="0090124C"/>
    <w:rsid w:val="0090130E"/>
    <w:rsid w:val="0090139C"/>
    <w:rsid w:val="0090168D"/>
    <w:rsid w:val="00901A84"/>
    <w:rsid w:val="00901DEF"/>
    <w:rsid w:val="009026EC"/>
    <w:rsid w:val="009027B2"/>
    <w:rsid w:val="0090334E"/>
    <w:rsid w:val="00903909"/>
    <w:rsid w:val="00903C8C"/>
    <w:rsid w:val="009048B5"/>
    <w:rsid w:val="00904B1C"/>
    <w:rsid w:val="00904FCF"/>
    <w:rsid w:val="0090555D"/>
    <w:rsid w:val="009111DA"/>
    <w:rsid w:val="009143CF"/>
    <w:rsid w:val="009146DE"/>
    <w:rsid w:val="00914DA7"/>
    <w:rsid w:val="009153FA"/>
    <w:rsid w:val="00915F63"/>
    <w:rsid w:val="00916217"/>
    <w:rsid w:val="00916709"/>
    <w:rsid w:val="00916B57"/>
    <w:rsid w:val="009177E9"/>
    <w:rsid w:val="00917CE9"/>
    <w:rsid w:val="009203E5"/>
    <w:rsid w:val="00920E33"/>
    <w:rsid w:val="0092107B"/>
    <w:rsid w:val="00922202"/>
    <w:rsid w:val="0092263F"/>
    <w:rsid w:val="00922EBD"/>
    <w:rsid w:val="009238B9"/>
    <w:rsid w:val="00923C39"/>
    <w:rsid w:val="00923D17"/>
    <w:rsid w:val="0092606A"/>
    <w:rsid w:val="00926084"/>
    <w:rsid w:val="00927A5B"/>
    <w:rsid w:val="009300C3"/>
    <w:rsid w:val="00930952"/>
    <w:rsid w:val="00930F99"/>
    <w:rsid w:val="009311A3"/>
    <w:rsid w:val="009331CF"/>
    <w:rsid w:val="009334AC"/>
    <w:rsid w:val="00934B74"/>
    <w:rsid w:val="009353AA"/>
    <w:rsid w:val="0093685A"/>
    <w:rsid w:val="00937D2D"/>
    <w:rsid w:val="00941081"/>
    <w:rsid w:val="00942010"/>
    <w:rsid w:val="00942CBE"/>
    <w:rsid w:val="00942DF1"/>
    <w:rsid w:val="0094320A"/>
    <w:rsid w:val="0094392B"/>
    <w:rsid w:val="00943B30"/>
    <w:rsid w:val="00944000"/>
    <w:rsid w:val="00944041"/>
    <w:rsid w:val="00944BB5"/>
    <w:rsid w:val="00945EF2"/>
    <w:rsid w:val="009469CF"/>
    <w:rsid w:val="00947432"/>
    <w:rsid w:val="00947CCF"/>
    <w:rsid w:val="00950BC5"/>
    <w:rsid w:val="0095142B"/>
    <w:rsid w:val="0095170D"/>
    <w:rsid w:val="009518E8"/>
    <w:rsid w:val="0095194B"/>
    <w:rsid w:val="0095307F"/>
    <w:rsid w:val="00955526"/>
    <w:rsid w:val="00955E5A"/>
    <w:rsid w:val="0095707A"/>
    <w:rsid w:val="00957921"/>
    <w:rsid w:val="009632AA"/>
    <w:rsid w:val="009634CA"/>
    <w:rsid w:val="009641AE"/>
    <w:rsid w:val="00966897"/>
    <w:rsid w:val="00966C09"/>
    <w:rsid w:val="00970B48"/>
    <w:rsid w:val="009712DC"/>
    <w:rsid w:val="0097196B"/>
    <w:rsid w:val="009734F7"/>
    <w:rsid w:val="00974AD0"/>
    <w:rsid w:val="00974B13"/>
    <w:rsid w:val="00975327"/>
    <w:rsid w:val="0097543C"/>
    <w:rsid w:val="00976FCB"/>
    <w:rsid w:val="009771E7"/>
    <w:rsid w:val="00980648"/>
    <w:rsid w:val="00980D7B"/>
    <w:rsid w:val="009813A5"/>
    <w:rsid w:val="00981EB9"/>
    <w:rsid w:val="00983065"/>
    <w:rsid w:val="009832FC"/>
    <w:rsid w:val="0098356B"/>
    <w:rsid w:val="00984441"/>
    <w:rsid w:val="009844CF"/>
    <w:rsid w:val="00984506"/>
    <w:rsid w:val="00984AA6"/>
    <w:rsid w:val="00984DD8"/>
    <w:rsid w:val="009859E6"/>
    <w:rsid w:val="00985C6B"/>
    <w:rsid w:val="0099085F"/>
    <w:rsid w:val="00990D44"/>
    <w:rsid w:val="00991643"/>
    <w:rsid w:val="00992426"/>
    <w:rsid w:val="009925DB"/>
    <w:rsid w:val="00993A89"/>
    <w:rsid w:val="00993CC9"/>
    <w:rsid w:val="00994725"/>
    <w:rsid w:val="00994E6B"/>
    <w:rsid w:val="00995C30"/>
    <w:rsid w:val="00995F68"/>
    <w:rsid w:val="00995FCF"/>
    <w:rsid w:val="009963B1"/>
    <w:rsid w:val="009967BB"/>
    <w:rsid w:val="00997FDF"/>
    <w:rsid w:val="009A04E4"/>
    <w:rsid w:val="009A07AF"/>
    <w:rsid w:val="009A2391"/>
    <w:rsid w:val="009A25BA"/>
    <w:rsid w:val="009A3550"/>
    <w:rsid w:val="009A3D2A"/>
    <w:rsid w:val="009A6F74"/>
    <w:rsid w:val="009A70F8"/>
    <w:rsid w:val="009A74B2"/>
    <w:rsid w:val="009B0247"/>
    <w:rsid w:val="009B1267"/>
    <w:rsid w:val="009B27CE"/>
    <w:rsid w:val="009B31D0"/>
    <w:rsid w:val="009B376D"/>
    <w:rsid w:val="009B42DB"/>
    <w:rsid w:val="009B4805"/>
    <w:rsid w:val="009B4F90"/>
    <w:rsid w:val="009B599C"/>
    <w:rsid w:val="009B79FD"/>
    <w:rsid w:val="009C15DF"/>
    <w:rsid w:val="009C2067"/>
    <w:rsid w:val="009C23A8"/>
    <w:rsid w:val="009C2DCE"/>
    <w:rsid w:val="009C3045"/>
    <w:rsid w:val="009C41B9"/>
    <w:rsid w:val="009C4C23"/>
    <w:rsid w:val="009C73B1"/>
    <w:rsid w:val="009C765C"/>
    <w:rsid w:val="009D005A"/>
    <w:rsid w:val="009D119D"/>
    <w:rsid w:val="009D124A"/>
    <w:rsid w:val="009D1676"/>
    <w:rsid w:val="009D16E9"/>
    <w:rsid w:val="009D1FA5"/>
    <w:rsid w:val="009D2258"/>
    <w:rsid w:val="009D285D"/>
    <w:rsid w:val="009D2976"/>
    <w:rsid w:val="009D2BBF"/>
    <w:rsid w:val="009D2F94"/>
    <w:rsid w:val="009D3351"/>
    <w:rsid w:val="009D3628"/>
    <w:rsid w:val="009D3CA8"/>
    <w:rsid w:val="009D4C2A"/>
    <w:rsid w:val="009D5BBA"/>
    <w:rsid w:val="009D6914"/>
    <w:rsid w:val="009D76D3"/>
    <w:rsid w:val="009D7E11"/>
    <w:rsid w:val="009D7E29"/>
    <w:rsid w:val="009E1C22"/>
    <w:rsid w:val="009E2481"/>
    <w:rsid w:val="009E3015"/>
    <w:rsid w:val="009E398B"/>
    <w:rsid w:val="009E3E8B"/>
    <w:rsid w:val="009E6E84"/>
    <w:rsid w:val="009F00B5"/>
    <w:rsid w:val="009F066B"/>
    <w:rsid w:val="009F1243"/>
    <w:rsid w:val="009F1A6C"/>
    <w:rsid w:val="009F1B48"/>
    <w:rsid w:val="009F29AC"/>
    <w:rsid w:val="009F302B"/>
    <w:rsid w:val="009F3631"/>
    <w:rsid w:val="009F3689"/>
    <w:rsid w:val="009F374B"/>
    <w:rsid w:val="009F3790"/>
    <w:rsid w:val="009F650E"/>
    <w:rsid w:val="009F6513"/>
    <w:rsid w:val="009F7CEB"/>
    <w:rsid w:val="00A002A6"/>
    <w:rsid w:val="00A02CFD"/>
    <w:rsid w:val="00A02D0A"/>
    <w:rsid w:val="00A02F0D"/>
    <w:rsid w:val="00A038C6"/>
    <w:rsid w:val="00A03A12"/>
    <w:rsid w:val="00A04012"/>
    <w:rsid w:val="00A040FD"/>
    <w:rsid w:val="00A0426A"/>
    <w:rsid w:val="00A04B20"/>
    <w:rsid w:val="00A04C0D"/>
    <w:rsid w:val="00A05B9C"/>
    <w:rsid w:val="00A07559"/>
    <w:rsid w:val="00A07A7F"/>
    <w:rsid w:val="00A126DD"/>
    <w:rsid w:val="00A12983"/>
    <w:rsid w:val="00A12F3B"/>
    <w:rsid w:val="00A14190"/>
    <w:rsid w:val="00A1428C"/>
    <w:rsid w:val="00A161D3"/>
    <w:rsid w:val="00A16AFE"/>
    <w:rsid w:val="00A20B1A"/>
    <w:rsid w:val="00A20B9B"/>
    <w:rsid w:val="00A219AA"/>
    <w:rsid w:val="00A2208C"/>
    <w:rsid w:val="00A22377"/>
    <w:rsid w:val="00A2237B"/>
    <w:rsid w:val="00A22A39"/>
    <w:rsid w:val="00A22B2C"/>
    <w:rsid w:val="00A24B55"/>
    <w:rsid w:val="00A2531B"/>
    <w:rsid w:val="00A25F79"/>
    <w:rsid w:val="00A30033"/>
    <w:rsid w:val="00A30058"/>
    <w:rsid w:val="00A300BE"/>
    <w:rsid w:val="00A30630"/>
    <w:rsid w:val="00A307F7"/>
    <w:rsid w:val="00A30910"/>
    <w:rsid w:val="00A30FD2"/>
    <w:rsid w:val="00A31230"/>
    <w:rsid w:val="00A32F67"/>
    <w:rsid w:val="00A33705"/>
    <w:rsid w:val="00A33BF5"/>
    <w:rsid w:val="00A33C5C"/>
    <w:rsid w:val="00A3436D"/>
    <w:rsid w:val="00A343D0"/>
    <w:rsid w:val="00A354B1"/>
    <w:rsid w:val="00A36926"/>
    <w:rsid w:val="00A36E56"/>
    <w:rsid w:val="00A375D6"/>
    <w:rsid w:val="00A40840"/>
    <w:rsid w:val="00A40862"/>
    <w:rsid w:val="00A408A0"/>
    <w:rsid w:val="00A41055"/>
    <w:rsid w:val="00A414B7"/>
    <w:rsid w:val="00A41E5D"/>
    <w:rsid w:val="00A424E2"/>
    <w:rsid w:val="00A435F9"/>
    <w:rsid w:val="00A45CA5"/>
    <w:rsid w:val="00A467DC"/>
    <w:rsid w:val="00A46F83"/>
    <w:rsid w:val="00A471BE"/>
    <w:rsid w:val="00A47E97"/>
    <w:rsid w:val="00A47F5A"/>
    <w:rsid w:val="00A510F7"/>
    <w:rsid w:val="00A524AA"/>
    <w:rsid w:val="00A52914"/>
    <w:rsid w:val="00A5293F"/>
    <w:rsid w:val="00A52FF1"/>
    <w:rsid w:val="00A53077"/>
    <w:rsid w:val="00A535FB"/>
    <w:rsid w:val="00A55032"/>
    <w:rsid w:val="00A55BC6"/>
    <w:rsid w:val="00A560FE"/>
    <w:rsid w:val="00A56727"/>
    <w:rsid w:val="00A579DF"/>
    <w:rsid w:val="00A60CEA"/>
    <w:rsid w:val="00A6121E"/>
    <w:rsid w:val="00A61585"/>
    <w:rsid w:val="00A62F84"/>
    <w:rsid w:val="00A6374D"/>
    <w:rsid w:val="00A63898"/>
    <w:rsid w:val="00A638E9"/>
    <w:rsid w:val="00A63B26"/>
    <w:rsid w:val="00A649D9"/>
    <w:rsid w:val="00A65222"/>
    <w:rsid w:val="00A654BB"/>
    <w:rsid w:val="00A6590B"/>
    <w:rsid w:val="00A6764D"/>
    <w:rsid w:val="00A70578"/>
    <w:rsid w:val="00A70818"/>
    <w:rsid w:val="00A70E16"/>
    <w:rsid w:val="00A7109B"/>
    <w:rsid w:val="00A71186"/>
    <w:rsid w:val="00A721E9"/>
    <w:rsid w:val="00A7307C"/>
    <w:rsid w:val="00A7353F"/>
    <w:rsid w:val="00A73C23"/>
    <w:rsid w:val="00A75E04"/>
    <w:rsid w:val="00A76A00"/>
    <w:rsid w:val="00A76CF0"/>
    <w:rsid w:val="00A7708A"/>
    <w:rsid w:val="00A7715E"/>
    <w:rsid w:val="00A776B3"/>
    <w:rsid w:val="00A80C73"/>
    <w:rsid w:val="00A81175"/>
    <w:rsid w:val="00A81F82"/>
    <w:rsid w:val="00A82312"/>
    <w:rsid w:val="00A834E2"/>
    <w:rsid w:val="00A83C52"/>
    <w:rsid w:val="00A841B0"/>
    <w:rsid w:val="00A84A9B"/>
    <w:rsid w:val="00A85383"/>
    <w:rsid w:val="00A857A4"/>
    <w:rsid w:val="00A8598E"/>
    <w:rsid w:val="00A85A2B"/>
    <w:rsid w:val="00A85B4A"/>
    <w:rsid w:val="00A86621"/>
    <w:rsid w:val="00A86ABB"/>
    <w:rsid w:val="00A86B7B"/>
    <w:rsid w:val="00A87B16"/>
    <w:rsid w:val="00A9080B"/>
    <w:rsid w:val="00A90AB4"/>
    <w:rsid w:val="00A92182"/>
    <w:rsid w:val="00A9220A"/>
    <w:rsid w:val="00A924F6"/>
    <w:rsid w:val="00A934F4"/>
    <w:rsid w:val="00A93543"/>
    <w:rsid w:val="00A93EB2"/>
    <w:rsid w:val="00A94619"/>
    <w:rsid w:val="00A947F2"/>
    <w:rsid w:val="00A94A25"/>
    <w:rsid w:val="00A94B46"/>
    <w:rsid w:val="00A94EFC"/>
    <w:rsid w:val="00A9544F"/>
    <w:rsid w:val="00A9667A"/>
    <w:rsid w:val="00A967BB"/>
    <w:rsid w:val="00A9691C"/>
    <w:rsid w:val="00A972EC"/>
    <w:rsid w:val="00A975C7"/>
    <w:rsid w:val="00AA02C6"/>
    <w:rsid w:val="00AA0AB4"/>
    <w:rsid w:val="00AA0B9C"/>
    <w:rsid w:val="00AA1681"/>
    <w:rsid w:val="00AA1852"/>
    <w:rsid w:val="00AA218D"/>
    <w:rsid w:val="00AA2AF5"/>
    <w:rsid w:val="00AA2FA1"/>
    <w:rsid w:val="00AA34CF"/>
    <w:rsid w:val="00AA35C8"/>
    <w:rsid w:val="00AA3C30"/>
    <w:rsid w:val="00AA51C1"/>
    <w:rsid w:val="00AA5504"/>
    <w:rsid w:val="00AA6156"/>
    <w:rsid w:val="00AA6545"/>
    <w:rsid w:val="00AA73AC"/>
    <w:rsid w:val="00AA7B77"/>
    <w:rsid w:val="00AA7DD4"/>
    <w:rsid w:val="00AB187A"/>
    <w:rsid w:val="00AB20A3"/>
    <w:rsid w:val="00AB2F80"/>
    <w:rsid w:val="00AB4D71"/>
    <w:rsid w:val="00AB514A"/>
    <w:rsid w:val="00AB66DC"/>
    <w:rsid w:val="00AB70C4"/>
    <w:rsid w:val="00AC24DF"/>
    <w:rsid w:val="00AC3027"/>
    <w:rsid w:val="00AC406D"/>
    <w:rsid w:val="00AC4C1D"/>
    <w:rsid w:val="00AC50E3"/>
    <w:rsid w:val="00AC5EB6"/>
    <w:rsid w:val="00AC6DDB"/>
    <w:rsid w:val="00AD0652"/>
    <w:rsid w:val="00AD0896"/>
    <w:rsid w:val="00AD142F"/>
    <w:rsid w:val="00AD17F2"/>
    <w:rsid w:val="00AD51C9"/>
    <w:rsid w:val="00AD5307"/>
    <w:rsid w:val="00AD5F87"/>
    <w:rsid w:val="00AD6D40"/>
    <w:rsid w:val="00AE0999"/>
    <w:rsid w:val="00AE0B4F"/>
    <w:rsid w:val="00AE2A68"/>
    <w:rsid w:val="00AE2D3E"/>
    <w:rsid w:val="00AE2D4C"/>
    <w:rsid w:val="00AE3287"/>
    <w:rsid w:val="00AE369A"/>
    <w:rsid w:val="00AE3825"/>
    <w:rsid w:val="00AE3B21"/>
    <w:rsid w:val="00AE4736"/>
    <w:rsid w:val="00AE4F98"/>
    <w:rsid w:val="00AE513E"/>
    <w:rsid w:val="00AE5FCB"/>
    <w:rsid w:val="00AE725F"/>
    <w:rsid w:val="00AE7AA8"/>
    <w:rsid w:val="00AF0228"/>
    <w:rsid w:val="00AF0DF9"/>
    <w:rsid w:val="00AF2CBF"/>
    <w:rsid w:val="00AF3D7B"/>
    <w:rsid w:val="00AF46A8"/>
    <w:rsid w:val="00AF4BE4"/>
    <w:rsid w:val="00B001CC"/>
    <w:rsid w:val="00B007EC"/>
    <w:rsid w:val="00B00DEE"/>
    <w:rsid w:val="00B011FA"/>
    <w:rsid w:val="00B01495"/>
    <w:rsid w:val="00B02085"/>
    <w:rsid w:val="00B022EF"/>
    <w:rsid w:val="00B02A7A"/>
    <w:rsid w:val="00B02B5A"/>
    <w:rsid w:val="00B03751"/>
    <w:rsid w:val="00B042E8"/>
    <w:rsid w:val="00B0489A"/>
    <w:rsid w:val="00B05A6C"/>
    <w:rsid w:val="00B06178"/>
    <w:rsid w:val="00B06189"/>
    <w:rsid w:val="00B064CF"/>
    <w:rsid w:val="00B06EFD"/>
    <w:rsid w:val="00B07513"/>
    <w:rsid w:val="00B10051"/>
    <w:rsid w:val="00B10853"/>
    <w:rsid w:val="00B11383"/>
    <w:rsid w:val="00B11EA0"/>
    <w:rsid w:val="00B12B1F"/>
    <w:rsid w:val="00B130D9"/>
    <w:rsid w:val="00B135B5"/>
    <w:rsid w:val="00B13F42"/>
    <w:rsid w:val="00B13FE8"/>
    <w:rsid w:val="00B1468B"/>
    <w:rsid w:val="00B14BCC"/>
    <w:rsid w:val="00B1558B"/>
    <w:rsid w:val="00B15B64"/>
    <w:rsid w:val="00B16E97"/>
    <w:rsid w:val="00B170EB"/>
    <w:rsid w:val="00B17A06"/>
    <w:rsid w:val="00B17C57"/>
    <w:rsid w:val="00B17FDB"/>
    <w:rsid w:val="00B20561"/>
    <w:rsid w:val="00B20568"/>
    <w:rsid w:val="00B20E06"/>
    <w:rsid w:val="00B213B6"/>
    <w:rsid w:val="00B21BB1"/>
    <w:rsid w:val="00B22537"/>
    <w:rsid w:val="00B22856"/>
    <w:rsid w:val="00B23868"/>
    <w:rsid w:val="00B244E3"/>
    <w:rsid w:val="00B2524A"/>
    <w:rsid w:val="00B252E9"/>
    <w:rsid w:val="00B25794"/>
    <w:rsid w:val="00B25D68"/>
    <w:rsid w:val="00B26163"/>
    <w:rsid w:val="00B26498"/>
    <w:rsid w:val="00B27386"/>
    <w:rsid w:val="00B2777B"/>
    <w:rsid w:val="00B27EF5"/>
    <w:rsid w:val="00B27FF1"/>
    <w:rsid w:val="00B306D8"/>
    <w:rsid w:val="00B30742"/>
    <w:rsid w:val="00B31256"/>
    <w:rsid w:val="00B32E89"/>
    <w:rsid w:val="00B3310A"/>
    <w:rsid w:val="00B33673"/>
    <w:rsid w:val="00B34112"/>
    <w:rsid w:val="00B343C9"/>
    <w:rsid w:val="00B3490D"/>
    <w:rsid w:val="00B3508F"/>
    <w:rsid w:val="00B361A9"/>
    <w:rsid w:val="00B37136"/>
    <w:rsid w:val="00B37A64"/>
    <w:rsid w:val="00B41EDF"/>
    <w:rsid w:val="00B434B4"/>
    <w:rsid w:val="00B4468E"/>
    <w:rsid w:val="00B44DAE"/>
    <w:rsid w:val="00B451CD"/>
    <w:rsid w:val="00B45257"/>
    <w:rsid w:val="00B45479"/>
    <w:rsid w:val="00B46289"/>
    <w:rsid w:val="00B46C79"/>
    <w:rsid w:val="00B47619"/>
    <w:rsid w:val="00B47B84"/>
    <w:rsid w:val="00B50005"/>
    <w:rsid w:val="00B502D5"/>
    <w:rsid w:val="00B5054B"/>
    <w:rsid w:val="00B508F4"/>
    <w:rsid w:val="00B50C71"/>
    <w:rsid w:val="00B5222C"/>
    <w:rsid w:val="00B5331E"/>
    <w:rsid w:val="00B53853"/>
    <w:rsid w:val="00B5392E"/>
    <w:rsid w:val="00B539FB"/>
    <w:rsid w:val="00B54320"/>
    <w:rsid w:val="00B5561A"/>
    <w:rsid w:val="00B56E40"/>
    <w:rsid w:val="00B6059F"/>
    <w:rsid w:val="00B605E1"/>
    <w:rsid w:val="00B607E5"/>
    <w:rsid w:val="00B60C00"/>
    <w:rsid w:val="00B61445"/>
    <w:rsid w:val="00B619BF"/>
    <w:rsid w:val="00B6367E"/>
    <w:rsid w:val="00B63B06"/>
    <w:rsid w:val="00B64837"/>
    <w:rsid w:val="00B64967"/>
    <w:rsid w:val="00B65BE7"/>
    <w:rsid w:val="00B66C37"/>
    <w:rsid w:val="00B67119"/>
    <w:rsid w:val="00B67DE3"/>
    <w:rsid w:val="00B71675"/>
    <w:rsid w:val="00B71B62"/>
    <w:rsid w:val="00B720F6"/>
    <w:rsid w:val="00B72234"/>
    <w:rsid w:val="00B72B84"/>
    <w:rsid w:val="00B72EF6"/>
    <w:rsid w:val="00B74167"/>
    <w:rsid w:val="00B74770"/>
    <w:rsid w:val="00B74848"/>
    <w:rsid w:val="00B750E9"/>
    <w:rsid w:val="00B75A8F"/>
    <w:rsid w:val="00B75BC0"/>
    <w:rsid w:val="00B7673D"/>
    <w:rsid w:val="00B772FE"/>
    <w:rsid w:val="00B7796D"/>
    <w:rsid w:val="00B77A18"/>
    <w:rsid w:val="00B77EB4"/>
    <w:rsid w:val="00B801BC"/>
    <w:rsid w:val="00B8058F"/>
    <w:rsid w:val="00B80B83"/>
    <w:rsid w:val="00B8130B"/>
    <w:rsid w:val="00B81472"/>
    <w:rsid w:val="00B814A3"/>
    <w:rsid w:val="00B81A5A"/>
    <w:rsid w:val="00B82278"/>
    <w:rsid w:val="00B83013"/>
    <w:rsid w:val="00B83446"/>
    <w:rsid w:val="00B83BB1"/>
    <w:rsid w:val="00B856FE"/>
    <w:rsid w:val="00B85EAC"/>
    <w:rsid w:val="00B863A0"/>
    <w:rsid w:val="00B87EF8"/>
    <w:rsid w:val="00B915D3"/>
    <w:rsid w:val="00B926F6"/>
    <w:rsid w:val="00B93562"/>
    <w:rsid w:val="00B93E69"/>
    <w:rsid w:val="00B94324"/>
    <w:rsid w:val="00B95E32"/>
    <w:rsid w:val="00B96428"/>
    <w:rsid w:val="00B9659F"/>
    <w:rsid w:val="00B967B6"/>
    <w:rsid w:val="00B9696D"/>
    <w:rsid w:val="00B9753D"/>
    <w:rsid w:val="00B977D2"/>
    <w:rsid w:val="00BA01AB"/>
    <w:rsid w:val="00BA14EF"/>
    <w:rsid w:val="00BA1681"/>
    <w:rsid w:val="00BA21CC"/>
    <w:rsid w:val="00BA22C3"/>
    <w:rsid w:val="00BA2C77"/>
    <w:rsid w:val="00BA2C9F"/>
    <w:rsid w:val="00BA30CA"/>
    <w:rsid w:val="00BA3306"/>
    <w:rsid w:val="00BA3FD5"/>
    <w:rsid w:val="00BA4150"/>
    <w:rsid w:val="00BA6DC7"/>
    <w:rsid w:val="00BA73DC"/>
    <w:rsid w:val="00BA73EE"/>
    <w:rsid w:val="00BA75EA"/>
    <w:rsid w:val="00BA78F2"/>
    <w:rsid w:val="00BB1356"/>
    <w:rsid w:val="00BB1F8C"/>
    <w:rsid w:val="00BB4CDF"/>
    <w:rsid w:val="00BB5EA9"/>
    <w:rsid w:val="00BB6FAA"/>
    <w:rsid w:val="00BB7FE4"/>
    <w:rsid w:val="00BC00B9"/>
    <w:rsid w:val="00BC01CC"/>
    <w:rsid w:val="00BC06F7"/>
    <w:rsid w:val="00BC220E"/>
    <w:rsid w:val="00BC2756"/>
    <w:rsid w:val="00BC2C18"/>
    <w:rsid w:val="00BC2D67"/>
    <w:rsid w:val="00BC4419"/>
    <w:rsid w:val="00BC63AE"/>
    <w:rsid w:val="00BC7C45"/>
    <w:rsid w:val="00BC7FCB"/>
    <w:rsid w:val="00BD03EC"/>
    <w:rsid w:val="00BD062E"/>
    <w:rsid w:val="00BD0B0C"/>
    <w:rsid w:val="00BD1688"/>
    <w:rsid w:val="00BD2E94"/>
    <w:rsid w:val="00BD3BD1"/>
    <w:rsid w:val="00BD43E0"/>
    <w:rsid w:val="00BD4D22"/>
    <w:rsid w:val="00BD4DA4"/>
    <w:rsid w:val="00BD5775"/>
    <w:rsid w:val="00BD57C4"/>
    <w:rsid w:val="00BD606F"/>
    <w:rsid w:val="00BD642A"/>
    <w:rsid w:val="00BE07D9"/>
    <w:rsid w:val="00BE19F0"/>
    <w:rsid w:val="00BE20D0"/>
    <w:rsid w:val="00BE24F5"/>
    <w:rsid w:val="00BE3CAA"/>
    <w:rsid w:val="00BE3E5F"/>
    <w:rsid w:val="00BE4A4C"/>
    <w:rsid w:val="00BE4EA9"/>
    <w:rsid w:val="00BE51D3"/>
    <w:rsid w:val="00BE5338"/>
    <w:rsid w:val="00BE546A"/>
    <w:rsid w:val="00BE583A"/>
    <w:rsid w:val="00BE60B0"/>
    <w:rsid w:val="00BE6255"/>
    <w:rsid w:val="00BE687A"/>
    <w:rsid w:val="00BF0ED0"/>
    <w:rsid w:val="00BF0F81"/>
    <w:rsid w:val="00BF21EA"/>
    <w:rsid w:val="00BF2CC2"/>
    <w:rsid w:val="00BF3298"/>
    <w:rsid w:val="00BF4BD3"/>
    <w:rsid w:val="00BF5B3F"/>
    <w:rsid w:val="00BF5B4F"/>
    <w:rsid w:val="00BF70C9"/>
    <w:rsid w:val="00C00124"/>
    <w:rsid w:val="00C0129A"/>
    <w:rsid w:val="00C014E1"/>
    <w:rsid w:val="00C05496"/>
    <w:rsid w:val="00C063B7"/>
    <w:rsid w:val="00C06418"/>
    <w:rsid w:val="00C072B7"/>
    <w:rsid w:val="00C07417"/>
    <w:rsid w:val="00C07BBA"/>
    <w:rsid w:val="00C07ECB"/>
    <w:rsid w:val="00C104C2"/>
    <w:rsid w:val="00C10C5C"/>
    <w:rsid w:val="00C10FA4"/>
    <w:rsid w:val="00C11033"/>
    <w:rsid w:val="00C11E5D"/>
    <w:rsid w:val="00C11EF2"/>
    <w:rsid w:val="00C1307A"/>
    <w:rsid w:val="00C142E3"/>
    <w:rsid w:val="00C15FD0"/>
    <w:rsid w:val="00C20D2D"/>
    <w:rsid w:val="00C21EAD"/>
    <w:rsid w:val="00C2240C"/>
    <w:rsid w:val="00C231DE"/>
    <w:rsid w:val="00C23FEA"/>
    <w:rsid w:val="00C240AE"/>
    <w:rsid w:val="00C24BE3"/>
    <w:rsid w:val="00C25E19"/>
    <w:rsid w:val="00C3076F"/>
    <w:rsid w:val="00C308EC"/>
    <w:rsid w:val="00C30BB4"/>
    <w:rsid w:val="00C30CEF"/>
    <w:rsid w:val="00C31595"/>
    <w:rsid w:val="00C317F3"/>
    <w:rsid w:val="00C32758"/>
    <w:rsid w:val="00C32E48"/>
    <w:rsid w:val="00C33232"/>
    <w:rsid w:val="00C3330F"/>
    <w:rsid w:val="00C3389D"/>
    <w:rsid w:val="00C34046"/>
    <w:rsid w:val="00C34272"/>
    <w:rsid w:val="00C347BB"/>
    <w:rsid w:val="00C34B7C"/>
    <w:rsid w:val="00C35371"/>
    <w:rsid w:val="00C357DC"/>
    <w:rsid w:val="00C35E17"/>
    <w:rsid w:val="00C35E3F"/>
    <w:rsid w:val="00C363D2"/>
    <w:rsid w:val="00C37B65"/>
    <w:rsid w:val="00C37FDF"/>
    <w:rsid w:val="00C40082"/>
    <w:rsid w:val="00C4056F"/>
    <w:rsid w:val="00C407E8"/>
    <w:rsid w:val="00C41DC5"/>
    <w:rsid w:val="00C429C4"/>
    <w:rsid w:val="00C42DE2"/>
    <w:rsid w:val="00C44685"/>
    <w:rsid w:val="00C4470B"/>
    <w:rsid w:val="00C44C37"/>
    <w:rsid w:val="00C4513A"/>
    <w:rsid w:val="00C460C7"/>
    <w:rsid w:val="00C46AE5"/>
    <w:rsid w:val="00C47281"/>
    <w:rsid w:val="00C47654"/>
    <w:rsid w:val="00C477A3"/>
    <w:rsid w:val="00C502CB"/>
    <w:rsid w:val="00C504F0"/>
    <w:rsid w:val="00C50575"/>
    <w:rsid w:val="00C50E92"/>
    <w:rsid w:val="00C51773"/>
    <w:rsid w:val="00C5183E"/>
    <w:rsid w:val="00C522F7"/>
    <w:rsid w:val="00C52ACF"/>
    <w:rsid w:val="00C5319F"/>
    <w:rsid w:val="00C53386"/>
    <w:rsid w:val="00C53B6F"/>
    <w:rsid w:val="00C550EE"/>
    <w:rsid w:val="00C55D89"/>
    <w:rsid w:val="00C56F76"/>
    <w:rsid w:val="00C570BC"/>
    <w:rsid w:val="00C57191"/>
    <w:rsid w:val="00C57E4D"/>
    <w:rsid w:val="00C57E5D"/>
    <w:rsid w:val="00C60C2F"/>
    <w:rsid w:val="00C61A71"/>
    <w:rsid w:val="00C62276"/>
    <w:rsid w:val="00C626E2"/>
    <w:rsid w:val="00C628C8"/>
    <w:rsid w:val="00C62A70"/>
    <w:rsid w:val="00C64378"/>
    <w:rsid w:val="00C66361"/>
    <w:rsid w:val="00C67233"/>
    <w:rsid w:val="00C67ED3"/>
    <w:rsid w:val="00C70958"/>
    <w:rsid w:val="00C720CB"/>
    <w:rsid w:val="00C724FC"/>
    <w:rsid w:val="00C72FC8"/>
    <w:rsid w:val="00C73271"/>
    <w:rsid w:val="00C74B79"/>
    <w:rsid w:val="00C7519E"/>
    <w:rsid w:val="00C75CEE"/>
    <w:rsid w:val="00C7746A"/>
    <w:rsid w:val="00C77C74"/>
    <w:rsid w:val="00C80D01"/>
    <w:rsid w:val="00C80D1E"/>
    <w:rsid w:val="00C810A5"/>
    <w:rsid w:val="00C81783"/>
    <w:rsid w:val="00C81A12"/>
    <w:rsid w:val="00C81BBB"/>
    <w:rsid w:val="00C824F6"/>
    <w:rsid w:val="00C82A82"/>
    <w:rsid w:val="00C83560"/>
    <w:rsid w:val="00C838D1"/>
    <w:rsid w:val="00C845B7"/>
    <w:rsid w:val="00C846BE"/>
    <w:rsid w:val="00C84CC6"/>
    <w:rsid w:val="00C852A1"/>
    <w:rsid w:val="00C86AB4"/>
    <w:rsid w:val="00C92154"/>
    <w:rsid w:val="00C94444"/>
    <w:rsid w:val="00C95539"/>
    <w:rsid w:val="00C95EA5"/>
    <w:rsid w:val="00C963DE"/>
    <w:rsid w:val="00C96934"/>
    <w:rsid w:val="00C97122"/>
    <w:rsid w:val="00C97469"/>
    <w:rsid w:val="00C97B4C"/>
    <w:rsid w:val="00CA0C26"/>
    <w:rsid w:val="00CA11D0"/>
    <w:rsid w:val="00CA1C8B"/>
    <w:rsid w:val="00CA2624"/>
    <w:rsid w:val="00CA3323"/>
    <w:rsid w:val="00CA3C04"/>
    <w:rsid w:val="00CA5F60"/>
    <w:rsid w:val="00CA6687"/>
    <w:rsid w:val="00CA746E"/>
    <w:rsid w:val="00CB07A8"/>
    <w:rsid w:val="00CB0B25"/>
    <w:rsid w:val="00CB0CEB"/>
    <w:rsid w:val="00CB14A1"/>
    <w:rsid w:val="00CB2683"/>
    <w:rsid w:val="00CB2CC3"/>
    <w:rsid w:val="00CB5389"/>
    <w:rsid w:val="00CB5448"/>
    <w:rsid w:val="00CB663C"/>
    <w:rsid w:val="00CC0E30"/>
    <w:rsid w:val="00CC10E1"/>
    <w:rsid w:val="00CC1409"/>
    <w:rsid w:val="00CC1419"/>
    <w:rsid w:val="00CC218F"/>
    <w:rsid w:val="00CC2D0A"/>
    <w:rsid w:val="00CC35FE"/>
    <w:rsid w:val="00CC51DF"/>
    <w:rsid w:val="00CC64F1"/>
    <w:rsid w:val="00CC6ED9"/>
    <w:rsid w:val="00CD01BF"/>
    <w:rsid w:val="00CD0D39"/>
    <w:rsid w:val="00CD12E3"/>
    <w:rsid w:val="00CD18A1"/>
    <w:rsid w:val="00CD1A3E"/>
    <w:rsid w:val="00CD21DA"/>
    <w:rsid w:val="00CD2ACF"/>
    <w:rsid w:val="00CD49CA"/>
    <w:rsid w:val="00CD4A4D"/>
    <w:rsid w:val="00CD50DA"/>
    <w:rsid w:val="00CD6327"/>
    <w:rsid w:val="00CD6993"/>
    <w:rsid w:val="00CD7CF4"/>
    <w:rsid w:val="00CD7FEB"/>
    <w:rsid w:val="00CE00C0"/>
    <w:rsid w:val="00CE0CB6"/>
    <w:rsid w:val="00CE1E22"/>
    <w:rsid w:val="00CE1F39"/>
    <w:rsid w:val="00CE244B"/>
    <w:rsid w:val="00CE2B78"/>
    <w:rsid w:val="00CE37E4"/>
    <w:rsid w:val="00CE3EC3"/>
    <w:rsid w:val="00CE51AD"/>
    <w:rsid w:val="00CE5F5A"/>
    <w:rsid w:val="00CE695C"/>
    <w:rsid w:val="00CE6C1D"/>
    <w:rsid w:val="00CE7370"/>
    <w:rsid w:val="00CE74A3"/>
    <w:rsid w:val="00CE74DF"/>
    <w:rsid w:val="00CF0DD3"/>
    <w:rsid w:val="00CF0EAD"/>
    <w:rsid w:val="00CF1442"/>
    <w:rsid w:val="00CF2301"/>
    <w:rsid w:val="00CF25FB"/>
    <w:rsid w:val="00CF29E6"/>
    <w:rsid w:val="00CF40C5"/>
    <w:rsid w:val="00CF4A26"/>
    <w:rsid w:val="00CF4A41"/>
    <w:rsid w:val="00CF54BC"/>
    <w:rsid w:val="00CF5548"/>
    <w:rsid w:val="00CF5AB3"/>
    <w:rsid w:val="00CF5B0F"/>
    <w:rsid w:val="00CF5D4C"/>
    <w:rsid w:val="00CF605F"/>
    <w:rsid w:val="00CF617F"/>
    <w:rsid w:val="00CF6A29"/>
    <w:rsid w:val="00CF7052"/>
    <w:rsid w:val="00D004F3"/>
    <w:rsid w:val="00D00677"/>
    <w:rsid w:val="00D0096A"/>
    <w:rsid w:val="00D00A05"/>
    <w:rsid w:val="00D02C1B"/>
    <w:rsid w:val="00D034DD"/>
    <w:rsid w:val="00D0351B"/>
    <w:rsid w:val="00D03581"/>
    <w:rsid w:val="00D03D0C"/>
    <w:rsid w:val="00D0461B"/>
    <w:rsid w:val="00D04952"/>
    <w:rsid w:val="00D04D2F"/>
    <w:rsid w:val="00D05857"/>
    <w:rsid w:val="00D06778"/>
    <w:rsid w:val="00D06A16"/>
    <w:rsid w:val="00D07335"/>
    <w:rsid w:val="00D07945"/>
    <w:rsid w:val="00D10166"/>
    <w:rsid w:val="00D104C8"/>
    <w:rsid w:val="00D1078F"/>
    <w:rsid w:val="00D10E60"/>
    <w:rsid w:val="00D10F6E"/>
    <w:rsid w:val="00D1277F"/>
    <w:rsid w:val="00D12CD2"/>
    <w:rsid w:val="00D14D23"/>
    <w:rsid w:val="00D15D8B"/>
    <w:rsid w:val="00D15F55"/>
    <w:rsid w:val="00D16201"/>
    <w:rsid w:val="00D16F96"/>
    <w:rsid w:val="00D170CF"/>
    <w:rsid w:val="00D17244"/>
    <w:rsid w:val="00D17984"/>
    <w:rsid w:val="00D20802"/>
    <w:rsid w:val="00D20A02"/>
    <w:rsid w:val="00D20AB4"/>
    <w:rsid w:val="00D20F1C"/>
    <w:rsid w:val="00D20F25"/>
    <w:rsid w:val="00D21496"/>
    <w:rsid w:val="00D22390"/>
    <w:rsid w:val="00D22454"/>
    <w:rsid w:val="00D22F61"/>
    <w:rsid w:val="00D239E5"/>
    <w:rsid w:val="00D247AE"/>
    <w:rsid w:val="00D24DAD"/>
    <w:rsid w:val="00D24E09"/>
    <w:rsid w:val="00D25570"/>
    <w:rsid w:val="00D25647"/>
    <w:rsid w:val="00D25916"/>
    <w:rsid w:val="00D25E97"/>
    <w:rsid w:val="00D2649C"/>
    <w:rsid w:val="00D318BB"/>
    <w:rsid w:val="00D31DA0"/>
    <w:rsid w:val="00D321B1"/>
    <w:rsid w:val="00D325F0"/>
    <w:rsid w:val="00D32929"/>
    <w:rsid w:val="00D329E6"/>
    <w:rsid w:val="00D32B4B"/>
    <w:rsid w:val="00D32E3C"/>
    <w:rsid w:val="00D33D8E"/>
    <w:rsid w:val="00D34C5D"/>
    <w:rsid w:val="00D352FC"/>
    <w:rsid w:val="00D3568D"/>
    <w:rsid w:val="00D3581B"/>
    <w:rsid w:val="00D36F38"/>
    <w:rsid w:val="00D377CC"/>
    <w:rsid w:val="00D37972"/>
    <w:rsid w:val="00D403AD"/>
    <w:rsid w:val="00D40896"/>
    <w:rsid w:val="00D411BC"/>
    <w:rsid w:val="00D41534"/>
    <w:rsid w:val="00D43056"/>
    <w:rsid w:val="00D43137"/>
    <w:rsid w:val="00D43528"/>
    <w:rsid w:val="00D4385D"/>
    <w:rsid w:val="00D451FC"/>
    <w:rsid w:val="00D45E09"/>
    <w:rsid w:val="00D46146"/>
    <w:rsid w:val="00D46412"/>
    <w:rsid w:val="00D50338"/>
    <w:rsid w:val="00D50BDD"/>
    <w:rsid w:val="00D50D56"/>
    <w:rsid w:val="00D51064"/>
    <w:rsid w:val="00D52807"/>
    <w:rsid w:val="00D537E2"/>
    <w:rsid w:val="00D53AAF"/>
    <w:rsid w:val="00D53E94"/>
    <w:rsid w:val="00D549D6"/>
    <w:rsid w:val="00D54A76"/>
    <w:rsid w:val="00D6033C"/>
    <w:rsid w:val="00D61520"/>
    <w:rsid w:val="00D62D00"/>
    <w:rsid w:val="00D633B7"/>
    <w:rsid w:val="00D63C48"/>
    <w:rsid w:val="00D63FC9"/>
    <w:rsid w:val="00D64102"/>
    <w:rsid w:val="00D641EE"/>
    <w:rsid w:val="00D64289"/>
    <w:rsid w:val="00D64517"/>
    <w:rsid w:val="00D64FEB"/>
    <w:rsid w:val="00D6667B"/>
    <w:rsid w:val="00D66A84"/>
    <w:rsid w:val="00D6705B"/>
    <w:rsid w:val="00D67125"/>
    <w:rsid w:val="00D70C2B"/>
    <w:rsid w:val="00D70FC8"/>
    <w:rsid w:val="00D71400"/>
    <w:rsid w:val="00D72A76"/>
    <w:rsid w:val="00D72C23"/>
    <w:rsid w:val="00D731A7"/>
    <w:rsid w:val="00D74848"/>
    <w:rsid w:val="00D74A1C"/>
    <w:rsid w:val="00D7574E"/>
    <w:rsid w:val="00D75B7C"/>
    <w:rsid w:val="00D8067B"/>
    <w:rsid w:val="00D8114A"/>
    <w:rsid w:val="00D81609"/>
    <w:rsid w:val="00D81DCE"/>
    <w:rsid w:val="00D82545"/>
    <w:rsid w:val="00D82978"/>
    <w:rsid w:val="00D83059"/>
    <w:rsid w:val="00D83460"/>
    <w:rsid w:val="00D83B7F"/>
    <w:rsid w:val="00D83D84"/>
    <w:rsid w:val="00D8435D"/>
    <w:rsid w:val="00D844C2"/>
    <w:rsid w:val="00D855E5"/>
    <w:rsid w:val="00D862F6"/>
    <w:rsid w:val="00D86F21"/>
    <w:rsid w:val="00D91BEF"/>
    <w:rsid w:val="00D91DD7"/>
    <w:rsid w:val="00D92B83"/>
    <w:rsid w:val="00D93578"/>
    <w:rsid w:val="00D93C74"/>
    <w:rsid w:val="00D95394"/>
    <w:rsid w:val="00D95629"/>
    <w:rsid w:val="00D95AE9"/>
    <w:rsid w:val="00D95BA2"/>
    <w:rsid w:val="00D95BC2"/>
    <w:rsid w:val="00D96697"/>
    <w:rsid w:val="00D970E7"/>
    <w:rsid w:val="00DA015D"/>
    <w:rsid w:val="00DA032B"/>
    <w:rsid w:val="00DA0456"/>
    <w:rsid w:val="00DA08E4"/>
    <w:rsid w:val="00DA0C0E"/>
    <w:rsid w:val="00DA1880"/>
    <w:rsid w:val="00DA3B50"/>
    <w:rsid w:val="00DA4669"/>
    <w:rsid w:val="00DA4887"/>
    <w:rsid w:val="00DA4F17"/>
    <w:rsid w:val="00DA55A5"/>
    <w:rsid w:val="00DA55BB"/>
    <w:rsid w:val="00DA65A8"/>
    <w:rsid w:val="00DA71F6"/>
    <w:rsid w:val="00DA73EE"/>
    <w:rsid w:val="00DB050D"/>
    <w:rsid w:val="00DB10E1"/>
    <w:rsid w:val="00DB1887"/>
    <w:rsid w:val="00DB1B46"/>
    <w:rsid w:val="00DB2C85"/>
    <w:rsid w:val="00DB2E0C"/>
    <w:rsid w:val="00DB6969"/>
    <w:rsid w:val="00DB754F"/>
    <w:rsid w:val="00DB7B0A"/>
    <w:rsid w:val="00DC1743"/>
    <w:rsid w:val="00DC1855"/>
    <w:rsid w:val="00DC1F73"/>
    <w:rsid w:val="00DC1FF2"/>
    <w:rsid w:val="00DC2067"/>
    <w:rsid w:val="00DC29C7"/>
    <w:rsid w:val="00DC34D0"/>
    <w:rsid w:val="00DC4CC9"/>
    <w:rsid w:val="00DC54C0"/>
    <w:rsid w:val="00DC55EE"/>
    <w:rsid w:val="00DC5F88"/>
    <w:rsid w:val="00DC7137"/>
    <w:rsid w:val="00DC7746"/>
    <w:rsid w:val="00DD046A"/>
    <w:rsid w:val="00DD0602"/>
    <w:rsid w:val="00DD13F7"/>
    <w:rsid w:val="00DD1A1F"/>
    <w:rsid w:val="00DD3049"/>
    <w:rsid w:val="00DD3136"/>
    <w:rsid w:val="00DD4DB1"/>
    <w:rsid w:val="00DD4E7B"/>
    <w:rsid w:val="00DD4EE4"/>
    <w:rsid w:val="00DD5339"/>
    <w:rsid w:val="00DD5F75"/>
    <w:rsid w:val="00DD7B85"/>
    <w:rsid w:val="00DE003B"/>
    <w:rsid w:val="00DE0285"/>
    <w:rsid w:val="00DE12A7"/>
    <w:rsid w:val="00DE14CA"/>
    <w:rsid w:val="00DE1A8A"/>
    <w:rsid w:val="00DE24AF"/>
    <w:rsid w:val="00DE2A03"/>
    <w:rsid w:val="00DE30E2"/>
    <w:rsid w:val="00DE3A9A"/>
    <w:rsid w:val="00DE6421"/>
    <w:rsid w:val="00DE6F4C"/>
    <w:rsid w:val="00DF1037"/>
    <w:rsid w:val="00DF14C6"/>
    <w:rsid w:val="00DF16C0"/>
    <w:rsid w:val="00DF194B"/>
    <w:rsid w:val="00DF36C6"/>
    <w:rsid w:val="00DF4960"/>
    <w:rsid w:val="00DF548B"/>
    <w:rsid w:val="00DF68AD"/>
    <w:rsid w:val="00DF6DB2"/>
    <w:rsid w:val="00E002DA"/>
    <w:rsid w:val="00E007AD"/>
    <w:rsid w:val="00E00CF9"/>
    <w:rsid w:val="00E012A2"/>
    <w:rsid w:val="00E026B0"/>
    <w:rsid w:val="00E034AE"/>
    <w:rsid w:val="00E03FCF"/>
    <w:rsid w:val="00E0488F"/>
    <w:rsid w:val="00E05FBC"/>
    <w:rsid w:val="00E10470"/>
    <w:rsid w:val="00E10B7D"/>
    <w:rsid w:val="00E11324"/>
    <w:rsid w:val="00E125F5"/>
    <w:rsid w:val="00E13261"/>
    <w:rsid w:val="00E1377F"/>
    <w:rsid w:val="00E144B6"/>
    <w:rsid w:val="00E1531A"/>
    <w:rsid w:val="00E171C6"/>
    <w:rsid w:val="00E175D9"/>
    <w:rsid w:val="00E20018"/>
    <w:rsid w:val="00E203B3"/>
    <w:rsid w:val="00E206CC"/>
    <w:rsid w:val="00E219D0"/>
    <w:rsid w:val="00E21D82"/>
    <w:rsid w:val="00E227EA"/>
    <w:rsid w:val="00E22D6B"/>
    <w:rsid w:val="00E22F15"/>
    <w:rsid w:val="00E23660"/>
    <w:rsid w:val="00E237D2"/>
    <w:rsid w:val="00E23A9F"/>
    <w:rsid w:val="00E243AC"/>
    <w:rsid w:val="00E24FA5"/>
    <w:rsid w:val="00E257EA"/>
    <w:rsid w:val="00E25A4C"/>
    <w:rsid w:val="00E25B73"/>
    <w:rsid w:val="00E2761D"/>
    <w:rsid w:val="00E2781E"/>
    <w:rsid w:val="00E27CD0"/>
    <w:rsid w:val="00E27D7E"/>
    <w:rsid w:val="00E30E32"/>
    <w:rsid w:val="00E312A8"/>
    <w:rsid w:val="00E31A1E"/>
    <w:rsid w:val="00E31CC9"/>
    <w:rsid w:val="00E325DD"/>
    <w:rsid w:val="00E33E4E"/>
    <w:rsid w:val="00E33E7B"/>
    <w:rsid w:val="00E33F21"/>
    <w:rsid w:val="00E34484"/>
    <w:rsid w:val="00E35F93"/>
    <w:rsid w:val="00E37424"/>
    <w:rsid w:val="00E37C52"/>
    <w:rsid w:val="00E401CA"/>
    <w:rsid w:val="00E403FC"/>
    <w:rsid w:val="00E4041E"/>
    <w:rsid w:val="00E40A23"/>
    <w:rsid w:val="00E41568"/>
    <w:rsid w:val="00E41A41"/>
    <w:rsid w:val="00E41FF7"/>
    <w:rsid w:val="00E421E6"/>
    <w:rsid w:val="00E44DE4"/>
    <w:rsid w:val="00E45180"/>
    <w:rsid w:val="00E45305"/>
    <w:rsid w:val="00E45327"/>
    <w:rsid w:val="00E4634C"/>
    <w:rsid w:val="00E46AC9"/>
    <w:rsid w:val="00E4702C"/>
    <w:rsid w:val="00E47169"/>
    <w:rsid w:val="00E47BE0"/>
    <w:rsid w:val="00E5057B"/>
    <w:rsid w:val="00E50F19"/>
    <w:rsid w:val="00E51E3C"/>
    <w:rsid w:val="00E52219"/>
    <w:rsid w:val="00E52745"/>
    <w:rsid w:val="00E52EC4"/>
    <w:rsid w:val="00E531F6"/>
    <w:rsid w:val="00E53DB6"/>
    <w:rsid w:val="00E54FB3"/>
    <w:rsid w:val="00E55648"/>
    <w:rsid w:val="00E55851"/>
    <w:rsid w:val="00E55904"/>
    <w:rsid w:val="00E55A32"/>
    <w:rsid w:val="00E55E72"/>
    <w:rsid w:val="00E56678"/>
    <w:rsid w:val="00E56C64"/>
    <w:rsid w:val="00E61BE3"/>
    <w:rsid w:val="00E62C43"/>
    <w:rsid w:val="00E62E14"/>
    <w:rsid w:val="00E63872"/>
    <w:rsid w:val="00E63D03"/>
    <w:rsid w:val="00E6425F"/>
    <w:rsid w:val="00E6473F"/>
    <w:rsid w:val="00E64E2C"/>
    <w:rsid w:val="00E659DA"/>
    <w:rsid w:val="00E65DF1"/>
    <w:rsid w:val="00E66614"/>
    <w:rsid w:val="00E66B1A"/>
    <w:rsid w:val="00E66C14"/>
    <w:rsid w:val="00E674D3"/>
    <w:rsid w:val="00E67F5C"/>
    <w:rsid w:val="00E71405"/>
    <w:rsid w:val="00E73B87"/>
    <w:rsid w:val="00E74283"/>
    <w:rsid w:val="00E75175"/>
    <w:rsid w:val="00E75B62"/>
    <w:rsid w:val="00E75E1E"/>
    <w:rsid w:val="00E760F2"/>
    <w:rsid w:val="00E76A66"/>
    <w:rsid w:val="00E773DF"/>
    <w:rsid w:val="00E77C09"/>
    <w:rsid w:val="00E77E4A"/>
    <w:rsid w:val="00E8050B"/>
    <w:rsid w:val="00E80FCD"/>
    <w:rsid w:val="00E81348"/>
    <w:rsid w:val="00E8269B"/>
    <w:rsid w:val="00E82B3E"/>
    <w:rsid w:val="00E83062"/>
    <w:rsid w:val="00E8335F"/>
    <w:rsid w:val="00E84509"/>
    <w:rsid w:val="00E84CE2"/>
    <w:rsid w:val="00E86481"/>
    <w:rsid w:val="00E866E2"/>
    <w:rsid w:val="00E86ABB"/>
    <w:rsid w:val="00E86CE5"/>
    <w:rsid w:val="00E87AFF"/>
    <w:rsid w:val="00E90A7F"/>
    <w:rsid w:val="00E930FA"/>
    <w:rsid w:val="00E931FD"/>
    <w:rsid w:val="00E93972"/>
    <w:rsid w:val="00E945AD"/>
    <w:rsid w:val="00E946C0"/>
    <w:rsid w:val="00E95373"/>
    <w:rsid w:val="00E954C1"/>
    <w:rsid w:val="00E95607"/>
    <w:rsid w:val="00E95C99"/>
    <w:rsid w:val="00E95EE1"/>
    <w:rsid w:val="00E96958"/>
    <w:rsid w:val="00E974E0"/>
    <w:rsid w:val="00E978F9"/>
    <w:rsid w:val="00EA025B"/>
    <w:rsid w:val="00EA04B0"/>
    <w:rsid w:val="00EA1369"/>
    <w:rsid w:val="00EA13DD"/>
    <w:rsid w:val="00EA1B29"/>
    <w:rsid w:val="00EA320C"/>
    <w:rsid w:val="00EA5ADA"/>
    <w:rsid w:val="00EA5ECE"/>
    <w:rsid w:val="00EA66E6"/>
    <w:rsid w:val="00EA696C"/>
    <w:rsid w:val="00EA6C68"/>
    <w:rsid w:val="00EA6DC1"/>
    <w:rsid w:val="00EA751C"/>
    <w:rsid w:val="00EA76E4"/>
    <w:rsid w:val="00EA7C10"/>
    <w:rsid w:val="00EB05E6"/>
    <w:rsid w:val="00EB08D0"/>
    <w:rsid w:val="00EB0DF8"/>
    <w:rsid w:val="00EB17BF"/>
    <w:rsid w:val="00EB1A9C"/>
    <w:rsid w:val="00EB3F3E"/>
    <w:rsid w:val="00EB426B"/>
    <w:rsid w:val="00EB5E6D"/>
    <w:rsid w:val="00EB71A2"/>
    <w:rsid w:val="00EB79A4"/>
    <w:rsid w:val="00EB7D52"/>
    <w:rsid w:val="00EC2096"/>
    <w:rsid w:val="00EC28E6"/>
    <w:rsid w:val="00EC3E10"/>
    <w:rsid w:val="00EC68A9"/>
    <w:rsid w:val="00EC69AC"/>
    <w:rsid w:val="00EC7F61"/>
    <w:rsid w:val="00ED0F93"/>
    <w:rsid w:val="00ED2844"/>
    <w:rsid w:val="00ED3633"/>
    <w:rsid w:val="00ED40A9"/>
    <w:rsid w:val="00ED5A79"/>
    <w:rsid w:val="00ED6B04"/>
    <w:rsid w:val="00ED7119"/>
    <w:rsid w:val="00ED75C2"/>
    <w:rsid w:val="00EE08FD"/>
    <w:rsid w:val="00EE1D25"/>
    <w:rsid w:val="00EE2599"/>
    <w:rsid w:val="00EE7B28"/>
    <w:rsid w:val="00EF3278"/>
    <w:rsid w:val="00EF42D2"/>
    <w:rsid w:val="00EF43D8"/>
    <w:rsid w:val="00EF482B"/>
    <w:rsid w:val="00EF5C90"/>
    <w:rsid w:val="00EF6A35"/>
    <w:rsid w:val="00F01FED"/>
    <w:rsid w:val="00F02583"/>
    <w:rsid w:val="00F027DC"/>
    <w:rsid w:val="00F049EC"/>
    <w:rsid w:val="00F056E9"/>
    <w:rsid w:val="00F062F9"/>
    <w:rsid w:val="00F06C84"/>
    <w:rsid w:val="00F10396"/>
    <w:rsid w:val="00F10CE3"/>
    <w:rsid w:val="00F12C0F"/>
    <w:rsid w:val="00F12F67"/>
    <w:rsid w:val="00F14632"/>
    <w:rsid w:val="00F15E21"/>
    <w:rsid w:val="00F16561"/>
    <w:rsid w:val="00F172CC"/>
    <w:rsid w:val="00F1748B"/>
    <w:rsid w:val="00F20A00"/>
    <w:rsid w:val="00F210B6"/>
    <w:rsid w:val="00F215DF"/>
    <w:rsid w:val="00F22018"/>
    <w:rsid w:val="00F23717"/>
    <w:rsid w:val="00F254A7"/>
    <w:rsid w:val="00F26B4B"/>
    <w:rsid w:val="00F2706C"/>
    <w:rsid w:val="00F302D2"/>
    <w:rsid w:val="00F307FC"/>
    <w:rsid w:val="00F3094A"/>
    <w:rsid w:val="00F30F58"/>
    <w:rsid w:val="00F3146B"/>
    <w:rsid w:val="00F31754"/>
    <w:rsid w:val="00F31EE1"/>
    <w:rsid w:val="00F32CB5"/>
    <w:rsid w:val="00F32D23"/>
    <w:rsid w:val="00F338F5"/>
    <w:rsid w:val="00F3443E"/>
    <w:rsid w:val="00F34931"/>
    <w:rsid w:val="00F34CD7"/>
    <w:rsid w:val="00F3722C"/>
    <w:rsid w:val="00F40BF3"/>
    <w:rsid w:val="00F40CFA"/>
    <w:rsid w:val="00F40D0C"/>
    <w:rsid w:val="00F40D87"/>
    <w:rsid w:val="00F410D7"/>
    <w:rsid w:val="00F419C5"/>
    <w:rsid w:val="00F428C2"/>
    <w:rsid w:val="00F43A09"/>
    <w:rsid w:val="00F44CC3"/>
    <w:rsid w:val="00F44EFB"/>
    <w:rsid w:val="00F45006"/>
    <w:rsid w:val="00F4570C"/>
    <w:rsid w:val="00F45F85"/>
    <w:rsid w:val="00F47454"/>
    <w:rsid w:val="00F50113"/>
    <w:rsid w:val="00F501E5"/>
    <w:rsid w:val="00F50879"/>
    <w:rsid w:val="00F514FB"/>
    <w:rsid w:val="00F52CF4"/>
    <w:rsid w:val="00F54387"/>
    <w:rsid w:val="00F5467C"/>
    <w:rsid w:val="00F552AC"/>
    <w:rsid w:val="00F5569B"/>
    <w:rsid w:val="00F55831"/>
    <w:rsid w:val="00F55B92"/>
    <w:rsid w:val="00F56314"/>
    <w:rsid w:val="00F56B70"/>
    <w:rsid w:val="00F60ADE"/>
    <w:rsid w:val="00F6119B"/>
    <w:rsid w:val="00F61645"/>
    <w:rsid w:val="00F6252F"/>
    <w:rsid w:val="00F62645"/>
    <w:rsid w:val="00F62B06"/>
    <w:rsid w:val="00F63E2D"/>
    <w:rsid w:val="00F65F6D"/>
    <w:rsid w:val="00F6613B"/>
    <w:rsid w:val="00F6657E"/>
    <w:rsid w:val="00F66849"/>
    <w:rsid w:val="00F67B73"/>
    <w:rsid w:val="00F70398"/>
    <w:rsid w:val="00F70657"/>
    <w:rsid w:val="00F7181D"/>
    <w:rsid w:val="00F72AC9"/>
    <w:rsid w:val="00F72B42"/>
    <w:rsid w:val="00F733F3"/>
    <w:rsid w:val="00F73A39"/>
    <w:rsid w:val="00F73B36"/>
    <w:rsid w:val="00F73EDD"/>
    <w:rsid w:val="00F7403B"/>
    <w:rsid w:val="00F75D3A"/>
    <w:rsid w:val="00F76DDE"/>
    <w:rsid w:val="00F76F70"/>
    <w:rsid w:val="00F7743E"/>
    <w:rsid w:val="00F80139"/>
    <w:rsid w:val="00F8074A"/>
    <w:rsid w:val="00F81E1B"/>
    <w:rsid w:val="00F822C7"/>
    <w:rsid w:val="00F827D6"/>
    <w:rsid w:val="00F82DC2"/>
    <w:rsid w:val="00F84839"/>
    <w:rsid w:val="00F85059"/>
    <w:rsid w:val="00F851C0"/>
    <w:rsid w:val="00F852D9"/>
    <w:rsid w:val="00F860AD"/>
    <w:rsid w:val="00F87C31"/>
    <w:rsid w:val="00F903D5"/>
    <w:rsid w:val="00F91551"/>
    <w:rsid w:val="00F9212E"/>
    <w:rsid w:val="00F921BC"/>
    <w:rsid w:val="00F92ED1"/>
    <w:rsid w:val="00F93A31"/>
    <w:rsid w:val="00F94001"/>
    <w:rsid w:val="00F946E6"/>
    <w:rsid w:val="00F94AD8"/>
    <w:rsid w:val="00F9557E"/>
    <w:rsid w:val="00F9576C"/>
    <w:rsid w:val="00F95DA6"/>
    <w:rsid w:val="00F96BAB"/>
    <w:rsid w:val="00F9706F"/>
    <w:rsid w:val="00F9783F"/>
    <w:rsid w:val="00F97DA3"/>
    <w:rsid w:val="00FA00AB"/>
    <w:rsid w:val="00FA0329"/>
    <w:rsid w:val="00FA0CA7"/>
    <w:rsid w:val="00FA0E2E"/>
    <w:rsid w:val="00FA1713"/>
    <w:rsid w:val="00FA2052"/>
    <w:rsid w:val="00FA2806"/>
    <w:rsid w:val="00FA2ACD"/>
    <w:rsid w:val="00FA4460"/>
    <w:rsid w:val="00FA5CBF"/>
    <w:rsid w:val="00FA6D4A"/>
    <w:rsid w:val="00FA6ED5"/>
    <w:rsid w:val="00FA70F2"/>
    <w:rsid w:val="00FA7F1B"/>
    <w:rsid w:val="00FB0025"/>
    <w:rsid w:val="00FB037B"/>
    <w:rsid w:val="00FB0947"/>
    <w:rsid w:val="00FB1157"/>
    <w:rsid w:val="00FB1CE0"/>
    <w:rsid w:val="00FB1F55"/>
    <w:rsid w:val="00FB2AF3"/>
    <w:rsid w:val="00FB2D85"/>
    <w:rsid w:val="00FB2FA8"/>
    <w:rsid w:val="00FB3242"/>
    <w:rsid w:val="00FB366A"/>
    <w:rsid w:val="00FB57DB"/>
    <w:rsid w:val="00FB6238"/>
    <w:rsid w:val="00FB660C"/>
    <w:rsid w:val="00FB68BF"/>
    <w:rsid w:val="00FB69E1"/>
    <w:rsid w:val="00FB717C"/>
    <w:rsid w:val="00FB7AD9"/>
    <w:rsid w:val="00FC06E3"/>
    <w:rsid w:val="00FC19A4"/>
    <w:rsid w:val="00FC22AB"/>
    <w:rsid w:val="00FC2D23"/>
    <w:rsid w:val="00FC4CCB"/>
    <w:rsid w:val="00FC594B"/>
    <w:rsid w:val="00FC59DF"/>
    <w:rsid w:val="00FC5AB0"/>
    <w:rsid w:val="00FC6C6B"/>
    <w:rsid w:val="00FD0DA5"/>
    <w:rsid w:val="00FD2058"/>
    <w:rsid w:val="00FD26E5"/>
    <w:rsid w:val="00FD284E"/>
    <w:rsid w:val="00FD336B"/>
    <w:rsid w:val="00FD4EE6"/>
    <w:rsid w:val="00FD508C"/>
    <w:rsid w:val="00FD5117"/>
    <w:rsid w:val="00FD5C4E"/>
    <w:rsid w:val="00FD7841"/>
    <w:rsid w:val="00FE2431"/>
    <w:rsid w:val="00FE272A"/>
    <w:rsid w:val="00FE2887"/>
    <w:rsid w:val="00FE2BBC"/>
    <w:rsid w:val="00FE349E"/>
    <w:rsid w:val="00FE44FF"/>
    <w:rsid w:val="00FE455E"/>
    <w:rsid w:val="00FE456E"/>
    <w:rsid w:val="00FE4C58"/>
    <w:rsid w:val="00FE4CB6"/>
    <w:rsid w:val="00FE5071"/>
    <w:rsid w:val="00FE5849"/>
    <w:rsid w:val="00FE66F8"/>
    <w:rsid w:val="00FE6746"/>
    <w:rsid w:val="00FE6A44"/>
    <w:rsid w:val="00FF047C"/>
    <w:rsid w:val="00FF17EF"/>
    <w:rsid w:val="00FF193A"/>
    <w:rsid w:val="00FF2550"/>
    <w:rsid w:val="00FF370D"/>
    <w:rsid w:val="00FF51DA"/>
    <w:rsid w:val="00FF610D"/>
    <w:rsid w:val="00FF70BB"/>
    <w:rsid w:val="00FF72C9"/>
    <w:rsid w:val="00FF7300"/>
    <w:rsid w:val="00FF7550"/>
    <w:rsid w:val="00FF75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1"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0"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65"/>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1"/>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1"/>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uiPriority w:val="3"/>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TableTextChar0">
    <w:name w:val="TableText Char"/>
    <w:basedOn w:val="DefaultParagraphFont"/>
    <w:link w:val="TableText1"/>
    <w:uiPriority w:val="3"/>
    <w:rsid w:val="00A6764D"/>
    <w:rPr>
      <w:rFonts w:ascii="Arial Narrow" w:eastAsia="Times New Roman" w:hAnsi="Arial Narrow" w:cs="Arial Narrow"/>
      <w:sz w:val="20"/>
      <w:szCs w:val="20"/>
    </w:rPr>
  </w:style>
  <w:style w:type="paragraph" w:customStyle="1" w:styleId="TableHeadingRow">
    <w:name w:val="TableHeadingRow"/>
    <w:basedOn w:val="Normal"/>
    <w:uiPriority w:val="3"/>
    <w:qFormat/>
    <w:rsid w:val="00066A29"/>
    <w:pPr>
      <w:keepNext/>
      <w:spacing w:before="20" w:after="20"/>
    </w:pPr>
    <w:rPr>
      <w:rFonts w:ascii="Calibri" w:eastAsia="Times New Roman" w:hAnsi="Calibri" w:cstheme="minorHAnsi"/>
      <w:b/>
      <w:sz w:val="20"/>
      <w:szCs w:val="20"/>
    </w:rPr>
  </w:style>
  <w:style w:type="paragraph" w:customStyle="1" w:styleId="TableNumbered">
    <w:name w:val="Table Numbered"/>
    <w:basedOn w:val="Normal"/>
    <w:qFormat/>
    <w:rsid w:val="00815C28"/>
    <w:pPr>
      <w:numPr>
        <w:numId w:val="7"/>
      </w:numPr>
      <w:spacing w:before="40" w:after="40"/>
      <w:ind w:left="357" w:hanging="357"/>
    </w:pPr>
    <w:rPr>
      <w:rFonts w:eastAsiaTheme="minorEastAsia" w:cstheme="minorHAnsi"/>
      <w:sz w:val="20"/>
      <w:lang w:eastAsia="zh-CN"/>
    </w:rPr>
  </w:style>
  <w:style w:type="paragraph" w:customStyle="1" w:styleId="gmail-tableheading">
    <w:name w:val="gmail-tableheading"/>
    <w:basedOn w:val="Normal"/>
    <w:rsid w:val="00F54387"/>
    <w:pPr>
      <w:spacing w:before="100" w:beforeAutospacing="1" w:after="100" w:afterAutospacing="1"/>
    </w:pPr>
    <w:rPr>
      <w:rFonts w:ascii="Times" w:hAnsi="Times"/>
      <w:sz w:val="20"/>
      <w:szCs w:val="20"/>
    </w:rPr>
  </w:style>
  <w:style w:type="paragraph" w:customStyle="1" w:styleId="gmail-tabletext">
    <w:name w:val="gmail-tabletext"/>
    <w:basedOn w:val="Normal"/>
    <w:rsid w:val="00F54387"/>
    <w:pPr>
      <w:spacing w:before="100" w:beforeAutospacing="1" w:after="100" w:afterAutospacing="1"/>
    </w:pPr>
    <w:rPr>
      <w:rFonts w:ascii="Times" w:hAnsi="Times"/>
      <w:sz w:val="20"/>
      <w:szCs w:val="20"/>
    </w:rPr>
  </w:style>
  <w:style w:type="paragraph" w:customStyle="1" w:styleId="gmail-tablefooter">
    <w:name w:val="gmail-tablefooter"/>
    <w:basedOn w:val="Normal"/>
    <w:rsid w:val="00F54387"/>
    <w:pPr>
      <w:spacing w:before="100" w:beforeAutospacing="1" w:after="100" w:afterAutospacing="1"/>
    </w:pPr>
    <w:rPr>
      <w:rFonts w:ascii="Times" w:hAnsi="Times"/>
      <w:sz w:val="20"/>
      <w:szCs w:val="20"/>
    </w:rPr>
  </w:style>
  <w:style w:type="paragraph" w:styleId="DocumentMap">
    <w:name w:val="Document Map"/>
    <w:basedOn w:val="Normal"/>
    <w:link w:val="DocumentMapChar"/>
    <w:uiPriority w:val="99"/>
    <w:semiHidden/>
    <w:unhideWhenUsed/>
    <w:rsid w:val="00A354B1"/>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A354B1"/>
    <w:rPr>
      <w:rFonts w:ascii="Times New Roman" w:hAnsi="Times New Roman" w:cs="Times New Roman"/>
      <w:sz w:val="24"/>
      <w:szCs w:val="24"/>
    </w:rPr>
  </w:style>
  <w:style w:type="paragraph" w:customStyle="1" w:styleId="p1">
    <w:name w:val="p1"/>
    <w:basedOn w:val="Normal"/>
    <w:rsid w:val="00537B2E"/>
    <w:pPr>
      <w:spacing w:before="0" w:after="0"/>
    </w:pPr>
    <w:rPr>
      <w:rFonts w:ascii="Helvetica" w:hAnsi="Helvetica" w:cs="Times New Roman"/>
      <w:color w:val="454545"/>
      <w:sz w:val="18"/>
      <w:szCs w:val="18"/>
      <w:lang w:val="en-US"/>
    </w:rPr>
  </w:style>
  <w:style w:type="paragraph" w:customStyle="1" w:styleId="p2">
    <w:name w:val="p2"/>
    <w:basedOn w:val="Normal"/>
    <w:rsid w:val="00537B2E"/>
    <w:pPr>
      <w:spacing w:before="0" w:after="0"/>
    </w:pPr>
    <w:rPr>
      <w:rFonts w:ascii="Helvetica" w:hAnsi="Helvetica" w:cs="Times New Roman"/>
      <w:color w:val="454545"/>
      <w:sz w:val="18"/>
      <w:szCs w:val="18"/>
      <w:lang w:val="en-US"/>
    </w:rPr>
  </w:style>
  <w:style w:type="character" w:customStyle="1" w:styleId="apple-converted-space">
    <w:name w:val="apple-converted-space"/>
    <w:basedOn w:val="DefaultParagraphFont"/>
    <w:rsid w:val="00537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1"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0"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65"/>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1"/>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1"/>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uiPriority w:val="3"/>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TableTextChar0">
    <w:name w:val="TableText Char"/>
    <w:basedOn w:val="DefaultParagraphFont"/>
    <w:link w:val="TableText1"/>
    <w:uiPriority w:val="3"/>
    <w:rsid w:val="00A6764D"/>
    <w:rPr>
      <w:rFonts w:ascii="Arial Narrow" w:eastAsia="Times New Roman" w:hAnsi="Arial Narrow" w:cs="Arial Narrow"/>
      <w:sz w:val="20"/>
      <w:szCs w:val="20"/>
    </w:rPr>
  </w:style>
  <w:style w:type="paragraph" w:customStyle="1" w:styleId="TableHeadingRow">
    <w:name w:val="TableHeadingRow"/>
    <w:basedOn w:val="Normal"/>
    <w:uiPriority w:val="3"/>
    <w:qFormat/>
    <w:rsid w:val="00066A29"/>
    <w:pPr>
      <w:keepNext/>
      <w:spacing w:before="20" w:after="20"/>
    </w:pPr>
    <w:rPr>
      <w:rFonts w:ascii="Calibri" w:eastAsia="Times New Roman" w:hAnsi="Calibri" w:cstheme="minorHAnsi"/>
      <w:b/>
      <w:sz w:val="20"/>
      <w:szCs w:val="20"/>
    </w:rPr>
  </w:style>
  <w:style w:type="paragraph" w:customStyle="1" w:styleId="TableNumbered">
    <w:name w:val="Table Numbered"/>
    <w:basedOn w:val="Normal"/>
    <w:qFormat/>
    <w:rsid w:val="00815C28"/>
    <w:pPr>
      <w:numPr>
        <w:numId w:val="7"/>
      </w:numPr>
      <w:spacing w:before="40" w:after="40"/>
      <w:ind w:left="357" w:hanging="357"/>
    </w:pPr>
    <w:rPr>
      <w:rFonts w:eastAsiaTheme="minorEastAsia" w:cstheme="minorHAnsi"/>
      <w:sz w:val="20"/>
      <w:lang w:eastAsia="zh-CN"/>
    </w:rPr>
  </w:style>
  <w:style w:type="paragraph" w:customStyle="1" w:styleId="gmail-tableheading">
    <w:name w:val="gmail-tableheading"/>
    <w:basedOn w:val="Normal"/>
    <w:rsid w:val="00F54387"/>
    <w:pPr>
      <w:spacing w:before="100" w:beforeAutospacing="1" w:after="100" w:afterAutospacing="1"/>
    </w:pPr>
    <w:rPr>
      <w:rFonts w:ascii="Times" w:hAnsi="Times"/>
      <w:sz w:val="20"/>
      <w:szCs w:val="20"/>
    </w:rPr>
  </w:style>
  <w:style w:type="paragraph" w:customStyle="1" w:styleId="gmail-tabletext">
    <w:name w:val="gmail-tabletext"/>
    <w:basedOn w:val="Normal"/>
    <w:rsid w:val="00F54387"/>
    <w:pPr>
      <w:spacing w:before="100" w:beforeAutospacing="1" w:after="100" w:afterAutospacing="1"/>
    </w:pPr>
    <w:rPr>
      <w:rFonts w:ascii="Times" w:hAnsi="Times"/>
      <w:sz w:val="20"/>
      <w:szCs w:val="20"/>
    </w:rPr>
  </w:style>
  <w:style w:type="paragraph" w:customStyle="1" w:styleId="gmail-tablefooter">
    <w:name w:val="gmail-tablefooter"/>
    <w:basedOn w:val="Normal"/>
    <w:rsid w:val="00F54387"/>
    <w:pPr>
      <w:spacing w:before="100" w:beforeAutospacing="1" w:after="100" w:afterAutospacing="1"/>
    </w:pPr>
    <w:rPr>
      <w:rFonts w:ascii="Times" w:hAnsi="Times"/>
      <w:sz w:val="20"/>
      <w:szCs w:val="20"/>
    </w:rPr>
  </w:style>
  <w:style w:type="paragraph" w:styleId="DocumentMap">
    <w:name w:val="Document Map"/>
    <w:basedOn w:val="Normal"/>
    <w:link w:val="DocumentMapChar"/>
    <w:uiPriority w:val="99"/>
    <w:semiHidden/>
    <w:unhideWhenUsed/>
    <w:rsid w:val="00A354B1"/>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A354B1"/>
    <w:rPr>
      <w:rFonts w:ascii="Times New Roman" w:hAnsi="Times New Roman" w:cs="Times New Roman"/>
      <w:sz w:val="24"/>
      <w:szCs w:val="24"/>
    </w:rPr>
  </w:style>
  <w:style w:type="paragraph" w:customStyle="1" w:styleId="p1">
    <w:name w:val="p1"/>
    <w:basedOn w:val="Normal"/>
    <w:rsid w:val="00537B2E"/>
    <w:pPr>
      <w:spacing w:before="0" w:after="0"/>
    </w:pPr>
    <w:rPr>
      <w:rFonts w:ascii="Helvetica" w:hAnsi="Helvetica" w:cs="Times New Roman"/>
      <w:color w:val="454545"/>
      <w:sz w:val="18"/>
      <w:szCs w:val="18"/>
      <w:lang w:val="en-US"/>
    </w:rPr>
  </w:style>
  <w:style w:type="paragraph" w:customStyle="1" w:styleId="p2">
    <w:name w:val="p2"/>
    <w:basedOn w:val="Normal"/>
    <w:rsid w:val="00537B2E"/>
    <w:pPr>
      <w:spacing w:before="0" w:after="0"/>
    </w:pPr>
    <w:rPr>
      <w:rFonts w:ascii="Helvetica" w:hAnsi="Helvetica" w:cs="Times New Roman"/>
      <w:color w:val="454545"/>
      <w:sz w:val="18"/>
      <w:szCs w:val="18"/>
      <w:lang w:val="en-US"/>
    </w:rPr>
  </w:style>
  <w:style w:type="character" w:customStyle="1" w:styleId="apple-converted-space">
    <w:name w:val="apple-converted-space"/>
    <w:basedOn w:val="DefaultParagraphFont"/>
    <w:rsid w:val="0053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7028">
      <w:bodyDiv w:val="1"/>
      <w:marLeft w:val="0"/>
      <w:marRight w:val="0"/>
      <w:marTop w:val="0"/>
      <w:marBottom w:val="0"/>
      <w:divBdr>
        <w:top w:val="none" w:sz="0" w:space="0" w:color="auto"/>
        <w:left w:val="none" w:sz="0" w:space="0" w:color="auto"/>
        <w:bottom w:val="none" w:sz="0" w:space="0" w:color="auto"/>
        <w:right w:val="none" w:sz="0" w:space="0" w:color="auto"/>
      </w:divBdr>
      <w:divsChild>
        <w:div w:id="1442141140">
          <w:marLeft w:val="360"/>
          <w:marRight w:val="0"/>
          <w:marTop w:val="200"/>
          <w:marBottom w:val="0"/>
          <w:divBdr>
            <w:top w:val="none" w:sz="0" w:space="0" w:color="auto"/>
            <w:left w:val="none" w:sz="0" w:space="0" w:color="auto"/>
            <w:bottom w:val="none" w:sz="0" w:space="0" w:color="auto"/>
            <w:right w:val="none" w:sz="0" w:space="0" w:color="auto"/>
          </w:divBdr>
        </w:div>
      </w:divsChild>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1925180">
      <w:bodyDiv w:val="1"/>
      <w:marLeft w:val="0"/>
      <w:marRight w:val="0"/>
      <w:marTop w:val="0"/>
      <w:marBottom w:val="0"/>
      <w:divBdr>
        <w:top w:val="none" w:sz="0" w:space="0" w:color="auto"/>
        <w:left w:val="none" w:sz="0" w:space="0" w:color="auto"/>
        <w:bottom w:val="none" w:sz="0" w:space="0" w:color="auto"/>
        <w:right w:val="none" w:sz="0" w:space="0" w:color="auto"/>
      </w:divBdr>
      <w:divsChild>
        <w:div w:id="569273869">
          <w:marLeft w:val="360"/>
          <w:marRight w:val="0"/>
          <w:marTop w:val="200"/>
          <w:marBottom w:val="0"/>
          <w:divBdr>
            <w:top w:val="none" w:sz="0" w:space="0" w:color="auto"/>
            <w:left w:val="none" w:sz="0" w:space="0" w:color="auto"/>
            <w:bottom w:val="none" w:sz="0" w:space="0" w:color="auto"/>
            <w:right w:val="none" w:sz="0" w:space="0" w:color="auto"/>
          </w:divBdr>
        </w:div>
      </w:divsChild>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15098668">
      <w:bodyDiv w:val="1"/>
      <w:marLeft w:val="0"/>
      <w:marRight w:val="0"/>
      <w:marTop w:val="0"/>
      <w:marBottom w:val="0"/>
      <w:divBdr>
        <w:top w:val="none" w:sz="0" w:space="0" w:color="auto"/>
        <w:left w:val="none" w:sz="0" w:space="0" w:color="auto"/>
        <w:bottom w:val="none" w:sz="0" w:space="0" w:color="auto"/>
        <w:right w:val="none" w:sz="0" w:space="0" w:color="auto"/>
      </w:divBdr>
      <w:divsChild>
        <w:div w:id="357507138">
          <w:marLeft w:val="360"/>
          <w:marRight w:val="0"/>
          <w:marTop w:val="200"/>
          <w:marBottom w:val="0"/>
          <w:divBdr>
            <w:top w:val="none" w:sz="0" w:space="0" w:color="auto"/>
            <w:left w:val="none" w:sz="0" w:space="0" w:color="auto"/>
            <w:bottom w:val="none" w:sz="0" w:space="0" w:color="auto"/>
            <w:right w:val="none" w:sz="0" w:space="0" w:color="auto"/>
          </w:divBdr>
        </w:div>
      </w:divsChild>
    </w:div>
    <w:div w:id="168910141">
      <w:bodyDiv w:val="1"/>
      <w:marLeft w:val="0"/>
      <w:marRight w:val="0"/>
      <w:marTop w:val="0"/>
      <w:marBottom w:val="0"/>
      <w:divBdr>
        <w:top w:val="none" w:sz="0" w:space="0" w:color="auto"/>
        <w:left w:val="none" w:sz="0" w:space="0" w:color="auto"/>
        <w:bottom w:val="none" w:sz="0" w:space="0" w:color="auto"/>
        <w:right w:val="none" w:sz="0" w:space="0" w:color="auto"/>
      </w:divBdr>
    </w:div>
    <w:div w:id="210653073">
      <w:bodyDiv w:val="1"/>
      <w:marLeft w:val="0"/>
      <w:marRight w:val="0"/>
      <w:marTop w:val="0"/>
      <w:marBottom w:val="0"/>
      <w:divBdr>
        <w:top w:val="none" w:sz="0" w:space="0" w:color="auto"/>
        <w:left w:val="none" w:sz="0" w:space="0" w:color="auto"/>
        <w:bottom w:val="none" w:sz="0" w:space="0" w:color="auto"/>
        <w:right w:val="none" w:sz="0" w:space="0" w:color="auto"/>
      </w:divBdr>
    </w:div>
    <w:div w:id="232201067">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291979708">
      <w:bodyDiv w:val="1"/>
      <w:marLeft w:val="0"/>
      <w:marRight w:val="0"/>
      <w:marTop w:val="0"/>
      <w:marBottom w:val="0"/>
      <w:divBdr>
        <w:top w:val="none" w:sz="0" w:space="0" w:color="auto"/>
        <w:left w:val="none" w:sz="0" w:space="0" w:color="auto"/>
        <w:bottom w:val="none" w:sz="0" w:space="0" w:color="auto"/>
        <w:right w:val="none" w:sz="0" w:space="0" w:color="auto"/>
      </w:divBdr>
      <w:divsChild>
        <w:div w:id="1306083568">
          <w:marLeft w:val="1166"/>
          <w:marRight w:val="0"/>
          <w:marTop w:val="106"/>
          <w:marBottom w:val="0"/>
          <w:divBdr>
            <w:top w:val="none" w:sz="0" w:space="0" w:color="auto"/>
            <w:left w:val="none" w:sz="0" w:space="0" w:color="auto"/>
            <w:bottom w:val="none" w:sz="0" w:space="0" w:color="auto"/>
            <w:right w:val="none" w:sz="0" w:space="0" w:color="auto"/>
          </w:divBdr>
        </w:div>
        <w:div w:id="479731211">
          <w:marLeft w:val="1800"/>
          <w:marRight w:val="0"/>
          <w:marTop w:val="91"/>
          <w:marBottom w:val="0"/>
          <w:divBdr>
            <w:top w:val="none" w:sz="0" w:space="0" w:color="auto"/>
            <w:left w:val="none" w:sz="0" w:space="0" w:color="auto"/>
            <w:bottom w:val="none" w:sz="0" w:space="0" w:color="auto"/>
            <w:right w:val="none" w:sz="0" w:space="0" w:color="auto"/>
          </w:divBdr>
        </w:div>
      </w:divsChild>
    </w:div>
    <w:div w:id="304362412">
      <w:bodyDiv w:val="1"/>
      <w:marLeft w:val="0"/>
      <w:marRight w:val="0"/>
      <w:marTop w:val="0"/>
      <w:marBottom w:val="0"/>
      <w:divBdr>
        <w:top w:val="none" w:sz="0" w:space="0" w:color="auto"/>
        <w:left w:val="none" w:sz="0" w:space="0" w:color="auto"/>
        <w:bottom w:val="none" w:sz="0" w:space="0" w:color="auto"/>
        <w:right w:val="none" w:sz="0" w:space="0" w:color="auto"/>
      </w:divBdr>
    </w:div>
    <w:div w:id="310984804">
      <w:bodyDiv w:val="1"/>
      <w:marLeft w:val="0"/>
      <w:marRight w:val="0"/>
      <w:marTop w:val="0"/>
      <w:marBottom w:val="0"/>
      <w:divBdr>
        <w:top w:val="none" w:sz="0" w:space="0" w:color="auto"/>
        <w:left w:val="none" w:sz="0" w:space="0" w:color="auto"/>
        <w:bottom w:val="none" w:sz="0" w:space="0" w:color="auto"/>
        <w:right w:val="none" w:sz="0" w:space="0" w:color="auto"/>
      </w:divBdr>
      <w:divsChild>
        <w:div w:id="139805444">
          <w:marLeft w:val="1166"/>
          <w:marRight w:val="0"/>
          <w:marTop w:val="72"/>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503518981">
      <w:bodyDiv w:val="1"/>
      <w:marLeft w:val="0"/>
      <w:marRight w:val="0"/>
      <w:marTop w:val="0"/>
      <w:marBottom w:val="0"/>
      <w:divBdr>
        <w:top w:val="none" w:sz="0" w:space="0" w:color="auto"/>
        <w:left w:val="none" w:sz="0" w:space="0" w:color="auto"/>
        <w:bottom w:val="none" w:sz="0" w:space="0" w:color="auto"/>
        <w:right w:val="none" w:sz="0" w:space="0" w:color="auto"/>
      </w:divBdr>
      <w:divsChild>
        <w:div w:id="748649511">
          <w:marLeft w:val="1166"/>
          <w:marRight w:val="0"/>
          <w:marTop w:val="72"/>
          <w:marBottom w:val="0"/>
          <w:divBdr>
            <w:top w:val="none" w:sz="0" w:space="0" w:color="auto"/>
            <w:left w:val="none" w:sz="0" w:space="0" w:color="auto"/>
            <w:bottom w:val="none" w:sz="0" w:space="0" w:color="auto"/>
            <w:right w:val="none" w:sz="0" w:space="0" w:color="auto"/>
          </w:divBdr>
        </w:div>
      </w:divsChild>
    </w:div>
    <w:div w:id="530144796">
      <w:bodyDiv w:val="1"/>
      <w:marLeft w:val="0"/>
      <w:marRight w:val="0"/>
      <w:marTop w:val="0"/>
      <w:marBottom w:val="0"/>
      <w:divBdr>
        <w:top w:val="none" w:sz="0" w:space="0" w:color="auto"/>
        <w:left w:val="none" w:sz="0" w:space="0" w:color="auto"/>
        <w:bottom w:val="none" w:sz="0" w:space="0" w:color="auto"/>
        <w:right w:val="none" w:sz="0" w:space="0" w:color="auto"/>
      </w:divBdr>
      <w:divsChild>
        <w:div w:id="1219433309">
          <w:marLeft w:val="547"/>
          <w:marRight w:val="0"/>
          <w:marTop w:val="86"/>
          <w:marBottom w:val="0"/>
          <w:divBdr>
            <w:top w:val="none" w:sz="0" w:space="0" w:color="auto"/>
            <w:left w:val="none" w:sz="0" w:space="0" w:color="auto"/>
            <w:bottom w:val="none" w:sz="0" w:space="0" w:color="auto"/>
            <w:right w:val="none" w:sz="0" w:space="0" w:color="auto"/>
          </w:divBdr>
        </w:div>
        <w:div w:id="1837333056">
          <w:marLeft w:val="1166"/>
          <w:marRight w:val="0"/>
          <w:marTop w:val="72"/>
          <w:marBottom w:val="0"/>
          <w:divBdr>
            <w:top w:val="none" w:sz="0" w:space="0" w:color="auto"/>
            <w:left w:val="none" w:sz="0" w:space="0" w:color="auto"/>
            <w:bottom w:val="none" w:sz="0" w:space="0" w:color="auto"/>
            <w:right w:val="none" w:sz="0" w:space="0" w:color="auto"/>
          </w:divBdr>
        </w:div>
      </w:divsChild>
    </w:div>
    <w:div w:id="551844711">
      <w:bodyDiv w:val="1"/>
      <w:marLeft w:val="0"/>
      <w:marRight w:val="0"/>
      <w:marTop w:val="0"/>
      <w:marBottom w:val="0"/>
      <w:divBdr>
        <w:top w:val="none" w:sz="0" w:space="0" w:color="auto"/>
        <w:left w:val="none" w:sz="0" w:space="0" w:color="auto"/>
        <w:bottom w:val="none" w:sz="0" w:space="0" w:color="auto"/>
        <w:right w:val="none" w:sz="0" w:space="0" w:color="auto"/>
      </w:divBdr>
      <w:divsChild>
        <w:div w:id="296424373">
          <w:marLeft w:val="360"/>
          <w:marRight w:val="0"/>
          <w:marTop w:val="200"/>
          <w:marBottom w:val="0"/>
          <w:divBdr>
            <w:top w:val="none" w:sz="0" w:space="0" w:color="auto"/>
            <w:left w:val="none" w:sz="0" w:space="0" w:color="auto"/>
            <w:bottom w:val="none" w:sz="0" w:space="0" w:color="auto"/>
            <w:right w:val="none" w:sz="0" w:space="0" w:color="auto"/>
          </w:divBdr>
        </w:div>
      </w:divsChild>
    </w:div>
    <w:div w:id="569077038">
      <w:bodyDiv w:val="1"/>
      <w:marLeft w:val="0"/>
      <w:marRight w:val="0"/>
      <w:marTop w:val="0"/>
      <w:marBottom w:val="0"/>
      <w:divBdr>
        <w:top w:val="none" w:sz="0" w:space="0" w:color="auto"/>
        <w:left w:val="none" w:sz="0" w:space="0" w:color="auto"/>
        <w:bottom w:val="none" w:sz="0" w:space="0" w:color="auto"/>
        <w:right w:val="none" w:sz="0" w:space="0" w:color="auto"/>
      </w:divBdr>
    </w:div>
    <w:div w:id="637497108">
      <w:bodyDiv w:val="1"/>
      <w:marLeft w:val="0"/>
      <w:marRight w:val="0"/>
      <w:marTop w:val="0"/>
      <w:marBottom w:val="0"/>
      <w:divBdr>
        <w:top w:val="none" w:sz="0" w:space="0" w:color="auto"/>
        <w:left w:val="none" w:sz="0" w:space="0" w:color="auto"/>
        <w:bottom w:val="none" w:sz="0" w:space="0" w:color="auto"/>
        <w:right w:val="none" w:sz="0" w:space="0" w:color="auto"/>
      </w:divBdr>
    </w:div>
    <w:div w:id="638221227">
      <w:bodyDiv w:val="1"/>
      <w:marLeft w:val="0"/>
      <w:marRight w:val="0"/>
      <w:marTop w:val="0"/>
      <w:marBottom w:val="0"/>
      <w:divBdr>
        <w:top w:val="none" w:sz="0" w:space="0" w:color="auto"/>
        <w:left w:val="none" w:sz="0" w:space="0" w:color="auto"/>
        <w:bottom w:val="none" w:sz="0" w:space="0" w:color="auto"/>
        <w:right w:val="none" w:sz="0" w:space="0" w:color="auto"/>
      </w:divBdr>
      <w:divsChild>
        <w:div w:id="158540513">
          <w:marLeft w:val="360"/>
          <w:marRight w:val="0"/>
          <w:marTop w:val="200"/>
          <w:marBottom w:val="0"/>
          <w:divBdr>
            <w:top w:val="none" w:sz="0" w:space="0" w:color="auto"/>
            <w:left w:val="none" w:sz="0" w:space="0" w:color="auto"/>
            <w:bottom w:val="none" w:sz="0" w:space="0" w:color="auto"/>
            <w:right w:val="none" w:sz="0" w:space="0" w:color="auto"/>
          </w:divBdr>
        </w:div>
      </w:divsChild>
    </w:div>
    <w:div w:id="652678946">
      <w:bodyDiv w:val="1"/>
      <w:marLeft w:val="0"/>
      <w:marRight w:val="0"/>
      <w:marTop w:val="0"/>
      <w:marBottom w:val="0"/>
      <w:divBdr>
        <w:top w:val="none" w:sz="0" w:space="0" w:color="auto"/>
        <w:left w:val="none" w:sz="0" w:space="0" w:color="auto"/>
        <w:bottom w:val="none" w:sz="0" w:space="0" w:color="auto"/>
        <w:right w:val="none" w:sz="0" w:space="0" w:color="auto"/>
      </w:divBdr>
    </w:div>
    <w:div w:id="738598838">
      <w:bodyDiv w:val="1"/>
      <w:marLeft w:val="0"/>
      <w:marRight w:val="0"/>
      <w:marTop w:val="0"/>
      <w:marBottom w:val="0"/>
      <w:divBdr>
        <w:top w:val="none" w:sz="0" w:space="0" w:color="auto"/>
        <w:left w:val="none" w:sz="0" w:space="0" w:color="auto"/>
        <w:bottom w:val="none" w:sz="0" w:space="0" w:color="auto"/>
        <w:right w:val="none" w:sz="0" w:space="0" w:color="auto"/>
      </w:divBdr>
    </w:div>
    <w:div w:id="747927185">
      <w:bodyDiv w:val="1"/>
      <w:marLeft w:val="0"/>
      <w:marRight w:val="0"/>
      <w:marTop w:val="0"/>
      <w:marBottom w:val="0"/>
      <w:divBdr>
        <w:top w:val="none" w:sz="0" w:space="0" w:color="auto"/>
        <w:left w:val="none" w:sz="0" w:space="0" w:color="auto"/>
        <w:bottom w:val="none" w:sz="0" w:space="0" w:color="auto"/>
        <w:right w:val="none" w:sz="0" w:space="0" w:color="auto"/>
      </w:divBdr>
      <w:divsChild>
        <w:div w:id="1187451035">
          <w:marLeft w:val="547"/>
          <w:marRight w:val="0"/>
          <w:marTop w:val="96"/>
          <w:marBottom w:val="0"/>
          <w:divBdr>
            <w:top w:val="none" w:sz="0" w:space="0" w:color="auto"/>
            <w:left w:val="none" w:sz="0" w:space="0" w:color="auto"/>
            <w:bottom w:val="none" w:sz="0" w:space="0" w:color="auto"/>
            <w:right w:val="none" w:sz="0" w:space="0" w:color="auto"/>
          </w:divBdr>
        </w:div>
        <w:div w:id="1142503942">
          <w:marLeft w:val="1166"/>
          <w:marRight w:val="0"/>
          <w:marTop w:val="86"/>
          <w:marBottom w:val="0"/>
          <w:divBdr>
            <w:top w:val="none" w:sz="0" w:space="0" w:color="auto"/>
            <w:left w:val="none" w:sz="0" w:space="0" w:color="auto"/>
            <w:bottom w:val="none" w:sz="0" w:space="0" w:color="auto"/>
            <w:right w:val="none" w:sz="0" w:space="0" w:color="auto"/>
          </w:divBdr>
        </w:div>
        <w:div w:id="1011182473">
          <w:marLeft w:val="1166"/>
          <w:marRight w:val="0"/>
          <w:marTop w:val="86"/>
          <w:marBottom w:val="0"/>
          <w:divBdr>
            <w:top w:val="none" w:sz="0" w:space="0" w:color="auto"/>
            <w:left w:val="none" w:sz="0" w:space="0" w:color="auto"/>
            <w:bottom w:val="none" w:sz="0" w:space="0" w:color="auto"/>
            <w:right w:val="none" w:sz="0" w:space="0" w:color="auto"/>
          </w:divBdr>
        </w:div>
        <w:div w:id="377508529">
          <w:marLeft w:val="1166"/>
          <w:marRight w:val="0"/>
          <w:marTop w:val="86"/>
          <w:marBottom w:val="0"/>
          <w:divBdr>
            <w:top w:val="none" w:sz="0" w:space="0" w:color="auto"/>
            <w:left w:val="none" w:sz="0" w:space="0" w:color="auto"/>
            <w:bottom w:val="none" w:sz="0" w:space="0" w:color="auto"/>
            <w:right w:val="none" w:sz="0" w:space="0" w:color="auto"/>
          </w:divBdr>
        </w:div>
        <w:div w:id="1594581459">
          <w:marLeft w:val="1166"/>
          <w:marRight w:val="0"/>
          <w:marTop w:val="86"/>
          <w:marBottom w:val="0"/>
          <w:divBdr>
            <w:top w:val="none" w:sz="0" w:space="0" w:color="auto"/>
            <w:left w:val="none" w:sz="0" w:space="0" w:color="auto"/>
            <w:bottom w:val="none" w:sz="0" w:space="0" w:color="auto"/>
            <w:right w:val="none" w:sz="0" w:space="0" w:color="auto"/>
          </w:divBdr>
        </w:div>
        <w:div w:id="368266717">
          <w:marLeft w:val="1166"/>
          <w:marRight w:val="0"/>
          <w:marTop w:val="86"/>
          <w:marBottom w:val="0"/>
          <w:divBdr>
            <w:top w:val="none" w:sz="0" w:space="0" w:color="auto"/>
            <w:left w:val="none" w:sz="0" w:space="0" w:color="auto"/>
            <w:bottom w:val="none" w:sz="0" w:space="0" w:color="auto"/>
            <w:right w:val="none" w:sz="0" w:space="0" w:color="auto"/>
          </w:divBdr>
        </w:div>
        <w:div w:id="484517231">
          <w:marLeft w:val="1166"/>
          <w:marRight w:val="0"/>
          <w:marTop w:val="86"/>
          <w:marBottom w:val="0"/>
          <w:divBdr>
            <w:top w:val="none" w:sz="0" w:space="0" w:color="auto"/>
            <w:left w:val="none" w:sz="0" w:space="0" w:color="auto"/>
            <w:bottom w:val="none" w:sz="0" w:space="0" w:color="auto"/>
            <w:right w:val="none" w:sz="0" w:space="0" w:color="auto"/>
          </w:divBdr>
        </w:div>
      </w:divsChild>
    </w:div>
    <w:div w:id="785470734">
      <w:bodyDiv w:val="1"/>
      <w:marLeft w:val="0"/>
      <w:marRight w:val="0"/>
      <w:marTop w:val="0"/>
      <w:marBottom w:val="0"/>
      <w:divBdr>
        <w:top w:val="none" w:sz="0" w:space="0" w:color="auto"/>
        <w:left w:val="none" w:sz="0" w:space="0" w:color="auto"/>
        <w:bottom w:val="none" w:sz="0" w:space="0" w:color="auto"/>
        <w:right w:val="none" w:sz="0" w:space="0" w:color="auto"/>
      </w:divBdr>
      <w:divsChild>
        <w:div w:id="1227758715">
          <w:marLeft w:val="1166"/>
          <w:marRight w:val="0"/>
          <w:marTop w:val="106"/>
          <w:marBottom w:val="0"/>
          <w:divBdr>
            <w:top w:val="none" w:sz="0" w:space="0" w:color="auto"/>
            <w:left w:val="none" w:sz="0" w:space="0" w:color="auto"/>
            <w:bottom w:val="none" w:sz="0" w:space="0" w:color="auto"/>
            <w:right w:val="none" w:sz="0" w:space="0" w:color="auto"/>
          </w:divBdr>
        </w:div>
      </w:divsChild>
    </w:div>
    <w:div w:id="825049772">
      <w:bodyDiv w:val="1"/>
      <w:marLeft w:val="0"/>
      <w:marRight w:val="0"/>
      <w:marTop w:val="0"/>
      <w:marBottom w:val="0"/>
      <w:divBdr>
        <w:top w:val="none" w:sz="0" w:space="0" w:color="auto"/>
        <w:left w:val="none" w:sz="0" w:space="0" w:color="auto"/>
        <w:bottom w:val="none" w:sz="0" w:space="0" w:color="auto"/>
        <w:right w:val="none" w:sz="0" w:space="0" w:color="auto"/>
      </w:divBdr>
      <w:divsChild>
        <w:div w:id="978192567">
          <w:marLeft w:val="547"/>
          <w:marRight w:val="0"/>
          <w:marTop w:val="96"/>
          <w:marBottom w:val="0"/>
          <w:divBdr>
            <w:top w:val="none" w:sz="0" w:space="0" w:color="auto"/>
            <w:left w:val="none" w:sz="0" w:space="0" w:color="auto"/>
            <w:bottom w:val="none" w:sz="0" w:space="0" w:color="auto"/>
            <w:right w:val="none" w:sz="0" w:space="0" w:color="auto"/>
          </w:divBdr>
        </w:div>
        <w:div w:id="530148699">
          <w:marLeft w:val="1166"/>
          <w:marRight w:val="0"/>
          <w:marTop w:val="86"/>
          <w:marBottom w:val="0"/>
          <w:divBdr>
            <w:top w:val="none" w:sz="0" w:space="0" w:color="auto"/>
            <w:left w:val="none" w:sz="0" w:space="0" w:color="auto"/>
            <w:bottom w:val="none" w:sz="0" w:space="0" w:color="auto"/>
            <w:right w:val="none" w:sz="0" w:space="0" w:color="auto"/>
          </w:divBdr>
        </w:div>
        <w:div w:id="289828610">
          <w:marLeft w:val="1166"/>
          <w:marRight w:val="0"/>
          <w:marTop w:val="86"/>
          <w:marBottom w:val="0"/>
          <w:divBdr>
            <w:top w:val="none" w:sz="0" w:space="0" w:color="auto"/>
            <w:left w:val="none" w:sz="0" w:space="0" w:color="auto"/>
            <w:bottom w:val="none" w:sz="0" w:space="0" w:color="auto"/>
            <w:right w:val="none" w:sz="0" w:space="0" w:color="auto"/>
          </w:divBdr>
        </w:div>
        <w:div w:id="643588723">
          <w:marLeft w:val="1800"/>
          <w:marRight w:val="0"/>
          <w:marTop w:val="72"/>
          <w:marBottom w:val="0"/>
          <w:divBdr>
            <w:top w:val="none" w:sz="0" w:space="0" w:color="auto"/>
            <w:left w:val="none" w:sz="0" w:space="0" w:color="auto"/>
            <w:bottom w:val="none" w:sz="0" w:space="0" w:color="auto"/>
            <w:right w:val="none" w:sz="0" w:space="0" w:color="auto"/>
          </w:divBdr>
        </w:div>
        <w:div w:id="1060132277">
          <w:marLeft w:val="1166"/>
          <w:marRight w:val="0"/>
          <w:marTop w:val="86"/>
          <w:marBottom w:val="0"/>
          <w:divBdr>
            <w:top w:val="none" w:sz="0" w:space="0" w:color="auto"/>
            <w:left w:val="none" w:sz="0" w:space="0" w:color="auto"/>
            <w:bottom w:val="none" w:sz="0" w:space="0" w:color="auto"/>
            <w:right w:val="none" w:sz="0" w:space="0" w:color="auto"/>
          </w:divBdr>
        </w:div>
        <w:div w:id="1873497348">
          <w:marLeft w:val="1800"/>
          <w:marRight w:val="0"/>
          <w:marTop w:val="72"/>
          <w:marBottom w:val="0"/>
          <w:divBdr>
            <w:top w:val="none" w:sz="0" w:space="0" w:color="auto"/>
            <w:left w:val="none" w:sz="0" w:space="0" w:color="auto"/>
            <w:bottom w:val="none" w:sz="0" w:space="0" w:color="auto"/>
            <w:right w:val="none" w:sz="0" w:space="0" w:color="auto"/>
          </w:divBdr>
        </w:div>
        <w:div w:id="800612483">
          <w:marLeft w:val="1800"/>
          <w:marRight w:val="0"/>
          <w:marTop w:val="72"/>
          <w:marBottom w:val="0"/>
          <w:divBdr>
            <w:top w:val="none" w:sz="0" w:space="0" w:color="auto"/>
            <w:left w:val="none" w:sz="0" w:space="0" w:color="auto"/>
            <w:bottom w:val="none" w:sz="0" w:space="0" w:color="auto"/>
            <w:right w:val="none" w:sz="0" w:space="0" w:color="auto"/>
          </w:divBdr>
        </w:div>
        <w:div w:id="1188248822">
          <w:marLeft w:val="1800"/>
          <w:marRight w:val="0"/>
          <w:marTop w:val="72"/>
          <w:marBottom w:val="0"/>
          <w:divBdr>
            <w:top w:val="none" w:sz="0" w:space="0" w:color="auto"/>
            <w:left w:val="none" w:sz="0" w:space="0" w:color="auto"/>
            <w:bottom w:val="none" w:sz="0" w:space="0" w:color="auto"/>
            <w:right w:val="none" w:sz="0" w:space="0" w:color="auto"/>
          </w:divBdr>
        </w:div>
      </w:divsChild>
    </w:div>
    <w:div w:id="846216506">
      <w:bodyDiv w:val="1"/>
      <w:marLeft w:val="0"/>
      <w:marRight w:val="0"/>
      <w:marTop w:val="0"/>
      <w:marBottom w:val="0"/>
      <w:divBdr>
        <w:top w:val="none" w:sz="0" w:space="0" w:color="auto"/>
        <w:left w:val="none" w:sz="0" w:space="0" w:color="auto"/>
        <w:bottom w:val="none" w:sz="0" w:space="0" w:color="auto"/>
        <w:right w:val="none" w:sz="0" w:space="0" w:color="auto"/>
      </w:divBdr>
    </w:div>
    <w:div w:id="1000500593">
      <w:bodyDiv w:val="1"/>
      <w:marLeft w:val="0"/>
      <w:marRight w:val="0"/>
      <w:marTop w:val="0"/>
      <w:marBottom w:val="0"/>
      <w:divBdr>
        <w:top w:val="none" w:sz="0" w:space="0" w:color="auto"/>
        <w:left w:val="none" w:sz="0" w:space="0" w:color="auto"/>
        <w:bottom w:val="none" w:sz="0" w:space="0" w:color="auto"/>
        <w:right w:val="none" w:sz="0" w:space="0" w:color="auto"/>
      </w:divBdr>
    </w:div>
    <w:div w:id="1024552367">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099056962">
      <w:bodyDiv w:val="1"/>
      <w:marLeft w:val="0"/>
      <w:marRight w:val="0"/>
      <w:marTop w:val="0"/>
      <w:marBottom w:val="0"/>
      <w:divBdr>
        <w:top w:val="none" w:sz="0" w:space="0" w:color="auto"/>
        <w:left w:val="none" w:sz="0" w:space="0" w:color="auto"/>
        <w:bottom w:val="none" w:sz="0" w:space="0" w:color="auto"/>
        <w:right w:val="none" w:sz="0" w:space="0" w:color="auto"/>
      </w:divBdr>
      <w:divsChild>
        <w:div w:id="1067385577">
          <w:marLeft w:val="360"/>
          <w:marRight w:val="0"/>
          <w:marTop w:val="200"/>
          <w:marBottom w:val="0"/>
          <w:divBdr>
            <w:top w:val="none" w:sz="0" w:space="0" w:color="auto"/>
            <w:left w:val="none" w:sz="0" w:space="0" w:color="auto"/>
            <w:bottom w:val="none" w:sz="0" w:space="0" w:color="auto"/>
            <w:right w:val="none" w:sz="0" w:space="0" w:color="auto"/>
          </w:divBdr>
        </w:div>
        <w:div w:id="1116480690">
          <w:marLeft w:val="360"/>
          <w:marRight w:val="0"/>
          <w:marTop w:val="200"/>
          <w:marBottom w:val="0"/>
          <w:divBdr>
            <w:top w:val="none" w:sz="0" w:space="0" w:color="auto"/>
            <w:left w:val="none" w:sz="0" w:space="0" w:color="auto"/>
            <w:bottom w:val="none" w:sz="0" w:space="0" w:color="auto"/>
            <w:right w:val="none" w:sz="0" w:space="0" w:color="auto"/>
          </w:divBdr>
        </w:div>
      </w:divsChild>
    </w:div>
    <w:div w:id="1142431616">
      <w:bodyDiv w:val="1"/>
      <w:marLeft w:val="0"/>
      <w:marRight w:val="0"/>
      <w:marTop w:val="0"/>
      <w:marBottom w:val="0"/>
      <w:divBdr>
        <w:top w:val="none" w:sz="0" w:space="0" w:color="auto"/>
        <w:left w:val="none" w:sz="0" w:space="0" w:color="auto"/>
        <w:bottom w:val="none" w:sz="0" w:space="0" w:color="auto"/>
        <w:right w:val="none" w:sz="0" w:space="0" w:color="auto"/>
      </w:divBdr>
    </w:div>
    <w:div w:id="1151142145">
      <w:bodyDiv w:val="1"/>
      <w:marLeft w:val="0"/>
      <w:marRight w:val="0"/>
      <w:marTop w:val="0"/>
      <w:marBottom w:val="0"/>
      <w:divBdr>
        <w:top w:val="none" w:sz="0" w:space="0" w:color="auto"/>
        <w:left w:val="none" w:sz="0" w:space="0" w:color="auto"/>
        <w:bottom w:val="none" w:sz="0" w:space="0" w:color="auto"/>
        <w:right w:val="none" w:sz="0" w:space="0" w:color="auto"/>
      </w:divBdr>
      <w:divsChild>
        <w:div w:id="1510176260">
          <w:marLeft w:val="547"/>
          <w:marRight w:val="0"/>
          <w:marTop w:val="86"/>
          <w:marBottom w:val="0"/>
          <w:divBdr>
            <w:top w:val="none" w:sz="0" w:space="0" w:color="auto"/>
            <w:left w:val="none" w:sz="0" w:space="0" w:color="auto"/>
            <w:bottom w:val="none" w:sz="0" w:space="0" w:color="auto"/>
            <w:right w:val="none" w:sz="0" w:space="0" w:color="auto"/>
          </w:divBdr>
        </w:div>
        <w:div w:id="2089882514">
          <w:marLeft w:val="1166"/>
          <w:marRight w:val="0"/>
          <w:marTop w:val="72"/>
          <w:marBottom w:val="0"/>
          <w:divBdr>
            <w:top w:val="none" w:sz="0" w:space="0" w:color="auto"/>
            <w:left w:val="none" w:sz="0" w:space="0" w:color="auto"/>
            <w:bottom w:val="none" w:sz="0" w:space="0" w:color="auto"/>
            <w:right w:val="none" w:sz="0" w:space="0" w:color="auto"/>
          </w:divBdr>
        </w:div>
        <w:div w:id="9919296">
          <w:marLeft w:val="1166"/>
          <w:marRight w:val="0"/>
          <w:marTop w:val="72"/>
          <w:marBottom w:val="0"/>
          <w:divBdr>
            <w:top w:val="none" w:sz="0" w:space="0" w:color="auto"/>
            <w:left w:val="none" w:sz="0" w:space="0" w:color="auto"/>
            <w:bottom w:val="none" w:sz="0" w:space="0" w:color="auto"/>
            <w:right w:val="none" w:sz="0" w:space="0" w:color="auto"/>
          </w:divBdr>
        </w:div>
      </w:divsChild>
    </w:div>
    <w:div w:id="1159230235">
      <w:bodyDiv w:val="1"/>
      <w:marLeft w:val="0"/>
      <w:marRight w:val="0"/>
      <w:marTop w:val="0"/>
      <w:marBottom w:val="0"/>
      <w:divBdr>
        <w:top w:val="none" w:sz="0" w:space="0" w:color="auto"/>
        <w:left w:val="none" w:sz="0" w:space="0" w:color="auto"/>
        <w:bottom w:val="none" w:sz="0" w:space="0" w:color="auto"/>
        <w:right w:val="none" w:sz="0" w:space="0" w:color="auto"/>
      </w:divBdr>
      <w:divsChild>
        <w:div w:id="1005209737">
          <w:marLeft w:val="547"/>
          <w:marRight w:val="0"/>
          <w:marTop w:val="86"/>
          <w:marBottom w:val="0"/>
          <w:divBdr>
            <w:top w:val="none" w:sz="0" w:space="0" w:color="auto"/>
            <w:left w:val="none" w:sz="0" w:space="0" w:color="auto"/>
            <w:bottom w:val="none" w:sz="0" w:space="0" w:color="auto"/>
            <w:right w:val="none" w:sz="0" w:space="0" w:color="auto"/>
          </w:divBdr>
        </w:div>
      </w:divsChild>
    </w:div>
    <w:div w:id="1213346535">
      <w:bodyDiv w:val="1"/>
      <w:marLeft w:val="0"/>
      <w:marRight w:val="0"/>
      <w:marTop w:val="0"/>
      <w:marBottom w:val="0"/>
      <w:divBdr>
        <w:top w:val="none" w:sz="0" w:space="0" w:color="auto"/>
        <w:left w:val="none" w:sz="0" w:space="0" w:color="auto"/>
        <w:bottom w:val="none" w:sz="0" w:space="0" w:color="auto"/>
        <w:right w:val="none" w:sz="0" w:space="0" w:color="auto"/>
      </w:divBdr>
    </w:div>
    <w:div w:id="1215434903">
      <w:bodyDiv w:val="1"/>
      <w:marLeft w:val="0"/>
      <w:marRight w:val="0"/>
      <w:marTop w:val="0"/>
      <w:marBottom w:val="0"/>
      <w:divBdr>
        <w:top w:val="none" w:sz="0" w:space="0" w:color="auto"/>
        <w:left w:val="none" w:sz="0" w:space="0" w:color="auto"/>
        <w:bottom w:val="none" w:sz="0" w:space="0" w:color="auto"/>
        <w:right w:val="none" w:sz="0" w:space="0" w:color="auto"/>
      </w:divBdr>
      <w:divsChild>
        <w:div w:id="685525506">
          <w:marLeft w:val="360"/>
          <w:marRight w:val="0"/>
          <w:marTop w:val="200"/>
          <w:marBottom w:val="0"/>
          <w:divBdr>
            <w:top w:val="none" w:sz="0" w:space="0" w:color="auto"/>
            <w:left w:val="none" w:sz="0" w:space="0" w:color="auto"/>
            <w:bottom w:val="none" w:sz="0" w:space="0" w:color="auto"/>
            <w:right w:val="none" w:sz="0" w:space="0" w:color="auto"/>
          </w:divBdr>
        </w:div>
      </w:divsChild>
    </w:div>
    <w:div w:id="1244298508">
      <w:bodyDiv w:val="1"/>
      <w:marLeft w:val="0"/>
      <w:marRight w:val="0"/>
      <w:marTop w:val="0"/>
      <w:marBottom w:val="0"/>
      <w:divBdr>
        <w:top w:val="none" w:sz="0" w:space="0" w:color="auto"/>
        <w:left w:val="none" w:sz="0" w:space="0" w:color="auto"/>
        <w:bottom w:val="none" w:sz="0" w:space="0" w:color="auto"/>
        <w:right w:val="none" w:sz="0" w:space="0" w:color="auto"/>
      </w:divBdr>
      <w:divsChild>
        <w:div w:id="1409889368">
          <w:marLeft w:val="547"/>
          <w:marRight w:val="0"/>
          <w:marTop w:val="86"/>
          <w:marBottom w:val="0"/>
          <w:divBdr>
            <w:top w:val="none" w:sz="0" w:space="0" w:color="auto"/>
            <w:left w:val="none" w:sz="0" w:space="0" w:color="auto"/>
            <w:bottom w:val="none" w:sz="0" w:space="0" w:color="auto"/>
            <w:right w:val="none" w:sz="0" w:space="0" w:color="auto"/>
          </w:divBdr>
        </w:div>
        <w:div w:id="1862087115">
          <w:marLeft w:val="1166"/>
          <w:marRight w:val="0"/>
          <w:marTop w:val="72"/>
          <w:marBottom w:val="0"/>
          <w:divBdr>
            <w:top w:val="none" w:sz="0" w:space="0" w:color="auto"/>
            <w:left w:val="none" w:sz="0" w:space="0" w:color="auto"/>
            <w:bottom w:val="none" w:sz="0" w:space="0" w:color="auto"/>
            <w:right w:val="none" w:sz="0" w:space="0" w:color="auto"/>
          </w:divBdr>
        </w:div>
      </w:divsChild>
    </w:div>
    <w:div w:id="1244684952">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82683918">
      <w:bodyDiv w:val="1"/>
      <w:marLeft w:val="0"/>
      <w:marRight w:val="0"/>
      <w:marTop w:val="0"/>
      <w:marBottom w:val="0"/>
      <w:divBdr>
        <w:top w:val="none" w:sz="0" w:space="0" w:color="auto"/>
        <w:left w:val="none" w:sz="0" w:space="0" w:color="auto"/>
        <w:bottom w:val="none" w:sz="0" w:space="0" w:color="auto"/>
        <w:right w:val="none" w:sz="0" w:space="0" w:color="auto"/>
      </w:divBdr>
    </w:div>
    <w:div w:id="1307050317">
      <w:bodyDiv w:val="1"/>
      <w:marLeft w:val="0"/>
      <w:marRight w:val="0"/>
      <w:marTop w:val="0"/>
      <w:marBottom w:val="0"/>
      <w:divBdr>
        <w:top w:val="none" w:sz="0" w:space="0" w:color="auto"/>
        <w:left w:val="none" w:sz="0" w:space="0" w:color="auto"/>
        <w:bottom w:val="none" w:sz="0" w:space="0" w:color="auto"/>
        <w:right w:val="none" w:sz="0" w:space="0" w:color="auto"/>
      </w:divBdr>
    </w:div>
    <w:div w:id="1309095509">
      <w:bodyDiv w:val="1"/>
      <w:marLeft w:val="0"/>
      <w:marRight w:val="0"/>
      <w:marTop w:val="0"/>
      <w:marBottom w:val="0"/>
      <w:divBdr>
        <w:top w:val="none" w:sz="0" w:space="0" w:color="auto"/>
        <w:left w:val="none" w:sz="0" w:space="0" w:color="auto"/>
        <w:bottom w:val="none" w:sz="0" w:space="0" w:color="auto"/>
        <w:right w:val="none" w:sz="0" w:space="0" w:color="auto"/>
      </w:divBdr>
      <w:divsChild>
        <w:div w:id="1967617391">
          <w:marLeft w:val="1166"/>
          <w:marRight w:val="0"/>
          <w:marTop w:val="106"/>
          <w:marBottom w:val="0"/>
          <w:divBdr>
            <w:top w:val="none" w:sz="0" w:space="0" w:color="auto"/>
            <w:left w:val="none" w:sz="0" w:space="0" w:color="auto"/>
            <w:bottom w:val="none" w:sz="0" w:space="0" w:color="auto"/>
            <w:right w:val="none" w:sz="0" w:space="0" w:color="auto"/>
          </w:divBdr>
        </w:div>
      </w:divsChild>
    </w:div>
    <w:div w:id="1341350571">
      <w:bodyDiv w:val="1"/>
      <w:marLeft w:val="0"/>
      <w:marRight w:val="0"/>
      <w:marTop w:val="0"/>
      <w:marBottom w:val="0"/>
      <w:divBdr>
        <w:top w:val="none" w:sz="0" w:space="0" w:color="auto"/>
        <w:left w:val="none" w:sz="0" w:space="0" w:color="auto"/>
        <w:bottom w:val="none" w:sz="0" w:space="0" w:color="auto"/>
        <w:right w:val="none" w:sz="0" w:space="0" w:color="auto"/>
      </w:divBdr>
      <w:divsChild>
        <w:div w:id="206647411">
          <w:marLeft w:val="360"/>
          <w:marRight w:val="0"/>
          <w:marTop w:val="200"/>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90827717">
      <w:bodyDiv w:val="1"/>
      <w:marLeft w:val="0"/>
      <w:marRight w:val="0"/>
      <w:marTop w:val="0"/>
      <w:marBottom w:val="0"/>
      <w:divBdr>
        <w:top w:val="none" w:sz="0" w:space="0" w:color="auto"/>
        <w:left w:val="none" w:sz="0" w:space="0" w:color="auto"/>
        <w:bottom w:val="none" w:sz="0" w:space="0" w:color="auto"/>
        <w:right w:val="none" w:sz="0" w:space="0" w:color="auto"/>
      </w:divBdr>
      <w:divsChild>
        <w:div w:id="894318438">
          <w:marLeft w:val="1166"/>
          <w:marRight w:val="0"/>
          <w:marTop w:val="72"/>
          <w:marBottom w:val="0"/>
          <w:divBdr>
            <w:top w:val="none" w:sz="0" w:space="0" w:color="auto"/>
            <w:left w:val="none" w:sz="0" w:space="0" w:color="auto"/>
            <w:bottom w:val="none" w:sz="0" w:space="0" w:color="auto"/>
            <w:right w:val="none" w:sz="0" w:space="0" w:color="auto"/>
          </w:divBdr>
        </w:div>
        <w:div w:id="59602948">
          <w:marLeft w:val="1166"/>
          <w:marRight w:val="0"/>
          <w:marTop w:val="72"/>
          <w:marBottom w:val="0"/>
          <w:divBdr>
            <w:top w:val="none" w:sz="0" w:space="0" w:color="auto"/>
            <w:left w:val="none" w:sz="0" w:space="0" w:color="auto"/>
            <w:bottom w:val="none" w:sz="0" w:space="0" w:color="auto"/>
            <w:right w:val="none" w:sz="0" w:space="0" w:color="auto"/>
          </w:divBdr>
        </w:div>
      </w:divsChild>
    </w:div>
    <w:div w:id="1505702357">
      <w:bodyDiv w:val="1"/>
      <w:marLeft w:val="0"/>
      <w:marRight w:val="0"/>
      <w:marTop w:val="0"/>
      <w:marBottom w:val="0"/>
      <w:divBdr>
        <w:top w:val="none" w:sz="0" w:space="0" w:color="auto"/>
        <w:left w:val="none" w:sz="0" w:space="0" w:color="auto"/>
        <w:bottom w:val="none" w:sz="0" w:space="0" w:color="auto"/>
        <w:right w:val="none" w:sz="0" w:space="0" w:color="auto"/>
      </w:divBdr>
      <w:divsChild>
        <w:div w:id="1157962389">
          <w:marLeft w:val="1166"/>
          <w:marRight w:val="0"/>
          <w:marTop w:val="106"/>
          <w:marBottom w:val="0"/>
          <w:divBdr>
            <w:top w:val="none" w:sz="0" w:space="0" w:color="auto"/>
            <w:left w:val="none" w:sz="0" w:space="0" w:color="auto"/>
            <w:bottom w:val="none" w:sz="0" w:space="0" w:color="auto"/>
            <w:right w:val="none" w:sz="0" w:space="0" w:color="auto"/>
          </w:divBdr>
        </w:div>
        <w:div w:id="1303540736">
          <w:marLeft w:val="1166"/>
          <w:marRight w:val="0"/>
          <w:marTop w:val="106"/>
          <w:marBottom w:val="0"/>
          <w:divBdr>
            <w:top w:val="none" w:sz="0" w:space="0" w:color="auto"/>
            <w:left w:val="none" w:sz="0" w:space="0" w:color="auto"/>
            <w:bottom w:val="none" w:sz="0" w:space="0" w:color="auto"/>
            <w:right w:val="none" w:sz="0" w:space="0" w:color="auto"/>
          </w:divBdr>
        </w:div>
        <w:div w:id="1985549145">
          <w:marLeft w:val="1166"/>
          <w:marRight w:val="0"/>
          <w:marTop w:val="106"/>
          <w:marBottom w:val="0"/>
          <w:divBdr>
            <w:top w:val="none" w:sz="0" w:space="0" w:color="auto"/>
            <w:left w:val="none" w:sz="0" w:space="0" w:color="auto"/>
            <w:bottom w:val="none" w:sz="0" w:space="0" w:color="auto"/>
            <w:right w:val="none" w:sz="0" w:space="0" w:color="auto"/>
          </w:divBdr>
        </w:div>
      </w:divsChild>
    </w:div>
    <w:div w:id="1645622905">
      <w:bodyDiv w:val="1"/>
      <w:marLeft w:val="0"/>
      <w:marRight w:val="0"/>
      <w:marTop w:val="0"/>
      <w:marBottom w:val="0"/>
      <w:divBdr>
        <w:top w:val="none" w:sz="0" w:space="0" w:color="auto"/>
        <w:left w:val="none" w:sz="0" w:space="0" w:color="auto"/>
        <w:bottom w:val="none" w:sz="0" w:space="0" w:color="auto"/>
        <w:right w:val="none" w:sz="0" w:space="0" w:color="auto"/>
      </w:divBdr>
      <w:divsChild>
        <w:div w:id="1441727297">
          <w:marLeft w:val="360"/>
          <w:marRight w:val="0"/>
          <w:marTop w:val="200"/>
          <w:marBottom w:val="0"/>
          <w:divBdr>
            <w:top w:val="none" w:sz="0" w:space="0" w:color="auto"/>
            <w:left w:val="none" w:sz="0" w:space="0" w:color="auto"/>
            <w:bottom w:val="none" w:sz="0" w:space="0" w:color="auto"/>
            <w:right w:val="none" w:sz="0" w:space="0" w:color="auto"/>
          </w:divBdr>
        </w:div>
      </w:divsChild>
    </w:div>
    <w:div w:id="1662197377">
      <w:bodyDiv w:val="1"/>
      <w:marLeft w:val="0"/>
      <w:marRight w:val="0"/>
      <w:marTop w:val="0"/>
      <w:marBottom w:val="0"/>
      <w:divBdr>
        <w:top w:val="none" w:sz="0" w:space="0" w:color="auto"/>
        <w:left w:val="none" w:sz="0" w:space="0" w:color="auto"/>
        <w:bottom w:val="none" w:sz="0" w:space="0" w:color="auto"/>
        <w:right w:val="none" w:sz="0" w:space="0" w:color="auto"/>
      </w:divBdr>
    </w:div>
    <w:div w:id="1686519219">
      <w:bodyDiv w:val="1"/>
      <w:marLeft w:val="0"/>
      <w:marRight w:val="0"/>
      <w:marTop w:val="0"/>
      <w:marBottom w:val="0"/>
      <w:divBdr>
        <w:top w:val="none" w:sz="0" w:space="0" w:color="auto"/>
        <w:left w:val="none" w:sz="0" w:space="0" w:color="auto"/>
        <w:bottom w:val="none" w:sz="0" w:space="0" w:color="auto"/>
        <w:right w:val="none" w:sz="0" w:space="0" w:color="auto"/>
      </w:divBdr>
    </w:div>
    <w:div w:id="1745489406">
      <w:bodyDiv w:val="1"/>
      <w:marLeft w:val="0"/>
      <w:marRight w:val="0"/>
      <w:marTop w:val="0"/>
      <w:marBottom w:val="0"/>
      <w:divBdr>
        <w:top w:val="none" w:sz="0" w:space="0" w:color="auto"/>
        <w:left w:val="none" w:sz="0" w:space="0" w:color="auto"/>
        <w:bottom w:val="none" w:sz="0" w:space="0" w:color="auto"/>
        <w:right w:val="none" w:sz="0" w:space="0" w:color="auto"/>
      </w:divBdr>
    </w:div>
    <w:div w:id="1756390336">
      <w:bodyDiv w:val="1"/>
      <w:marLeft w:val="0"/>
      <w:marRight w:val="0"/>
      <w:marTop w:val="0"/>
      <w:marBottom w:val="0"/>
      <w:divBdr>
        <w:top w:val="none" w:sz="0" w:space="0" w:color="auto"/>
        <w:left w:val="none" w:sz="0" w:space="0" w:color="auto"/>
        <w:bottom w:val="none" w:sz="0" w:space="0" w:color="auto"/>
        <w:right w:val="none" w:sz="0" w:space="0" w:color="auto"/>
      </w:divBdr>
    </w:div>
    <w:div w:id="1794982188">
      <w:bodyDiv w:val="1"/>
      <w:marLeft w:val="0"/>
      <w:marRight w:val="0"/>
      <w:marTop w:val="0"/>
      <w:marBottom w:val="0"/>
      <w:divBdr>
        <w:top w:val="none" w:sz="0" w:space="0" w:color="auto"/>
        <w:left w:val="none" w:sz="0" w:space="0" w:color="auto"/>
        <w:bottom w:val="none" w:sz="0" w:space="0" w:color="auto"/>
        <w:right w:val="none" w:sz="0" w:space="0" w:color="auto"/>
      </w:divBdr>
      <w:divsChild>
        <w:div w:id="341862480">
          <w:marLeft w:val="1166"/>
          <w:marRight w:val="0"/>
          <w:marTop w:val="72"/>
          <w:marBottom w:val="0"/>
          <w:divBdr>
            <w:top w:val="none" w:sz="0" w:space="0" w:color="auto"/>
            <w:left w:val="none" w:sz="0" w:space="0" w:color="auto"/>
            <w:bottom w:val="none" w:sz="0" w:space="0" w:color="auto"/>
            <w:right w:val="none" w:sz="0" w:space="0" w:color="auto"/>
          </w:divBdr>
        </w:div>
      </w:divsChild>
    </w:div>
    <w:div w:id="1822234837">
      <w:bodyDiv w:val="1"/>
      <w:marLeft w:val="0"/>
      <w:marRight w:val="0"/>
      <w:marTop w:val="0"/>
      <w:marBottom w:val="0"/>
      <w:divBdr>
        <w:top w:val="none" w:sz="0" w:space="0" w:color="auto"/>
        <w:left w:val="none" w:sz="0" w:space="0" w:color="auto"/>
        <w:bottom w:val="none" w:sz="0" w:space="0" w:color="auto"/>
        <w:right w:val="none" w:sz="0" w:space="0" w:color="auto"/>
      </w:divBdr>
      <w:divsChild>
        <w:div w:id="890700743">
          <w:marLeft w:val="360"/>
          <w:marRight w:val="0"/>
          <w:marTop w:val="200"/>
          <w:marBottom w:val="0"/>
          <w:divBdr>
            <w:top w:val="none" w:sz="0" w:space="0" w:color="auto"/>
            <w:left w:val="none" w:sz="0" w:space="0" w:color="auto"/>
            <w:bottom w:val="none" w:sz="0" w:space="0" w:color="auto"/>
            <w:right w:val="none" w:sz="0" w:space="0" w:color="auto"/>
          </w:divBdr>
        </w:div>
      </w:divsChild>
    </w:div>
    <w:div w:id="1839534871">
      <w:bodyDiv w:val="1"/>
      <w:marLeft w:val="0"/>
      <w:marRight w:val="0"/>
      <w:marTop w:val="0"/>
      <w:marBottom w:val="0"/>
      <w:divBdr>
        <w:top w:val="none" w:sz="0" w:space="0" w:color="auto"/>
        <w:left w:val="none" w:sz="0" w:space="0" w:color="auto"/>
        <w:bottom w:val="none" w:sz="0" w:space="0" w:color="auto"/>
        <w:right w:val="none" w:sz="0" w:space="0" w:color="auto"/>
      </w:divBdr>
    </w:div>
    <w:div w:id="1951471299">
      <w:bodyDiv w:val="1"/>
      <w:marLeft w:val="0"/>
      <w:marRight w:val="0"/>
      <w:marTop w:val="0"/>
      <w:marBottom w:val="0"/>
      <w:divBdr>
        <w:top w:val="none" w:sz="0" w:space="0" w:color="auto"/>
        <w:left w:val="none" w:sz="0" w:space="0" w:color="auto"/>
        <w:bottom w:val="none" w:sz="0" w:space="0" w:color="auto"/>
        <w:right w:val="none" w:sz="0" w:space="0" w:color="auto"/>
      </w:divBdr>
      <w:divsChild>
        <w:div w:id="592207348">
          <w:marLeft w:val="360"/>
          <w:marRight w:val="0"/>
          <w:marTop w:val="200"/>
          <w:marBottom w:val="0"/>
          <w:divBdr>
            <w:top w:val="none" w:sz="0" w:space="0" w:color="auto"/>
            <w:left w:val="none" w:sz="0" w:space="0" w:color="auto"/>
            <w:bottom w:val="none" w:sz="0" w:space="0" w:color="auto"/>
            <w:right w:val="none" w:sz="0" w:space="0" w:color="auto"/>
          </w:divBdr>
        </w:div>
      </w:divsChild>
    </w:div>
    <w:div w:id="1963612962">
      <w:bodyDiv w:val="1"/>
      <w:marLeft w:val="0"/>
      <w:marRight w:val="0"/>
      <w:marTop w:val="0"/>
      <w:marBottom w:val="0"/>
      <w:divBdr>
        <w:top w:val="none" w:sz="0" w:space="0" w:color="auto"/>
        <w:left w:val="none" w:sz="0" w:space="0" w:color="auto"/>
        <w:bottom w:val="none" w:sz="0" w:space="0" w:color="auto"/>
        <w:right w:val="none" w:sz="0" w:space="0" w:color="auto"/>
      </w:divBdr>
      <w:divsChild>
        <w:div w:id="203754960">
          <w:marLeft w:val="360"/>
          <w:marRight w:val="0"/>
          <w:marTop w:val="200"/>
          <w:marBottom w:val="0"/>
          <w:divBdr>
            <w:top w:val="none" w:sz="0" w:space="0" w:color="auto"/>
            <w:left w:val="none" w:sz="0" w:space="0" w:color="auto"/>
            <w:bottom w:val="none" w:sz="0" w:space="0" w:color="auto"/>
            <w:right w:val="none" w:sz="0" w:space="0" w:color="auto"/>
          </w:divBdr>
        </w:div>
      </w:divsChild>
    </w:div>
    <w:div w:id="1978341062">
      <w:bodyDiv w:val="1"/>
      <w:marLeft w:val="0"/>
      <w:marRight w:val="0"/>
      <w:marTop w:val="0"/>
      <w:marBottom w:val="0"/>
      <w:divBdr>
        <w:top w:val="none" w:sz="0" w:space="0" w:color="auto"/>
        <w:left w:val="none" w:sz="0" w:space="0" w:color="auto"/>
        <w:bottom w:val="none" w:sz="0" w:space="0" w:color="auto"/>
        <w:right w:val="none" w:sz="0" w:space="0" w:color="auto"/>
      </w:divBdr>
      <w:divsChild>
        <w:div w:id="1372538367">
          <w:marLeft w:val="0"/>
          <w:marRight w:val="0"/>
          <w:marTop w:val="0"/>
          <w:marBottom w:val="0"/>
          <w:divBdr>
            <w:top w:val="none" w:sz="0" w:space="0" w:color="auto"/>
            <w:left w:val="none" w:sz="0" w:space="0" w:color="auto"/>
            <w:bottom w:val="none" w:sz="0" w:space="0" w:color="auto"/>
            <w:right w:val="none" w:sz="0" w:space="0" w:color="auto"/>
          </w:divBdr>
          <w:divsChild>
            <w:div w:id="2014405888">
              <w:marLeft w:val="0"/>
              <w:marRight w:val="0"/>
              <w:marTop w:val="0"/>
              <w:marBottom w:val="0"/>
              <w:divBdr>
                <w:top w:val="none" w:sz="0" w:space="0" w:color="auto"/>
                <w:left w:val="none" w:sz="0" w:space="0" w:color="auto"/>
                <w:bottom w:val="none" w:sz="0" w:space="0" w:color="auto"/>
                <w:right w:val="none" w:sz="0" w:space="0" w:color="auto"/>
              </w:divBdr>
              <w:divsChild>
                <w:div w:id="6711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596">
          <w:marLeft w:val="0"/>
          <w:marRight w:val="0"/>
          <w:marTop w:val="0"/>
          <w:marBottom w:val="0"/>
          <w:divBdr>
            <w:top w:val="none" w:sz="0" w:space="0" w:color="auto"/>
            <w:left w:val="none" w:sz="0" w:space="0" w:color="auto"/>
            <w:bottom w:val="none" w:sz="0" w:space="0" w:color="auto"/>
            <w:right w:val="none" w:sz="0" w:space="0" w:color="auto"/>
          </w:divBdr>
          <w:divsChild>
            <w:div w:id="1426144941">
              <w:marLeft w:val="0"/>
              <w:marRight w:val="0"/>
              <w:marTop w:val="0"/>
              <w:marBottom w:val="0"/>
              <w:divBdr>
                <w:top w:val="none" w:sz="0" w:space="0" w:color="auto"/>
                <w:left w:val="none" w:sz="0" w:space="0" w:color="auto"/>
                <w:bottom w:val="none" w:sz="0" w:space="0" w:color="auto"/>
                <w:right w:val="none" w:sz="0" w:space="0" w:color="auto"/>
              </w:divBdr>
              <w:divsChild>
                <w:div w:id="1618826562">
                  <w:marLeft w:val="0"/>
                  <w:marRight w:val="0"/>
                  <w:marTop w:val="0"/>
                  <w:marBottom w:val="0"/>
                  <w:divBdr>
                    <w:top w:val="none" w:sz="0" w:space="0" w:color="auto"/>
                    <w:left w:val="none" w:sz="0" w:space="0" w:color="auto"/>
                    <w:bottom w:val="none" w:sz="0" w:space="0" w:color="auto"/>
                    <w:right w:val="none" w:sz="0" w:space="0" w:color="auto"/>
                  </w:divBdr>
                </w:div>
              </w:divsChild>
            </w:div>
            <w:div w:id="1767186171">
              <w:marLeft w:val="0"/>
              <w:marRight w:val="0"/>
              <w:marTop w:val="0"/>
              <w:marBottom w:val="0"/>
              <w:divBdr>
                <w:top w:val="none" w:sz="0" w:space="0" w:color="auto"/>
                <w:left w:val="none" w:sz="0" w:space="0" w:color="auto"/>
                <w:bottom w:val="none" w:sz="0" w:space="0" w:color="auto"/>
                <w:right w:val="none" w:sz="0" w:space="0" w:color="auto"/>
              </w:divBdr>
              <w:divsChild>
                <w:div w:id="21232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6234">
      <w:bodyDiv w:val="1"/>
      <w:marLeft w:val="0"/>
      <w:marRight w:val="0"/>
      <w:marTop w:val="0"/>
      <w:marBottom w:val="0"/>
      <w:divBdr>
        <w:top w:val="none" w:sz="0" w:space="0" w:color="auto"/>
        <w:left w:val="none" w:sz="0" w:space="0" w:color="auto"/>
        <w:bottom w:val="none" w:sz="0" w:space="0" w:color="auto"/>
        <w:right w:val="none" w:sz="0" w:space="0" w:color="auto"/>
      </w:divBdr>
      <w:divsChild>
        <w:div w:id="718549105">
          <w:marLeft w:val="360"/>
          <w:marRight w:val="0"/>
          <w:marTop w:val="200"/>
          <w:marBottom w:val="0"/>
          <w:divBdr>
            <w:top w:val="none" w:sz="0" w:space="0" w:color="auto"/>
            <w:left w:val="none" w:sz="0" w:space="0" w:color="auto"/>
            <w:bottom w:val="none" w:sz="0" w:space="0" w:color="auto"/>
            <w:right w:val="none" w:sz="0" w:space="0" w:color="auto"/>
          </w:divBdr>
        </w:div>
      </w:divsChild>
    </w:div>
    <w:div w:id="2033265496">
      <w:bodyDiv w:val="1"/>
      <w:marLeft w:val="0"/>
      <w:marRight w:val="0"/>
      <w:marTop w:val="0"/>
      <w:marBottom w:val="0"/>
      <w:divBdr>
        <w:top w:val="none" w:sz="0" w:space="0" w:color="auto"/>
        <w:left w:val="none" w:sz="0" w:space="0" w:color="auto"/>
        <w:bottom w:val="none" w:sz="0" w:space="0" w:color="auto"/>
        <w:right w:val="none" w:sz="0" w:space="0" w:color="auto"/>
      </w:divBdr>
    </w:div>
    <w:div w:id="2037844731">
      <w:bodyDiv w:val="1"/>
      <w:marLeft w:val="0"/>
      <w:marRight w:val="0"/>
      <w:marTop w:val="0"/>
      <w:marBottom w:val="0"/>
      <w:divBdr>
        <w:top w:val="none" w:sz="0" w:space="0" w:color="auto"/>
        <w:left w:val="none" w:sz="0" w:space="0" w:color="auto"/>
        <w:bottom w:val="none" w:sz="0" w:space="0" w:color="auto"/>
        <w:right w:val="none" w:sz="0" w:space="0" w:color="auto"/>
      </w:divBdr>
      <w:divsChild>
        <w:div w:id="808208810">
          <w:marLeft w:val="360"/>
          <w:marRight w:val="0"/>
          <w:marTop w:val="200"/>
          <w:marBottom w:val="0"/>
          <w:divBdr>
            <w:top w:val="none" w:sz="0" w:space="0" w:color="auto"/>
            <w:left w:val="none" w:sz="0" w:space="0" w:color="auto"/>
            <w:bottom w:val="none" w:sz="0" w:space="0" w:color="auto"/>
            <w:right w:val="none" w:sz="0" w:space="0" w:color="auto"/>
          </w:divBdr>
        </w:div>
        <w:div w:id="480541885">
          <w:marLeft w:val="360"/>
          <w:marRight w:val="0"/>
          <w:marTop w:val="200"/>
          <w:marBottom w:val="0"/>
          <w:divBdr>
            <w:top w:val="none" w:sz="0" w:space="0" w:color="auto"/>
            <w:left w:val="none" w:sz="0" w:space="0" w:color="auto"/>
            <w:bottom w:val="none" w:sz="0" w:space="0" w:color="auto"/>
            <w:right w:val="none" w:sz="0" w:space="0" w:color="auto"/>
          </w:divBdr>
        </w:div>
      </w:divsChild>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19979490">
      <w:bodyDiv w:val="1"/>
      <w:marLeft w:val="0"/>
      <w:marRight w:val="0"/>
      <w:marTop w:val="0"/>
      <w:marBottom w:val="0"/>
      <w:divBdr>
        <w:top w:val="none" w:sz="0" w:space="0" w:color="auto"/>
        <w:left w:val="none" w:sz="0" w:space="0" w:color="auto"/>
        <w:bottom w:val="none" w:sz="0" w:space="0" w:color="auto"/>
        <w:right w:val="none" w:sz="0" w:space="0" w:color="auto"/>
      </w:divBdr>
      <w:divsChild>
        <w:div w:id="1820070356">
          <w:marLeft w:val="547"/>
          <w:marRight w:val="0"/>
          <w:marTop w:val="96"/>
          <w:marBottom w:val="0"/>
          <w:divBdr>
            <w:top w:val="none" w:sz="0" w:space="0" w:color="auto"/>
            <w:left w:val="none" w:sz="0" w:space="0" w:color="auto"/>
            <w:bottom w:val="none" w:sz="0" w:space="0" w:color="auto"/>
            <w:right w:val="none" w:sz="0" w:space="0" w:color="auto"/>
          </w:divBdr>
        </w:div>
        <w:div w:id="135561716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2.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Users\kylieeaston\Documents\ESC%20and%20PBAC%20Consultancy%20\Submission%201_%20\obinutuzumab%20(Gazyva)\Main%20body%20of%20the%20submission\Economic%20Evalu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'KM TTOT'!$B$4:$E$4</c:f>
              <c:strCache>
                <c:ptCount val="1"/>
                <c:pt idx="0">
                  <c:v>G-Chemo</c:v>
                </c:pt>
              </c:strCache>
            </c:strRef>
          </c:tx>
          <c:marker>
            <c:symbol val="none"/>
          </c:marker>
          <c:xVal>
            <c:numRef>
              <c:f>'KM TTOT'!$B$6:$B$247</c:f>
              <c:numCache>
                <c:formatCode>0.00</c:formatCode>
                <c:ptCount val="242"/>
                <c:pt idx="0">
                  <c:v>0</c:v>
                </c:pt>
                <c:pt idx="1">
                  <c:v>3.2854209000000002E-2</c:v>
                </c:pt>
                <c:pt idx="2">
                  <c:v>0.49281314199999998</c:v>
                </c:pt>
                <c:pt idx="3">
                  <c:v>0.52566735099999995</c:v>
                </c:pt>
                <c:pt idx="4">
                  <c:v>0.82135523600000004</c:v>
                </c:pt>
                <c:pt idx="5">
                  <c:v>1.412731006</c:v>
                </c:pt>
                <c:pt idx="6">
                  <c:v>1.445585216</c:v>
                </c:pt>
                <c:pt idx="7">
                  <c:v>1.6427104720000001</c:v>
                </c:pt>
                <c:pt idx="8">
                  <c:v>1.6755646820000001</c:v>
                </c:pt>
                <c:pt idx="9">
                  <c:v>1.839835729</c:v>
                </c:pt>
                <c:pt idx="10">
                  <c:v>1.8726899379999999</c:v>
                </c:pt>
                <c:pt idx="11">
                  <c:v>2.1355236139999998</c:v>
                </c:pt>
                <c:pt idx="12">
                  <c:v>2.3326488709999649</c:v>
                </c:pt>
                <c:pt idx="13">
                  <c:v>2.7597535930000001</c:v>
                </c:pt>
                <c:pt idx="14">
                  <c:v>2.7926078030000001</c:v>
                </c:pt>
                <c:pt idx="15">
                  <c:v>3.0225872690000002</c:v>
                </c:pt>
                <c:pt idx="16">
                  <c:v>3.121149897</c:v>
                </c:pt>
                <c:pt idx="17">
                  <c:v>3.3839835730000001</c:v>
                </c:pt>
                <c:pt idx="18">
                  <c:v>3.4825462009999999</c:v>
                </c:pt>
                <c:pt idx="19">
                  <c:v>3.712525667</c:v>
                </c:pt>
                <c:pt idx="20">
                  <c:v>3.909650923999997</c:v>
                </c:pt>
                <c:pt idx="21">
                  <c:v>3.942505133999997</c:v>
                </c:pt>
                <c:pt idx="22">
                  <c:v>4.1396303899999998</c:v>
                </c:pt>
                <c:pt idx="23">
                  <c:v>4.566735113</c:v>
                </c:pt>
                <c:pt idx="24">
                  <c:v>4.6324435319999866</c:v>
                </c:pt>
                <c:pt idx="25">
                  <c:v>4.6981519509999536</c:v>
                </c:pt>
                <c:pt idx="26">
                  <c:v>4.7967145789999437</c:v>
                </c:pt>
                <c:pt idx="27">
                  <c:v>4.8624229979999756</c:v>
                </c:pt>
                <c:pt idx="28">
                  <c:v>4.8952772069999746</c:v>
                </c:pt>
                <c:pt idx="29">
                  <c:v>5.0595482550000002</c:v>
                </c:pt>
                <c:pt idx="30">
                  <c:v>5.1252566739999654</c:v>
                </c:pt>
                <c:pt idx="31">
                  <c:v>5.2238193019999946</c:v>
                </c:pt>
                <c:pt idx="32">
                  <c:v>5.3223819299999446</c:v>
                </c:pt>
                <c:pt idx="33">
                  <c:v>5.3552361399999846</c:v>
                </c:pt>
                <c:pt idx="34">
                  <c:v>5.5523613960000002</c:v>
                </c:pt>
                <c:pt idx="35">
                  <c:v>6.3408624229999999</c:v>
                </c:pt>
                <c:pt idx="36">
                  <c:v>6.5708418890000004</c:v>
                </c:pt>
                <c:pt idx="37">
                  <c:v>6.7022587270000002</c:v>
                </c:pt>
                <c:pt idx="38">
                  <c:v>6.7351129359999966</c:v>
                </c:pt>
                <c:pt idx="39">
                  <c:v>6.7679671459999966</c:v>
                </c:pt>
                <c:pt idx="40">
                  <c:v>6.899383984</c:v>
                </c:pt>
                <c:pt idx="41">
                  <c:v>6.9650924029999999</c:v>
                </c:pt>
                <c:pt idx="42">
                  <c:v>6.9979466119999856</c:v>
                </c:pt>
                <c:pt idx="43">
                  <c:v>7.1293634499999996</c:v>
                </c:pt>
                <c:pt idx="44">
                  <c:v>7.1622176589999453</c:v>
                </c:pt>
                <c:pt idx="45">
                  <c:v>7.3593429160000001</c:v>
                </c:pt>
                <c:pt idx="46">
                  <c:v>7.7864476390000004</c:v>
                </c:pt>
                <c:pt idx="47">
                  <c:v>8.0821355240000052</c:v>
                </c:pt>
                <c:pt idx="48">
                  <c:v>8.3121149899999995</c:v>
                </c:pt>
                <c:pt idx="49">
                  <c:v>8.3449691989999994</c:v>
                </c:pt>
                <c:pt idx="50">
                  <c:v>8.5420944559999992</c:v>
                </c:pt>
                <c:pt idx="51">
                  <c:v>8.7392197129999971</c:v>
                </c:pt>
                <c:pt idx="52">
                  <c:v>8.7720739219999988</c:v>
                </c:pt>
                <c:pt idx="53">
                  <c:v>8.9691991790000003</c:v>
                </c:pt>
                <c:pt idx="54">
                  <c:v>9.0020533880000002</c:v>
                </c:pt>
                <c:pt idx="55">
                  <c:v>9.1991786449999982</c:v>
                </c:pt>
                <c:pt idx="56">
                  <c:v>9.2648870639999998</c:v>
                </c:pt>
                <c:pt idx="57">
                  <c:v>9.2977412729999998</c:v>
                </c:pt>
                <c:pt idx="58">
                  <c:v>9.6919917859999316</c:v>
                </c:pt>
                <c:pt idx="59">
                  <c:v>10.34907598</c:v>
                </c:pt>
                <c:pt idx="60">
                  <c:v>10.38193019</c:v>
                </c:pt>
                <c:pt idx="61">
                  <c:v>10.546201229999999</c:v>
                </c:pt>
                <c:pt idx="62">
                  <c:v>10.579055439999999</c:v>
                </c:pt>
                <c:pt idx="63">
                  <c:v>10.743326489999999</c:v>
                </c:pt>
                <c:pt idx="64">
                  <c:v>10.776180699999999</c:v>
                </c:pt>
                <c:pt idx="65">
                  <c:v>11.07186858</c:v>
                </c:pt>
                <c:pt idx="66">
                  <c:v>11.10472279</c:v>
                </c:pt>
                <c:pt idx="67">
                  <c:v>11.26899384</c:v>
                </c:pt>
                <c:pt idx="68">
                  <c:v>11.36755647</c:v>
                </c:pt>
                <c:pt idx="69">
                  <c:v>11.958932239999999</c:v>
                </c:pt>
                <c:pt idx="70">
                  <c:v>12.057494869999999</c:v>
                </c:pt>
                <c:pt idx="71">
                  <c:v>12.22176591</c:v>
                </c:pt>
                <c:pt idx="72">
                  <c:v>12.35318275</c:v>
                </c:pt>
                <c:pt idx="73">
                  <c:v>12.45174538</c:v>
                </c:pt>
                <c:pt idx="74">
                  <c:v>12.61601643</c:v>
                </c:pt>
                <c:pt idx="75">
                  <c:v>12.68172485</c:v>
                </c:pt>
                <c:pt idx="76">
                  <c:v>12.71457906</c:v>
                </c:pt>
                <c:pt idx="77">
                  <c:v>12.911704309999999</c:v>
                </c:pt>
                <c:pt idx="78">
                  <c:v>13.043121149999999</c:v>
                </c:pt>
                <c:pt idx="79">
                  <c:v>13.174537989999999</c:v>
                </c:pt>
                <c:pt idx="80">
                  <c:v>13.37166324</c:v>
                </c:pt>
                <c:pt idx="81">
                  <c:v>13.66735113</c:v>
                </c:pt>
                <c:pt idx="82">
                  <c:v>13.86447639</c:v>
                </c:pt>
                <c:pt idx="83">
                  <c:v>13.963039009999999</c:v>
                </c:pt>
                <c:pt idx="84">
                  <c:v>14.193018479999999</c:v>
                </c:pt>
                <c:pt idx="85">
                  <c:v>14.390143739999999</c:v>
                </c:pt>
                <c:pt idx="86">
                  <c:v>14.422997949999999</c:v>
                </c:pt>
                <c:pt idx="87">
                  <c:v>14.75154004</c:v>
                </c:pt>
                <c:pt idx="88">
                  <c:v>14.78439425</c:v>
                </c:pt>
                <c:pt idx="89">
                  <c:v>15.474332649999999</c:v>
                </c:pt>
                <c:pt idx="90">
                  <c:v>15.605749489999999</c:v>
                </c:pt>
                <c:pt idx="91">
                  <c:v>15.671457910000001</c:v>
                </c:pt>
                <c:pt idx="92">
                  <c:v>15.90143737</c:v>
                </c:pt>
                <c:pt idx="93">
                  <c:v>16.09856263</c:v>
                </c:pt>
                <c:pt idx="94">
                  <c:v>16.13141684</c:v>
                </c:pt>
                <c:pt idx="95">
                  <c:v>16.19712526</c:v>
                </c:pt>
                <c:pt idx="96">
                  <c:v>16.394250509999999</c:v>
                </c:pt>
                <c:pt idx="97">
                  <c:v>17.872689940000001</c:v>
                </c:pt>
                <c:pt idx="98">
                  <c:v>18.4312115</c:v>
                </c:pt>
                <c:pt idx="99">
                  <c:v>18.52977413</c:v>
                </c:pt>
                <c:pt idx="100">
                  <c:v>18.69404518</c:v>
                </c:pt>
                <c:pt idx="101">
                  <c:v>18.891170429999999</c:v>
                </c:pt>
                <c:pt idx="102">
                  <c:v>18.956878849999999</c:v>
                </c:pt>
                <c:pt idx="103">
                  <c:v>19.055441479999999</c:v>
                </c:pt>
                <c:pt idx="104">
                  <c:v>19.186858319999999</c:v>
                </c:pt>
                <c:pt idx="105">
                  <c:v>19.515400410000009</c:v>
                </c:pt>
                <c:pt idx="106">
                  <c:v>19.581108830000002</c:v>
                </c:pt>
                <c:pt idx="107">
                  <c:v>19.778234090000002</c:v>
                </c:pt>
                <c:pt idx="108">
                  <c:v>19.811088300000009</c:v>
                </c:pt>
                <c:pt idx="109">
                  <c:v>19.876796720000009</c:v>
                </c:pt>
                <c:pt idx="110">
                  <c:v>20.041067760000001</c:v>
                </c:pt>
                <c:pt idx="111">
                  <c:v>20.073921970000001</c:v>
                </c:pt>
                <c:pt idx="112">
                  <c:v>20.205338810000001</c:v>
                </c:pt>
                <c:pt idx="113">
                  <c:v>20.92813142</c:v>
                </c:pt>
                <c:pt idx="114">
                  <c:v>20.96098563</c:v>
                </c:pt>
                <c:pt idx="115">
                  <c:v>21.092402459999999</c:v>
                </c:pt>
                <c:pt idx="116">
                  <c:v>21.322381929999999</c:v>
                </c:pt>
                <c:pt idx="117">
                  <c:v>21.420944559999999</c:v>
                </c:pt>
                <c:pt idx="118">
                  <c:v>21.84804927999965</c:v>
                </c:pt>
                <c:pt idx="119">
                  <c:v>21.913757700000001</c:v>
                </c:pt>
                <c:pt idx="120">
                  <c:v>22.045174540000001</c:v>
                </c:pt>
                <c:pt idx="121">
                  <c:v>22.24229979999998</c:v>
                </c:pt>
                <c:pt idx="122">
                  <c:v>22.537987680000001</c:v>
                </c:pt>
                <c:pt idx="123">
                  <c:v>22.570841890000001</c:v>
                </c:pt>
                <c:pt idx="124">
                  <c:v>22.80082136</c:v>
                </c:pt>
                <c:pt idx="125">
                  <c:v>22.99794661</c:v>
                </c:pt>
                <c:pt idx="126">
                  <c:v>23.06365503</c:v>
                </c:pt>
                <c:pt idx="127">
                  <c:v>23.22792608</c:v>
                </c:pt>
                <c:pt idx="128">
                  <c:v>23.720739219999739</c:v>
                </c:pt>
                <c:pt idx="129">
                  <c:v>23.753593429999999</c:v>
                </c:pt>
                <c:pt idx="130">
                  <c:v>23.786447639999739</c:v>
                </c:pt>
                <c:pt idx="131">
                  <c:v>23.983572899999739</c:v>
                </c:pt>
                <c:pt idx="132">
                  <c:v>24.312114990000001</c:v>
                </c:pt>
                <c:pt idx="133">
                  <c:v>24.87063655</c:v>
                </c:pt>
                <c:pt idx="134">
                  <c:v>24.90349076</c:v>
                </c:pt>
                <c:pt idx="135">
                  <c:v>25.10061602</c:v>
                </c:pt>
                <c:pt idx="136">
                  <c:v>25.23203285</c:v>
                </c:pt>
                <c:pt idx="137">
                  <c:v>25.527720739999999</c:v>
                </c:pt>
                <c:pt idx="138">
                  <c:v>25.560574949999999</c:v>
                </c:pt>
                <c:pt idx="139">
                  <c:v>25.921971249999999</c:v>
                </c:pt>
                <c:pt idx="140">
                  <c:v>25.954825459999999</c:v>
                </c:pt>
                <c:pt idx="141">
                  <c:v>26.480492809999649</c:v>
                </c:pt>
                <c:pt idx="142">
                  <c:v>26.513347020000001</c:v>
                </c:pt>
                <c:pt idx="143">
                  <c:v>26.579055440000001</c:v>
                </c:pt>
                <c:pt idx="144">
                  <c:v>26.611909650000001</c:v>
                </c:pt>
                <c:pt idx="145">
                  <c:v>26.644763860000001</c:v>
                </c:pt>
                <c:pt idx="146">
                  <c:v>26.677618070000001</c:v>
                </c:pt>
                <c:pt idx="147">
                  <c:v>26.710472280000001</c:v>
                </c:pt>
                <c:pt idx="148">
                  <c:v>26.743326490000001</c:v>
                </c:pt>
                <c:pt idx="149">
                  <c:v>26.776180700000001</c:v>
                </c:pt>
                <c:pt idx="150">
                  <c:v>26.809034910000001</c:v>
                </c:pt>
                <c:pt idx="151">
                  <c:v>26.841889120000001</c:v>
                </c:pt>
                <c:pt idx="152">
                  <c:v>26.874743330000001</c:v>
                </c:pt>
                <c:pt idx="153">
                  <c:v>26.907597540000001</c:v>
                </c:pt>
                <c:pt idx="154">
                  <c:v>26.940451750000001</c:v>
                </c:pt>
                <c:pt idx="155">
                  <c:v>26.973305960000001</c:v>
                </c:pt>
                <c:pt idx="156">
                  <c:v>27.00616016</c:v>
                </c:pt>
                <c:pt idx="157">
                  <c:v>27.03901437</c:v>
                </c:pt>
                <c:pt idx="158">
                  <c:v>27.07186858</c:v>
                </c:pt>
                <c:pt idx="159">
                  <c:v>27.10472279</c:v>
                </c:pt>
                <c:pt idx="160">
                  <c:v>27.137577</c:v>
                </c:pt>
                <c:pt idx="161">
                  <c:v>27.17043121</c:v>
                </c:pt>
                <c:pt idx="162">
                  <c:v>27.20328542</c:v>
                </c:pt>
                <c:pt idx="163">
                  <c:v>27.23613963</c:v>
                </c:pt>
                <c:pt idx="164">
                  <c:v>27.26899384</c:v>
                </c:pt>
                <c:pt idx="165">
                  <c:v>27.30184805</c:v>
                </c:pt>
                <c:pt idx="166">
                  <c:v>27.33470226</c:v>
                </c:pt>
                <c:pt idx="167">
                  <c:v>27.36755647</c:v>
                </c:pt>
                <c:pt idx="168">
                  <c:v>27.40041068</c:v>
                </c:pt>
                <c:pt idx="169">
                  <c:v>27.43326489</c:v>
                </c:pt>
                <c:pt idx="170">
                  <c:v>27.4661191</c:v>
                </c:pt>
                <c:pt idx="171">
                  <c:v>27.49897331</c:v>
                </c:pt>
                <c:pt idx="172">
                  <c:v>27.53182752</c:v>
                </c:pt>
                <c:pt idx="173">
                  <c:v>27.56468173</c:v>
                </c:pt>
                <c:pt idx="174">
                  <c:v>27.597535929999999</c:v>
                </c:pt>
                <c:pt idx="175">
                  <c:v>27.630390139999999</c:v>
                </c:pt>
                <c:pt idx="176">
                  <c:v>27.663244349999999</c:v>
                </c:pt>
                <c:pt idx="177">
                  <c:v>27.696098559999999</c:v>
                </c:pt>
                <c:pt idx="178">
                  <c:v>27.761806979999999</c:v>
                </c:pt>
                <c:pt idx="179">
                  <c:v>27.794661189999999</c:v>
                </c:pt>
                <c:pt idx="180">
                  <c:v>27.827515399999999</c:v>
                </c:pt>
                <c:pt idx="181">
                  <c:v>27.860369609999999</c:v>
                </c:pt>
                <c:pt idx="182">
                  <c:v>27.893223819999999</c:v>
                </c:pt>
                <c:pt idx="183">
                  <c:v>27.926078029999999</c:v>
                </c:pt>
                <c:pt idx="184">
                  <c:v>27.991786449999999</c:v>
                </c:pt>
                <c:pt idx="185">
                  <c:v>28.024640659999999</c:v>
                </c:pt>
                <c:pt idx="186">
                  <c:v>28.057494869999999</c:v>
                </c:pt>
                <c:pt idx="187">
                  <c:v>28.090349079999779</c:v>
                </c:pt>
                <c:pt idx="188">
                  <c:v>28.123203289999999</c:v>
                </c:pt>
                <c:pt idx="189">
                  <c:v>28.156057499999999</c:v>
                </c:pt>
                <c:pt idx="190">
                  <c:v>28.221765909999991</c:v>
                </c:pt>
                <c:pt idx="191">
                  <c:v>28.287474329999991</c:v>
                </c:pt>
                <c:pt idx="192">
                  <c:v>28.320328539999981</c:v>
                </c:pt>
                <c:pt idx="193">
                  <c:v>28.353182749999991</c:v>
                </c:pt>
                <c:pt idx="194">
                  <c:v>28.386036959999981</c:v>
                </c:pt>
                <c:pt idx="195">
                  <c:v>28.418891169999998</c:v>
                </c:pt>
                <c:pt idx="196">
                  <c:v>28.451745379999981</c:v>
                </c:pt>
                <c:pt idx="197">
                  <c:v>28.484599589999679</c:v>
                </c:pt>
                <c:pt idx="198">
                  <c:v>28.517453799999998</c:v>
                </c:pt>
                <c:pt idx="199">
                  <c:v>28.550308009999991</c:v>
                </c:pt>
                <c:pt idx="200">
                  <c:v>28.583162219999981</c:v>
                </c:pt>
                <c:pt idx="201">
                  <c:v>28.616016429999998</c:v>
                </c:pt>
                <c:pt idx="202">
                  <c:v>28.648870639999991</c:v>
                </c:pt>
                <c:pt idx="203">
                  <c:v>28.681724849999981</c:v>
                </c:pt>
                <c:pt idx="204">
                  <c:v>28.714579059999991</c:v>
                </c:pt>
                <c:pt idx="205">
                  <c:v>28.747433269999981</c:v>
                </c:pt>
                <c:pt idx="206">
                  <c:v>28.780287470000001</c:v>
                </c:pt>
                <c:pt idx="207">
                  <c:v>28.813141680000001</c:v>
                </c:pt>
                <c:pt idx="208">
                  <c:v>28.845995890000001</c:v>
                </c:pt>
                <c:pt idx="209">
                  <c:v>28.878850100000001</c:v>
                </c:pt>
                <c:pt idx="210">
                  <c:v>28.944558520000001</c:v>
                </c:pt>
                <c:pt idx="211">
                  <c:v>28.977412730000001</c:v>
                </c:pt>
                <c:pt idx="212">
                  <c:v>29.010266940000001</c:v>
                </c:pt>
                <c:pt idx="213">
                  <c:v>29.043121150000001</c:v>
                </c:pt>
                <c:pt idx="214">
                  <c:v>29.075975360000001</c:v>
                </c:pt>
                <c:pt idx="215">
                  <c:v>29.141683780000001</c:v>
                </c:pt>
                <c:pt idx="216">
                  <c:v>29.207392200000001</c:v>
                </c:pt>
                <c:pt idx="217">
                  <c:v>29.240246410000001</c:v>
                </c:pt>
                <c:pt idx="218">
                  <c:v>29.305954830000001</c:v>
                </c:pt>
                <c:pt idx="219">
                  <c:v>29.37166324</c:v>
                </c:pt>
                <c:pt idx="220">
                  <c:v>29.43737166</c:v>
                </c:pt>
                <c:pt idx="221">
                  <c:v>29.47022587</c:v>
                </c:pt>
                <c:pt idx="222">
                  <c:v>29.50308008</c:v>
                </c:pt>
                <c:pt idx="223">
                  <c:v>29.53593429</c:v>
                </c:pt>
                <c:pt idx="224">
                  <c:v>29.63449692</c:v>
                </c:pt>
                <c:pt idx="225">
                  <c:v>29.70020534</c:v>
                </c:pt>
                <c:pt idx="226">
                  <c:v>29.73305955</c:v>
                </c:pt>
                <c:pt idx="227">
                  <c:v>29.79876797</c:v>
                </c:pt>
                <c:pt idx="228">
                  <c:v>29.93018481</c:v>
                </c:pt>
                <c:pt idx="229">
                  <c:v>29.963039009999779</c:v>
                </c:pt>
                <c:pt idx="230">
                  <c:v>29.995893219999999</c:v>
                </c:pt>
                <c:pt idx="231">
                  <c:v>30.028747429999999</c:v>
                </c:pt>
                <c:pt idx="232">
                  <c:v>30.061601639999999</c:v>
                </c:pt>
                <c:pt idx="233">
                  <c:v>30.160164269999999</c:v>
                </c:pt>
                <c:pt idx="234">
                  <c:v>30.390143739999999</c:v>
                </c:pt>
                <c:pt idx="235">
                  <c:v>30.422997949999999</c:v>
                </c:pt>
                <c:pt idx="236">
                  <c:v>31.112936349999991</c:v>
                </c:pt>
                <c:pt idx="237">
                  <c:v>31.145790550000001</c:v>
                </c:pt>
                <c:pt idx="238">
                  <c:v>31.244353180000001</c:v>
                </c:pt>
                <c:pt idx="239">
                  <c:v>31.73716632</c:v>
                </c:pt>
                <c:pt idx="240">
                  <c:v>31.96714579</c:v>
                </c:pt>
                <c:pt idx="241">
                  <c:v>32.952772070000002</c:v>
                </c:pt>
              </c:numCache>
            </c:numRef>
          </c:xVal>
          <c:yVal>
            <c:numRef>
              <c:f>'KM TTOT'!$C$6:$C$247</c:f>
              <c:numCache>
                <c:formatCode>0.00</c:formatCode>
                <c:ptCount val="242"/>
                <c:pt idx="0">
                  <c:v>1</c:v>
                </c:pt>
                <c:pt idx="1">
                  <c:v>0.97670549100000004</c:v>
                </c:pt>
                <c:pt idx="2">
                  <c:v>0.97171381000000001</c:v>
                </c:pt>
                <c:pt idx="3">
                  <c:v>0.97004991699999998</c:v>
                </c:pt>
                <c:pt idx="4">
                  <c:v>0.96838602299999998</c:v>
                </c:pt>
                <c:pt idx="5">
                  <c:v>0.96672212999999996</c:v>
                </c:pt>
                <c:pt idx="6">
                  <c:v>0.96505823599999996</c:v>
                </c:pt>
                <c:pt idx="7">
                  <c:v>0.96339434300000004</c:v>
                </c:pt>
                <c:pt idx="8">
                  <c:v>0.96173044900000004</c:v>
                </c:pt>
                <c:pt idx="9">
                  <c:v>0.96006655600000002</c:v>
                </c:pt>
                <c:pt idx="10">
                  <c:v>0.95840266200000002</c:v>
                </c:pt>
                <c:pt idx="11">
                  <c:v>0.95673876899999999</c:v>
                </c:pt>
                <c:pt idx="12">
                  <c:v>0.95341098199999996</c:v>
                </c:pt>
                <c:pt idx="13">
                  <c:v>0.95174708799999996</c:v>
                </c:pt>
                <c:pt idx="14">
                  <c:v>0.94841930100000005</c:v>
                </c:pt>
                <c:pt idx="15">
                  <c:v>0.94509151400000002</c:v>
                </c:pt>
                <c:pt idx="16">
                  <c:v>0.94342762099999999</c:v>
                </c:pt>
                <c:pt idx="17">
                  <c:v>0.94176372699999999</c:v>
                </c:pt>
                <c:pt idx="18">
                  <c:v>0.94009983399999997</c:v>
                </c:pt>
                <c:pt idx="19">
                  <c:v>0.93843593999999997</c:v>
                </c:pt>
                <c:pt idx="20">
                  <c:v>0.93677204700000005</c:v>
                </c:pt>
                <c:pt idx="21">
                  <c:v>0.93510815300000005</c:v>
                </c:pt>
                <c:pt idx="22">
                  <c:v>0.93344426000000003</c:v>
                </c:pt>
                <c:pt idx="23">
                  <c:v>0.93178036600000003</c:v>
                </c:pt>
                <c:pt idx="24">
                  <c:v>0.92346089899999995</c:v>
                </c:pt>
                <c:pt idx="25">
                  <c:v>0.92179700499999995</c:v>
                </c:pt>
                <c:pt idx="26">
                  <c:v>0.92013311200000003</c:v>
                </c:pt>
                <c:pt idx="27">
                  <c:v>0.91181364399999998</c:v>
                </c:pt>
                <c:pt idx="28">
                  <c:v>0.91014974999999998</c:v>
                </c:pt>
                <c:pt idx="29">
                  <c:v>0.90848585699999995</c:v>
                </c:pt>
                <c:pt idx="30">
                  <c:v>0.90515807000000004</c:v>
                </c:pt>
                <c:pt idx="31">
                  <c:v>0.90349417600000004</c:v>
                </c:pt>
                <c:pt idx="32">
                  <c:v>0.90016638900000001</c:v>
                </c:pt>
                <c:pt idx="33">
                  <c:v>0.89850249599999998</c:v>
                </c:pt>
                <c:pt idx="34">
                  <c:v>0.89683860199999998</c:v>
                </c:pt>
                <c:pt idx="35">
                  <c:v>0.89517470899999996</c:v>
                </c:pt>
                <c:pt idx="36">
                  <c:v>0.89351081499999996</c:v>
                </c:pt>
                <c:pt idx="37">
                  <c:v>0.89184692200000004</c:v>
                </c:pt>
                <c:pt idx="38">
                  <c:v>0.89018302800000004</c:v>
                </c:pt>
                <c:pt idx="39">
                  <c:v>0.88851913500000002</c:v>
                </c:pt>
                <c:pt idx="40">
                  <c:v>0.88685524100000002</c:v>
                </c:pt>
                <c:pt idx="41">
                  <c:v>0.88519134799999999</c:v>
                </c:pt>
                <c:pt idx="42">
                  <c:v>0.88352745399999999</c:v>
                </c:pt>
                <c:pt idx="43">
                  <c:v>0.88186356099999996</c:v>
                </c:pt>
                <c:pt idx="44">
                  <c:v>0.88019966699999996</c:v>
                </c:pt>
                <c:pt idx="45">
                  <c:v>0.87853577400000005</c:v>
                </c:pt>
                <c:pt idx="46">
                  <c:v>0.87687188000000005</c:v>
                </c:pt>
                <c:pt idx="47">
                  <c:v>0.87520798700000002</c:v>
                </c:pt>
                <c:pt idx="48">
                  <c:v>0.87354409300000002</c:v>
                </c:pt>
                <c:pt idx="49">
                  <c:v>0.87188019999999999</c:v>
                </c:pt>
                <c:pt idx="50">
                  <c:v>0.870216306</c:v>
                </c:pt>
                <c:pt idx="51">
                  <c:v>0.86855241299999997</c:v>
                </c:pt>
                <c:pt idx="52">
                  <c:v>0.86522462600000005</c:v>
                </c:pt>
                <c:pt idx="53">
                  <c:v>0.86356073200000005</c:v>
                </c:pt>
                <c:pt idx="54">
                  <c:v>0.86023294500000003</c:v>
                </c:pt>
                <c:pt idx="55">
                  <c:v>0.858569052</c:v>
                </c:pt>
                <c:pt idx="56">
                  <c:v>0.856905158</c:v>
                </c:pt>
                <c:pt idx="57">
                  <c:v>0.85524126499999997</c:v>
                </c:pt>
                <c:pt idx="58">
                  <c:v>0.85357737099999997</c:v>
                </c:pt>
                <c:pt idx="59">
                  <c:v>0.85191347799999995</c:v>
                </c:pt>
                <c:pt idx="60">
                  <c:v>0.85024958399999995</c:v>
                </c:pt>
                <c:pt idx="61">
                  <c:v>0.84692179700000003</c:v>
                </c:pt>
                <c:pt idx="62">
                  <c:v>0.845257904</c:v>
                </c:pt>
                <c:pt idx="63">
                  <c:v>0.84359401000000001</c:v>
                </c:pt>
                <c:pt idx="64">
                  <c:v>0.84193011699999998</c:v>
                </c:pt>
                <c:pt idx="65">
                  <c:v>0.84026622299999998</c:v>
                </c:pt>
                <c:pt idx="66">
                  <c:v>0.83860232999999995</c:v>
                </c:pt>
                <c:pt idx="67">
                  <c:v>0.83693843599999995</c:v>
                </c:pt>
                <c:pt idx="68">
                  <c:v>0.83527454199999995</c:v>
                </c:pt>
                <c:pt idx="69">
                  <c:v>0.83361064900000004</c:v>
                </c:pt>
                <c:pt idx="70">
                  <c:v>0.83194675500000004</c:v>
                </c:pt>
                <c:pt idx="71">
                  <c:v>0.83028286200000001</c:v>
                </c:pt>
                <c:pt idx="72">
                  <c:v>0.82861896800000001</c:v>
                </c:pt>
                <c:pt idx="73">
                  <c:v>0.82695507499999998</c:v>
                </c:pt>
                <c:pt idx="74">
                  <c:v>0.82529118099999998</c:v>
                </c:pt>
                <c:pt idx="75">
                  <c:v>0.82362728799999996</c:v>
                </c:pt>
                <c:pt idx="76">
                  <c:v>0.82196339399999996</c:v>
                </c:pt>
                <c:pt idx="77">
                  <c:v>0.82029950100000004</c:v>
                </c:pt>
                <c:pt idx="78">
                  <c:v>0.81863560700000004</c:v>
                </c:pt>
                <c:pt idx="79">
                  <c:v>0.81697171400000002</c:v>
                </c:pt>
                <c:pt idx="80">
                  <c:v>0.81530782000000002</c:v>
                </c:pt>
                <c:pt idx="81">
                  <c:v>0.81364392699999999</c:v>
                </c:pt>
                <c:pt idx="82">
                  <c:v>0.81198003299999999</c:v>
                </c:pt>
                <c:pt idx="83">
                  <c:v>0.81031613999999996</c:v>
                </c:pt>
                <c:pt idx="84">
                  <c:v>0.80865224599999996</c:v>
                </c:pt>
                <c:pt idx="85">
                  <c:v>0.80698835300000005</c:v>
                </c:pt>
                <c:pt idx="86">
                  <c:v>0.80532445900000005</c:v>
                </c:pt>
                <c:pt idx="87">
                  <c:v>0.80366056600000002</c:v>
                </c:pt>
                <c:pt idx="88">
                  <c:v>0.80199667200000002</c:v>
                </c:pt>
                <c:pt idx="89">
                  <c:v>0.80033277899999999</c:v>
                </c:pt>
                <c:pt idx="90">
                  <c:v>0.798668885</c:v>
                </c:pt>
                <c:pt idx="91">
                  <c:v>0.79700499199999997</c:v>
                </c:pt>
                <c:pt idx="92">
                  <c:v>0.79367720500000005</c:v>
                </c:pt>
                <c:pt idx="93">
                  <c:v>0.79201331100000005</c:v>
                </c:pt>
                <c:pt idx="94">
                  <c:v>0.79034941800000003</c:v>
                </c:pt>
                <c:pt idx="95">
                  <c:v>0.78868552400000003</c:v>
                </c:pt>
                <c:pt idx="96">
                  <c:v>0.787021631</c:v>
                </c:pt>
                <c:pt idx="97">
                  <c:v>0.785357737</c:v>
                </c:pt>
                <c:pt idx="98">
                  <c:v>0.78369384399999997</c:v>
                </c:pt>
                <c:pt idx="99">
                  <c:v>0.78202994999999997</c:v>
                </c:pt>
                <c:pt idx="100">
                  <c:v>0.78036605699999995</c:v>
                </c:pt>
                <c:pt idx="101">
                  <c:v>0.77870216299999995</c:v>
                </c:pt>
                <c:pt idx="102">
                  <c:v>0.77703827000000003</c:v>
                </c:pt>
                <c:pt idx="103">
                  <c:v>0.77537437600000003</c:v>
                </c:pt>
                <c:pt idx="104">
                  <c:v>0.773710483</c:v>
                </c:pt>
                <c:pt idx="105">
                  <c:v>0.77204658900000001</c:v>
                </c:pt>
                <c:pt idx="106">
                  <c:v>0.76871880199999998</c:v>
                </c:pt>
                <c:pt idx="107">
                  <c:v>0.76705490899999995</c:v>
                </c:pt>
                <c:pt idx="108">
                  <c:v>0.76372712200000004</c:v>
                </c:pt>
                <c:pt idx="109">
                  <c:v>0.76206322800000004</c:v>
                </c:pt>
                <c:pt idx="110">
                  <c:v>0.76039933400000004</c:v>
                </c:pt>
                <c:pt idx="111">
                  <c:v>0.75873544100000001</c:v>
                </c:pt>
                <c:pt idx="112">
                  <c:v>0.75707154700000001</c:v>
                </c:pt>
                <c:pt idx="113">
                  <c:v>0.75374375999999998</c:v>
                </c:pt>
                <c:pt idx="114">
                  <c:v>0.75207986699999996</c:v>
                </c:pt>
                <c:pt idx="115">
                  <c:v>0.75041597299999996</c:v>
                </c:pt>
                <c:pt idx="116">
                  <c:v>0.74875208000000004</c:v>
                </c:pt>
                <c:pt idx="117">
                  <c:v>0.74708818600000004</c:v>
                </c:pt>
                <c:pt idx="118">
                  <c:v>0.74542429300000002</c:v>
                </c:pt>
                <c:pt idx="119">
                  <c:v>0.74376039900000002</c:v>
                </c:pt>
                <c:pt idx="120">
                  <c:v>0.74209650599999999</c:v>
                </c:pt>
                <c:pt idx="121">
                  <c:v>0.74043261199999999</c:v>
                </c:pt>
                <c:pt idx="122">
                  <c:v>0.73876871899999996</c:v>
                </c:pt>
                <c:pt idx="123">
                  <c:v>0.73544093200000005</c:v>
                </c:pt>
                <c:pt idx="124">
                  <c:v>0.73211314500000002</c:v>
                </c:pt>
                <c:pt idx="125">
                  <c:v>0.73044925100000002</c:v>
                </c:pt>
                <c:pt idx="126">
                  <c:v>0.72878535799999999</c:v>
                </c:pt>
                <c:pt idx="127">
                  <c:v>0.72545757099999997</c:v>
                </c:pt>
                <c:pt idx="128">
                  <c:v>0.72379367699999997</c:v>
                </c:pt>
                <c:pt idx="129">
                  <c:v>0.72212978400000005</c:v>
                </c:pt>
                <c:pt idx="130">
                  <c:v>0.72046589000000005</c:v>
                </c:pt>
                <c:pt idx="131">
                  <c:v>0.71880199700000003</c:v>
                </c:pt>
                <c:pt idx="132">
                  <c:v>0.71713810300000003</c:v>
                </c:pt>
                <c:pt idx="133">
                  <c:v>0.71547421</c:v>
                </c:pt>
                <c:pt idx="134">
                  <c:v>0.713810316</c:v>
                </c:pt>
                <c:pt idx="135">
                  <c:v>0.71214642299999997</c:v>
                </c:pt>
                <c:pt idx="136">
                  <c:v>0.71048252899999997</c:v>
                </c:pt>
                <c:pt idx="137">
                  <c:v>0.70881863599999995</c:v>
                </c:pt>
                <c:pt idx="138">
                  <c:v>0.70715474199999995</c:v>
                </c:pt>
                <c:pt idx="139">
                  <c:v>0.70549084900000003</c:v>
                </c:pt>
                <c:pt idx="140">
                  <c:v>0.702163062</c:v>
                </c:pt>
                <c:pt idx="141">
                  <c:v>0.69883527499999998</c:v>
                </c:pt>
                <c:pt idx="142">
                  <c:v>0.69717138099999998</c:v>
                </c:pt>
                <c:pt idx="143">
                  <c:v>0.69217970100000004</c:v>
                </c:pt>
                <c:pt idx="144">
                  <c:v>0.68718802000000001</c:v>
                </c:pt>
                <c:pt idx="145">
                  <c:v>0.68552412699999998</c:v>
                </c:pt>
                <c:pt idx="146">
                  <c:v>0.68053244599999996</c:v>
                </c:pt>
                <c:pt idx="147">
                  <c:v>0.66389351100000005</c:v>
                </c:pt>
                <c:pt idx="148">
                  <c:v>0.65890183000000002</c:v>
                </c:pt>
                <c:pt idx="149">
                  <c:v>0.65058236300000005</c:v>
                </c:pt>
                <c:pt idx="150">
                  <c:v>0.64725457600000003</c:v>
                </c:pt>
                <c:pt idx="151">
                  <c:v>0.64059900199999997</c:v>
                </c:pt>
                <c:pt idx="152">
                  <c:v>0.63727121499999995</c:v>
                </c:pt>
                <c:pt idx="153">
                  <c:v>0.630615641</c:v>
                </c:pt>
                <c:pt idx="154">
                  <c:v>0.59567387699999996</c:v>
                </c:pt>
                <c:pt idx="155">
                  <c:v>0.57903494200000005</c:v>
                </c:pt>
                <c:pt idx="156">
                  <c:v>0.56905158099999997</c:v>
                </c:pt>
                <c:pt idx="157">
                  <c:v>0.55906822</c:v>
                </c:pt>
                <c:pt idx="158">
                  <c:v>0.55241264599999995</c:v>
                </c:pt>
                <c:pt idx="159">
                  <c:v>0.54742096500000004</c:v>
                </c:pt>
                <c:pt idx="160">
                  <c:v>0.53743760399999996</c:v>
                </c:pt>
                <c:pt idx="161">
                  <c:v>0.50915141399999997</c:v>
                </c:pt>
                <c:pt idx="162">
                  <c:v>0.48086522500000001</c:v>
                </c:pt>
                <c:pt idx="163">
                  <c:v>0.47587354399999998</c:v>
                </c:pt>
                <c:pt idx="164">
                  <c:v>0.46921796999999998</c:v>
                </c:pt>
                <c:pt idx="165">
                  <c:v>0.46422628999999999</c:v>
                </c:pt>
                <c:pt idx="166">
                  <c:v>0.45923460900000002</c:v>
                </c:pt>
                <c:pt idx="167">
                  <c:v>0.44925124799999999</c:v>
                </c:pt>
                <c:pt idx="168">
                  <c:v>0.42595673899999997</c:v>
                </c:pt>
                <c:pt idx="169">
                  <c:v>0.41098169699999998</c:v>
                </c:pt>
                <c:pt idx="170">
                  <c:v>0.40432612299999998</c:v>
                </c:pt>
                <c:pt idx="171">
                  <c:v>0.40099833600000001</c:v>
                </c:pt>
                <c:pt idx="172">
                  <c:v>0.39600665600000001</c:v>
                </c:pt>
                <c:pt idx="173">
                  <c:v>0.38602329499999999</c:v>
                </c:pt>
                <c:pt idx="174">
                  <c:v>0.37603993299999999</c:v>
                </c:pt>
                <c:pt idx="175">
                  <c:v>0.357737105</c:v>
                </c:pt>
                <c:pt idx="176">
                  <c:v>0.34608984999999998</c:v>
                </c:pt>
                <c:pt idx="177">
                  <c:v>0.34276206300000001</c:v>
                </c:pt>
                <c:pt idx="178">
                  <c:v>0.33610648900000001</c:v>
                </c:pt>
                <c:pt idx="179">
                  <c:v>0.33108997400000001</c:v>
                </c:pt>
                <c:pt idx="180">
                  <c:v>0.32272911700000001</c:v>
                </c:pt>
                <c:pt idx="181">
                  <c:v>0.30433522899999998</c:v>
                </c:pt>
                <c:pt idx="182">
                  <c:v>0.29764654299999999</c:v>
                </c:pt>
                <c:pt idx="183">
                  <c:v>0.29095785600000001</c:v>
                </c:pt>
                <c:pt idx="184">
                  <c:v>0.28928568500000001</c:v>
                </c:pt>
                <c:pt idx="185">
                  <c:v>0.28761351299999999</c:v>
                </c:pt>
                <c:pt idx="186">
                  <c:v>0.28426917000000002</c:v>
                </c:pt>
                <c:pt idx="187">
                  <c:v>0.26921962599999999</c:v>
                </c:pt>
                <c:pt idx="188">
                  <c:v>0.26754745400000002</c:v>
                </c:pt>
                <c:pt idx="189">
                  <c:v>0.26253093900000002</c:v>
                </c:pt>
                <c:pt idx="190">
                  <c:v>0.25918659599999999</c:v>
                </c:pt>
                <c:pt idx="191">
                  <c:v>0.25584225300000002</c:v>
                </c:pt>
                <c:pt idx="192">
                  <c:v>0.25082573800000002</c:v>
                </c:pt>
                <c:pt idx="193">
                  <c:v>0.24748139499999999</c:v>
                </c:pt>
                <c:pt idx="194">
                  <c:v>0.24580922299999999</c:v>
                </c:pt>
                <c:pt idx="195">
                  <c:v>0.24079270899999999</c:v>
                </c:pt>
                <c:pt idx="196">
                  <c:v>0.23744836599999999</c:v>
                </c:pt>
                <c:pt idx="197">
                  <c:v>0.23410402199999999</c:v>
                </c:pt>
                <c:pt idx="198">
                  <c:v>0.229087508</c:v>
                </c:pt>
                <c:pt idx="199">
                  <c:v>0.205677105</c:v>
                </c:pt>
                <c:pt idx="200">
                  <c:v>0.188955389</c:v>
                </c:pt>
                <c:pt idx="201">
                  <c:v>0.187283218</c:v>
                </c:pt>
                <c:pt idx="202">
                  <c:v>0.185611046</c:v>
                </c:pt>
                <c:pt idx="203">
                  <c:v>0.177250188</c:v>
                </c:pt>
                <c:pt idx="204">
                  <c:v>0.175578017</c:v>
                </c:pt>
                <c:pt idx="205">
                  <c:v>0.162200644</c:v>
                </c:pt>
                <c:pt idx="206">
                  <c:v>0.14547892800000001</c:v>
                </c:pt>
                <c:pt idx="207">
                  <c:v>0.13544589900000001</c:v>
                </c:pt>
                <c:pt idx="208">
                  <c:v>0.123740698</c:v>
                </c:pt>
                <c:pt idx="209">
                  <c:v>0.120396354</c:v>
                </c:pt>
                <c:pt idx="210">
                  <c:v>0.117052011</c:v>
                </c:pt>
                <c:pt idx="211">
                  <c:v>0.112035496</c:v>
                </c:pt>
                <c:pt idx="212">
                  <c:v>9.8658124E-2</c:v>
                </c:pt>
                <c:pt idx="213">
                  <c:v>8.6952923000000001E-2</c:v>
                </c:pt>
                <c:pt idx="214">
                  <c:v>8.5280751000000002E-2</c:v>
                </c:pt>
                <c:pt idx="215">
                  <c:v>8.3608579000000002E-2</c:v>
                </c:pt>
                <c:pt idx="216">
                  <c:v>8.1936408000000002E-2</c:v>
                </c:pt>
                <c:pt idx="217">
                  <c:v>6.8559035000000004E-2</c:v>
                </c:pt>
                <c:pt idx="218">
                  <c:v>6.3542520000000005E-2</c:v>
                </c:pt>
                <c:pt idx="219">
                  <c:v>5.6853833999999999E-2</c:v>
                </c:pt>
                <c:pt idx="220">
                  <c:v>5.5181661999999999E-2</c:v>
                </c:pt>
                <c:pt idx="221">
                  <c:v>4.5148633000000001E-2</c:v>
                </c:pt>
                <c:pt idx="222">
                  <c:v>4.3476461000000001E-2</c:v>
                </c:pt>
                <c:pt idx="223">
                  <c:v>4.1804290000000001E-2</c:v>
                </c:pt>
                <c:pt idx="224">
                  <c:v>3.6787775000000002E-2</c:v>
                </c:pt>
                <c:pt idx="225">
                  <c:v>3.1771260000000003E-2</c:v>
                </c:pt>
                <c:pt idx="226">
                  <c:v>3.0099088999999999E-2</c:v>
                </c:pt>
                <c:pt idx="227">
                  <c:v>2.8426916999999999E-2</c:v>
                </c:pt>
                <c:pt idx="228">
                  <c:v>2.6754745E-2</c:v>
                </c:pt>
                <c:pt idx="229">
                  <c:v>2.3410402E-2</c:v>
                </c:pt>
                <c:pt idx="230">
                  <c:v>2.1738231E-2</c:v>
                </c:pt>
                <c:pt idx="231">
                  <c:v>1.8393888000000001E-2</c:v>
                </c:pt>
                <c:pt idx="232">
                  <c:v>1.6721716000000001E-2</c:v>
                </c:pt>
                <c:pt idx="233">
                  <c:v>1.5049544E-2</c:v>
                </c:pt>
                <c:pt idx="234">
                  <c:v>1.3377373E-2</c:v>
                </c:pt>
                <c:pt idx="235">
                  <c:v>1.1705201E-2</c:v>
                </c:pt>
                <c:pt idx="236">
                  <c:v>1.003303E-2</c:v>
                </c:pt>
                <c:pt idx="237">
                  <c:v>8.3608580000000005E-3</c:v>
                </c:pt>
                <c:pt idx="238">
                  <c:v>6.6886860000000001E-3</c:v>
                </c:pt>
                <c:pt idx="239">
                  <c:v>3.3443430000000001E-3</c:v>
                </c:pt>
                <c:pt idx="240">
                  <c:v>1.672172E-3</c:v>
                </c:pt>
                <c:pt idx="241">
                  <c:v>0</c:v>
                </c:pt>
              </c:numCache>
            </c:numRef>
          </c:yVal>
          <c:smooth val="0"/>
          <c:extLst xmlns:c16r2="http://schemas.microsoft.com/office/drawing/2015/06/chart">
            <c:ext xmlns:c16="http://schemas.microsoft.com/office/drawing/2014/chart" uri="{C3380CC4-5D6E-409C-BE32-E72D297353CC}">
              <c16:uniqueId val="{00000000-03A0-4AC0-98D5-91A2FC0C75AE}"/>
            </c:ext>
          </c:extLst>
        </c:ser>
        <c:ser>
          <c:idx val="1"/>
          <c:order val="1"/>
          <c:tx>
            <c:strRef>
              <c:f>'KM TTOT'!$G$4:$J$4</c:f>
              <c:strCache>
                <c:ptCount val="1"/>
                <c:pt idx="0">
                  <c:v>R-Chemo</c:v>
                </c:pt>
              </c:strCache>
            </c:strRef>
          </c:tx>
          <c:marker>
            <c:symbol val="none"/>
          </c:marker>
          <c:xVal>
            <c:numRef>
              <c:f>'KM TTOT'!$G$6:$G$259</c:f>
              <c:numCache>
                <c:formatCode>0.00</c:formatCode>
                <c:ptCount val="254"/>
                <c:pt idx="0">
                  <c:v>0</c:v>
                </c:pt>
                <c:pt idx="1">
                  <c:v>3.2854209000000002E-2</c:v>
                </c:pt>
                <c:pt idx="2">
                  <c:v>0.722792608</c:v>
                </c:pt>
                <c:pt idx="3">
                  <c:v>0.95277207399999997</c:v>
                </c:pt>
                <c:pt idx="4">
                  <c:v>0.98562628299999999</c:v>
                </c:pt>
                <c:pt idx="5">
                  <c:v>1.0513347019999999</c:v>
                </c:pt>
                <c:pt idx="6">
                  <c:v>1.3798767970000001</c:v>
                </c:pt>
                <c:pt idx="7">
                  <c:v>1.412731006</c:v>
                </c:pt>
                <c:pt idx="8">
                  <c:v>1.445585216</c:v>
                </c:pt>
                <c:pt idx="9">
                  <c:v>1.8726899379999999</c:v>
                </c:pt>
                <c:pt idx="10">
                  <c:v>2.069815194999999</c:v>
                </c:pt>
                <c:pt idx="11">
                  <c:v>2.102669404999999</c:v>
                </c:pt>
                <c:pt idx="12">
                  <c:v>2.1355236139999998</c:v>
                </c:pt>
                <c:pt idx="13">
                  <c:v>2.1683778230000001</c:v>
                </c:pt>
                <c:pt idx="14">
                  <c:v>2.2012320330000001</c:v>
                </c:pt>
                <c:pt idx="15">
                  <c:v>2.2669404520000001</c:v>
                </c:pt>
                <c:pt idx="16">
                  <c:v>2.6940451749999981</c:v>
                </c:pt>
                <c:pt idx="17">
                  <c:v>2.7926078030000001</c:v>
                </c:pt>
                <c:pt idx="18">
                  <c:v>2.9240246409999999</c:v>
                </c:pt>
                <c:pt idx="19">
                  <c:v>2.9568788499999981</c:v>
                </c:pt>
                <c:pt idx="20">
                  <c:v>3.0882956880000001</c:v>
                </c:pt>
                <c:pt idx="21">
                  <c:v>3.2525667349999998</c:v>
                </c:pt>
                <c:pt idx="22">
                  <c:v>3.4825462009999999</c:v>
                </c:pt>
                <c:pt idx="23">
                  <c:v>3.6796714580000001</c:v>
                </c:pt>
                <c:pt idx="24">
                  <c:v>3.712525667</c:v>
                </c:pt>
                <c:pt idx="25">
                  <c:v>3.745379877</c:v>
                </c:pt>
                <c:pt idx="26">
                  <c:v>3.942505133999997</c:v>
                </c:pt>
                <c:pt idx="27">
                  <c:v>4.1724845999999536</c:v>
                </c:pt>
                <c:pt idx="28">
                  <c:v>4.3696098559999976</c:v>
                </c:pt>
                <c:pt idx="29">
                  <c:v>4.4024640659999976</c:v>
                </c:pt>
                <c:pt idx="30">
                  <c:v>4.5010266940000001</c:v>
                </c:pt>
                <c:pt idx="31">
                  <c:v>4.5338809040000001</c:v>
                </c:pt>
                <c:pt idx="32">
                  <c:v>4.566735113</c:v>
                </c:pt>
                <c:pt idx="33">
                  <c:v>4.5995893219999946</c:v>
                </c:pt>
                <c:pt idx="34">
                  <c:v>4.6324435319999866</c:v>
                </c:pt>
                <c:pt idx="35">
                  <c:v>4.7967145789999437</c:v>
                </c:pt>
                <c:pt idx="36">
                  <c:v>4.8295687889999996</c:v>
                </c:pt>
                <c:pt idx="37">
                  <c:v>4.8624229979999756</c:v>
                </c:pt>
                <c:pt idx="38">
                  <c:v>4.8952772069999746</c:v>
                </c:pt>
                <c:pt idx="39">
                  <c:v>5.0266940450000002</c:v>
                </c:pt>
                <c:pt idx="40">
                  <c:v>5.0924024640000001</c:v>
                </c:pt>
                <c:pt idx="41">
                  <c:v>5.3223819299999446</c:v>
                </c:pt>
                <c:pt idx="42">
                  <c:v>5.3880903489999756</c:v>
                </c:pt>
                <c:pt idx="43">
                  <c:v>5.4209445589999437</c:v>
                </c:pt>
                <c:pt idx="44">
                  <c:v>5.7823408619999856</c:v>
                </c:pt>
                <c:pt idx="45">
                  <c:v>6.308008214</c:v>
                </c:pt>
                <c:pt idx="46">
                  <c:v>6.3408624229999999</c:v>
                </c:pt>
                <c:pt idx="47">
                  <c:v>6.5051334699999854</c:v>
                </c:pt>
                <c:pt idx="48">
                  <c:v>6.7022587270000002</c:v>
                </c:pt>
                <c:pt idx="49">
                  <c:v>6.8336755650000001</c:v>
                </c:pt>
                <c:pt idx="50">
                  <c:v>6.899383984</c:v>
                </c:pt>
                <c:pt idx="51">
                  <c:v>6.9322381929999999</c:v>
                </c:pt>
                <c:pt idx="52">
                  <c:v>7.0308008209999846</c:v>
                </c:pt>
                <c:pt idx="53">
                  <c:v>7.1293634499999996</c:v>
                </c:pt>
                <c:pt idx="54">
                  <c:v>7.1622176589999453</c:v>
                </c:pt>
                <c:pt idx="55">
                  <c:v>7.2279260779999372</c:v>
                </c:pt>
                <c:pt idx="56">
                  <c:v>7.983572895</c:v>
                </c:pt>
                <c:pt idx="57">
                  <c:v>8.0492813140000017</c:v>
                </c:pt>
                <c:pt idx="58">
                  <c:v>8.1806981519999997</c:v>
                </c:pt>
                <c:pt idx="59">
                  <c:v>8.3449691989999994</c:v>
                </c:pt>
                <c:pt idx="60">
                  <c:v>8.4763860369999993</c:v>
                </c:pt>
                <c:pt idx="61">
                  <c:v>8.5092402459999992</c:v>
                </c:pt>
                <c:pt idx="62">
                  <c:v>8.5749486650000009</c:v>
                </c:pt>
                <c:pt idx="63">
                  <c:v>8.6406570839999972</c:v>
                </c:pt>
                <c:pt idx="64">
                  <c:v>8.6735112940000008</c:v>
                </c:pt>
                <c:pt idx="65">
                  <c:v>8.8049281309999987</c:v>
                </c:pt>
                <c:pt idx="66">
                  <c:v>9.0349075980000002</c:v>
                </c:pt>
                <c:pt idx="67">
                  <c:v>9.0677618070000001</c:v>
                </c:pt>
                <c:pt idx="68">
                  <c:v>9.1991786449999982</c:v>
                </c:pt>
                <c:pt idx="69">
                  <c:v>9.2320328539999998</c:v>
                </c:pt>
                <c:pt idx="70">
                  <c:v>9.4291581109999996</c:v>
                </c:pt>
                <c:pt idx="71">
                  <c:v>9.4620123200000013</c:v>
                </c:pt>
                <c:pt idx="72">
                  <c:v>9.8562628340000007</c:v>
                </c:pt>
                <c:pt idx="73">
                  <c:v>10.15195072</c:v>
                </c:pt>
                <c:pt idx="74">
                  <c:v>10.18480493</c:v>
                </c:pt>
                <c:pt idx="75">
                  <c:v>10.21765914</c:v>
                </c:pt>
                <c:pt idx="76">
                  <c:v>10.31622177</c:v>
                </c:pt>
                <c:pt idx="77">
                  <c:v>10.38193019</c:v>
                </c:pt>
                <c:pt idx="78">
                  <c:v>10.513347019999999</c:v>
                </c:pt>
                <c:pt idx="79">
                  <c:v>10.579055439999999</c:v>
                </c:pt>
                <c:pt idx="80">
                  <c:v>10.611909649999999</c:v>
                </c:pt>
                <c:pt idx="81">
                  <c:v>10.841889119999999</c:v>
                </c:pt>
                <c:pt idx="82">
                  <c:v>10.874743329999999</c:v>
                </c:pt>
                <c:pt idx="83">
                  <c:v>10.907597539999999</c:v>
                </c:pt>
                <c:pt idx="84">
                  <c:v>11.00616016</c:v>
                </c:pt>
                <c:pt idx="85">
                  <c:v>11.10472279</c:v>
                </c:pt>
                <c:pt idx="86">
                  <c:v>12.024640659999999</c:v>
                </c:pt>
                <c:pt idx="87">
                  <c:v>12.057494869999999</c:v>
                </c:pt>
                <c:pt idx="88">
                  <c:v>12.1889117</c:v>
                </c:pt>
                <c:pt idx="89">
                  <c:v>12.25462012</c:v>
                </c:pt>
                <c:pt idx="90">
                  <c:v>12.38603696</c:v>
                </c:pt>
                <c:pt idx="91">
                  <c:v>12.71457906</c:v>
                </c:pt>
                <c:pt idx="92">
                  <c:v>13.40451745</c:v>
                </c:pt>
                <c:pt idx="93">
                  <c:v>13.83162218</c:v>
                </c:pt>
                <c:pt idx="94">
                  <c:v>14.061601639999999</c:v>
                </c:pt>
                <c:pt idx="95">
                  <c:v>14.291581109999999</c:v>
                </c:pt>
                <c:pt idx="96">
                  <c:v>14.324435319999999</c:v>
                </c:pt>
                <c:pt idx="97">
                  <c:v>14.357289529999999</c:v>
                </c:pt>
                <c:pt idx="98">
                  <c:v>14.488706369999999</c:v>
                </c:pt>
                <c:pt idx="99">
                  <c:v>14.55441478</c:v>
                </c:pt>
                <c:pt idx="100">
                  <c:v>14.58726899</c:v>
                </c:pt>
                <c:pt idx="101">
                  <c:v>14.71868583</c:v>
                </c:pt>
                <c:pt idx="102">
                  <c:v>14.81724846</c:v>
                </c:pt>
                <c:pt idx="103">
                  <c:v>14.98151951</c:v>
                </c:pt>
                <c:pt idx="104">
                  <c:v>15.01437372</c:v>
                </c:pt>
                <c:pt idx="105">
                  <c:v>15.178644759999999</c:v>
                </c:pt>
                <c:pt idx="106">
                  <c:v>15.211498969999999</c:v>
                </c:pt>
                <c:pt idx="107">
                  <c:v>15.244353179999999</c:v>
                </c:pt>
                <c:pt idx="108">
                  <c:v>15.638603700000001</c:v>
                </c:pt>
                <c:pt idx="109">
                  <c:v>15.86858316</c:v>
                </c:pt>
                <c:pt idx="110">
                  <c:v>16.13141684</c:v>
                </c:pt>
                <c:pt idx="111">
                  <c:v>16.591375769999999</c:v>
                </c:pt>
                <c:pt idx="112">
                  <c:v>16.722792609999779</c:v>
                </c:pt>
                <c:pt idx="113">
                  <c:v>16.854209449999999</c:v>
                </c:pt>
                <c:pt idx="114">
                  <c:v>17.051334700000009</c:v>
                </c:pt>
                <c:pt idx="115">
                  <c:v>17.248459960000002</c:v>
                </c:pt>
                <c:pt idx="116">
                  <c:v>17.609856260000001</c:v>
                </c:pt>
                <c:pt idx="117">
                  <c:v>17.741273100000001</c:v>
                </c:pt>
                <c:pt idx="118">
                  <c:v>17.872689940000001</c:v>
                </c:pt>
                <c:pt idx="119">
                  <c:v>17.971252570000001</c:v>
                </c:pt>
                <c:pt idx="120">
                  <c:v>18.66119097</c:v>
                </c:pt>
                <c:pt idx="121">
                  <c:v>19.186858319999999</c:v>
                </c:pt>
                <c:pt idx="122">
                  <c:v>19.581108830000002</c:v>
                </c:pt>
                <c:pt idx="123">
                  <c:v>19.646817250000009</c:v>
                </c:pt>
                <c:pt idx="124">
                  <c:v>19.74537987999965</c:v>
                </c:pt>
                <c:pt idx="125">
                  <c:v>19.811088300000009</c:v>
                </c:pt>
                <c:pt idx="126">
                  <c:v>19.876796720000009</c:v>
                </c:pt>
                <c:pt idx="127">
                  <c:v>19.942505130000001</c:v>
                </c:pt>
                <c:pt idx="128">
                  <c:v>19.975359340000001</c:v>
                </c:pt>
                <c:pt idx="129">
                  <c:v>20.041067760000001</c:v>
                </c:pt>
                <c:pt idx="130">
                  <c:v>20.073921970000001</c:v>
                </c:pt>
                <c:pt idx="131">
                  <c:v>20.303901440000001</c:v>
                </c:pt>
                <c:pt idx="132">
                  <c:v>20.50102669</c:v>
                </c:pt>
                <c:pt idx="133">
                  <c:v>20.92813142</c:v>
                </c:pt>
                <c:pt idx="134">
                  <c:v>21.125256669999999</c:v>
                </c:pt>
                <c:pt idx="135">
                  <c:v>21.223819299999999</c:v>
                </c:pt>
                <c:pt idx="136">
                  <c:v>21.815195070000001</c:v>
                </c:pt>
                <c:pt idx="137">
                  <c:v>22.110882960000001</c:v>
                </c:pt>
                <c:pt idx="138">
                  <c:v>22.537987680000001</c:v>
                </c:pt>
                <c:pt idx="139">
                  <c:v>23.03080082</c:v>
                </c:pt>
                <c:pt idx="140">
                  <c:v>23.19507187</c:v>
                </c:pt>
                <c:pt idx="141">
                  <c:v>23.490759749999999</c:v>
                </c:pt>
                <c:pt idx="142">
                  <c:v>23.523613959999999</c:v>
                </c:pt>
                <c:pt idx="143">
                  <c:v>23.786447639999739</c:v>
                </c:pt>
                <c:pt idx="144">
                  <c:v>24.410677620000001</c:v>
                </c:pt>
                <c:pt idx="145">
                  <c:v>24.44353182999998</c:v>
                </c:pt>
                <c:pt idx="146">
                  <c:v>25.10061602</c:v>
                </c:pt>
                <c:pt idx="147">
                  <c:v>25.13347023</c:v>
                </c:pt>
                <c:pt idx="148">
                  <c:v>25.29774127</c:v>
                </c:pt>
                <c:pt idx="149">
                  <c:v>25.527720739999999</c:v>
                </c:pt>
                <c:pt idx="150">
                  <c:v>25.593429159999999</c:v>
                </c:pt>
                <c:pt idx="151">
                  <c:v>25.691991789999999</c:v>
                </c:pt>
                <c:pt idx="152">
                  <c:v>25.757700209999999</c:v>
                </c:pt>
                <c:pt idx="153">
                  <c:v>25.790554419999999</c:v>
                </c:pt>
                <c:pt idx="154">
                  <c:v>25.954825459999999</c:v>
                </c:pt>
                <c:pt idx="155">
                  <c:v>26.020533879999739</c:v>
                </c:pt>
                <c:pt idx="156">
                  <c:v>26.250513349999981</c:v>
                </c:pt>
                <c:pt idx="157">
                  <c:v>26.414784390000001</c:v>
                </c:pt>
                <c:pt idx="158">
                  <c:v>26.480492809999649</c:v>
                </c:pt>
                <c:pt idx="159">
                  <c:v>26.546201230000001</c:v>
                </c:pt>
                <c:pt idx="160">
                  <c:v>26.611909650000001</c:v>
                </c:pt>
                <c:pt idx="161">
                  <c:v>26.677618070000001</c:v>
                </c:pt>
                <c:pt idx="162">
                  <c:v>26.710472280000001</c:v>
                </c:pt>
                <c:pt idx="163">
                  <c:v>26.743326490000001</c:v>
                </c:pt>
                <c:pt idx="164">
                  <c:v>26.776180700000001</c:v>
                </c:pt>
                <c:pt idx="165">
                  <c:v>26.809034910000001</c:v>
                </c:pt>
                <c:pt idx="166">
                  <c:v>26.841889120000001</c:v>
                </c:pt>
                <c:pt idx="167">
                  <c:v>26.874743330000001</c:v>
                </c:pt>
                <c:pt idx="168">
                  <c:v>26.907597540000001</c:v>
                </c:pt>
                <c:pt idx="169">
                  <c:v>26.940451750000001</c:v>
                </c:pt>
                <c:pt idx="170">
                  <c:v>26.973305960000001</c:v>
                </c:pt>
                <c:pt idx="171">
                  <c:v>27.00616016</c:v>
                </c:pt>
                <c:pt idx="172">
                  <c:v>27.03901437</c:v>
                </c:pt>
                <c:pt idx="173">
                  <c:v>27.07186858</c:v>
                </c:pt>
                <c:pt idx="174">
                  <c:v>27.10472279</c:v>
                </c:pt>
                <c:pt idx="175">
                  <c:v>27.137577</c:v>
                </c:pt>
                <c:pt idx="176">
                  <c:v>27.17043121</c:v>
                </c:pt>
                <c:pt idx="177">
                  <c:v>27.20328542</c:v>
                </c:pt>
                <c:pt idx="178">
                  <c:v>27.23613963</c:v>
                </c:pt>
                <c:pt idx="179">
                  <c:v>27.26899384</c:v>
                </c:pt>
                <c:pt idx="180">
                  <c:v>27.30184805</c:v>
                </c:pt>
                <c:pt idx="181">
                  <c:v>27.33470226</c:v>
                </c:pt>
                <c:pt idx="182">
                  <c:v>27.36755647</c:v>
                </c:pt>
                <c:pt idx="183">
                  <c:v>27.40041068</c:v>
                </c:pt>
                <c:pt idx="184">
                  <c:v>27.43326489</c:v>
                </c:pt>
                <c:pt idx="185">
                  <c:v>27.4661191</c:v>
                </c:pt>
                <c:pt idx="186">
                  <c:v>27.53182752</c:v>
                </c:pt>
                <c:pt idx="187">
                  <c:v>27.56468173</c:v>
                </c:pt>
                <c:pt idx="188">
                  <c:v>27.597535929999999</c:v>
                </c:pt>
                <c:pt idx="189">
                  <c:v>27.630390139999999</c:v>
                </c:pt>
                <c:pt idx="190">
                  <c:v>27.663244349999999</c:v>
                </c:pt>
                <c:pt idx="191">
                  <c:v>27.696098559999999</c:v>
                </c:pt>
                <c:pt idx="192">
                  <c:v>27.728952769999999</c:v>
                </c:pt>
                <c:pt idx="193">
                  <c:v>27.761806979999999</c:v>
                </c:pt>
                <c:pt idx="194">
                  <c:v>27.794661189999999</c:v>
                </c:pt>
                <c:pt idx="195">
                  <c:v>27.827515399999999</c:v>
                </c:pt>
                <c:pt idx="196">
                  <c:v>27.860369609999999</c:v>
                </c:pt>
                <c:pt idx="197">
                  <c:v>27.893223819999999</c:v>
                </c:pt>
                <c:pt idx="198">
                  <c:v>27.926078029999999</c:v>
                </c:pt>
                <c:pt idx="199">
                  <c:v>27.958932239999779</c:v>
                </c:pt>
                <c:pt idx="200">
                  <c:v>27.991786449999999</c:v>
                </c:pt>
                <c:pt idx="201">
                  <c:v>28.024640659999999</c:v>
                </c:pt>
                <c:pt idx="202">
                  <c:v>28.057494869999999</c:v>
                </c:pt>
                <c:pt idx="203">
                  <c:v>28.090349079999779</c:v>
                </c:pt>
                <c:pt idx="204">
                  <c:v>28.123203289999999</c:v>
                </c:pt>
                <c:pt idx="205">
                  <c:v>28.156057499999999</c:v>
                </c:pt>
                <c:pt idx="206">
                  <c:v>28.188911699999991</c:v>
                </c:pt>
                <c:pt idx="207">
                  <c:v>28.287474329999991</c:v>
                </c:pt>
                <c:pt idx="208">
                  <c:v>28.320328539999981</c:v>
                </c:pt>
                <c:pt idx="209">
                  <c:v>28.353182749999991</c:v>
                </c:pt>
                <c:pt idx="210">
                  <c:v>28.386036959999981</c:v>
                </c:pt>
                <c:pt idx="211">
                  <c:v>28.418891169999998</c:v>
                </c:pt>
                <c:pt idx="212">
                  <c:v>28.451745379999981</c:v>
                </c:pt>
                <c:pt idx="213">
                  <c:v>28.484599589999679</c:v>
                </c:pt>
                <c:pt idx="214">
                  <c:v>28.517453799999998</c:v>
                </c:pt>
                <c:pt idx="215">
                  <c:v>28.550308009999991</c:v>
                </c:pt>
                <c:pt idx="216">
                  <c:v>28.583162219999981</c:v>
                </c:pt>
                <c:pt idx="217">
                  <c:v>28.616016429999998</c:v>
                </c:pt>
                <c:pt idx="218">
                  <c:v>28.648870639999991</c:v>
                </c:pt>
                <c:pt idx="219">
                  <c:v>28.681724849999981</c:v>
                </c:pt>
                <c:pt idx="220">
                  <c:v>28.747433269999981</c:v>
                </c:pt>
                <c:pt idx="221">
                  <c:v>28.780287470000001</c:v>
                </c:pt>
                <c:pt idx="222">
                  <c:v>28.813141680000001</c:v>
                </c:pt>
                <c:pt idx="223">
                  <c:v>28.878850100000001</c:v>
                </c:pt>
                <c:pt idx="224">
                  <c:v>28.911704310000001</c:v>
                </c:pt>
                <c:pt idx="225">
                  <c:v>28.944558520000001</c:v>
                </c:pt>
                <c:pt idx="226">
                  <c:v>28.977412730000001</c:v>
                </c:pt>
                <c:pt idx="227">
                  <c:v>29.010266940000001</c:v>
                </c:pt>
                <c:pt idx="228">
                  <c:v>29.043121150000001</c:v>
                </c:pt>
                <c:pt idx="229">
                  <c:v>29.075975360000001</c:v>
                </c:pt>
                <c:pt idx="230">
                  <c:v>29.108829570000001</c:v>
                </c:pt>
                <c:pt idx="231">
                  <c:v>29.141683780000001</c:v>
                </c:pt>
                <c:pt idx="232">
                  <c:v>29.207392200000001</c:v>
                </c:pt>
                <c:pt idx="233">
                  <c:v>29.240246410000001</c:v>
                </c:pt>
                <c:pt idx="234">
                  <c:v>29.273100620000001</c:v>
                </c:pt>
                <c:pt idx="235">
                  <c:v>29.305954830000001</c:v>
                </c:pt>
                <c:pt idx="236">
                  <c:v>29.338809040000001</c:v>
                </c:pt>
                <c:pt idx="237">
                  <c:v>29.40451745</c:v>
                </c:pt>
                <c:pt idx="238">
                  <c:v>29.47022587</c:v>
                </c:pt>
                <c:pt idx="239">
                  <c:v>29.50308008</c:v>
                </c:pt>
                <c:pt idx="240">
                  <c:v>29.66735113</c:v>
                </c:pt>
                <c:pt idx="241">
                  <c:v>29.70020534</c:v>
                </c:pt>
                <c:pt idx="242">
                  <c:v>29.86447639</c:v>
                </c:pt>
                <c:pt idx="243">
                  <c:v>30.028747429999999</c:v>
                </c:pt>
                <c:pt idx="244">
                  <c:v>30.193018479999999</c:v>
                </c:pt>
                <c:pt idx="245">
                  <c:v>30.554414779999991</c:v>
                </c:pt>
                <c:pt idx="246">
                  <c:v>30.587268989999991</c:v>
                </c:pt>
                <c:pt idx="247">
                  <c:v>30.652977409999998</c:v>
                </c:pt>
                <c:pt idx="248">
                  <c:v>30.685831619999991</c:v>
                </c:pt>
                <c:pt idx="249">
                  <c:v>30.850102669999991</c:v>
                </c:pt>
                <c:pt idx="250">
                  <c:v>31.112936349999991</c:v>
                </c:pt>
                <c:pt idx="251">
                  <c:v>31.441478440000001</c:v>
                </c:pt>
                <c:pt idx="252">
                  <c:v>31.507186860000001</c:v>
                </c:pt>
                <c:pt idx="253">
                  <c:v>34.004106780000001</c:v>
                </c:pt>
              </c:numCache>
            </c:numRef>
          </c:xVal>
          <c:yVal>
            <c:numRef>
              <c:f>'KM TTOT'!$H$6:$H$259</c:f>
              <c:numCache>
                <c:formatCode>0.00</c:formatCode>
                <c:ptCount val="254"/>
                <c:pt idx="0">
                  <c:v>1</c:v>
                </c:pt>
                <c:pt idx="1">
                  <c:v>0.98502495800000001</c:v>
                </c:pt>
                <c:pt idx="2">
                  <c:v>0.98169717099999998</c:v>
                </c:pt>
                <c:pt idx="3">
                  <c:v>0.98003327799999995</c:v>
                </c:pt>
                <c:pt idx="4">
                  <c:v>0.97836938399999995</c:v>
                </c:pt>
                <c:pt idx="5">
                  <c:v>0.97670549100000004</c:v>
                </c:pt>
                <c:pt idx="6">
                  <c:v>0.97504159700000004</c:v>
                </c:pt>
                <c:pt idx="7">
                  <c:v>0.97337770400000001</c:v>
                </c:pt>
                <c:pt idx="8">
                  <c:v>0.97171381000000001</c:v>
                </c:pt>
                <c:pt idx="9">
                  <c:v>0.96838602299999998</c:v>
                </c:pt>
                <c:pt idx="10">
                  <c:v>0.96672212999999996</c:v>
                </c:pt>
                <c:pt idx="11">
                  <c:v>0.96339434300000004</c:v>
                </c:pt>
                <c:pt idx="12">
                  <c:v>0.96006655600000002</c:v>
                </c:pt>
                <c:pt idx="13">
                  <c:v>0.95840266200000002</c:v>
                </c:pt>
                <c:pt idx="14">
                  <c:v>0.95673876899999999</c:v>
                </c:pt>
                <c:pt idx="15">
                  <c:v>0.95341098199999996</c:v>
                </c:pt>
                <c:pt idx="16">
                  <c:v>0.95174708799999996</c:v>
                </c:pt>
                <c:pt idx="17">
                  <c:v>0.94509151400000002</c:v>
                </c:pt>
                <c:pt idx="18">
                  <c:v>0.94342762099999999</c:v>
                </c:pt>
                <c:pt idx="19">
                  <c:v>0.94176372699999999</c:v>
                </c:pt>
                <c:pt idx="20">
                  <c:v>0.94009983399999997</c:v>
                </c:pt>
                <c:pt idx="21">
                  <c:v>0.93843593999999997</c:v>
                </c:pt>
                <c:pt idx="22">
                  <c:v>0.93677204700000005</c:v>
                </c:pt>
                <c:pt idx="23">
                  <c:v>0.93510815300000005</c:v>
                </c:pt>
                <c:pt idx="24">
                  <c:v>0.928452579</c:v>
                </c:pt>
                <c:pt idx="25">
                  <c:v>0.92678868599999997</c:v>
                </c:pt>
                <c:pt idx="26">
                  <c:v>0.92512479199999997</c:v>
                </c:pt>
                <c:pt idx="27">
                  <c:v>0.92346089899999995</c:v>
                </c:pt>
                <c:pt idx="28">
                  <c:v>0.92179700499999995</c:v>
                </c:pt>
                <c:pt idx="29">
                  <c:v>0.92013311200000003</c:v>
                </c:pt>
                <c:pt idx="30">
                  <c:v>0.91846921800000003</c:v>
                </c:pt>
                <c:pt idx="31">
                  <c:v>0.916805325</c:v>
                </c:pt>
                <c:pt idx="32">
                  <c:v>0.91514143100000001</c:v>
                </c:pt>
                <c:pt idx="33">
                  <c:v>0.91347753700000001</c:v>
                </c:pt>
                <c:pt idx="34">
                  <c:v>0.90515807000000004</c:v>
                </c:pt>
                <c:pt idx="35">
                  <c:v>0.90349417600000004</c:v>
                </c:pt>
                <c:pt idx="36">
                  <c:v>0.90016638900000001</c:v>
                </c:pt>
                <c:pt idx="37">
                  <c:v>0.89351081499999996</c:v>
                </c:pt>
                <c:pt idx="38">
                  <c:v>0.89018302800000004</c:v>
                </c:pt>
                <c:pt idx="39">
                  <c:v>0.88851913500000002</c:v>
                </c:pt>
                <c:pt idx="40">
                  <c:v>0.88352745399999999</c:v>
                </c:pt>
                <c:pt idx="41">
                  <c:v>0.88186356099999996</c:v>
                </c:pt>
                <c:pt idx="42">
                  <c:v>0.88019966699999996</c:v>
                </c:pt>
                <c:pt idx="43">
                  <c:v>0.87853577400000005</c:v>
                </c:pt>
                <c:pt idx="44">
                  <c:v>0.87687188000000005</c:v>
                </c:pt>
                <c:pt idx="45">
                  <c:v>0.87520798700000002</c:v>
                </c:pt>
                <c:pt idx="46">
                  <c:v>0.87354409300000002</c:v>
                </c:pt>
                <c:pt idx="47">
                  <c:v>0.87188019999999999</c:v>
                </c:pt>
                <c:pt idx="48">
                  <c:v>0.870216306</c:v>
                </c:pt>
                <c:pt idx="49">
                  <c:v>0.86855241299999997</c:v>
                </c:pt>
                <c:pt idx="50">
                  <c:v>0.86688851899999997</c:v>
                </c:pt>
                <c:pt idx="51">
                  <c:v>0.86356073200000005</c:v>
                </c:pt>
                <c:pt idx="52">
                  <c:v>0.86189683900000003</c:v>
                </c:pt>
                <c:pt idx="53">
                  <c:v>0.86023294500000003</c:v>
                </c:pt>
                <c:pt idx="54">
                  <c:v>0.85524126499999997</c:v>
                </c:pt>
                <c:pt idx="55">
                  <c:v>0.85357737099999997</c:v>
                </c:pt>
                <c:pt idx="56">
                  <c:v>0.85191347799999995</c:v>
                </c:pt>
                <c:pt idx="57">
                  <c:v>0.85024958399999995</c:v>
                </c:pt>
                <c:pt idx="58">
                  <c:v>0.84858569100000003</c:v>
                </c:pt>
                <c:pt idx="59">
                  <c:v>0.84692179700000003</c:v>
                </c:pt>
                <c:pt idx="60">
                  <c:v>0.84359401000000001</c:v>
                </c:pt>
                <c:pt idx="61">
                  <c:v>0.83860232999999995</c:v>
                </c:pt>
                <c:pt idx="62">
                  <c:v>0.83693843599999995</c:v>
                </c:pt>
                <c:pt idx="63">
                  <c:v>0.83527454199999995</c:v>
                </c:pt>
                <c:pt idx="64">
                  <c:v>0.83361064900000004</c:v>
                </c:pt>
                <c:pt idx="65">
                  <c:v>0.83194675500000004</c:v>
                </c:pt>
                <c:pt idx="66">
                  <c:v>0.83028286200000001</c:v>
                </c:pt>
                <c:pt idx="67">
                  <c:v>0.82861896800000001</c:v>
                </c:pt>
                <c:pt idx="68">
                  <c:v>0.82695507499999998</c:v>
                </c:pt>
                <c:pt idx="69">
                  <c:v>0.82529118099999998</c:v>
                </c:pt>
                <c:pt idx="70">
                  <c:v>0.82362728799999996</c:v>
                </c:pt>
                <c:pt idx="71">
                  <c:v>0.82029950100000004</c:v>
                </c:pt>
                <c:pt idx="72">
                  <c:v>0.81863560700000004</c:v>
                </c:pt>
                <c:pt idx="73">
                  <c:v>0.81697171400000002</c:v>
                </c:pt>
                <c:pt idx="74">
                  <c:v>0.81198003299999999</c:v>
                </c:pt>
                <c:pt idx="75">
                  <c:v>0.81031613999999996</c:v>
                </c:pt>
                <c:pt idx="76">
                  <c:v>0.80865224599999996</c:v>
                </c:pt>
                <c:pt idx="77">
                  <c:v>0.80698835300000005</c:v>
                </c:pt>
                <c:pt idx="78">
                  <c:v>0.80532445900000005</c:v>
                </c:pt>
                <c:pt idx="79">
                  <c:v>0.80366056600000002</c:v>
                </c:pt>
                <c:pt idx="80">
                  <c:v>0.79700499199999997</c:v>
                </c:pt>
                <c:pt idx="81">
                  <c:v>0.79534109799999997</c:v>
                </c:pt>
                <c:pt idx="82">
                  <c:v>0.79367720500000005</c:v>
                </c:pt>
                <c:pt idx="83">
                  <c:v>0.79201331100000005</c:v>
                </c:pt>
                <c:pt idx="84">
                  <c:v>0.79034941800000003</c:v>
                </c:pt>
                <c:pt idx="85">
                  <c:v>0.78868552400000003</c:v>
                </c:pt>
                <c:pt idx="86">
                  <c:v>0.785357737</c:v>
                </c:pt>
                <c:pt idx="87">
                  <c:v>0.78369384399999997</c:v>
                </c:pt>
                <c:pt idx="88">
                  <c:v>0.78202994999999997</c:v>
                </c:pt>
                <c:pt idx="89">
                  <c:v>0.78036605699999995</c:v>
                </c:pt>
                <c:pt idx="90">
                  <c:v>0.77870216299999995</c:v>
                </c:pt>
                <c:pt idx="91">
                  <c:v>0.77703827000000003</c:v>
                </c:pt>
                <c:pt idx="92">
                  <c:v>0.77537437600000003</c:v>
                </c:pt>
                <c:pt idx="93">
                  <c:v>0.773710483</c:v>
                </c:pt>
                <c:pt idx="94">
                  <c:v>0.77038269599999998</c:v>
                </c:pt>
                <c:pt idx="95">
                  <c:v>0.76705490899999995</c:v>
                </c:pt>
                <c:pt idx="96">
                  <c:v>0.76539101499999995</c:v>
                </c:pt>
                <c:pt idx="97">
                  <c:v>0.76206322800000004</c:v>
                </c:pt>
                <c:pt idx="98">
                  <c:v>0.75873544100000001</c:v>
                </c:pt>
                <c:pt idx="99">
                  <c:v>0.75707154700000001</c:v>
                </c:pt>
                <c:pt idx="100">
                  <c:v>0.75540765399999998</c:v>
                </c:pt>
                <c:pt idx="101">
                  <c:v>0.75374375999999998</c:v>
                </c:pt>
                <c:pt idx="102">
                  <c:v>0.75207986699999996</c:v>
                </c:pt>
                <c:pt idx="103">
                  <c:v>0.75041597299999996</c:v>
                </c:pt>
                <c:pt idx="104">
                  <c:v>0.74875208000000004</c:v>
                </c:pt>
                <c:pt idx="105">
                  <c:v>0.74708818600000004</c:v>
                </c:pt>
                <c:pt idx="106">
                  <c:v>0.74542429300000002</c:v>
                </c:pt>
                <c:pt idx="107">
                  <c:v>0.74376039900000002</c:v>
                </c:pt>
                <c:pt idx="108">
                  <c:v>0.74209650599999999</c:v>
                </c:pt>
                <c:pt idx="109">
                  <c:v>0.74043261199999999</c:v>
                </c:pt>
                <c:pt idx="110">
                  <c:v>0.73876871899999996</c:v>
                </c:pt>
                <c:pt idx="111">
                  <c:v>0.73710482499999996</c:v>
                </c:pt>
                <c:pt idx="112">
                  <c:v>0.73544093200000005</c:v>
                </c:pt>
                <c:pt idx="113">
                  <c:v>0.73377703800000005</c:v>
                </c:pt>
                <c:pt idx="114">
                  <c:v>0.73211314500000002</c:v>
                </c:pt>
                <c:pt idx="115">
                  <c:v>0.73044925100000002</c:v>
                </c:pt>
                <c:pt idx="116">
                  <c:v>0.72878535799999999</c:v>
                </c:pt>
                <c:pt idx="117">
                  <c:v>0.727121464</c:v>
                </c:pt>
                <c:pt idx="118">
                  <c:v>0.72545757099999997</c:v>
                </c:pt>
                <c:pt idx="119">
                  <c:v>0.72212978400000005</c:v>
                </c:pt>
                <c:pt idx="120">
                  <c:v>0.72046589000000005</c:v>
                </c:pt>
                <c:pt idx="121">
                  <c:v>0.71880199700000003</c:v>
                </c:pt>
                <c:pt idx="122">
                  <c:v>0.71713810300000003</c:v>
                </c:pt>
                <c:pt idx="123">
                  <c:v>0.71547421</c:v>
                </c:pt>
                <c:pt idx="124">
                  <c:v>0.713810316</c:v>
                </c:pt>
                <c:pt idx="125">
                  <c:v>0.71214642299999997</c:v>
                </c:pt>
                <c:pt idx="126">
                  <c:v>0.71048252899999997</c:v>
                </c:pt>
                <c:pt idx="127">
                  <c:v>0.70881863599999995</c:v>
                </c:pt>
                <c:pt idx="128">
                  <c:v>0.70715474199999995</c:v>
                </c:pt>
                <c:pt idx="129">
                  <c:v>0.70549084900000003</c:v>
                </c:pt>
                <c:pt idx="130">
                  <c:v>0.70382695500000003</c:v>
                </c:pt>
                <c:pt idx="131">
                  <c:v>0.702163062</c:v>
                </c:pt>
                <c:pt idx="132">
                  <c:v>0.70049916800000001</c:v>
                </c:pt>
                <c:pt idx="133">
                  <c:v>0.69883527499999998</c:v>
                </c:pt>
                <c:pt idx="134">
                  <c:v>0.69717138099999998</c:v>
                </c:pt>
                <c:pt idx="135">
                  <c:v>0.69550748799999995</c:v>
                </c:pt>
                <c:pt idx="136">
                  <c:v>0.69384359399999995</c:v>
                </c:pt>
                <c:pt idx="137">
                  <c:v>0.69217970100000004</c:v>
                </c:pt>
                <c:pt idx="138">
                  <c:v>0.69051580700000004</c:v>
                </c:pt>
                <c:pt idx="139">
                  <c:v>0.68718802000000001</c:v>
                </c:pt>
                <c:pt idx="140">
                  <c:v>0.68552412699999998</c:v>
                </c:pt>
                <c:pt idx="141">
                  <c:v>0.68386023299999998</c:v>
                </c:pt>
                <c:pt idx="142">
                  <c:v>0.68219633899999998</c:v>
                </c:pt>
                <c:pt idx="143">
                  <c:v>0.67886855199999996</c:v>
                </c:pt>
                <c:pt idx="144">
                  <c:v>0.67720465900000004</c:v>
                </c:pt>
                <c:pt idx="145">
                  <c:v>0.67554076500000004</c:v>
                </c:pt>
                <c:pt idx="146">
                  <c:v>0.67387687200000002</c:v>
                </c:pt>
                <c:pt idx="147">
                  <c:v>0.67221297800000002</c:v>
                </c:pt>
                <c:pt idx="148">
                  <c:v>0.67054908499999999</c:v>
                </c:pt>
                <c:pt idx="149">
                  <c:v>0.66888519099999999</c:v>
                </c:pt>
                <c:pt idx="150">
                  <c:v>0.66722129799999996</c:v>
                </c:pt>
                <c:pt idx="151">
                  <c:v>0.66555740399999996</c:v>
                </c:pt>
                <c:pt idx="152">
                  <c:v>0.66222961700000005</c:v>
                </c:pt>
                <c:pt idx="153">
                  <c:v>0.66056572400000002</c:v>
                </c:pt>
                <c:pt idx="154">
                  <c:v>0.65890183000000002</c:v>
                </c:pt>
                <c:pt idx="155">
                  <c:v>0.65723793699999999</c:v>
                </c:pt>
                <c:pt idx="156">
                  <c:v>0.655574043</c:v>
                </c:pt>
                <c:pt idx="157">
                  <c:v>0.65391014999999997</c:v>
                </c:pt>
                <c:pt idx="158">
                  <c:v>0.64725457600000003</c:v>
                </c:pt>
                <c:pt idx="159">
                  <c:v>0.64559068200000003</c:v>
                </c:pt>
                <c:pt idx="160">
                  <c:v>0.642262895</c:v>
                </c:pt>
                <c:pt idx="161">
                  <c:v>0.63893510799999997</c:v>
                </c:pt>
                <c:pt idx="162">
                  <c:v>0.63227953400000003</c:v>
                </c:pt>
                <c:pt idx="163">
                  <c:v>0.62229617299999995</c:v>
                </c:pt>
                <c:pt idx="164">
                  <c:v>0.61564059900000001</c:v>
                </c:pt>
                <c:pt idx="165">
                  <c:v>0.61064891899999996</c:v>
                </c:pt>
                <c:pt idx="166">
                  <c:v>0.60232945100000002</c:v>
                </c:pt>
                <c:pt idx="167">
                  <c:v>0.60066555700000002</c:v>
                </c:pt>
                <c:pt idx="168">
                  <c:v>0.58735440900000002</c:v>
                </c:pt>
                <c:pt idx="169">
                  <c:v>0.54742096500000004</c:v>
                </c:pt>
                <c:pt idx="170">
                  <c:v>0.53743760399999996</c:v>
                </c:pt>
                <c:pt idx="171">
                  <c:v>0.52911813600000002</c:v>
                </c:pt>
                <c:pt idx="172">
                  <c:v>0.52246256199999996</c:v>
                </c:pt>
                <c:pt idx="173">
                  <c:v>0.51747088200000002</c:v>
                </c:pt>
                <c:pt idx="174">
                  <c:v>0.50415973400000003</c:v>
                </c:pt>
                <c:pt idx="175">
                  <c:v>0.487520799</c:v>
                </c:pt>
                <c:pt idx="176">
                  <c:v>0.46589018300000001</c:v>
                </c:pt>
                <c:pt idx="177">
                  <c:v>0.45091514100000002</c:v>
                </c:pt>
                <c:pt idx="178">
                  <c:v>0.44093178</c:v>
                </c:pt>
                <c:pt idx="179">
                  <c:v>0.43261231300000003</c:v>
                </c:pt>
                <c:pt idx="180">
                  <c:v>0.43094841900000003</c:v>
                </c:pt>
                <c:pt idx="181">
                  <c:v>0.42595673899999997</c:v>
                </c:pt>
                <c:pt idx="182">
                  <c:v>0.41763727099999998</c:v>
                </c:pt>
                <c:pt idx="183">
                  <c:v>0.39434276200000001</c:v>
                </c:pt>
                <c:pt idx="184">
                  <c:v>0.38435940099999999</c:v>
                </c:pt>
                <c:pt idx="185">
                  <c:v>0.37437604000000002</c:v>
                </c:pt>
                <c:pt idx="186">
                  <c:v>0.36772046600000002</c:v>
                </c:pt>
                <c:pt idx="187">
                  <c:v>0.364392679</c:v>
                </c:pt>
                <c:pt idx="188">
                  <c:v>0.35274542399999997</c:v>
                </c:pt>
                <c:pt idx="189">
                  <c:v>0.33777038300000001</c:v>
                </c:pt>
                <c:pt idx="190">
                  <c:v>0.33111480900000001</c:v>
                </c:pt>
                <c:pt idx="191">
                  <c:v>0.31946755399999999</c:v>
                </c:pt>
                <c:pt idx="192">
                  <c:v>0.31613976700000002</c:v>
                </c:pt>
                <c:pt idx="193">
                  <c:v>0.31114808700000002</c:v>
                </c:pt>
                <c:pt idx="194">
                  <c:v>0.30948419300000002</c:v>
                </c:pt>
                <c:pt idx="195">
                  <c:v>0.30282861900000002</c:v>
                </c:pt>
                <c:pt idx="196">
                  <c:v>0.28951747100000003</c:v>
                </c:pt>
                <c:pt idx="197">
                  <c:v>0.28119800299999997</c:v>
                </c:pt>
                <c:pt idx="198">
                  <c:v>0.272878536</c:v>
                </c:pt>
                <c:pt idx="199">
                  <c:v>0.26955074899999998</c:v>
                </c:pt>
                <c:pt idx="200">
                  <c:v>0.26788685499999998</c:v>
                </c:pt>
                <c:pt idx="201">
                  <c:v>0.26622296200000001</c:v>
                </c:pt>
                <c:pt idx="202">
                  <c:v>0.25956738800000001</c:v>
                </c:pt>
                <c:pt idx="203">
                  <c:v>0.24625623999999999</c:v>
                </c:pt>
                <c:pt idx="204">
                  <c:v>0.23960066599999999</c:v>
                </c:pt>
                <c:pt idx="205">
                  <c:v>0.23627287899999999</c:v>
                </c:pt>
                <c:pt idx="206">
                  <c:v>0.23460898499999999</c:v>
                </c:pt>
                <c:pt idx="207">
                  <c:v>0.23128119799999999</c:v>
                </c:pt>
                <c:pt idx="208">
                  <c:v>0.226289518</c:v>
                </c:pt>
                <c:pt idx="209">
                  <c:v>0.214642263</c:v>
                </c:pt>
                <c:pt idx="210">
                  <c:v>0.207986689</c:v>
                </c:pt>
                <c:pt idx="211">
                  <c:v>0.202995008</c:v>
                </c:pt>
                <c:pt idx="212">
                  <c:v>0.19633943400000001</c:v>
                </c:pt>
                <c:pt idx="213">
                  <c:v>0.19467554100000001</c:v>
                </c:pt>
                <c:pt idx="214">
                  <c:v>0.18801996700000001</c:v>
                </c:pt>
                <c:pt idx="215">
                  <c:v>0.17138103199999999</c:v>
                </c:pt>
                <c:pt idx="216">
                  <c:v>0.15973377699999999</c:v>
                </c:pt>
                <c:pt idx="217">
                  <c:v>0.154742097</c:v>
                </c:pt>
                <c:pt idx="218">
                  <c:v>0.151378138</c:v>
                </c:pt>
                <c:pt idx="219">
                  <c:v>0.148014179</c:v>
                </c:pt>
                <c:pt idx="220">
                  <c:v>0.141286262</c:v>
                </c:pt>
                <c:pt idx="221">
                  <c:v>0.12110251</c:v>
                </c:pt>
                <c:pt idx="222">
                  <c:v>0.111010634</c:v>
                </c:pt>
                <c:pt idx="223">
                  <c:v>0.109328655</c:v>
                </c:pt>
                <c:pt idx="224">
                  <c:v>0.107646676</c:v>
                </c:pt>
                <c:pt idx="225">
                  <c:v>0.105964697</c:v>
                </c:pt>
                <c:pt idx="226">
                  <c:v>9.5872820999999997E-2</c:v>
                </c:pt>
                <c:pt idx="227">
                  <c:v>7.7371047999999998E-2</c:v>
                </c:pt>
                <c:pt idx="228">
                  <c:v>7.2325109999999998E-2</c:v>
                </c:pt>
                <c:pt idx="229">
                  <c:v>6.8961151999999998E-2</c:v>
                </c:pt>
                <c:pt idx="230">
                  <c:v>6.3915213999999998E-2</c:v>
                </c:pt>
                <c:pt idx="231">
                  <c:v>5.8869275999999998E-2</c:v>
                </c:pt>
                <c:pt idx="232">
                  <c:v>5.3823337999999998E-2</c:v>
                </c:pt>
                <c:pt idx="233">
                  <c:v>5.0459378999999999E-2</c:v>
                </c:pt>
                <c:pt idx="234">
                  <c:v>4.7095420999999998E-2</c:v>
                </c:pt>
                <c:pt idx="235">
                  <c:v>4.5413440999999999E-2</c:v>
                </c:pt>
                <c:pt idx="236">
                  <c:v>4.3731461999999999E-2</c:v>
                </c:pt>
                <c:pt idx="237">
                  <c:v>4.2049482999999999E-2</c:v>
                </c:pt>
                <c:pt idx="238">
                  <c:v>2.8593647999999999E-2</c:v>
                </c:pt>
                <c:pt idx="239">
                  <c:v>2.6911668999999999E-2</c:v>
                </c:pt>
                <c:pt idx="240">
                  <c:v>2.3547709999999999E-2</c:v>
                </c:pt>
                <c:pt idx="241">
                  <c:v>2.1865730999999999E-2</c:v>
                </c:pt>
                <c:pt idx="242">
                  <c:v>1.8501772E-2</c:v>
                </c:pt>
                <c:pt idx="243">
                  <c:v>1.6819793E-2</c:v>
                </c:pt>
                <c:pt idx="244">
                  <c:v>1.5137813999999999E-2</c:v>
                </c:pt>
                <c:pt idx="245">
                  <c:v>1.3455834999999999E-2</c:v>
                </c:pt>
                <c:pt idx="246">
                  <c:v>1.1773855E-2</c:v>
                </c:pt>
                <c:pt idx="247">
                  <c:v>1.0091876E-2</c:v>
                </c:pt>
                <c:pt idx="248">
                  <c:v>8.4098969999999995E-3</c:v>
                </c:pt>
                <c:pt idx="249">
                  <c:v>6.7279169999999999E-3</c:v>
                </c:pt>
                <c:pt idx="250">
                  <c:v>5.0459379999999998E-3</c:v>
                </c:pt>
                <c:pt idx="251">
                  <c:v>3.3639590000000001E-3</c:v>
                </c:pt>
                <c:pt idx="252">
                  <c:v>1.6819789999999999E-3</c:v>
                </c:pt>
                <c:pt idx="253">
                  <c:v>0</c:v>
                </c:pt>
              </c:numCache>
            </c:numRef>
          </c:yVal>
          <c:smooth val="0"/>
          <c:extLst xmlns:c16r2="http://schemas.microsoft.com/office/drawing/2015/06/chart">
            <c:ext xmlns:c16="http://schemas.microsoft.com/office/drawing/2014/chart" uri="{C3380CC4-5D6E-409C-BE32-E72D297353CC}">
              <c16:uniqueId val="{00000001-03A0-4AC0-98D5-91A2FC0C75AE}"/>
            </c:ext>
          </c:extLst>
        </c:ser>
        <c:dLbls>
          <c:showLegendKey val="0"/>
          <c:showVal val="0"/>
          <c:showCatName val="0"/>
          <c:showSerName val="0"/>
          <c:showPercent val="0"/>
          <c:showBubbleSize val="0"/>
        </c:dLbls>
        <c:axId val="417904128"/>
        <c:axId val="417906048"/>
      </c:scatterChart>
      <c:valAx>
        <c:axId val="417904128"/>
        <c:scaling>
          <c:orientation val="minMax"/>
          <c:max val="35"/>
        </c:scaling>
        <c:delete val="0"/>
        <c:axPos val="b"/>
        <c:title>
          <c:tx>
            <c:rich>
              <a:bodyPr/>
              <a:lstStyle/>
              <a:p>
                <a:pPr>
                  <a:defRPr/>
                </a:pPr>
                <a:r>
                  <a:rPr lang="en-US" b="0"/>
                  <a:t>Time</a:t>
                </a:r>
                <a:r>
                  <a:rPr lang="en-US" b="0" baseline="0"/>
                  <a:t> (months)</a:t>
                </a:r>
                <a:endParaRPr lang="en-US" b="0"/>
              </a:p>
            </c:rich>
          </c:tx>
          <c:layout/>
          <c:overlay val="0"/>
        </c:title>
        <c:numFmt formatCode="0.00" sourceLinked="1"/>
        <c:majorTickMark val="out"/>
        <c:minorTickMark val="none"/>
        <c:tickLblPos val="nextTo"/>
        <c:crossAx val="417906048"/>
        <c:crosses val="autoZero"/>
        <c:crossBetween val="midCat"/>
      </c:valAx>
      <c:valAx>
        <c:axId val="417906048"/>
        <c:scaling>
          <c:orientation val="minMax"/>
          <c:max val="1"/>
        </c:scaling>
        <c:delete val="0"/>
        <c:axPos val="l"/>
        <c:title>
          <c:tx>
            <c:rich>
              <a:bodyPr/>
              <a:lstStyle/>
              <a:p>
                <a:pPr>
                  <a:defRPr b="0"/>
                </a:pPr>
                <a:r>
                  <a:rPr lang="en-US" b="0"/>
                  <a:t>Probability</a:t>
                </a:r>
              </a:p>
            </c:rich>
          </c:tx>
          <c:layout/>
          <c:overlay val="0"/>
        </c:title>
        <c:numFmt formatCode="0.00" sourceLinked="1"/>
        <c:majorTickMark val="out"/>
        <c:minorTickMark val="none"/>
        <c:tickLblPos val="nextTo"/>
        <c:crossAx val="417904128"/>
        <c:crosses val="autoZero"/>
        <c:crossBetween val="midCat"/>
      </c:valAx>
      <c:spPr>
        <a:noFill/>
        <a:ln w="25400">
          <a:noFill/>
        </a:ln>
      </c:spPr>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8EBC-AF3F-4C08-9185-3AC8FA1D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11088</Words>
  <Characters>63207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2018-02-18T23:43:00Z</dcterms:created>
  <dcterms:modified xsi:type="dcterms:W3CDTF">2018-02-18T23:44:00Z</dcterms:modified>
</cp:coreProperties>
</file>