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FF6B7B" w:rsidRDefault="005111DE" w:rsidP="002B3C2C">
      <w:pPr>
        <w:pStyle w:val="Title"/>
        <w:spacing w:before="120" w:after="160"/>
        <w:ind w:left="720" w:hanging="720"/>
        <w:rPr>
          <w:rFonts w:asciiTheme="minorHAnsi" w:hAnsiTheme="minorHAnsi"/>
          <w:sz w:val="36"/>
          <w:szCs w:val="36"/>
        </w:rPr>
      </w:pPr>
      <w:bookmarkStart w:id="0" w:name="_GoBack"/>
      <w:bookmarkEnd w:id="0"/>
      <w:r w:rsidRPr="00FF6B7B">
        <w:rPr>
          <w:rFonts w:asciiTheme="minorHAnsi" w:hAnsiTheme="minorHAnsi"/>
          <w:sz w:val="36"/>
          <w:szCs w:val="36"/>
        </w:rPr>
        <w:t>7.16</w:t>
      </w:r>
      <w:r w:rsidR="007C0F57" w:rsidRPr="00FF6B7B">
        <w:rPr>
          <w:rFonts w:asciiTheme="minorHAnsi" w:hAnsiTheme="minorHAnsi"/>
          <w:sz w:val="36"/>
          <w:szCs w:val="36"/>
        </w:rPr>
        <w:tab/>
      </w:r>
      <w:r w:rsidRPr="00FF6B7B">
        <w:rPr>
          <w:rFonts w:asciiTheme="minorHAnsi" w:hAnsiTheme="minorHAnsi"/>
          <w:sz w:val="36"/>
          <w:szCs w:val="36"/>
        </w:rPr>
        <w:t>VENETOCLAX</w:t>
      </w:r>
      <w:r w:rsidR="008A50F1" w:rsidRPr="00FF6B7B">
        <w:rPr>
          <w:rFonts w:asciiTheme="minorHAnsi" w:hAnsiTheme="minorHAnsi"/>
          <w:sz w:val="36"/>
          <w:szCs w:val="36"/>
        </w:rPr>
        <w:br/>
      </w:r>
      <w:r w:rsidR="00675476" w:rsidRPr="00FF6B7B">
        <w:rPr>
          <w:rFonts w:asciiTheme="minorHAnsi" w:hAnsiTheme="minorHAnsi"/>
          <w:sz w:val="36"/>
          <w:szCs w:val="36"/>
        </w:rPr>
        <w:t>Tablet 10 mg, 50 mg and 100 mg,</w:t>
      </w:r>
      <w:r w:rsidR="002B3C2C">
        <w:rPr>
          <w:rFonts w:asciiTheme="minorHAnsi" w:hAnsiTheme="minorHAnsi"/>
          <w:sz w:val="36"/>
          <w:szCs w:val="36"/>
        </w:rPr>
        <w:br/>
      </w:r>
      <w:r w:rsidR="00675476" w:rsidRPr="00FF6B7B">
        <w:rPr>
          <w:rFonts w:asciiTheme="minorHAnsi" w:hAnsiTheme="minorHAnsi"/>
          <w:sz w:val="36"/>
          <w:szCs w:val="36"/>
        </w:rPr>
        <w:t>Venclexta®, AbbVie Pty Ltd.</w:t>
      </w:r>
    </w:p>
    <w:p w:rsidR="008A50F1" w:rsidRPr="00FF6B7B" w:rsidRDefault="00CE10C4" w:rsidP="00F550CF">
      <w:pPr>
        <w:pStyle w:val="PBACHeading1"/>
        <w:spacing w:before="240" w:after="120"/>
        <w:rPr>
          <w:rFonts w:asciiTheme="minorHAnsi" w:hAnsiTheme="minorHAnsi"/>
          <w:sz w:val="32"/>
          <w:szCs w:val="32"/>
        </w:rPr>
      </w:pPr>
      <w:r w:rsidRPr="00FF6B7B">
        <w:rPr>
          <w:rFonts w:asciiTheme="minorHAnsi" w:hAnsiTheme="minorHAnsi"/>
          <w:sz w:val="32"/>
          <w:szCs w:val="32"/>
        </w:rPr>
        <w:t xml:space="preserve">Purpose of </w:t>
      </w:r>
      <w:r w:rsidR="0004240E" w:rsidRPr="00FF6B7B">
        <w:rPr>
          <w:rFonts w:asciiTheme="minorHAnsi" w:hAnsiTheme="minorHAnsi"/>
          <w:sz w:val="32"/>
          <w:szCs w:val="32"/>
        </w:rPr>
        <w:t>Application</w:t>
      </w:r>
    </w:p>
    <w:p w:rsidR="000C34B5" w:rsidRPr="00FF6B7B" w:rsidRDefault="00EF44A0" w:rsidP="000C34B5">
      <w:pPr>
        <w:pStyle w:val="ListParagraph"/>
        <w:widowControl/>
        <w:numPr>
          <w:ilvl w:val="1"/>
          <w:numId w:val="5"/>
        </w:numPr>
        <w:spacing w:before="120" w:after="160"/>
        <w:contextualSpacing w:val="0"/>
        <w:rPr>
          <w:rFonts w:asciiTheme="minorHAnsi" w:hAnsiTheme="minorHAnsi"/>
          <w:sz w:val="24"/>
          <w:szCs w:val="24"/>
        </w:rPr>
      </w:pPr>
      <w:r w:rsidRPr="00FF6B7B">
        <w:rPr>
          <w:rFonts w:asciiTheme="minorHAnsi" w:eastAsiaTheme="minorHAnsi" w:hAnsiTheme="minorHAnsi" w:cstheme="minorBidi"/>
          <w:snapToGrid/>
          <w:sz w:val="24"/>
          <w:szCs w:val="22"/>
        </w:rPr>
        <w:t>The mi</w:t>
      </w:r>
      <w:r w:rsidR="00FF2801" w:rsidRPr="00FF6B7B">
        <w:rPr>
          <w:rFonts w:asciiTheme="minorHAnsi" w:eastAsiaTheme="minorHAnsi" w:hAnsiTheme="minorHAnsi" w:cstheme="minorBidi"/>
          <w:snapToGrid/>
          <w:sz w:val="24"/>
          <w:szCs w:val="22"/>
        </w:rPr>
        <w:t xml:space="preserve">nor </w:t>
      </w:r>
      <w:r w:rsidR="00675476" w:rsidRPr="00FF6B7B">
        <w:rPr>
          <w:rFonts w:asciiTheme="minorHAnsi" w:eastAsiaTheme="minorHAnsi" w:hAnsiTheme="minorHAnsi" w:cstheme="minorBidi"/>
          <w:snapToGrid/>
          <w:sz w:val="24"/>
          <w:szCs w:val="22"/>
        </w:rPr>
        <w:t>re</w:t>
      </w:r>
      <w:r w:rsidR="00FF2801" w:rsidRPr="00FF6B7B">
        <w:rPr>
          <w:rFonts w:asciiTheme="minorHAnsi" w:eastAsiaTheme="minorHAnsi" w:hAnsiTheme="minorHAnsi" w:cstheme="minorBidi"/>
          <w:snapToGrid/>
          <w:sz w:val="24"/>
          <w:szCs w:val="22"/>
        </w:rPr>
        <w:t xml:space="preserve">submission sought </w:t>
      </w:r>
      <w:r w:rsidR="00C86D8C" w:rsidRPr="00FF6B7B">
        <w:rPr>
          <w:rFonts w:asciiTheme="minorHAnsi" w:eastAsiaTheme="minorHAnsi" w:hAnsiTheme="minorHAnsi" w:cstheme="minorBidi"/>
          <w:snapToGrid/>
          <w:sz w:val="24"/>
          <w:szCs w:val="22"/>
        </w:rPr>
        <w:t xml:space="preserve">a number of clarifications and revisions to the basis of the PBAC’s July </w:t>
      </w:r>
      <w:r w:rsidR="00896D64" w:rsidRPr="00FF6B7B">
        <w:rPr>
          <w:rFonts w:asciiTheme="minorHAnsi" w:eastAsiaTheme="minorHAnsi" w:hAnsiTheme="minorHAnsi" w:cstheme="minorBidi"/>
          <w:snapToGrid/>
          <w:sz w:val="24"/>
          <w:szCs w:val="22"/>
        </w:rPr>
        <w:t xml:space="preserve">2017 </w:t>
      </w:r>
      <w:r w:rsidR="00C86D8C" w:rsidRPr="00FF6B7B">
        <w:rPr>
          <w:rFonts w:asciiTheme="minorHAnsi" w:eastAsiaTheme="minorHAnsi" w:hAnsiTheme="minorHAnsi" w:cstheme="minorBidi"/>
          <w:snapToGrid/>
          <w:sz w:val="24"/>
          <w:szCs w:val="22"/>
        </w:rPr>
        <w:t>recommendation for venetoclax, as well as presenting a cost-minimisation analysis against idelalisib with rituximab</w:t>
      </w:r>
      <w:r w:rsidR="008D67FE" w:rsidRPr="00FF6B7B">
        <w:rPr>
          <w:rFonts w:asciiTheme="minorHAnsi" w:eastAsiaTheme="minorHAnsi" w:hAnsiTheme="minorHAnsi" w:cstheme="minorBidi"/>
          <w:snapToGrid/>
          <w:sz w:val="24"/>
          <w:szCs w:val="22"/>
        </w:rPr>
        <w:t xml:space="preserve"> and revised financial estimates</w:t>
      </w:r>
      <w:r w:rsidR="00C86D8C" w:rsidRPr="00FF6B7B">
        <w:rPr>
          <w:rFonts w:asciiTheme="minorHAnsi" w:eastAsiaTheme="minorHAnsi" w:hAnsiTheme="minorHAnsi" w:cstheme="minorBidi"/>
          <w:snapToGrid/>
          <w:sz w:val="24"/>
          <w:szCs w:val="22"/>
        </w:rPr>
        <w:t xml:space="preserve"> for </w:t>
      </w:r>
      <w:r w:rsidR="009D07C1">
        <w:rPr>
          <w:rFonts w:asciiTheme="minorHAnsi" w:eastAsiaTheme="minorHAnsi" w:hAnsiTheme="minorHAnsi" w:cstheme="minorBidi"/>
          <w:snapToGrid/>
          <w:sz w:val="24"/>
          <w:szCs w:val="22"/>
        </w:rPr>
        <w:t xml:space="preserve">PBAC </w:t>
      </w:r>
      <w:r w:rsidR="00C86D8C" w:rsidRPr="00FF6B7B">
        <w:rPr>
          <w:rFonts w:asciiTheme="minorHAnsi" w:eastAsiaTheme="minorHAnsi" w:hAnsiTheme="minorHAnsi" w:cstheme="minorBidi"/>
          <w:snapToGrid/>
          <w:sz w:val="24"/>
          <w:szCs w:val="22"/>
        </w:rPr>
        <w:t>consideration.</w:t>
      </w:r>
    </w:p>
    <w:p w:rsidR="00C86D8C" w:rsidRPr="00FF6B7B" w:rsidRDefault="002F0F76" w:rsidP="000C34B5">
      <w:pPr>
        <w:pStyle w:val="ListParagraph"/>
        <w:widowControl/>
        <w:numPr>
          <w:ilvl w:val="1"/>
          <w:numId w:val="5"/>
        </w:numPr>
        <w:spacing w:before="120" w:after="160"/>
        <w:contextualSpacing w:val="0"/>
        <w:rPr>
          <w:rFonts w:asciiTheme="minorHAnsi" w:hAnsiTheme="minorHAnsi"/>
          <w:sz w:val="24"/>
          <w:szCs w:val="24"/>
        </w:rPr>
      </w:pPr>
      <w:r w:rsidRPr="00FF6B7B">
        <w:rPr>
          <w:rFonts w:asciiTheme="minorHAnsi" w:eastAsiaTheme="minorHAnsi" w:hAnsiTheme="minorHAnsi" w:cstheme="minorBidi"/>
          <w:snapToGrid/>
          <w:sz w:val="24"/>
          <w:szCs w:val="22"/>
        </w:rPr>
        <w:t>Many of the</w:t>
      </w:r>
      <w:r w:rsidR="00C86D8C" w:rsidRPr="00FF6B7B">
        <w:rPr>
          <w:rFonts w:asciiTheme="minorHAnsi" w:eastAsiaTheme="minorHAnsi" w:hAnsiTheme="minorHAnsi" w:cstheme="minorBidi"/>
          <w:snapToGrid/>
          <w:sz w:val="24"/>
          <w:szCs w:val="22"/>
        </w:rPr>
        <w:t xml:space="preserve"> issues raised by the submission regarding the basis of the PBAC’s July recommendation have been addressed by the Committee outside the usual PBAC </w:t>
      </w:r>
      <w:r w:rsidR="00843CBF" w:rsidRPr="00FF6B7B">
        <w:rPr>
          <w:rFonts w:asciiTheme="minorHAnsi" w:eastAsiaTheme="minorHAnsi" w:hAnsiTheme="minorHAnsi" w:cstheme="minorBidi"/>
          <w:snapToGrid/>
          <w:sz w:val="24"/>
          <w:szCs w:val="22"/>
        </w:rPr>
        <w:t>processes (see Appendix 1). The</w:t>
      </w:r>
      <w:r w:rsidR="00C86D8C" w:rsidRPr="00FF6B7B">
        <w:rPr>
          <w:rFonts w:asciiTheme="minorHAnsi" w:eastAsiaTheme="minorHAnsi" w:hAnsiTheme="minorHAnsi" w:cstheme="minorBidi"/>
          <w:snapToGrid/>
          <w:sz w:val="24"/>
          <w:szCs w:val="22"/>
        </w:rPr>
        <w:t>s</w:t>
      </w:r>
      <w:r w:rsidR="00843CBF" w:rsidRPr="00FF6B7B">
        <w:rPr>
          <w:rFonts w:asciiTheme="minorHAnsi" w:eastAsiaTheme="minorHAnsi" w:hAnsiTheme="minorHAnsi" w:cstheme="minorBidi"/>
          <w:snapToGrid/>
          <w:sz w:val="24"/>
          <w:szCs w:val="22"/>
        </w:rPr>
        <w:t>e minutes record the outcomes of the PBAC’s considerations in relation to the</w:t>
      </w:r>
      <w:r w:rsidR="00C86D8C" w:rsidRPr="00FF6B7B">
        <w:rPr>
          <w:rFonts w:asciiTheme="minorHAnsi" w:eastAsiaTheme="minorHAnsi" w:hAnsiTheme="minorHAnsi" w:cstheme="minorBidi"/>
          <w:snapToGrid/>
          <w:sz w:val="24"/>
          <w:szCs w:val="22"/>
        </w:rPr>
        <w:t xml:space="preserve"> cost analysis</w:t>
      </w:r>
      <w:r w:rsidR="00843CBF" w:rsidRPr="00FF6B7B">
        <w:rPr>
          <w:rFonts w:asciiTheme="minorHAnsi" w:eastAsiaTheme="minorHAnsi" w:hAnsiTheme="minorHAnsi" w:cstheme="minorBidi"/>
          <w:snapToGrid/>
          <w:sz w:val="24"/>
          <w:szCs w:val="22"/>
        </w:rPr>
        <w:t xml:space="preserve"> against idelalisib and rituximab and the </w:t>
      </w:r>
      <w:r w:rsidR="00FB4F38" w:rsidRPr="00FF6B7B">
        <w:rPr>
          <w:rFonts w:asciiTheme="minorHAnsi" w:eastAsiaTheme="minorHAnsi" w:hAnsiTheme="minorHAnsi" w:cstheme="minorBidi"/>
          <w:snapToGrid/>
          <w:sz w:val="24"/>
          <w:szCs w:val="22"/>
        </w:rPr>
        <w:t>financial estimate</w:t>
      </w:r>
      <w:r w:rsidR="00843CBF" w:rsidRPr="00FF6B7B">
        <w:rPr>
          <w:rFonts w:asciiTheme="minorHAnsi" w:eastAsiaTheme="minorHAnsi" w:hAnsiTheme="minorHAnsi" w:cstheme="minorBidi"/>
          <w:snapToGrid/>
          <w:sz w:val="24"/>
          <w:szCs w:val="22"/>
        </w:rPr>
        <w:t xml:space="preserve">s presented in the </w:t>
      </w:r>
      <w:r w:rsidR="004A2310">
        <w:rPr>
          <w:rFonts w:asciiTheme="minorHAnsi" w:eastAsiaTheme="minorHAnsi" w:hAnsiTheme="minorHAnsi" w:cstheme="minorBidi"/>
          <w:snapToGrid/>
          <w:sz w:val="24"/>
          <w:szCs w:val="22"/>
        </w:rPr>
        <w:t>minor re</w:t>
      </w:r>
      <w:r w:rsidR="00843CBF" w:rsidRPr="00FF6B7B">
        <w:rPr>
          <w:rFonts w:asciiTheme="minorHAnsi" w:eastAsiaTheme="minorHAnsi" w:hAnsiTheme="minorHAnsi" w:cstheme="minorBidi"/>
          <w:snapToGrid/>
          <w:sz w:val="24"/>
          <w:szCs w:val="22"/>
        </w:rPr>
        <w:t>submission and revised in the pre-PBAC response.</w:t>
      </w:r>
    </w:p>
    <w:p w:rsidR="002F0F76" w:rsidRPr="00FF6B7B" w:rsidRDefault="002F0F76" w:rsidP="000C34B5">
      <w:pPr>
        <w:pStyle w:val="ListParagraph"/>
        <w:widowControl/>
        <w:numPr>
          <w:ilvl w:val="1"/>
          <w:numId w:val="5"/>
        </w:numPr>
        <w:spacing w:before="120" w:after="160"/>
        <w:contextualSpacing w:val="0"/>
        <w:rPr>
          <w:rFonts w:asciiTheme="minorHAnsi" w:hAnsiTheme="minorHAnsi"/>
          <w:sz w:val="24"/>
          <w:szCs w:val="24"/>
        </w:rPr>
      </w:pPr>
      <w:r w:rsidRPr="00FF6B7B">
        <w:rPr>
          <w:rFonts w:asciiTheme="minorHAnsi" w:hAnsiTheme="minorHAnsi"/>
          <w:sz w:val="24"/>
          <w:szCs w:val="24"/>
        </w:rPr>
        <w:t>These minutes also record the outcomes of the PBAC’s consideration of the requests</w:t>
      </w:r>
      <w:r w:rsidR="009D07C1">
        <w:rPr>
          <w:rFonts w:asciiTheme="minorHAnsi" w:hAnsiTheme="minorHAnsi"/>
          <w:sz w:val="24"/>
          <w:szCs w:val="24"/>
        </w:rPr>
        <w:t>,</w:t>
      </w:r>
      <w:r w:rsidRPr="00FF6B7B">
        <w:rPr>
          <w:rFonts w:asciiTheme="minorHAnsi" w:hAnsiTheme="minorHAnsi"/>
          <w:sz w:val="24"/>
          <w:szCs w:val="24"/>
        </w:rPr>
        <w:t xml:space="preserve"> made as part of the pre-PBAC response, that PBAC give consideration to using a comparison against </w:t>
      </w:r>
      <w:r w:rsidR="009B6B9B" w:rsidRPr="00FF6B7B">
        <w:rPr>
          <w:rFonts w:asciiTheme="minorHAnsi" w:hAnsiTheme="minorHAnsi"/>
          <w:sz w:val="24"/>
          <w:szCs w:val="24"/>
        </w:rPr>
        <w:t>b</w:t>
      </w:r>
      <w:r w:rsidRPr="00FF6B7B">
        <w:rPr>
          <w:rFonts w:asciiTheme="minorHAnsi" w:hAnsiTheme="minorHAnsi"/>
          <w:sz w:val="24"/>
          <w:szCs w:val="24"/>
        </w:rPr>
        <w:t xml:space="preserve">est </w:t>
      </w:r>
      <w:r w:rsidR="009B6B9B" w:rsidRPr="00FF6B7B">
        <w:rPr>
          <w:rFonts w:asciiTheme="minorHAnsi" w:hAnsiTheme="minorHAnsi"/>
          <w:sz w:val="24"/>
          <w:szCs w:val="24"/>
        </w:rPr>
        <w:t>s</w:t>
      </w:r>
      <w:r w:rsidRPr="00FF6B7B">
        <w:rPr>
          <w:rFonts w:asciiTheme="minorHAnsi" w:hAnsiTheme="minorHAnsi"/>
          <w:sz w:val="24"/>
          <w:szCs w:val="24"/>
        </w:rPr>
        <w:t xml:space="preserve">upportive </w:t>
      </w:r>
      <w:r w:rsidR="009B6B9B" w:rsidRPr="00FF6B7B">
        <w:rPr>
          <w:rFonts w:asciiTheme="minorHAnsi" w:hAnsiTheme="minorHAnsi"/>
          <w:sz w:val="24"/>
          <w:szCs w:val="24"/>
        </w:rPr>
        <w:t>c</w:t>
      </w:r>
      <w:r w:rsidRPr="00FF6B7B">
        <w:rPr>
          <w:rFonts w:asciiTheme="minorHAnsi" w:hAnsiTheme="minorHAnsi"/>
          <w:sz w:val="24"/>
          <w:szCs w:val="24"/>
        </w:rPr>
        <w:t>are</w:t>
      </w:r>
      <w:r w:rsidR="009B6B9B" w:rsidRPr="00FF6B7B">
        <w:rPr>
          <w:rFonts w:asciiTheme="minorHAnsi" w:hAnsiTheme="minorHAnsi"/>
          <w:sz w:val="24"/>
          <w:szCs w:val="24"/>
        </w:rPr>
        <w:t xml:space="preserve"> (BSC)</w:t>
      </w:r>
      <w:r w:rsidRPr="00FF6B7B">
        <w:rPr>
          <w:rFonts w:asciiTheme="minorHAnsi" w:hAnsiTheme="minorHAnsi"/>
          <w:sz w:val="24"/>
          <w:szCs w:val="24"/>
        </w:rPr>
        <w:t xml:space="preserve"> rather than idelalisib with rituximab as a basis for recommending the listing of venetoclax monotherapy, and that a Managed </w:t>
      </w:r>
      <w:r w:rsidR="009B6B9B" w:rsidRPr="00FF6B7B">
        <w:rPr>
          <w:rFonts w:asciiTheme="minorHAnsi" w:hAnsiTheme="minorHAnsi"/>
          <w:sz w:val="24"/>
          <w:szCs w:val="24"/>
        </w:rPr>
        <w:t>Access</w:t>
      </w:r>
      <w:r w:rsidRPr="00FF6B7B">
        <w:rPr>
          <w:rFonts w:asciiTheme="minorHAnsi" w:hAnsiTheme="minorHAnsi"/>
          <w:sz w:val="24"/>
          <w:szCs w:val="24"/>
        </w:rPr>
        <w:t xml:space="preserve"> Program be developed to manage any residual uncertainty PBAC has with respect to venetoclax monotherapy.</w:t>
      </w:r>
    </w:p>
    <w:p w:rsidR="00C603D4" w:rsidRPr="00FF6B7B" w:rsidRDefault="00CE10C4" w:rsidP="00F550CF">
      <w:pPr>
        <w:pStyle w:val="PBACHeading1"/>
        <w:spacing w:before="240" w:after="120"/>
        <w:rPr>
          <w:rFonts w:asciiTheme="minorHAnsi" w:hAnsiTheme="minorHAnsi"/>
          <w:sz w:val="32"/>
          <w:szCs w:val="32"/>
        </w:rPr>
      </w:pPr>
      <w:r w:rsidRPr="00FF6B7B">
        <w:rPr>
          <w:rFonts w:asciiTheme="minorHAnsi" w:hAnsiTheme="minorHAnsi"/>
          <w:sz w:val="32"/>
          <w:szCs w:val="32"/>
        </w:rPr>
        <w:t>Background</w:t>
      </w:r>
    </w:p>
    <w:p w:rsidR="000F654E" w:rsidRPr="00FF6B7B" w:rsidRDefault="000F654E" w:rsidP="000F654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Venetoclax is TGA registered for the treatment of:</w:t>
      </w:r>
    </w:p>
    <w:p w:rsidR="000F654E" w:rsidRPr="00FF6B7B" w:rsidRDefault="000F654E" w:rsidP="009D07C1">
      <w:pPr>
        <w:pStyle w:val="ListParagraph"/>
        <w:numPr>
          <w:ilvl w:val="0"/>
          <w:numId w:val="24"/>
        </w:numPr>
        <w:rPr>
          <w:rFonts w:asciiTheme="minorHAnsi" w:eastAsiaTheme="minorHAnsi" w:hAnsiTheme="minorHAnsi" w:cstheme="minorBidi"/>
          <w:snapToGrid/>
          <w:sz w:val="24"/>
          <w:szCs w:val="22"/>
        </w:rPr>
      </w:pPr>
      <w:r w:rsidRPr="009D07C1">
        <w:rPr>
          <w:rFonts w:asciiTheme="minorHAnsi" w:eastAsiaTheme="minorHAnsi" w:hAnsiTheme="minorHAnsi" w:cstheme="minorBidi"/>
          <w:sz w:val="24"/>
          <w:szCs w:val="24"/>
        </w:rPr>
        <w:t>patients</w:t>
      </w:r>
      <w:r w:rsidRPr="00FF6B7B">
        <w:rPr>
          <w:rFonts w:asciiTheme="minorHAnsi" w:eastAsiaTheme="minorHAnsi" w:hAnsiTheme="minorHAnsi" w:cstheme="minorBidi"/>
          <w:snapToGrid/>
          <w:sz w:val="24"/>
          <w:szCs w:val="22"/>
        </w:rPr>
        <w:t xml:space="preserve"> with relapsed or refractory chronic </w:t>
      </w:r>
      <w:r w:rsidR="009D07C1">
        <w:rPr>
          <w:rFonts w:asciiTheme="minorHAnsi" w:eastAsiaTheme="minorHAnsi" w:hAnsiTheme="minorHAnsi" w:cstheme="minorBidi"/>
          <w:snapToGrid/>
          <w:sz w:val="24"/>
          <w:szCs w:val="22"/>
        </w:rPr>
        <w:t xml:space="preserve">lymphocytic leukaemia (R/R CLL) </w:t>
      </w:r>
      <w:r w:rsidRPr="00FF6B7B">
        <w:rPr>
          <w:rFonts w:asciiTheme="minorHAnsi" w:eastAsiaTheme="minorHAnsi" w:hAnsiTheme="minorHAnsi" w:cstheme="minorBidi"/>
          <w:snapToGrid/>
          <w:sz w:val="24"/>
          <w:szCs w:val="22"/>
        </w:rPr>
        <w:t>with 17p-</w:t>
      </w:r>
      <w:r w:rsidRPr="009D07C1">
        <w:rPr>
          <w:rFonts w:asciiTheme="minorHAnsi" w:eastAsiaTheme="minorHAnsi" w:hAnsiTheme="minorHAnsi" w:cstheme="minorBidi"/>
          <w:sz w:val="24"/>
          <w:szCs w:val="24"/>
        </w:rPr>
        <w:t>deletion</w:t>
      </w:r>
    </w:p>
    <w:p w:rsidR="000F654E" w:rsidRPr="00FF6B7B" w:rsidRDefault="000F654E" w:rsidP="009D07C1">
      <w:pPr>
        <w:pStyle w:val="ListParagraph"/>
        <w:numPr>
          <w:ilvl w:val="0"/>
          <w:numId w:val="24"/>
        </w:numPr>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patients with R/R CLL for whom there are no other suitable treatment options.</w:t>
      </w:r>
    </w:p>
    <w:p w:rsidR="000F654E" w:rsidRPr="00FF6B7B" w:rsidRDefault="000F654E" w:rsidP="00D661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 xml:space="preserve">The PBAC deferred its decision in regards to venetoclax </w:t>
      </w:r>
      <w:r w:rsidR="00BA2B02" w:rsidRPr="00FF6B7B">
        <w:rPr>
          <w:rFonts w:asciiTheme="minorHAnsi" w:eastAsiaTheme="minorHAnsi" w:hAnsiTheme="minorHAnsi" w:cstheme="minorBidi"/>
          <w:snapToGrid/>
          <w:sz w:val="24"/>
          <w:szCs w:val="22"/>
        </w:rPr>
        <w:t>for</w:t>
      </w:r>
      <w:r w:rsidRPr="00FF6B7B">
        <w:rPr>
          <w:rFonts w:asciiTheme="minorHAnsi" w:eastAsiaTheme="minorHAnsi" w:hAnsiTheme="minorHAnsi" w:cstheme="minorBidi"/>
          <w:snapToGrid/>
          <w:sz w:val="24"/>
          <w:szCs w:val="22"/>
        </w:rPr>
        <w:t xml:space="preserve"> R/R CLL in March 2017 (major submission) based on uncertainties about the appropriate comparator, relative clinical place, comparative effectiveness and safety, and duration of therapy of venetoclax against idelalisib and ibrutinib, and considered that these uncertainties flowed on to the economic evaluations and financial analyses.</w:t>
      </w:r>
    </w:p>
    <w:p w:rsidR="008A1956" w:rsidRPr="00FF6B7B" w:rsidRDefault="00206CBF" w:rsidP="00286602">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FF6B7B">
        <w:rPr>
          <w:rFonts w:asciiTheme="minorHAnsi" w:eastAsiaTheme="minorHAnsi" w:hAnsiTheme="minorHAnsi" w:cstheme="minorBidi"/>
          <w:snapToGrid/>
          <w:sz w:val="24"/>
          <w:szCs w:val="22"/>
        </w:rPr>
        <w:t xml:space="preserve">The July 2017 </w:t>
      </w:r>
      <w:r w:rsidR="007071A5" w:rsidRPr="00FF6B7B">
        <w:rPr>
          <w:rFonts w:asciiTheme="minorHAnsi" w:eastAsiaTheme="minorHAnsi" w:hAnsiTheme="minorHAnsi" w:cstheme="minorBidi"/>
          <w:snapToGrid/>
          <w:sz w:val="24"/>
          <w:szCs w:val="22"/>
        </w:rPr>
        <w:t xml:space="preserve">PBAC </w:t>
      </w:r>
      <w:r w:rsidRPr="00FF6B7B">
        <w:rPr>
          <w:rFonts w:asciiTheme="minorHAnsi" w:eastAsiaTheme="minorHAnsi" w:hAnsiTheme="minorHAnsi" w:cstheme="minorBidi"/>
          <w:snapToGrid/>
          <w:sz w:val="24"/>
          <w:szCs w:val="22"/>
        </w:rPr>
        <w:t xml:space="preserve">meeting recommended the listing of venetoclax, on a cost-minimisation basis with idelalisib in combination with rituximab for the treatment of R/R CLL in patients who have failed a kinase inhibitor, without necessarily requiring evidence that these patients </w:t>
      </w:r>
      <w:r w:rsidRPr="00FF6B7B">
        <w:rPr>
          <w:rFonts w:asciiTheme="minorHAnsi" w:eastAsiaTheme="minorHAnsi" w:hAnsiTheme="minorHAnsi" w:cstheme="minorBidi"/>
          <w:snapToGrid/>
          <w:sz w:val="24"/>
          <w:szCs w:val="24"/>
        </w:rPr>
        <w:t xml:space="preserve">have a 17p deletion on the basis </w:t>
      </w:r>
      <w:r w:rsidRPr="00FF6B7B">
        <w:rPr>
          <w:rFonts w:asciiTheme="minorHAnsi" w:hAnsiTheme="minorHAnsi"/>
          <w:sz w:val="24"/>
          <w:szCs w:val="24"/>
        </w:rPr>
        <w:t xml:space="preserve">that the clinical place of venetoclax would be as a third-line treatment option for patients with </w:t>
      </w:r>
      <w:r w:rsidR="00287346" w:rsidRPr="00FF6B7B">
        <w:rPr>
          <w:rFonts w:asciiTheme="minorHAnsi" w:hAnsiTheme="minorHAnsi"/>
          <w:sz w:val="24"/>
          <w:szCs w:val="24"/>
        </w:rPr>
        <w:t>R/R</w:t>
      </w:r>
      <w:r w:rsidRPr="00FF6B7B">
        <w:rPr>
          <w:rFonts w:asciiTheme="minorHAnsi" w:hAnsiTheme="minorHAnsi"/>
          <w:sz w:val="24"/>
          <w:szCs w:val="24"/>
        </w:rPr>
        <w:t xml:space="preserve"> CLL, following treatment failure with a kinase inhibitor.</w:t>
      </w:r>
    </w:p>
    <w:p w:rsidR="0067620A" w:rsidRPr="00FF6B7B" w:rsidRDefault="0067620A" w:rsidP="00286602">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FF6B7B">
        <w:rPr>
          <w:rFonts w:asciiTheme="minorHAnsi" w:hAnsiTheme="minorHAnsi"/>
          <w:sz w:val="24"/>
          <w:szCs w:val="24"/>
        </w:rPr>
        <w:lastRenderedPageBreak/>
        <w:t>Subsequent to the July meeting, the PBAC provided additional advice to the Chair on a number of matters and that advice was communicated to the sponsor</w:t>
      </w:r>
      <w:r w:rsidR="00843CBF" w:rsidRPr="00FF6B7B">
        <w:rPr>
          <w:rFonts w:asciiTheme="minorHAnsi" w:hAnsiTheme="minorHAnsi"/>
          <w:sz w:val="24"/>
          <w:szCs w:val="24"/>
        </w:rPr>
        <w:t xml:space="preserve"> (see Appendix 1)</w:t>
      </w:r>
      <w:r w:rsidR="009D07C1">
        <w:rPr>
          <w:rFonts w:asciiTheme="minorHAnsi" w:hAnsiTheme="minorHAnsi"/>
          <w:sz w:val="24"/>
          <w:szCs w:val="24"/>
        </w:rPr>
        <w:t>.</w:t>
      </w:r>
    </w:p>
    <w:p w:rsidR="00CE10C4" w:rsidRPr="00FF6B7B" w:rsidRDefault="00287346" w:rsidP="00287346">
      <w:pPr>
        <w:pStyle w:val="PBACHeading1"/>
        <w:rPr>
          <w:rFonts w:asciiTheme="minorHAnsi" w:hAnsiTheme="minorHAnsi"/>
          <w:sz w:val="32"/>
          <w:szCs w:val="32"/>
        </w:rPr>
      </w:pPr>
      <w:r w:rsidRPr="00FF6B7B">
        <w:rPr>
          <w:rFonts w:asciiTheme="minorHAnsi" w:hAnsiTheme="minorHAnsi"/>
          <w:sz w:val="32"/>
          <w:szCs w:val="32"/>
        </w:rPr>
        <w:t xml:space="preserve">Current </w:t>
      </w:r>
      <w:r w:rsidR="009D07C1">
        <w:rPr>
          <w:rFonts w:asciiTheme="minorHAnsi" w:hAnsiTheme="minorHAnsi"/>
          <w:sz w:val="32"/>
          <w:szCs w:val="32"/>
        </w:rPr>
        <w:t>s</w:t>
      </w:r>
      <w:r w:rsidRPr="00FF6B7B">
        <w:rPr>
          <w:rFonts w:asciiTheme="minorHAnsi" w:hAnsiTheme="minorHAnsi"/>
          <w:sz w:val="32"/>
          <w:szCs w:val="32"/>
        </w:rPr>
        <w:t>ituation</w:t>
      </w:r>
    </w:p>
    <w:p w:rsidR="00287346" w:rsidRPr="00FF6B7B" w:rsidRDefault="00ED2D13" w:rsidP="0049192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The outstanding issue</w:t>
      </w:r>
      <w:r w:rsidR="008D67FE" w:rsidRPr="00FF6B7B">
        <w:rPr>
          <w:rFonts w:asciiTheme="minorHAnsi" w:eastAsiaTheme="minorHAnsi" w:hAnsiTheme="minorHAnsi" w:cstheme="minorBidi"/>
          <w:snapToGrid/>
          <w:sz w:val="24"/>
          <w:szCs w:val="22"/>
        </w:rPr>
        <w:t>s</w:t>
      </w:r>
      <w:r w:rsidRPr="00FF6B7B">
        <w:rPr>
          <w:rFonts w:asciiTheme="minorHAnsi" w:eastAsiaTheme="minorHAnsi" w:hAnsiTheme="minorHAnsi" w:cstheme="minorBidi"/>
          <w:snapToGrid/>
          <w:sz w:val="24"/>
          <w:szCs w:val="22"/>
        </w:rPr>
        <w:t xml:space="preserve"> </w:t>
      </w:r>
      <w:r w:rsidR="00843CBF" w:rsidRPr="00FF6B7B">
        <w:rPr>
          <w:rFonts w:asciiTheme="minorHAnsi" w:eastAsiaTheme="minorHAnsi" w:hAnsiTheme="minorHAnsi" w:cstheme="minorBidi"/>
          <w:snapToGrid/>
          <w:sz w:val="24"/>
          <w:szCs w:val="22"/>
        </w:rPr>
        <w:t>raised in</w:t>
      </w:r>
      <w:r w:rsidRPr="00FF6B7B">
        <w:rPr>
          <w:rFonts w:asciiTheme="minorHAnsi" w:eastAsiaTheme="minorHAnsi" w:hAnsiTheme="minorHAnsi" w:cstheme="minorBidi"/>
          <w:snapToGrid/>
          <w:sz w:val="24"/>
          <w:szCs w:val="22"/>
        </w:rPr>
        <w:t xml:space="preserve"> the minor resubmission </w:t>
      </w:r>
      <w:r w:rsidR="00896D64" w:rsidRPr="00FF6B7B">
        <w:rPr>
          <w:rFonts w:asciiTheme="minorHAnsi" w:eastAsiaTheme="minorHAnsi" w:hAnsiTheme="minorHAnsi" w:cstheme="minorBidi"/>
          <w:snapToGrid/>
          <w:sz w:val="24"/>
          <w:szCs w:val="22"/>
        </w:rPr>
        <w:t>included some of the inputs into</w:t>
      </w:r>
      <w:r w:rsidRPr="00FF6B7B">
        <w:rPr>
          <w:rFonts w:asciiTheme="minorHAnsi" w:eastAsiaTheme="minorHAnsi" w:hAnsiTheme="minorHAnsi" w:cstheme="minorBidi"/>
          <w:snapToGrid/>
          <w:sz w:val="24"/>
          <w:szCs w:val="22"/>
        </w:rPr>
        <w:t xml:space="preserve"> the cost</w:t>
      </w:r>
      <w:r w:rsidR="00B2572A" w:rsidRPr="00FF6B7B">
        <w:rPr>
          <w:rFonts w:asciiTheme="minorHAnsi" w:eastAsiaTheme="minorHAnsi" w:hAnsiTheme="minorHAnsi" w:cstheme="minorBidi"/>
          <w:snapToGrid/>
          <w:sz w:val="24"/>
          <w:szCs w:val="22"/>
        </w:rPr>
        <w:t xml:space="preserve"> comparison</w:t>
      </w:r>
      <w:r w:rsidRPr="00FF6B7B">
        <w:rPr>
          <w:rFonts w:asciiTheme="minorHAnsi" w:eastAsiaTheme="minorHAnsi" w:hAnsiTheme="minorHAnsi" w:cstheme="minorBidi"/>
          <w:snapToGrid/>
          <w:sz w:val="24"/>
          <w:szCs w:val="22"/>
        </w:rPr>
        <w:t xml:space="preserve"> analysis of venetoclax versus idelalisib with rituximab</w:t>
      </w:r>
      <w:r w:rsidR="008D67FE" w:rsidRPr="00FF6B7B">
        <w:rPr>
          <w:rFonts w:asciiTheme="minorHAnsi" w:eastAsiaTheme="minorHAnsi" w:hAnsiTheme="minorHAnsi" w:cstheme="minorBidi"/>
          <w:snapToGrid/>
          <w:sz w:val="24"/>
          <w:szCs w:val="22"/>
        </w:rPr>
        <w:t xml:space="preserve"> and the financial analys</w:t>
      </w:r>
      <w:r w:rsidR="00B03AA8">
        <w:rPr>
          <w:rFonts w:asciiTheme="minorHAnsi" w:eastAsiaTheme="minorHAnsi" w:hAnsiTheme="minorHAnsi" w:cstheme="minorBidi"/>
          <w:snapToGrid/>
          <w:sz w:val="24"/>
          <w:szCs w:val="22"/>
        </w:rPr>
        <w:t>e</w:t>
      </w:r>
      <w:r w:rsidR="008D67FE" w:rsidRPr="00FF6B7B">
        <w:rPr>
          <w:rFonts w:asciiTheme="minorHAnsi" w:eastAsiaTheme="minorHAnsi" w:hAnsiTheme="minorHAnsi" w:cstheme="minorBidi"/>
          <w:snapToGrid/>
          <w:sz w:val="24"/>
          <w:szCs w:val="22"/>
        </w:rPr>
        <w:t>s.</w:t>
      </w:r>
    </w:p>
    <w:p w:rsidR="002F0F76" w:rsidRPr="00FF6B7B" w:rsidRDefault="002F0F76" w:rsidP="002F0F76">
      <w:pPr>
        <w:pStyle w:val="ListParagraph"/>
        <w:numPr>
          <w:ilvl w:val="1"/>
          <w:numId w:val="14"/>
        </w:numPr>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 xml:space="preserve">The pre-PBAC response also requested that PBAC give consideration to </w:t>
      </w:r>
      <w:r w:rsidR="00B03AA8">
        <w:rPr>
          <w:rFonts w:asciiTheme="minorHAnsi" w:eastAsiaTheme="minorHAnsi" w:hAnsiTheme="minorHAnsi" w:cstheme="minorBidi"/>
          <w:snapToGrid/>
          <w:sz w:val="24"/>
          <w:szCs w:val="22"/>
        </w:rPr>
        <w:t xml:space="preserve">i) </w:t>
      </w:r>
      <w:r w:rsidRPr="00FF6B7B">
        <w:rPr>
          <w:rFonts w:asciiTheme="minorHAnsi" w:eastAsiaTheme="minorHAnsi" w:hAnsiTheme="minorHAnsi" w:cstheme="minorBidi"/>
          <w:snapToGrid/>
          <w:sz w:val="24"/>
          <w:szCs w:val="22"/>
        </w:rPr>
        <w:t xml:space="preserve">using a comparison against </w:t>
      </w:r>
      <w:r w:rsidR="0045281F" w:rsidRPr="00FF6B7B">
        <w:rPr>
          <w:rFonts w:asciiTheme="minorHAnsi" w:eastAsiaTheme="minorHAnsi" w:hAnsiTheme="minorHAnsi" w:cstheme="minorBidi"/>
          <w:snapToGrid/>
          <w:sz w:val="24"/>
          <w:szCs w:val="22"/>
        </w:rPr>
        <w:t xml:space="preserve">BSC </w:t>
      </w:r>
      <w:r w:rsidRPr="00FF6B7B">
        <w:rPr>
          <w:rFonts w:asciiTheme="minorHAnsi" w:eastAsiaTheme="minorHAnsi" w:hAnsiTheme="minorHAnsi" w:cstheme="minorBidi"/>
          <w:snapToGrid/>
          <w:sz w:val="24"/>
          <w:szCs w:val="22"/>
        </w:rPr>
        <w:t xml:space="preserve">rather than idelalisib with rituximab as a basis for recommending the listing of venetoclax monotherapy, and </w:t>
      </w:r>
      <w:r w:rsidR="00B03AA8">
        <w:rPr>
          <w:rFonts w:asciiTheme="minorHAnsi" w:eastAsiaTheme="minorHAnsi" w:hAnsiTheme="minorHAnsi" w:cstheme="minorBidi"/>
          <w:snapToGrid/>
          <w:sz w:val="24"/>
          <w:szCs w:val="22"/>
        </w:rPr>
        <w:t>ii) cooperatively developing</w:t>
      </w:r>
      <w:r w:rsidRPr="00FF6B7B">
        <w:rPr>
          <w:rFonts w:asciiTheme="minorHAnsi" w:eastAsiaTheme="minorHAnsi" w:hAnsiTheme="minorHAnsi" w:cstheme="minorBidi"/>
          <w:snapToGrid/>
          <w:sz w:val="24"/>
          <w:szCs w:val="22"/>
        </w:rPr>
        <w:t xml:space="preserve"> a Managed </w:t>
      </w:r>
      <w:r w:rsidR="0045281F" w:rsidRPr="00FF6B7B">
        <w:rPr>
          <w:rFonts w:asciiTheme="minorHAnsi" w:eastAsiaTheme="minorHAnsi" w:hAnsiTheme="minorHAnsi" w:cstheme="minorBidi"/>
          <w:snapToGrid/>
          <w:sz w:val="24"/>
          <w:szCs w:val="22"/>
        </w:rPr>
        <w:t>Access</w:t>
      </w:r>
      <w:r w:rsidRPr="00FF6B7B">
        <w:rPr>
          <w:rFonts w:asciiTheme="minorHAnsi" w:eastAsiaTheme="minorHAnsi" w:hAnsiTheme="minorHAnsi" w:cstheme="minorBidi"/>
          <w:snapToGrid/>
          <w:sz w:val="24"/>
          <w:szCs w:val="22"/>
        </w:rPr>
        <w:t xml:space="preserve"> Program to manage any residual uncertainty PBAC has with respect to venetoclax monotherapy.</w:t>
      </w:r>
    </w:p>
    <w:p w:rsidR="000B558D" w:rsidRPr="00FF6B7B" w:rsidRDefault="001C5676"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F6B7B">
        <w:rPr>
          <w:rFonts w:asciiTheme="minorHAnsi" w:hAnsiTheme="minorHAnsi"/>
          <w:sz w:val="32"/>
          <w:szCs w:val="32"/>
        </w:rPr>
        <w:t>PBAC c</w:t>
      </w:r>
      <w:r w:rsidR="00D84934" w:rsidRPr="00FF6B7B">
        <w:rPr>
          <w:rFonts w:asciiTheme="minorHAnsi" w:hAnsiTheme="minorHAnsi"/>
          <w:sz w:val="32"/>
          <w:szCs w:val="32"/>
        </w:rPr>
        <w:t>onsideration</w:t>
      </w:r>
      <w:r w:rsidR="00896D64" w:rsidRPr="00FF6B7B">
        <w:rPr>
          <w:rFonts w:asciiTheme="minorHAnsi" w:hAnsiTheme="minorHAnsi"/>
          <w:sz w:val="32"/>
          <w:szCs w:val="32"/>
        </w:rPr>
        <w:t>s</w:t>
      </w:r>
    </w:p>
    <w:p w:rsidR="00C9750A" w:rsidRPr="009F71CF" w:rsidRDefault="00C9750A" w:rsidP="00C9750A">
      <w:pPr>
        <w:pStyle w:val="Heading2"/>
        <w:rPr>
          <w:rFonts w:asciiTheme="minorHAnsi" w:hAnsiTheme="minorHAnsi"/>
          <w:sz w:val="28"/>
          <w:szCs w:val="28"/>
        </w:rPr>
      </w:pPr>
      <w:r w:rsidRPr="009F71CF">
        <w:rPr>
          <w:rFonts w:asciiTheme="minorHAnsi" w:hAnsiTheme="minorHAnsi"/>
          <w:sz w:val="28"/>
          <w:szCs w:val="28"/>
        </w:rPr>
        <w:t>Sponsor hearing</w:t>
      </w:r>
    </w:p>
    <w:p w:rsidR="00C9750A" w:rsidRPr="009F71CF" w:rsidRDefault="00C9750A" w:rsidP="00C9750A">
      <w:pPr>
        <w:rPr>
          <w:rFonts w:asciiTheme="minorHAnsi" w:hAnsiTheme="minorHAnsi"/>
          <w:sz w:val="22"/>
          <w:szCs w:val="22"/>
        </w:rPr>
      </w:pPr>
    </w:p>
    <w:p w:rsidR="00C9750A" w:rsidRPr="002B3C2C" w:rsidRDefault="00C9750A" w:rsidP="00C9750A">
      <w:pPr>
        <w:widowControl w:val="0"/>
        <w:numPr>
          <w:ilvl w:val="1"/>
          <w:numId w:val="5"/>
        </w:numPr>
        <w:jc w:val="both"/>
        <w:rPr>
          <w:rFonts w:asciiTheme="minorHAnsi" w:hAnsiTheme="minorHAnsi"/>
          <w:szCs w:val="22"/>
        </w:rPr>
      </w:pPr>
      <w:r w:rsidRPr="002B3C2C">
        <w:rPr>
          <w:rFonts w:asciiTheme="minorHAnsi" w:hAnsiTheme="minorHAnsi"/>
          <w:szCs w:val="22"/>
        </w:rPr>
        <w:t>There was no hearing for this item as it was a minor submission.</w:t>
      </w:r>
    </w:p>
    <w:p w:rsidR="00C9750A" w:rsidRPr="009F71CF" w:rsidRDefault="00C9750A" w:rsidP="00C9750A">
      <w:pPr>
        <w:rPr>
          <w:rFonts w:asciiTheme="minorHAnsi" w:hAnsiTheme="minorHAnsi"/>
          <w:sz w:val="22"/>
          <w:szCs w:val="22"/>
        </w:rPr>
      </w:pPr>
    </w:p>
    <w:p w:rsidR="00C9750A" w:rsidRPr="009F71CF" w:rsidRDefault="00C9750A" w:rsidP="00C9750A">
      <w:pPr>
        <w:pStyle w:val="Heading2"/>
        <w:rPr>
          <w:rFonts w:asciiTheme="minorHAnsi" w:hAnsiTheme="minorHAnsi"/>
          <w:sz w:val="28"/>
          <w:szCs w:val="28"/>
        </w:rPr>
      </w:pPr>
      <w:r w:rsidRPr="009F71CF">
        <w:rPr>
          <w:rFonts w:asciiTheme="minorHAnsi" w:hAnsiTheme="minorHAnsi"/>
          <w:sz w:val="28"/>
          <w:szCs w:val="28"/>
        </w:rPr>
        <w:t>Consumer comments</w:t>
      </w:r>
    </w:p>
    <w:p w:rsidR="00C9750A" w:rsidRPr="009F71CF" w:rsidRDefault="00C9750A" w:rsidP="00C9750A">
      <w:pPr>
        <w:keepNext/>
        <w:rPr>
          <w:rFonts w:asciiTheme="minorHAnsi" w:hAnsiTheme="minorHAnsi"/>
          <w:sz w:val="22"/>
          <w:szCs w:val="22"/>
        </w:rPr>
      </w:pPr>
    </w:p>
    <w:p w:rsidR="00C9750A" w:rsidRPr="00C9750A" w:rsidRDefault="00C9750A" w:rsidP="00FD14A5">
      <w:pPr>
        <w:keepLines/>
        <w:widowControl w:val="0"/>
        <w:numPr>
          <w:ilvl w:val="1"/>
          <w:numId w:val="5"/>
        </w:numPr>
        <w:spacing w:before="240" w:after="120"/>
        <w:jc w:val="both"/>
        <w:rPr>
          <w:rFonts w:asciiTheme="minorHAnsi" w:eastAsiaTheme="majorEastAsia" w:hAnsiTheme="minorHAnsi" w:cstheme="majorBidi"/>
          <w:sz w:val="28"/>
          <w:szCs w:val="28"/>
          <w:lang w:eastAsia="en-US"/>
        </w:rPr>
      </w:pPr>
      <w:r w:rsidRPr="00C9750A">
        <w:rPr>
          <w:rFonts w:asciiTheme="minorHAnsi" w:hAnsiTheme="minorHAnsi" w:cs="Arial"/>
          <w:bCs/>
          <w:snapToGrid w:val="0"/>
        </w:rPr>
        <w:t>The PBAC noted and welcomed the input from Lymphoma Australia</w:t>
      </w:r>
      <w:r w:rsidRPr="00C9750A">
        <w:rPr>
          <w:rFonts w:asciiTheme="minorHAnsi" w:hAnsiTheme="minorHAnsi" w:cs="ArialMT"/>
        </w:rPr>
        <w:t xml:space="preserve"> </w:t>
      </w:r>
      <w:r w:rsidRPr="00C9750A">
        <w:rPr>
          <w:rFonts w:asciiTheme="minorHAnsi" w:hAnsiTheme="minorHAnsi" w:cs="Arial"/>
          <w:bCs/>
          <w:snapToGrid w:val="0"/>
        </w:rPr>
        <w:t>via the Consumer Comments facility on the PBS website, detailing some of the benefits, including the extension of life and improvement in quality of life that could be expected from listing of venetoclax for the treatment of CLL</w:t>
      </w:r>
      <w:r>
        <w:rPr>
          <w:rFonts w:asciiTheme="minorHAnsi" w:hAnsiTheme="minorHAnsi" w:cs="Arial"/>
          <w:bCs/>
          <w:snapToGrid w:val="0"/>
        </w:rPr>
        <w:t>.</w:t>
      </w:r>
    </w:p>
    <w:p w:rsidR="00FD14A5" w:rsidRPr="00C9750A" w:rsidRDefault="00FD14A5" w:rsidP="00C9750A">
      <w:pPr>
        <w:pStyle w:val="Heading2"/>
        <w:rPr>
          <w:rFonts w:asciiTheme="minorHAnsi" w:eastAsiaTheme="majorEastAsia" w:hAnsiTheme="minorHAnsi" w:cstheme="majorBidi"/>
          <w:sz w:val="28"/>
          <w:szCs w:val="28"/>
          <w:lang w:eastAsia="en-US"/>
        </w:rPr>
      </w:pPr>
      <w:r w:rsidRPr="00C9750A">
        <w:rPr>
          <w:rFonts w:asciiTheme="minorHAnsi" w:eastAsiaTheme="majorEastAsia" w:hAnsiTheme="minorHAnsi" w:cstheme="majorBidi"/>
          <w:sz w:val="28"/>
          <w:szCs w:val="28"/>
          <w:lang w:eastAsia="en-US"/>
        </w:rPr>
        <w:t>Economic analysis</w:t>
      </w:r>
    </w:p>
    <w:p w:rsidR="003F510B" w:rsidRPr="00FF6B7B" w:rsidRDefault="00B03AA8" w:rsidP="001B1DAD">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FD14A5" w:rsidRPr="00FF6B7B">
        <w:rPr>
          <w:rFonts w:asciiTheme="minorHAnsi" w:eastAsiaTheme="minorHAnsi" w:hAnsiTheme="minorHAnsi" w:cstheme="minorBidi"/>
          <w:snapToGrid/>
          <w:sz w:val="24"/>
          <w:szCs w:val="22"/>
        </w:rPr>
        <w:t xml:space="preserve">he previous submission considered by PBAC in July 2017 presented a cost-minimisation analysis against ibrutinib. The PBAC recommended venetoclax for listing on a cost-minimisation basis with idelalisib </w:t>
      </w:r>
      <w:r>
        <w:rPr>
          <w:rFonts w:asciiTheme="minorHAnsi" w:eastAsiaTheme="minorHAnsi" w:hAnsiTheme="minorHAnsi" w:cstheme="minorBidi"/>
          <w:snapToGrid/>
          <w:sz w:val="24"/>
          <w:szCs w:val="22"/>
        </w:rPr>
        <w:t>in combination with rituximab.</w:t>
      </w:r>
    </w:p>
    <w:p w:rsidR="002F0F76" w:rsidRPr="00FF6B7B" w:rsidRDefault="00FD14A5" w:rsidP="001B1DAD">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 xml:space="preserve">The minor resubmission </w:t>
      </w:r>
      <w:r w:rsidR="008D67FE" w:rsidRPr="00FF6B7B">
        <w:rPr>
          <w:rFonts w:asciiTheme="minorHAnsi" w:eastAsiaTheme="minorHAnsi" w:hAnsiTheme="minorHAnsi" w:cstheme="minorBidi"/>
          <w:snapToGrid/>
          <w:sz w:val="24"/>
          <w:szCs w:val="22"/>
        </w:rPr>
        <w:t>present</w:t>
      </w:r>
      <w:r w:rsidR="001B1DAD">
        <w:rPr>
          <w:rFonts w:asciiTheme="minorHAnsi" w:eastAsiaTheme="minorHAnsi" w:hAnsiTheme="minorHAnsi" w:cstheme="minorBidi"/>
          <w:snapToGrid/>
          <w:sz w:val="24"/>
          <w:szCs w:val="22"/>
        </w:rPr>
        <w:t>ed</w:t>
      </w:r>
      <w:r w:rsidR="008D67FE" w:rsidRPr="00FF6B7B">
        <w:rPr>
          <w:rFonts w:asciiTheme="minorHAnsi" w:eastAsiaTheme="minorHAnsi" w:hAnsiTheme="minorHAnsi" w:cstheme="minorBidi"/>
          <w:snapToGrid/>
          <w:sz w:val="24"/>
          <w:szCs w:val="22"/>
        </w:rPr>
        <w:t xml:space="preserve"> a </w:t>
      </w:r>
      <w:r w:rsidRPr="00FF6B7B">
        <w:rPr>
          <w:rFonts w:asciiTheme="minorHAnsi" w:eastAsiaTheme="minorHAnsi" w:hAnsiTheme="minorHAnsi" w:cstheme="minorBidi"/>
          <w:snapToGrid/>
          <w:sz w:val="24"/>
          <w:szCs w:val="22"/>
        </w:rPr>
        <w:t xml:space="preserve">cost </w:t>
      </w:r>
      <w:r w:rsidR="002F0F76" w:rsidRPr="00FF6B7B">
        <w:rPr>
          <w:rFonts w:asciiTheme="minorHAnsi" w:eastAsiaTheme="minorHAnsi" w:hAnsiTheme="minorHAnsi" w:cstheme="minorBidi"/>
          <w:snapToGrid/>
          <w:sz w:val="24"/>
          <w:szCs w:val="22"/>
        </w:rPr>
        <w:t>comparison</w:t>
      </w:r>
      <w:r w:rsidRPr="00FF6B7B">
        <w:rPr>
          <w:rFonts w:asciiTheme="minorHAnsi" w:eastAsiaTheme="minorHAnsi" w:hAnsiTheme="minorHAnsi" w:cstheme="minorBidi"/>
          <w:snapToGrid/>
          <w:sz w:val="24"/>
          <w:szCs w:val="22"/>
        </w:rPr>
        <w:t xml:space="preserve"> </w:t>
      </w:r>
      <w:r w:rsidR="008D67FE" w:rsidRPr="00FF6B7B">
        <w:rPr>
          <w:rFonts w:asciiTheme="minorHAnsi" w:eastAsiaTheme="minorHAnsi" w:hAnsiTheme="minorHAnsi" w:cstheme="minorBidi"/>
          <w:snapToGrid/>
          <w:sz w:val="24"/>
          <w:szCs w:val="22"/>
        </w:rPr>
        <w:t xml:space="preserve">analysis </w:t>
      </w:r>
      <w:r w:rsidRPr="00FF6B7B">
        <w:rPr>
          <w:rFonts w:asciiTheme="minorHAnsi" w:eastAsiaTheme="minorHAnsi" w:hAnsiTheme="minorHAnsi" w:cstheme="minorBidi"/>
          <w:snapToGrid/>
          <w:sz w:val="24"/>
          <w:szCs w:val="22"/>
        </w:rPr>
        <w:t>against idelalisib in combination with rituximab</w:t>
      </w:r>
      <w:r w:rsidR="008D67FE" w:rsidRPr="00FF6B7B">
        <w:rPr>
          <w:rFonts w:asciiTheme="minorHAnsi" w:eastAsiaTheme="minorHAnsi" w:hAnsiTheme="minorHAnsi" w:cstheme="minorBidi"/>
          <w:i/>
          <w:snapToGrid/>
          <w:sz w:val="24"/>
          <w:szCs w:val="22"/>
        </w:rPr>
        <w:t xml:space="preserve">. </w:t>
      </w:r>
      <w:r w:rsidR="001C5676" w:rsidRPr="00FF6B7B">
        <w:rPr>
          <w:rFonts w:asciiTheme="minorHAnsi" w:eastAsiaTheme="minorHAnsi" w:hAnsiTheme="minorHAnsi" w:cstheme="minorBidi"/>
          <w:snapToGrid/>
          <w:sz w:val="24"/>
          <w:szCs w:val="22"/>
        </w:rPr>
        <w:t>This analysis was reviewed by the Secretariat during the evaluation of the minor submission and the resulting revised analysis was provided to Abb</w:t>
      </w:r>
      <w:r w:rsidR="001B1DAD">
        <w:rPr>
          <w:rFonts w:asciiTheme="minorHAnsi" w:eastAsiaTheme="minorHAnsi" w:hAnsiTheme="minorHAnsi" w:cstheme="minorBidi"/>
          <w:snapToGrid/>
          <w:sz w:val="24"/>
          <w:szCs w:val="22"/>
        </w:rPr>
        <w:t>V</w:t>
      </w:r>
      <w:r w:rsidR="001C5676" w:rsidRPr="00FF6B7B">
        <w:rPr>
          <w:rFonts w:asciiTheme="minorHAnsi" w:eastAsiaTheme="minorHAnsi" w:hAnsiTheme="minorHAnsi" w:cstheme="minorBidi"/>
          <w:snapToGrid/>
          <w:sz w:val="24"/>
          <w:szCs w:val="22"/>
        </w:rPr>
        <w:t xml:space="preserve">ie for comment as </w:t>
      </w:r>
      <w:r w:rsidR="001B1DAD">
        <w:rPr>
          <w:rFonts w:asciiTheme="minorHAnsi" w:eastAsiaTheme="minorHAnsi" w:hAnsiTheme="minorHAnsi" w:cstheme="minorBidi"/>
          <w:snapToGrid/>
          <w:sz w:val="24"/>
          <w:szCs w:val="22"/>
        </w:rPr>
        <w:t>part of the pre-PBAC process.</w:t>
      </w:r>
    </w:p>
    <w:p w:rsidR="00D54376" w:rsidRPr="00FF6B7B" w:rsidRDefault="00D54376" w:rsidP="001B1DAD">
      <w:pPr>
        <w:pStyle w:val="ListParagraph"/>
        <w:numPr>
          <w:ilvl w:val="1"/>
          <w:numId w:val="5"/>
        </w:numPr>
        <w:spacing w:before="120" w:after="160"/>
        <w:rPr>
          <w:rFonts w:asciiTheme="minorHAnsi" w:eastAsiaTheme="minorHAnsi" w:hAnsiTheme="minorHAnsi" w:cstheme="minorBidi"/>
          <w:snapToGrid/>
          <w:sz w:val="24"/>
          <w:szCs w:val="24"/>
        </w:rPr>
      </w:pPr>
      <w:r w:rsidRPr="00FF6B7B">
        <w:rPr>
          <w:rFonts w:asciiTheme="minorHAnsi" w:eastAsiaTheme="minorHAnsi" w:hAnsiTheme="minorHAnsi" w:cstheme="minorBidi"/>
          <w:snapToGrid/>
          <w:sz w:val="24"/>
          <w:szCs w:val="24"/>
        </w:rPr>
        <w:t xml:space="preserve">The PBAC noted that the revised cost-comparison incorporated the effective price of idelalisib and that a number of fees and mark-ups had been adjusted to account </w:t>
      </w:r>
      <w:r w:rsidR="001B1DAD">
        <w:rPr>
          <w:rFonts w:asciiTheme="minorHAnsi" w:eastAsiaTheme="minorHAnsi" w:hAnsiTheme="minorHAnsi" w:cstheme="minorBidi"/>
          <w:snapToGrid/>
          <w:sz w:val="24"/>
          <w:szCs w:val="24"/>
        </w:rPr>
        <w:t>for this.</w:t>
      </w:r>
    </w:p>
    <w:p w:rsidR="001C5676" w:rsidRPr="00FF6B7B" w:rsidRDefault="001C5676" w:rsidP="001B1DAD">
      <w:pPr>
        <w:pStyle w:val="ListParagraph"/>
        <w:widowControl/>
        <w:numPr>
          <w:ilvl w:val="1"/>
          <w:numId w:val="5"/>
        </w:numPr>
        <w:spacing w:before="120" w:after="160"/>
        <w:contextualSpacing w:val="0"/>
        <w:rPr>
          <w:rFonts w:asciiTheme="minorHAnsi" w:eastAsiaTheme="minorHAnsi" w:hAnsiTheme="minorHAnsi" w:cstheme="minorBidi"/>
          <w:snapToGrid/>
          <w:sz w:val="24"/>
          <w:szCs w:val="24"/>
        </w:rPr>
      </w:pPr>
      <w:r w:rsidRPr="00FF6B7B">
        <w:rPr>
          <w:rFonts w:asciiTheme="minorHAnsi" w:eastAsiaTheme="minorHAnsi" w:hAnsiTheme="minorHAnsi" w:cstheme="minorBidi"/>
          <w:snapToGrid/>
          <w:sz w:val="24"/>
          <w:szCs w:val="24"/>
        </w:rPr>
        <w:t xml:space="preserve">The PBAC </w:t>
      </w:r>
      <w:r w:rsidR="00D54376" w:rsidRPr="00FF6B7B">
        <w:rPr>
          <w:rFonts w:asciiTheme="minorHAnsi" w:eastAsiaTheme="minorHAnsi" w:hAnsiTheme="minorHAnsi" w:cstheme="minorBidi"/>
          <w:snapToGrid/>
          <w:sz w:val="24"/>
          <w:szCs w:val="24"/>
        </w:rPr>
        <w:t xml:space="preserve">provided the following </w:t>
      </w:r>
      <w:r w:rsidRPr="00FF6B7B">
        <w:rPr>
          <w:rFonts w:asciiTheme="minorHAnsi" w:eastAsiaTheme="minorHAnsi" w:hAnsiTheme="minorHAnsi" w:cstheme="minorBidi"/>
          <w:snapToGrid/>
          <w:sz w:val="24"/>
          <w:szCs w:val="24"/>
        </w:rPr>
        <w:t>advi</w:t>
      </w:r>
      <w:r w:rsidR="00D54376" w:rsidRPr="00FF6B7B">
        <w:rPr>
          <w:rFonts w:asciiTheme="minorHAnsi" w:eastAsiaTheme="minorHAnsi" w:hAnsiTheme="minorHAnsi" w:cstheme="minorBidi"/>
          <w:snapToGrid/>
          <w:sz w:val="24"/>
          <w:szCs w:val="24"/>
        </w:rPr>
        <w:t>ce in relation to</w:t>
      </w:r>
      <w:r w:rsidR="009B6B9B" w:rsidRPr="00FF6B7B">
        <w:rPr>
          <w:rFonts w:asciiTheme="minorHAnsi" w:eastAsiaTheme="minorHAnsi" w:hAnsiTheme="minorHAnsi" w:cstheme="minorBidi"/>
          <w:snapToGrid/>
          <w:sz w:val="24"/>
          <w:szCs w:val="24"/>
        </w:rPr>
        <w:t xml:space="preserve"> outstanding issues in </w:t>
      </w:r>
      <w:r w:rsidRPr="00FF6B7B">
        <w:rPr>
          <w:rFonts w:asciiTheme="minorHAnsi" w:eastAsiaTheme="minorHAnsi" w:hAnsiTheme="minorHAnsi" w:cstheme="minorBidi"/>
          <w:snapToGrid/>
          <w:sz w:val="24"/>
          <w:szCs w:val="24"/>
        </w:rPr>
        <w:t>the</w:t>
      </w:r>
      <w:r w:rsidR="00D54376" w:rsidRPr="00FF6B7B">
        <w:rPr>
          <w:rFonts w:asciiTheme="minorHAnsi" w:eastAsiaTheme="minorHAnsi" w:hAnsiTheme="minorHAnsi" w:cstheme="minorBidi"/>
          <w:snapToGrid/>
          <w:sz w:val="24"/>
          <w:szCs w:val="24"/>
        </w:rPr>
        <w:t xml:space="preserve"> revised</w:t>
      </w:r>
      <w:r w:rsidRPr="00FF6B7B">
        <w:rPr>
          <w:rFonts w:asciiTheme="minorHAnsi" w:eastAsiaTheme="minorHAnsi" w:hAnsiTheme="minorHAnsi" w:cstheme="minorBidi"/>
          <w:snapToGrid/>
          <w:sz w:val="24"/>
          <w:szCs w:val="24"/>
        </w:rPr>
        <w:t xml:space="preserve"> cost comparison analysis</w:t>
      </w:r>
      <w:r w:rsidR="005675CA" w:rsidRPr="00FF6B7B">
        <w:rPr>
          <w:rFonts w:asciiTheme="minorHAnsi" w:eastAsiaTheme="minorHAnsi" w:hAnsiTheme="minorHAnsi" w:cstheme="minorBidi"/>
          <w:snapToGrid/>
          <w:sz w:val="24"/>
          <w:szCs w:val="24"/>
        </w:rPr>
        <w:t>:</w:t>
      </w:r>
    </w:p>
    <w:p w:rsidR="008D67FE" w:rsidRPr="001B1DAD" w:rsidRDefault="00BA2B02" w:rsidP="001B1DAD">
      <w:pPr>
        <w:pStyle w:val="ListParagraph"/>
        <w:numPr>
          <w:ilvl w:val="0"/>
          <w:numId w:val="24"/>
        </w:numPr>
        <w:rPr>
          <w:rFonts w:asciiTheme="minorHAnsi" w:eastAsiaTheme="minorHAnsi" w:hAnsiTheme="minorHAnsi" w:cstheme="minorBidi"/>
          <w:sz w:val="24"/>
          <w:szCs w:val="24"/>
        </w:rPr>
      </w:pPr>
      <w:r w:rsidRPr="001B1DAD">
        <w:rPr>
          <w:rFonts w:asciiTheme="minorHAnsi" w:eastAsiaTheme="minorHAnsi" w:hAnsiTheme="minorHAnsi" w:cstheme="minorBidi"/>
          <w:sz w:val="24"/>
          <w:szCs w:val="24"/>
        </w:rPr>
        <w:t>T</w:t>
      </w:r>
      <w:r w:rsidR="008D67FE" w:rsidRPr="001B1DAD">
        <w:rPr>
          <w:rFonts w:asciiTheme="minorHAnsi" w:eastAsiaTheme="minorHAnsi" w:hAnsiTheme="minorHAnsi" w:cstheme="minorBidi"/>
          <w:sz w:val="24"/>
          <w:szCs w:val="24"/>
        </w:rPr>
        <w:t xml:space="preserve">he assumed duration of treatment with idelalisib </w:t>
      </w:r>
      <w:r w:rsidR="001C5676" w:rsidRPr="001B1DAD">
        <w:rPr>
          <w:rFonts w:asciiTheme="minorHAnsi" w:eastAsiaTheme="minorHAnsi" w:hAnsiTheme="minorHAnsi" w:cstheme="minorBidi"/>
          <w:sz w:val="24"/>
          <w:szCs w:val="24"/>
        </w:rPr>
        <w:t>should be</w:t>
      </w:r>
      <w:r w:rsidR="008D67FE" w:rsidRPr="001B1DAD">
        <w:rPr>
          <w:rFonts w:asciiTheme="minorHAnsi" w:eastAsiaTheme="minorHAnsi" w:hAnsiTheme="minorHAnsi" w:cstheme="minorBidi"/>
          <w:sz w:val="24"/>
          <w:szCs w:val="24"/>
        </w:rPr>
        <w:t xml:space="preserve"> 21.6 months</w:t>
      </w:r>
      <w:r w:rsidR="001C5676" w:rsidRPr="001B1DAD">
        <w:rPr>
          <w:rFonts w:asciiTheme="minorHAnsi" w:eastAsiaTheme="minorHAnsi" w:hAnsiTheme="minorHAnsi" w:cstheme="minorBidi"/>
          <w:sz w:val="24"/>
          <w:szCs w:val="24"/>
        </w:rPr>
        <w:t>.</w:t>
      </w:r>
      <w:r w:rsidR="008D67FE" w:rsidRPr="001B1DAD">
        <w:rPr>
          <w:rFonts w:asciiTheme="minorHAnsi" w:eastAsiaTheme="minorHAnsi" w:hAnsiTheme="minorHAnsi" w:cstheme="minorBidi"/>
          <w:sz w:val="24"/>
          <w:szCs w:val="24"/>
        </w:rPr>
        <w:t xml:space="preserve"> </w:t>
      </w:r>
      <w:r w:rsidR="001C5676" w:rsidRPr="001B1DAD">
        <w:rPr>
          <w:rFonts w:asciiTheme="minorHAnsi" w:eastAsiaTheme="minorHAnsi" w:hAnsiTheme="minorHAnsi" w:cstheme="minorBidi"/>
          <w:sz w:val="24"/>
          <w:szCs w:val="24"/>
        </w:rPr>
        <w:t xml:space="preserve">The assumed duration of treatment with venetoclax should be 24 months. This is </w:t>
      </w:r>
      <w:r w:rsidR="001C5676" w:rsidRPr="001B1DAD">
        <w:rPr>
          <w:rFonts w:asciiTheme="minorHAnsi" w:eastAsiaTheme="minorHAnsi" w:hAnsiTheme="minorHAnsi" w:cstheme="minorBidi"/>
          <w:sz w:val="24"/>
          <w:szCs w:val="24"/>
        </w:rPr>
        <w:lastRenderedPageBreak/>
        <w:t xml:space="preserve">consistent with PBAC’s advice in July 2017 (paragraph 7.6 of July 2017 </w:t>
      </w:r>
      <w:r w:rsidR="00B1238A">
        <w:rPr>
          <w:rFonts w:asciiTheme="minorHAnsi" w:eastAsiaTheme="minorHAnsi" w:hAnsiTheme="minorHAnsi" w:cstheme="minorBidi"/>
          <w:sz w:val="24"/>
          <w:szCs w:val="24"/>
        </w:rPr>
        <w:t>public summary document</w:t>
      </w:r>
      <w:r w:rsidR="001C5676" w:rsidRPr="001B1DAD">
        <w:rPr>
          <w:rFonts w:asciiTheme="minorHAnsi" w:eastAsiaTheme="minorHAnsi" w:hAnsiTheme="minorHAnsi" w:cstheme="minorBidi"/>
          <w:sz w:val="24"/>
          <w:szCs w:val="24"/>
        </w:rPr>
        <w:t>)</w:t>
      </w:r>
      <w:r w:rsidR="001B1DAD">
        <w:rPr>
          <w:rFonts w:asciiTheme="minorHAnsi" w:eastAsiaTheme="minorHAnsi" w:hAnsiTheme="minorHAnsi" w:cstheme="minorBidi"/>
          <w:sz w:val="24"/>
          <w:szCs w:val="24"/>
        </w:rPr>
        <w:t>.</w:t>
      </w:r>
    </w:p>
    <w:p w:rsidR="0050313C" w:rsidRPr="00FF6B7B" w:rsidRDefault="00174471" w:rsidP="007D208F">
      <w:pPr>
        <w:pStyle w:val="ListParagraph"/>
        <w:numPr>
          <w:ilvl w:val="0"/>
          <w:numId w:val="24"/>
        </w:numPr>
        <w:rPr>
          <w:rFonts w:asciiTheme="minorHAnsi" w:eastAsiaTheme="minorHAnsi" w:hAnsiTheme="minorHAnsi" w:cstheme="minorBidi"/>
          <w:sz w:val="24"/>
          <w:szCs w:val="24"/>
        </w:rPr>
      </w:pPr>
      <w:r w:rsidRPr="00FF6B7B">
        <w:rPr>
          <w:rFonts w:asciiTheme="minorHAnsi" w:eastAsiaTheme="minorHAnsi" w:hAnsiTheme="minorHAnsi" w:cstheme="minorBidi"/>
          <w:sz w:val="24"/>
          <w:szCs w:val="24"/>
        </w:rPr>
        <w:t xml:space="preserve">It is appropriate </w:t>
      </w:r>
      <w:r w:rsidR="009B6B9B" w:rsidRPr="00FF6B7B">
        <w:rPr>
          <w:rFonts w:asciiTheme="minorHAnsi" w:eastAsiaTheme="minorHAnsi" w:hAnsiTheme="minorHAnsi" w:cstheme="minorBidi"/>
          <w:sz w:val="24"/>
          <w:szCs w:val="24"/>
        </w:rPr>
        <w:t>that</w:t>
      </w:r>
      <w:r w:rsidRPr="00FF6B7B">
        <w:rPr>
          <w:rFonts w:asciiTheme="minorHAnsi" w:eastAsiaTheme="minorHAnsi" w:hAnsiTheme="minorHAnsi" w:cstheme="minorBidi"/>
          <w:sz w:val="24"/>
          <w:szCs w:val="24"/>
        </w:rPr>
        <w:t xml:space="preserve"> the cost of prophylaxis for Pneumocystis jirovecii pneumonia (PJP) and monitoring for cytomegalovirus (CMV) be included in the cost of treatment for idelalisib with rituximab</w:t>
      </w:r>
      <w:r w:rsidR="009B6B9B" w:rsidRPr="00FF6B7B">
        <w:rPr>
          <w:rFonts w:asciiTheme="minorHAnsi" w:eastAsiaTheme="minorHAnsi" w:hAnsiTheme="minorHAnsi" w:cstheme="minorBidi"/>
          <w:sz w:val="24"/>
          <w:szCs w:val="24"/>
        </w:rPr>
        <w:t xml:space="preserve"> but not venetoclax.</w:t>
      </w:r>
      <w:r w:rsidRPr="00FF6B7B">
        <w:rPr>
          <w:rFonts w:asciiTheme="minorHAnsi" w:eastAsiaTheme="minorHAnsi" w:hAnsiTheme="minorHAnsi" w:cstheme="minorBidi"/>
          <w:sz w:val="24"/>
          <w:szCs w:val="24"/>
        </w:rPr>
        <w:t xml:space="preserve"> The PBAC noted that</w:t>
      </w:r>
      <w:r w:rsidR="001B1DAD">
        <w:rPr>
          <w:rFonts w:asciiTheme="minorHAnsi" w:eastAsiaTheme="minorHAnsi" w:hAnsiTheme="minorHAnsi" w:cstheme="minorBidi"/>
          <w:sz w:val="24"/>
          <w:szCs w:val="24"/>
        </w:rPr>
        <w:t>,</w:t>
      </w:r>
      <w:r w:rsidRPr="00FF6B7B">
        <w:rPr>
          <w:rFonts w:asciiTheme="minorHAnsi" w:eastAsiaTheme="minorHAnsi" w:hAnsiTheme="minorHAnsi" w:cstheme="minorBidi"/>
          <w:sz w:val="24"/>
          <w:szCs w:val="24"/>
        </w:rPr>
        <w:t xml:space="preserve"> in the secretariat</w:t>
      </w:r>
      <w:r w:rsidR="001B1DAD">
        <w:rPr>
          <w:rFonts w:asciiTheme="minorHAnsi" w:eastAsiaTheme="minorHAnsi" w:hAnsiTheme="minorHAnsi" w:cstheme="minorBidi"/>
          <w:sz w:val="24"/>
          <w:szCs w:val="24"/>
        </w:rPr>
        <w:t>’s</w:t>
      </w:r>
      <w:r w:rsidRPr="00FF6B7B">
        <w:rPr>
          <w:rFonts w:asciiTheme="minorHAnsi" w:eastAsiaTheme="minorHAnsi" w:hAnsiTheme="minorHAnsi" w:cstheme="minorBidi"/>
          <w:sz w:val="24"/>
          <w:szCs w:val="24"/>
        </w:rPr>
        <w:t xml:space="preserve"> revised cost </w:t>
      </w:r>
      <w:r w:rsidR="00E86781" w:rsidRPr="00FF6B7B">
        <w:rPr>
          <w:rFonts w:asciiTheme="minorHAnsi" w:eastAsiaTheme="minorHAnsi" w:hAnsiTheme="minorHAnsi" w:cstheme="minorBidi"/>
          <w:sz w:val="24"/>
          <w:szCs w:val="24"/>
        </w:rPr>
        <w:t>comparison</w:t>
      </w:r>
      <w:r w:rsidRPr="00FF6B7B">
        <w:rPr>
          <w:rFonts w:asciiTheme="minorHAnsi" w:eastAsiaTheme="minorHAnsi" w:hAnsiTheme="minorHAnsi" w:cstheme="minorBidi"/>
          <w:sz w:val="24"/>
          <w:szCs w:val="24"/>
        </w:rPr>
        <w:t>, these costs add $3,337 to the cost of a course of treatment with idelalisib with rituximab</w:t>
      </w:r>
      <w:r w:rsidR="00E86781" w:rsidRPr="00FF6B7B">
        <w:rPr>
          <w:rFonts w:asciiTheme="minorHAnsi" w:eastAsiaTheme="minorHAnsi" w:hAnsiTheme="minorHAnsi" w:cstheme="minorBidi"/>
          <w:sz w:val="24"/>
          <w:szCs w:val="24"/>
        </w:rPr>
        <w:t>.</w:t>
      </w:r>
    </w:p>
    <w:p w:rsidR="00174471" w:rsidRPr="00FF6B7B" w:rsidRDefault="00174471" w:rsidP="00174471">
      <w:pPr>
        <w:pStyle w:val="ListParagraph"/>
        <w:numPr>
          <w:ilvl w:val="0"/>
          <w:numId w:val="24"/>
        </w:numPr>
        <w:rPr>
          <w:rFonts w:asciiTheme="minorHAnsi" w:eastAsiaTheme="minorHAnsi" w:hAnsiTheme="minorHAnsi" w:cstheme="minorBidi"/>
          <w:sz w:val="24"/>
          <w:szCs w:val="24"/>
        </w:rPr>
      </w:pPr>
      <w:r w:rsidRPr="00FF6B7B">
        <w:rPr>
          <w:rFonts w:asciiTheme="minorHAnsi" w:eastAsiaTheme="minorHAnsi" w:hAnsiTheme="minorHAnsi" w:cstheme="minorBidi"/>
          <w:sz w:val="24"/>
          <w:szCs w:val="24"/>
        </w:rPr>
        <w:t xml:space="preserve">The </w:t>
      </w:r>
      <w:r w:rsidR="009850FE">
        <w:rPr>
          <w:rFonts w:asciiTheme="minorHAnsi" w:eastAsiaTheme="minorHAnsi" w:hAnsiTheme="minorHAnsi" w:cstheme="minorBidi"/>
          <w:sz w:val="24"/>
          <w:szCs w:val="24"/>
        </w:rPr>
        <w:t>DPMQ</w:t>
      </w:r>
      <w:r w:rsidRPr="00FF6B7B">
        <w:rPr>
          <w:rFonts w:asciiTheme="minorHAnsi" w:eastAsiaTheme="minorHAnsi" w:hAnsiTheme="minorHAnsi" w:cstheme="minorBidi"/>
          <w:sz w:val="24"/>
          <w:szCs w:val="24"/>
        </w:rPr>
        <w:t>, currently $93.55, for an authority prescription for one month’s supply of 270 tablets of trimethoprim with sulfamethoxazole (TMP/SMX) for prophylaxis against (PJP), should b</w:t>
      </w:r>
      <w:r w:rsidR="0026220F">
        <w:rPr>
          <w:rFonts w:asciiTheme="minorHAnsi" w:eastAsiaTheme="minorHAnsi" w:hAnsiTheme="minorHAnsi" w:cstheme="minorBidi"/>
          <w:sz w:val="24"/>
          <w:szCs w:val="24"/>
        </w:rPr>
        <w:t xml:space="preserve">e used in the cost comparison. </w:t>
      </w:r>
      <w:r w:rsidRPr="00FF6B7B">
        <w:rPr>
          <w:rFonts w:asciiTheme="minorHAnsi" w:eastAsiaTheme="minorHAnsi" w:hAnsiTheme="minorHAnsi" w:cstheme="minorBidi"/>
          <w:sz w:val="24"/>
          <w:szCs w:val="24"/>
        </w:rPr>
        <w:t xml:space="preserve">The sponsor’s </w:t>
      </w:r>
      <w:r w:rsidR="009148B8">
        <w:rPr>
          <w:rFonts w:asciiTheme="minorHAnsi" w:eastAsiaTheme="minorHAnsi" w:hAnsiTheme="minorHAnsi" w:cstheme="minorBidi"/>
          <w:sz w:val="24"/>
          <w:szCs w:val="24"/>
        </w:rPr>
        <w:t xml:space="preserve">calculations based on </w:t>
      </w:r>
      <w:r w:rsidRPr="00FF6B7B">
        <w:rPr>
          <w:rFonts w:asciiTheme="minorHAnsi" w:eastAsiaTheme="minorHAnsi" w:hAnsiTheme="minorHAnsi" w:cstheme="minorBidi"/>
          <w:sz w:val="24"/>
          <w:szCs w:val="24"/>
        </w:rPr>
        <w:t xml:space="preserve">the DPMQ for 30 tablets </w:t>
      </w:r>
      <w:r w:rsidR="009148B8">
        <w:rPr>
          <w:rFonts w:asciiTheme="minorHAnsi" w:eastAsiaTheme="minorHAnsi" w:hAnsiTheme="minorHAnsi" w:cstheme="minorBidi"/>
          <w:sz w:val="24"/>
          <w:szCs w:val="24"/>
        </w:rPr>
        <w:t xml:space="preserve">resulted in </w:t>
      </w:r>
      <w:r w:rsidRPr="00FF6B7B">
        <w:rPr>
          <w:rFonts w:asciiTheme="minorHAnsi" w:eastAsiaTheme="minorHAnsi" w:hAnsiTheme="minorHAnsi" w:cstheme="minorBidi"/>
          <w:sz w:val="24"/>
          <w:szCs w:val="24"/>
        </w:rPr>
        <w:t>overestimat</w:t>
      </w:r>
      <w:r w:rsidR="009148B8">
        <w:rPr>
          <w:rFonts w:asciiTheme="minorHAnsi" w:eastAsiaTheme="minorHAnsi" w:hAnsiTheme="minorHAnsi" w:cstheme="minorBidi"/>
          <w:sz w:val="24"/>
          <w:szCs w:val="24"/>
        </w:rPr>
        <w:t>ing</w:t>
      </w:r>
      <w:r w:rsidRPr="00FF6B7B">
        <w:rPr>
          <w:rFonts w:asciiTheme="minorHAnsi" w:eastAsiaTheme="minorHAnsi" w:hAnsiTheme="minorHAnsi" w:cstheme="minorBidi"/>
          <w:sz w:val="24"/>
          <w:szCs w:val="24"/>
        </w:rPr>
        <w:t xml:space="preserve"> the cost of TMP/SMX prophylaxis</w:t>
      </w:r>
      <w:r w:rsidR="00896D64" w:rsidRPr="00FF6B7B">
        <w:rPr>
          <w:rFonts w:asciiTheme="minorHAnsi" w:eastAsiaTheme="minorHAnsi" w:hAnsiTheme="minorHAnsi" w:cstheme="minorBidi"/>
          <w:sz w:val="24"/>
          <w:szCs w:val="24"/>
        </w:rPr>
        <w:t>.</w:t>
      </w:r>
    </w:p>
    <w:p w:rsidR="00D54376" w:rsidRPr="00FF6B7B" w:rsidRDefault="00E86781" w:rsidP="00D54376">
      <w:pPr>
        <w:pStyle w:val="ListParagraph"/>
        <w:numPr>
          <w:ilvl w:val="0"/>
          <w:numId w:val="24"/>
        </w:numPr>
        <w:rPr>
          <w:rFonts w:asciiTheme="minorHAnsi" w:eastAsiaTheme="minorHAnsi" w:hAnsiTheme="minorHAnsi" w:cstheme="minorBidi"/>
          <w:sz w:val="24"/>
          <w:szCs w:val="24"/>
        </w:rPr>
      </w:pPr>
      <w:r w:rsidRPr="00FF6B7B">
        <w:rPr>
          <w:rFonts w:asciiTheme="minorHAnsi" w:eastAsiaTheme="minorHAnsi" w:hAnsiTheme="minorHAnsi" w:cstheme="minorBidi"/>
          <w:sz w:val="24"/>
          <w:szCs w:val="24"/>
        </w:rPr>
        <w:t xml:space="preserve">It is appropriate for the costs associated with monitoring and managing tumour lysis syndrome (TLS) to be included in the cost of a course of treatment with venetoclax. </w:t>
      </w:r>
      <w:r w:rsidR="00D54376" w:rsidRPr="00FF6B7B">
        <w:rPr>
          <w:rFonts w:asciiTheme="minorHAnsi" w:eastAsiaTheme="minorHAnsi" w:hAnsiTheme="minorHAnsi" w:cstheme="minorBidi"/>
          <w:sz w:val="24"/>
          <w:szCs w:val="24"/>
        </w:rPr>
        <w:t>The PBAC noted that the cost comparison currently only included costs for monitoring TLS.</w:t>
      </w:r>
    </w:p>
    <w:p w:rsidR="0045281F" w:rsidRPr="00FF6B7B" w:rsidRDefault="0045281F" w:rsidP="001B1DAD">
      <w:pPr>
        <w:pStyle w:val="ListParagraph"/>
        <w:numPr>
          <w:ilvl w:val="1"/>
          <w:numId w:val="5"/>
        </w:numPr>
        <w:spacing w:before="120" w:after="160"/>
        <w:contextualSpacing w:val="0"/>
        <w:rPr>
          <w:rFonts w:asciiTheme="minorHAnsi" w:eastAsiaTheme="minorHAnsi" w:hAnsiTheme="minorHAnsi" w:cstheme="minorBidi"/>
          <w:snapToGrid/>
          <w:sz w:val="24"/>
          <w:szCs w:val="24"/>
        </w:rPr>
      </w:pPr>
      <w:r w:rsidRPr="00FF6B7B">
        <w:rPr>
          <w:rFonts w:asciiTheme="minorHAnsi" w:eastAsiaTheme="minorHAnsi" w:hAnsiTheme="minorHAnsi" w:cstheme="minorBidi"/>
          <w:snapToGrid/>
          <w:sz w:val="24"/>
          <w:szCs w:val="24"/>
        </w:rPr>
        <w:t>A summary of the cost comparison incorporating the changes above with the exception of the cost for managing TLS</w:t>
      </w:r>
      <w:r w:rsidR="00403651" w:rsidRPr="00FF6B7B">
        <w:rPr>
          <w:rFonts w:asciiTheme="minorHAnsi" w:eastAsiaTheme="minorHAnsi" w:hAnsiTheme="minorHAnsi" w:cstheme="minorBidi"/>
          <w:snapToGrid/>
          <w:sz w:val="24"/>
          <w:szCs w:val="24"/>
        </w:rPr>
        <w:t>,</w:t>
      </w:r>
      <w:r w:rsidR="001B1DAD">
        <w:rPr>
          <w:rFonts w:asciiTheme="minorHAnsi" w:eastAsiaTheme="minorHAnsi" w:hAnsiTheme="minorHAnsi" w:cstheme="minorBidi"/>
          <w:snapToGrid/>
          <w:sz w:val="24"/>
          <w:szCs w:val="24"/>
        </w:rPr>
        <w:t xml:space="preserve"> is given in Table 1.</w:t>
      </w:r>
    </w:p>
    <w:p w:rsidR="009B6B9B" w:rsidRPr="001B1DAD" w:rsidRDefault="009B6B9B" w:rsidP="001B1DAD">
      <w:pPr>
        <w:pStyle w:val="ListParagraph"/>
        <w:widowControl/>
        <w:numPr>
          <w:ilvl w:val="1"/>
          <w:numId w:val="5"/>
        </w:numPr>
        <w:spacing w:before="120" w:after="160"/>
        <w:contextualSpacing w:val="0"/>
        <w:rPr>
          <w:rFonts w:asciiTheme="minorHAnsi" w:eastAsiaTheme="minorHAnsi" w:hAnsiTheme="minorHAnsi" w:cstheme="minorBidi"/>
          <w:snapToGrid/>
          <w:sz w:val="24"/>
          <w:szCs w:val="24"/>
        </w:rPr>
      </w:pPr>
      <w:r w:rsidRPr="001B1DAD">
        <w:rPr>
          <w:rFonts w:asciiTheme="minorHAnsi" w:eastAsiaTheme="minorHAnsi" w:hAnsiTheme="minorHAnsi" w:cstheme="minorBidi"/>
          <w:snapToGrid/>
          <w:sz w:val="24"/>
          <w:szCs w:val="24"/>
        </w:rPr>
        <w:t>The PBAC noted that there may need to be further revisions to the cost comparison analysis during pricing negotiations to reflect usual pricing practice for cost-minimisation calculations.</w:t>
      </w:r>
    </w:p>
    <w:p w:rsidR="00FB4F38" w:rsidRPr="00FF6B7B" w:rsidRDefault="00FB4F38">
      <w:pPr>
        <w:rPr>
          <w:rFonts w:asciiTheme="minorHAnsi" w:eastAsiaTheme="minorHAnsi" w:hAnsiTheme="minorHAnsi" w:cstheme="minorBidi"/>
          <w:i/>
          <w:szCs w:val="22"/>
          <w:highlight w:val="yellow"/>
        </w:rPr>
        <w:sectPr w:rsidR="00FB4F38" w:rsidRPr="00FF6B7B" w:rsidSect="002B3C2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pPr>
      <w:r w:rsidRPr="00FF6B7B">
        <w:rPr>
          <w:rFonts w:asciiTheme="minorHAnsi" w:eastAsiaTheme="minorHAnsi" w:hAnsiTheme="minorHAnsi" w:cstheme="minorBidi"/>
          <w:i/>
          <w:szCs w:val="22"/>
          <w:highlight w:val="yellow"/>
        </w:rPr>
        <w:br w:type="page"/>
      </w:r>
    </w:p>
    <w:tbl>
      <w:tblPr>
        <w:tblW w:w="14884" w:type="dxa"/>
        <w:tblInd w:w="108" w:type="dxa"/>
        <w:tblLook w:val="04A0" w:firstRow="1" w:lastRow="0" w:firstColumn="1" w:lastColumn="0" w:noHBand="0" w:noVBand="1"/>
      </w:tblPr>
      <w:tblGrid>
        <w:gridCol w:w="2835"/>
        <w:gridCol w:w="1276"/>
        <w:gridCol w:w="580"/>
        <w:gridCol w:w="1011"/>
        <w:gridCol w:w="1011"/>
        <w:gridCol w:w="1559"/>
        <w:gridCol w:w="1417"/>
        <w:gridCol w:w="1276"/>
        <w:gridCol w:w="1559"/>
        <w:gridCol w:w="869"/>
        <w:gridCol w:w="1541"/>
      </w:tblGrid>
      <w:tr w:rsidR="001B1DAD" w:rsidRPr="00FF6B7B" w:rsidTr="002B3C2C">
        <w:trPr>
          <w:trHeight w:val="300"/>
        </w:trPr>
        <w:tc>
          <w:tcPr>
            <w:tcW w:w="10915" w:type="dxa"/>
            <w:gridSpan w:val="8"/>
            <w:tcBorders>
              <w:top w:val="nil"/>
              <w:left w:val="nil"/>
              <w:bottom w:val="nil"/>
              <w:right w:val="nil"/>
            </w:tcBorders>
            <w:shd w:val="clear" w:color="auto" w:fill="auto"/>
            <w:noWrap/>
            <w:vAlign w:val="center"/>
            <w:hideMark/>
          </w:tcPr>
          <w:p w:rsidR="001B1DAD" w:rsidRPr="00FF6B7B" w:rsidRDefault="001B1DAD" w:rsidP="001B1DAD">
            <w:pPr>
              <w:rPr>
                <w:rFonts w:ascii="Calibri" w:hAnsi="Calibri"/>
                <w:color w:val="000000"/>
                <w:sz w:val="22"/>
                <w:szCs w:val="22"/>
              </w:rPr>
            </w:pPr>
            <w:r w:rsidRPr="00FF6B7B">
              <w:rPr>
                <w:rFonts w:ascii="Calibri" w:hAnsi="Calibri"/>
                <w:b/>
                <w:bCs/>
                <w:color w:val="000000"/>
                <w:sz w:val="22"/>
                <w:szCs w:val="22"/>
              </w:rPr>
              <w:t>Table 1</w:t>
            </w:r>
            <w:r w:rsidR="00F17C9A">
              <w:rPr>
                <w:rFonts w:ascii="Calibri" w:hAnsi="Calibri"/>
                <w:b/>
                <w:bCs/>
                <w:color w:val="000000"/>
                <w:sz w:val="22"/>
                <w:szCs w:val="22"/>
              </w:rPr>
              <w:t>:</w:t>
            </w:r>
            <w:r w:rsidRPr="00FF6B7B">
              <w:rPr>
                <w:rFonts w:ascii="Calibri" w:hAnsi="Calibri"/>
                <w:b/>
                <w:bCs/>
                <w:color w:val="000000"/>
                <w:sz w:val="22"/>
                <w:szCs w:val="22"/>
              </w:rPr>
              <w:t xml:space="preserve"> SUMMARY: V</w:t>
            </w:r>
            <w:r>
              <w:rPr>
                <w:rFonts w:ascii="Calibri" w:hAnsi="Calibri"/>
                <w:b/>
                <w:bCs/>
                <w:color w:val="000000"/>
                <w:sz w:val="22"/>
                <w:szCs w:val="22"/>
              </w:rPr>
              <w:t>enetoclax</w:t>
            </w:r>
            <w:r w:rsidRPr="00FF6B7B">
              <w:rPr>
                <w:rFonts w:ascii="Calibri" w:hAnsi="Calibri"/>
                <w:b/>
                <w:bCs/>
                <w:color w:val="000000"/>
                <w:sz w:val="22"/>
                <w:szCs w:val="22"/>
              </w:rPr>
              <w:t xml:space="preserve"> effective prices based on cost comparison to idelalisib/rituximab effective price</w:t>
            </w:r>
            <w:r w:rsidRPr="00FF6B7B">
              <w:rPr>
                <w:rFonts w:ascii="Calibri" w:hAnsi="Calibri"/>
                <w:color w:val="000000"/>
                <w:sz w:val="22"/>
                <w:szCs w:val="22"/>
              </w:rPr>
              <w:t> </w:t>
            </w:r>
          </w:p>
        </w:tc>
        <w:tc>
          <w:tcPr>
            <w:tcW w:w="1559" w:type="dxa"/>
            <w:tcBorders>
              <w:top w:val="nil"/>
              <w:left w:val="nil"/>
              <w:bottom w:val="nil"/>
              <w:right w:val="nil"/>
            </w:tcBorders>
            <w:shd w:val="clear" w:color="auto" w:fill="auto"/>
            <w:noWrap/>
            <w:vAlign w:val="center"/>
            <w:hideMark/>
          </w:tcPr>
          <w:p w:rsidR="001B1DAD" w:rsidRPr="00FF6B7B" w:rsidRDefault="001B1DAD" w:rsidP="003A304A">
            <w:pPr>
              <w:rPr>
                <w:rFonts w:ascii="Calibri" w:hAnsi="Calibri"/>
                <w:color w:val="000000"/>
                <w:sz w:val="22"/>
                <w:szCs w:val="22"/>
              </w:rPr>
            </w:pPr>
            <w:r w:rsidRPr="00FF6B7B">
              <w:rPr>
                <w:rFonts w:ascii="Calibri" w:hAnsi="Calibri"/>
                <w:color w:val="000000"/>
                <w:sz w:val="22"/>
                <w:szCs w:val="22"/>
              </w:rPr>
              <w:t> </w:t>
            </w:r>
          </w:p>
        </w:tc>
        <w:tc>
          <w:tcPr>
            <w:tcW w:w="869" w:type="dxa"/>
            <w:tcBorders>
              <w:top w:val="nil"/>
              <w:left w:val="nil"/>
              <w:bottom w:val="nil"/>
              <w:right w:val="nil"/>
            </w:tcBorders>
            <w:shd w:val="clear" w:color="auto" w:fill="auto"/>
            <w:noWrap/>
            <w:vAlign w:val="center"/>
            <w:hideMark/>
          </w:tcPr>
          <w:p w:rsidR="001B1DAD" w:rsidRPr="00FF6B7B" w:rsidRDefault="001B1DAD" w:rsidP="003A304A">
            <w:pPr>
              <w:rPr>
                <w:rFonts w:ascii="Calibri" w:hAnsi="Calibri"/>
                <w:color w:val="000000"/>
                <w:sz w:val="22"/>
                <w:szCs w:val="22"/>
              </w:rPr>
            </w:pPr>
            <w:r w:rsidRPr="00FF6B7B">
              <w:rPr>
                <w:rFonts w:ascii="Calibri" w:hAnsi="Calibri"/>
                <w:color w:val="000000"/>
                <w:sz w:val="22"/>
                <w:szCs w:val="22"/>
              </w:rPr>
              <w:t> </w:t>
            </w:r>
          </w:p>
        </w:tc>
        <w:tc>
          <w:tcPr>
            <w:tcW w:w="1541" w:type="dxa"/>
            <w:tcBorders>
              <w:top w:val="nil"/>
              <w:left w:val="nil"/>
              <w:bottom w:val="nil"/>
              <w:right w:val="nil"/>
            </w:tcBorders>
            <w:shd w:val="clear" w:color="auto" w:fill="auto"/>
            <w:noWrap/>
            <w:vAlign w:val="center"/>
            <w:hideMark/>
          </w:tcPr>
          <w:p w:rsidR="001B1DAD" w:rsidRPr="00FF6B7B" w:rsidRDefault="001B1DAD" w:rsidP="003A304A">
            <w:pPr>
              <w:rPr>
                <w:rFonts w:ascii="Calibri" w:hAnsi="Calibri"/>
                <w:color w:val="000000"/>
                <w:sz w:val="22"/>
                <w:szCs w:val="22"/>
              </w:rPr>
            </w:pPr>
            <w:r w:rsidRPr="00FF6B7B">
              <w:rPr>
                <w:rFonts w:ascii="Calibri" w:hAnsi="Calibri"/>
                <w:color w:val="000000"/>
                <w:sz w:val="22"/>
                <w:szCs w:val="22"/>
              </w:rPr>
              <w:t> </w:t>
            </w:r>
          </w:p>
        </w:tc>
      </w:tr>
      <w:tr w:rsidR="008D6E67" w:rsidRPr="00FF6B7B" w:rsidTr="002B3C2C">
        <w:trPr>
          <w:trHeight w:val="4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FC0" w:rsidRPr="00FF6B7B" w:rsidRDefault="00424FC0" w:rsidP="003A304A">
            <w:pPr>
              <w:rPr>
                <w:rFonts w:asciiTheme="minorHAnsi" w:hAnsiTheme="minorHAnsi"/>
                <w:b/>
                <w:bCs/>
                <w:color w:val="000000"/>
                <w:sz w:val="18"/>
                <w:szCs w:val="18"/>
              </w:rPr>
            </w:pPr>
            <w:r w:rsidRPr="00FF6B7B">
              <w:rPr>
                <w:rFonts w:asciiTheme="minorHAnsi" w:hAnsiTheme="minorHAnsi"/>
                <w:b/>
                <w:bCs/>
                <w:color w:val="000000"/>
                <w:sz w:val="18"/>
                <w:szCs w:val="18"/>
              </w:rPr>
              <w:t>Drug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4A2310">
            <w:pPr>
              <w:rPr>
                <w:rFonts w:asciiTheme="minorHAnsi" w:hAnsiTheme="minorHAnsi"/>
                <w:b/>
                <w:bCs/>
                <w:color w:val="000000"/>
                <w:sz w:val="18"/>
                <w:szCs w:val="18"/>
              </w:rPr>
            </w:pPr>
            <w:r w:rsidRPr="00FF6B7B">
              <w:rPr>
                <w:rFonts w:asciiTheme="minorHAnsi" w:hAnsiTheme="minorHAnsi"/>
                <w:b/>
                <w:bCs/>
                <w:color w:val="000000"/>
                <w:sz w:val="18"/>
                <w:szCs w:val="18"/>
              </w:rPr>
              <w:t>Form and strength</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52253E">
            <w:pPr>
              <w:rPr>
                <w:rFonts w:asciiTheme="minorHAnsi" w:hAnsiTheme="minorHAnsi"/>
                <w:b/>
                <w:bCs/>
                <w:color w:val="000000"/>
                <w:sz w:val="18"/>
                <w:szCs w:val="18"/>
              </w:rPr>
            </w:pPr>
            <w:r w:rsidRPr="00FF6B7B">
              <w:rPr>
                <w:rFonts w:asciiTheme="minorHAnsi" w:hAnsiTheme="minorHAnsi"/>
                <w:b/>
                <w:bCs/>
                <w:color w:val="000000"/>
                <w:sz w:val="18"/>
                <w:szCs w:val="18"/>
              </w:rPr>
              <w:t>MoA</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3A304A">
            <w:pPr>
              <w:rPr>
                <w:rFonts w:asciiTheme="minorHAnsi" w:hAnsiTheme="minorHAnsi"/>
                <w:b/>
                <w:bCs/>
                <w:color w:val="000000"/>
                <w:sz w:val="18"/>
                <w:szCs w:val="18"/>
              </w:rPr>
            </w:pPr>
            <w:r w:rsidRPr="00FF6B7B">
              <w:rPr>
                <w:rFonts w:asciiTheme="minorHAnsi" w:hAnsiTheme="minorHAnsi"/>
                <w:b/>
                <w:bCs/>
                <w:color w:val="000000"/>
                <w:sz w:val="18"/>
                <w:szCs w:val="18"/>
              </w:rPr>
              <w:t>Effective AEMP</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3A304A">
            <w:pPr>
              <w:rPr>
                <w:rFonts w:asciiTheme="minorHAnsi" w:hAnsiTheme="minorHAnsi"/>
                <w:b/>
                <w:bCs/>
                <w:color w:val="000000"/>
                <w:sz w:val="18"/>
                <w:szCs w:val="18"/>
              </w:rPr>
            </w:pPr>
            <w:r w:rsidRPr="00FF6B7B">
              <w:rPr>
                <w:rFonts w:asciiTheme="minorHAnsi" w:hAnsiTheme="minorHAnsi"/>
                <w:b/>
                <w:bCs/>
                <w:color w:val="000000"/>
                <w:sz w:val="18"/>
                <w:szCs w:val="18"/>
              </w:rPr>
              <w:t>Effective DPMQ</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8D6E67">
            <w:pPr>
              <w:ind w:right="-108"/>
              <w:rPr>
                <w:rFonts w:asciiTheme="minorHAnsi" w:hAnsiTheme="minorHAnsi"/>
                <w:b/>
                <w:bCs/>
                <w:color w:val="000000"/>
                <w:sz w:val="18"/>
                <w:szCs w:val="18"/>
              </w:rPr>
            </w:pPr>
            <w:r w:rsidRPr="00FF6B7B">
              <w:rPr>
                <w:rFonts w:asciiTheme="minorHAnsi" w:hAnsiTheme="minorHAnsi"/>
                <w:b/>
                <w:bCs/>
                <w:color w:val="000000"/>
                <w:sz w:val="18"/>
                <w:szCs w:val="18"/>
              </w:rPr>
              <w:t>Days of treatment per pack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3A304A">
            <w:pPr>
              <w:rPr>
                <w:rFonts w:asciiTheme="minorHAnsi" w:hAnsiTheme="minorHAnsi"/>
                <w:b/>
                <w:bCs/>
                <w:color w:val="000000"/>
                <w:sz w:val="18"/>
                <w:szCs w:val="18"/>
              </w:rPr>
            </w:pPr>
            <w:r w:rsidRPr="00FF6B7B">
              <w:rPr>
                <w:rFonts w:asciiTheme="minorHAnsi" w:hAnsiTheme="minorHAnsi"/>
                <w:b/>
                <w:bCs/>
                <w:color w:val="000000"/>
                <w:sz w:val="18"/>
                <w:szCs w:val="18"/>
              </w:rPr>
              <w:t>Packs/infusions per 24 month</w:t>
            </w:r>
            <w:r w:rsidR="001B1DAD">
              <w:rPr>
                <w:rFonts w:asciiTheme="minorHAnsi" w:hAnsiTheme="minorHAnsi"/>
                <w:b/>
                <w:bCs/>
                <w:color w:val="000000"/>
                <w:sz w:val="18"/>
                <w:szCs w:val="18"/>
              </w:rPr>
              <w: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3A304A">
            <w:pPr>
              <w:rPr>
                <w:rFonts w:asciiTheme="minorHAnsi" w:hAnsiTheme="minorHAnsi"/>
                <w:b/>
                <w:bCs/>
                <w:color w:val="000000"/>
                <w:sz w:val="18"/>
                <w:szCs w:val="18"/>
              </w:rPr>
            </w:pPr>
            <w:r w:rsidRPr="00FF6B7B">
              <w:rPr>
                <w:rFonts w:asciiTheme="minorHAnsi" w:hAnsiTheme="minorHAnsi"/>
                <w:b/>
                <w:bCs/>
                <w:color w:val="000000"/>
                <w:sz w:val="18"/>
                <w:szCs w:val="18"/>
              </w:rPr>
              <w:t>Cost per drug per course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3A304A">
            <w:pPr>
              <w:rPr>
                <w:rFonts w:asciiTheme="minorHAnsi" w:hAnsiTheme="minorHAnsi"/>
                <w:b/>
                <w:bCs/>
                <w:color w:val="000000"/>
                <w:sz w:val="18"/>
                <w:szCs w:val="18"/>
              </w:rPr>
            </w:pPr>
            <w:r w:rsidRPr="00FF6B7B">
              <w:rPr>
                <w:rFonts w:asciiTheme="minorHAnsi" w:hAnsiTheme="minorHAnsi"/>
                <w:b/>
                <w:bCs/>
                <w:color w:val="000000"/>
                <w:sz w:val="18"/>
                <w:szCs w:val="18"/>
              </w:rPr>
              <w:t>Cost of additional prophylaxis</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3A304A">
            <w:pPr>
              <w:rPr>
                <w:rFonts w:asciiTheme="minorHAnsi" w:hAnsiTheme="minorHAnsi"/>
                <w:b/>
                <w:bCs/>
                <w:color w:val="000000"/>
                <w:sz w:val="18"/>
                <w:szCs w:val="18"/>
              </w:rPr>
            </w:pPr>
            <w:r w:rsidRPr="00FF6B7B">
              <w:rPr>
                <w:rFonts w:asciiTheme="minorHAnsi" w:hAnsiTheme="minorHAnsi"/>
                <w:b/>
                <w:bCs/>
                <w:color w:val="000000"/>
                <w:sz w:val="18"/>
                <w:szCs w:val="18"/>
              </w:rPr>
              <w:t>Cost of injection</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424FC0" w:rsidRPr="00FF6B7B" w:rsidRDefault="00424FC0" w:rsidP="008D6E67">
            <w:pPr>
              <w:ind w:left="16"/>
              <w:rPr>
                <w:rFonts w:asciiTheme="minorHAnsi" w:hAnsiTheme="minorHAnsi"/>
                <w:b/>
                <w:bCs/>
                <w:color w:val="000000"/>
                <w:sz w:val="18"/>
                <w:szCs w:val="18"/>
              </w:rPr>
            </w:pPr>
            <w:r w:rsidRPr="00FF6B7B">
              <w:rPr>
                <w:rFonts w:asciiTheme="minorHAnsi" w:hAnsiTheme="minorHAnsi"/>
                <w:b/>
                <w:bCs/>
                <w:color w:val="000000"/>
                <w:sz w:val="18"/>
                <w:szCs w:val="18"/>
              </w:rPr>
              <w:t>Cost per treatment course</w:t>
            </w:r>
          </w:p>
        </w:tc>
      </w:tr>
      <w:tr w:rsidR="008D6E67" w:rsidRPr="00FF6B7B" w:rsidTr="002B3C2C">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Idelalisib only</w:t>
            </w:r>
          </w:p>
        </w:tc>
        <w:tc>
          <w:tcPr>
            <w:tcW w:w="1276" w:type="dxa"/>
            <w:tcBorders>
              <w:top w:val="nil"/>
              <w:left w:val="nil"/>
              <w:bottom w:val="nil"/>
              <w:right w:val="single" w:sz="4" w:space="0" w:color="auto"/>
            </w:tcBorders>
            <w:shd w:val="clear" w:color="auto" w:fill="auto"/>
            <w:noWrap/>
            <w:vAlign w:val="center"/>
            <w:hideMark/>
          </w:tcPr>
          <w:p w:rsidR="00424FC0" w:rsidRPr="00FF6B7B" w:rsidRDefault="00424FC0" w:rsidP="004A2310">
            <w:pPr>
              <w:rPr>
                <w:rFonts w:asciiTheme="minorHAnsi" w:hAnsiTheme="minorHAnsi"/>
                <w:bCs/>
                <w:color w:val="000000"/>
                <w:sz w:val="18"/>
                <w:szCs w:val="18"/>
              </w:rPr>
            </w:pPr>
            <w:r w:rsidRPr="00FF6B7B">
              <w:rPr>
                <w:rFonts w:asciiTheme="minorHAnsi" w:hAnsiTheme="minorHAnsi"/>
                <w:bCs/>
                <w:color w:val="000000"/>
                <w:sz w:val="18"/>
                <w:szCs w:val="18"/>
              </w:rPr>
              <w:t>Tablet 150</w:t>
            </w:r>
            <w:r w:rsidR="004A2310">
              <w:rPr>
                <w:rFonts w:asciiTheme="minorHAnsi" w:hAnsiTheme="minorHAnsi"/>
                <w:bCs/>
                <w:color w:val="000000"/>
                <w:sz w:val="18"/>
                <w:szCs w:val="18"/>
              </w:rPr>
              <w:t> </w:t>
            </w:r>
            <w:r w:rsidRPr="00FF6B7B">
              <w:rPr>
                <w:rFonts w:asciiTheme="minorHAnsi" w:hAnsiTheme="minorHAnsi"/>
                <w:bCs/>
                <w:color w:val="000000"/>
                <w:sz w:val="18"/>
                <w:szCs w:val="18"/>
              </w:rPr>
              <w:t>mg</w:t>
            </w:r>
          </w:p>
        </w:tc>
        <w:tc>
          <w:tcPr>
            <w:tcW w:w="580" w:type="dxa"/>
            <w:tcBorders>
              <w:top w:val="nil"/>
              <w:left w:val="nil"/>
              <w:bottom w:val="nil"/>
              <w:right w:val="single" w:sz="4" w:space="0" w:color="auto"/>
            </w:tcBorders>
            <w:shd w:val="clear" w:color="auto" w:fill="auto"/>
            <w:noWrap/>
            <w:vAlign w:val="center"/>
          </w:tcPr>
          <w:p w:rsidR="00424FC0" w:rsidRPr="00FF6B7B" w:rsidRDefault="00424FC0" w:rsidP="0052253E">
            <w:pPr>
              <w:rPr>
                <w:rFonts w:asciiTheme="minorHAnsi" w:hAnsiTheme="minorHAnsi"/>
                <w:bCs/>
                <w:color w:val="000000"/>
                <w:sz w:val="18"/>
                <w:szCs w:val="18"/>
              </w:rPr>
            </w:pPr>
            <w:r w:rsidRPr="00FF6B7B">
              <w:rPr>
                <w:rFonts w:asciiTheme="minorHAnsi" w:hAnsiTheme="minorHAnsi"/>
                <w:bCs/>
                <w:color w:val="000000"/>
                <w:sz w:val="18"/>
                <w:szCs w:val="18"/>
              </w:rPr>
              <w:t>Oral</w:t>
            </w:r>
          </w:p>
        </w:tc>
        <w:tc>
          <w:tcPr>
            <w:tcW w:w="979" w:type="dxa"/>
            <w:tcBorders>
              <w:top w:val="nil"/>
              <w:left w:val="nil"/>
              <w:bottom w:val="single" w:sz="4" w:space="0" w:color="auto"/>
              <w:right w:val="single" w:sz="4" w:space="0" w:color="auto"/>
            </w:tcBorders>
            <w:shd w:val="clear" w:color="auto" w:fill="auto"/>
            <w:noWrap/>
            <w:vAlign w:val="center"/>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993"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tcBorders>
              <w:top w:val="nil"/>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30</w:t>
            </w:r>
          </w:p>
        </w:tc>
        <w:tc>
          <w:tcPr>
            <w:tcW w:w="1417" w:type="dxa"/>
            <w:tcBorders>
              <w:top w:val="nil"/>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21.6</w:t>
            </w:r>
          </w:p>
        </w:tc>
        <w:tc>
          <w:tcPr>
            <w:tcW w:w="1276"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tcBorders>
              <w:top w:val="nil"/>
              <w:left w:val="nil"/>
              <w:bottom w:val="nil"/>
              <w:right w:val="single" w:sz="4" w:space="0" w:color="auto"/>
            </w:tcBorders>
            <w:shd w:val="clear" w:color="auto" w:fill="auto"/>
            <w:noWrap/>
            <w:vAlign w:val="center"/>
            <w:hideMark/>
          </w:tcPr>
          <w:p w:rsidR="00424FC0" w:rsidRPr="00F36CC8" w:rsidRDefault="00424FC0" w:rsidP="00424FC0">
            <w:pPr>
              <w:jc w:val="center"/>
              <w:rPr>
                <w:rFonts w:asciiTheme="minorHAnsi" w:hAnsiTheme="minorHAnsi"/>
                <w:bCs/>
                <w:color w:val="000000"/>
                <w:sz w:val="18"/>
                <w:szCs w:val="18"/>
              </w:rPr>
            </w:pPr>
            <w:r w:rsidRPr="00F36CC8">
              <w:rPr>
                <w:rFonts w:asciiTheme="minorHAnsi" w:hAnsiTheme="minorHAnsi"/>
                <w:bCs/>
                <w:color w:val="000000"/>
                <w:sz w:val="18"/>
                <w:szCs w:val="18"/>
              </w:rPr>
              <w:t>$3,337</w:t>
            </w:r>
          </w:p>
        </w:tc>
        <w:tc>
          <w:tcPr>
            <w:tcW w:w="869" w:type="dxa"/>
            <w:tcBorders>
              <w:top w:val="nil"/>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NA</w:t>
            </w:r>
          </w:p>
        </w:tc>
        <w:tc>
          <w:tcPr>
            <w:tcW w:w="1541"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r>
      <w:tr w:rsidR="008D6E67" w:rsidRPr="00FF6B7B" w:rsidTr="002B3C2C">
        <w:trPr>
          <w:trHeight w:val="300"/>
        </w:trPr>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Rituximab only</w:t>
            </w:r>
          </w:p>
        </w:tc>
        <w:tc>
          <w:tcPr>
            <w:tcW w:w="1276" w:type="dxa"/>
            <w:tcBorders>
              <w:top w:val="single" w:sz="4" w:space="0" w:color="auto"/>
              <w:left w:val="nil"/>
              <w:bottom w:val="nil"/>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 </w:t>
            </w:r>
          </w:p>
        </w:tc>
        <w:tc>
          <w:tcPr>
            <w:tcW w:w="580" w:type="dxa"/>
            <w:tcBorders>
              <w:top w:val="single" w:sz="4" w:space="0" w:color="auto"/>
              <w:left w:val="nil"/>
              <w:bottom w:val="nil"/>
              <w:right w:val="single" w:sz="4" w:space="0" w:color="auto"/>
            </w:tcBorders>
            <w:shd w:val="clear" w:color="auto" w:fill="auto"/>
            <w:noWrap/>
            <w:vAlign w:val="center"/>
          </w:tcPr>
          <w:p w:rsidR="00424FC0" w:rsidRPr="00FF6B7B" w:rsidRDefault="00424FC0" w:rsidP="0052253E">
            <w:pPr>
              <w:rPr>
                <w:rFonts w:asciiTheme="minorHAnsi" w:hAnsiTheme="minorHAnsi"/>
                <w:bCs/>
                <w:color w:val="000000"/>
                <w:sz w:val="18"/>
                <w:szCs w:val="18"/>
              </w:rPr>
            </w:pPr>
            <w:r w:rsidRPr="00FF6B7B">
              <w:rPr>
                <w:rFonts w:asciiTheme="minorHAnsi" w:hAnsiTheme="minorHAnsi"/>
                <w:bCs/>
                <w:color w:val="000000"/>
                <w:sz w:val="18"/>
                <w:szCs w:val="18"/>
              </w:rPr>
              <w:t>IV</w:t>
            </w:r>
          </w:p>
        </w:tc>
        <w:tc>
          <w:tcPr>
            <w:tcW w:w="979" w:type="dxa"/>
            <w:tcBorders>
              <w:top w:val="nil"/>
              <w:left w:val="nil"/>
              <w:bottom w:val="nil"/>
              <w:right w:val="single" w:sz="4" w:space="0" w:color="auto"/>
            </w:tcBorders>
            <w:shd w:val="clear" w:color="auto" w:fill="auto"/>
            <w:noWrap/>
            <w:vAlign w:val="center"/>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Per PBS schedule</w:t>
            </w:r>
          </w:p>
        </w:tc>
        <w:tc>
          <w:tcPr>
            <w:tcW w:w="993" w:type="dxa"/>
            <w:tcBorders>
              <w:top w:val="nil"/>
              <w:left w:val="nil"/>
              <w:bottom w:val="single" w:sz="4" w:space="0" w:color="auto"/>
              <w:right w:val="single" w:sz="4" w:space="0" w:color="auto"/>
            </w:tcBorders>
            <w:shd w:val="clear" w:color="auto" w:fill="auto"/>
            <w:noWrap/>
            <w:vAlign w:val="center"/>
            <w:hideMark/>
          </w:tcPr>
          <w:p w:rsidR="00424FC0" w:rsidRPr="00712D71" w:rsidRDefault="00424FC0" w:rsidP="00424FC0">
            <w:pPr>
              <w:jc w:val="center"/>
              <w:rPr>
                <w:rFonts w:asciiTheme="minorHAnsi" w:hAnsiTheme="minorHAnsi"/>
                <w:bCs/>
                <w:color w:val="000000"/>
                <w:sz w:val="18"/>
                <w:szCs w:val="18"/>
              </w:rPr>
            </w:pPr>
            <w:r w:rsidRPr="00712D71">
              <w:rPr>
                <w:rFonts w:asciiTheme="minorHAnsi" w:hAnsiTheme="minorHAnsi"/>
                <w:bCs/>
                <w:color w:val="000000"/>
                <w:sz w:val="18"/>
                <w:szCs w:val="18"/>
              </w:rPr>
              <w:t>$3,872.47</w:t>
            </w:r>
          </w:p>
        </w:tc>
        <w:tc>
          <w:tcPr>
            <w:tcW w:w="1559" w:type="dxa"/>
            <w:tcBorders>
              <w:top w:val="single" w:sz="4" w:space="0" w:color="auto"/>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NA</w:t>
            </w:r>
          </w:p>
        </w:tc>
        <w:tc>
          <w:tcPr>
            <w:tcW w:w="1417" w:type="dxa"/>
            <w:tcBorders>
              <w:top w:val="nil"/>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7.8</w:t>
            </w:r>
          </w:p>
        </w:tc>
        <w:tc>
          <w:tcPr>
            <w:tcW w:w="1276" w:type="dxa"/>
            <w:tcBorders>
              <w:top w:val="nil"/>
              <w:left w:val="nil"/>
              <w:bottom w:val="single" w:sz="4" w:space="0" w:color="auto"/>
              <w:right w:val="single" w:sz="4" w:space="0" w:color="auto"/>
            </w:tcBorders>
            <w:shd w:val="clear" w:color="auto" w:fill="auto"/>
            <w:noWrap/>
            <w:vAlign w:val="center"/>
            <w:hideMark/>
          </w:tcPr>
          <w:p w:rsidR="00424FC0" w:rsidRPr="00712D71" w:rsidRDefault="00424FC0" w:rsidP="00424FC0">
            <w:pPr>
              <w:jc w:val="center"/>
              <w:rPr>
                <w:rFonts w:asciiTheme="minorHAnsi" w:hAnsiTheme="minorHAnsi"/>
                <w:bCs/>
                <w:color w:val="000000"/>
                <w:sz w:val="18"/>
                <w:szCs w:val="18"/>
              </w:rPr>
            </w:pPr>
            <w:r w:rsidRPr="00712D71">
              <w:rPr>
                <w:rFonts w:asciiTheme="minorHAnsi" w:hAnsiTheme="minorHAnsi"/>
                <w:bCs/>
                <w:color w:val="000000"/>
                <w:sz w:val="18"/>
                <w:szCs w:val="18"/>
              </w:rPr>
              <w:t>$29,371</w:t>
            </w:r>
          </w:p>
        </w:tc>
        <w:tc>
          <w:tcPr>
            <w:tcW w:w="1559" w:type="dxa"/>
            <w:tcBorders>
              <w:top w:val="single" w:sz="4" w:space="0" w:color="auto"/>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NA</w:t>
            </w:r>
          </w:p>
        </w:tc>
        <w:tc>
          <w:tcPr>
            <w:tcW w:w="869" w:type="dxa"/>
            <w:tcBorders>
              <w:top w:val="single" w:sz="4" w:space="0" w:color="auto"/>
              <w:left w:val="nil"/>
              <w:bottom w:val="nil"/>
              <w:right w:val="single" w:sz="4" w:space="0" w:color="auto"/>
            </w:tcBorders>
            <w:shd w:val="clear" w:color="auto" w:fill="auto"/>
            <w:noWrap/>
            <w:vAlign w:val="center"/>
            <w:hideMark/>
          </w:tcPr>
          <w:p w:rsidR="00424FC0" w:rsidRPr="00915A4F" w:rsidRDefault="00424FC0" w:rsidP="00424FC0">
            <w:pPr>
              <w:jc w:val="center"/>
              <w:rPr>
                <w:rFonts w:asciiTheme="minorHAnsi" w:hAnsiTheme="minorHAnsi"/>
                <w:bCs/>
                <w:color w:val="000000"/>
                <w:sz w:val="18"/>
                <w:szCs w:val="18"/>
              </w:rPr>
            </w:pPr>
            <w:r w:rsidRPr="00915A4F">
              <w:rPr>
                <w:rFonts w:asciiTheme="minorHAnsi" w:hAnsiTheme="minorHAnsi"/>
                <w:bCs/>
                <w:color w:val="000000"/>
                <w:sz w:val="18"/>
                <w:szCs w:val="18"/>
              </w:rPr>
              <w:t>$762</w:t>
            </w:r>
          </w:p>
        </w:tc>
        <w:tc>
          <w:tcPr>
            <w:tcW w:w="1541" w:type="dxa"/>
            <w:tcBorders>
              <w:top w:val="nil"/>
              <w:left w:val="nil"/>
              <w:bottom w:val="single" w:sz="4" w:space="0" w:color="auto"/>
              <w:right w:val="single" w:sz="4" w:space="0" w:color="auto"/>
            </w:tcBorders>
            <w:shd w:val="clear" w:color="auto" w:fill="auto"/>
            <w:noWrap/>
            <w:vAlign w:val="center"/>
            <w:hideMark/>
          </w:tcPr>
          <w:p w:rsidR="00424FC0" w:rsidRPr="00F36CC8" w:rsidRDefault="00424FC0" w:rsidP="00424FC0">
            <w:pPr>
              <w:jc w:val="center"/>
              <w:rPr>
                <w:rFonts w:asciiTheme="minorHAnsi" w:hAnsiTheme="minorHAnsi"/>
                <w:bCs/>
                <w:color w:val="000000"/>
                <w:sz w:val="18"/>
                <w:szCs w:val="18"/>
              </w:rPr>
            </w:pPr>
            <w:r w:rsidRPr="00712D71">
              <w:rPr>
                <w:rFonts w:asciiTheme="minorHAnsi" w:hAnsiTheme="minorHAnsi"/>
                <w:bCs/>
                <w:color w:val="000000"/>
                <w:sz w:val="18"/>
                <w:szCs w:val="18"/>
              </w:rPr>
              <w:t>$30,133</w:t>
            </w:r>
          </w:p>
        </w:tc>
      </w:tr>
      <w:tr w:rsidR="008D6E67" w:rsidRPr="00FF6B7B" w:rsidTr="002B3C2C">
        <w:trPr>
          <w:trHeight w:val="300"/>
        </w:trPr>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Idelalisib+rituximab</w:t>
            </w:r>
          </w:p>
        </w:tc>
        <w:tc>
          <w:tcPr>
            <w:tcW w:w="1276" w:type="dxa"/>
            <w:tcBorders>
              <w:top w:val="single" w:sz="4" w:space="0" w:color="auto"/>
              <w:left w:val="nil"/>
              <w:bottom w:val="nil"/>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NA</w:t>
            </w:r>
          </w:p>
        </w:tc>
        <w:tc>
          <w:tcPr>
            <w:tcW w:w="580" w:type="dxa"/>
            <w:tcBorders>
              <w:top w:val="single" w:sz="4" w:space="0" w:color="auto"/>
              <w:left w:val="nil"/>
              <w:bottom w:val="nil"/>
              <w:right w:val="single" w:sz="4" w:space="0" w:color="auto"/>
            </w:tcBorders>
            <w:shd w:val="clear" w:color="auto" w:fill="auto"/>
            <w:noWrap/>
            <w:vAlign w:val="center"/>
          </w:tcPr>
          <w:p w:rsidR="00424FC0" w:rsidRPr="00FF6B7B" w:rsidRDefault="00424FC0" w:rsidP="0052253E">
            <w:pPr>
              <w:rPr>
                <w:rFonts w:asciiTheme="minorHAnsi" w:hAnsiTheme="minorHAnsi"/>
                <w:bCs/>
                <w:color w:val="000000"/>
                <w:sz w:val="18"/>
                <w:szCs w:val="18"/>
              </w:rPr>
            </w:pPr>
            <w:r w:rsidRPr="00FF6B7B">
              <w:rPr>
                <w:rFonts w:asciiTheme="minorHAnsi" w:hAnsiTheme="minorHAnsi"/>
                <w:bCs/>
                <w:color w:val="000000"/>
                <w:sz w:val="18"/>
                <w:szCs w:val="18"/>
              </w:rPr>
              <w:t>NA</w:t>
            </w:r>
          </w:p>
        </w:tc>
        <w:tc>
          <w:tcPr>
            <w:tcW w:w="979" w:type="dxa"/>
            <w:tcBorders>
              <w:top w:val="single" w:sz="4" w:space="0" w:color="auto"/>
              <w:left w:val="nil"/>
              <w:bottom w:val="nil"/>
              <w:right w:val="single" w:sz="4" w:space="0" w:color="auto"/>
            </w:tcBorders>
            <w:shd w:val="clear" w:color="auto" w:fill="auto"/>
            <w:noWrap/>
            <w:vAlign w:val="center"/>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NA</w:t>
            </w:r>
          </w:p>
        </w:tc>
        <w:tc>
          <w:tcPr>
            <w:tcW w:w="993" w:type="dxa"/>
            <w:tcBorders>
              <w:top w:val="nil"/>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NA</w:t>
            </w:r>
          </w:p>
        </w:tc>
        <w:tc>
          <w:tcPr>
            <w:tcW w:w="1559" w:type="dxa"/>
            <w:tcBorders>
              <w:top w:val="single" w:sz="4" w:space="0" w:color="auto"/>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NA</w:t>
            </w:r>
          </w:p>
        </w:tc>
        <w:tc>
          <w:tcPr>
            <w:tcW w:w="1417" w:type="dxa"/>
            <w:tcBorders>
              <w:top w:val="nil"/>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NA</w:t>
            </w:r>
          </w:p>
        </w:tc>
        <w:tc>
          <w:tcPr>
            <w:tcW w:w="1276"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4FC0" w:rsidRPr="00F36CC8" w:rsidRDefault="00424FC0" w:rsidP="00424FC0">
            <w:pPr>
              <w:jc w:val="center"/>
              <w:rPr>
                <w:rFonts w:asciiTheme="minorHAnsi" w:hAnsiTheme="minorHAnsi"/>
                <w:bCs/>
                <w:color w:val="000000"/>
                <w:sz w:val="18"/>
                <w:szCs w:val="18"/>
              </w:rPr>
            </w:pPr>
            <w:r w:rsidRPr="00F36CC8">
              <w:rPr>
                <w:rFonts w:asciiTheme="minorHAnsi" w:hAnsiTheme="minorHAnsi"/>
                <w:bCs/>
                <w:color w:val="000000"/>
                <w:sz w:val="18"/>
                <w:szCs w:val="18"/>
              </w:rPr>
              <w:t>$3,337</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424FC0" w:rsidRPr="00F36CC8" w:rsidRDefault="00424FC0" w:rsidP="00424FC0">
            <w:pPr>
              <w:jc w:val="center"/>
              <w:rPr>
                <w:rFonts w:asciiTheme="minorHAnsi" w:hAnsiTheme="minorHAnsi"/>
                <w:bCs/>
                <w:color w:val="000000"/>
                <w:sz w:val="18"/>
                <w:szCs w:val="18"/>
              </w:rPr>
            </w:pPr>
            <w:r w:rsidRPr="00F36CC8">
              <w:rPr>
                <w:rFonts w:asciiTheme="minorHAnsi" w:hAnsiTheme="minorHAnsi"/>
                <w:bCs/>
                <w:color w:val="000000"/>
                <w:sz w:val="18"/>
                <w:szCs w:val="18"/>
              </w:rPr>
              <w:t>$762</w:t>
            </w:r>
          </w:p>
        </w:tc>
        <w:tc>
          <w:tcPr>
            <w:tcW w:w="1541"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r>
      <w:tr w:rsidR="008D6E67" w:rsidRPr="00FF6B7B" w:rsidTr="002B3C2C">
        <w:trPr>
          <w:trHeight w:val="285"/>
        </w:trPr>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Venetoclax maintenance pack</w:t>
            </w:r>
          </w:p>
        </w:tc>
        <w:tc>
          <w:tcPr>
            <w:tcW w:w="1276" w:type="dxa"/>
            <w:tcBorders>
              <w:top w:val="single" w:sz="4" w:space="0" w:color="auto"/>
              <w:left w:val="nil"/>
              <w:bottom w:val="nil"/>
              <w:right w:val="single" w:sz="4" w:space="0" w:color="auto"/>
            </w:tcBorders>
            <w:shd w:val="clear" w:color="auto" w:fill="auto"/>
            <w:noWrap/>
            <w:vAlign w:val="center"/>
            <w:hideMark/>
          </w:tcPr>
          <w:p w:rsidR="00424FC0" w:rsidRPr="00FF6B7B" w:rsidRDefault="004A2310" w:rsidP="003A304A">
            <w:pPr>
              <w:rPr>
                <w:rFonts w:asciiTheme="minorHAnsi" w:hAnsiTheme="minorHAnsi"/>
                <w:bCs/>
                <w:color w:val="000000"/>
                <w:sz w:val="18"/>
                <w:szCs w:val="18"/>
              </w:rPr>
            </w:pPr>
            <w:r>
              <w:rPr>
                <w:rFonts w:asciiTheme="minorHAnsi" w:hAnsiTheme="minorHAnsi"/>
                <w:bCs/>
                <w:color w:val="000000"/>
                <w:sz w:val="18"/>
                <w:szCs w:val="18"/>
              </w:rPr>
              <w:t>Tablet 100 </w:t>
            </w:r>
            <w:r w:rsidR="00424FC0" w:rsidRPr="00FF6B7B">
              <w:rPr>
                <w:rFonts w:asciiTheme="minorHAnsi" w:hAnsiTheme="minorHAnsi"/>
                <w:bCs/>
                <w:color w:val="000000"/>
                <w:sz w:val="18"/>
                <w:szCs w:val="18"/>
              </w:rPr>
              <w:t>mg</w:t>
            </w:r>
          </w:p>
        </w:tc>
        <w:tc>
          <w:tcPr>
            <w:tcW w:w="580" w:type="dxa"/>
            <w:tcBorders>
              <w:top w:val="single" w:sz="4" w:space="0" w:color="auto"/>
              <w:left w:val="nil"/>
              <w:bottom w:val="nil"/>
              <w:right w:val="single" w:sz="4" w:space="0" w:color="auto"/>
            </w:tcBorders>
            <w:shd w:val="clear" w:color="auto" w:fill="auto"/>
            <w:noWrap/>
            <w:vAlign w:val="center"/>
          </w:tcPr>
          <w:p w:rsidR="00424FC0" w:rsidRPr="00FF6B7B" w:rsidRDefault="00424FC0" w:rsidP="0052253E">
            <w:pPr>
              <w:rPr>
                <w:rFonts w:asciiTheme="minorHAnsi" w:hAnsiTheme="minorHAnsi"/>
                <w:bCs/>
                <w:color w:val="000000"/>
                <w:sz w:val="18"/>
                <w:szCs w:val="18"/>
              </w:rPr>
            </w:pPr>
            <w:r w:rsidRPr="00FF6B7B">
              <w:rPr>
                <w:rFonts w:asciiTheme="minorHAnsi" w:hAnsiTheme="minorHAnsi"/>
                <w:bCs/>
                <w:color w:val="000000"/>
                <w:sz w:val="18"/>
                <w:szCs w:val="18"/>
              </w:rPr>
              <w:t>Oral</w:t>
            </w:r>
          </w:p>
        </w:tc>
        <w:tc>
          <w:tcPr>
            <w:tcW w:w="979" w:type="dxa"/>
            <w:tcBorders>
              <w:top w:val="single" w:sz="4" w:space="0" w:color="auto"/>
              <w:left w:val="nil"/>
              <w:bottom w:val="nil"/>
              <w:right w:val="single" w:sz="4" w:space="0" w:color="auto"/>
            </w:tcBorders>
            <w:shd w:val="clear" w:color="auto" w:fill="auto"/>
            <w:noWrap/>
            <w:vAlign w:val="center"/>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tcBorders>
              <w:top w:val="single" w:sz="4" w:space="0" w:color="auto"/>
              <w:left w:val="nil"/>
              <w:bottom w:val="nil"/>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23</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8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4FC0" w:rsidRPr="002E42CB" w:rsidRDefault="00424FC0" w:rsidP="00424FC0">
            <w:pPr>
              <w:jc w:val="center"/>
              <w:rPr>
                <w:rFonts w:asciiTheme="minorHAnsi" w:hAnsiTheme="minorHAnsi"/>
                <w:bCs/>
                <w:color w:val="000000"/>
                <w:sz w:val="18"/>
                <w:szCs w:val="18"/>
              </w:rPr>
            </w:pPr>
            <w:r w:rsidRPr="00F36CC8">
              <w:rPr>
                <w:rFonts w:asciiTheme="minorHAnsi" w:hAnsiTheme="minorHAnsi"/>
                <w:bCs/>
                <w:color w:val="000000"/>
                <w:sz w:val="18"/>
                <w:szCs w:val="18"/>
              </w:rPr>
              <w:t>NA</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r>
      <w:tr w:rsidR="008D6E67" w:rsidRPr="00FF6B7B" w:rsidTr="002B3C2C">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Venetoclax titration (Starter pack)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Multiple</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424FC0" w:rsidRPr="00FF6B7B" w:rsidRDefault="00424FC0" w:rsidP="0052253E">
            <w:pPr>
              <w:rPr>
                <w:rFonts w:asciiTheme="minorHAnsi" w:hAnsiTheme="minorHAnsi"/>
                <w:bCs/>
                <w:color w:val="000000"/>
                <w:sz w:val="18"/>
                <w:szCs w:val="18"/>
              </w:rPr>
            </w:pPr>
            <w:r w:rsidRPr="00FF6B7B">
              <w:rPr>
                <w:rFonts w:asciiTheme="minorHAnsi" w:hAnsiTheme="minorHAnsi"/>
                <w:bCs/>
                <w:color w:val="000000"/>
                <w:sz w:val="18"/>
                <w:szCs w:val="18"/>
              </w:rPr>
              <w:t>Oral</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993"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28</w:t>
            </w:r>
          </w:p>
        </w:tc>
        <w:tc>
          <w:tcPr>
            <w:tcW w:w="1417" w:type="dxa"/>
            <w:tcBorders>
              <w:top w:val="nil"/>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1</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869"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1541"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r>
      <w:tr w:rsidR="008D6E67" w:rsidRPr="00FF6B7B" w:rsidTr="002B3C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Venetoclax dose hold (14 x 10</w:t>
            </w:r>
            <w:r w:rsidR="004A2310">
              <w:rPr>
                <w:rFonts w:asciiTheme="minorHAnsi" w:hAnsiTheme="minorHAnsi"/>
                <w:bCs/>
                <w:color w:val="000000"/>
                <w:sz w:val="18"/>
                <w:szCs w:val="18"/>
              </w:rPr>
              <w:t> </w:t>
            </w:r>
            <w:r w:rsidRPr="00FF6B7B">
              <w:rPr>
                <w:rFonts w:asciiTheme="minorHAnsi" w:hAnsiTheme="minorHAnsi"/>
                <w:bCs/>
                <w:color w:val="000000"/>
                <w:sz w:val="18"/>
                <w:szCs w:val="18"/>
              </w:rPr>
              <w:t>mg)</w:t>
            </w:r>
          </w:p>
        </w:tc>
        <w:tc>
          <w:tcPr>
            <w:tcW w:w="1276" w:type="dxa"/>
            <w:tcBorders>
              <w:top w:val="nil"/>
              <w:left w:val="nil"/>
              <w:bottom w:val="single" w:sz="4" w:space="0" w:color="auto"/>
              <w:right w:val="single" w:sz="4" w:space="0" w:color="auto"/>
            </w:tcBorders>
            <w:shd w:val="clear" w:color="auto" w:fill="auto"/>
            <w:noWrap/>
            <w:vAlign w:val="center"/>
            <w:hideMark/>
          </w:tcPr>
          <w:p w:rsidR="00424FC0" w:rsidRPr="00FF6B7B" w:rsidRDefault="004A2310" w:rsidP="003A304A">
            <w:pPr>
              <w:rPr>
                <w:rFonts w:asciiTheme="minorHAnsi" w:hAnsiTheme="minorHAnsi"/>
                <w:bCs/>
                <w:color w:val="000000"/>
                <w:sz w:val="18"/>
                <w:szCs w:val="18"/>
              </w:rPr>
            </w:pPr>
            <w:r>
              <w:rPr>
                <w:rFonts w:asciiTheme="minorHAnsi" w:hAnsiTheme="minorHAnsi"/>
                <w:bCs/>
                <w:color w:val="000000"/>
                <w:sz w:val="18"/>
                <w:szCs w:val="18"/>
              </w:rPr>
              <w:t>Tablet 10 </w:t>
            </w:r>
            <w:r w:rsidR="00424FC0" w:rsidRPr="00FF6B7B">
              <w:rPr>
                <w:rFonts w:asciiTheme="minorHAnsi" w:hAnsiTheme="minorHAnsi"/>
                <w:bCs/>
                <w:color w:val="000000"/>
                <w:sz w:val="18"/>
                <w:szCs w:val="18"/>
              </w:rPr>
              <w:t>mg</w:t>
            </w:r>
          </w:p>
        </w:tc>
        <w:tc>
          <w:tcPr>
            <w:tcW w:w="580" w:type="dxa"/>
            <w:tcBorders>
              <w:top w:val="nil"/>
              <w:left w:val="nil"/>
              <w:bottom w:val="single" w:sz="4" w:space="0" w:color="auto"/>
              <w:right w:val="single" w:sz="4" w:space="0" w:color="auto"/>
            </w:tcBorders>
            <w:shd w:val="clear" w:color="auto" w:fill="auto"/>
            <w:noWrap/>
            <w:vAlign w:val="center"/>
          </w:tcPr>
          <w:p w:rsidR="00424FC0" w:rsidRPr="00FF6B7B" w:rsidRDefault="00424FC0" w:rsidP="0052253E">
            <w:pPr>
              <w:rPr>
                <w:rFonts w:asciiTheme="minorHAnsi" w:hAnsiTheme="minorHAnsi"/>
                <w:bCs/>
                <w:color w:val="000000"/>
                <w:sz w:val="18"/>
                <w:szCs w:val="18"/>
              </w:rPr>
            </w:pPr>
            <w:r w:rsidRPr="00FF6B7B">
              <w:rPr>
                <w:rFonts w:asciiTheme="minorHAnsi" w:hAnsiTheme="minorHAnsi"/>
                <w:bCs/>
                <w:color w:val="000000"/>
                <w:sz w:val="18"/>
                <w:szCs w:val="18"/>
              </w:rPr>
              <w:t>Oral</w:t>
            </w:r>
          </w:p>
        </w:tc>
        <w:tc>
          <w:tcPr>
            <w:tcW w:w="979" w:type="dxa"/>
            <w:tcBorders>
              <w:top w:val="nil"/>
              <w:left w:val="nil"/>
              <w:bottom w:val="single" w:sz="4" w:space="0" w:color="auto"/>
              <w:right w:val="single" w:sz="4" w:space="0" w:color="auto"/>
            </w:tcBorders>
            <w:shd w:val="clear" w:color="auto" w:fill="auto"/>
            <w:noWrap/>
            <w:vAlign w:val="center"/>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993"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tcBorders>
              <w:top w:val="nil"/>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3.00%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869"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1541"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r>
      <w:tr w:rsidR="008D6E67" w:rsidRPr="00FF6B7B" w:rsidTr="002B3C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24FC0" w:rsidRPr="00FF6B7B" w:rsidRDefault="00424FC0" w:rsidP="003A304A">
            <w:pPr>
              <w:rPr>
                <w:rFonts w:asciiTheme="minorHAnsi" w:hAnsiTheme="minorHAnsi"/>
                <w:bCs/>
                <w:color w:val="000000"/>
                <w:sz w:val="18"/>
                <w:szCs w:val="18"/>
              </w:rPr>
            </w:pPr>
            <w:r w:rsidRPr="00FF6B7B">
              <w:rPr>
                <w:rFonts w:asciiTheme="minorHAnsi" w:hAnsiTheme="minorHAnsi"/>
                <w:bCs/>
                <w:color w:val="000000"/>
                <w:sz w:val="18"/>
                <w:szCs w:val="18"/>
              </w:rPr>
              <w:t>Venetoclax dose hold (7 x 50</w:t>
            </w:r>
            <w:r w:rsidR="004A2310">
              <w:rPr>
                <w:rFonts w:asciiTheme="minorHAnsi" w:hAnsiTheme="minorHAnsi"/>
                <w:bCs/>
                <w:color w:val="000000"/>
                <w:sz w:val="18"/>
                <w:szCs w:val="18"/>
              </w:rPr>
              <w:t> </w:t>
            </w:r>
            <w:r w:rsidRPr="00FF6B7B">
              <w:rPr>
                <w:rFonts w:asciiTheme="minorHAnsi" w:hAnsiTheme="minorHAnsi"/>
                <w:bCs/>
                <w:color w:val="000000"/>
                <w:sz w:val="18"/>
                <w:szCs w:val="18"/>
              </w:rPr>
              <w:t>mg)</w:t>
            </w:r>
          </w:p>
        </w:tc>
        <w:tc>
          <w:tcPr>
            <w:tcW w:w="1276" w:type="dxa"/>
            <w:tcBorders>
              <w:top w:val="nil"/>
              <w:left w:val="nil"/>
              <w:bottom w:val="single" w:sz="4" w:space="0" w:color="auto"/>
              <w:right w:val="single" w:sz="4" w:space="0" w:color="auto"/>
            </w:tcBorders>
            <w:shd w:val="clear" w:color="auto" w:fill="auto"/>
            <w:noWrap/>
            <w:vAlign w:val="center"/>
            <w:hideMark/>
          </w:tcPr>
          <w:p w:rsidR="00424FC0" w:rsidRPr="00FF6B7B" w:rsidRDefault="004A2310" w:rsidP="003A304A">
            <w:pPr>
              <w:rPr>
                <w:rFonts w:asciiTheme="minorHAnsi" w:hAnsiTheme="minorHAnsi"/>
                <w:bCs/>
                <w:color w:val="000000"/>
                <w:sz w:val="18"/>
                <w:szCs w:val="18"/>
              </w:rPr>
            </w:pPr>
            <w:r>
              <w:rPr>
                <w:rFonts w:asciiTheme="minorHAnsi" w:hAnsiTheme="minorHAnsi"/>
                <w:bCs/>
                <w:color w:val="000000"/>
                <w:sz w:val="18"/>
                <w:szCs w:val="18"/>
              </w:rPr>
              <w:t>Tablet 50 </w:t>
            </w:r>
            <w:r w:rsidR="00424FC0" w:rsidRPr="00FF6B7B">
              <w:rPr>
                <w:rFonts w:asciiTheme="minorHAnsi" w:hAnsiTheme="minorHAnsi"/>
                <w:bCs/>
                <w:color w:val="000000"/>
                <w:sz w:val="18"/>
                <w:szCs w:val="18"/>
              </w:rPr>
              <w:t>mg</w:t>
            </w:r>
          </w:p>
        </w:tc>
        <w:tc>
          <w:tcPr>
            <w:tcW w:w="580" w:type="dxa"/>
            <w:tcBorders>
              <w:top w:val="nil"/>
              <w:left w:val="nil"/>
              <w:bottom w:val="single" w:sz="4" w:space="0" w:color="auto"/>
              <w:right w:val="single" w:sz="4" w:space="0" w:color="auto"/>
            </w:tcBorders>
            <w:shd w:val="clear" w:color="auto" w:fill="auto"/>
            <w:noWrap/>
            <w:vAlign w:val="center"/>
          </w:tcPr>
          <w:p w:rsidR="00424FC0" w:rsidRPr="00FF6B7B" w:rsidRDefault="00424FC0" w:rsidP="0052253E">
            <w:pPr>
              <w:rPr>
                <w:rFonts w:asciiTheme="minorHAnsi" w:hAnsiTheme="minorHAnsi"/>
                <w:bCs/>
                <w:color w:val="000000"/>
                <w:sz w:val="18"/>
                <w:szCs w:val="18"/>
              </w:rPr>
            </w:pPr>
            <w:r w:rsidRPr="00FF6B7B">
              <w:rPr>
                <w:rFonts w:asciiTheme="minorHAnsi" w:hAnsiTheme="minorHAnsi"/>
                <w:bCs/>
                <w:color w:val="000000"/>
                <w:sz w:val="18"/>
                <w:szCs w:val="18"/>
              </w:rPr>
              <w:t>Oral</w:t>
            </w:r>
          </w:p>
        </w:tc>
        <w:tc>
          <w:tcPr>
            <w:tcW w:w="979" w:type="dxa"/>
            <w:tcBorders>
              <w:top w:val="nil"/>
              <w:left w:val="nil"/>
              <w:bottom w:val="single" w:sz="4" w:space="0" w:color="auto"/>
              <w:right w:val="single" w:sz="4" w:space="0" w:color="auto"/>
            </w:tcBorders>
            <w:shd w:val="clear" w:color="auto" w:fill="auto"/>
            <w:noWrap/>
            <w:vAlign w:val="center"/>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993" w:type="dxa"/>
            <w:tcBorders>
              <w:top w:val="nil"/>
              <w:left w:val="nil"/>
              <w:bottom w:val="single" w:sz="4" w:space="0" w:color="auto"/>
              <w:right w:val="single" w:sz="4" w:space="0" w:color="auto"/>
            </w:tcBorders>
            <w:shd w:val="clear" w:color="auto" w:fill="auto"/>
            <w:noWrap/>
            <w:vAlign w:val="center"/>
            <w:hideMark/>
          </w:tcPr>
          <w:p w:rsidR="00424FC0"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c>
          <w:tcPr>
            <w:tcW w:w="1559" w:type="dxa"/>
            <w:tcBorders>
              <w:top w:val="nil"/>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rsidR="00424FC0" w:rsidRPr="00FF6B7B" w:rsidRDefault="00424FC0"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3.00%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869"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c>
          <w:tcPr>
            <w:tcW w:w="1541" w:type="dxa"/>
            <w:vMerge/>
            <w:tcBorders>
              <w:top w:val="nil"/>
              <w:left w:val="single" w:sz="4" w:space="0" w:color="auto"/>
              <w:bottom w:val="single" w:sz="4" w:space="0" w:color="000000"/>
              <w:right w:val="single" w:sz="4" w:space="0" w:color="auto"/>
            </w:tcBorders>
            <w:shd w:val="clear" w:color="auto" w:fill="auto"/>
            <w:vAlign w:val="center"/>
            <w:hideMark/>
          </w:tcPr>
          <w:p w:rsidR="00424FC0" w:rsidRPr="00FF6B7B" w:rsidRDefault="00424FC0" w:rsidP="00424FC0">
            <w:pPr>
              <w:jc w:val="center"/>
              <w:rPr>
                <w:rFonts w:asciiTheme="minorHAnsi" w:hAnsiTheme="minorHAnsi"/>
                <w:bCs/>
                <w:color w:val="000000"/>
                <w:sz w:val="18"/>
                <w:szCs w:val="18"/>
              </w:rPr>
            </w:pPr>
          </w:p>
        </w:tc>
      </w:tr>
      <w:tr w:rsidR="008D6E67" w:rsidRPr="00B1238A" w:rsidTr="002B3C2C">
        <w:trPr>
          <w:trHeight w:val="300"/>
        </w:trPr>
        <w:tc>
          <w:tcPr>
            <w:tcW w:w="2835" w:type="dxa"/>
            <w:tcBorders>
              <w:top w:val="nil"/>
              <w:left w:val="nil"/>
              <w:bottom w:val="nil"/>
              <w:right w:val="nil"/>
            </w:tcBorders>
            <w:shd w:val="clear" w:color="auto" w:fill="auto"/>
            <w:noWrap/>
            <w:vAlign w:val="center"/>
            <w:hideMark/>
          </w:tcPr>
          <w:p w:rsidR="001167EF" w:rsidRPr="00FF6B7B" w:rsidRDefault="001167EF" w:rsidP="003A304A">
            <w:pPr>
              <w:rPr>
                <w:rFonts w:asciiTheme="minorHAnsi" w:hAnsiTheme="minorHAnsi"/>
                <w:bCs/>
                <w:color w:val="000000"/>
                <w:sz w:val="18"/>
                <w:szCs w:val="18"/>
              </w:rPr>
            </w:pPr>
            <w:r w:rsidRPr="00FF6B7B">
              <w:rPr>
                <w:rFonts w:asciiTheme="minorHAnsi" w:hAnsiTheme="minorHAnsi"/>
                <w:bCs/>
                <w:color w:val="000000"/>
                <w:sz w:val="18"/>
                <w:szCs w:val="18"/>
              </w:rPr>
              <w:t xml:space="preserve"> </w:t>
            </w:r>
          </w:p>
        </w:tc>
        <w:tc>
          <w:tcPr>
            <w:tcW w:w="1276" w:type="dxa"/>
            <w:tcBorders>
              <w:top w:val="nil"/>
              <w:left w:val="nil"/>
              <w:bottom w:val="nil"/>
              <w:right w:val="nil"/>
            </w:tcBorders>
            <w:shd w:val="clear" w:color="auto" w:fill="auto"/>
            <w:noWrap/>
            <w:vAlign w:val="center"/>
            <w:hideMark/>
          </w:tcPr>
          <w:p w:rsidR="001167EF" w:rsidRPr="00FF6B7B" w:rsidRDefault="001167EF" w:rsidP="003A304A">
            <w:pPr>
              <w:rPr>
                <w:rFonts w:asciiTheme="minorHAnsi" w:hAnsiTheme="minorHAnsi"/>
                <w:bCs/>
                <w:color w:val="000000"/>
                <w:sz w:val="18"/>
                <w:szCs w:val="18"/>
              </w:rPr>
            </w:pPr>
          </w:p>
        </w:tc>
        <w:tc>
          <w:tcPr>
            <w:tcW w:w="580" w:type="dxa"/>
            <w:tcBorders>
              <w:top w:val="nil"/>
              <w:left w:val="nil"/>
              <w:bottom w:val="nil"/>
              <w:right w:val="nil"/>
            </w:tcBorders>
            <w:shd w:val="clear" w:color="auto" w:fill="auto"/>
            <w:noWrap/>
            <w:vAlign w:val="center"/>
            <w:hideMark/>
          </w:tcPr>
          <w:p w:rsidR="001167EF" w:rsidRPr="00FF6B7B" w:rsidRDefault="001167EF" w:rsidP="003A304A">
            <w:pPr>
              <w:rPr>
                <w:rFonts w:asciiTheme="minorHAnsi" w:hAnsiTheme="minorHAnsi"/>
                <w:bCs/>
                <w:color w:val="000000"/>
                <w:sz w:val="18"/>
                <w:szCs w:val="18"/>
              </w:rPr>
            </w:pPr>
          </w:p>
        </w:tc>
        <w:tc>
          <w:tcPr>
            <w:tcW w:w="979" w:type="dxa"/>
            <w:tcBorders>
              <w:top w:val="nil"/>
              <w:left w:val="nil"/>
              <w:bottom w:val="nil"/>
              <w:right w:val="nil"/>
            </w:tcBorders>
            <w:shd w:val="clear" w:color="auto" w:fill="auto"/>
            <w:noWrap/>
            <w:vAlign w:val="center"/>
            <w:hideMark/>
          </w:tcPr>
          <w:p w:rsidR="001167EF" w:rsidRPr="00FF6B7B" w:rsidRDefault="001167EF" w:rsidP="00424FC0">
            <w:pPr>
              <w:jc w:val="center"/>
              <w:rPr>
                <w:rFonts w:asciiTheme="minorHAnsi" w:hAnsiTheme="minorHAnsi"/>
                <w:bCs/>
                <w:color w:val="000000"/>
                <w:sz w:val="18"/>
                <w:szCs w:val="18"/>
              </w:rPr>
            </w:pPr>
          </w:p>
        </w:tc>
        <w:tc>
          <w:tcPr>
            <w:tcW w:w="993" w:type="dxa"/>
            <w:tcBorders>
              <w:top w:val="nil"/>
              <w:left w:val="nil"/>
              <w:bottom w:val="nil"/>
              <w:right w:val="nil"/>
            </w:tcBorders>
            <w:shd w:val="clear" w:color="auto" w:fill="auto"/>
            <w:noWrap/>
            <w:vAlign w:val="center"/>
            <w:hideMark/>
          </w:tcPr>
          <w:p w:rsidR="001167EF" w:rsidRPr="00FF6B7B" w:rsidRDefault="001167EF" w:rsidP="00424FC0">
            <w:pPr>
              <w:jc w:val="center"/>
              <w:rPr>
                <w:rFonts w:asciiTheme="minorHAnsi" w:hAnsiTheme="minorHAnsi"/>
                <w:bCs/>
                <w:color w:val="000000"/>
                <w:sz w:val="18"/>
                <w:szCs w:val="18"/>
              </w:rPr>
            </w:pPr>
          </w:p>
        </w:tc>
        <w:tc>
          <w:tcPr>
            <w:tcW w:w="1559" w:type="dxa"/>
            <w:tcBorders>
              <w:top w:val="nil"/>
              <w:left w:val="nil"/>
              <w:bottom w:val="nil"/>
              <w:right w:val="nil"/>
            </w:tcBorders>
            <w:shd w:val="clear" w:color="auto" w:fill="auto"/>
            <w:noWrap/>
            <w:vAlign w:val="center"/>
            <w:hideMark/>
          </w:tcPr>
          <w:p w:rsidR="001167EF" w:rsidRPr="00FF6B7B" w:rsidRDefault="001167EF" w:rsidP="00424FC0">
            <w:pPr>
              <w:jc w:val="center"/>
              <w:rPr>
                <w:rFonts w:asciiTheme="minorHAnsi" w:hAnsiTheme="minorHAnsi"/>
                <w:bCs/>
                <w:color w:val="000000"/>
                <w:sz w:val="18"/>
                <w:szCs w:val="18"/>
              </w:rPr>
            </w:pPr>
          </w:p>
        </w:tc>
        <w:tc>
          <w:tcPr>
            <w:tcW w:w="1417" w:type="dxa"/>
            <w:tcBorders>
              <w:top w:val="nil"/>
              <w:left w:val="nil"/>
              <w:bottom w:val="nil"/>
              <w:right w:val="nil"/>
            </w:tcBorders>
            <w:shd w:val="clear" w:color="auto" w:fill="auto"/>
            <w:noWrap/>
            <w:vAlign w:val="center"/>
            <w:hideMark/>
          </w:tcPr>
          <w:p w:rsidR="001167EF" w:rsidRPr="00FF6B7B" w:rsidRDefault="001167EF" w:rsidP="00424FC0">
            <w:pPr>
              <w:jc w:val="center"/>
              <w:rPr>
                <w:rFonts w:asciiTheme="minorHAnsi" w:hAnsiTheme="minorHAnsi"/>
                <w:bCs/>
                <w:color w:val="000000"/>
                <w:sz w:val="18"/>
                <w:szCs w:val="18"/>
              </w:rPr>
            </w:pPr>
          </w:p>
        </w:tc>
        <w:tc>
          <w:tcPr>
            <w:tcW w:w="1276" w:type="dxa"/>
            <w:tcBorders>
              <w:top w:val="nil"/>
              <w:left w:val="nil"/>
              <w:bottom w:val="nil"/>
              <w:right w:val="nil"/>
            </w:tcBorders>
            <w:shd w:val="clear" w:color="auto" w:fill="auto"/>
            <w:noWrap/>
            <w:vAlign w:val="center"/>
            <w:hideMark/>
          </w:tcPr>
          <w:p w:rsidR="001167EF" w:rsidRPr="00FF6B7B" w:rsidRDefault="001167EF" w:rsidP="00424FC0">
            <w:pPr>
              <w:jc w:val="center"/>
              <w:rPr>
                <w:rFonts w:asciiTheme="minorHAnsi" w:hAnsiTheme="minorHAnsi"/>
                <w:bCs/>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1167EF" w:rsidRPr="00FF6B7B" w:rsidRDefault="001167EF" w:rsidP="00424FC0">
            <w:pPr>
              <w:jc w:val="center"/>
              <w:rPr>
                <w:rFonts w:asciiTheme="minorHAnsi" w:hAnsiTheme="minorHAnsi"/>
                <w:bCs/>
                <w:color w:val="000000"/>
                <w:sz w:val="18"/>
                <w:szCs w:val="18"/>
              </w:rPr>
            </w:pPr>
            <w:r w:rsidRPr="00FF6B7B">
              <w:rPr>
                <w:rFonts w:asciiTheme="minorHAnsi" w:hAnsiTheme="minorHAnsi"/>
                <w:bCs/>
                <w:color w:val="000000"/>
                <w:sz w:val="18"/>
                <w:szCs w:val="18"/>
              </w:rPr>
              <w:t>Net cost</w:t>
            </w:r>
          </w:p>
        </w:tc>
        <w:tc>
          <w:tcPr>
            <w:tcW w:w="869" w:type="dxa"/>
            <w:tcBorders>
              <w:top w:val="nil"/>
              <w:left w:val="nil"/>
              <w:bottom w:val="single" w:sz="4" w:space="0" w:color="auto"/>
              <w:right w:val="single" w:sz="4" w:space="0" w:color="auto"/>
            </w:tcBorders>
            <w:shd w:val="clear" w:color="auto" w:fill="auto"/>
            <w:noWrap/>
            <w:vAlign w:val="center"/>
            <w:hideMark/>
          </w:tcPr>
          <w:p w:rsidR="001167EF" w:rsidRPr="00FF6B7B" w:rsidRDefault="001167EF" w:rsidP="00424FC0">
            <w:pPr>
              <w:jc w:val="center"/>
              <w:rPr>
                <w:rFonts w:asciiTheme="minorHAnsi" w:hAnsiTheme="minorHAnsi"/>
                <w:bCs/>
                <w:color w:val="000000"/>
                <w:sz w:val="18"/>
                <w:szCs w:val="18"/>
              </w:rPr>
            </w:pPr>
          </w:p>
        </w:tc>
        <w:tc>
          <w:tcPr>
            <w:tcW w:w="1541" w:type="dxa"/>
            <w:tcBorders>
              <w:top w:val="nil"/>
              <w:left w:val="nil"/>
              <w:bottom w:val="single" w:sz="4" w:space="0" w:color="auto"/>
              <w:right w:val="single" w:sz="4" w:space="0" w:color="auto"/>
            </w:tcBorders>
            <w:shd w:val="clear" w:color="auto" w:fill="auto"/>
            <w:noWrap/>
            <w:vAlign w:val="center"/>
            <w:hideMark/>
          </w:tcPr>
          <w:p w:rsidR="001167EF" w:rsidRPr="002E42CB" w:rsidRDefault="002E42CB" w:rsidP="00424FC0">
            <w:pPr>
              <w:jc w:val="center"/>
              <w:rPr>
                <w:rFonts w:asciiTheme="minorHAnsi" w:hAnsiTheme="minorHAnsi"/>
                <w:bCs/>
                <w:color w:val="000000"/>
                <w:sz w:val="18"/>
                <w:szCs w:val="18"/>
                <w:highlight w:val="black"/>
              </w:rPr>
            </w:pPr>
            <w:r>
              <w:rPr>
                <w:rFonts w:asciiTheme="minorHAnsi" w:hAnsiTheme="minorHAnsi"/>
                <w:bCs/>
                <w:noProof/>
                <w:color w:val="000000"/>
                <w:sz w:val="18"/>
                <w:szCs w:val="18"/>
                <w:highlight w:val="black"/>
              </w:rPr>
              <w:t>'''''''''''</w:t>
            </w:r>
          </w:p>
        </w:tc>
      </w:tr>
    </w:tbl>
    <w:p w:rsidR="00FB4F38" w:rsidRPr="00FF6B7B" w:rsidRDefault="001167EF" w:rsidP="00FB4F38">
      <w:pPr>
        <w:ind w:right="-1351"/>
        <w:rPr>
          <w:rFonts w:asciiTheme="minorHAnsi" w:eastAsiaTheme="minorHAnsi" w:hAnsiTheme="minorHAnsi"/>
          <w:vertAlign w:val="superscript"/>
        </w:rPr>
      </w:pPr>
      <w:r w:rsidRPr="00FF6B7B">
        <w:rPr>
          <w:rFonts w:asciiTheme="minorHAnsi" w:eastAsiaTheme="minorHAnsi" w:hAnsiTheme="minorHAnsi"/>
          <w:vertAlign w:val="superscript"/>
        </w:rPr>
        <w:t>Source: Spreadsheet7.16 v</w:t>
      </w:r>
      <w:r w:rsidR="00424FC0" w:rsidRPr="00FF6B7B">
        <w:rPr>
          <w:rFonts w:asciiTheme="minorHAnsi" w:eastAsiaTheme="minorHAnsi" w:hAnsiTheme="minorHAnsi"/>
          <w:vertAlign w:val="superscript"/>
        </w:rPr>
        <w:t>3</w:t>
      </w:r>
      <w:r w:rsidRPr="00FF6B7B">
        <w:rPr>
          <w:rFonts w:asciiTheme="minorHAnsi" w:eastAsiaTheme="minorHAnsi" w:hAnsiTheme="minorHAnsi"/>
          <w:vertAlign w:val="superscript"/>
        </w:rPr>
        <w:t xml:space="preserve"> VTX Cost compar</w:t>
      </w:r>
      <w:r w:rsidR="004A2310">
        <w:rPr>
          <w:rFonts w:asciiTheme="minorHAnsi" w:eastAsiaTheme="minorHAnsi" w:hAnsiTheme="minorHAnsi"/>
          <w:vertAlign w:val="superscript"/>
        </w:rPr>
        <w:t>ison vs idela+R department.xlsx</w:t>
      </w:r>
    </w:p>
    <w:p w:rsidR="003A304A" w:rsidRPr="00FF6B7B" w:rsidRDefault="003A304A" w:rsidP="00FB4F38">
      <w:pPr>
        <w:ind w:right="-1351"/>
        <w:rPr>
          <w:rFonts w:asciiTheme="minorHAnsi" w:eastAsiaTheme="minorHAnsi" w:hAnsiTheme="minorHAnsi"/>
          <w:vertAlign w:val="superscript"/>
        </w:rPr>
        <w:sectPr w:rsidR="003A304A" w:rsidRPr="00FF6B7B" w:rsidSect="000E2DD7">
          <w:pgSz w:w="16838" w:h="11906" w:orient="landscape" w:code="9"/>
          <w:pgMar w:top="1440" w:right="1134" w:bottom="1440" w:left="1134" w:header="1440" w:footer="1440" w:gutter="0"/>
          <w:cols w:space="708"/>
          <w:docGrid w:linePitch="360"/>
        </w:sectPr>
      </w:pPr>
    </w:p>
    <w:p w:rsidR="005A3173" w:rsidRPr="00FF6B7B" w:rsidRDefault="00B46591" w:rsidP="008306F3">
      <w:pPr>
        <w:pStyle w:val="Heading2"/>
        <w:keepLines/>
        <w:spacing w:before="240" w:after="120"/>
        <w:rPr>
          <w:rFonts w:asciiTheme="minorHAnsi" w:eastAsiaTheme="majorEastAsia" w:hAnsiTheme="minorHAnsi" w:cstheme="majorBidi"/>
          <w:sz w:val="28"/>
          <w:szCs w:val="28"/>
          <w:lang w:eastAsia="en-US"/>
        </w:rPr>
      </w:pPr>
      <w:r w:rsidRPr="00FF6B7B">
        <w:rPr>
          <w:rFonts w:asciiTheme="minorHAnsi" w:eastAsiaTheme="majorEastAsia" w:hAnsiTheme="minorHAnsi" w:cstheme="majorBidi"/>
          <w:sz w:val="28"/>
          <w:szCs w:val="28"/>
          <w:lang w:eastAsia="en-US"/>
        </w:rPr>
        <w:t>E</w:t>
      </w:r>
      <w:r w:rsidR="005A3173" w:rsidRPr="00FF6B7B">
        <w:rPr>
          <w:rFonts w:asciiTheme="minorHAnsi" w:eastAsiaTheme="majorEastAsia" w:hAnsiTheme="minorHAnsi" w:cstheme="majorBidi"/>
          <w:sz w:val="28"/>
          <w:szCs w:val="28"/>
          <w:lang w:eastAsia="en-US"/>
        </w:rPr>
        <w:t>stimated PBS usage &amp; financial implications</w:t>
      </w:r>
    </w:p>
    <w:p w:rsidR="00484CD3" w:rsidRPr="00FF6B7B" w:rsidRDefault="00B03D9D" w:rsidP="00A622A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In its July 2017 considerations, the PBAC noted the financial estimate</w:t>
      </w:r>
      <w:r w:rsidR="00896D64" w:rsidRPr="00FF6B7B">
        <w:rPr>
          <w:rFonts w:asciiTheme="minorHAnsi" w:eastAsiaTheme="minorHAnsi" w:hAnsiTheme="minorHAnsi" w:cstheme="minorBidi"/>
          <w:snapToGrid/>
          <w:sz w:val="24"/>
          <w:szCs w:val="22"/>
        </w:rPr>
        <w:t>s</w:t>
      </w:r>
      <w:r w:rsidRPr="00FF6B7B">
        <w:rPr>
          <w:rFonts w:asciiTheme="minorHAnsi" w:eastAsiaTheme="minorHAnsi" w:hAnsiTheme="minorHAnsi" w:cstheme="minorBidi"/>
          <w:snapToGrid/>
          <w:sz w:val="24"/>
          <w:szCs w:val="22"/>
        </w:rPr>
        <w:t xml:space="preserve"> presented in th</w:t>
      </w:r>
      <w:r w:rsidR="003C3737" w:rsidRPr="00FF6B7B">
        <w:rPr>
          <w:rFonts w:asciiTheme="minorHAnsi" w:eastAsiaTheme="minorHAnsi" w:hAnsiTheme="minorHAnsi" w:cstheme="minorBidi"/>
          <w:snapToGrid/>
          <w:sz w:val="24"/>
          <w:szCs w:val="22"/>
        </w:rPr>
        <w:t>e</w:t>
      </w:r>
      <w:r w:rsidRPr="00FF6B7B">
        <w:rPr>
          <w:rFonts w:asciiTheme="minorHAnsi" w:eastAsiaTheme="minorHAnsi" w:hAnsiTheme="minorHAnsi" w:cstheme="minorBidi"/>
          <w:snapToGrid/>
          <w:sz w:val="24"/>
          <w:szCs w:val="22"/>
        </w:rPr>
        <w:t xml:space="preserve"> submission would need further negotiation between the Department and the sponsor to reflect the revised population in whom listing was recommended. The </w:t>
      </w:r>
      <w:r w:rsidR="00F50DD1" w:rsidRPr="00FF6B7B">
        <w:rPr>
          <w:rFonts w:asciiTheme="minorHAnsi" w:eastAsiaTheme="minorHAnsi" w:hAnsiTheme="minorHAnsi" w:cstheme="minorBidi"/>
          <w:snapToGrid/>
          <w:sz w:val="24"/>
          <w:szCs w:val="22"/>
        </w:rPr>
        <w:t xml:space="preserve">PBAC further </w:t>
      </w:r>
      <w:r w:rsidR="004A2310">
        <w:rPr>
          <w:rFonts w:asciiTheme="minorHAnsi" w:eastAsiaTheme="minorHAnsi" w:hAnsiTheme="minorHAnsi" w:cstheme="minorBidi"/>
          <w:snapToGrid/>
          <w:sz w:val="24"/>
          <w:szCs w:val="22"/>
        </w:rPr>
        <w:t>advised</w:t>
      </w:r>
      <w:r w:rsidR="00F50DD1" w:rsidRPr="00FF6B7B">
        <w:rPr>
          <w:rFonts w:asciiTheme="minorHAnsi" w:eastAsiaTheme="minorHAnsi" w:hAnsiTheme="minorHAnsi" w:cstheme="minorBidi"/>
          <w:snapToGrid/>
          <w:sz w:val="24"/>
          <w:szCs w:val="22"/>
        </w:rPr>
        <w:t xml:space="preserve"> that it did not expect that the costs of listing venetoclax </w:t>
      </w:r>
      <w:r w:rsidR="004A2310">
        <w:rPr>
          <w:rFonts w:asciiTheme="minorHAnsi" w:eastAsiaTheme="minorHAnsi" w:hAnsiTheme="minorHAnsi" w:cstheme="minorBidi"/>
          <w:snapToGrid/>
          <w:sz w:val="24"/>
          <w:szCs w:val="22"/>
        </w:rPr>
        <w:t>w</w:t>
      </w:r>
      <w:r w:rsidR="00F50DD1" w:rsidRPr="00FF6B7B">
        <w:rPr>
          <w:rFonts w:asciiTheme="minorHAnsi" w:eastAsiaTheme="minorHAnsi" w:hAnsiTheme="minorHAnsi" w:cstheme="minorBidi"/>
          <w:snapToGrid/>
          <w:sz w:val="24"/>
          <w:szCs w:val="22"/>
        </w:rPr>
        <w:t xml:space="preserve">ould add greatly to the </w:t>
      </w:r>
      <w:r w:rsidR="004A2310">
        <w:rPr>
          <w:rFonts w:asciiTheme="minorHAnsi" w:eastAsiaTheme="minorHAnsi" w:hAnsiTheme="minorHAnsi" w:cstheme="minorBidi"/>
          <w:snapToGrid/>
          <w:sz w:val="24"/>
          <w:szCs w:val="22"/>
        </w:rPr>
        <w:t xml:space="preserve">estimated </w:t>
      </w:r>
      <w:r w:rsidR="00F50DD1" w:rsidRPr="00FF6B7B">
        <w:rPr>
          <w:rFonts w:asciiTheme="minorHAnsi" w:eastAsiaTheme="minorHAnsi" w:hAnsiTheme="minorHAnsi" w:cstheme="minorBidi"/>
          <w:snapToGrid/>
          <w:sz w:val="24"/>
          <w:szCs w:val="22"/>
        </w:rPr>
        <w:t xml:space="preserve">costs to the PBS of </w:t>
      </w:r>
      <w:r w:rsidR="004A2310">
        <w:rPr>
          <w:rFonts w:asciiTheme="minorHAnsi" w:eastAsiaTheme="minorHAnsi" w:hAnsiTheme="minorHAnsi" w:cstheme="minorBidi"/>
          <w:snapToGrid/>
          <w:sz w:val="24"/>
          <w:szCs w:val="22"/>
        </w:rPr>
        <w:t xml:space="preserve">listing </w:t>
      </w:r>
      <w:r w:rsidR="00F50DD1" w:rsidRPr="00FF6B7B">
        <w:rPr>
          <w:rFonts w:asciiTheme="minorHAnsi" w:eastAsiaTheme="minorHAnsi" w:hAnsiTheme="minorHAnsi" w:cstheme="minorBidi"/>
          <w:snapToGrid/>
          <w:sz w:val="24"/>
          <w:szCs w:val="22"/>
        </w:rPr>
        <w:t>idelalisib.</w:t>
      </w:r>
    </w:p>
    <w:p w:rsidR="000622EE" w:rsidRPr="00FF6B7B" w:rsidRDefault="001167EF" w:rsidP="0040365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 xml:space="preserve">The number of </w:t>
      </w:r>
      <w:r w:rsidR="003C3737" w:rsidRPr="00FF6B7B">
        <w:rPr>
          <w:rFonts w:asciiTheme="minorHAnsi" w:eastAsiaTheme="minorHAnsi" w:hAnsiTheme="minorHAnsi" w:cstheme="minorBidi"/>
          <w:snapToGrid/>
          <w:sz w:val="24"/>
          <w:szCs w:val="22"/>
        </w:rPr>
        <w:t xml:space="preserve">venetoclax </w:t>
      </w:r>
      <w:r w:rsidRPr="00FF6B7B">
        <w:rPr>
          <w:rFonts w:asciiTheme="minorHAnsi" w:eastAsiaTheme="minorHAnsi" w:hAnsiTheme="minorHAnsi" w:cstheme="minorBidi"/>
          <w:snapToGrid/>
          <w:sz w:val="24"/>
          <w:szCs w:val="22"/>
        </w:rPr>
        <w:t xml:space="preserve">patients </w:t>
      </w:r>
      <w:r w:rsidR="008D6E67">
        <w:rPr>
          <w:rFonts w:asciiTheme="minorHAnsi" w:eastAsiaTheme="minorHAnsi" w:hAnsiTheme="minorHAnsi" w:cstheme="minorBidi"/>
          <w:snapToGrid/>
          <w:sz w:val="24"/>
          <w:szCs w:val="22"/>
        </w:rPr>
        <w:t>in the third-</w:t>
      </w:r>
      <w:r w:rsidR="00403651" w:rsidRPr="00FF6B7B">
        <w:rPr>
          <w:rFonts w:asciiTheme="minorHAnsi" w:eastAsiaTheme="minorHAnsi" w:hAnsiTheme="minorHAnsi" w:cstheme="minorBidi"/>
          <w:snapToGrid/>
          <w:sz w:val="24"/>
          <w:szCs w:val="22"/>
        </w:rPr>
        <w:t xml:space="preserve">line population as </w:t>
      </w:r>
      <w:r w:rsidRPr="00FF6B7B">
        <w:rPr>
          <w:rFonts w:asciiTheme="minorHAnsi" w:eastAsiaTheme="minorHAnsi" w:hAnsiTheme="minorHAnsi" w:cstheme="minorBidi"/>
          <w:snapToGrid/>
          <w:sz w:val="24"/>
          <w:szCs w:val="22"/>
        </w:rPr>
        <w:t xml:space="preserve">estimated in the </w:t>
      </w:r>
      <w:r w:rsidR="004A2310">
        <w:rPr>
          <w:rFonts w:asciiTheme="minorHAnsi" w:eastAsiaTheme="minorHAnsi" w:hAnsiTheme="minorHAnsi" w:cstheme="minorBidi"/>
          <w:snapToGrid/>
          <w:sz w:val="24"/>
          <w:szCs w:val="22"/>
        </w:rPr>
        <w:t xml:space="preserve">minor </w:t>
      </w:r>
      <w:r w:rsidR="00427E19" w:rsidRPr="00FF6B7B">
        <w:rPr>
          <w:rFonts w:asciiTheme="minorHAnsi" w:eastAsiaTheme="minorHAnsi" w:hAnsiTheme="minorHAnsi" w:cstheme="minorBidi"/>
          <w:snapToGrid/>
          <w:sz w:val="24"/>
          <w:szCs w:val="22"/>
        </w:rPr>
        <w:t>re</w:t>
      </w:r>
      <w:r w:rsidRPr="00FF6B7B">
        <w:rPr>
          <w:rFonts w:asciiTheme="minorHAnsi" w:eastAsiaTheme="minorHAnsi" w:hAnsiTheme="minorHAnsi" w:cstheme="minorBidi"/>
          <w:snapToGrid/>
          <w:sz w:val="24"/>
          <w:szCs w:val="22"/>
        </w:rPr>
        <w:t>submission</w:t>
      </w:r>
      <w:r w:rsidR="00403651" w:rsidRPr="00FF6B7B">
        <w:rPr>
          <w:rFonts w:asciiTheme="minorHAnsi" w:eastAsiaTheme="minorHAnsi" w:hAnsiTheme="minorHAnsi" w:cstheme="minorBidi"/>
          <w:snapToGrid/>
          <w:sz w:val="24"/>
          <w:szCs w:val="22"/>
        </w:rPr>
        <w:t>,</w:t>
      </w:r>
      <w:r w:rsidR="00427E19" w:rsidRPr="00FF6B7B">
        <w:rPr>
          <w:rFonts w:asciiTheme="minorHAnsi" w:eastAsiaTheme="minorHAnsi" w:hAnsiTheme="minorHAnsi" w:cstheme="minorBidi"/>
          <w:snapToGrid/>
          <w:sz w:val="24"/>
          <w:szCs w:val="22"/>
        </w:rPr>
        <w:t xml:space="preserve"> and revised in the pre</w:t>
      </w:r>
      <w:r w:rsidR="003A5F42" w:rsidRPr="00FF6B7B">
        <w:rPr>
          <w:rFonts w:asciiTheme="minorHAnsi" w:eastAsiaTheme="minorHAnsi" w:hAnsiTheme="minorHAnsi" w:cstheme="minorBidi"/>
          <w:snapToGrid/>
          <w:sz w:val="24"/>
          <w:szCs w:val="22"/>
        </w:rPr>
        <w:t>-</w:t>
      </w:r>
      <w:r w:rsidR="00427E19" w:rsidRPr="00FF6B7B">
        <w:rPr>
          <w:rFonts w:asciiTheme="minorHAnsi" w:eastAsiaTheme="minorHAnsi" w:hAnsiTheme="minorHAnsi" w:cstheme="minorBidi"/>
          <w:snapToGrid/>
          <w:sz w:val="24"/>
          <w:szCs w:val="22"/>
        </w:rPr>
        <w:t>PBAC response,</w:t>
      </w:r>
      <w:r w:rsidRPr="00FF6B7B">
        <w:rPr>
          <w:rFonts w:asciiTheme="minorHAnsi" w:eastAsiaTheme="minorHAnsi" w:hAnsiTheme="minorHAnsi" w:cstheme="minorBidi"/>
          <w:snapToGrid/>
          <w:sz w:val="24"/>
          <w:szCs w:val="22"/>
        </w:rPr>
        <w:t xml:space="preserve"> </w:t>
      </w:r>
      <w:r w:rsidR="00696EAA" w:rsidRPr="00FF6B7B">
        <w:rPr>
          <w:rFonts w:asciiTheme="minorHAnsi" w:eastAsiaTheme="minorHAnsi" w:hAnsiTheme="minorHAnsi" w:cstheme="minorBidi"/>
          <w:snapToGrid/>
          <w:sz w:val="24"/>
          <w:szCs w:val="22"/>
        </w:rPr>
        <w:t>are includ</w:t>
      </w:r>
      <w:r w:rsidR="00403651" w:rsidRPr="00FF6B7B">
        <w:rPr>
          <w:rFonts w:asciiTheme="minorHAnsi" w:eastAsiaTheme="minorHAnsi" w:hAnsiTheme="minorHAnsi" w:cstheme="minorBidi"/>
          <w:snapToGrid/>
          <w:sz w:val="24"/>
          <w:szCs w:val="22"/>
        </w:rPr>
        <w:t>ed</w:t>
      </w:r>
      <w:r w:rsidR="00696EAA" w:rsidRPr="00FF6B7B">
        <w:rPr>
          <w:rFonts w:asciiTheme="minorHAnsi" w:eastAsiaTheme="minorHAnsi" w:hAnsiTheme="minorHAnsi" w:cstheme="minorBidi"/>
          <w:snapToGrid/>
          <w:sz w:val="24"/>
          <w:szCs w:val="22"/>
        </w:rPr>
        <w:t xml:space="preserve"> in Table </w:t>
      </w:r>
      <w:r w:rsidR="000856D2" w:rsidRPr="00FF6B7B">
        <w:rPr>
          <w:rFonts w:asciiTheme="minorHAnsi" w:eastAsiaTheme="minorHAnsi" w:hAnsiTheme="minorHAnsi" w:cstheme="minorBidi"/>
          <w:snapToGrid/>
          <w:sz w:val="24"/>
          <w:szCs w:val="22"/>
        </w:rPr>
        <w:t>2</w:t>
      </w:r>
      <w:r w:rsidR="00696EAA" w:rsidRPr="00FF6B7B">
        <w:rPr>
          <w:rFonts w:asciiTheme="minorHAnsi" w:eastAsiaTheme="minorHAnsi" w:hAnsiTheme="minorHAnsi" w:cstheme="minorBidi"/>
          <w:snapToGrid/>
          <w:sz w:val="24"/>
          <w:szCs w:val="22"/>
        </w:rPr>
        <w:t>.</w:t>
      </w:r>
    </w:p>
    <w:p w:rsidR="003D280B" w:rsidRPr="00F17C9A" w:rsidRDefault="003D280B" w:rsidP="006155EB">
      <w:pPr>
        <w:rPr>
          <w:rFonts w:asciiTheme="minorHAnsi" w:eastAsiaTheme="minorHAnsi" w:hAnsiTheme="minorHAnsi" w:cstheme="minorBidi"/>
          <w:sz w:val="22"/>
          <w:szCs w:val="22"/>
        </w:rPr>
      </w:pPr>
      <w:r w:rsidRPr="00F17C9A">
        <w:rPr>
          <w:rFonts w:asciiTheme="minorHAnsi" w:eastAsiaTheme="minorHAnsi" w:hAnsiTheme="minorHAnsi" w:cstheme="minorBidi"/>
          <w:b/>
          <w:sz w:val="22"/>
          <w:szCs w:val="22"/>
        </w:rPr>
        <w:t xml:space="preserve">Table </w:t>
      </w:r>
      <w:r w:rsidR="00427E19" w:rsidRPr="00F17C9A">
        <w:rPr>
          <w:rFonts w:asciiTheme="minorHAnsi" w:eastAsiaTheme="minorHAnsi" w:hAnsiTheme="minorHAnsi" w:cstheme="minorBidi"/>
          <w:b/>
          <w:sz w:val="22"/>
          <w:szCs w:val="22"/>
        </w:rPr>
        <w:t>2</w:t>
      </w:r>
      <w:r w:rsidRPr="00F17C9A">
        <w:rPr>
          <w:rFonts w:asciiTheme="minorHAnsi" w:eastAsiaTheme="minorHAnsi" w:hAnsiTheme="minorHAnsi" w:cstheme="minorBidi"/>
          <w:b/>
          <w:sz w:val="22"/>
          <w:szCs w:val="22"/>
        </w:rPr>
        <w:t xml:space="preserve">: </w:t>
      </w:r>
      <w:r w:rsidR="00427E19" w:rsidRPr="00F17C9A">
        <w:rPr>
          <w:rFonts w:asciiTheme="minorHAnsi" w:eastAsiaTheme="minorHAnsi" w:hAnsiTheme="minorHAnsi" w:cstheme="minorBidi"/>
          <w:b/>
          <w:sz w:val="22"/>
          <w:szCs w:val="22"/>
        </w:rPr>
        <w:t xml:space="preserve">Number of patients expected to access venetoclax through the </w:t>
      </w:r>
      <w:r w:rsidRPr="00F17C9A">
        <w:rPr>
          <w:rFonts w:asciiTheme="minorHAnsi" w:eastAsiaTheme="minorHAnsi" w:hAnsiTheme="minorHAnsi" w:cstheme="minorBidi"/>
          <w:b/>
          <w:sz w:val="22"/>
          <w:szCs w:val="22"/>
        </w:rPr>
        <w:t>PBS</w:t>
      </w:r>
    </w:p>
    <w:tbl>
      <w:tblPr>
        <w:tblStyle w:val="TableGrid"/>
        <w:tblW w:w="0" w:type="auto"/>
        <w:tblLayout w:type="fixed"/>
        <w:tblLook w:val="04A0" w:firstRow="1" w:lastRow="0" w:firstColumn="1" w:lastColumn="0" w:noHBand="0" w:noVBand="1"/>
        <w:tblCaption w:val="Table 2: Number of patients expected to access venetoclax through the PBS"/>
      </w:tblPr>
      <w:tblGrid>
        <w:gridCol w:w="2660"/>
        <w:gridCol w:w="1417"/>
        <w:gridCol w:w="709"/>
        <w:gridCol w:w="709"/>
        <w:gridCol w:w="709"/>
        <w:gridCol w:w="708"/>
        <w:gridCol w:w="709"/>
        <w:gridCol w:w="1621"/>
      </w:tblGrid>
      <w:tr w:rsidR="00F17C9A" w:rsidRPr="00F17C9A" w:rsidTr="00E74239">
        <w:trPr>
          <w:trHeight w:val="479"/>
          <w:tblHeader/>
        </w:trPr>
        <w:tc>
          <w:tcPr>
            <w:tcW w:w="2660" w:type="dxa"/>
            <w:noWrap/>
            <w:hideMark/>
          </w:tcPr>
          <w:p w:rsidR="00484CD3" w:rsidRPr="00F17C9A" w:rsidRDefault="00484CD3">
            <w:pPr>
              <w:rPr>
                <w:rFonts w:asciiTheme="minorHAnsi" w:hAnsiTheme="minorHAnsi" w:cs="Arial"/>
                <w:sz w:val="18"/>
                <w:szCs w:val="18"/>
              </w:rPr>
            </w:pPr>
          </w:p>
        </w:tc>
        <w:tc>
          <w:tcPr>
            <w:tcW w:w="1417" w:type="dxa"/>
            <w:noWrap/>
            <w:hideMark/>
          </w:tcPr>
          <w:p w:rsidR="00484CD3" w:rsidRPr="00F17C9A" w:rsidRDefault="00484CD3">
            <w:pPr>
              <w:jc w:val="center"/>
              <w:rPr>
                <w:rFonts w:asciiTheme="minorHAnsi" w:hAnsiTheme="minorHAnsi" w:cs="Arial"/>
                <w:b/>
                <w:bCs/>
                <w:sz w:val="18"/>
                <w:szCs w:val="18"/>
              </w:rPr>
            </w:pPr>
            <w:r w:rsidRPr="00F17C9A">
              <w:rPr>
                <w:rFonts w:asciiTheme="minorHAnsi" w:hAnsiTheme="minorHAnsi" w:cs="Arial"/>
                <w:b/>
                <w:bCs/>
                <w:sz w:val="18"/>
                <w:szCs w:val="18"/>
              </w:rPr>
              <w:t>Year 1 2018</w:t>
            </w:r>
          </w:p>
        </w:tc>
        <w:tc>
          <w:tcPr>
            <w:tcW w:w="709" w:type="dxa"/>
            <w:noWrap/>
            <w:hideMark/>
          </w:tcPr>
          <w:p w:rsidR="00484CD3" w:rsidRPr="00F17C9A" w:rsidRDefault="00484CD3">
            <w:pPr>
              <w:jc w:val="center"/>
              <w:rPr>
                <w:rFonts w:asciiTheme="minorHAnsi" w:hAnsiTheme="minorHAnsi" w:cs="Arial"/>
                <w:b/>
                <w:bCs/>
                <w:sz w:val="18"/>
                <w:szCs w:val="18"/>
              </w:rPr>
            </w:pPr>
            <w:r w:rsidRPr="00F17C9A">
              <w:rPr>
                <w:rFonts w:asciiTheme="minorHAnsi" w:hAnsiTheme="minorHAnsi" w:cs="Arial"/>
                <w:b/>
                <w:bCs/>
                <w:sz w:val="18"/>
                <w:szCs w:val="18"/>
              </w:rPr>
              <w:t>Year 2 2019</w:t>
            </w:r>
          </w:p>
        </w:tc>
        <w:tc>
          <w:tcPr>
            <w:tcW w:w="709" w:type="dxa"/>
            <w:noWrap/>
            <w:hideMark/>
          </w:tcPr>
          <w:p w:rsidR="00484CD3" w:rsidRPr="00F17C9A" w:rsidRDefault="00484CD3">
            <w:pPr>
              <w:jc w:val="center"/>
              <w:rPr>
                <w:rFonts w:asciiTheme="minorHAnsi" w:hAnsiTheme="minorHAnsi" w:cs="Arial"/>
                <w:b/>
                <w:bCs/>
                <w:sz w:val="18"/>
                <w:szCs w:val="18"/>
              </w:rPr>
            </w:pPr>
            <w:r w:rsidRPr="00F17C9A">
              <w:rPr>
                <w:rFonts w:asciiTheme="minorHAnsi" w:hAnsiTheme="minorHAnsi" w:cs="Arial"/>
                <w:b/>
                <w:bCs/>
                <w:sz w:val="18"/>
                <w:szCs w:val="18"/>
              </w:rPr>
              <w:t>Year 3 2020</w:t>
            </w:r>
          </w:p>
        </w:tc>
        <w:tc>
          <w:tcPr>
            <w:tcW w:w="709" w:type="dxa"/>
            <w:noWrap/>
            <w:hideMark/>
          </w:tcPr>
          <w:p w:rsidR="00484CD3" w:rsidRPr="00F17C9A" w:rsidRDefault="00484CD3">
            <w:pPr>
              <w:jc w:val="center"/>
              <w:rPr>
                <w:rFonts w:asciiTheme="minorHAnsi" w:hAnsiTheme="minorHAnsi" w:cs="Arial"/>
                <w:b/>
                <w:bCs/>
                <w:sz w:val="18"/>
                <w:szCs w:val="18"/>
              </w:rPr>
            </w:pPr>
            <w:r w:rsidRPr="00F17C9A">
              <w:rPr>
                <w:rFonts w:asciiTheme="minorHAnsi" w:hAnsiTheme="minorHAnsi" w:cs="Arial"/>
                <w:b/>
                <w:bCs/>
                <w:sz w:val="18"/>
                <w:szCs w:val="18"/>
              </w:rPr>
              <w:t>Year 4 2021</w:t>
            </w:r>
          </w:p>
        </w:tc>
        <w:tc>
          <w:tcPr>
            <w:tcW w:w="708" w:type="dxa"/>
            <w:noWrap/>
            <w:hideMark/>
          </w:tcPr>
          <w:p w:rsidR="00484CD3" w:rsidRPr="00F17C9A" w:rsidRDefault="00484CD3">
            <w:pPr>
              <w:jc w:val="center"/>
              <w:rPr>
                <w:rFonts w:asciiTheme="minorHAnsi" w:hAnsiTheme="minorHAnsi" w:cs="Arial"/>
                <w:b/>
                <w:bCs/>
                <w:sz w:val="18"/>
                <w:szCs w:val="18"/>
              </w:rPr>
            </w:pPr>
            <w:r w:rsidRPr="00F17C9A">
              <w:rPr>
                <w:rFonts w:asciiTheme="minorHAnsi" w:hAnsiTheme="minorHAnsi" w:cs="Arial"/>
                <w:b/>
                <w:bCs/>
                <w:sz w:val="18"/>
                <w:szCs w:val="18"/>
              </w:rPr>
              <w:t>Year 5 2022</w:t>
            </w:r>
          </w:p>
        </w:tc>
        <w:tc>
          <w:tcPr>
            <w:tcW w:w="709" w:type="dxa"/>
            <w:noWrap/>
            <w:hideMark/>
          </w:tcPr>
          <w:p w:rsidR="00484CD3" w:rsidRPr="00F17C9A" w:rsidRDefault="00484CD3">
            <w:pPr>
              <w:jc w:val="center"/>
              <w:rPr>
                <w:rFonts w:asciiTheme="minorHAnsi" w:hAnsiTheme="minorHAnsi" w:cs="Arial"/>
                <w:b/>
                <w:bCs/>
                <w:sz w:val="18"/>
                <w:szCs w:val="18"/>
              </w:rPr>
            </w:pPr>
            <w:r w:rsidRPr="00F17C9A">
              <w:rPr>
                <w:rFonts w:asciiTheme="minorHAnsi" w:hAnsiTheme="minorHAnsi" w:cs="Arial"/>
                <w:b/>
                <w:bCs/>
                <w:sz w:val="18"/>
                <w:szCs w:val="18"/>
              </w:rPr>
              <w:t>Year 6 2023</w:t>
            </w:r>
          </w:p>
        </w:tc>
        <w:tc>
          <w:tcPr>
            <w:tcW w:w="1621" w:type="dxa"/>
            <w:hideMark/>
          </w:tcPr>
          <w:p w:rsidR="00484CD3" w:rsidRPr="00F17C9A" w:rsidRDefault="00484CD3">
            <w:pPr>
              <w:jc w:val="center"/>
              <w:rPr>
                <w:rFonts w:asciiTheme="minorHAnsi" w:hAnsiTheme="minorHAnsi" w:cs="Arial"/>
                <w:b/>
                <w:bCs/>
                <w:sz w:val="18"/>
                <w:szCs w:val="18"/>
              </w:rPr>
            </w:pPr>
            <w:r w:rsidRPr="00F17C9A">
              <w:rPr>
                <w:rFonts w:asciiTheme="minorHAnsi" w:hAnsiTheme="minorHAnsi" w:cs="Arial"/>
                <w:b/>
                <w:bCs/>
                <w:sz w:val="18"/>
                <w:szCs w:val="18"/>
              </w:rPr>
              <w:t>Total over 6 years of PBS listing</w:t>
            </w:r>
          </w:p>
        </w:tc>
      </w:tr>
      <w:tr w:rsidR="00427E19" w:rsidRPr="00F17C9A" w:rsidTr="004A2310">
        <w:trPr>
          <w:trHeight w:val="283"/>
        </w:trPr>
        <w:tc>
          <w:tcPr>
            <w:tcW w:w="9242" w:type="dxa"/>
            <w:gridSpan w:val="8"/>
            <w:noWrap/>
          </w:tcPr>
          <w:p w:rsidR="00427E19" w:rsidRPr="00F17C9A" w:rsidRDefault="004A2310" w:rsidP="004A2310">
            <w:pPr>
              <w:tabs>
                <w:tab w:val="left" w:pos="2450"/>
              </w:tabs>
              <w:rPr>
                <w:rFonts w:asciiTheme="minorHAnsi" w:hAnsiTheme="minorHAnsi" w:cs="Arial"/>
                <w:sz w:val="18"/>
                <w:szCs w:val="18"/>
              </w:rPr>
            </w:pPr>
            <w:r w:rsidRPr="00F17C9A">
              <w:rPr>
                <w:rFonts w:asciiTheme="minorHAnsi" w:hAnsiTheme="minorHAnsi" w:cs="Arial"/>
                <w:sz w:val="18"/>
                <w:szCs w:val="18"/>
              </w:rPr>
              <w:t>Minor</w:t>
            </w:r>
            <w:r w:rsidR="00427E19" w:rsidRPr="00F17C9A">
              <w:rPr>
                <w:rFonts w:asciiTheme="minorHAnsi" w:hAnsiTheme="minorHAnsi" w:cs="Arial"/>
                <w:sz w:val="18"/>
                <w:szCs w:val="18"/>
              </w:rPr>
              <w:t xml:space="preserve"> resubmission</w:t>
            </w:r>
          </w:p>
        </w:tc>
      </w:tr>
      <w:tr w:rsidR="00F17C9A" w:rsidRPr="00F17C9A" w:rsidTr="00F17C9A">
        <w:trPr>
          <w:trHeight w:val="255"/>
        </w:trPr>
        <w:tc>
          <w:tcPr>
            <w:tcW w:w="2660" w:type="dxa"/>
            <w:hideMark/>
          </w:tcPr>
          <w:p w:rsidR="00484CD3" w:rsidRPr="00F17C9A" w:rsidRDefault="00D94FC7" w:rsidP="00F17C9A">
            <w:pPr>
              <w:rPr>
                <w:rFonts w:asciiTheme="minorHAnsi" w:hAnsiTheme="minorHAnsi" w:cs="Arial"/>
                <w:sz w:val="18"/>
                <w:szCs w:val="18"/>
              </w:rPr>
            </w:pPr>
            <w:r w:rsidRPr="00F17C9A">
              <w:rPr>
                <w:rFonts w:asciiTheme="minorHAnsi" w:hAnsiTheme="minorHAnsi" w:cs="Arial"/>
                <w:sz w:val="18"/>
                <w:szCs w:val="18"/>
              </w:rPr>
              <w:t xml:space="preserve">Total </w:t>
            </w:r>
            <w:r w:rsidR="00F17C9A" w:rsidRPr="00F17C9A">
              <w:rPr>
                <w:rFonts w:asciiTheme="minorHAnsi" w:hAnsiTheme="minorHAnsi" w:cs="Arial"/>
                <w:sz w:val="18"/>
                <w:szCs w:val="18"/>
              </w:rPr>
              <w:t>‘h</w:t>
            </w:r>
            <w:r w:rsidR="00484CD3" w:rsidRPr="00F17C9A">
              <w:rPr>
                <w:rFonts w:asciiTheme="minorHAnsi" w:hAnsiTheme="minorHAnsi" w:cs="Arial"/>
                <w:sz w:val="18"/>
                <w:szCs w:val="18"/>
              </w:rPr>
              <w:t xml:space="preserve">ighly refractory / </w:t>
            </w:r>
            <w:r w:rsidR="00F17C9A" w:rsidRPr="00F17C9A">
              <w:rPr>
                <w:rFonts w:asciiTheme="minorHAnsi" w:hAnsiTheme="minorHAnsi" w:cs="Arial"/>
                <w:sz w:val="18"/>
                <w:szCs w:val="18"/>
              </w:rPr>
              <w:t>s</w:t>
            </w:r>
            <w:r w:rsidR="00484CD3" w:rsidRPr="00F17C9A">
              <w:rPr>
                <w:rFonts w:asciiTheme="minorHAnsi" w:hAnsiTheme="minorHAnsi" w:cs="Arial"/>
                <w:sz w:val="18"/>
                <w:szCs w:val="18"/>
              </w:rPr>
              <w:t>alvage population</w:t>
            </w:r>
            <w:r w:rsidR="00F17C9A" w:rsidRPr="00F17C9A">
              <w:rPr>
                <w:rFonts w:asciiTheme="minorHAnsi" w:hAnsiTheme="minorHAnsi" w:cs="Arial"/>
                <w:sz w:val="18"/>
                <w:szCs w:val="18"/>
              </w:rPr>
              <w:t>’</w:t>
            </w:r>
            <w:r w:rsidR="00484CD3" w:rsidRPr="00F17C9A">
              <w:rPr>
                <w:rFonts w:asciiTheme="minorHAnsi" w:hAnsiTheme="minorHAnsi" w:cs="Arial"/>
                <w:sz w:val="18"/>
                <w:szCs w:val="18"/>
              </w:rPr>
              <w:t xml:space="preserve"> (</w:t>
            </w:r>
            <w:r w:rsidR="00F17C9A" w:rsidRPr="00F17C9A">
              <w:rPr>
                <w:rFonts w:asciiTheme="minorHAnsi" w:hAnsiTheme="minorHAnsi" w:cs="Arial"/>
                <w:sz w:val="18"/>
                <w:szCs w:val="18"/>
              </w:rPr>
              <w:t>thi</w:t>
            </w:r>
            <w:r w:rsidR="00484CD3" w:rsidRPr="00F17C9A">
              <w:rPr>
                <w:rFonts w:asciiTheme="minorHAnsi" w:hAnsiTheme="minorHAnsi" w:cs="Arial"/>
                <w:sz w:val="18"/>
                <w:szCs w:val="18"/>
              </w:rPr>
              <w:t>rd</w:t>
            </w:r>
            <w:r w:rsidR="00F17C9A" w:rsidRPr="00F17C9A">
              <w:rPr>
                <w:rFonts w:asciiTheme="minorHAnsi" w:hAnsiTheme="minorHAnsi" w:cs="Arial"/>
                <w:sz w:val="18"/>
                <w:szCs w:val="18"/>
              </w:rPr>
              <w:t>-</w:t>
            </w:r>
            <w:r w:rsidR="00484CD3" w:rsidRPr="00F17C9A">
              <w:rPr>
                <w:rFonts w:asciiTheme="minorHAnsi" w:hAnsiTheme="minorHAnsi" w:cs="Arial"/>
                <w:sz w:val="18"/>
                <w:szCs w:val="18"/>
              </w:rPr>
              <w:t>line+)</w:t>
            </w:r>
          </w:p>
        </w:tc>
        <w:tc>
          <w:tcPr>
            <w:tcW w:w="1417" w:type="dxa"/>
            <w:noWrap/>
            <w:hideMark/>
          </w:tcPr>
          <w:p w:rsidR="00484CD3"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hideMark/>
          </w:tcPr>
          <w:p w:rsidR="00484CD3"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hideMark/>
          </w:tcPr>
          <w:p w:rsidR="00484CD3"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hideMark/>
          </w:tcPr>
          <w:p w:rsidR="00484CD3"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8" w:type="dxa"/>
            <w:noWrap/>
            <w:hideMark/>
          </w:tcPr>
          <w:p w:rsidR="00484CD3"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hideMark/>
          </w:tcPr>
          <w:p w:rsidR="00484CD3"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1621" w:type="dxa"/>
            <w:noWrap/>
            <w:hideMark/>
          </w:tcPr>
          <w:p w:rsidR="00484CD3"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r>
      <w:tr w:rsidR="00F17C9A" w:rsidRPr="00F17C9A" w:rsidTr="00F17C9A">
        <w:trPr>
          <w:trHeight w:val="255"/>
        </w:trPr>
        <w:tc>
          <w:tcPr>
            <w:tcW w:w="2660" w:type="dxa"/>
          </w:tcPr>
          <w:p w:rsidR="00C64898" w:rsidRPr="00F17C9A" w:rsidRDefault="00C64898">
            <w:pPr>
              <w:rPr>
                <w:rFonts w:asciiTheme="minorHAnsi" w:hAnsiTheme="minorHAnsi" w:cs="Arial"/>
                <w:sz w:val="18"/>
                <w:szCs w:val="18"/>
              </w:rPr>
            </w:pPr>
            <w:r w:rsidRPr="00F17C9A">
              <w:rPr>
                <w:rFonts w:asciiTheme="minorHAnsi" w:hAnsiTheme="minorHAnsi" w:cs="Arial"/>
                <w:sz w:val="18"/>
                <w:szCs w:val="18"/>
              </w:rPr>
              <w:t>Initiating patients</w:t>
            </w:r>
          </w:p>
        </w:tc>
        <w:tc>
          <w:tcPr>
            <w:tcW w:w="1417" w:type="dxa"/>
            <w:noWrap/>
          </w:tcPr>
          <w:p w:rsidR="00C64898" w:rsidRPr="002E42CB" w:rsidRDefault="002E42CB" w:rsidP="00F17C9A">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tcPr>
          <w:p w:rsidR="00C64898" w:rsidRPr="002E42CB" w:rsidRDefault="002E42CB" w:rsidP="00C64898">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 xml:space="preserve">'''''''' </w:t>
            </w:r>
          </w:p>
        </w:tc>
        <w:tc>
          <w:tcPr>
            <w:tcW w:w="709" w:type="dxa"/>
            <w:noWrap/>
          </w:tcPr>
          <w:p w:rsidR="00C64898" w:rsidRPr="002E42CB" w:rsidRDefault="002E42CB" w:rsidP="00C64898">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 xml:space="preserve">''''''' </w:t>
            </w:r>
          </w:p>
        </w:tc>
        <w:tc>
          <w:tcPr>
            <w:tcW w:w="709" w:type="dxa"/>
            <w:noWrap/>
          </w:tcPr>
          <w:p w:rsidR="00C64898" w:rsidRPr="002E42CB" w:rsidRDefault="002E42CB" w:rsidP="00C64898">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 xml:space="preserve">'''''' </w:t>
            </w:r>
          </w:p>
        </w:tc>
        <w:tc>
          <w:tcPr>
            <w:tcW w:w="708" w:type="dxa"/>
            <w:noWrap/>
          </w:tcPr>
          <w:p w:rsidR="00C64898"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 xml:space="preserve"> '''''''' </w:t>
            </w:r>
          </w:p>
        </w:tc>
        <w:tc>
          <w:tcPr>
            <w:tcW w:w="709" w:type="dxa"/>
            <w:noWrap/>
          </w:tcPr>
          <w:p w:rsidR="00C64898"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 xml:space="preserve"> '''''' </w:t>
            </w:r>
          </w:p>
        </w:tc>
        <w:tc>
          <w:tcPr>
            <w:tcW w:w="1621" w:type="dxa"/>
            <w:noWrap/>
          </w:tcPr>
          <w:p w:rsidR="00C64898" w:rsidRPr="002E42CB" w:rsidRDefault="002E42CB">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r>
      <w:tr w:rsidR="00D94FC7" w:rsidRPr="00F17C9A" w:rsidTr="004A2310">
        <w:trPr>
          <w:trHeight w:val="255"/>
        </w:trPr>
        <w:tc>
          <w:tcPr>
            <w:tcW w:w="9242" w:type="dxa"/>
            <w:gridSpan w:val="8"/>
          </w:tcPr>
          <w:p w:rsidR="00D94FC7" w:rsidRPr="00F17C9A" w:rsidRDefault="004A2310" w:rsidP="004A2310">
            <w:pPr>
              <w:tabs>
                <w:tab w:val="right" w:pos="9026"/>
              </w:tabs>
              <w:rPr>
                <w:rFonts w:asciiTheme="minorHAnsi" w:hAnsiTheme="minorHAnsi" w:cs="Arial"/>
                <w:sz w:val="18"/>
                <w:szCs w:val="18"/>
              </w:rPr>
            </w:pPr>
            <w:r w:rsidRPr="00F17C9A">
              <w:rPr>
                <w:rFonts w:asciiTheme="minorHAnsi" w:hAnsiTheme="minorHAnsi" w:cs="Arial"/>
                <w:sz w:val="18"/>
                <w:szCs w:val="18"/>
              </w:rPr>
              <w:t>P</w:t>
            </w:r>
            <w:r w:rsidR="005F18DC" w:rsidRPr="00F17C9A">
              <w:rPr>
                <w:rFonts w:asciiTheme="minorHAnsi" w:hAnsiTheme="minorHAnsi" w:cs="Arial"/>
                <w:sz w:val="18"/>
                <w:szCs w:val="18"/>
              </w:rPr>
              <w:t>re-PBAC response</w:t>
            </w:r>
          </w:p>
        </w:tc>
      </w:tr>
      <w:tr w:rsidR="00F17C9A" w:rsidRPr="00F17C9A" w:rsidTr="00F17C9A">
        <w:trPr>
          <w:trHeight w:val="255"/>
        </w:trPr>
        <w:tc>
          <w:tcPr>
            <w:tcW w:w="2660" w:type="dxa"/>
          </w:tcPr>
          <w:p w:rsidR="005F18DC" w:rsidRPr="00F17C9A" w:rsidRDefault="00403651" w:rsidP="00403651">
            <w:pPr>
              <w:rPr>
                <w:rFonts w:asciiTheme="minorHAnsi" w:hAnsiTheme="minorHAnsi" w:cs="Arial"/>
                <w:sz w:val="18"/>
                <w:szCs w:val="18"/>
              </w:rPr>
            </w:pPr>
            <w:r w:rsidRPr="00F17C9A">
              <w:rPr>
                <w:rFonts w:asciiTheme="minorHAnsi" w:hAnsiTheme="minorHAnsi" w:cs="Arial"/>
                <w:sz w:val="18"/>
                <w:szCs w:val="18"/>
              </w:rPr>
              <w:t>T</w:t>
            </w:r>
            <w:r w:rsidR="005F18DC" w:rsidRPr="00F17C9A">
              <w:rPr>
                <w:rFonts w:asciiTheme="minorHAnsi" w:hAnsiTheme="minorHAnsi" w:cs="Arial"/>
                <w:sz w:val="18"/>
                <w:szCs w:val="18"/>
              </w:rPr>
              <w:t>otal patients</w:t>
            </w:r>
          </w:p>
        </w:tc>
        <w:tc>
          <w:tcPr>
            <w:tcW w:w="1417" w:type="dxa"/>
            <w:noWrap/>
            <w:vAlign w:val="center"/>
          </w:tcPr>
          <w:p w:rsidR="005F18DC" w:rsidRPr="002E42CB" w:rsidRDefault="002E42CB" w:rsidP="003C3737">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p w:rsidR="005F18DC" w:rsidRPr="00F17C9A" w:rsidRDefault="005F18DC" w:rsidP="00F17C9A">
            <w:pPr>
              <w:ind w:left="-108"/>
              <w:jc w:val="center"/>
              <w:rPr>
                <w:rFonts w:asciiTheme="minorHAnsi" w:hAnsiTheme="minorHAnsi" w:cs="Arial"/>
                <w:sz w:val="18"/>
                <w:szCs w:val="18"/>
              </w:rPr>
            </w:pPr>
            <w:r w:rsidRPr="00F17C9A">
              <w:rPr>
                <w:rFonts w:asciiTheme="minorHAnsi" w:hAnsiTheme="minorHAnsi" w:cs="Arial"/>
                <w:sz w:val="18"/>
                <w:szCs w:val="18"/>
              </w:rPr>
              <w:t xml:space="preserve">+ </w:t>
            </w:r>
            <w:r w:rsidR="002E42CB">
              <w:rPr>
                <w:rFonts w:asciiTheme="minorHAnsi" w:hAnsiTheme="minorHAnsi" w:cs="Arial"/>
                <w:noProof/>
                <w:color w:val="000000"/>
                <w:sz w:val="18"/>
                <w:szCs w:val="18"/>
                <w:highlight w:val="black"/>
              </w:rPr>
              <w:t>'''''</w:t>
            </w:r>
            <w:r w:rsidRPr="00F17C9A">
              <w:rPr>
                <w:rFonts w:asciiTheme="minorHAnsi" w:hAnsiTheme="minorHAnsi" w:cs="Arial"/>
                <w:sz w:val="18"/>
                <w:szCs w:val="18"/>
              </w:rPr>
              <w:t xml:space="preserve"> grandfather</w:t>
            </w:r>
          </w:p>
        </w:tc>
        <w:tc>
          <w:tcPr>
            <w:tcW w:w="709" w:type="dxa"/>
            <w:noWrap/>
            <w:vAlign w:val="center"/>
          </w:tcPr>
          <w:p w:rsidR="005F18DC"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vAlign w:val="center"/>
          </w:tcPr>
          <w:p w:rsidR="005F18DC"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vAlign w:val="center"/>
          </w:tcPr>
          <w:p w:rsidR="005F18DC"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8" w:type="dxa"/>
            <w:noWrap/>
            <w:vAlign w:val="center"/>
          </w:tcPr>
          <w:p w:rsidR="005F18DC"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vAlign w:val="center"/>
          </w:tcPr>
          <w:p w:rsidR="005F18DC"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1621" w:type="dxa"/>
            <w:noWrap/>
          </w:tcPr>
          <w:p w:rsidR="005F18DC"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p w:rsidR="005F18DC" w:rsidRPr="00F17C9A" w:rsidRDefault="005F18DC" w:rsidP="00F17C9A">
            <w:pPr>
              <w:ind w:left="-91"/>
              <w:jc w:val="right"/>
              <w:rPr>
                <w:rFonts w:asciiTheme="minorHAnsi" w:hAnsiTheme="minorHAnsi" w:cs="Arial"/>
                <w:sz w:val="18"/>
                <w:szCs w:val="18"/>
              </w:rPr>
            </w:pPr>
            <w:r w:rsidRPr="00F17C9A">
              <w:rPr>
                <w:rFonts w:asciiTheme="minorHAnsi" w:hAnsiTheme="minorHAnsi" w:cs="Arial"/>
                <w:sz w:val="18"/>
                <w:szCs w:val="18"/>
              </w:rPr>
              <w:t xml:space="preserve">+ </w:t>
            </w:r>
            <w:r w:rsidR="002E42CB">
              <w:rPr>
                <w:rFonts w:asciiTheme="minorHAnsi" w:hAnsiTheme="minorHAnsi" w:cs="Arial"/>
                <w:noProof/>
                <w:color w:val="000000"/>
                <w:sz w:val="18"/>
                <w:szCs w:val="18"/>
                <w:highlight w:val="black"/>
              </w:rPr>
              <w:t>''''''</w:t>
            </w:r>
            <w:r w:rsidRPr="00F17C9A">
              <w:rPr>
                <w:rFonts w:asciiTheme="minorHAnsi" w:hAnsiTheme="minorHAnsi" w:cs="Arial"/>
                <w:sz w:val="18"/>
                <w:szCs w:val="18"/>
              </w:rPr>
              <w:t xml:space="preserve"> grandfather</w:t>
            </w:r>
          </w:p>
        </w:tc>
      </w:tr>
      <w:tr w:rsidR="00F17C9A" w:rsidRPr="00F17C9A" w:rsidTr="00F17C9A">
        <w:trPr>
          <w:trHeight w:val="255"/>
        </w:trPr>
        <w:tc>
          <w:tcPr>
            <w:tcW w:w="2660" w:type="dxa"/>
          </w:tcPr>
          <w:p w:rsidR="00403651" w:rsidRPr="00F17C9A" w:rsidRDefault="00403651">
            <w:pPr>
              <w:rPr>
                <w:rFonts w:asciiTheme="minorHAnsi" w:hAnsiTheme="minorHAnsi" w:cs="Arial"/>
                <w:sz w:val="18"/>
                <w:szCs w:val="18"/>
              </w:rPr>
            </w:pPr>
            <w:r w:rsidRPr="00F17C9A">
              <w:rPr>
                <w:rFonts w:asciiTheme="minorHAnsi" w:hAnsiTheme="minorHAnsi" w:cs="Arial"/>
                <w:sz w:val="18"/>
                <w:szCs w:val="18"/>
              </w:rPr>
              <w:t>Initiating patients</w:t>
            </w:r>
          </w:p>
        </w:tc>
        <w:tc>
          <w:tcPr>
            <w:tcW w:w="1417" w:type="dxa"/>
            <w:noWrap/>
          </w:tcPr>
          <w:p w:rsidR="00403651" w:rsidRPr="002E42CB" w:rsidRDefault="002E42CB" w:rsidP="0052253E">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p w:rsidR="00403651" w:rsidRPr="00F17C9A" w:rsidRDefault="00403651" w:rsidP="00F17C9A">
            <w:pPr>
              <w:ind w:left="-108"/>
              <w:jc w:val="center"/>
              <w:rPr>
                <w:rFonts w:asciiTheme="minorHAnsi" w:hAnsiTheme="minorHAnsi" w:cs="Arial"/>
                <w:sz w:val="18"/>
                <w:szCs w:val="18"/>
              </w:rPr>
            </w:pPr>
            <w:r w:rsidRPr="00F17C9A">
              <w:rPr>
                <w:rFonts w:asciiTheme="minorHAnsi" w:hAnsiTheme="minorHAnsi" w:cs="Arial"/>
                <w:sz w:val="18"/>
                <w:szCs w:val="18"/>
              </w:rPr>
              <w:t>+</w:t>
            </w:r>
            <w:r w:rsidR="00F17C9A">
              <w:rPr>
                <w:rFonts w:asciiTheme="minorHAnsi" w:hAnsiTheme="minorHAnsi" w:cs="Arial"/>
                <w:sz w:val="18"/>
                <w:szCs w:val="18"/>
              </w:rPr>
              <w:t xml:space="preserve"> </w:t>
            </w:r>
            <w:r w:rsidR="002E42CB">
              <w:rPr>
                <w:rFonts w:asciiTheme="minorHAnsi" w:hAnsiTheme="minorHAnsi" w:cs="Arial"/>
                <w:noProof/>
                <w:color w:val="000000"/>
                <w:sz w:val="18"/>
                <w:szCs w:val="18"/>
                <w:highlight w:val="black"/>
              </w:rPr>
              <w:t>'''''</w:t>
            </w:r>
            <w:r w:rsidRPr="00F17C9A">
              <w:rPr>
                <w:rFonts w:asciiTheme="minorHAnsi" w:hAnsiTheme="minorHAnsi" w:cs="Arial"/>
                <w:sz w:val="18"/>
                <w:szCs w:val="18"/>
              </w:rPr>
              <w:t xml:space="preserve"> grandfather</w:t>
            </w:r>
          </w:p>
        </w:tc>
        <w:tc>
          <w:tcPr>
            <w:tcW w:w="709" w:type="dxa"/>
            <w:noWrap/>
          </w:tcPr>
          <w:p w:rsidR="00403651"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tcPr>
          <w:p w:rsidR="00403651"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tcPr>
          <w:p w:rsidR="00403651"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8" w:type="dxa"/>
            <w:noWrap/>
          </w:tcPr>
          <w:p w:rsidR="00403651"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709" w:type="dxa"/>
            <w:noWrap/>
          </w:tcPr>
          <w:p w:rsidR="00403651"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p>
        </w:tc>
        <w:tc>
          <w:tcPr>
            <w:tcW w:w="1621" w:type="dxa"/>
            <w:noWrap/>
          </w:tcPr>
          <w:p w:rsidR="00403651" w:rsidRPr="002E42CB" w:rsidRDefault="002E42CB" w:rsidP="00403651">
            <w:pPr>
              <w:jc w:val="right"/>
              <w:rPr>
                <w:rFonts w:asciiTheme="minorHAnsi" w:hAnsiTheme="minorHAnsi" w:cs="Arial"/>
                <w:sz w:val="18"/>
                <w:szCs w:val="18"/>
                <w:highlight w:val="black"/>
              </w:rPr>
            </w:pPr>
            <w:r>
              <w:rPr>
                <w:rFonts w:asciiTheme="minorHAnsi" w:hAnsiTheme="minorHAnsi" w:cs="Arial"/>
                <w:noProof/>
                <w:color w:val="000000"/>
                <w:sz w:val="18"/>
                <w:szCs w:val="18"/>
                <w:highlight w:val="black"/>
              </w:rPr>
              <w:t>''''''''''</w:t>
            </w:r>
            <w:r w:rsidR="00403651" w:rsidRPr="002E42CB">
              <w:rPr>
                <w:rFonts w:asciiTheme="minorHAnsi" w:hAnsiTheme="minorHAnsi" w:cs="Arial"/>
                <w:sz w:val="18"/>
                <w:szCs w:val="18"/>
                <w:highlight w:val="black"/>
              </w:rPr>
              <w:t xml:space="preserve"> </w:t>
            </w:r>
          </w:p>
          <w:p w:rsidR="00403651" w:rsidRPr="00F17C9A" w:rsidRDefault="00403651" w:rsidP="00F17C9A">
            <w:pPr>
              <w:ind w:left="-91"/>
              <w:jc w:val="right"/>
              <w:rPr>
                <w:rFonts w:asciiTheme="minorHAnsi" w:hAnsiTheme="minorHAnsi" w:cs="Arial"/>
                <w:sz w:val="18"/>
                <w:szCs w:val="18"/>
              </w:rPr>
            </w:pPr>
            <w:r w:rsidRPr="00F17C9A">
              <w:rPr>
                <w:rFonts w:asciiTheme="minorHAnsi" w:hAnsiTheme="minorHAnsi" w:cs="Arial"/>
                <w:sz w:val="18"/>
                <w:szCs w:val="18"/>
              </w:rPr>
              <w:t xml:space="preserve">+ </w:t>
            </w:r>
            <w:r w:rsidR="002E42CB">
              <w:rPr>
                <w:rFonts w:asciiTheme="minorHAnsi" w:hAnsiTheme="minorHAnsi" w:cs="Arial"/>
                <w:noProof/>
                <w:color w:val="000000"/>
                <w:sz w:val="18"/>
                <w:szCs w:val="18"/>
                <w:highlight w:val="black"/>
              </w:rPr>
              <w:t>'''''</w:t>
            </w:r>
            <w:r w:rsidRPr="00F17C9A">
              <w:rPr>
                <w:rFonts w:asciiTheme="minorHAnsi" w:hAnsiTheme="minorHAnsi" w:cs="Arial"/>
                <w:sz w:val="18"/>
                <w:szCs w:val="18"/>
              </w:rPr>
              <w:t xml:space="preserve"> grandfather</w:t>
            </w:r>
          </w:p>
        </w:tc>
      </w:tr>
    </w:tbl>
    <w:p w:rsidR="000622EE" w:rsidRPr="00FF6B7B" w:rsidRDefault="000622EE" w:rsidP="002B3C2C">
      <w:pPr>
        <w:keepNext/>
        <w:keepLines/>
        <w:jc w:val="both"/>
        <w:rPr>
          <w:rFonts w:asciiTheme="minorHAnsi" w:hAnsiTheme="minorHAnsi"/>
          <w:sz w:val="16"/>
          <w:szCs w:val="16"/>
        </w:rPr>
      </w:pPr>
      <w:r w:rsidRPr="00FF6B7B">
        <w:rPr>
          <w:rFonts w:asciiTheme="minorHAnsi" w:hAnsiTheme="minorHAnsi"/>
          <w:sz w:val="16"/>
          <w:szCs w:val="16"/>
        </w:rPr>
        <w:t>Source: adapted from sponsor spreadsheet: Financial implications August minor 2017sequencing FINAL</w:t>
      </w:r>
      <w:r w:rsidR="00D94FC7" w:rsidRPr="00FF6B7B">
        <w:rPr>
          <w:rFonts w:asciiTheme="minorHAnsi" w:hAnsiTheme="minorHAnsi"/>
          <w:sz w:val="16"/>
          <w:szCs w:val="16"/>
        </w:rPr>
        <w:t>, and pre</w:t>
      </w:r>
      <w:r w:rsidR="00896D64" w:rsidRPr="00FF6B7B">
        <w:rPr>
          <w:rFonts w:asciiTheme="minorHAnsi" w:hAnsiTheme="minorHAnsi"/>
          <w:sz w:val="16"/>
          <w:szCs w:val="16"/>
        </w:rPr>
        <w:t>-</w:t>
      </w:r>
      <w:r w:rsidR="00D94FC7" w:rsidRPr="00FF6B7B">
        <w:rPr>
          <w:rFonts w:asciiTheme="minorHAnsi" w:hAnsiTheme="minorHAnsi"/>
          <w:sz w:val="16"/>
          <w:szCs w:val="16"/>
        </w:rPr>
        <w:t>PBAC response</w:t>
      </w:r>
    </w:p>
    <w:p w:rsidR="00B26E92" w:rsidRPr="00F17C9A" w:rsidRDefault="00B26E92" w:rsidP="008211F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The PBAC noted that the pre</w:t>
      </w:r>
      <w:r w:rsidR="003A5F42" w:rsidRPr="00FF6B7B">
        <w:rPr>
          <w:rFonts w:asciiTheme="minorHAnsi" w:eastAsiaTheme="minorHAnsi" w:hAnsiTheme="minorHAnsi" w:cstheme="minorBidi"/>
          <w:snapToGrid/>
          <w:sz w:val="24"/>
          <w:szCs w:val="22"/>
        </w:rPr>
        <w:t>-</w:t>
      </w:r>
      <w:r w:rsidRPr="00FF6B7B">
        <w:rPr>
          <w:rFonts w:asciiTheme="minorHAnsi" w:eastAsiaTheme="minorHAnsi" w:hAnsiTheme="minorHAnsi" w:cstheme="minorBidi"/>
          <w:snapToGrid/>
          <w:sz w:val="24"/>
          <w:szCs w:val="22"/>
        </w:rPr>
        <w:t>PBAC response estimated the cost of listing venetoclax at the revised patient numbers (</w:t>
      </w:r>
      <w:r w:rsidR="002E42CB">
        <w:rPr>
          <w:rFonts w:asciiTheme="minorHAnsi" w:eastAsiaTheme="minorHAnsi" w:hAnsiTheme="minorHAnsi" w:cstheme="minorBidi"/>
          <w:noProof/>
          <w:snapToGrid/>
          <w:color w:val="000000"/>
          <w:sz w:val="24"/>
          <w:szCs w:val="22"/>
          <w:highlight w:val="black"/>
        </w:rPr>
        <w:t>'''''''</w:t>
      </w:r>
      <w:r w:rsidRPr="00FF6B7B">
        <w:rPr>
          <w:rFonts w:asciiTheme="minorHAnsi" w:eastAsiaTheme="minorHAnsi" w:hAnsiTheme="minorHAnsi" w:cstheme="minorBidi"/>
          <w:snapToGrid/>
          <w:sz w:val="24"/>
          <w:szCs w:val="22"/>
        </w:rPr>
        <w:t xml:space="preserve"> initiating each year) </w:t>
      </w:r>
      <w:r w:rsidR="008211FF">
        <w:rPr>
          <w:rFonts w:asciiTheme="minorHAnsi" w:eastAsiaTheme="minorHAnsi" w:hAnsiTheme="minorHAnsi" w:cstheme="minorBidi"/>
          <w:snapToGrid/>
          <w:sz w:val="24"/>
          <w:szCs w:val="22"/>
        </w:rPr>
        <w:t xml:space="preserve">and a DPMQ of </w:t>
      </w:r>
      <w:r w:rsidR="008211FF" w:rsidRPr="006C37A3">
        <w:rPr>
          <w:rFonts w:asciiTheme="minorHAnsi" w:eastAsiaTheme="minorHAnsi" w:hAnsiTheme="minorHAnsi" w:cstheme="minorBidi"/>
          <w:snapToGrid/>
          <w:sz w:val="24"/>
          <w:szCs w:val="22"/>
        </w:rPr>
        <w:t>$</w:t>
      </w:r>
      <w:r w:rsidR="002E42CB">
        <w:rPr>
          <w:rFonts w:asciiTheme="minorHAnsi" w:eastAsiaTheme="minorHAnsi" w:hAnsiTheme="minorHAnsi" w:cstheme="minorBidi"/>
          <w:noProof/>
          <w:snapToGrid/>
          <w:color w:val="000000"/>
          <w:sz w:val="24"/>
          <w:szCs w:val="22"/>
          <w:highlight w:val="black"/>
        </w:rPr>
        <w:t>''''''''''''''''</w:t>
      </w:r>
      <w:r w:rsidR="008211FF">
        <w:rPr>
          <w:rFonts w:asciiTheme="minorHAnsi" w:eastAsiaTheme="minorHAnsi" w:hAnsiTheme="minorHAnsi" w:cstheme="minorBidi"/>
          <w:snapToGrid/>
          <w:sz w:val="24"/>
          <w:szCs w:val="22"/>
        </w:rPr>
        <w:t xml:space="preserve"> for the maintenance pack (as opposed to the sponsors proposed cost-minimisation effective DPMQ of </w:t>
      </w:r>
      <w:r w:rsidR="008211FF" w:rsidRPr="006C37A3">
        <w:rPr>
          <w:rFonts w:asciiTheme="minorHAnsi" w:eastAsiaTheme="minorHAnsi" w:hAnsiTheme="minorHAnsi" w:cstheme="minorBidi"/>
          <w:snapToGrid/>
          <w:sz w:val="24"/>
          <w:szCs w:val="22"/>
        </w:rPr>
        <w:t>$</w:t>
      </w:r>
      <w:r w:rsidR="002E42CB">
        <w:rPr>
          <w:rFonts w:asciiTheme="minorHAnsi" w:eastAsiaTheme="minorHAnsi" w:hAnsiTheme="minorHAnsi" w:cstheme="minorBidi"/>
          <w:noProof/>
          <w:snapToGrid/>
          <w:color w:val="000000"/>
          <w:sz w:val="24"/>
          <w:szCs w:val="22"/>
          <w:highlight w:val="black"/>
        </w:rPr>
        <w:t>''''''''''''''''''</w:t>
      </w:r>
      <w:r w:rsidR="008211FF">
        <w:rPr>
          <w:rFonts w:asciiTheme="minorHAnsi" w:eastAsiaTheme="minorHAnsi" w:hAnsiTheme="minorHAnsi" w:cstheme="minorBidi"/>
          <w:snapToGrid/>
          <w:sz w:val="24"/>
          <w:szCs w:val="22"/>
        </w:rPr>
        <w:t xml:space="preserve">) </w:t>
      </w:r>
      <w:r w:rsidRPr="00FF6B7B">
        <w:rPr>
          <w:rFonts w:asciiTheme="minorHAnsi" w:eastAsiaTheme="minorHAnsi" w:hAnsiTheme="minorHAnsi" w:cstheme="minorBidi"/>
          <w:snapToGrid/>
          <w:sz w:val="24"/>
          <w:szCs w:val="22"/>
        </w:rPr>
        <w:t xml:space="preserve">would be </w:t>
      </w:r>
      <w:r w:rsidR="00915A4F">
        <w:rPr>
          <w:rFonts w:asciiTheme="minorHAnsi" w:eastAsiaTheme="minorHAnsi" w:hAnsiTheme="minorHAnsi" w:cstheme="minorBidi"/>
          <w:snapToGrid/>
          <w:sz w:val="24"/>
          <w:szCs w:val="22"/>
        </w:rPr>
        <w:t xml:space="preserve">more than $100 million </w:t>
      </w:r>
      <w:r w:rsidRPr="00FF6B7B">
        <w:rPr>
          <w:rFonts w:asciiTheme="minorHAnsi" w:eastAsiaTheme="minorHAnsi" w:hAnsiTheme="minorHAnsi" w:cstheme="minorBidi"/>
          <w:snapToGrid/>
          <w:sz w:val="24"/>
          <w:szCs w:val="22"/>
        </w:rPr>
        <w:t xml:space="preserve">over 6 years before offsets for reduced use of other drugs, and </w:t>
      </w:r>
      <w:r w:rsidR="00915A4F">
        <w:rPr>
          <w:rFonts w:asciiTheme="minorHAnsi" w:eastAsiaTheme="minorHAnsi" w:hAnsiTheme="minorHAnsi" w:cstheme="minorBidi"/>
          <w:snapToGrid/>
          <w:sz w:val="24"/>
          <w:szCs w:val="22"/>
        </w:rPr>
        <w:t xml:space="preserve">more than $100 million </w:t>
      </w:r>
      <w:r w:rsidRPr="00FF6B7B">
        <w:rPr>
          <w:rFonts w:asciiTheme="minorHAnsi" w:eastAsiaTheme="minorHAnsi" w:hAnsiTheme="minorHAnsi" w:cstheme="minorBidi"/>
          <w:snapToGrid/>
          <w:sz w:val="24"/>
          <w:szCs w:val="22"/>
        </w:rPr>
        <w:t xml:space="preserve">net over 6 years. </w:t>
      </w:r>
      <w:r w:rsidR="003A5F42" w:rsidRPr="00FF6B7B">
        <w:rPr>
          <w:rFonts w:asciiTheme="minorHAnsi" w:eastAsiaTheme="minorHAnsi" w:hAnsiTheme="minorHAnsi" w:cstheme="minorBidi"/>
          <w:snapToGrid/>
          <w:sz w:val="24"/>
          <w:szCs w:val="22"/>
        </w:rPr>
        <w:t xml:space="preserve">The PBAC </w:t>
      </w:r>
      <w:r w:rsidR="00F17C9A">
        <w:rPr>
          <w:rFonts w:asciiTheme="minorHAnsi" w:eastAsiaTheme="minorHAnsi" w:hAnsiTheme="minorHAnsi" w:cstheme="minorBidi"/>
          <w:snapToGrid/>
          <w:sz w:val="24"/>
          <w:szCs w:val="22"/>
        </w:rPr>
        <w:t>considered</w:t>
      </w:r>
      <w:r w:rsidR="003A5F42" w:rsidRPr="00FF6B7B">
        <w:rPr>
          <w:rFonts w:asciiTheme="minorHAnsi" w:eastAsiaTheme="minorHAnsi" w:hAnsiTheme="minorHAnsi" w:cstheme="minorBidi"/>
          <w:snapToGrid/>
          <w:sz w:val="24"/>
          <w:szCs w:val="22"/>
        </w:rPr>
        <w:t xml:space="preserve"> that</w:t>
      </w:r>
      <w:r w:rsidR="00F17C9A">
        <w:rPr>
          <w:rFonts w:asciiTheme="minorHAnsi" w:eastAsiaTheme="minorHAnsi" w:hAnsiTheme="minorHAnsi" w:cstheme="minorBidi"/>
          <w:snapToGrid/>
          <w:sz w:val="24"/>
          <w:szCs w:val="22"/>
        </w:rPr>
        <w:t>,</w:t>
      </w:r>
      <w:r w:rsidR="003A5F42" w:rsidRPr="00FF6B7B">
        <w:rPr>
          <w:rFonts w:asciiTheme="minorHAnsi" w:eastAsiaTheme="minorHAnsi" w:hAnsiTheme="minorHAnsi" w:cstheme="minorBidi"/>
          <w:snapToGrid/>
          <w:sz w:val="24"/>
          <w:szCs w:val="22"/>
        </w:rPr>
        <w:t xml:space="preserve"> although these estimates had not been subject to detailed evaluation, they applied </w:t>
      </w:r>
      <w:r w:rsidR="008211FF" w:rsidRPr="008211FF">
        <w:rPr>
          <w:rFonts w:asciiTheme="minorHAnsi" w:eastAsiaTheme="minorHAnsi" w:hAnsiTheme="minorHAnsi" w:cstheme="minorBidi"/>
          <w:snapToGrid/>
          <w:sz w:val="24"/>
          <w:szCs w:val="22"/>
        </w:rPr>
        <w:t>a higher price than is justified on the basis of the cost-minimisation against idelalisib and rituximab. This led to the cost of listing being overestimated.</w:t>
      </w:r>
      <w:r w:rsidR="008211FF">
        <w:rPr>
          <w:rFonts w:asciiTheme="minorHAnsi" w:eastAsiaTheme="minorHAnsi" w:hAnsiTheme="minorHAnsi" w:cstheme="minorBidi"/>
          <w:snapToGrid/>
          <w:sz w:val="24"/>
          <w:szCs w:val="22"/>
        </w:rPr>
        <w:t xml:space="preserve"> </w:t>
      </w:r>
    </w:p>
    <w:p w:rsidR="00012FF7" w:rsidRPr="008D6E67" w:rsidRDefault="003C3737" w:rsidP="00EC7BF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 xml:space="preserve">The PBAC </w:t>
      </w:r>
      <w:r w:rsidR="006155EB" w:rsidRPr="00FF6B7B">
        <w:rPr>
          <w:rFonts w:asciiTheme="minorHAnsi" w:eastAsiaTheme="minorHAnsi" w:hAnsiTheme="minorHAnsi" w:cstheme="minorBidi"/>
          <w:snapToGrid/>
          <w:sz w:val="24"/>
          <w:szCs w:val="22"/>
        </w:rPr>
        <w:t xml:space="preserve">considered the patient numbers for the </w:t>
      </w:r>
      <w:r w:rsidR="009850FE">
        <w:rPr>
          <w:rFonts w:asciiTheme="minorHAnsi" w:eastAsiaTheme="minorHAnsi" w:hAnsiTheme="minorHAnsi" w:cstheme="minorBidi"/>
          <w:snapToGrid/>
          <w:sz w:val="24"/>
          <w:szCs w:val="22"/>
        </w:rPr>
        <w:t>third</w:t>
      </w:r>
      <w:r w:rsidR="008D6E67">
        <w:rPr>
          <w:rFonts w:asciiTheme="minorHAnsi" w:eastAsiaTheme="minorHAnsi" w:hAnsiTheme="minorHAnsi" w:cstheme="minorBidi"/>
          <w:snapToGrid/>
          <w:sz w:val="24"/>
          <w:szCs w:val="22"/>
        </w:rPr>
        <w:t>-</w:t>
      </w:r>
      <w:r w:rsidR="006155EB" w:rsidRPr="00FF6B7B">
        <w:rPr>
          <w:rFonts w:asciiTheme="minorHAnsi" w:eastAsiaTheme="minorHAnsi" w:hAnsiTheme="minorHAnsi" w:cstheme="minorBidi"/>
          <w:snapToGrid/>
          <w:sz w:val="24"/>
          <w:szCs w:val="22"/>
        </w:rPr>
        <w:t xml:space="preserve">line population put forward with the </w:t>
      </w:r>
      <w:r w:rsidR="004A2310">
        <w:rPr>
          <w:rFonts w:asciiTheme="minorHAnsi" w:eastAsiaTheme="minorHAnsi" w:hAnsiTheme="minorHAnsi" w:cstheme="minorBidi"/>
          <w:snapToGrid/>
          <w:sz w:val="24"/>
          <w:szCs w:val="22"/>
        </w:rPr>
        <w:t xml:space="preserve">minor </w:t>
      </w:r>
      <w:r w:rsidR="006155EB" w:rsidRPr="00FF6B7B">
        <w:rPr>
          <w:rFonts w:asciiTheme="minorHAnsi" w:eastAsiaTheme="minorHAnsi" w:hAnsiTheme="minorHAnsi" w:cstheme="minorBidi"/>
          <w:snapToGrid/>
          <w:sz w:val="24"/>
          <w:szCs w:val="22"/>
        </w:rPr>
        <w:t>resubmission</w:t>
      </w:r>
      <w:r w:rsidR="003A5F42" w:rsidRPr="00FF6B7B">
        <w:rPr>
          <w:rFonts w:asciiTheme="minorHAnsi" w:eastAsiaTheme="minorHAnsi" w:hAnsiTheme="minorHAnsi" w:cstheme="minorBidi"/>
          <w:snapToGrid/>
          <w:sz w:val="24"/>
          <w:szCs w:val="22"/>
        </w:rPr>
        <w:t xml:space="preserve"> had been appropriately derived and</w:t>
      </w:r>
      <w:r w:rsidR="006155EB" w:rsidRPr="00FF6B7B">
        <w:rPr>
          <w:rFonts w:asciiTheme="minorHAnsi" w:eastAsiaTheme="minorHAnsi" w:hAnsiTheme="minorHAnsi" w:cstheme="minorBidi"/>
          <w:snapToGrid/>
          <w:sz w:val="24"/>
          <w:szCs w:val="22"/>
        </w:rPr>
        <w:t xml:space="preserve"> were consistent with the intent of its original recommendation for venetoclax. The PBAC considered that the </w:t>
      </w:r>
      <w:r w:rsidR="008D6E67">
        <w:rPr>
          <w:rFonts w:asciiTheme="minorHAnsi" w:eastAsiaTheme="minorHAnsi" w:hAnsiTheme="minorHAnsi" w:cstheme="minorBidi"/>
          <w:snapToGrid/>
          <w:sz w:val="24"/>
          <w:szCs w:val="22"/>
        </w:rPr>
        <w:t xml:space="preserve">subsequent </w:t>
      </w:r>
      <w:r w:rsidR="006155EB" w:rsidRPr="00FF6B7B">
        <w:rPr>
          <w:rFonts w:asciiTheme="minorHAnsi" w:eastAsiaTheme="minorHAnsi" w:hAnsiTheme="minorHAnsi" w:cstheme="minorBidi"/>
          <w:snapToGrid/>
          <w:sz w:val="24"/>
          <w:szCs w:val="22"/>
        </w:rPr>
        <w:t>revision</w:t>
      </w:r>
      <w:r w:rsidR="00012FF7" w:rsidRPr="00FF6B7B">
        <w:rPr>
          <w:rFonts w:asciiTheme="minorHAnsi" w:eastAsiaTheme="minorHAnsi" w:hAnsiTheme="minorHAnsi" w:cstheme="minorBidi"/>
          <w:snapToGrid/>
          <w:sz w:val="24"/>
          <w:szCs w:val="22"/>
        </w:rPr>
        <w:t>s</w:t>
      </w:r>
      <w:r w:rsidR="006155EB" w:rsidRPr="00FF6B7B">
        <w:rPr>
          <w:rFonts w:asciiTheme="minorHAnsi" w:eastAsiaTheme="minorHAnsi" w:hAnsiTheme="minorHAnsi" w:cstheme="minorBidi"/>
          <w:snapToGrid/>
          <w:sz w:val="24"/>
          <w:szCs w:val="22"/>
        </w:rPr>
        <w:t xml:space="preserve"> made to these </w:t>
      </w:r>
      <w:r w:rsidR="00012FF7" w:rsidRPr="00FF6B7B">
        <w:rPr>
          <w:rFonts w:asciiTheme="minorHAnsi" w:eastAsiaTheme="minorHAnsi" w:hAnsiTheme="minorHAnsi" w:cstheme="minorBidi"/>
          <w:snapToGrid/>
          <w:sz w:val="24"/>
          <w:szCs w:val="22"/>
        </w:rPr>
        <w:t xml:space="preserve">patient </w:t>
      </w:r>
      <w:r w:rsidR="006155EB" w:rsidRPr="00FF6B7B">
        <w:rPr>
          <w:rFonts w:asciiTheme="minorHAnsi" w:eastAsiaTheme="minorHAnsi" w:hAnsiTheme="minorHAnsi" w:cstheme="minorBidi"/>
          <w:snapToGrid/>
          <w:sz w:val="24"/>
          <w:szCs w:val="22"/>
        </w:rPr>
        <w:t xml:space="preserve">numbers in the pre-PBAC response </w:t>
      </w:r>
      <w:r w:rsidR="00012FF7" w:rsidRPr="00FF6B7B">
        <w:rPr>
          <w:rFonts w:asciiTheme="minorHAnsi" w:eastAsiaTheme="minorHAnsi" w:hAnsiTheme="minorHAnsi" w:cstheme="minorBidi"/>
          <w:snapToGrid/>
          <w:sz w:val="24"/>
          <w:szCs w:val="22"/>
        </w:rPr>
        <w:t>were implausible</w:t>
      </w:r>
      <w:r w:rsidR="007D208F" w:rsidRPr="00FF6B7B">
        <w:rPr>
          <w:rFonts w:asciiTheme="minorHAnsi" w:eastAsiaTheme="minorHAnsi" w:hAnsiTheme="minorHAnsi" w:cstheme="minorBidi"/>
          <w:snapToGrid/>
          <w:sz w:val="24"/>
          <w:szCs w:val="22"/>
        </w:rPr>
        <w:t xml:space="preserve"> and not supported</w:t>
      </w:r>
      <w:r w:rsidR="00B26E92" w:rsidRPr="00FF6B7B">
        <w:rPr>
          <w:rFonts w:asciiTheme="minorHAnsi" w:eastAsiaTheme="minorHAnsi" w:hAnsiTheme="minorHAnsi" w:cstheme="minorBidi"/>
          <w:snapToGrid/>
          <w:sz w:val="24"/>
          <w:szCs w:val="22"/>
        </w:rPr>
        <w:t>.</w:t>
      </w:r>
    </w:p>
    <w:p w:rsidR="003C3737" w:rsidRPr="00B37167" w:rsidRDefault="003C3737" w:rsidP="00EC7BF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The PBAC no</w:t>
      </w:r>
      <w:r w:rsidR="00B26E92" w:rsidRPr="00FF6B7B">
        <w:rPr>
          <w:rFonts w:asciiTheme="minorHAnsi" w:eastAsiaTheme="minorHAnsi" w:hAnsiTheme="minorHAnsi" w:cstheme="minorBidi"/>
          <w:snapToGrid/>
          <w:sz w:val="24"/>
          <w:szCs w:val="22"/>
        </w:rPr>
        <w:t>ted</w:t>
      </w:r>
      <w:r w:rsidRPr="00FF6B7B">
        <w:rPr>
          <w:rFonts w:asciiTheme="minorHAnsi" w:eastAsiaTheme="minorHAnsi" w:hAnsiTheme="minorHAnsi" w:cstheme="minorBidi"/>
          <w:snapToGrid/>
          <w:sz w:val="24"/>
          <w:szCs w:val="22"/>
        </w:rPr>
        <w:t xml:space="preserve"> the approximate financial impact of listing venetoclax </w:t>
      </w:r>
      <w:r w:rsidR="00012FF7" w:rsidRPr="00FF6B7B">
        <w:rPr>
          <w:rFonts w:asciiTheme="minorHAnsi" w:eastAsiaTheme="minorHAnsi" w:hAnsiTheme="minorHAnsi" w:cstheme="minorBidi"/>
          <w:snapToGrid/>
          <w:sz w:val="24"/>
          <w:szCs w:val="22"/>
        </w:rPr>
        <w:t xml:space="preserve">for monotherapy </w:t>
      </w:r>
      <w:r w:rsidR="009850FE" w:rsidRPr="00FF6B7B">
        <w:rPr>
          <w:rFonts w:asciiTheme="minorHAnsi" w:eastAsiaTheme="minorHAnsi" w:hAnsiTheme="minorHAnsi" w:cstheme="minorBidi"/>
          <w:snapToGrid/>
          <w:sz w:val="24"/>
          <w:szCs w:val="22"/>
        </w:rPr>
        <w:t>based on</w:t>
      </w:r>
      <w:r w:rsidR="00012FF7" w:rsidRPr="00FF6B7B">
        <w:rPr>
          <w:rFonts w:asciiTheme="minorHAnsi" w:eastAsiaTheme="minorHAnsi" w:hAnsiTheme="minorHAnsi" w:cstheme="minorBidi"/>
          <w:snapToGrid/>
          <w:sz w:val="24"/>
          <w:szCs w:val="22"/>
        </w:rPr>
        <w:t xml:space="preserve"> the price presented</w:t>
      </w:r>
      <w:r w:rsidRPr="00FF6B7B">
        <w:rPr>
          <w:rFonts w:asciiTheme="minorHAnsi" w:eastAsiaTheme="minorHAnsi" w:hAnsiTheme="minorHAnsi" w:cstheme="minorBidi"/>
          <w:snapToGrid/>
          <w:sz w:val="24"/>
          <w:szCs w:val="22"/>
        </w:rPr>
        <w:t xml:space="preserve"> in Table 1 and the patient estimates accepted by the PBAC</w:t>
      </w:r>
      <w:r w:rsidR="00421253" w:rsidRPr="00FF6B7B">
        <w:rPr>
          <w:rFonts w:asciiTheme="minorHAnsi" w:eastAsiaTheme="minorHAnsi" w:hAnsiTheme="minorHAnsi" w:cstheme="minorBidi"/>
          <w:snapToGrid/>
          <w:sz w:val="24"/>
          <w:szCs w:val="22"/>
        </w:rPr>
        <w:t>,</w:t>
      </w:r>
      <w:r w:rsidRPr="00FF6B7B">
        <w:rPr>
          <w:rFonts w:asciiTheme="minorHAnsi" w:eastAsiaTheme="minorHAnsi" w:hAnsiTheme="minorHAnsi" w:cstheme="minorBidi"/>
          <w:snapToGrid/>
          <w:sz w:val="24"/>
          <w:szCs w:val="22"/>
        </w:rPr>
        <w:t xml:space="preserve"> </w:t>
      </w:r>
      <w:r w:rsidR="00012FF7" w:rsidRPr="00FF6B7B">
        <w:rPr>
          <w:rFonts w:asciiTheme="minorHAnsi" w:eastAsiaTheme="minorHAnsi" w:hAnsiTheme="minorHAnsi" w:cstheme="minorBidi"/>
          <w:snapToGrid/>
          <w:sz w:val="24"/>
          <w:szCs w:val="22"/>
        </w:rPr>
        <w:t xml:space="preserve">is </w:t>
      </w:r>
      <w:r w:rsidRPr="00FF6B7B">
        <w:rPr>
          <w:rFonts w:asciiTheme="minorHAnsi" w:eastAsiaTheme="minorHAnsi" w:hAnsiTheme="minorHAnsi" w:cstheme="minorBidi"/>
          <w:snapToGrid/>
          <w:sz w:val="24"/>
          <w:szCs w:val="22"/>
        </w:rPr>
        <w:t>as shown in Table 3.</w:t>
      </w:r>
      <w:r w:rsidR="009A5192" w:rsidRPr="00FF6B7B">
        <w:rPr>
          <w:rFonts w:asciiTheme="minorHAnsi" w:eastAsiaTheme="minorHAnsi" w:hAnsiTheme="minorHAnsi" w:cstheme="minorBidi"/>
          <w:snapToGrid/>
          <w:sz w:val="24"/>
          <w:szCs w:val="22"/>
        </w:rPr>
        <w:t xml:space="preserve"> The PBAC noted that these estimates assume all patients start treatment on day 1 of each year and that the cost of listing venetoclax w</w:t>
      </w:r>
      <w:r w:rsidR="00B37167">
        <w:rPr>
          <w:rFonts w:asciiTheme="minorHAnsi" w:eastAsiaTheme="minorHAnsi" w:hAnsiTheme="minorHAnsi" w:cstheme="minorBidi"/>
          <w:snapToGrid/>
          <w:sz w:val="24"/>
          <w:szCs w:val="22"/>
        </w:rPr>
        <w:t>ould</w:t>
      </w:r>
      <w:r w:rsidR="009A5192" w:rsidRPr="00FF6B7B">
        <w:rPr>
          <w:rFonts w:asciiTheme="minorHAnsi" w:eastAsiaTheme="minorHAnsi" w:hAnsiTheme="minorHAnsi" w:cstheme="minorBidi"/>
          <w:snapToGrid/>
          <w:sz w:val="24"/>
          <w:szCs w:val="22"/>
        </w:rPr>
        <w:t xml:space="preserve"> be reduced when this assumption is </w:t>
      </w:r>
      <w:r w:rsidR="00421253" w:rsidRPr="00FF6B7B">
        <w:rPr>
          <w:rFonts w:asciiTheme="minorHAnsi" w:eastAsiaTheme="minorHAnsi" w:hAnsiTheme="minorHAnsi" w:cstheme="minorBidi"/>
          <w:snapToGrid/>
          <w:sz w:val="24"/>
          <w:szCs w:val="22"/>
        </w:rPr>
        <w:t>adjusted</w:t>
      </w:r>
      <w:r w:rsidR="009A5192" w:rsidRPr="00FF6B7B">
        <w:rPr>
          <w:rFonts w:asciiTheme="minorHAnsi" w:eastAsiaTheme="minorHAnsi" w:hAnsiTheme="minorHAnsi" w:cstheme="minorBidi"/>
          <w:snapToGrid/>
          <w:sz w:val="24"/>
          <w:szCs w:val="22"/>
        </w:rPr>
        <w:t xml:space="preserve"> to spread initiations throughout each year.</w:t>
      </w:r>
    </w:p>
    <w:p w:rsidR="00776326" w:rsidRPr="00F17C9A" w:rsidRDefault="00776326" w:rsidP="00EC7BF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The PBAC reiterated its advice from July 2017 that a Risk Shar</w:t>
      </w:r>
      <w:r w:rsidR="008D6E67">
        <w:rPr>
          <w:rFonts w:asciiTheme="minorHAnsi" w:eastAsiaTheme="minorHAnsi" w:hAnsiTheme="minorHAnsi" w:cstheme="minorBidi"/>
          <w:snapToGrid/>
          <w:sz w:val="24"/>
          <w:szCs w:val="22"/>
        </w:rPr>
        <w:t>ing</w:t>
      </w:r>
      <w:r w:rsidRPr="00FF6B7B">
        <w:rPr>
          <w:rFonts w:asciiTheme="minorHAnsi" w:eastAsiaTheme="minorHAnsi" w:hAnsiTheme="minorHAnsi" w:cstheme="minorBidi"/>
          <w:snapToGrid/>
          <w:sz w:val="24"/>
          <w:szCs w:val="22"/>
        </w:rPr>
        <w:t xml:space="preserve"> Arrangement was required to be negotiated with the Department.</w:t>
      </w:r>
    </w:p>
    <w:p w:rsidR="006155EB" w:rsidRPr="00F17C9A" w:rsidRDefault="006155EB" w:rsidP="006155EB">
      <w:pPr>
        <w:rPr>
          <w:rFonts w:asciiTheme="minorHAnsi" w:eastAsiaTheme="minorHAnsi" w:hAnsiTheme="minorHAnsi" w:cstheme="minorBidi"/>
          <w:b/>
          <w:sz w:val="22"/>
          <w:szCs w:val="22"/>
        </w:rPr>
      </w:pPr>
      <w:r w:rsidRPr="00F17C9A">
        <w:rPr>
          <w:rFonts w:asciiTheme="minorHAnsi" w:eastAsiaTheme="minorHAnsi" w:hAnsiTheme="minorHAnsi" w:cstheme="minorBidi"/>
          <w:b/>
          <w:sz w:val="22"/>
          <w:szCs w:val="22"/>
        </w:rPr>
        <w:t>Table 3:</w:t>
      </w:r>
      <w:r w:rsidR="00012FF7" w:rsidRPr="00F17C9A">
        <w:rPr>
          <w:rFonts w:asciiTheme="minorHAnsi" w:eastAsiaTheme="minorHAnsi" w:hAnsiTheme="minorHAnsi" w:cstheme="minorBidi"/>
          <w:b/>
          <w:sz w:val="22"/>
          <w:szCs w:val="22"/>
        </w:rPr>
        <w:t xml:space="preserve"> Estimated c</w:t>
      </w:r>
      <w:r w:rsidRPr="00F17C9A">
        <w:rPr>
          <w:rFonts w:asciiTheme="minorHAnsi" w:eastAsiaTheme="minorHAnsi" w:hAnsiTheme="minorHAnsi" w:cstheme="minorBidi"/>
          <w:b/>
          <w:sz w:val="22"/>
          <w:szCs w:val="22"/>
        </w:rPr>
        <w:t xml:space="preserve">ost to the PBS of </w:t>
      </w:r>
      <w:r w:rsidR="00F17C9A" w:rsidRPr="00F17C9A">
        <w:rPr>
          <w:rFonts w:asciiTheme="minorHAnsi" w:eastAsiaTheme="minorHAnsi" w:hAnsiTheme="minorHAnsi" w:cstheme="minorBidi"/>
          <w:b/>
          <w:sz w:val="22"/>
          <w:szCs w:val="22"/>
        </w:rPr>
        <w:t>listing venetoclax</w:t>
      </w:r>
    </w:p>
    <w:tbl>
      <w:tblPr>
        <w:tblStyle w:val="TableGrid"/>
        <w:tblW w:w="9214" w:type="dxa"/>
        <w:tblInd w:w="108" w:type="dxa"/>
        <w:tblLayout w:type="fixed"/>
        <w:tblLook w:val="04A0" w:firstRow="1" w:lastRow="0" w:firstColumn="1" w:lastColumn="0" w:noHBand="0" w:noVBand="1"/>
        <w:tblCaption w:val="Table 3: Estimated cost to the PBS of listing venetoclax"/>
      </w:tblPr>
      <w:tblGrid>
        <w:gridCol w:w="2127"/>
        <w:gridCol w:w="992"/>
        <w:gridCol w:w="992"/>
        <w:gridCol w:w="992"/>
        <w:gridCol w:w="993"/>
        <w:gridCol w:w="992"/>
        <w:gridCol w:w="992"/>
        <w:gridCol w:w="1134"/>
      </w:tblGrid>
      <w:tr w:rsidR="00F17C9A" w:rsidRPr="00FF6B7B" w:rsidTr="00E74239">
        <w:trPr>
          <w:trHeight w:val="255"/>
          <w:tblHeader/>
        </w:trPr>
        <w:tc>
          <w:tcPr>
            <w:tcW w:w="2127" w:type="dxa"/>
            <w:noWrap/>
          </w:tcPr>
          <w:p w:rsidR="00F17C9A" w:rsidRPr="00FF6B7B" w:rsidRDefault="00F17C9A" w:rsidP="0052253E">
            <w:pPr>
              <w:rPr>
                <w:rFonts w:asciiTheme="minorHAnsi" w:hAnsiTheme="minorHAnsi"/>
                <w:b/>
                <w:bCs/>
                <w:sz w:val="16"/>
                <w:szCs w:val="16"/>
              </w:rPr>
            </w:pPr>
          </w:p>
        </w:tc>
        <w:tc>
          <w:tcPr>
            <w:tcW w:w="992" w:type="dxa"/>
            <w:noWrap/>
          </w:tcPr>
          <w:p w:rsidR="00F17C9A" w:rsidRPr="00FF6B7B" w:rsidRDefault="00F17C9A" w:rsidP="00421253">
            <w:pPr>
              <w:jc w:val="right"/>
              <w:rPr>
                <w:rFonts w:asciiTheme="minorHAnsi" w:hAnsiTheme="minorHAnsi"/>
                <w:sz w:val="16"/>
                <w:szCs w:val="16"/>
              </w:rPr>
            </w:pPr>
            <w:r w:rsidRPr="00FF6B7B">
              <w:rPr>
                <w:rFonts w:asciiTheme="minorHAnsi" w:hAnsiTheme="minorHAnsi"/>
                <w:sz w:val="16"/>
                <w:szCs w:val="16"/>
              </w:rPr>
              <w:t>2018</w:t>
            </w:r>
          </w:p>
        </w:tc>
        <w:tc>
          <w:tcPr>
            <w:tcW w:w="992" w:type="dxa"/>
            <w:noWrap/>
          </w:tcPr>
          <w:p w:rsidR="00F17C9A" w:rsidRPr="00FF6B7B" w:rsidRDefault="00F17C9A" w:rsidP="00421253">
            <w:pPr>
              <w:jc w:val="right"/>
              <w:rPr>
                <w:rFonts w:asciiTheme="minorHAnsi" w:hAnsiTheme="minorHAnsi"/>
                <w:sz w:val="16"/>
                <w:szCs w:val="16"/>
              </w:rPr>
            </w:pPr>
            <w:r w:rsidRPr="00FF6B7B">
              <w:rPr>
                <w:rFonts w:asciiTheme="minorHAnsi" w:hAnsiTheme="minorHAnsi"/>
                <w:sz w:val="16"/>
                <w:szCs w:val="16"/>
              </w:rPr>
              <w:t>2019</w:t>
            </w:r>
          </w:p>
        </w:tc>
        <w:tc>
          <w:tcPr>
            <w:tcW w:w="992" w:type="dxa"/>
            <w:noWrap/>
          </w:tcPr>
          <w:p w:rsidR="00F17C9A" w:rsidRPr="00FF6B7B" w:rsidRDefault="00F17C9A" w:rsidP="00421253">
            <w:pPr>
              <w:jc w:val="right"/>
              <w:rPr>
                <w:rFonts w:asciiTheme="minorHAnsi" w:hAnsiTheme="minorHAnsi"/>
                <w:sz w:val="16"/>
                <w:szCs w:val="16"/>
              </w:rPr>
            </w:pPr>
            <w:r w:rsidRPr="00FF6B7B">
              <w:rPr>
                <w:rFonts w:asciiTheme="minorHAnsi" w:hAnsiTheme="minorHAnsi"/>
                <w:sz w:val="16"/>
                <w:szCs w:val="16"/>
              </w:rPr>
              <w:t>2020</w:t>
            </w:r>
          </w:p>
        </w:tc>
        <w:tc>
          <w:tcPr>
            <w:tcW w:w="993" w:type="dxa"/>
            <w:noWrap/>
          </w:tcPr>
          <w:p w:rsidR="00F17C9A" w:rsidRPr="00FF6B7B" w:rsidRDefault="00F17C9A" w:rsidP="00421253">
            <w:pPr>
              <w:jc w:val="right"/>
              <w:rPr>
                <w:rFonts w:asciiTheme="minorHAnsi" w:hAnsiTheme="minorHAnsi"/>
                <w:sz w:val="16"/>
                <w:szCs w:val="16"/>
              </w:rPr>
            </w:pPr>
            <w:r w:rsidRPr="00FF6B7B">
              <w:rPr>
                <w:rFonts w:asciiTheme="minorHAnsi" w:hAnsiTheme="minorHAnsi"/>
                <w:sz w:val="16"/>
                <w:szCs w:val="16"/>
              </w:rPr>
              <w:t>2021</w:t>
            </w:r>
          </w:p>
        </w:tc>
        <w:tc>
          <w:tcPr>
            <w:tcW w:w="992" w:type="dxa"/>
            <w:noWrap/>
          </w:tcPr>
          <w:p w:rsidR="00F17C9A" w:rsidRPr="00FF6B7B" w:rsidRDefault="00F17C9A" w:rsidP="00421253">
            <w:pPr>
              <w:jc w:val="right"/>
              <w:rPr>
                <w:rFonts w:asciiTheme="minorHAnsi" w:hAnsiTheme="minorHAnsi"/>
                <w:sz w:val="16"/>
                <w:szCs w:val="16"/>
              </w:rPr>
            </w:pPr>
            <w:r w:rsidRPr="00FF6B7B">
              <w:rPr>
                <w:rFonts w:asciiTheme="minorHAnsi" w:hAnsiTheme="minorHAnsi"/>
                <w:sz w:val="16"/>
                <w:szCs w:val="16"/>
              </w:rPr>
              <w:t>2022</w:t>
            </w:r>
          </w:p>
        </w:tc>
        <w:tc>
          <w:tcPr>
            <w:tcW w:w="992" w:type="dxa"/>
            <w:noWrap/>
          </w:tcPr>
          <w:p w:rsidR="00F17C9A" w:rsidRPr="00FF6B7B" w:rsidRDefault="00F17C9A" w:rsidP="00421253">
            <w:pPr>
              <w:jc w:val="right"/>
              <w:rPr>
                <w:rFonts w:asciiTheme="minorHAnsi" w:hAnsiTheme="minorHAnsi"/>
                <w:sz w:val="16"/>
                <w:szCs w:val="16"/>
              </w:rPr>
            </w:pPr>
            <w:r w:rsidRPr="00FF6B7B">
              <w:rPr>
                <w:rFonts w:asciiTheme="minorHAnsi" w:hAnsiTheme="minorHAnsi"/>
                <w:sz w:val="16"/>
                <w:szCs w:val="16"/>
              </w:rPr>
              <w:t>2023</w:t>
            </w:r>
          </w:p>
        </w:tc>
        <w:tc>
          <w:tcPr>
            <w:tcW w:w="1134" w:type="dxa"/>
            <w:noWrap/>
          </w:tcPr>
          <w:p w:rsidR="00F17C9A" w:rsidRPr="00FF6B7B" w:rsidRDefault="00F17C9A" w:rsidP="008D6E67">
            <w:pPr>
              <w:jc w:val="right"/>
              <w:rPr>
                <w:rFonts w:ascii="Calibri" w:hAnsi="Calibri" w:cs="Arial"/>
                <w:b/>
                <w:bCs/>
                <w:sz w:val="16"/>
                <w:szCs w:val="16"/>
              </w:rPr>
            </w:pPr>
            <w:r w:rsidRPr="00FF6B7B">
              <w:rPr>
                <w:rFonts w:ascii="Calibri" w:hAnsi="Calibri" w:cs="Arial"/>
                <w:b/>
                <w:bCs/>
                <w:sz w:val="16"/>
                <w:szCs w:val="16"/>
              </w:rPr>
              <w:t>Total</w:t>
            </w:r>
          </w:p>
        </w:tc>
      </w:tr>
      <w:tr w:rsidR="00F17C9A" w:rsidRPr="00FF6B7B" w:rsidTr="008D6E67">
        <w:trPr>
          <w:trHeight w:val="255"/>
        </w:trPr>
        <w:tc>
          <w:tcPr>
            <w:tcW w:w="2127" w:type="dxa"/>
            <w:noWrap/>
          </w:tcPr>
          <w:p w:rsidR="00F17C9A" w:rsidRPr="00FF6B7B" w:rsidRDefault="00F17C9A" w:rsidP="00A479D2">
            <w:pPr>
              <w:rPr>
                <w:rFonts w:asciiTheme="minorHAnsi" w:hAnsiTheme="minorHAnsi"/>
                <w:b/>
                <w:bCs/>
                <w:sz w:val="16"/>
                <w:szCs w:val="16"/>
              </w:rPr>
            </w:pPr>
            <w:r w:rsidRPr="00FF6B7B">
              <w:rPr>
                <w:rFonts w:asciiTheme="minorHAnsi" w:hAnsiTheme="minorHAnsi"/>
                <w:b/>
                <w:bCs/>
                <w:sz w:val="16"/>
                <w:szCs w:val="16"/>
              </w:rPr>
              <w:t>Initiating patients</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3"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1134" w:type="dxa"/>
            <w:noWrap/>
            <w:vAlign w:val="bottom"/>
          </w:tcPr>
          <w:p w:rsidR="00F17C9A" w:rsidRPr="00FF6B7B" w:rsidRDefault="00F17C9A">
            <w:pPr>
              <w:jc w:val="right"/>
              <w:rPr>
                <w:rFonts w:ascii="Calibri" w:hAnsi="Calibri" w:cs="Arial"/>
                <w:b/>
                <w:bCs/>
                <w:sz w:val="16"/>
                <w:szCs w:val="16"/>
              </w:rPr>
            </w:pPr>
          </w:p>
        </w:tc>
      </w:tr>
      <w:tr w:rsidR="00F17C9A" w:rsidRPr="00FF6B7B" w:rsidTr="008D6E67">
        <w:trPr>
          <w:trHeight w:val="255"/>
        </w:trPr>
        <w:tc>
          <w:tcPr>
            <w:tcW w:w="2127" w:type="dxa"/>
            <w:noWrap/>
          </w:tcPr>
          <w:p w:rsidR="00F17C9A" w:rsidRPr="00FF6B7B" w:rsidRDefault="00F17C9A" w:rsidP="00A479D2">
            <w:pPr>
              <w:rPr>
                <w:rFonts w:asciiTheme="minorHAnsi" w:hAnsiTheme="minorHAnsi"/>
                <w:b/>
                <w:bCs/>
                <w:sz w:val="16"/>
                <w:szCs w:val="16"/>
              </w:rPr>
            </w:pPr>
            <w:r>
              <w:rPr>
                <w:rFonts w:asciiTheme="minorHAnsi" w:hAnsiTheme="minorHAnsi"/>
                <w:b/>
                <w:bCs/>
                <w:sz w:val="16"/>
                <w:szCs w:val="16"/>
              </w:rPr>
              <w:t>Continuing p</w:t>
            </w:r>
            <w:r w:rsidRPr="00FF6B7B">
              <w:rPr>
                <w:rFonts w:asciiTheme="minorHAnsi" w:hAnsiTheme="minorHAnsi"/>
                <w:b/>
                <w:bCs/>
                <w:sz w:val="16"/>
                <w:szCs w:val="16"/>
              </w:rPr>
              <w:t>atients</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3"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center"/>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1134" w:type="dxa"/>
            <w:noWrap/>
            <w:vAlign w:val="bottom"/>
          </w:tcPr>
          <w:p w:rsidR="00F17C9A" w:rsidRPr="00FF6B7B" w:rsidRDefault="00F17C9A">
            <w:pPr>
              <w:jc w:val="right"/>
              <w:rPr>
                <w:rFonts w:ascii="Calibri" w:hAnsi="Calibri" w:cs="Arial"/>
                <w:b/>
                <w:bCs/>
                <w:sz w:val="16"/>
                <w:szCs w:val="16"/>
              </w:rPr>
            </w:pPr>
            <w:r w:rsidRPr="00FF6B7B">
              <w:rPr>
                <w:rFonts w:ascii="Calibri" w:hAnsi="Calibri" w:cs="Arial"/>
                <w:b/>
                <w:bCs/>
                <w:sz w:val="16"/>
                <w:szCs w:val="16"/>
              </w:rPr>
              <w:t> </w:t>
            </w:r>
          </w:p>
        </w:tc>
      </w:tr>
      <w:tr w:rsidR="00F17C9A" w:rsidRPr="00FF6B7B" w:rsidTr="008D6E67">
        <w:trPr>
          <w:trHeight w:val="633"/>
        </w:trPr>
        <w:tc>
          <w:tcPr>
            <w:tcW w:w="2127" w:type="dxa"/>
            <w:noWrap/>
            <w:hideMark/>
          </w:tcPr>
          <w:p w:rsidR="00F17C9A" w:rsidRPr="00FF6B7B" w:rsidRDefault="00F17C9A" w:rsidP="00421253">
            <w:pPr>
              <w:rPr>
                <w:rFonts w:asciiTheme="minorHAnsi" w:hAnsiTheme="minorHAnsi"/>
                <w:sz w:val="16"/>
                <w:szCs w:val="16"/>
              </w:rPr>
            </w:pPr>
            <w:r w:rsidRPr="00FF6B7B">
              <w:rPr>
                <w:rFonts w:asciiTheme="minorHAnsi" w:hAnsiTheme="minorHAnsi"/>
                <w:sz w:val="16"/>
                <w:szCs w:val="16"/>
              </w:rPr>
              <w:t>Venetoclax cost to PBS (continuing patients * cost per course V/2</w:t>
            </w:r>
            <w:r w:rsidRPr="00FF6B7B">
              <w:rPr>
                <w:rFonts w:asciiTheme="minorHAnsi" w:hAnsiTheme="minorHAnsi"/>
                <w:sz w:val="16"/>
                <w:szCs w:val="16"/>
                <w:vertAlign w:val="superscript"/>
              </w:rPr>
              <w:t>1</w:t>
            </w:r>
            <w:r w:rsidRPr="00FF6B7B">
              <w:rPr>
                <w:rFonts w:asciiTheme="minorHAnsi" w:hAnsiTheme="minorHAnsi"/>
                <w:sz w:val="16"/>
                <w:szCs w:val="16"/>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rsidP="008D6E67">
            <w:pPr>
              <w:ind w:left="-108"/>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rsidP="008D6E67">
            <w:pPr>
              <w:ind w:left="-108"/>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3" w:type="dxa"/>
            <w:noWrap/>
            <w:vAlign w:val="bottom"/>
            <w:hideMark/>
          </w:tcPr>
          <w:p w:rsidR="00F17C9A" w:rsidRPr="002E42CB" w:rsidRDefault="002E42CB" w:rsidP="008D6E67">
            <w:pPr>
              <w:ind w:left="-108"/>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rsidP="008D6E67">
            <w:pPr>
              <w:ind w:left="-108"/>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rsidP="008D6E67">
            <w:pPr>
              <w:ind w:left="-108"/>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1134" w:type="dxa"/>
            <w:noWrap/>
            <w:vAlign w:val="bottom"/>
            <w:hideMark/>
          </w:tcPr>
          <w:p w:rsidR="00F17C9A" w:rsidRPr="002E42CB" w:rsidRDefault="002E42CB">
            <w:pPr>
              <w:jc w:val="right"/>
              <w:rPr>
                <w:rFonts w:ascii="Calibri" w:hAnsi="Calibri" w:cs="Arial"/>
                <w:b/>
                <w:bCs/>
                <w:sz w:val="16"/>
                <w:szCs w:val="16"/>
                <w:highlight w:val="black"/>
              </w:rPr>
            </w:pPr>
            <w:r>
              <w:rPr>
                <w:rFonts w:ascii="Calibri" w:hAnsi="Calibri" w:cs="Arial"/>
                <w:b/>
                <w:bCs/>
                <w:noProof/>
                <w:color w:val="000000"/>
                <w:sz w:val="16"/>
                <w:szCs w:val="16"/>
                <w:highlight w:val="black"/>
              </w:rPr>
              <w:t>'''''''''''''''''''''''</w:t>
            </w:r>
          </w:p>
        </w:tc>
      </w:tr>
      <w:tr w:rsidR="00F17C9A" w:rsidRPr="00FF6B7B" w:rsidTr="008D6E67">
        <w:trPr>
          <w:trHeight w:val="391"/>
        </w:trPr>
        <w:tc>
          <w:tcPr>
            <w:tcW w:w="2127" w:type="dxa"/>
            <w:noWrap/>
            <w:hideMark/>
          </w:tcPr>
          <w:p w:rsidR="00F17C9A" w:rsidRPr="00FF6B7B" w:rsidRDefault="00F17C9A" w:rsidP="008D6E67">
            <w:pPr>
              <w:ind w:right="-108"/>
              <w:rPr>
                <w:rFonts w:asciiTheme="minorHAnsi" w:hAnsiTheme="minorHAnsi"/>
                <w:sz w:val="16"/>
                <w:szCs w:val="16"/>
              </w:rPr>
            </w:pPr>
            <w:r w:rsidRPr="00FF6B7B">
              <w:rPr>
                <w:rFonts w:asciiTheme="minorHAnsi" w:hAnsiTheme="minorHAnsi"/>
                <w:sz w:val="16"/>
                <w:szCs w:val="16"/>
              </w:rPr>
              <w:t xml:space="preserve">Cost </w:t>
            </w:r>
            <w:r>
              <w:rPr>
                <w:rFonts w:asciiTheme="minorHAnsi" w:hAnsiTheme="minorHAnsi"/>
                <w:sz w:val="16"/>
                <w:szCs w:val="16"/>
              </w:rPr>
              <w:t>o</w:t>
            </w:r>
            <w:r w:rsidRPr="00FF6B7B">
              <w:rPr>
                <w:rFonts w:asciiTheme="minorHAnsi" w:hAnsiTheme="minorHAnsi"/>
                <w:sz w:val="16"/>
                <w:szCs w:val="16"/>
              </w:rPr>
              <w:t xml:space="preserve">ffsets </w:t>
            </w:r>
            <w:r>
              <w:rPr>
                <w:rFonts w:asciiTheme="minorHAnsi" w:hAnsiTheme="minorHAnsi"/>
                <w:sz w:val="16"/>
                <w:szCs w:val="16"/>
              </w:rPr>
              <w:t>r</w:t>
            </w:r>
            <w:r w:rsidRPr="00FF6B7B">
              <w:rPr>
                <w:rFonts w:asciiTheme="minorHAnsi" w:hAnsiTheme="minorHAnsi"/>
                <w:sz w:val="16"/>
                <w:szCs w:val="16"/>
              </w:rPr>
              <w:t>ituximab</w:t>
            </w:r>
            <w:r w:rsidRPr="00FF6B7B">
              <w:rPr>
                <w:rFonts w:asciiTheme="minorHAnsi" w:hAnsiTheme="minorHAnsi"/>
                <w:sz w:val="16"/>
                <w:szCs w:val="16"/>
                <w:vertAlign w:val="superscript"/>
              </w:rPr>
              <w:t>2</w:t>
            </w:r>
            <w:r w:rsidRPr="00FF6B7B">
              <w:rPr>
                <w:rFonts w:asciiTheme="minorHAnsi" w:hAnsiTheme="minorHAnsi"/>
                <w:sz w:val="16"/>
                <w:szCs w:val="16"/>
              </w:rPr>
              <w:t xml:space="preserve"> (initial patients* cost per course R)</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3"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1134" w:type="dxa"/>
            <w:noWrap/>
            <w:vAlign w:val="bottom"/>
            <w:hideMark/>
          </w:tcPr>
          <w:p w:rsidR="00F17C9A" w:rsidRPr="002E42CB" w:rsidRDefault="002E42CB">
            <w:pPr>
              <w:jc w:val="right"/>
              <w:rPr>
                <w:rFonts w:ascii="Calibri" w:hAnsi="Calibri" w:cs="Arial"/>
                <w:b/>
                <w:bCs/>
                <w:sz w:val="16"/>
                <w:szCs w:val="16"/>
                <w:highlight w:val="black"/>
              </w:rPr>
            </w:pPr>
            <w:r>
              <w:rPr>
                <w:rFonts w:ascii="Calibri" w:hAnsi="Calibri" w:cs="Arial"/>
                <w:b/>
                <w:bCs/>
                <w:noProof/>
                <w:color w:val="000000"/>
                <w:sz w:val="16"/>
                <w:szCs w:val="16"/>
                <w:highlight w:val="black"/>
              </w:rPr>
              <w:t>''''''''''''''''''''''</w:t>
            </w:r>
          </w:p>
        </w:tc>
      </w:tr>
      <w:tr w:rsidR="00F17C9A" w:rsidRPr="00FF6B7B" w:rsidTr="008D6E67">
        <w:trPr>
          <w:trHeight w:val="255"/>
        </w:trPr>
        <w:tc>
          <w:tcPr>
            <w:tcW w:w="2127" w:type="dxa"/>
            <w:noWrap/>
            <w:hideMark/>
          </w:tcPr>
          <w:p w:rsidR="00F17C9A" w:rsidRPr="00FF6B7B" w:rsidRDefault="00F17C9A" w:rsidP="00F17C9A">
            <w:pPr>
              <w:rPr>
                <w:rFonts w:asciiTheme="minorHAnsi" w:hAnsiTheme="minorHAnsi"/>
                <w:sz w:val="16"/>
                <w:szCs w:val="16"/>
              </w:rPr>
            </w:pPr>
            <w:r w:rsidRPr="00FF6B7B">
              <w:rPr>
                <w:rFonts w:asciiTheme="minorHAnsi" w:hAnsiTheme="minorHAnsi"/>
                <w:sz w:val="16"/>
                <w:szCs w:val="16"/>
              </w:rPr>
              <w:t>Cost off</w:t>
            </w:r>
            <w:r>
              <w:rPr>
                <w:rFonts w:asciiTheme="minorHAnsi" w:hAnsiTheme="minorHAnsi"/>
                <w:sz w:val="16"/>
                <w:szCs w:val="16"/>
              </w:rPr>
              <w:t>s</w:t>
            </w:r>
            <w:r w:rsidRPr="00FF6B7B">
              <w:rPr>
                <w:rFonts w:asciiTheme="minorHAnsi" w:hAnsiTheme="minorHAnsi"/>
                <w:sz w:val="16"/>
                <w:szCs w:val="16"/>
              </w:rPr>
              <w:t>ets</w:t>
            </w:r>
            <w:r>
              <w:rPr>
                <w:rFonts w:asciiTheme="minorHAnsi" w:hAnsiTheme="minorHAnsi"/>
                <w:sz w:val="16"/>
                <w:szCs w:val="16"/>
              </w:rPr>
              <w:t xml:space="preserve"> i</w:t>
            </w:r>
            <w:r w:rsidRPr="00FF6B7B">
              <w:rPr>
                <w:rFonts w:asciiTheme="minorHAnsi" w:hAnsiTheme="minorHAnsi"/>
                <w:sz w:val="16"/>
                <w:szCs w:val="16"/>
              </w:rPr>
              <w:t>delalisib based on cap</w:t>
            </w:r>
            <w:r w:rsidRPr="00FF6B7B">
              <w:rPr>
                <w:rFonts w:asciiTheme="minorHAnsi" w:hAnsiTheme="minorHAnsi"/>
                <w:sz w:val="16"/>
                <w:szCs w:val="16"/>
                <w:vertAlign w:val="superscript"/>
              </w:rPr>
              <w:t>3</w:t>
            </w:r>
          </w:p>
        </w:tc>
        <w:tc>
          <w:tcPr>
            <w:tcW w:w="992" w:type="dxa"/>
            <w:noWrap/>
            <w:vAlign w:val="bottom"/>
            <w:hideMark/>
          </w:tcPr>
          <w:p w:rsidR="00F17C9A" w:rsidRPr="002E42CB" w:rsidRDefault="002E42CB" w:rsidP="008D6E67">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rsidP="008D6E67">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rsidP="008D6E67">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3" w:type="dxa"/>
            <w:noWrap/>
            <w:vAlign w:val="bottom"/>
            <w:hideMark/>
          </w:tcPr>
          <w:p w:rsidR="00F17C9A" w:rsidRPr="002E42CB" w:rsidRDefault="002E42CB" w:rsidP="008D6E67">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rsidP="008D6E67">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1134" w:type="dxa"/>
            <w:noWrap/>
            <w:vAlign w:val="bottom"/>
            <w:hideMark/>
          </w:tcPr>
          <w:p w:rsidR="00F17C9A" w:rsidRPr="002E42CB" w:rsidRDefault="002E42CB">
            <w:pPr>
              <w:jc w:val="right"/>
              <w:rPr>
                <w:rFonts w:ascii="Calibri" w:hAnsi="Calibri" w:cs="Arial"/>
                <w:b/>
                <w:bCs/>
                <w:sz w:val="16"/>
                <w:szCs w:val="16"/>
                <w:highlight w:val="black"/>
              </w:rPr>
            </w:pPr>
            <w:r>
              <w:rPr>
                <w:rFonts w:ascii="Calibri" w:hAnsi="Calibri" w:cs="Arial"/>
                <w:b/>
                <w:bCs/>
                <w:noProof/>
                <w:color w:val="000000"/>
                <w:sz w:val="16"/>
                <w:szCs w:val="16"/>
                <w:highlight w:val="black"/>
              </w:rPr>
              <w:t>'''''''''''''''''''''</w:t>
            </w:r>
          </w:p>
        </w:tc>
      </w:tr>
      <w:tr w:rsidR="00F17C9A" w:rsidRPr="00FF6B7B" w:rsidTr="008D6E67">
        <w:trPr>
          <w:trHeight w:val="255"/>
        </w:trPr>
        <w:tc>
          <w:tcPr>
            <w:tcW w:w="2127" w:type="dxa"/>
            <w:noWrap/>
            <w:hideMark/>
          </w:tcPr>
          <w:p w:rsidR="00F17C9A" w:rsidRPr="00FF6B7B" w:rsidRDefault="00F17C9A" w:rsidP="0052253E">
            <w:pPr>
              <w:rPr>
                <w:rFonts w:asciiTheme="minorHAnsi" w:hAnsiTheme="minorHAnsi"/>
                <w:sz w:val="16"/>
                <w:szCs w:val="16"/>
              </w:rPr>
            </w:pPr>
            <w:r w:rsidRPr="00FF6B7B">
              <w:rPr>
                <w:rFonts w:asciiTheme="minorHAnsi" w:hAnsiTheme="minorHAnsi"/>
                <w:sz w:val="16"/>
                <w:szCs w:val="16"/>
              </w:rPr>
              <w:t>Total cost offsets</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3"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992" w:type="dxa"/>
            <w:noWrap/>
            <w:vAlign w:val="bottom"/>
            <w:hideMark/>
          </w:tcPr>
          <w:p w:rsidR="00F17C9A" w:rsidRPr="002E42CB" w:rsidRDefault="002E42CB">
            <w:pPr>
              <w:jc w:val="right"/>
              <w:rPr>
                <w:rFonts w:ascii="Calibri" w:hAnsi="Calibri" w:cs="Arial"/>
                <w:sz w:val="16"/>
                <w:szCs w:val="16"/>
                <w:highlight w:val="black"/>
              </w:rPr>
            </w:pPr>
            <w:r>
              <w:rPr>
                <w:rFonts w:ascii="Calibri" w:hAnsi="Calibri" w:cs="Arial"/>
                <w:noProof/>
                <w:color w:val="000000"/>
                <w:sz w:val="16"/>
                <w:szCs w:val="16"/>
                <w:highlight w:val="black"/>
              </w:rPr>
              <w:t>'''''''''''''''''''''''</w:t>
            </w:r>
          </w:p>
        </w:tc>
        <w:tc>
          <w:tcPr>
            <w:tcW w:w="1134" w:type="dxa"/>
            <w:noWrap/>
            <w:vAlign w:val="bottom"/>
            <w:hideMark/>
          </w:tcPr>
          <w:p w:rsidR="00F17C9A" w:rsidRPr="002E42CB" w:rsidRDefault="002E42CB">
            <w:pPr>
              <w:jc w:val="right"/>
              <w:rPr>
                <w:rFonts w:ascii="Calibri" w:hAnsi="Calibri" w:cs="Arial"/>
                <w:b/>
                <w:bCs/>
                <w:sz w:val="16"/>
                <w:szCs w:val="16"/>
                <w:highlight w:val="black"/>
              </w:rPr>
            </w:pPr>
            <w:r>
              <w:rPr>
                <w:rFonts w:ascii="Calibri" w:hAnsi="Calibri" w:cs="Arial"/>
                <w:b/>
                <w:bCs/>
                <w:noProof/>
                <w:color w:val="000000"/>
                <w:sz w:val="16"/>
                <w:szCs w:val="16"/>
                <w:highlight w:val="black"/>
              </w:rPr>
              <w:t>''''''''''''''''''''</w:t>
            </w:r>
          </w:p>
        </w:tc>
      </w:tr>
      <w:tr w:rsidR="00F17C9A" w:rsidRPr="00FF6B7B" w:rsidTr="008D6E67">
        <w:trPr>
          <w:trHeight w:val="255"/>
        </w:trPr>
        <w:tc>
          <w:tcPr>
            <w:tcW w:w="2127" w:type="dxa"/>
            <w:noWrap/>
            <w:hideMark/>
          </w:tcPr>
          <w:p w:rsidR="00F17C9A" w:rsidRPr="00FF6B7B" w:rsidRDefault="00F17C9A" w:rsidP="0052253E">
            <w:pPr>
              <w:rPr>
                <w:rFonts w:asciiTheme="minorHAnsi" w:hAnsiTheme="minorHAnsi"/>
                <w:b/>
                <w:bCs/>
                <w:sz w:val="16"/>
                <w:szCs w:val="16"/>
              </w:rPr>
            </w:pPr>
            <w:r w:rsidRPr="00FF6B7B">
              <w:rPr>
                <w:rFonts w:asciiTheme="minorHAnsi" w:hAnsiTheme="minorHAnsi"/>
                <w:b/>
                <w:bCs/>
                <w:sz w:val="16"/>
                <w:szCs w:val="16"/>
              </w:rPr>
              <w:t>Venetoclax net cost to PBS</w:t>
            </w:r>
          </w:p>
        </w:tc>
        <w:tc>
          <w:tcPr>
            <w:tcW w:w="992" w:type="dxa"/>
            <w:noWrap/>
            <w:vAlign w:val="bottom"/>
            <w:hideMark/>
          </w:tcPr>
          <w:p w:rsidR="00F17C9A" w:rsidRPr="00FF6B7B" w:rsidRDefault="00F17C9A" w:rsidP="008D6E67">
            <w:pPr>
              <w:ind w:left="-108"/>
              <w:jc w:val="right"/>
              <w:rPr>
                <w:rFonts w:ascii="Calibri" w:hAnsi="Calibri" w:cs="Arial"/>
                <w:sz w:val="16"/>
                <w:szCs w:val="16"/>
              </w:rPr>
            </w:pPr>
            <w:r w:rsidRPr="00FF6B7B">
              <w:rPr>
                <w:rFonts w:ascii="Calibri" w:hAnsi="Calibri" w:cs="Arial"/>
                <w:color w:val="FF0000"/>
                <w:sz w:val="16"/>
                <w:szCs w:val="16"/>
              </w:rPr>
              <w:t>-$</w:t>
            </w:r>
            <w:r w:rsidR="002E42CB">
              <w:rPr>
                <w:rFonts w:ascii="Calibri" w:hAnsi="Calibri" w:cs="Arial"/>
                <w:noProof/>
                <w:color w:val="000000"/>
                <w:sz w:val="16"/>
                <w:szCs w:val="16"/>
                <w:highlight w:val="black"/>
              </w:rPr>
              <w:t>''''''''''''''''''''</w:t>
            </w:r>
          </w:p>
        </w:tc>
        <w:tc>
          <w:tcPr>
            <w:tcW w:w="992" w:type="dxa"/>
            <w:noWrap/>
            <w:vAlign w:val="bottom"/>
            <w:hideMark/>
          </w:tcPr>
          <w:p w:rsidR="00F17C9A" w:rsidRPr="00FF6B7B" w:rsidRDefault="00F17C9A">
            <w:pPr>
              <w:jc w:val="right"/>
              <w:rPr>
                <w:rFonts w:ascii="Calibri" w:hAnsi="Calibri" w:cs="Arial"/>
                <w:sz w:val="16"/>
                <w:szCs w:val="16"/>
              </w:rPr>
            </w:pPr>
            <w:r w:rsidRPr="00FF6B7B">
              <w:rPr>
                <w:rFonts w:ascii="Calibri" w:hAnsi="Calibri" w:cs="Arial"/>
                <w:sz w:val="16"/>
                <w:szCs w:val="16"/>
              </w:rPr>
              <w:t>$</w:t>
            </w:r>
            <w:r w:rsidR="002E42CB">
              <w:rPr>
                <w:rFonts w:ascii="Calibri" w:hAnsi="Calibri" w:cs="Arial"/>
                <w:noProof/>
                <w:color w:val="000000"/>
                <w:sz w:val="16"/>
                <w:szCs w:val="16"/>
                <w:highlight w:val="black"/>
              </w:rPr>
              <w:t>'''''''''''''''''''</w:t>
            </w:r>
          </w:p>
        </w:tc>
        <w:tc>
          <w:tcPr>
            <w:tcW w:w="992" w:type="dxa"/>
            <w:noWrap/>
            <w:vAlign w:val="bottom"/>
            <w:hideMark/>
          </w:tcPr>
          <w:p w:rsidR="00F17C9A" w:rsidRPr="00FF6B7B" w:rsidRDefault="00F17C9A">
            <w:pPr>
              <w:jc w:val="right"/>
              <w:rPr>
                <w:rFonts w:ascii="Calibri" w:hAnsi="Calibri" w:cs="Arial"/>
                <w:sz w:val="16"/>
                <w:szCs w:val="16"/>
              </w:rPr>
            </w:pPr>
            <w:r w:rsidRPr="00FF6B7B">
              <w:rPr>
                <w:rFonts w:ascii="Calibri" w:hAnsi="Calibri" w:cs="Arial"/>
                <w:sz w:val="16"/>
                <w:szCs w:val="16"/>
              </w:rPr>
              <w:t>$</w:t>
            </w:r>
            <w:r w:rsidR="002E42CB">
              <w:rPr>
                <w:rFonts w:ascii="Calibri" w:hAnsi="Calibri" w:cs="Arial"/>
                <w:noProof/>
                <w:color w:val="000000"/>
                <w:sz w:val="16"/>
                <w:szCs w:val="16"/>
                <w:highlight w:val="black"/>
              </w:rPr>
              <w:t>''''''''''''''''''</w:t>
            </w:r>
          </w:p>
        </w:tc>
        <w:tc>
          <w:tcPr>
            <w:tcW w:w="993" w:type="dxa"/>
            <w:noWrap/>
            <w:vAlign w:val="bottom"/>
            <w:hideMark/>
          </w:tcPr>
          <w:p w:rsidR="00F17C9A" w:rsidRPr="00FF6B7B" w:rsidRDefault="00F17C9A">
            <w:pPr>
              <w:jc w:val="right"/>
              <w:rPr>
                <w:rFonts w:ascii="Calibri" w:hAnsi="Calibri" w:cs="Arial"/>
                <w:sz w:val="16"/>
                <w:szCs w:val="16"/>
              </w:rPr>
            </w:pPr>
            <w:r w:rsidRPr="00FF6B7B">
              <w:rPr>
                <w:rFonts w:ascii="Calibri" w:hAnsi="Calibri" w:cs="Arial"/>
                <w:sz w:val="16"/>
                <w:szCs w:val="16"/>
              </w:rPr>
              <w:t>$</w:t>
            </w:r>
            <w:r w:rsidR="002E42CB">
              <w:rPr>
                <w:rFonts w:ascii="Calibri" w:hAnsi="Calibri" w:cs="Arial"/>
                <w:noProof/>
                <w:color w:val="000000"/>
                <w:sz w:val="16"/>
                <w:szCs w:val="16"/>
                <w:highlight w:val="black"/>
              </w:rPr>
              <w:t>''''''''''''''''''</w:t>
            </w:r>
          </w:p>
        </w:tc>
        <w:tc>
          <w:tcPr>
            <w:tcW w:w="992" w:type="dxa"/>
            <w:noWrap/>
            <w:vAlign w:val="bottom"/>
            <w:hideMark/>
          </w:tcPr>
          <w:p w:rsidR="00F17C9A" w:rsidRPr="00FF6B7B" w:rsidRDefault="00F17C9A">
            <w:pPr>
              <w:jc w:val="right"/>
              <w:rPr>
                <w:rFonts w:ascii="Calibri" w:hAnsi="Calibri" w:cs="Arial"/>
                <w:sz w:val="16"/>
                <w:szCs w:val="16"/>
              </w:rPr>
            </w:pPr>
            <w:r w:rsidRPr="00FF6B7B">
              <w:rPr>
                <w:rFonts w:ascii="Calibri" w:hAnsi="Calibri" w:cs="Arial"/>
                <w:sz w:val="16"/>
                <w:szCs w:val="16"/>
              </w:rPr>
              <w:t>$</w:t>
            </w:r>
            <w:r w:rsidR="002E42CB">
              <w:rPr>
                <w:rFonts w:ascii="Calibri" w:hAnsi="Calibri" w:cs="Arial"/>
                <w:noProof/>
                <w:color w:val="000000"/>
                <w:sz w:val="16"/>
                <w:szCs w:val="16"/>
                <w:highlight w:val="black"/>
              </w:rPr>
              <w:t>'''''''''''''''''</w:t>
            </w:r>
          </w:p>
        </w:tc>
        <w:tc>
          <w:tcPr>
            <w:tcW w:w="992" w:type="dxa"/>
            <w:noWrap/>
            <w:vAlign w:val="bottom"/>
            <w:hideMark/>
          </w:tcPr>
          <w:p w:rsidR="00F17C9A" w:rsidRPr="00FF6B7B" w:rsidRDefault="00F17C9A">
            <w:pPr>
              <w:jc w:val="right"/>
              <w:rPr>
                <w:rFonts w:ascii="Calibri" w:hAnsi="Calibri" w:cs="Arial"/>
                <w:sz w:val="16"/>
                <w:szCs w:val="16"/>
              </w:rPr>
            </w:pPr>
            <w:r w:rsidRPr="00FF6B7B">
              <w:rPr>
                <w:rFonts w:ascii="Calibri" w:hAnsi="Calibri" w:cs="Arial"/>
                <w:sz w:val="16"/>
                <w:szCs w:val="16"/>
              </w:rPr>
              <w:t>$</w:t>
            </w:r>
            <w:r w:rsidR="002E42CB">
              <w:rPr>
                <w:rFonts w:ascii="Calibri" w:hAnsi="Calibri" w:cs="Arial"/>
                <w:noProof/>
                <w:color w:val="000000"/>
                <w:sz w:val="16"/>
                <w:szCs w:val="16"/>
                <w:highlight w:val="black"/>
              </w:rPr>
              <w:t>''''''''''''''''''</w:t>
            </w:r>
          </w:p>
        </w:tc>
        <w:tc>
          <w:tcPr>
            <w:tcW w:w="1134" w:type="dxa"/>
            <w:noWrap/>
            <w:vAlign w:val="bottom"/>
            <w:hideMark/>
          </w:tcPr>
          <w:p w:rsidR="00F17C9A" w:rsidRPr="00FF6B7B" w:rsidRDefault="00F17C9A">
            <w:pPr>
              <w:jc w:val="right"/>
              <w:rPr>
                <w:rFonts w:ascii="Calibri" w:hAnsi="Calibri" w:cs="Arial"/>
                <w:b/>
                <w:bCs/>
                <w:sz w:val="16"/>
                <w:szCs w:val="16"/>
              </w:rPr>
            </w:pPr>
            <w:r w:rsidRPr="00FF6B7B">
              <w:rPr>
                <w:rFonts w:ascii="Calibri" w:hAnsi="Calibri" w:cs="Arial"/>
                <w:b/>
                <w:bCs/>
                <w:sz w:val="16"/>
                <w:szCs w:val="16"/>
              </w:rPr>
              <w:t>$</w:t>
            </w:r>
            <w:r w:rsidR="002E42CB">
              <w:rPr>
                <w:rFonts w:ascii="Calibri" w:hAnsi="Calibri" w:cs="Arial"/>
                <w:b/>
                <w:bCs/>
                <w:noProof/>
                <w:color w:val="000000"/>
                <w:sz w:val="16"/>
                <w:szCs w:val="16"/>
                <w:highlight w:val="black"/>
              </w:rPr>
              <w:t>''''''''''''''''''''</w:t>
            </w:r>
          </w:p>
        </w:tc>
      </w:tr>
    </w:tbl>
    <w:p w:rsidR="00A479D2" w:rsidRPr="008D6E67" w:rsidRDefault="00A479D2" w:rsidP="00DB0E87">
      <w:pPr>
        <w:rPr>
          <w:rFonts w:ascii="Arial Narrow" w:hAnsi="Arial Narrow"/>
          <w:sz w:val="20"/>
          <w:szCs w:val="20"/>
          <w:vertAlign w:val="superscript"/>
        </w:rPr>
      </w:pPr>
      <w:r w:rsidRPr="008D6E67">
        <w:rPr>
          <w:rFonts w:ascii="Arial Narrow" w:hAnsi="Arial Narrow"/>
          <w:sz w:val="20"/>
          <w:szCs w:val="20"/>
          <w:vertAlign w:val="superscript"/>
        </w:rPr>
        <w:t>1</w:t>
      </w:r>
      <w:r w:rsidRPr="008D6E67">
        <w:rPr>
          <w:rFonts w:ascii="Arial Narrow" w:hAnsi="Arial Narrow"/>
          <w:sz w:val="20"/>
          <w:szCs w:val="20"/>
        </w:rPr>
        <w:t xml:space="preserve"> </w:t>
      </w:r>
      <w:r w:rsidRPr="008D6E67">
        <w:rPr>
          <w:rFonts w:ascii="Arial Narrow" w:hAnsi="Arial Narrow"/>
          <w:sz w:val="20"/>
          <w:szCs w:val="20"/>
          <w:vertAlign w:val="superscript"/>
        </w:rPr>
        <w:t xml:space="preserve">cost of a course of </w:t>
      </w:r>
      <w:r w:rsidR="00F17C9A" w:rsidRPr="008D6E67">
        <w:rPr>
          <w:rFonts w:ascii="Arial Narrow" w:hAnsi="Arial Narrow"/>
          <w:sz w:val="20"/>
          <w:szCs w:val="20"/>
          <w:vertAlign w:val="superscript"/>
        </w:rPr>
        <w:t>venetoclax</w:t>
      </w:r>
      <w:r w:rsidRPr="008D6E67">
        <w:rPr>
          <w:rFonts w:ascii="Arial Narrow" w:hAnsi="Arial Narrow"/>
          <w:sz w:val="20"/>
          <w:szCs w:val="20"/>
          <w:vertAlign w:val="superscript"/>
        </w:rPr>
        <w:t xml:space="preserve"> from Table 1. All patients assumed to in</w:t>
      </w:r>
      <w:r w:rsidR="00D71E79" w:rsidRPr="008D6E67">
        <w:rPr>
          <w:rFonts w:ascii="Arial Narrow" w:hAnsi="Arial Narrow"/>
          <w:sz w:val="20"/>
          <w:szCs w:val="20"/>
          <w:vertAlign w:val="superscript"/>
        </w:rPr>
        <w:t>i</w:t>
      </w:r>
      <w:r w:rsidRPr="008D6E67">
        <w:rPr>
          <w:rFonts w:ascii="Arial Narrow" w:hAnsi="Arial Narrow"/>
          <w:sz w:val="20"/>
          <w:szCs w:val="20"/>
          <w:vertAlign w:val="superscript"/>
        </w:rPr>
        <w:t>tiate treatment on day 1 of year 1 and con</w:t>
      </w:r>
      <w:r w:rsidR="008D6E67" w:rsidRPr="008D6E67">
        <w:rPr>
          <w:rFonts w:ascii="Arial Narrow" w:hAnsi="Arial Narrow"/>
          <w:sz w:val="20"/>
          <w:szCs w:val="20"/>
          <w:vertAlign w:val="superscript"/>
        </w:rPr>
        <w:t xml:space="preserve">tinue treatment for 24 months. </w:t>
      </w:r>
      <w:r w:rsidRPr="008D6E67">
        <w:rPr>
          <w:rFonts w:ascii="Arial Narrow" w:hAnsi="Arial Narrow"/>
          <w:sz w:val="20"/>
          <w:szCs w:val="20"/>
          <w:vertAlign w:val="superscript"/>
        </w:rPr>
        <w:t>Co-payments not accounted for</w:t>
      </w:r>
      <w:r w:rsidR="00421253" w:rsidRPr="008D6E67">
        <w:rPr>
          <w:rFonts w:ascii="Arial Narrow" w:hAnsi="Arial Narrow"/>
          <w:sz w:val="20"/>
          <w:szCs w:val="20"/>
          <w:vertAlign w:val="superscript"/>
        </w:rPr>
        <w:t>.</w:t>
      </w:r>
    </w:p>
    <w:p w:rsidR="00A479D2" w:rsidRPr="008D6E67" w:rsidRDefault="00A479D2" w:rsidP="00DB0E87">
      <w:pPr>
        <w:rPr>
          <w:rFonts w:ascii="Arial Narrow" w:hAnsi="Arial Narrow"/>
          <w:sz w:val="20"/>
          <w:szCs w:val="20"/>
          <w:vertAlign w:val="superscript"/>
        </w:rPr>
      </w:pPr>
      <w:r w:rsidRPr="008D6E67">
        <w:rPr>
          <w:rFonts w:ascii="Arial Narrow" w:hAnsi="Arial Narrow"/>
          <w:sz w:val="20"/>
          <w:szCs w:val="20"/>
          <w:vertAlign w:val="superscript"/>
        </w:rPr>
        <w:t xml:space="preserve">2 Assumes </w:t>
      </w:r>
      <w:r w:rsidR="008D6E67" w:rsidRPr="008D6E67">
        <w:rPr>
          <w:rFonts w:ascii="Arial Narrow" w:hAnsi="Arial Narrow"/>
          <w:sz w:val="20"/>
          <w:szCs w:val="20"/>
          <w:vertAlign w:val="superscript"/>
        </w:rPr>
        <w:t>venetoclax</w:t>
      </w:r>
      <w:r w:rsidRPr="008D6E67">
        <w:rPr>
          <w:rFonts w:ascii="Arial Narrow" w:hAnsi="Arial Narrow"/>
          <w:sz w:val="20"/>
          <w:szCs w:val="20"/>
          <w:vertAlign w:val="superscript"/>
        </w:rPr>
        <w:t xml:space="preserve"> will entirely replace </w:t>
      </w:r>
      <w:r w:rsidR="008D6E67" w:rsidRPr="008D6E67">
        <w:rPr>
          <w:rFonts w:ascii="Arial Narrow" w:hAnsi="Arial Narrow"/>
          <w:sz w:val="20"/>
          <w:szCs w:val="20"/>
          <w:vertAlign w:val="superscript"/>
        </w:rPr>
        <w:t>idelalisib</w:t>
      </w:r>
      <w:r w:rsidRPr="008D6E67">
        <w:rPr>
          <w:rFonts w:ascii="Arial Narrow" w:hAnsi="Arial Narrow"/>
          <w:sz w:val="20"/>
          <w:szCs w:val="20"/>
          <w:vertAlign w:val="superscript"/>
        </w:rPr>
        <w:t xml:space="preserve"> + </w:t>
      </w:r>
      <w:r w:rsidR="008D6E67" w:rsidRPr="008D6E67">
        <w:rPr>
          <w:rFonts w:ascii="Arial Narrow" w:hAnsi="Arial Narrow"/>
          <w:sz w:val="20"/>
          <w:szCs w:val="20"/>
          <w:vertAlign w:val="superscript"/>
        </w:rPr>
        <w:t>rituximab</w:t>
      </w:r>
      <w:r w:rsidRPr="008D6E67">
        <w:rPr>
          <w:rFonts w:ascii="Arial Narrow" w:hAnsi="Arial Narrow"/>
          <w:sz w:val="20"/>
          <w:szCs w:val="20"/>
          <w:vertAlign w:val="superscript"/>
        </w:rPr>
        <w:t xml:space="preserve"> in these patients.</w:t>
      </w:r>
    </w:p>
    <w:p w:rsidR="00A479D2" w:rsidRDefault="00A479D2" w:rsidP="00DB0E87">
      <w:pPr>
        <w:rPr>
          <w:rFonts w:ascii="Arial Narrow" w:hAnsi="Arial Narrow"/>
          <w:sz w:val="20"/>
          <w:szCs w:val="20"/>
          <w:vertAlign w:val="superscript"/>
        </w:rPr>
      </w:pPr>
      <w:r w:rsidRPr="008D6E67">
        <w:rPr>
          <w:rFonts w:ascii="Arial Narrow" w:hAnsi="Arial Narrow"/>
          <w:sz w:val="20"/>
          <w:szCs w:val="20"/>
          <w:vertAlign w:val="superscript"/>
        </w:rPr>
        <w:t xml:space="preserve">3 Year 6 </w:t>
      </w:r>
      <w:r w:rsidR="00012FF7" w:rsidRPr="008D6E67">
        <w:rPr>
          <w:rFonts w:ascii="Arial Narrow" w:hAnsi="Arial Narrow"/>
          <w:sz w:val="20"/>
          <w:szCs w:val="20"/>
          <w:vertAlign w:val="superscript"/>
        </w:rPr>
        <w:t>Idelalisib</w:t>
      </w:r>
      <w:r w:rsidRPr="008D6E67">
        <w:rPr>
          <w:rFonts w:ascii="Arial Narrow" w:hAnsi="Arial Narrow"/>
          <w:sz w:val="20"/>
          <w:szCs w:val="20"/>
          <w:vertAlign w:val="superscript"/>
        </w:rPr>
        <w:t xml:space="preserve"> cap assumed to be the same as Year 5 cap.</w:t>
      </w:r>
    </w:p>
    <w:p w:rsidR="00915A4F" w:rsidRDefault="00915A4F" w:rsidP="00DB0E87">
      <w:pPr>
        <w:rPr>
          <w:rFonts w:ascii="Arial Narrow" w:hAnsi="Arial Narrow"/>
          <w:sz w:val="20"/>
          <w:szCs w:val="20"/>
          <w:vertAlign w:val="superscript"/>
        </w:rPr>
      </w:pPr>
    </w:p>
    <w:p w:rsidR="00915A4F" w:rsidRPr="00E74239" w:rsidRDefault="00915A4F" w:rsidP="00DB0E87">
      <w:pPr>
        <w:rPr>
          <w:rFonts w:asciiTheme="minorHAnsi" w:eastAsiaTheme="minorHAnsi" w:hAnsiTheme="minorHAnsi" w:cstheme="minorBidi"/>
          <w:szCs w:val="22"/>
          <w:lang w:eastAsia="en-US"/>
        </w:rPr>
      </w:pPr>
      <w:r w:rsidRPr="00E74239">
        <w:rPr>
          <w:rFonts w:asciiTheme="minorHAnsi" w:eastAsiaTheme="minorHAnsi" w:hAnsiTheme="minorHAnsi" w:cstheme="minorBidi"/>
          <w:szCs w:val="22"/>
          <w:lang w:eastAsia="en-US"/>
        </w:rPr>
        <w:t xml:space="preserve">The redacted table shows that at year 5, the estimated number of patients was less than </w:t>
      </w:r>
      <w:r w:rsidR="00E74239" w:rsidRPr="00E74239">
        <w:rPr>
          <w:rFonts w:asciiTheme="minorHAnsi" w:eastAsiaTheme="minorHAnsi" w:hAnsiTheme="minorHAnsi" w:cstheme="minorBidi"/>
          <w:szCs w:val="22"/>
          <w:lang w:eastAsia="en-US"/>
        </w:rPr>
        <w:t>10,000 per year.</w:t>
      </w:r>
    </w:p>
    <w:p w:rsidR="00E35EEF" w:rsidRPr="00F17C9A" w:rsidRDefault="00E35EEF" w:rsidP="00F17C9A">
      <w:pPr>
        <w:pStyle w:val="Heading1"/>
        <w:keepNext/>
        <w:keepLines/>
        <w:widowControl/>
        <w:numPr>
          <w:ilvl w:val="0"/>
          <w:numId w:val="14"/>
        </w:numPr>
        <w:spacing w:before="240" w:after="120"/>
        <w:ind w:left="709" w:hanging="709"/>
        <w:contextualSpacing w:val="0"/>
        <w:jc w:val="left"/>
        <w:rPr>
          <w:rFonts w:asciiTheme="minorHAnsi" w:eastAsia="Calibri" w:hAnsiTheme="minorHAnsi"/>
          <w:sz w:val="32"/>
          <w:szCs w:val="32"/>
        </w:rPr>
      </w:pPr>
      <w:r w:rsidRPr="00F17C9A">
        <w:rPr>
          <w:rFonts w:asciiTheme="minorHAnsi" w:hAnsiTheme="minorHAnsi"/>
          <w:sz w:val="32"/>
          <w:szCs w:val="32"/>
        </w:rPr>
        <w:t>PBAC</w:t>
      </w:r>
      <w:r w:rsidRPr="00F17C9A">
        <w:rPr>
          <w:rFonts w:asciiTheme="minorHAnsi" w:eastAsia="Calibri" w:hAnsiTheme="minorHAnsi"/>
          <w:sz w:val="32"/>
          <w:szCs w:val="32"/>
        </w:rPr>
        <w:t xml:space="preserve"> </w:t>
      </w:r>
      <w:r w:rsidR="00F17C9A" w:rsidRPr="00F17C9A">
        <w:rPr>
          <w:rFonts w:asciiTheme="minorHAnsi" w:eastAsia="Calibri" w:hAnsiTheme="minorHAnsi"/>
          <w:sz w:val="32"/>
          <w:szCs w:val="32"/>
        </w:rPr>
        <w:t>o</w:t>
      </w:r>
      <w:r w:rsidRPr="00F17C9A">
        <w:rPr>
          <w:rFonts w:asciiTheme="minorHAnsi" w:eastAsia="Calibri" w:hAnsiTheme="minorHAnsi"/>
          <w:sz w:val="32"/>
          <w:szCs w:val="32"/>
        </w:rPr>
        <w:t>utcome</w:t>
      </w:r>
    </w:p>
    <w:p w:rsidR="009F6856" w:rsidRPr="00FF6B7B" w:rsidRDefault="009F6856" w:rsidP="00DB0E8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 xml:space="preserve">The PBAC reaffirmed its July </w:t>
      </w:r>
      <w:r w:rsidR="00B418F3" w:rsidRPr="00FF6B7B">
        <w:rPr>
          <w:rFonts w:asciiTheme="minorHAnsi" w:eastAsiaTheme="minorHAnsi" w:hAnsiTheme="minorHAnsi" w:cstheme="minorBidi"/>
          <w:snapToGrid/>
          <w:sz w:val="24"/>
          <w:szCs w:val="22"/>
        </w:rPr>
        <w:t xml:space="preserve">2017 </w:t>
      </w:r>
      <w:r w:rsidRPr="00FF6B7B">
        <w:rPr>
          <w:rFonts w:asciiTheme="minorHAnsi" w:eastAsiaTheme="minorHAnsi" w:hAnsiTheme="minorHAnsi" w:cstheme="minorBidi"/>
          <w:snapToGrid/>
          <w:sz w:val="24"/>
          <w:szCs w:val="22"/>
        </w:rPr>
        <w:t xml:space="preserve">recommendation </w:t>
      </w:r>
      <w:r w:rsidR="003A5F42" w:rsidRPr="00FF6B7B">
        <w:rPr>
          <w:rFonts w:asciiTheme="minorHAnsi" w:eastAsiaTheme="minorHAnsi" w:hAnsiTheme="minorHAnsi" w:cstheme="minorBidi"/>
          <w:snapToGrid/>
          <w:sz w:val="24"/>
          <w:szCs w:val="22"/>
        </w:rPr>
        <w:t>that</w:t>
      </w:r>
      <w:r w:rsidRPr="00FF6B7B">
        <w:rPr>
          <w:rFonts w:asciiTheme="minorHAnsi" w:eastAsiaTheme="minorHAnsi" w:hAnsiTheme="minorHAnsi" w:cstheme="minorBidi"/>
          <w:snapToGrid/>
          <w:sz w:val="24"/>
          <w:szCs w:val="22"/>
        </w:rPr>
        <w:t xml:space="preserve"> venetoclax</w:t>
      </w:r>
      <w:r w:rsidR="003A5F42" w:rsidRPr="00FF6B7B">
        <w:rPr>
          <w:rFonts w:asciiTheme="minorHAnsi" w:eastAsiaTheme="minorHAnsi" w:hAnsiTheme="minorHAnsi" w:cstheme="minorBidi"/>
          <w:snapToGrid/>
          <w:sz w:val="24"/>
          <w:szCs w:val="22"/>
        </w:rPr>
        <w:t xml:space="preserve"> be subsidised through the PBS for the treatment of relapsed or refractory chronic lymphocytic leukaemia in patients who have failed a kinase inhibitor, without necessarily requiring evidence that these patients have a 17p deletion</w:t>
      </w:r>
      <w:r w:rsidRPr="00FF6B7B">
        <w:rPr>
          <w:rFonts w:asciiTheme="minorHAnsi" w:eastAsiaTheme="minorHAnsi" w:hAnsiTheme="minorHAnsi" w:cstheme="minorBidi"/>
          <w:snapToGrid/>
          <w:sz w:val="24"/>
          <w:szCs w:val="22"/>
        </w:rPr>
        <w:t>.</w:t>
      </w:r>
      <w:r w:rsidR="00E75C4A">
        <w:rPr>
          <w:rFonts w:asciiTheme="minorHAnsi" w:eastAsiaTheme="minorHAnsi" w:hAnsiTheme="minorHAnsi" w:cstheme="minorBidi"/>
          <w:snapToGrid/>
          <w:sz w:val="24"/>
          <w:szCs w:val="22"/>
        </w:rPr>
        <w:t xml:space="preserve"> The PBAC recommended that venetoclax be listed as Authority Required (in writing) for initial treatment and as Authority Required (telephone) for continuing treatment.</w:t>
      </w:r>
    </w:p>
    <w:p w:rsidR="00B418F3" w:rsidRPr="00FF6B7B" w:rsidRDefault="009F6856" w:rsidP="00DB0E8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F6B7B">
        <w:rPr>
          <w:rFonts w:asciiTheme="minorHAnsi" w:eastAsiaTheme="minorHAnsi" w:hAnsiTheme="minorHAnsi" w:cstheme="minorBidi"/>
          <w:snapToGrid/>
          <w:sz w:val="24"/>
          <w:szCs w:val="22"/>
        </w:rPr>
        <w:t xml:space="preserve">The PBAC </w:t>
      </w:r>
      <w:r w:rsidR="00163C7F">
        <w:rPr>
          <w:rFonts w:asciiTheme="minorHAnsi" w:eastAsiaTheme="minorHAnsi" w:hAnsiTheme="minorHAnsi" w:cstheme="minorBidi"/>
          <w:snapToGrid/>
          <w:sz w:val="24"/>
          <w:szCs w:val="22"/>
        </w:rPr>
        <w:t>recalled</w:t>
      </w:r>
      <w:r w:rsidRPr="00FF6B7B">
        <w:rPr>
          <w:rFonts w:asciiTheme="minorHAnsi" w:eastAsiaTheme="minorHAnsi" w:hAnsiTheme="minorHAnsi" w:cstheme="minorBidi"/>
          <w:snapToGrid/>
          <w:sz w:val="24"/>
          <w:szCs w:val="22"/>
        </w:rPr>
        <w:t xml:space="preserve"> that it had recommended venetoclax </w:t>
      </w:r>
      <w:r w:rsidR="00B418F3" w:rsidRPr="00FF6B7B">
        <w:rPr>
          <w:rFonts w:asciiTheme="minorHAnsi" w:eastAsiaTheme="minorHAnsi" w:hAnsiTheme="minorHAnsi" w:cstheme="minorBidi"/>
          <w:snapToGrid/>
          <w:sz w:val="24"/>
          <w:szCs w:val="22"/>
        </w:rPr>
        <w:t xml:space="preserve">in July 2017 </w:t>
      </w:r>
      <w:r w:rsidRPr="00FF6B7B">
        <w:rPr>
          <w:rFonts w:asciiTheme="minorHAnsi" w:eastAsiaTheme="minorHAnsi" w:hAnsiTheme="minorHAnsi" w:cstheme="minorBidi"/>
          <w:snapToGrid/>
          <w:sz w:val="24"/>
          <w:szCs w:val="22"/>
        </w:rPr>
        <w:t>on the basis of limited evidence in order to facilitate early p</w:t>
      </w:r>
      <w:r w:rsidR="00163C7F">
        <w:rPr>
          <w:rFonts w:asciiTheme="minorHAnsi" w:eastAsiaTheme="minorHAnsi" w:hAnsiTheme="minorHAnsi" w:cstheme="minorBidi"/>
          <w:snapToGrid/>
          <w:sz w:val="24"/>
          <w:szCs w:val="22"/>
        </w:rPr>
        <w:t>atient access to this medicine.</w:t>
      </w:r>
    </w:p>
    <w:p w:rsidR="00E26119" w:rsidRPr="00FF6B7B" w:rsidRDefault="00B418F3" w:rsidP="00DB0E87">
      <w:pPr>
        <w:pStyle w:val="ListParagraph"/>
        <w:widowControl/>
        <w:numPr>
          <w:ilvl w:val="1"/>
          <w:numId w:val="14"/>
        </w:numPr>
        <w:spacing w:before="120" w:after="160"/>
        <w:contextualSpacing w:val="0"/>
        <w:rPr>
          <w:rFonts w:asciiTheme="minorHAnsi" w:eastAsia="Calibri" w:hAnsiTheme="minorHAnsi"/>
          <w:sz w:val="24"/>
          <w:szCs w:val="24"/>
        </w:rPr>
      </w:pPr>
      <w:r w:rsidRPr="00FF6B7B">
        <w:rPr>
          <w:rFonts w:asciiTheme="minorHAnsi" w:eastAsiaTheme="minorHAnsi" w:hAnsiTheme="minorHAnsi" w:cstheme="minorBidi"/>
          <w:snapToGrid/>
          <w:sz w:val="24"/>
          <w:szCs w:val="22"/>
        </w:rPr>
        <w:t xml:space="preserve">The PBAC noted </w:t>
      </w:r>
      <w:r w:rsidR="00163C7F">
        <w:rPr>
          <w:rFonts w:asciiTheme="minorHAnsi" w:eastAsiaTheme="minorHAnsi" w:hAnsiTheme="minorHAnsi" w:cstheme="minorBidi"/>
          <w:snapToGrid/>
          <w:sz w:val="24"/>
          <w:szCs w:val="22"/>
        </w:rPr>
        <w:t xml:space="preserve">that </w:t>
      </w:r>
      <w:r w:rsidRPr="00FF6B7B">
        <w:rPr>
          <w:rFonts w:asciiTheme="minorHAnsi" w:eastAsiaTheme="minorHAnsi" w:hAnsiTheme="minorHAnsi" w:cstheme="minorBidi"/>
          <w:snapToGrid/>
          <w:sz w:val="24"/>
          <w:szCs w:val="22"/>
        </w:rPr>
        <w:t xml:space="preserve">the sponsor’s pre-PBAC response </w:t>
      </w:r>
      <w:r w:rsidR="00163C7F">
        <w:rPr>
          <w:rFonts w:asciiTheme="minorHAnsi" w:eastAsiaTheme="minorHAnsi" w:hAnsiTheme="minorHAnsi" w:cstheme="minorBidi"/>
          <w:snapToGrid/>
          <w:sz w:val="24"/>
          <w:szCs w:val="22"/>
        </w:rPr>
        <w:t>had</w:t>
      </w:r>
      <w:r w:rsidR="009850FE">
        <w:rPr>
          <w:rFonts w:asciiTheme="minorHAnsi" w:eastAsiaTheme="minorHAnsi" w:hAnsiTheme="minorHAnsi" w:cstheme="minorBidi"/>
          <w:snapToGrid/>
          <w:sz w:val="24"/>
          <w:szCs w:val="22"/>
        </w:rPr>
        <w:t xml:space="preserve"> </w:t>
      </w:r>
      <w:r w:rsidRPr="00FF6B7B">
        <w:rPr>
          <w:rFonts w:asciiTheme="minorHAnsi" w:eastAsiaTheme="minorHAnsi" w:hAnsiTheme="minorHAnsi" w:cstheme="minorBidi"/>
          <w:snapToGrid/>
          <w:sz w:val="24"/>
          <w:szCs w:val="22"/>
        </w:rPr>
        <w:t xml:space="preserve">requested </w:t>
      </w:r>
      <w:r w:rsidR="00163C7F">
        <w:rPr>
          <w:rFonts w:asciiTheme="minorHAnsi" w:eastAsiaTheme="minorHAnsi" w:hAnsiTheme="minorHAnsi" w:cstheme="minorBidi"/>
          <w:snapToGrid/>
          <w:sz w:val="24"/>
          <w:szCs w:val="22"/>
        </w:rPr>
        <w:t xml:space="preserve">that </w:t>
      </w:r>
      <w:r w:rsidRPr="00FF6B7B">
        <w:rPr>
          <w:rFonts w:asciiTheme="minorHAnsi" w:eastAsiaTheme="minorHAnsi" w:hAnsiTheme="minorHAnsi" w:cstheme="minorBidi"/>
          <w:snapToGrid/>
          <w:sz w:val="24"/>
          <w:szCs w:val="22"/>
        </w:rPr>
        <w:t>the Committee consider using a comparison against best supportive care (BSC) rather than idelalisib with rituximab as a basis for recommending the listing of venetoclax monotherapy</w:t>
      </w:r>
      <w:r w:rsidR="00421253" w:rsidRPr="00FF6B7B">
        <w:rPr>
          <w:rFonts w:asciiTheme="minorHAnsi" w:eastAsiaTheme="minorHAnsi" w:hAnsiTheme="minorHAnsi" w:cstheme="minorBidi"/>
          <w:snapToGrid/>
          <w:sz w:val="24"/>
          <w:szCs w:val="22"/>
        </w:rPr>
        <w:t>,</w:t>
      </w:r>
      <w:r w:rsidRPr="00FF6B7B">
        <w:rPr>
          <w:rFonts w:asciiTheme="minorHAnsi" w:eastAsiaTheme="minorHAnsi" w:hAnsiTheme="minorHAnsi" w:cstheme="minorBidi"/>
          <w:snapToGrid/>
          <w:sz w:val="24"/>
          <w:szCs w:val="22"/>
        </w:rPr>
        <w:t xml:space="preserve"> and that a Managed Access Program be developed to manage any residual uncertainty</w:t>
      </w:r>
      <w:r w:rsidR="00E26119" w:rsidRPr="00FF6B7B">
        <w:rPr>
          <w:rFonts w:asciiTheme="minorHAnsi" w:eastAsiaTheme="minorHAnsi" w:hAnsiTheme="minorHAnsi" w:cstheme="minorBidi"/>
          <w:snapToGrid/>
          <w:sz w:val="24"/>
          <w:szCs w:val="22"/>
        </w:rPr>
        <w:t xml:space="preserve"> the</w:t>
      </w:r>
      <w:r w:rsidRPr="00FF6B7B">
        <w:rPr>
          <w:rFonts w:asciiTheme="minorHAnsi" w:eastAsiaTheme="minorHAnsi" w:hAnsiTheme="minorHAnsi" w:cstheme="minorBidi"/>
          <w:snapToGrid/>
          <w:sz w:val="24"/>
          <w:szCs w:val="22"/>
        </w:rPr>
        <w:t xml:space="preserve"> PBAC has with respect to venetoclax monotherapy. The PBAC noted that a Managed Access Program </w:t>
      </w:r>
      <w:r w:rsidR="00163C7F">
        <w:rPr>
          <w:rFonts w:asciiTheme="minorHAnsi" w:eastAsiaTheme="minorHAnsi" w:hAnsiTheme="minorHAnsi" w:cstheme="minorBidi"/>
          <w:snapToGrid/>
          <w:sz w:val="24"/>
          <w:szCs w:val="22"/>
        </w:rPr>
        <w:t xml:space="preserve">would </w:t>
      </w:r>
      <w:r w:rsidR="00E26119" w:rsidRPr="00FF6B7B">
        <w:rPr>
          <w:rFonts w:asciiTheme="minorHAnsi" w:eastAsiaTheme="minorHAnsi" w:hAnsiTheme="minorHAnsi" w:cstheme="minorBidi"/>
          <w:snapToGrid/>
          <w:sz w:val="24"/>
          <w:szCs w:val="22"/>
        </w:rPr>
        <w:t xml:space="preserve">only </w:t>
      </w:r>
      <w:r w:rsidR="00163C7F">
        <w:rPr>
          <w:rFonts w:asciiTheme="minorHAnsi" w:eastAsiaTheme="minorHAnsi" w:hAnsiTheme="minorHAnsi" w:cstheme="minorBidi"/>
          <w:snapToGrid/>
          <w:sz w:val="24"/>
          <w:szCs w:val="22"/>
        </w:rPr>
        <w:t xml:space="preserve">be </w:t>
      </w:r>
      <w:r w:rsidR="00E26119" w:rsidRPr="00FF6B7B">
        <w:rPr>
          <w:rFonts w:asciiTheme="minorHAnsi" w:eastAsiaTheme="minorHAnsi" w:hAnsiTheme="minorHAnsi" w:cstheme="minorBidi"/>
          <w:snapToGrid/>
          <w:sz w:val="24"/>
          <w:szCs w:val="22"/>
        </w:rPr>
        <w:t>appropriate “where the PBAC is satisfied that new evidence will become available with a reasonable time frame that will resolve the issues of clinical and/or economic uncertainty</w:t>
      </w:r>
      <w:r w:rsidR="009A5192" w:rsidRPr="00FF6B7B">
        <w:rPr>
          <w:rFonts w:asciiTheme="minorHAnsi" w:eastAsiaTheme="minorHAnsi" w:hAnsiTheme="minorHAnsi" w:cstheme="minorBidi"/>
          <w:snapToGrid/>
          <w:sz w:val="24"/>
          <w:szCs w:val="22"/>
        </w:rPr>
        <w:t>…</w:t>
      </w:r>
      <w:r w:rsidR="00421253" w:rsidRPr="00163C7F">
        <w:rPr>
          <w:rFonts w:eastAsiaTheme="minorHAnsi" w:cstheme="minorBidi"/>
          <w:snapToGrid/>
          <w:sz w:val="24"/>
          <w:szCs w:val="22"/>
          <w:vertAlign w:val="superscript"/>
        </w:rPr>
        <w:footnoteReference w:id="1"/>
      </w:r>
      <w:r w:rsidR="00E26119" w:rsidRPr="00FF6B7B">
        <w:rPr>
          <w:rFonts w:asciiTheme="minorHAnsi" w:eastAsiaTheme="minorHAnsi" w:hAnsiTheme="minorHAnsi" w:cstheme="minorBidi"/>
          <w:snapToGrid/>
          <w:sz w:val="24"/>
          <w:szCs w:val="22"/>
        </w:rPr>
        <w:t>”</w:t>
      </w:r>
      <w:r w:rsidR="00421253" w:rsidRPr="00FF6B7B">
        <w:rPr>
          <w:rFonts w:asciiTheme="minorHAnsi" w:eastAsiaTheme="minorHAnsi" w:hAnsiTheme="minorHAnsi" w:cstheme="minorBidi"/>
          <w:snapToGrid/>
          <w:sz w:val="24"/>
          <w:szCs w:val="22"/>
        </w:rPr>
        <w:t>.</w:t>
      </w:r>
      <w:r w:rsidR="009A5192" w:rsidRPr="00FF6B7B">
        <w:rPr>
          <w:rFonts w:asciiTheme="minorHAnsi" w:eastAsiaTheme="minorHAnsi" w:hAnsiTheme="minorHAnsi" w:cstheme="minorBidi"/>
          <w:snapToGrid/>
          <w:sz w:val="24"/>
          <w:szCs w:val="22"/>
        </w:rPr>
        <w:t xml:space="preserve"> </w:t>
      </w:r>
      <w:r w:rsidR="00E26119" w:rsidRPr="00FF6B7B">
        <w:rPr>
          <w:rFonts w:asciiTheme="minorHAnsi" w:eastAsiaTheme="minorHAnsi" w:hAnsiTheme="minorHAnsi" w:cstheme="minorBidi"/>
          <w:snapToGrid/>
          <w:sz w:val="24"/>
          <w:szCs w:val="22"/>
        </w:rPr>
        <w:t xml:space="preserve">The PBAC noted the sponsor’s advice that no more clinical data will be available for venetoclax </w:t>
      </w:r>
      <w:r w:rsidR="00E26119" w:rsidRPr="00FF6B7B">
        <w:rPr>
          <w:rFonts w:asciiTheme="minorHAnsi" w:eastAsiaTheme="minorHAnsi" w:hAnsiTheme="minorHAnsi" w:cstheme="minorBidi"/>
          <w:snapToGrid/>
          <w:sz w:val="24"/>
          <w:szCs w:val="24"/>
        </w:rPr>
        <w:t>monotherapy, thus the requirements for a</w:t>
      </w:r>
      <w:r w:rsidR="00E26119" w:rsidRPr="00FF6B7B">
        <w:rPr>
          <w:rFonts w:asciiTheme="minorHAnsi" w:eastAsia="Calibri" w:hAnsiTheme="minorHAnsi"/>
          <w:sz w:val="24"/>
          <w:szCs w:val="24"/>
        </w:rPr>
        <w:t xml:space="preserve"> Managed Access Program cannot be met.</w:t>
      </w:r>
    </w:p>
    <w:p w:rsidR="007D208F" w:rsidRPr="00FF6B7B" w:rsidRDefault="007D208F" w:rsidP="002B3C2C">
      <w:pPr>
        <w:spacing w:before="240"/>
        <w:jc w:val="both"/>
        <w:rPr>
          <w:rFonts w:asciiTheme="minorHAnsi" w:hAnsiTheme="minorHAnsi" w:cs="Arial"/>
          <w:b/>
          <w:bCs/>
          <w:snapToGrid w:val="0"/>
          <w:sz w:val="28"/>
          <w:szCs w:val="28"/>
        </w:rPr>
      </w:pPr>
      <w:r w:rsidRPr="00FF6B7B">
        <w:rPr>
          <w:rFonts w:asciiTheme="minorHAnsi" w:hAnsiTheme="minorHAnsi" w:cs="Arial"/>
          <w:b/>
          <w:bCs/>
          <w:snapToGrid w:val="0"/>
          <w:sz w:val="28"/>
          <w:szCs w:val="28"/>
        </w:rPr>
        <w:t>Outcome:</w:t>
      </w:r>
    </w:p>
    <w:p w:rsidR="007D208F" w:rsidRPr="00FF6B7B" w:rsidRDefault="007D208F" w:rsidP="002B3C2C">
      <w:pPr>
        <w:jc w:val="both"/>
        <w:rPr>
          <w:rFonts w:asciiTheme="minorHAnsi" w:hAnsiTheme="minorHAnsi" w:cs="Arial"/>
          <w:bCs/>
          <w:snapToGrid w:val="0"/>
        </w:rPr>
      </w:pPr>
      <w:r w:rsidRPr="00FF6B7B">
        <w:rPr>
          <w:rFonts w:asciiTheme="minorHAnsi" w:hAnsiTheme="minorHAnsi" w:cs="Arial"/>
          <w:bCs/>
          <w:snapToGrid w:val="0"/>
        </w:rPr>
        <w:t>Recommended</w:t>
      </w:r>
    </w:p>
    <w:p w:rsidR="007D208F" w:rsidRPr="00FF6B7B" w:rsidRDefault="007D208F" w:rsidP="007D208F">
      <w:pPr>
        <w:widowControl w:val="0"/>
        <w:numPr>
          <w:ilvl w:val="0"/>
          <w:numId w:val="5"/>
        </w:numPr>
        <w:spacing w:before="240" w:after="120"/>
        <w:jc w:val="both"/>
        <w:outlineLvl w:val="0"/>
        <w:rPr>
          <w:rFonts w:asciiTheme="minorHAnsi" w:hAnsiTheme="minorHAnsi" w:cs="Arial"/>
          <w:b/>
          <w:bCs/>
          <w:snapToGrid w:val="0"/>
          <w:sz w:val="32"/>
          <w:szCs w:val="32"/>
        </w:rPr>
      </w:pPr>
      <w:r w:rsidRPr="00FF6B7B">
        <w:rPr>
          <w:rFonts w:asciiTheme="minorHAnsi" w:hAnsiTheme="minorHAnsi" w:cs="Arial"/>
          <w:b/>
          <w:bCs/>
          <w:snapToGrid w:val="0"/>
          <w:sz w:val="32"/>
          <w:szCs w:val="32"/>
        </w:rPr>
        <w:t>Recommended listing</w:t>
      </w:r>
    </w:p>
    <w:p w:rsidR="007D208F" w:rsidRPr="00447A0F" w:rsidRDefault="007D208F" w:rsidP="007D208F">
      <w:pPr>
        <w:widowControl w:val="0"/>
        <w:numPr>
          <w:ilvl w:val="1"/>
          <w:numId w:val="5"/>
        </w:numPr>
        <w:spacing w:after="120"/>
        <w:jc w:val="both"/>
        <w:rPr>
          <w:rFonts w:asciiTheme="minorHAnsi" w:hAnsiTheme="minorHAnsi" w:cs="Arial"/>
          <w:bCs/>
          <w:snapToGrid w:val="0"/>
        </w:rPr>
      </w:pPr>
      <w:r w:rsidRPr="00FF6B7B">
        <w:rPr>
          <w:rFonts w:asciiTheme="minorHAnsi" w:hAnsiTheme="minorHAnsi" w:cs="Arial"/>
          <w:bCs/>
          <w:snapToGrid w:val="0"/>
        </w:rPr>
        <w:t>Add new item:</w:t>
      </w:r>
    </w:p>
    <w:p w:rsidR="0052253E" w:rsidRPr="00447A0F" w:rsidRDefault="0052253E">
      <w:pPr>
        <w:rPr>
          <w:rFonts w:asciiTheme="minorHAnsi" w:hAnsiTheme="minorHAnsi"/>
        </w:rPr>
      </w:pPr>
    </w:p>
    <w:tbl>
      <w:tblPr>
        <w:tblW w:w="4997" w:type="pct"/>
        <w:tblInd w:w="-8" w:type="dxa"/>
        <w:tblCellMar>
          <w:left w:w="28" w:type="dxa"/>
          <w:right w:w="28" w:type="dxa"/>
        </w:tblCellMar>
        <w:tblLook w:val="0000" w:firstRow="0" w:lastRow="0" w:firstColumn="0" w:lastColumn="0" w:noHBand="0" w:noVBand="0"/>
      </w:tblPr>
      <w:tblGrid>
        <w:gridCol w:w="2118"/>
        <w:gridCol w:w="1078"/>
        <w:gridCol w:w="517"/>
        <w:gridCol w:w="904"/>
        <w:gridCol w:w="1420"/>
        <w:gridCol w:w="1521"/>
        <w:gridCol w:w="1519"/>
      </w:tblGrid>
      <w:tr w:rsidR="00BD7968" w:rsidRPr="00FF6B7B" w:rsidTr="009148B8">
        <w:trPr>
          <w:cantSplit/>
          <w:trHeight w:val="463"/>
        </w:trPr>
        <w:tc>
          <w:tcPr>
            <w:tcW w:w="1760" w:type="pct"/>
            <w:gridSpan w:val="2"/>
            <w:tcBorders>
              <w:bottom w:val="single" w:sz="4" w:space="0" w:color="auto"/>
            </w:tcBorders>
            <w:vAlign w:val="center"/>
          </w:tcPr>
          <w:p w:rsidR="00BD7968" w:rsidRPr="00FF6B7B" w:rsidRDefault="00BD7968" w:rsidP="00AF5DDC">
            <w:pPr>
              <w:keepNext/>
              <w:rPr>
                <w:rFonts w:ascii="Arial Narrow" w:hAnsi="Arial Narrow"/>
                <w:sz w:val="20"/>
              </w:rPr>
            </w:pPr>
            <w:r w:rsidRPr="00FF6B7B">
              <w:rPr>
                <w:rFonts w:ascii="Arial Narrow" w:hAnsi="Arial Narrow"/>
                <w:sz w:val="20"/>
              </w:rPr>
              <w:t>Name, Restriction,</w:t>
            </w:r>
          </w:p>
          <w:p w:rsidR="00BD7968" w:rsidRPr="00FF6B7B" w:rsidRDefault="00BD7968" w:rsidP="00AF5DDC">
            <w:pPr>
              <w:keepNext/>
              <w:rPr>
                <w:rFonts w:ascii="Arial Narrow" w:hAnsi="Arial Narrow"/>
                <w:sz w:val="20"/>
              </w:rPr>
            </w:pPr>
            <w:r w:rsidRPr="00FF6B7B">
              <w:rPr>
                <w:rFonts w:ascii="Arial Narrow" w:hAnsi="Arial Narrow"/>
                <w:sz w:val="20"/>
              </w:rPr>
              <w:t>Manner of administration and form</w:t>
            </w:r>
          </w:p>
        </w:tc>
        <w:tc>
          <w:tcPr>
            <w:tcW w:w="285" w:type="pct"/>
            <w:tcBorders>
              <w:bottom w:val="single" w:sz="4" w:space="0" w:color="auto"/>
            </w:tcBorders>
            <w:vAlign w:val="center"/>
          </w:tcPr>
          <w:p w:rsidR="00BD7968" w:rsidRPr="00FF6B7B" w:rsidRDefault="007D208F" w:rsidP="00AF5DDC">
            <w:pPr>
              <w:keepNext/>
              <w:jc w:val="center"/>
              <w:rPr>
                <w:rFonts w:ascii="Arial Narrow" w:hAnsi="Arial Narrow"/>
                <w:sz w:val="20"/>
              </w:rPr>
            </w:pPr>
            <w:r w:rsidRPr="00FF6B7B">
              <w:rPr>
                <w:rFonts w:ascii="Arial Narrow" w:hAnsi="Arial Narrow"/>
                <w:sz w:val="20"/>
              </w:rPr>
              <w:t>M</w:t>
            </w:r>
            <w:r w:rsidR="00BD7968" w:rsidRPr="00FF6B7B">
              <w:rPr>
                <w:rFonts w:ascii="Arial Narrow" w:hAnsi="Arial Narrow"/>
                <w:sz w:val="20"/>
              </w:rPr>
              <w:t>ax.</w:t>
            </w:r>
          </w:p>
          <w:p w:rsidR="00BD7968" w:rsidRPr="00FF6B7B" w:rsidRDefault="00BD7968" w:rsidP="00AF5DDC">
            <w:pPr>
              <w:keepNext/>
              <w:jc w:val="center"/>
              <w:rPr>
                <w:rFonts w:ascii="Arial Narrow" w:hAnsi="Arial Narrow"/>
                <w:sz w:val="20"/>
              </w:rPr>
            </w:pPr>
            <w:r w:rsidRPr="00FF6B7B">
              <w:rPr>
                <w:rFonts w:ascii="Arial Narrow" w:hAnsi="Arial Narrow"/>
                <w:sz w:val="20"/>
              </w:rPr>
              <w:t>Qty</w:t>
            </w:r>
          </w:p>
        </w:tc>
        <w:tc>
          <w:tcPr>
            <w:tcW w:w="498" w:type="pct"/>
            <w:tcBorders>
              <w:bottom w:val="single" w:sz="4" w:space="0" w:color="auto"/>
            </w:tcBorders>
            <w:vAlign w:val="center"/>
          </w:tcPr>
          <w:p w:rsidR="00BD7968" w:rsidRPr="00FF6B7B" w:rsidRDefault="00BD7968" w:rsidP="00AF5DDC">
            <w:pPr>
              <w:keepNext/>
              <w:jc w:val="center"/>
              <w:rPr>
                <w:rFonts w:ascii="Arial Narrow" w:hAnsi="Arial Narrow"/>
                <w:sz w:val="20"/>
              </w:rPr>
            </w:pPr>
            <w:r w:rsidRPr="00FF6B7B">
              <w:rPr>
                <w:rFonts w:ascii="Arial Narrow" w:hAnsi="Arial Narrow"/>
                <w:sz w:val="20"/>
              </w:rPr>
              <w:t>№.of</w:t>
            </w:r>
          </w:p>
          <w:p w:rsidR="00BD7968" w:rsidRPr="00FF6B7B" w:rsidRDefault="00BD7968" w:rsidP="00AF5DDC">
            <w:pPr>
              <w:keepNext/>
              <w:jc w:val="center"/>
              <w:rPr>
                <w:rFonts w:ascii="Arial Narrow" w:hAnsi="Arial Narrow"/>
                <w:sz w:val="20"/>
              </w:rPr>
            </w:pPr>
            <w:r w:rsidRPr="00FF6B7B">
              <w:rPr>
                <w:rFonts w:ascii="Arial Narrow" w:hAnsi="Arial Narrow"/>
                <w:sz w:val="20"/>
              </w:rPr>
              <w:t>Rpts</w:t>
            </w:r>
          </w:p>
        </w:tc>
        <w:tc>
          <w:tcPr>
            <w:tcW w:w="782" w:type="pct"/>
            <w:tcBorders>
              <w:bottom w:val="single" w:sz="4" w:space="0" w:color="auto"/>
            </w:tcBorders>
            <w:vAlign w:val="center"/>
          </w:tcPr>
          <w:p w:rsidR="00BD7968" w:rsidRPr="00FF6B7B" w:rsidRDefault="00BD7968" w:rsidP="00AF5DDC">
            <w:pPr>
              <w:keepNext/>
              <w:jc w:val="center"/>
              <w:rPr>
                <w:rFonts w:ascii="Arial Narrow" w:hAnsi="Arial Narrow"/>
                <w:sz w:val="20"/>
              </w:rPr>
            </w:pPr>
          </w:p>
        </w:tc>
        <w:tc>
          <w:tcPr>
            <w:tcW w:w="838" w:type="pct"/>
            <w:tcBorders>
              <w:bottom w:val="single" w:sz="4" w:space="0" w:color="auto"/>
            </w:tcBorders>
            <w:vAlign w:val="center"/>
          </w:tcPr>
          <w:p w:rsidR="00BD7968" w:rsidRPr="00FF6B7B" w:rsidRDefault="00BD7968" w:rsidP="00AF5DDC">
            <w:pPr>
              <w:keepNext/>
              <w:jc w:val="center"/>
              <w:rPr>
                <w:rFonts w:ascii="Arial Narrow" w:hAnsi="Arial Narrow"/>
                <w:sz w:val="20"/>
              </w:rPr>
            </w:pPr>
            <w:r w:rsidRPr="00FF6B7B">
              <w:rPr>
                <w:rFonts w:ascii="Arial Narrow" w:hAnsi="Arial Narrow"/>
                <w:sz w:val="20"/>
              </w:rPr>
              <w:t xml:space="preserve">Proprietary Name </w:t>
            </w:r>
          </w:p>
        </w:tc>
        <w:tc>
          <w:tcPr>
            <w:tcW w:w="837" w:type="pct"/>
            <w:tcBorders>
              <w:bottom w:val="single" w:sz="4" w:space="0" w:color="auto"/>
            </w:tcBorders>
            <w:vAlign w:val="center"/>
          </w:tcPr>
          <w:p w:rsidR="00BD7968" w:rsidRPr="00FF6B7B" w:rsidRDefault="00BD7968" w:rsidP="00AF5DDC">
            <w:pPr>
              <w:keepNext/>
              <w:jc w:val="center"/>
              <w:rPr>
                <w:rFonts w:ascii="Arial Narrow" w:hAnsi="Arial Narrow"/>
                <w:sz w:val="20"/>
              </w:rPr>
            </w:pPr>
            <w:r w:rsidRPr="00FF6B7B">
              <w:rPr>
                <w:rFonts w:ascii="Arial Narrow" w:hAnsi="Arial Narrow"/>
                <w:sz w:val="20"/>
              </w:rPr>
              <w:t>Manufacturer</w:t>
            </w:r>
          </w:p>
        </w:tc>
      </w:tr>
      <w:tr w:rsidR="00BD7968" w:rsidRPr="00FF6B7B" w:rsidTr="009148B8">
        <w:trPr>
          <w:cantSplit/>
          <w:trHeight w:val="876"/>
        </w:trPr>
        <w:tc>
          <w:tcPr>
            <w:tcW w:w="1760" w:type="pct"/>
            <w:gridSpan w:val="2"/>
            <w:tcBorders>
              <w:top w:val="single" w:sz="4" w:space="0" w:color="auto"/>
            </w:tcBorders>
            <w:vAlign w:val="center"/>
          </w:tcPr>
          <w:p w:rsidR="00BD7968" w:rsidRPr="00FF6B7B" w:rsidRDefault="00BD7968" w:rsidP="00AF5DDC">
            <w:pPr>
              <w:keepNext/>
              <w:rPr>
                <w:rFonts w:ascii="Arial Narrow" w:hAnsi="Arial Narrow"/>
                <w:sz w:val="20"/>
              </w:rPr>
            </w:pPr>
            <w:r w:rsidRPr="00FF6B7B">
              <w:rPr>
                <w:rFonts w:ascii="Arial Narrow" w:hAnsi="Arial Narrow"/>
                <w:smallCaps/>
                <w:sz w:val="20"/>
              </w:rPr>
              <w:t>Venetoclax</w:t>
            </w:r>
          </w:p>
          <w:p w:rsidR="00BD7968" w:rsidRPr="00FF6B7B" w:rsidRDefault="00BD7968" w:rsidP="00624E81">
            <w:pPr>
              <w:rPr>
                <w:rFonts w:ascii="Arial Narrow" w:hAnsi="Arial Narrow"/>
                <w:sz w:val="20"/>
              </w:rPr>
            </w:pPr>
            <w:r w:rsidRPr="00FF6B7B">
              <w:rPr>
                <w:rFonts w:ascii="Arial Narrow" w:hAnsi="Arial Narrow"/>
                <w:sz w:val="20"/>
              </w:rPr>
              <w:t>Tablets, 10 mg, 14, 50 mg, 7, 100 mg,</w:t>
            </w:r>
            <w:r w:rsidR="00805B31">
              <w:rPr>
                <w:rFonts w:ascii="Arial Narrow" w:hAnsi="Arial Narrow"/>
                <w:sz w:val="20"/>
              </w:rPr>
              <w:t xml:space="preserve"> </w:t>
            </w:r>
            <w:r w:rsidR="00624E81">
              <w:rPr>
                <w:rFonts w:ascii="Arial Narrow" w:hAnsi="Arial Narrow"/>
                <w:sz w:val="20"/>
              </w:rPr>
              <w:t>21</w:t>
            </w:r>
          </w:p>
        </w:tc>
        <w:tc>
          <w:tcPr>
            <w:tcW w:w="285" w:type="pct"/>
            <w:tcBorders>
              <w:top w:val="single" w:sz="4" w:space="0" w:color="auto"/>
            </w:tcBorders>
            <w:vAlign w:val="center"/>
          </w:tcPr>
          <w:p w:rsidR="00BD7968" w:rsidRPr="00FF6B7B" w:rsidRDefault="00BD7968" w:rsidP="00AF5DDC">
            <w:pPr>
              <w:keepNext/>
              <w:jc w:val="center"/>
              <w:rPr>
                <w:rFonts w:ascii="Arial Narrow" w:hAnsi="Arial Narrow"/>
                <w:sz w:val="20"/>
              </w:rPr>
            </w:pPr>
            <w:r w:rsidRPr="00FF6B7B">
              <w:rPr>
                <w:rFonts w:ascii="Arial Narrow" w:hAnsi="Arial Narrow"/>
                <w:sz w:val="20"/>
              </w:rPr>
              <w:t>1</w:t>
            </w:r>
          </w:p>
        </w:tc>
        <w:tc>
          <w:tcPr>
            <w:tcW w:w="498" w:type="pct"/>
            <w:tcBorders>
              <w:top w:val="single" w:sz="4" w:space="0" w:color="auto"/>
            </w:tcBorders>
            <w:vAlign w:val="center"/>
          </w:tcPr>
          <w:p w:rsidR="00BD7968" w:rsidRPr="00FF6B7B" w:rsidRDefault="00BD7968" w:rsidP="00AF5DDC">
            <w:pPr>
              <w:keepNext/>
              <w:jc w:val="center"/>
              <w:rPr>
                <w:rFonts w:ascii="Arial Narrow" w:hAnsi="Arial Narrow"/>
                <w:sz w:val="20"/>
              </w:rPr>
            </w:pPr>
            <w:r w:rsidRPr="00FF6B7B">
              <w:rPr>
                <w:rFonts w:ascii="Arial Narrow" w:hAnsi="Arial Narrow"/>
                <w:sz w:val="20"/>
              </w:rPr>
              <w:t>0</w:t>
            </w:r>
          </w:p>
        </w:tc>
        <w:tc>
          <w:tcPr>
            <w:tcW w:w="782" w:type="pct"/>
            <w:tcBorders>
              <w:top w:val="single" w:sz="4" w:space="0" w:color="auto"/>
            </w:tcBorders>
            <w:vAlign w:val="center"/>
          </w:tcPr>
          <w:p w:rsidR="00BD7968" w:rsidRPr="00FF6B7B" w:rsidRDefault="00BD7968" w:rsidP="00AF5DDC">
            <w:pPr>
              <w:keepNext/>
              <w:jc w:val="center"/>
              <w:rPr>
                <w:rFonts w:ascii="Arial Narrow" w:hAnsi="Arial Narrow"/>
                <w:sz w:val="20"/>
              </w:rPr>
            </w:pPr>
          </w:p>
        </w:tc>
        <w:tc>
          <w:tcPr>
            <w:tcW w:w="838" w:type="pct"/>
            <w:tcBorders>
              <w:top w:val="single" w:sz="4" w:space="0" w:color="auto"/>
            </w:tcBorders>
            <w:vAlign w:val="center"/>
          </w:tcPr>
          <w:p w:rsidR="00BD7968" w:rsidRPr="00FF6B7B" w:rsidRDefault="00BD7968" w:rsidP="00AF5DDC">
            <w:pPr>
              <w:keepNext/>
              <w:jc w:val="center"/>
              <w:rPr>
                <w:rFonts w:ascii="Arial Narrow" w:hAnsi="Arial Narrow"/>
                <w:sz w:val="20"/>
              </w:rPr>
            </w:pPr>
            <w:r w:rsidRPr="00FF6B7B">
              <w:rPr>
                <w:rFonts w:ascii="Arial Narrow" w:hAnsi="Arial Narrow"/>
                <w:sz w:val="20"/>
              </w:rPr>
              <w:t>Venclexta®</w:t>
            </w:r>
          </w:p>
        </w:tc>
        <w:tc>
          <w:tcPr>
            <w:tcW w:w="837" w:type="pct"/>
            <w:tcBorders>
              <w:top w:val="single" w:sz="4" w:space="0" w:color="auto"/>
            </w:tcBorders>
            <w:vAlign w:val="center"/>
          </w:tcPr>
          <w:p w:rsidR="00BD7968" w:rsidRPr="00FF6B7B" w:rsidRDefault="00BD7968" w:rsidP="00AF5DDC">
            <w:pPr>
              <w:keepNext/>
              <w:jc w:val="center"/>
              <w:rPr>
                <w:rFonts w:ascii="Arial Narrow" w:hAnsi="Arial Narrow"/>
                <w:sz w:val="20"/>
              </w:rPr>
            </w:pPr>
            <w:r w:rsidRPr="00FF6B7B">
              <w:rPr>
                <w:rFonts w:ascii="Arial Narrow" w:hAnsi="Arial Narrow"/>
                <w:sz w:val="20"/>
              </w:rPr>
              <w:t>AbbVie Pty Ltd.</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Category / Program</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GENERAL – General Schedule (Code GE)</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Prescriber type:</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Check1"/>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 xml:space="preserve">Dental  </w:t>
            </w:r>
            <w:r w:rsidRPr="00FF6B7B">
              <w:rPr>
                <w:rFonts w:ascii="Arial Narrow" w:hAnsi="Arial Narrow" w:cs="Arial"/>
                <w:sz w:val="20"/>
                <w:szCs w:val="20"/>
              </w:rPr>
              <w:fldChar w:fldCharType="begin">
                <w:ffData>
                  <w:name w:val=""/>
                  <w:enabled/>
                  <w:calcOnExit w:val="0"/>
                  <w:checkBox>
                    <w:sizeAuto/>
                    <w:default w:val="1"/>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 xml:space="preserve">Medical Practitioners  </w:t>
            </w:r>
            <w:r w:rsidRPr="00FF6B7B">
              <w:rPr>
                <w:rFonts w:ascii="Arial Narrow" w:hAnsi="Arial Narrow" w:cs="Arial"/>
                <w:sz w:val="20"/>
                <w:szCs w:val="20"/>
              </w:rPr>
              <w:fldChar w:fldCharType="begin">
                <w:ffData>
                  <w:name w:val="Check3"/>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 xml:space="preserve">Nurse practitioners  </w:t>
            </w:r>
            <w:r w:rsidRPr="00FF6B7B">
              <w:rPr>
                <w:rFonts w:ascii="Arial Narrow" w:hAnsi="Arial Narrow" w:cs="Arial"/>
                <w:sz w:val="20"/>
                <w:szCs w:val="20"/>
              </w:rPr>
              <w:fldChar w:fldCharType="begin">
                <w:ffData>
                  <w:name w:val=""/>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Optometrists</w:t>
            </w: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Check5"/>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Midwives</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Severity:</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Relapsed or refractory</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Condition:</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Chronic lymphocytic leukaemia</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PBS Indication:</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Relapsed or refractory chronic lymphocytic leukaemia</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Treatment phase:</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Initial treatment</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Restriction Level / Method:</w:t>
            </w:r>
          </w:p>
          <w:p w:rsidR="00BD7968" w:rsidRPr="00FF6B7B" w:rsidRDefault="00BD7968" w:rsidP="00AF5DDC">
            <w:pPr>
              <w:rPr>
                <w:rFonts w:ascii="Arial Narrow" w:hAnsi="Arial Narrow" w:cs="Arial"/>
                <w:sz w:val="20"/>
                <w:szCs w:val="20"/>
              </w:rPr>
            </w:pP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Check1"/>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Restricted benefit</w:t>
            </w: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
                  <w:enabled/>
                  <w:calcOnExit w:val="0"/>
                  <w:checkBox>
                    <w:sizeAuto/>
                    <w:default w:val="1"/>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In Writing</w:t>
            </w: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Telephone</w:t>
            </w: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Emergency</w:t>
            </w: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Check5"/>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Electronic</w:t>
            </w: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fldChar w:fldCharType="begin">
                <w:ffData>
                  <w:name w:val="Check5"/>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Streamlined</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b/>
                <w:sz w:val="20"/>
                <w:szCs w:val="20"/>
              </w:rPr>
              <w:t>Clinical criteria (see section on sequencing for further information):</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The treatment must be as monotherapy</w:t>
            </w:r>
          </w:p>
          <w:p w:rsidR="00BD7968" w:rsidRPr="00FF6B7B" w:rsidRDefault="00BD7968" w:rsidP="00AF5DDC">
            <w:pPr>
              <w:rPr>
                <w:rFonts w:ascii="Arial Narrow" w:hAnsi="Arial Narrow" w:cs="Arial"/>
                <w:sz w:val="20"/>
                <w:szCs w:val="20"/>
              </w:rPr>
            </w:pP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AND</w:t>
            </w:r>
          </w:p>
          <w:p w:rsidR="00BD7968" w:rsidRPr="00FF6B7B" w:rsidRDefault="00BD7968" w:rsidP="00AF5DDC">
            <w:pPr>
              <w:rPr>
                <w:rFonts w:ascii="Arial Narrow" w:hAnsi="Arial Narrow" w:cs="Arial"/>
                <w:sz w:val="20"/>
                <w:szCs w:val="20"/>
              </w:rPr>
            </w:pP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Patient must not have previously received PBS-subsidised treatment with this drug for this condition.</w:t>
            </w:r>
          </w:p>
          <w:p w:rsidR="00BD7968" w:rsidRPr="00FF6B7B" w:rsidRDefault="00BD7968" w:rsidP="00AF5DDC">
            <w:pPr>
              <w:rPr>
                <w:rFonts w:ascii="Arial Narrow" w:hAnsi="Arial Narrow" w:cs="Arial"/>
                <w:sz w:val="20"/>
                <w:szCs w:val="20"/>
              </w:rPr>
            </w:pPr>
          </w:p>
          <w:p w:rsidR="00BD7968" w:rsidRPr="00FF6B7B" w:rsidRDefault="00BD7968" w:rsidP="00AF5DDC">
            <w:pPr>
              <w:rPr>
                <w:rFonts w:ascii="Arial Narrow" w:hAnsi="Arial Narrow" w:cs="Arial"/>
                <w:sz w:val="20"/>
                <w:szCs w:val="20"/>
              </w:rPr>
            </w:pPr>
            <w:r w:rsidRPr="00FF6B7B">
              <w:rPr>
                <w:rFonts w:ascii="Arial Narrow" w:hAnsi="Arial Narrow" w:cs="Arial"/>
                <w:sz w:val="20"/>
                <w:szCs w:val="20"/>
              </w:rPr>
              <w:t xml:space="preserve">AND </w:t>
            </w:r>
          </w:p>
          <w:p w:rsidR="00BD7968" w:rsidRPr="00FF6B7B" w:rsidRDefault="00BD7968" w:rsidP="00AF5DDC">
            <w:pPr>
              <w:rPr>
                <w:rFonts w:ascii="Arial Narrow" w:hAnsi="Arial Narrow" w:cs="Arial"/>
                <w:sz w:val="20"/>
                <w:szCs w:val="20"/>
              </w:rPr>
            </w:pPr>
          </w:p>
          <w:p w:rsidR="00BD7968" w:rsidRPr="00FF6B7B" w:rsidRDefault="00BD7968" w:rsidP="00D10EE7">
            <w:pPr>
              <w:rPr>
                <w:rFonts w:ascii="Arial Narrow" w:hAnsi="Arial Narrow" w:cs="Arial"/>
                <w:sz w:val="20"/>
                <w:szCs w:val="20"/>
              </w:rPr>
            </w:pPr>
            <w:r w:rsidRPr="00FF6B7B">
              <w:rPr>
                <w:rFonts w:ascii="Arial Narrow" w:hAnsi="Arial Narrow" w:cs="Arial"/>
                <w:sz w:val="20"/>
                <w:szCs w:val="20"/>
              </w:rPr>
              <w:t>The condition must have relapsed or be refractory to at least a line of treatment with a kinase inhibitor.</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Prescriber Instructions</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sz w:val="20"/>
                <w:szCs w:val="20"/>
              </w:rPr>
            </w:pPr>
            <w:r w:rsidRPr="00FF6B7B">
              <w:rPr>
                <w:rFonts w:ascii="Arial Narrow" w:hAnsi="Arial Narrow"/>
                <w:sz w:val="20"/>
                <w:szCs w:val="20"/>
              </w:rPr>
              <w:t xml:space="preserve">The authority application must be made in writing and must include: </w:t>
            </w:r>
          </w:p>
          <w:p w:rsidR="00BD7968" w:rsidRPr="00FF6B7B" w:rsidRDefault="00BD7968" w:rsidP="00AF5DDC">
            <w:pPr>
              <w:rPr>
                <w:rFonts w:ascii="Arial Narrow" w:hAnsi="Arial Narrow"/>
                <w:sz w:val="20"/>
                <w:szCs w:val="20"/>
              </w:rPr>
            </w:pPr>
            <w:r w:rsidRPr="00FF6B7B">
              <w:rPr>
                <w:rFonts w:ascii="Arial Narrow" w:hAnsi="Arial Narrow"/>
                <w:sz w:val="20"/>
                <w:szCs w:val="20"/>
              </w:rPr>
              <w:t>a)</w:t>
            </w:r>
            <w:r w:rsidRPr="00FF6B7B">
              <w:rPr>
                <w:rFonts w:ascii="Arial Narrow" w:hAnsi="Arial Narrow"/>
                <w:sz w:val="20"/>
                <w:szCs w:val="20"/>
              </w:rPr>
              <w:tab/>
              <w:t xml:space="preserve">A completed authority prescription form; </w:t>
            </w:r>
          </w:p>
          <w:p w:rsidR="00BD7968" w:rsidRPr="00FF6B7B" w:rsidRDefault="00BD7968" w:rsidP="00AF5DDC">
            <w:pPr>
              <w:rPr>
                <w:rFonts w:ascii="Arial Narrow" w:hAnsi="Arial Narrow"/>
                <w:sz w:val="20"/>
                <w:szCs w:val="20"/>
              </w:rPr>
            </w:pPr>
            <w:r w:rsidRPr="00FF6B7B">
              <w:rPr>
                <w:rFonts w:ascii="Arial Narrow" w:hAnsi="Arial Narrow"/>
                <w:sz w:val="20"/>
                <w:szCs w:val="20"/>
              </w:rPr>
              <w:t>b)</w:t>
            </w:r>
            <w:r w:rsidRPr="00FF6B7B">
              <w:rPr>
                <w:rFonts w:ascii="Arial Narrow" w:hAnsi="Arial Narrow"/>
                <w:sz w:val="20"/>
                <w:szCs w:val="20"/>
              </w:rPr>
              <w:tab/>
              <w:t>A completed CLL PBS Authority Application – Supporting information form;</w:t>
            </w:r>
          </w:p>
        </w:tc>
      </w:tr>
      <w:tr w:rsidR="00BD7968" w:rsidRPr="00FF6B7B" w:rsidTr="009148B8">
        <w:tblPrEx>
          <w:tblCellMar>
            <w:left w:w="108" w:type="dxa"/>
            <w:right w:w="108" w:type="dxa"/>
          </w:tblCellMar>
        </w:tblPrEx>
        <w:trPr>
          <w:cantSplit/>
          <w:trHeight w:val="360"/>
        </w:trPr>
        <w:tc>
          <w:tcPr>
            <w:tcW w:w="1166" w:type="pct"/>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cs="Arial"/>
                <w:b/>
                <w:sz w:val="20"/>
                <w:szCs w:val="20"/>
              </w:rPr>
            </w:pPr>
            <w:r w:rsidRPr="00FF6B7B">
              <w:rPr>
                <w:rFonts w:ascii="Arial Narrow" w:hAnsi="Arial Narrow" w:cs="Arial"/>
                <w:b/>
                <w:sz w:val="20"/>
                <w:szCs w:val="20"/>
              </w:rPr>
              <w:t>Administrative Advice</w:t>
            </w:r>
          </w:p>
        </w:tc>
        <w:tc>
          <w:tcPr>
            <w:tcW w:w="3834" w:type="pct"/>
            <w:gridSpan w:val="6"/>
            <w:tcBorders>
              <w:top w:val="single" w:sz="4" w:space="0" w:color="auto"/>
              <w:left w:val="single" w:sz="4" w:space="0" w:color="auto"/>
              <w:bottom w:val="single" w:sz="4" w:space="0" w:color="auto"/>
              <w:right w:val="single" w:sz="4" w:space="0" w:color="auto"/>
            </w:tcBorders>
          </w:tcPr>
          <w:p w:rsidR="00BD7968" w:rsidRPr="00FF6B7B" w:rsidRDefault="00BD7968" w:rsidP="00AF5DDC">
            <w:pPr>
              <w:rPr>
                <w:rFonts w:ascii="Arial Narrow" w:hAnsi="Arial Narrow"/>
                <w:sz w:val="20"/>
              </w:rPr>
            </w:pPr>
            <w:r w:rsidRPr="00FF6B7B">
              <w:rPr>
                <w:rFonts w:ascii="Arial Narrow" w:hAnsi="Arial Narrow"/>
                <w:sz w:val="20"/>
              </w:rPr>
              <w:t>Any queries concerning the arrangements to prescribe may be direct to the Department of Human Services on 1800 700 270 (hours of operation 8 a.m. t</w:t>
            </w:r>
            <w:r w:rsidR="00805B31">
              <w:rPr>
                <w:rFonts w:ascii="Arial Narrow" w:hAnsi="Arial Narrow"/>
                <w:sz w:val="20"/>
              </w:rPr>
              <w:t>o 5 p.m. EST Monday to Friday).</w:t>
            </w:r>
          </w:p>
          <w:p w:rsidR="00BD7968" w:rsidRPr="00FF6B7B" w:rsidRDefault="00BD7968" w:rsidP="00AF5DDC">
            <w:pPr>
              <w:rPr>
                <w:rFonts w:ascii="Arial Narrow" w:hAnsi="Arial Narrow"/>
                <w:sz w:val="20"/>
              </w:rPr>
            </w:pPr>
          </w:p>
          <w:p w:rsidR="00BD7968" w:rsidRPr="00FF6B7B" w:rsidRDefault="00BD7968" w:rsidP="00AF5DDC">
            <w:pPr>
              <w:rPr>
                <w:rFonts w:ascii="Arial Narrow" w:hAnsi="Arial Narrow"/>
                <w:sz w:val="20"/>
              </w:rPr>
            </w:pPr>
            <w:r w:rsidRPr="00FF6B7B">
              <w:rPr>
                <w:rFonts w:ascii="Arial Narrow" w:hAnsi="Arial Narrow"/>
                <w:sz w:val="20"/>
              </w:rPr>
              <w:t xml:space="preserve">Prescribing information (including Authority Application forms and other relevant documentation as applicable) is available on the Department of Human Services website at </w:t>
            </w:r>
            <w:r w:rsidRPr="00FF6B7B">
              <w:rPr>
                <w:rFonts w:ascii="Arial Narrow" w:eastAsiaTheme="majorEastAsia" w:hAnsi="Arial Narrow"/>
                <w:sz w:val="20"/>
              </w:rPr>
              <w:t>www.humanservices.gov.au</w:t>
            </w:r>
          </w:p>
          <w:p w:rsidR="00BD7968" w:rsidRPr="00FF6B7B" w:rsidRDefault="00BD7968" w:rsidP="00AF5DDC">
            <w:pPr>
              <w:rPr>
                <w:rFonts w:ascii="Arial Narrow" w:hAnsi="Arial Narrow"/>
                <w:sz w:val="20"/>
              </w:rPr>
            </w:pPr>
          </w:p>
          <w:p w:rsidR="00BD7968" w:rsidRPr="00FF6B7B" w:rsidRDefault="00BD7968" w:rsidP="00AF5DDC">
            <w:pPr>
              <w:rPr>
                <w:rFonts w:ascii="Arial Narrow" w:hAnsi="Arial Narrow"/>
                <w:sz w:val="20"/>
              </w:rPr>
            </w:pPr>
            <w:r w:rsidRPr="00FF6B7B">
              <w:rPr>
                <w:rFonts w:ascii="Arial Narrow" w:hAnsi="Arial Narrow"/>
                <w:sz w:val="20"/>
              </w:rPr>
              <w:t xml:space="preserve">Applications for authority to prescribe should be forwarded to: </w:t>
            </w:r>
          </w:p>
          <w:p w:rsidR="00BD7968" w:rsidRPr="00FF6B7B" w:rsidRDefault="00BD7968" w:rsidP="00AF5DDC">
            <w:pPr>
              <w:rPr>
                <w:rFonts w:ascii="Arial Narrow" w:hAnsi="Arial Narrow"/>
                <w:sz w:val="20"/>
              </w:rPr>
            </w:pPr>
            <w:r w:rsidRPr="00FF6B7B">
              <w:rPr>
                <w:rFonts w:ascii="Arial Narrow" w:hAnsi="Arial Narrow"/>
                <w:sz w:val="20"/>
              </w:rPr>
              <w:t xml:space="preserve">Department of Human Services </w:t>
            </w:r>
          </w:p>
          <w:p w:rsidR="00BD7968" w:rsidRPr="00FF6B7B" w:rsidRDefault="00BD7968" w:rsidP="00AF5DDC">
            <w:pPr>
              <w:rPr>
                <w:rFonts w:ascii="Arial Narrow" w:hAnsi="Arial Narrow"/>
                <w:sz w:val="20"/>
              </w:rPr>
            </w:pPr>
            <w:r w:rsidRPr="00FF6B7B">
              <w:rPr>
                <w:rFonts w:ascii="Arial Narrow" w:hAnsi="Arial Narrow"/>
                <w:sz w:val="20"/>
              </w:rPr>
              <w:t xml:space="preserve">Complex Drugs </w:t>
            </w:r>
          </w:p>
          <w:p w:rsidR="00BD7968" w:rsidRPr="00FF6B7B" w:rsidRDefault="00BD7968" w:rsidP="00AF5DDC">
            <w:pPr>
              <w:rPr>
                <w:rFonts w:ascii="Arial Narrow" w:hAnsi="Arial Narrow"/>
                <w:sz w:val="20"/>
              </w:rPr>
            </w:pPr>
            <w:r w:rsidRPr="00FF6B7B">
              <w:rPr>
                <w:rFonts w:ascii="Arial Narrow" w:hAnsi="Arial Narrow"/>
                <w:sz w:val="20"/>
              </w:rPr>
              <w:t>Reply Paid 9826</w:t>
            </w:r>
          </w:p>
          <w:p w:rsidR="00BD7968" w:rsidRPr="00FF6B7B" w:rsidRDefault="00BD7968" w:rsidP="00AF5DDC">
            <w:pPr>
              <w:rPr>
                <w:rFonts w:ascii="Arial Narrow" w:hAnsi="Arial Narrow"/>
                <w:sz w:val="20"/>
              </w:rPr>
            </w:pPr>
            <w:r w:rsidRPr="00FF6B7B">
              <w:rPr>
                <w:rFonts w:ascii="Arial Narrow" w:hAnsi="Arial Narrow"/>
                <w:sz w:val="20"/>
              </w:rPr>
              <w:t>HOBART TAS 7001</w:t>
            </w:r>
          </w:p>
          <w:p w:rsidR="00BD7968" w:rsidRPr="00FF6B7B" w:rsidRDefault="00BD7968" w:rsidP="00AF5DDC">
            <w:pPr>
              <w:rPr>
                <w:rFonts w:ascii="Arial Narrow" w:hAnsi="Arial Narrow"/>
                <w:sz w:val="20"/>
                <w:szCs w:val="20"/>
              </w:rPr>
            </w:pPr>
          </w:p>
          <w:p w:rsidR="00BD7968" w:rsidRPr="00FF6B7B" w:rsidRDefault="00BD7968" w:rsidP="00AF5DDC">
            <w:pPr>
              <w:rPr>
                <w:rFonts w:ascii="Arial Narrow" w:hAnsi="Arial Narrow"/>
                <w:sz w:val="20"/>
                <w:szCs w:val="20"/>
              </w:rPr>
            </w:pPr>
            <w:r w:rsidRPr="00FF6B7B">
              <w:rPr>
                <w:rFonts w:ascii="Arial Narrow" w:hAnsi="Arial Narrow"/>
                <w:sz w:val="20"/>
                <w:szCs w:val="20"/>
              </w:rPr>
              <w:t xml:space="preserve">No increase in the maximum quantity or number of units may be authorised. </w:t>
            </w:r>
          </w:p>
          <w:p w:rsidR="00BD7968" w:rsidRPr="00FF6B7B" w:rsidRDefault="00BD7968" w:rsidP="00AF5DDC">
            <w:pPr>
              <w:rPr>
                <w:rFonts w:ascii="Arial Narrow" w:hAnsi="Arial Narrow"/>
                <w:sz w:val="20"/>
                <w:szCs w:val="20"/>
              </w:rPr>
            </w:pPr>
          </w:p>
          <w:p w:rsidR="00BD7968" w:rsidRPr="00FF6B7B" w:rsidRDefault="00BD7968" w:rsidP="00AF5DDC">
            <w:pPr>
              <w:rPr>
                <w:rFonts w:ascii="Arial Narrow" w:hAnsi="Arial Narrow"/>
                <w:sz w:val="20"/>
                <w:szCs w:val="20"/>
              </w:rPr>
            </w:pPr>
            <w:r w:rsidRPr="00FF6B7B">
              <w:rPr>
                <w:rFonts w:ascii="Arial Narrow" w:hAnsi="Arial Narrow"/>
                <w:sz w:val="20"/>
                <w:szCs w:val="20"/>
              </w:rPr>
              <w:t xml:space="preserve">No increase in the maximum number of repeats may be authorised. </w:t>
            </w:r>
          </w:p>
          <w:p w:rsidR="00BD7968" w:rsidRPr="00FF6B7B" w:rsidRDefault="00BD7968" w:rsidP="00AF5DDC">
            <w:pPr>
              <w:rPr>
                <w:rFonts w:ascii="Arial Narrow" w:hAnsi="Arial Narrow"/>
                <w:sz w:val="20"/>
                <w:szCs w:val="20"/>
              </w:rPr>
            </w:pPr>
          </w:p>
          <w:p w:rsidR="00BD7968" w:rsidRPr="00FF6B7B" w:rsidRDefault="00BD7968" w:rsidP="00AF5DDC">
            <w:pPr>
              <w:rPr>
                <w:rFonts w:ascii="Arial Narrow" w:hAnsi="Arial Narrow" w:cs="Arial"/>
                <w:sz w:val="20"/>
                <w:szCs w:val="20"/>
              </w:rPr>
            </w:pPr>
            <w:r w:rsidRPr="00FF6B7B">
              <w:rPr>
                <w:rFonts w:ascii="Arial Narrow" w:hAnsi="Arial Narrow"/>
                <w:sz w:val="20"/>
                <w:szCs w:val="20"/>
              </w:rPr>
              <w:t>Special Pricing Arrangements apply.</w:t>
            </w:r>
          </w:p>
        </w:tc>
      </w:tr>
    </w:tbl>
    <w:p w:rsidR="00374843" w:rsidRDefault="00374843" w:rsidP="00BD7968">
      <w:pPr>
        <w:pStyle w:val="ListParagraph"/>
        <w:widowControl/>
        <w:spacing w:after="120"/>
        <w:contextualSpacing w:val="0"/>
        <w:rPr>
          <w:rFonts w:asciiTheme="minorHAnsi" w:eastAsiaTheme="minorHAnsi" w:hAnsiTheme="minorHAnsi" w:cstheme="minorBidi"/>
          <w:snapToGrid/>
          <w:sz w:val="24"/>
          <w:szCs w:val="22"/>
        </w:rPr>
      </w:pPr>
    </w:p>
    <w:p w:rsidR="00374843" w:rsidRDefault="00374843">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BD7968" w:rsidRPr="00FF6B7B" w:rsidRDefault="00BD7968" w:rsidP="00BD7968">
      <w:pPr>
        <w:pStyle w:val="ListParagraph"/>
        <w:widowControl/>
        <w:spacing w:after="120"/>
        <w:contextualSpacing w:val="0"/>
        <w:rPr>
          <w:rFonts w:asciiTheme="minorHAnsi" w:eastAsiaTheme="minorHAnsi" w:hAnsiTheme="minorHAnsi" w:cstheme="minorBidi"/>
          <w:snapToGrid/>
          <w:sz w:val="24"/>
          <w:szCs w:val="22"/>
        </w:rPr>
      </w:pPr>
    </w:p>
    <w:tbl>
      <w:tblPr>
        <w:tblW w:w="5088" w:type="pct"/>
        <w:tblInd w:w="-80" w:type="dxa"/>
        <w:tblCellMar>
          <w:left w:w="28" w:type="dxa"/>
          <w:right w:w="28" w:type="dxa"/>
        </w:tblCellMar>
        <w:tblLook w:val="0000" w:firstRow="0" w:lastRow="0" w:firstColumn="0" w:lastColumn="0" w:noHBand="0" w:noVBand="0"/>
      </w:tblPr>
      <w:tblGrid>
        <w:gridCol w:w="79"/>
        <w:gridCol w:w="2115"/>
        <w:gridCol w:w="1083"/>
        <w:gridCol w:w="518"/>
        <w:gridCol w:w="906"/>
        <w:gridCol w:w="1420"/>
        <w:gridCol w:w="1521"/>
        <w:gridCol w:w="1519"/>
        <w:gridCol w:w="81"/>
      </w:tblGrid>
      <w:tr w:rsidR="00DB0E87" w:rsidRPr="00FF6B7B" w:rsidTr="0052253E">
        <w:trPr>
          <w:gridBefore w:val="1"/>
          <w:gridAfter w:val="1"/>
          <w:wBefore w:w="43" w:type="pct"/>
          <w:wAfter w:w="44" w:type="pct"/>
          <w:cantSplit/>
          <w:trHeight w:val="463"/>
        </w:trPr>
        <w:tc>
          <w:tcPr>
            <w:tcW w:w="1730" w:type="pct"/>
            <w:gridSpan w:val="2"/>
            <w:tcBorders>
              <w:bottom w:val="single" w:sz="4" w:space="0" w:color="auto"/>
            </w:tcBorders>
            <w:vAlign w:val="center"/>
          </w:tcPr>
          <w:p w:rsidR="00DB0E87" w:rsidRPr="00FF6B7B" w:rsidRDefault="00DB0E87" w:rsidP="0052253E">
            <w:pPr>
              <w:keepNext/>
              <w:rPr>
                <w:rFonts w:ascii="Arial Narrow" w:hAnsi="Arial Narrow"/>
                <w:sz w:val="20"/>
              </w:rPr>
            </w:pPr>
            <w:r w:rsidRPr="00FF6B7B">
              <w:rPr>
                <w:rFonts w:ascii="Arial Narrow" w:hAnsi="Arial Narrow"/>
                <w:sz w:val="20"/>
              </w:rPr>
              <w:t>Name, Restriction,</w:t>
            </w:r>
          </w:p>
          <w:p w:rsidR="00DB0E87" w:rsidRPr="00FF6B7B" w:rsidRDefault="00DB0E87" w:rsidP="0052253E">
            <w:pPr>
              <w:keepNext/>
              <w:rPr>
                <w:rFonts w:ascii="Arial Narrow" w:hAnsi="Arial Narrow"/>
                <w:sz w:val="20"/>
              </w:rPr>
            </w:pPr>
            <w:r w:rsidRPr="00FF6B7B">
              <w:rPr>
                <w:rFonts w:ascii="Arial Narrow" w:hAnsi="Arial Narrow"/>
                <w:sz w:val="20"/>
              </w:rPr>
              <w:t>Manner of administration and form</w:t>
            </w:r>
          </w:p>
        </w:tc>
        <w:tc>
          <w:tcPr>
            <w:tcW w:w="280" w:type="pct"/>
            <w:tcBorders>
              <w:bottom w:val="single" w:sz="4" w:space="0" w:color="auto"/>
            </w:tcBorders>
            <w:vAlign w:val="center"/>
          </w:tcPr>
          <w:p w:rsidR="00DB0E87" w:rsidRPr="00FF6B7B" w:rsidRDefault="00DB0E87" w:rsidP="0052253E">
            <w:pPr>
              <w:keepNext/>
              <w:jc w:val="center"/>
              <w:rPr>
                <w:rFonts w:ascii="Arial Narrow" w:hAnsi="Arial Narrow"/>
                <w:sz w:val="20"/>
              </w:rPr>
            </w:pPr>
            <w:r w:rsidRPr="00FF6B7B">
              <w:rPr>
                <w:rFonts w:ascii="Arial Narrow" w:hAnsi="Arial Narrow"/>
                <w:sz w:val="20"/>
              </w:rPr>
              <w:t>Max.</w:t>
            </w:r>
          </w:p>
          <w:p w:rsidR="00DB0E87" w:rsidRPr="00FF6B7B" w:rsidRDefault="00DB0E87" w:rsidP="0052253E">
            <w:pPr>
              <w:keepNext/>
              <w:jc w:val="center"/>
              <w:rPr>
                <w:rFonts w:ascii="Arial Narrow" w:hAnsi="Arial Narrow"/>
                <w:sz w:val="20"/>
              </w:rPr>
            </w:pPr>
            <w:r w:rsidRPr="00FF6B7B">
              <w:rPr>
                <w:rFonts w:ascii="Arial Narrow" w:hAnsi="Arial Narrow"/>
                <w:sz w:val="20"/>
              </w:rPr>
              <w:t>Qty</w:t>
            </w:r>
          </w:p>
        </w:tc>
        <w:tc>
          <w:tcPr>
            <w:tcW w:w="490" w:type="pct"/>
            <w:tcBorders>
              <w:bottom w:val="single" w:sz="4" w:space="0" w:color="auto"/>
            </w:tcBorders>
            <w:vAlign w:val="center"/>
          </w:tcPr>
          <w:p w:rsidR="00DB0E87" w:rsidRPr="00FF6B7B" w:rsidRDefault="00DB0E87" w:rsidP="0052253E">
            <w:pPr>
              <w:keepNext/>
              <w:jc w:val="center"/>
              <w:rPr>
                <w:rFonts w:ascii="Arial Narrow" w:hAnsi="Arial Narrow"/>
                <w:sz w:val="20"/>
              </w:rPr>
            </w:pPr>
            <w:r w:rsidRPr="00FF6B7B">
              <w:rPr>
                <w:rFonts w:ascii="Arial Narrow" w:hAnsi="Arial Narrow"/>
                <w:sz w:val="20"/>
              </w:rPr>
              <w:t>№.of</w:t>
            </w:r>
          </w:p>
          <w:p w:rsidR="00DB0E87" w:rsidRPr="00FF6B7B" w:rsidRDefault="00DB0E87" w:rsidP="0052253E">
            <w:pPr>
              <w:keepNext/>
              <w:jc w:val="center"/>
              <w:rPr>
                <w:rFonts w:ascii="Arial Narrow" w:hAnsi="Arial Narrow"/>
                <w:sz w:val="20"/>
              </w:rPr>
            </w:pPr>
            <w:r w:rsidRPr="00FF6B7B">
              <w:rPr>
                <w:rFonts w:ascii="Arial Narrow" w:hAnsi="Arial Narrow"/>
                <w:sz w:val="20"/>
              </w:rPr>
              <w:t>Rpts</w:t>
            </w:r>
          </w:p>
        </w:tc>
        <w:tc>
          <w:tcPr>
            <w:tcW w:w="768" w:type="pct"/>
            <w:tcBorders>
              <w:bottom w:val="single" w:sz="4" w:space="0" w:color="auto"/>
            </w:tcBorders>
            <w:vAlign w:val="center"/>
          </w:tcPr>
          <w:p w:rsidR="00DB0E87" w:rsidRPr="00FF6B7B" w:rsidRDefault="00DB0E87" w:rsidP="0052253E">
            <w:pPr>
              <w:keepNext/>
              <w:jc w:val="center"/>
              <w:rPr>
                <w:rFonts w:ascii="Arial Narrow" w:hAnsi="Arial Narrow"/>
                <w:sz w:val="20"/>
              </w:rPr>
            </w:pPr>
          </w:p>
        </w:tc>
        <w:tc>
          <w:tcPr>
            <w:tcW w:w="823" w:type="pct"/>
            <w:tcBorders>
              <w:bottom w:val="single" w:sz="4" w:space="0" w:color="auto"/>
            </w:tcBorders>
            <w:vAlign w:val="center"/>
          </w:tcPr>
          <w:p w:rsidR="00DB0E87" w:rsidRPr="00FF6B7B" w:rsidRDefault="00DB0E87" w:rsidP="0052253E">
            <w:pPr>
              <w:keepNext/>
              <w:jc w:val="center"/>
              <w:rPr>
                <w:rFonts w:ascii="Arial Narrow" w:hAnsi="Arial Narrow"/>
                <w:sz w:val="20"/>
              </w:rPr>
            </w:pPr>
            <w:r w:rsidRPr="00FF6B7B">
              <w:rPr>
                <w:rFonts w:ascii="Arial Narrow" w:hAnsi="Arial Narrow"/>
                <w:sz w:val="20"/>
              </w:rPr>
              <w:t xml:space="preserve">Proprietary Name </w:t>
            </w:r>
          </w:p>
        </w:tc>
        <w:tc>
          <w:tcPr>
            <w:tcW w:w="822" w:type="pct"/>
            <w:tcBorders>
              <w:bottom w:val="single" w:sz="4" w:space="0" w:color="auto"/>
            </w:tcBorders>
            <w:vAlign w:val="center"/>
          </w:tcPr>
          <w:p w:rsidR="00DB0E87" w:rsidRPr="00FF6B7B" w:rsidRDefault="00DB0E87" w:rsidP="0052253E">
            <w:pPr>
              <w:keepNext/>
              <w:jc w:val="center"/>
              <w:rPr>
                <w:rFonts w:ascii="Arial Narrow" w:hAnsi="Arial Narrow"/>
                <w:sz w:val="20"/>
              </w:rPr>
            </w:pPr>
            <w:r w:rsidRPr="00FF6B7B">
              <w:rPr>
                <w:rFonts w:ascii="Arial Narrow" w:hAnsi="Arial Narrow"/>
                <w:sz w:val="20"/>
              </w:rPr>
              <w:t>Manufacturer</w:t>
            </w:r>
          </w:p>
        </w:tc>
      </w:tr>
      <w:tr w:rsidR="000E2DD7" w:rsidRPr="00FF6B7B" w:rsidTr="00FF6B7B">
        <w:trPr>
          <w:gridBefore w:val="1"/>
          <w:gridAfter w:val="1"/>
          <w:wBefore w:w="43" w:type="pct"/>
          <w:wAfter w:w="44" w:type="pct"/>
          <w:cantSplit/>
          <w:trHeight w:val="567"/>
        </w:trPr>
        <w:tc>
          <w:tcPr>
            <w:tcW w:w="1730" w:type="pct"/>
            <w:gridSpan w:val="2"/>
            <w:vAlign w:val="center"/>
          </w:tcPr>
          <w:p w:rsidR="000E2DD7" w:rsidRPr="00FF6B7B" w:rsidRDefault="000E2DD7" w:rsidP="0052253E">
            <w:pPr>
              <w:keepNext/>
              <w:rPr>
                <w:rFonts w:ascii="Arial Narrow" w:hAnsi="Arial Narrow"/>
                <w:sz w:val="20"/>
              </w:rPr>
            </w:pPr>
            <w:r w:rsidRPr="00FF6B7B">
              <w:rPr>
                <w:rFonts w:ascii="Arial Narrow" w:hAnsi="Arial Narrow"/>
                <w:smallCaps/>
                <w:sz w:val="20"/>
              </w:rPr>
              <w:t>Venetoclax</w:t>
            </w:r>
          </w:p>
          <w:p w:rsidR="000E2DD7" w:rsidRPr="00FF6B7B" w:rsidRDefault="000E2DD7" w:rsidP="00163C7F">
            <w:pPr>
              <w:keepNext/>
              <w:rPr>
                <w:rFonts w:ascii="Arial Narrow" w:hAnsi="Arial Narrow"/>
                <w:sz w:val="20"/>
              </w:rPr>
            </w:pPr>
            <w:r w:rsidRPr="00FF6B7B">
              <w:rPr>
                <w:rFonts w:ascii="Arial Narrow" w:hAnsi="Arial Narrow"/>
                <w:sz w:val="20"/>
              </w:rPr>
              <w:t>Tablets, 10 mg, 14</w:t>
            </w:r>
          </w:p>
        </w:tc>
        <w:tc>
          <w:tcPr>
            <w:tcW w:w="280" w:type="pct"/>
            <w:vAlign w:val="center"/>
          </w:tcPr>
          <w:p w:rsidR="000E2DD7" w:rsidRPr="00FF6B7B" w:rsidRDefault="000E2DD7" w:rsidP="0052253E">
            <w:pPr>
              <w:keepNext/>
              <w:jc w:val="center"/>
              <w:rPr>
                <w:rFonts w:ascii="Arial Narrow" w:hAnsi="Arial Narrow"/>
                <w:sz w:val="20"/>
              </w:rPr>
            </w:pPr>
            <w:r w:rsidRPr="00FF6B7B">
              <w:rPr>
                <w:rFonts w:ascii="Arial Narrow" w:hAnsi="Arial Narrow"/>
                <w:sz w:val="20"/>
              </w:rPr>
              <w:t>1</w:t>
            </w:r>
          </w:p>
        </w:tc>
        <w:tc>
          <w:tcPr>
            <w:tcW w:w="490" w:type="pct"/>
            <w:vAlign w:val="center"/>
          </w:tcPr>
          <w:p w:rsidR="000E2DD7" w:rsidRPr="00FF6B7B" w:rsidRDefault="000E2DD7" w:rsidP="0052253E">
            <w:pPr>
              <w:keepNext/>
              <w:jc w:val="center"/>
              <w:rPr>
                <w:rFonts w:ascii="Arial Narrow" w:hAnsi="Arial Narrow"/>
                <w:sz w:val="20"/>
              </w:rPr>
            </w:pPr>
            <w:r w:rsidRPr="00FF6B7B">
              <w:rPr>
                <w:rFonts w:ascii="Arial Narrow" w:hAnsi="Arial Narrow"/>
                <w:sz w:val="20"/>
              </w:rPr>
              <w:t>0</w:t>
            </w:r>
          </w:p>
        </w:tc>
        <w:tc>
          <w:tcPr>
            <w:tcW w:w="768" w:type="pct"/>
            <w:vAlign w:val="center"/>
          </w:tcPr>
          <w:p w:rsidR="000E2DD7" w:rsidRPr="00FF6B7B" w:rsidRDefault="000E2DD7" w:rsidP="0052253E">
            <w:pPr>
              <w:keepNext/>
              <w:jc w:val="center"/>
              <w:rPr>
                <w:rFonts w:ascii="Arial Narrow" w:hAnsi="Arial Narrow"/>
                <w:sz w:val="20"/>
              </w:rPr>
            </w:pPr>
          </w:p>
        </w:tc>
        <w:tc>
          <w:tcPr>
            <w:tcW w:w="823" w:type="pct"/>
            <w:vMerge w:val="restart"/>
            <w:vAlign w:val="center"/>
          </w:tcPr>
          <w:p w:rsidR="000E2DD7" w:rsidRPr="00FF6B7B" w:rsidRDefault="000E2DD7" w:rsidP="00FF6B7B">
            <w:pPr>
              <w:keepNext/>
              <w:jc w:val="center"/>
              <w:rPr>
                <w:rFonts w:ascii="Arial Narrow" w:hAnsi="Arial Narrow"/>
                <w:sz w:val="20"/>
              </w:rPr>
            </w:pPr>
            <w:r w:rsidRPr="00FF6B7B">
              <w:rPr>
                <w:rFonts w:ascii="Arial Narrow" w:hAnsi="Arial Narrow"/>
                <w:sz w:val="20"/>
              </w:rPr>
              <w:t>Venclexta®</w:t>
            </w:r>
          </w:p>
        </w:tc>
        <w:tc>
          <w:tcPr>
            <w:tcW w:w="822" w:type="pct"/>
            <w:vMerge w:val="restart"/>
            <w:vAlign w:val="center"/>
          </w:tcPr>
          <w:p w:rsidR="000E2DD7" w:rsidRPr="00FF6B7B" w:rsidRDefault="000E2DD7" w:rsidP="00FF6B7B">
            <w:pPr>
              <w:keepNext/>
              <w:jc w:val="center"/>
              <w:rPr>
                <w:rFonts w:ascii="Arial Narrow" w:hAnsi="Arial Narrow"/>
                <w:sz w:val="20"/>
              </w:rPr>
            </w:pPr>
            <w:r w:rsidRPr="00FF6B7B">
              <w:rPr>
                <w:rFonts w:ascii="Arial Narrow" w:hAnsi="Arial Narrow"/>
                <w:sz w:val="20"/>
              </w:rPr>
              <w:t>AbbVie Pty Ltd.</w:t>
            </w:r>
          </w:p>
        </w:tc>
      </w:tr>
      <w:tr w:rsidR="000E2DD7" w:rsidRPr="00FF6B7B" w:rsidTr="0052253E">
        <w:trPr>
          <w:gridBefore w:val="1"/>
          <w:gridAfter w:val="1"/>
          <w:wBefore w:w="43" w:type="pct"/>
          <w:wAfter w:w="44" w:type="pct"/>
          <w:cantSplit/>
          <w:trHeight w:val="567"/>
        </w:trPr>
        <w:tc>
          <w:tcPr>
            <w:tcW w:w="1730" w:type="pct"/>
            <w:gridSpan w:val="2"/>
            <w:vAlign w:val="center"/>
          </w:tcPr>
          <w:p w:rsidR="000E2DD7" w:rsidRPr="00FF6B7B" w:rsidRDefault="000E2DD7" w:rsidP="0052253E">
            <w:pPr>
              <w:keepNext/>
              <w:rPr>
                <w:rFonts w:ascii="Arial Narrow" w:hAnsi="Arial Narrow"/>
                <w:sz w:val="20"/>
              </w:rPr>
            </w:pPr>
            <w:r w:rsidRPr="00FF6B7B">
              <w:rPr>
                <w:rFonts w:ascii="Arial Narrow" w:hAnsi="Arial Narrow"/>
                <w:sz w:val="20"/>
              </w:rPr>
              <w:t>Tablets, 50 mg, 7</w:t>
            </w:r>
          </w:p>
        </w:tc>
        <w:tc>
          <w:tcPr>
            <w:tcW w:w="280" w:type="pct"/>
            <w:vAlign w:val="center"/>
          </w:tcPr>
          <w:p w:rsidR="000E2DD7" w:rsidRPr="00FF6B7B" w:rsidRDefault="000E2DD7" w:rsidP="0052253E">
            <w:pPr>
              <w:keepNext/>
              <w:jc w:val="center"/>
              <w:rPr>
                <w:rFonts w:ascii="Arial Narrow" w:hAnsi="Arial Narrow"/>
                <w:sz w:val="20"/>
              </w:rPr>
            </w:pPr>
            <w:r w:rsidRPr="00FF6B7B">
              <w:rPr>
                <w:rFonts w:ascii="Arial Narrow" w:hAnsi="Arial Narrow"/>
                <w:sz w:val="20"/>
              </w:rPr>
              <w:t>1</w:t>
            </w:r>
          </w:p>
        </w:tc>
        <w:tc>
          <w:tcPr>
            <w:tcW w:w="490" w:type="pct"/>
            <w:vAlign w:val="center"/>
          </w:tcPr>
          <w:p w:rsidR="000E2DD7" w:rsidRPr="00FF6B7B" w:rsidRDefault="000E2DD7" w:rsidP="0052253E">
            <w:pPr>
              <w:keepNext/>
              <w:jc w:val="center"/>
              <w:rPr>
                <w:rFonts w:ascii="Arial Narrow" w:hAnsi="Arial Narrow"/>
                <w:sz w:val="20"/>
              </w:rPr>
            </w:pPr>
            <w:r w:rsidRPr="00FF6B7B">
              <w:rPr>
                <w:rFonts w:ascii="Arial Narrow" w:hAnsi="Arial Narrow"/>
                <w:sz w:val="20"/>
              </w:rPr>
              <w:t>0</w:t>
            </w:r>
          </w:p>
        </w:tc>
        <w:tc>
          <w:tcPr>
            <w:tcW w:w="768" w:type="pct"/>
            <w:vAlign w:val="center"/>
          </w:tcPr>
          <w:p w:rsidR="000E2DD7" w:rsidRPr="00FF6B7B" w:rsidRDefault="000E2DD7" w:rsidP="0052253E">
            <w:pPr>
              <w:keepNext/>
              <w:jc w:val="center"/>
              <w:rPr>
                <w:rFonts w:ascii="Arial Narrow" w:hAnsi="Arial Narrow"/>
                <w:sz w:val="20"/>
              </w:rPr>
            </w:pPr>
          </w:p>
        </w:tc>
        <w:tc>
          <w:tcPr>
            <w:tcW w:w="823" w:type="pct"/>
            <w:vMerge/>
            <w:vAlign w:val="center"/>
          </w:tcPr>
          <w:p w:rsidR="000E2DD7" w:rsidRPr="00FF6B7B" w:rsidRDefault="000E2DD7" w:rsidP="0052253E">
            <w:pPr>
              <w:keepNext/>
              <w:jc w:val="center"/>
              <w:rPr>
                <w:rFonts w:ascii="Arial Narrow" w:hAnsi="Arial Narrow"/>
                <w:sz w:val="20"/>
              </w:rPr>
            </w:pPr>
          </w:p>
        </w:tc>
        <w:tc>
          <w:tcPr>
            <w:tcW w:w="822" w:type="pct"/>
            <w:vMerge/>
          </w:tcPr>
          <w:p w:rsidR="000E2DD7" w:rsidRPr="00FF6B7B" w:rsidRDefault="000E2DD7" w:rsidP="0052253E">
            <w:pPr>
              <w:keepNext/>
              <w:jc w:val="center"/>
              <w:rPr>
                <w:rFonts w:ascii="Arial Narrow" w:hAnsi="Arial Narrow"/>
                <w:sz w:val="20"/>
              </w:rPr>
            </w:pPr>
          </w:p>
        </w:tc>
      </w:tr>
      <w:tr w:rsidR="000E2DD7" w:rsidRPr="00FF6B7B" w:rsidTr="0052253E">
        <w:trPr>
          <w:gridBefore w:val="1"/>
          <w:gridAfter w:val="1"/>
          <w:wBefore w:w="43" w:type="pct"/>
          <w:wAfter w:w="44" w:type="pct"/>
          <w:cantSplit/>
          <w:trHeight w:val="567"/>
        </w:trPr>
        <w:tc>
          <w:tcPr>
            <w:tcW w:w="1730" w:type="pct"/>
            <w:gridSpan w:val="2"/>
            <w:vAlign w:val="center"/>
          </w:tcPr>
          <w:p w:rsidR="000E2DD7" w:rsidRPr="00FF6B7B" w:rsidRDefault="000E2DD7" w:rsidP="0052253E">
            <w:pPr>
              <w:rPr>
                <w:rFonts w:ascii="Arial Narrow" w:hAnsi="Arial Narrow"/>
                <w:sz w:val="20"/>
              </w:rPr>
            </w:pPr>
            <w:r w:rsidRPr="00FF6B7B">
              <w:rPr>
                <w:rFonts w:ascii="Arial Narrow" w:hAnsi="Arial Narrow"/>
                <w:sz w:val="20"/>
              </w:rPr>
              <w:t>Tablets, 100 mg, 120</w:t>
            </w:r>
          </w:p>
        </w:tc>
        <w:tc>
          <w:tcPr>
            <w:tcW w:w="280" w:type="pct"/>
            <w:vAlign w:val="center"/>
          </w:tcPr>
          <w:p w:rsidR="000E2DD7" w:rsidRPr="00FF6B7B" w:rsidRDefault="000E2DD7" w:rsidP="0052253E">
            <w:pPr>
              <w:keepNext/>
              <w:jc w:val="center"/>
              <w:rPr>
                <w:rFonts w:ascii="Arial Narrow" w:hAnsi="Arial Narrow"/>
                <w:sz w:val="20"/>
              </w:rPr>
            </w:pPr>
            <w:r w:rsidRPr="00FF6B7B">
              <w:rPr>
                <w:rFonts w:ascii="Arial Narrow" w:hAnsi="Arial Narrow"/>
                <w:sz w:val="20"/>
              </w:rPr>
              <w:t>1</w:t>
            </w:r>
          </w:p>
        </w:tc>
        <w:tc>
          <w:tcPr>
            <w:tcW w:w="490" w:type="pct"/>
            <w:vAlign w:val="center"/>
          </w:tcPr>
          <w:p w:rsidR="000E2DD7" w:rsidRPr="00FF6B7B" w:rsidRDefault="000E2DD7" w:rsidP="0052253E">
            <w:pPr>
              <w:keepNext/>
              <w:jc w:val="center"/>
              <w:rPr>
                <w:rFonts w:ascii="Arial Narrow" w:hAnsi="Arial Narrow"/>
                <w:sz w:val="20"/>
              </w:rPr>
            </w:pPr>
            <w:r w:rsidRPr="00FF6B7B">
              <w:rPr>
                <w:rFonts w:ascii="Arial Narrow" w:hAnsi="Arial Narrow"/>
                <w:sz w:val="20"/>
              </w:rPr>
              <w:t>5</w:t>
            </w:r>
          </w:p>
        </w:tc>
        <w:tc>
          <w:tcPr>
            <w:tcW w:w="768" w:type="pct"/>
            <w:vAlign w:val="center"/>
          </w:tcPr>
          <w:p w:rsidR="000E2DD7" w:rsidRPr="00FF6B7B" w:rsidRDefault="000E2DD7" w:rsidP="0052253E">
            <w:pPr>
              <w:keepNext/>
              <w:jc w:val="center"/>
              <w:rPr>
                <w:rFonts w:ascii="Arial Narrow" w:hAnsi="Arial Narrow"/>
                <w:sz w:val="20"/>
              </w:rPr>
            </w:pPr>
          </w:p>
        </w:tc>
        <w:tc>
          <w:tcPr>
            <w:tcW w:w="823" w:type="pct"/>
            <w:vMerge/>
            <w:vAlign w:val="center"/>
          </w:tcPr>
          <w:p w:rsidR="000E2DD7" w:rsidRPr="00FF6B7B" w:rsidRDefault="000E2DD7" w:rsidP="0052253E">
            <w:pPr>
              <w:keepNext/>
              <w:jc w:val="center"/>
              <w:rPr>
                <w:rFonts w:ascii="Arial Narrow" w:hAnsi="Arial Narrow"/>
                <w:sz w:val="20"/>
              </w:rPr>
            </w:pPr>
          </w:p>
        </w:tc>
        <w:tc>
          <w:tcPr>
            <w:tcW w:w="822" w:type="pct"/>
            <w:vMerge/>
          </w:tcPr>
          <w:p w:rsidR="000E2DD7" w:rsidRPr="00FF6B7B" w:rsidRDefault="000E2DD7" w:rsidP="0052253E">
            <w:pPr>
              <w:keepNext/>
              <w:jc w:val="center"/>
              <w:rPr>
                <w:rFonts w:ascii="Arial Narrow" w:hAnsi="Arial Narrow"/>
                <w:sz w:val="20"/>
              </w:rPr>
            </w:pP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b/>
                <w:sz w:val="20"/>
                <w:szCs w:val="20"/>
              </w:rPr>
            </w:pPr>
            <w:r w:rsidRPr="00FF6B7B">
              <w:rPr>
                <w:rFonts w:ascii="Arial Narrow" w:hAnsi="Arial Narrow" w:cs="Arial"/>
                <w:b/>
                <w:sz w:val="20"/>
                <w:szCs w:val="20"/>
              </w:rPr>
              <w:t>Category / Program</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GENERAL – General Schedule (Code GE)</w:t>
            </w: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b/>
                <w:sz w:val="20"/>
                <w:szCs w:val="20"/>
              </w:rPr>
            </w:pPr>
            <w:r w:rsidRPr="00FF6B7B">
              <w:rPr>
                <w:rFonts w:ascii="Arial Narrow" w:hAnsi="Arial Narrow" w:cs="Arial"/>
                <w:b/>
                <w:sz w:val="20"/>
                <w:szCs w:val="20"/>
              </w:rPr>
              <w:t>Prescriber type:</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Check1"/>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 xml:space="preserve">Dental  </w:t>
            </w:r>
            <w:r w:rsidRPr="00FF6B7B">
              <w:rPr>
                <w:rFonts w:ascii="Arial Narrow" w:hAnsi="Arial Narrow" w:cs="Arial"/>
                <w:sz w:val="20"/>
                <w:szCs w:val="20"/>
              </w:rPr>
              <w:fldChar w:fldCharType="begin">
                <w:ffData>
                  <w:name w:val=""/>
                  <w:enabled/>
                  <w:calcOnExit w:val="0"/>
                  <w:checkBox>
                    <w:sizeAuto/>
                    <w:default w:val="1"/>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 xml:space="preserve">Medical Practitioners  </w:t>
            </w:r>
            <w:r w:rsidRPr="00FF6B7B">
              <w:rPr>
                <w:rFonts w:ascii="Arial Narrow" w:hAnsi="Arial Narrow" w:cs="Arial"/>
                <w:sz w:val="20"/>
                <w:szCs w:val="20"/>
              </w:rPr>
              <w:fldChar w:fldCharType="begin">
                <w:ffData>
                  <w:name w:val="Check3"/>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 xml:space="preserve">Nurse practitioners  </w:t>
            </w:r>
            <w:r w:rsidRPr="00FF6B7B">
              <w:rPr>
                <w:rFonts w:ascii="Arial Narrow" w:hAnsi="Arial Narrow" w:cs="Arial"/>
                <w:sz w:val="20"/>
                <w:szCs w:val="20"/>
              </w:rPr>
              <w:fldChar w:fldCharType="begin">
                <w:ffData>
                  <w:name w:val=""/>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Optometrists</w:t>
            </w: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Check5"/>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Midwives</w:t>
            </w: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b/>
                <w:sz w:val="20"/>
                <w:szCs w:val="20"/>
              </w:rPr>
            </w:pPr>
            <w:r w:rsidRPr="00FF6B7B">
              <w:rPr>
                <w:rFonts w:ascii="Arial Narrow" w:hAnsi="Arial Narrow" w:cs="Arial"/>
                <w:b/>
                <w:sz w:val="20"/>
                <w:szCs w:val="20"/>
              </w:rPr>
              <w:t>Severity:</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Relapsed or refractory</w:t>
            </w: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b/>
                <w:sz w:val="20"/>
                <w:szCs w:val="20"/>
              </w:rPr>
            </w:pPr>
            <w:r w:rsidRPr="00FF6B7B">
              <w:rPr>
                <w:rFonts w:ascii="Arial Narrow" w:hAnsi="Arial Narrow" w:cs="Arial"/>
                <w:b/>
                <w:sz w:val="20"/>
                <w:szCs w:val="20"/>
              </w:rPr>
              <w:t>Condition:</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Chronic lymphocytic leukaemia</w:t>
            </w: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b/>
                <w:sz w:val="20"/>
                <w:szCs w:val="20"/>
              </w:rPr>
            </w:pPr>
            <w:r w:rsidRPr="00FF6B7B">
              <w:rPr>
                <w:rFonts w:ascii="Arial Narrow" w:hAnsi="Arial Narrow" w:cs="Arial"/>
                <w:b/>
                <w:sz w:val="20"/>
                <w:szCs w:val="20"/>
              </w:rPr>
              <w:t>PBS Indication:</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Relapsed or refractory chronic lymphocytic leukaemia</w:t>
            </w: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b/>
                <w:sz w:val="20"/>
                <w:szCs w:val="20"/>
              </w:rPr>
            </w:pPr>
            <w:r w:rsidRPr="00FF6B7B">
              <w:rPr>
                <w:rFonts w:ascii="Arial Narrow" w:hAnsi="Arial Narrow" w:cs="Arial"/>
                <w:b/>
                <w:sz w:val="20"/>
                <w:szCs w:val="20"/>
              </w:rPr>
              <w:t>Treatment phase:</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Continuing treatment</w:t>
            </w: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sz w:val="20"/>
                <w:szCs w:val="20"/>
              </w:rPr>
            </w:pPr>
            <w:r w:rsidRPr="00FF6B7B">
              <w:rPr>
                <w:rFonts w:ascii="Arial Narrow" w:hAnsi="Arial Narrow" w:cs="Arial"/>
                <w:b/>
                <w:sz w:val="20"/>
                <w:szCs w:val="20"/>
              </w:rPr>
              <w:t>Restriction Level / Method:</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Check1"/>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Restricted benefit</w:t>
            </w: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
                  <w:enabled/>
                  <w:calcOnExit w:val="0"/>
                  <w:checkBox>
                    <w:sizeAuto/>
                    <w:default w:val="1"/>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In Writing</w:t>
            </w: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
                  <w:enabled/>
                  <w:calcOnExit w:val="0"/>
                  <w:checkBox>
                    <w:sizeAuto/>
                    <w:default w:val="1"/>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Telephone</w:t>
            </w: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Emergency</w:t>
            </w: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Check5"/>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Authority Required - Electronic</w:t>
            </w: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fldChar w:fldCharType="begin">
                <w:ffData>
                  <w:name w:val="Check5"/>
                  <w:enabled/>
                  <w:calcOnExit w:val="0"/>
                  <w:checkBox>
                    <w:sizeAuto/>
                    <w:default w:val="0"/>
                  </w:checkBox>
                </w:ffData>
              </w:fldChar>
            </w:r>
            <w:r w:rsidRPr="00FF6B7B">
              <w:rPr>
                <w:rFonts w:ascii="Arial Narrow" w:hAnsi="Arial Narrow" w:cs="Arial"/>
                <w:sz w:val="20"/>
                <w:szCs w:val="20"/>
              </w:rPr>
              <w:instrText xml:space="preserve"> FORMCHECKBOX </w:instrText>
            </w:r>
            <w:r w:rsidR="002E42CB">
              <w:rPr>
                <w:rFonts w:ascii="Arial Narrow" w:hAnsi="Arial Narrow" w:cs="Arial"/>
                <w:sz w:val="20"/>
                <w:szCs w:val="20"/>
              </w:rPr>
            </w:r>
            <w:r w:rsidR="002E42CB">
              <w:rPr>
                <w:rFonts w:ascii="Arial Narrow" w:hAnsi="Arial Narrow" w:cs="Arial"/>
                <w:sz w:val="20"/>
                <w:szCs w:val="20"/>
              </w:rPr>
              <w:fldChar w:fldCharType="separate"/>
            </w:r>
            <w:r w:rsidRPr="00FF6B7B">
              <w:rPr>
                <w:rFonts w:ascii="Arial Narrow" w:hAnsi="Arial Narrow" w:cs="Arial"/>
                <w:sz w:val="20"/>
                <w:szCs w:val="20"/>
              </w:rPr>
              <w:fldChar w:fldCharType="end"/>
            </w:r>
            <w:r w:rsidRPr="00FF6B7B">
              <w:rPr>
                <w:rFonts w:ascii="Arial Narrow" w:hAnsi="Arial Narrow" w:cs="Arial"/>
                <w:sz w:val="20"/>
                <w:szCs w:val="20"/>
              </w:rPr>
              <w:t>Streamlined</w:t>
            </w:r>
          </w:p>
        </w:tc>
      </w:tr>
      <w:tr w:rsidR="000E2DD7" w:rsidRPr="00FF6B7B" w:rsidTr="00805B31">
        <w:trPr>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sz w:val="20"/>
                <w:szCs w:val="20"/>
              </w:rPr>
            </w:pPr>
            <w:r w:rsidRPr="00FF6B7B">
              <w:rPr>
                <w:rFonts w:ascii="Arial Narrow" w:hAnsi="Arial Narrow" w:cs="Arial"/>
                <w:b/>
                <w:sz w:val="20"/>
                <w:szCs w:val="20"/>
              </w:rPr>
              <w:t>Clinical criteria:</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The treatment must be as monotherapy</w:t>
            </w:r>
          </w:p>
          <w:p w:rsidR="000E2DD7" w:rsidRPr="00FF6B7B" w:rsidRDefault="000E2DD7" w:rsidP="0052253E">
            <w:pPr>
              <w:rPr>
                <w:rFonts w:ascii="Arial Narrow" w:hAnsi="Arial Narrow" w:cs="Arial"/>
                <w:sz w:val="20"/>
                <w:szCs w:val="20"/>
              </w:rPr>
            </w:pP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AND</w:t>
            </w:r>
          </w:p>
          <w:p w:rsidR="000E2DD7" w:rsidRPr="00FF6B7B" w:rsidRDefault="000E2DD7" w:rsidP="0052253E">
            <w:pPr>
              <w:rPr>
                <w:rFonts w:ascii="Arial Narrow" w:hAnsi="Arial Narrow" w:cs="Arial"/>
                <w:sz w:val="20"/>
                <w:szCs w:val="20"/>
              </w:rPr>
            </w:pP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Patient must not develop progressive disease whilst receiving PBS-subsidised treatment with this drug for this condition</w:t>
            </w:r>
          </w:p>
          <w:p w:rsidR="000E2DD7" w:rsidRPr="00FF6B7B" w:rsidRDefault="000E2DD7" w:rsidP="0052253E">
            <w:pPr>
              <w:rPr>
                <w:rFonts w:ascii="Arial Narrow" w:hAnsi="Arial Narrow" w:cs="Arial"/>
                <w:sz w:val="20"/>
                <w:szCs w:val="20"/>
              </w:rPr>
            </w:pP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AND</w:t>
            </w:r>
          </w:p>
          <w:p w:rsidR="000E2DD7" w:rsidRPr="00FF6B7B" w:rsidRDefault="000E2DD7" w:rsidP="0052253E">
            <w:pPr>
              <w:rPr>
                <w:rFonts w:ascii="Arial Narrow" w:hAnsi="Arial Narrow" w:cs="Arial"/>
                <w:sz w:val="20"/>
                <w:szCs w:val="20"/>
              </w:rPr>
            </w:pPr>
          </w:p>
          <w:p w:rsidR="000E2DD7" w:rsidRPr="00FF6B7B" w:rsidRDefault="000E2DD7" w:rsidP="0052253E">
            <w:pPr>
              <w:rPr>
                <w:rFonts w:ascii="Arial Narrow" w:hAnsi="Arial Narrow" w:cs="Arial"/>
                <w:sz w:val="20"/>
                <w:szCs w:val="20"/>
              </w:rPr>
            </w:pPr>
            <w:r w:rsidRPr="00FF6B7B">
              <w:rPr>
                <w:rFonts w:ascii="Arial Narrow" w:hAnsi="Arial Narrow" w:cs="Arial"/>
                <w:sz w:val="20"/>
                <w:szCs w:val="20"/>
              </w:rPr>
              <w:t>Patient must have previously received PBS-subsidised treatment with this drug for this condition</w:t>
            </w:r>
          </w:p>
        </w:tc>
      </w:tr>
      <w:tr w:rsidR="000E2DD7" w:rsidRPr="00FF6B7B" w:rsidTr="0052253E">
        <w:tblPrEx>
          <w:tblCellMar>
            <w:left w:w="108" w:type="dxa"/>
            <w:right w:w="108" w:type="dxa"/>
          </w:tblCellMar>
        </w:tblPrEx>
        <w:trPr>
          <w:cantSplit/>
          <w:trHeight w:val="360"/>
        </w:trPr>
        <w:tc>
          <w:tcPr>
            <w:tcW w:w="1187" w:type="pct"/>
            <w:gridSpan w:val="2"/>
            <w:tcBorders>
              <w:top w:val="single" w:sz="4" w:space="0" w:color="auto"/>
              <w:left w:val="single" w:sz="4" w:space="0" w:color="auto"/>
              <w:bottom w:val="single" w:sz="4" w:space="0" w:color="auto"/>
              <w:right w:val="single" w:sz="4" w:space="0" w:color="auto"/>
            </w:tcBorders>
          </w:tcPr>
          <w:p w:rsidR="000E2DD7" w:rsidRPr="00FF6B7B" w:rsidRDefault="000E2DD7" w:rsidP="0052253E">
            <w:pPr>
              <w:jc w:val="both"/>
              <w:rPr>
                <w:rFonts w:ascii="Arial Narrow" w:hAnsi="Arial Narrow" w:cs="Arial"/>
                <w:b/>
                <w:sz w:val="20"/>
                <w:szCs w:val="20"/>
              </w:rPr>
            </w:pPr>
            <w:r w:rsidRPr="00FF6B7B">
              <w:rPr>
                <w:rFonts w:ascii="Arial Narrow" w:hAnsi="Arial Narrow" w:cs="Arial"/>
                <w:b/>
                <w:sz w:val="20"/>
                <w:szCs w:val="20"/>
              </w:rPr>
              <w:t>Administrative Advice</w:t>
            </w:r>
          </w:p>
        </w:tc>
        <w:tc>
          <w:tcPr>
            <w:tcW w:w="3813" w:type="pct"/>
            <w:gridSpan w:val="7"/>
            <w:tcBorders>
              <w:top w:val="single" w:sz="4" w:space="0" w:color="auto"/>
              <w:left w:val="single" w:sz="4" w:space="0" w:color="auto"/>
              <w:bottom w:val="single" w:sz="4" w:space="0" w:color="auto"/>
              <w:right w:val="single" w:sz="4" w:space="0" w:color="auto"/>
            </w:tcBorders>
          </w:tcPr>
          <w:p w:rsidR="000E2DD7" w:rsidRPr="00FF6B7B" w:rsidRDefault="000E2DD7" w:rsidP="0052253E">
            <w:pPr>
              <w:rPr>
                <w:rFonts w:ascii="Arial Narrow" w:hAnsi="Arial Narrow"/>
                <w:sz w:val="20"/>
                <w:szCs w:val="20"/>
              </w:rPr>
            </w:pPr>
            <w:r w:rsidRPr="00FF6B7B">
              <w:rPr>
                <w:rFonts w:ascii="Arial Narrow" w:hAnsi="Arial Narrow"/>
                <w:sz w:val="20"/>
                <w:szCs w:val="20"/>
              </w:rPr>
              <w:t>No increase in the maximum quantity or number of units may be authorised.</w:t>
            </w:r>
          </w:p>
          <w:p w:rsidR="000E2DD7" w:rsidRPr="00FF6B7B" w:rsidRDefault="000E2DD7" w:rsidP="0052253E">
            <w:pPr>
              <w:rPr>
                <w:rFonts w:ascii="Arial Narrow" w:hAnsi="Arial Narrow"/>
                <w:sz w:val="20"/>
                <w:szCs w:val="20"/>
              </w:rPr>
            </w:pPr>
          </w:p>
          <w:p w:rsidR="000E2DD7" w:rsidRPr="00FF6B7B" w:rsidRDefault="000E2DD7" w:rsidP="0052253E">
            <w:pPr>
              <w:rPr>
                <w:rFonts w:ascii="Arial Narrow" w:hAnsi="Arial Narrow"/>
                <w:sz w:val="20"/>
                <w:szCs w:val="20"/>
              </w:rPr>
            </w:pPr>
            <w:r w:rsidRPr="00FF6B7B">
              <w:rPr>
                <w:rFonts w:ascii="Arial Narrow" w:hAnsi="Arial Narrow"/>
                <w:sz w:val="20"/>
                <w:szCs w:val="20"/>
              </w:rPr>
              <w:t>No increase in the maximum number of repeats may be authorised.</w:t>
            </w:r>
          </w:p>
          <w:p w:rsidR="000E2DD7" w:rsidRPr="00FF6B7B" w:rsidRDefault="000E2DD7" w:rsidP="0052253E">
            <w:pPr>
              <w:rPr>
                <w:rFonts w:ascii="Arial Narrow" w:hAnsi="Arial Narrow"/>
                <w:sz w:val="20"/>
                <w:szCs w:val="20"/>
              </w:rPr>
            </w:pPr>
          </w:p>
          <w:p w:rsidR="000E2DD7" w:rsidRPr="00FF6B7B" w:rsidRDefault="000E2DD7" w:rsidP="0052253E">
            <w:pPr>
              <w:rPr>
                <w:rFonts w:ascii="Arial Narrow" w:hAnsi="Arial Narrow" w:cs="Arial"/>
                <w:sz w:val="20"/>
                <w:szCs w:val="20"/>
              </w:rPr>
            </w:pPr>
            <w:r w:rsidRPr="00FF6B7B">
              <w:rPr>
                <w:rFonts w:ascii="Arial Narrow" w:hAnsi="Arial Narrow"/>
                <w:sz w:val="20"/>
                <w:szCs w:val="20"/>
              </w:rPr>
              <w:t>Special Pricing Arrangements apply.</w:t>
            </w:r>
          </w:p>
        </w:tc>
      </w:tr>
    </w:tbl>
    <w:p w:rsidR="00DB0E87" w:rsidRPr="00FF6B7B" w:rsidRDefault="00DB0E87" w:rsidP="00DB0E87">
      <w:pPr>
        <w:pStyle w:val="NoSpacing"/>
        <w:rPr>
          <w:rFonts w:asciiTheme="minorHAnsi" w:hAnsiTheme="minorHAnsi"/>
          <w:sz w:val="24"/>
          <w:szCs w:val="24"/>
        </w:rPr>
      </w:pPr>
    </w:p>
    <w:p w:rsidR="001A3C3C" w:rsidRPr="00FF6B7B" w:rsidRDefault="00BD7968">
      <w:pPr>
        <w:rPr>
          <w:rFonts w:asciiTheme="minorHAnsi" w:hAnsiTheme="minorHAnsi"/>
        </w:rPr>
      </w:pPr>
      <w:r w:rsidRPr="00FF6B7B">
        <w:rPr>
          <w:rFonts w:eastAsiaTheme="minorHAnsi"/>
        </w:rPr>
        <w:br w:type="page"/>
      </w:r>
    </w:p>
    <w:p w:rsidR="00F64CC1" w:rsidRPr="00FF6B7B" w:rsidRDefault="0067620A" w:rsidP="002B3C2C">
      <w:pPr>
        <w:ind w:left="1440" w:hanging="1440"/>
        <w:jc w:val="both"/>
        <w:outlineLvl w:val="0"/>
        <w:rPr>
          <w:rFonts w:asciiTheme="minorHAnsi" w:hAnsiTheme="minorHAnsi"/>
          <w:b/>
        </w:rPr>
      </w:pPr>
      <w:r w:rsidRPr="00FF6B7B">
        <w:rPr>
          <w:rFonts w:asciiTheme="minorHAnsi" w:hAnsiTheme="minorHAnsi"/>
          <w:b/>
        </w:rPr>
        <w:t>Appendix 1</w:t>
      </w:r>
      <w:r w:rsidR="000856D2" w:rsidRPr="00FF6B7B">
        <w:rPr>
          <w:rFonts w:asciiTheme="minorHAnsi" w:hAnsiTheme="minorHAnsi"/>
          <w:b/>
        </w:rPr>
        <w:t>:</w:t>
      </w:r>
      <w:r w:rsidR="000856D2" w:rsidRPr="00FF6B7B">
        <w:rPr>
          <w:rFonts w:asciiTheme="minorHAnsi" w:hAnsiTheme="minorHAnsi"/>
          <w:b/>
        </w:rPr>
        <w:tab/>
        <w:t>Responses to requests clarifications and revisions to the basis of the PBAC’s July 2017</w:t>
      </w:r>
      <w:r w:rsidR="00B03AA8">
        <w:rPr>
          <w:rFonts w:asciiTheme="minorHAnsi" w:hAnsiTheme="minorHAnsi"/>
          <w:b/>
        </w:rPr>
        <w:t xml:space="preserve"> </w:t>
      </w:r>
      <w:r w:rsidR="000856D2" w:rsidRPr="00FF6B7B">
        <w:rPr>
          <w:rFonts w:asciiTheme="minorHAnsi" w:hAnsiTheme="minorHAnsi"/>
          <w:b/>
        </w:rPr>
        <w:t>recommendation for venetoclax.</w:t>
      </w:r>
    </w:p>
    <w:p w:rsidR="00696EAA" w:rsidRPr="00FF6B7B" w:rsidRDefault="00696EAA" w:rsidP="00F64CC1">
      <w:pPr>
        <w:jc w:val="both"/>
        <w:rPr>
          <w:rFonts w:asciiTheme="minorHAnsi" w:hAnsiTheme="minorHAnsi"/>
          <w:b/>
          <w:sz w:val="22"/>
          <w:szCs w:val="22"/>
        </w:rPr>
      </w:pPr>
    </w:p>
    <w:p w:rsidR="0067620A" w:rsidRPr="00FF6B7B" w:rsidRDefault="0067620A" w:rsidP="004B646D">
      <w:pPr>
        <w:spacing w:after="120"/>
        <w:rPr>
          <w:rFonts w:asciiTheme="minorHAnsi" w:eastAsiaTheme="minorHAnsi" w:hAnsiTheme="minorHAnsi" w:cstheme="minorBidi"/>
          <w:szCs w:val="22"/>
        </w:rPr>
      </w:pPr>
      <w:r w:rsidRPr="00FF6B7B">
        <w:rPr>
          <w:rFonts w:asciiTheme="minorHAnsi" w:eastAsiaTheme="minorHAnsi" w:hAnsiTheme="minorHAnsi" w:cstheme="minorBidi"/>
          <w:szCs w:val="22"/>
        </w:rPr>
        <w:t>Q)</w:t>
      </w:r>
      <w:r w:rsidRPr="00FF6B7B">
        <w:rPr>
          <w:rFonts w:asciiTheme="minorHAnsi" w:eastAsiaTheme="minorHAnsi" w:hAnsiTheme="minorHAnsi" w:cstheme="minorBidi"/>
          <w:szCs w:val="22"/>
        </w:rPr>
        <w:tab/>
        <w:t xml:space="preserve">It would be useful for eventual reactive responses to external stakeholders to understand the rationale for the PBAC recommendation not to include BCRi unsuitable patients in the VTX listing. In this case, </w:t>
      </w:r>
      <w:r w:rsidR="00B03AA8">
        <w:rPr>
          <w:rFonts w:asciiTheme="minorHAnsi" w:eastAsiaTheme="minorHAnsi" w:hAnsiTheme="minorHAnsi" w:cstheme="minorBidi"/>
          <w:szCs w:val="22"/>
        </w:rPr>
        <w:t xml:space="preserve">the </w:t>
      </w:r>
      <w:r w:rsidRPr="00FF6B7B">
        <w:rPr>
          <w:rFonts w:asciiTheme="minorHAnsi" w:eastAsiaTheme="minorHAnsi" w:hAnsiTheme="minorHAnsi" w:cstheme="minorBidi"/>
          <w:szCs w:val="22"/>
        </w:rPr>
        <w:t>patients</w:t>
      </w:r>
      <w:r w:rsidR="00B03AA8">
        <w:rPr>
          <w:rFonts w:asciiTheme="minorHAnsi" w:eastAsiaTheme="minorHAnsi" w:hAnsiTheme="minorHAnsi" w:cstheme="minorBidi"/>
          <w:szCs w:val="22"/>
        </w:rPr>
        <w:t>’</w:t>
      </w:r>
      <w:r w:rsidRPr="00FF6B7B">
        <w:rPr>
          <w:rFonts w:asciiTheme="minorHAnsi" w:eastAsiaTheme="minorHAnsi" w:hAnsiTheme="minorHAnsi" w:cstheme="minorBidi"/>
          <w:szCs w:val="22"/>
        </w:rPr>
        <w:t xml:space="preserve"> only optio</w:t>
      </w:r>
      <w:r w:rsidR="00B03AA8">
        <w:rPr>
          <w:rFonts w:asciiTheme="minorHAnsi" w:eastAsiaTheme="minorHAnsi" w:hAnsiTheme="minorHAnsi" w:cstheme="minorBidi"/>
          <w:szCs w:val="22"/>
        </w:rPr>
        <w:t>n will be best supportive care.</w:t>
      </w:r>
    </w:p>
    <w:p w:rsidR="0067620A" w:rsidRPr="00FF6B7B" w:rsidRDefault="009D07C1" w:rsidP="004B646D">
      <w:pPr>
        <w:spacing w:after="120"/>
        <w:rPr>
          <w:rFonts w:asciiTheme="minorHAnsi" w:eastAsiaTheme="minorHAnsi" w:hAnsiTheme="minorHAnsi" w:cstheme="minorBidi"/>
          <w:i/>
          <w:szCs w:val="22"/>
        </w:rPr>
      </w:pPr>
      <w:r>
        <w:rPr>
          <w:rFonts w:asciiTheme="minorHAnsi" w:eastAsiaTheme="minorHAnsi" w:hAnsiTheme="minorHAnsi" w:cstheme="minorBidi"/>
          <w:i/>
          <w:szCs w:val="22"/>
        </w:rPr>
        <w:t>A)</w:t>
      </w:r>
      <w:r w:rsidR="00696EAA" w:rsidRPr="00FF6B7B">
        <w:rPr>
          <w:rFonts w:asciiTheme="minorHAnsi" w:eastAsiaTheme="minorHAnsi" w:hAnsiTheme="minorHAnsi" w:cstheme="minorBidi"/>
          <w:i/>
          <w:szCs w:val="22"/>
        </w:rPr>
        <w:tab/>
      </w:r>
      <w:r w:rsidR="0067620A" w:rsidRPr="00FF6B7B">
        <w:rPr>
          <w:rFonts w:asciiTheme="minorHAnsi" w:eastAsiaTheme="minorHAnsi" w:hAnsiTheme="minorHAnsi" w:cstheme="minorBidi"/>
          <w:i/>
          <w:szCs w:val="22"/>
        </w:rPr>
        <w:t>The PBAC did not consider that there is a population for which a kinase inhibitor is unsuitable. The patients identified as being unsuitable to ibrutinib due to “comorbidities (atrial fibrillation) and concomitant medications (anti-coagulants)” are not contra-indicated for idelalisib with rituximab which is also a kinase inhibitor. Both kinase inhibitors list hypersensitivity to both the active substance and the other components of the tablets as contra-indications in their respective PIs.</w:t>
      </w:r>
    </w:p>
    <w:p w:rsidR="00696EAA" w:rsidRPr="009D07C1" w:rsidRDefault="00696EAA" w:rsidP="004B646D">
      <w:pPr>
        <w:spacing w:after="120"/>
        <w:rPr>
          <w:rFonts w:asciiTheme="minorHAnsi" w:eastAsiaTheme="minorHAnsi" w:hAnsiTheme="minorHAnsi" w:cstheme="minorBidi"/>
          <w:szCs w:val="22"/>
        </w:rPr>
      </w:pPr>
    </w:p>
    <w:p w:rsidR="0067620A" w:rsidRPr="00FF6B7B" w:rsidRDefault="0067620A" w:rsidP="004B646D">
      <w:pPr>
        <w:spacing w:after="120"/>
        <w:rPr>
          <w:rFonts w:asciiTheme="minorHAnsi" w:eastAsiaTheme="minorHAnsi" w:hAnsiTheme="minorHAnsi" w:cstheme="minorBidi"/>
          <w:szCs w:val="22"/>
        </w:rPr>
      </w:pPr>
      <w:r w:rsidRPr="00FF6B7B">
        <w:rPr>
          <w:rFonts w:asciiTheme="minorHAnsi" w:eastAsiaTheme="minorHAnsi" w:hAnsiTheme="minorHAnsi" w:cstheme="minorBidi"/>
          <w:szCs w:val="22"/>
        </w:rPr>
        <w:t>Q)</w:t>
      </w:r>
      <w:r w:rsidRPr="00FF6B7B">
        <w:rPr>
          <w:rFonts w:asciiTheme="minorHAnsi" w:eastAsiaTheme="minorHAnsi" w:hAnsiTheme="minorHAnsi" w:cstheme="minorBidi"/>
          <w:szCs w:val="22"/>
        </w:rPr>
        <w:tab/>
        <w:t>Is the detailed cost comparison provided to you on 15 Aug between Idela/R and VTX acceptable? Will that be managed outside of a minor submission process?</w:t>
      </w:r>
    </w:p>
    <w:p w:rsidR="0067620A" w:rsidRPr="00FF6B7B" w:rsidRDefault="0067620A" w:rsidP="004B646D">
      <w:pPr>
        <w:spacing w:after="120"/>
        <w:rPr>
          <w:rFonts w:asciiTheme="minorHAnsi" w:eastAsiaTheme="minorHAnsi" w:hAnsiTheme="minorHAnsi" w:cstheme="minorBidi"/>
          <w:i/>
          <w:szCs w:val="22"/>
        </w:rPr>
      </w:pPr>
      <w:r w:rsidRPr="00FF6B7B">
        <w:rPr>
          <w:rFonts w:asciiTheme="minorHAnsi" w:eastAsiaTheme="minorHAnsi" w:hAnsiTheme="minorHAnsi" w:cstheme="minorBidi"/>
          <w:i/>
          <w:szCs w:val="22"/>
        </w:rPr>
        <w:t>A)</w:t>
      </w:r>
      <w:r w:rsidR="00696EAA" w:rsidRPr="00FF6B7B">
        <w:rPr>
          <w:rFonts w:asciiTheme="minorHAnsi" w:eastAsiaTheme="minorHAnsi" w:hAnsiTheme="minorHAnsi" w:cstheme="minorBidi"/>
          <w:i/>
          <w:szCs w:val="22"/>
        </w:rPr>
        <w:tab/>
      </w:r>
      <w:r w:rsidRPr="00FF6B7B">
        <w:rPr>
          <w:rFonts w:asciiTheme="minorHAnsi" w:eastAsiaTheme="minorHAnsi" w:hAnsiTheme="minorHAnsi" w:cstheme="minorBidi"/>
          <w:i/>
          <w:szCs w:val="22"/>
        </w:rPr>
        <w:t xml:space="preserve">The inclusion of further cost offsets is a new matter that was not addressed in the submission to the July meeting. Should you </w:t>
      </w:r>
      <w:r w:rsidR="009D07C1">
        <w:rPr>
          <w:rFonts w:asciiTheme="minorHAnsi" w:eastAsiaTheme="minorHAnsi" w:hAnsiTheme="minorHAnsi" w:cstheme="minorBidi"/>
          <w:i/>
          <w:szCs w:val="22"/>
        </w:rPr>
        <w:t>AbbVie</w:t>
      </w:r>
      <w:r w:rsidRPr="00FF6B7B">
        <w:rPr>
          <w:rFonts w:asciiTheme="minorHAnsi" w:eastAsiaTheme="minorHAnsi" w:hAnsiTheme="minorHAnsi" w:cstheme="minorBidi"/>
          <w:i/>
          <w:szCs w:val="22"/>
        </w:rPr>
        <w:t xml:space="preserve"> to pursue this</w:t>
      </w:r>
      <w:r w:rsidR="009D07C1">
        <w:rPr>
          <w:rFonts w:asciiTheme="minorHAnsi" w:eastAsiaTheme="minorHAnsi" w:hAnsiTheme="minorHAnsi" w:cstheme="minorBidi"/>
          <w:i/>
          <w:szCs w:val="22"/>
        </w:rPr>
        <w:t>, the company</w:t>
      </w:r>
      <w:r w:rsidRPr="00FF6B7B">
        <w:rPr>
          <w:rFonts w:asciiTheme="minorHAnsi" w:eastAsiaTheme="minorHAnsi" w:hAnsiTheme="minorHAnsi" w:cstheme="minorBidi"/>
          <w:i/>
          <w:szCs w:val="22"/>
        </w:rPr>
        <w:t xml:space="preserve"> w</w:t>
      </w:r>
      <w:r w:rsidR="009D07C1">
        <w:rPr>
          <w:rFonts w:asciiTheme="minorHAnsi" w:eastAsiaTheme="minorHAnsi" w:hAnsiTheme="minorHAnsi" w:cstheme="minorBidi"/>
          <w:i/>
          <w:szCs w:val="22"/>
        </w:rPr>
        <w:t>ould</w:t>
      </w:r>
      <w:r w:rsidRPr="00FF6B7B">
        <w:rPr>
          <w:rFonts w:asciiTheme="minorHAnsi" w:eastAsiaTheme="minorHAnsi" w:hAnsiTheme="minorHAnsi" w:cstheme="minorBidi"/>
          <w:i/>
          <w:szCs w:val="22"/>
        </w:rPr>
        <w:t xml:space="preserve"> need to make a submission to the PBAC to seek a fresh PBAC recom</w:t>
      </w:r>
      <w:r w:rsidR="009D07C1">
        <w:rPr>
          <w:rFonts w:asciiTheme="minorHAnsi" w:eastAsiaTheme="minorHAnsi" w:hAnsiTheme="minorHAnsi" w:cstheme="minorBidi"/>
          <w:i/>
          <w:szCs w:val="22"/>
        </w:rPr>
        <w:t>mendation.</w:t>
      </w:r>
    </w:p>
    <w:p w:rsidR="00696EAA" w:rsidRPr="009D07C1" w:rsidRDefault="00696EAA" w:rsidP="004B646D">
      <w:pPr>
        <w:spacing w:after="120"/>
        <w:rPr>
          <w:rFonts w:asciiTheme="minorHAnsi" w:eastAsiaTheme="minorHAnsi" w:hAnsiTheme="minorHAnsi" w:cstheme="minorBidi"/>
          <w:szCs w:val="22"/>
        </w:rPr>
      </w:pPr>
    </w:p>
    <w:p w:rsidR="0067620A" w:rsidRPr="00FF6B7B" w:rsidRDefault="0067620A" w:rsidP="004B646D">
      <w:pPr>
        <w:spacing w:after="120"/>
        <w:rPr>
          <w:rFonts w:asciiTheme="minorHAnsi" w:eastAsiaTheme="minorHAnsi" w:hAnsiTheme="minorHAnsi" w:cstheme="minorBidi"/>
          <w:szCs w:val="22"/>
        </w:rPr>
      </w:pPr>
      <w:r w:rsidRPr="00FF6B7B">
        <w:rPr>
          <w:rFonts w:asciiTheme="minorHAnsi" w:eastAsiaTheme="minorHAnsi" w:hAnsiTheme="minorHAnsi" w:cstheme="minorBidi"/>
          <w:szCs w:val="22"/>
        </w:rPr>
        <w:t>Q)</w:t>
      </w:r>
      <w:r w:rsidRPr="00FF6B7B">
        <w:rPr>
          <w:rFonts w:asciiTheme="minorHAnsi" w:eastAsiaTheme="minorHAnsi" w:hAnsiTheme="minorHAnsi" w:cstheme="minorBidi"/>
          <w:szCs w:val="22"/>
        </w:rPr>
        <w:tab/>
        <w:t>Is sequencing allowed for the BCRis and explicitly not for VTX? This is a critical question for estimation of patient numbers and whether this has been factored into usage estimates for the market already?</w:t>
      </w:r>
    </w:p>
    <w:p w:rsidR="0067620A" w:rsidRPr="00FF6B7B" w:rsidRDefault="009D07C1" w:rsidP="004B646D">
      <w:pPr>
        <w:spacing w:after="120"/>
        <w:rPr>
          <w:rFonts w:asciiTheme="minorHAnsi" w:eastAsiaTheme="minorHAnsi" w:hAnsiTheme="minorHAnsi" w:cstheme="minorBidi"/>
          <w:i/>
          <w:szCs w:val="22"/>
        </w:rPr>
      </w:pPr>
      <w:r>
        <w:rPr>
          <w:rFonts w:asciiTheme="minorHAnsi" w:eastAsiaTheme="minorHAnsi" w:hAnsiTheme="minorHAnsi" w:cstheme="minorBidi"/>
          <w:i/>
          <w:szCs w:val="22"/>
        </w:rPr>
        <w:t>A)</w:t>
      </w:r>
      <w:r w:rsidR="00696EAA" w:rsidRPr="00FF6B7B">
        <w:rPr>
          <w:rFonts w:asciiTheme="minorHAnsi" w:eastAsiaTheme="minorHAnsi" w:hAnsiTheme="minorHAnsi" w:cstheme="minorBidi"/>
          <w:i/>
          <w:szCs w:val="22"/>
        </w:rPr>
        <w:tab/>
      </w:r>
      <w:r w:rsidR="0067620A" w:rsidRPr="00FF6B7B">
        <w:rPr>
          <w:rFonts w:asciiTheme="minorHAnsi" w:eastAsiaTheme="minorHAnsi" w:hAnsiTheme="minorHAnsi" w:cstheme="minorBidi"/>
          <w:i/>
          <w:szCs w:val="22"/>
        </w:rPr>
        <w:t>PBAC noted other published comparative evidence suggesting ibrutinib to be the preferred kinase inhibitor, and suggesting an alternative kinase inhibitor or venetoclax be used after initial kinase inhibitor failure. Sequencing will therefore be allowed as follows due to treatment failure: ibrutinib – idelalisib (with rituximab) – venetoclax; ibrutinib – venetoclax; or idelalisib (with rituximab) – venetoclax.</w:t>
      </w:r>
    </w:p>
    <w:p w:rsidR="00696EAA" w:rsidRPr="009D07C1" w:rsidRDefault="00696EAA" w:rsidP="004B646D">
      <w:pPr>
        <w:spacing w:after="120"/>
        <w:rPr>
          <w:rFonts w:asciiTheme="minorHAnsi" w:eastAsiaTheme="minorHAnsi" w:hAnsiTheme="minorHAnsi" w:cstheme="minorBidi"/>
          <w:szCs w:val="22"/>
        </w:rPr>
      </w:pPr>
    </w:p>
    <w:p w:rsidR="0067620A" w:rsidRPr="00FF6B7B" w:rsidRDefault="0067620A" w:rsidP="004B646D">
      <w:pPr>
        <w:spacing w:after="120"/>
        <w:rPr>
          <w:rFonts w:asciiTheme="minorHAnsi" w:eastAsiaTheme="minorHAnsi" w:hAnsiTheme="minorHAnsi" w:cstheme="minorBidi"/>
          <w:szCs w:val="22"/>
        </w:rPr>
      </w:pPr>
      <w:r w:rsidRPr="00FF6B7B">
        <w:rPr>
          <w:rFonts w:asciiTheme="minorHAnsi" w:eastAsiaTheme="minorHAnsi" w:hAnsiTheme="minorHAnsi" w:cstheme="minorBidi"/>
          <w:szCs w:val="22"/>
        </w:rPr>
        <w:t xml:space="preserve">Q) </w:t>
      </w:r>
      <w:r w:rsidR="00696EAA" w:rsidRPr="00FF6B7B">
        <w:rPr>
          <w:rFonts w:asciiTheme="minorHAnsi" w:eastAsiaTheme="minorHAnsi" w:hAnsiTheme="minorHAnsi" w:cstheme="minorBidi"/>
          <w:szCs w:val="22"/>
        </w:rPr>
        <w:tab/>
      </w:r>
      <w:r w:rsidRPr="00FF6B7B">
        <w:rPr>
          <w:rFonts w:asciiTheme="minorHAnsi" w:eastAsiaTheme="minorHAnsi" w:hAnsiTheme="minorHAnsi" w:cstheme="minorBidi"/>
          <w:szCs w:val="22"/>
        </w:rPr>
        <w:t xml:space="preserve">Is grandfathering of R/R CLL clinical trial patients agreed for the listing of BCRis and will that also apply to </w:t>
      </w:r>
      <w:r w:rsidR="009D07C1">
        <w:rPr>
          <w:rFonts w:asciiTheme="minorHAnsi" w:eastAsiaTheme="minorHAnsi" w:hAnsiTheme="minorHAnsi" w:cstheme="minorBidi"/>
          <w:szCs w:val="22"/>
        </w:rPr>
        <w:t>v</w:t>
      </w:r>
      <w:r w:rsidRPr="00FF6B7B">
        <w:rPr>
          <w:rFonts w:asciiTheme="minorHAnsi" w:eastAsiaTheme="minorHAnsi" w:hAnsiTheme="minorHAnsi" w:cstheme="minorBidi"/>
          <w:szCs w:val="22"/>
        </w:rPr>
        <w:t>enetoclax?</w:t>
      </w:r>
    </w:p>
    <w:p w:rsidR="00501AF3" w:rsidRDefault="0067620A" w:rsidP="004B646D">
      <w:pPr>
        <w:spacing w:after="120"/>
        <w:rPr>
          <w:rFonts w:asciiTheme="minorHAnsi" w:eastAsiaTheme="minorHAnsi" w:hAnsiTheme="minorHAnsi" w:cstheme="minorBidi"/>
          <w:i/>
          <w:szCs w:val="22"/>
        </w:rPr>
      </w:pPr>
      <w:r w:rsidRPr="00FF6B7B">
        <w:rPr>
          <w:rFonts w:asciiTheme="minorHAnsi" w:eastAsiaTheme="minorHAnsi" w:hAnsiTheme="minorHAnsi" w:cstheme="minorBidi"/>
          <w:i/>
          <w:szCs w:val="22"/>
        </w:rPr>
        <w:t xml:space="preserve">A) </w:t>
      </w:r>
      <w:r w:rsidR="00696EAA" w:rsidRPr="00FF6B7B">
        <w:rPr>
          <w:rFonts w:asciiTheme="minorHAnsi" w:eastAsiaTheme="minorHAnsi" w:hAnsiTheme="minorHAnsi" w:cstheme="minorBidi"/>
          <w:i/>
          <w:szCs w:val="22"/>
        </w:rPr>
        <w:tab/>
      </w:r>
      <w:r w:rsidRPr="00FF6B7B">
        <w:rPr>
          <w:rFonts w:asciiTheme="minorHAnsi" w:eastAsiaTheme="minorHAnsi" w:hAnsiTheme="minorHAnsi" w:cstheme="minorBidi"/>
          <w:i/>
          <w:szCs w:val="22"/>
        </w:rPr>
        <w:t>AbbVie ha</w:t>
      </w:r>
      <w:r w:rsidR="009D07C1">
        <w:rPr>
          <w:rFonts w:asciiTheme="minorHAnsi" w:eastAsiaTheme="minorHAnsi" w:hAnsiTheme="minorHAnsi" w:cstheme="minorBidi"/>
          <w:i/>
          <w:szCs w:val="22"/>
        </w:rPr>
        <w:t>s</w:t>
      </w:r>
      <w:r w:rsidR="00696EAA" w:rsidRPr="00FF6B7B">
        <w:rPr>
          <w:rFonts w:asciiTheme="minorHAnsi" w:eastAsiaTheme="minorHAnsi" w:hAnsiTheme="minorHAnsi" w:cstheme="minorBidi"/>
          <w:i/>
          <w:szCs w:val="22"/>
        </w:rPr>
        <w:t xml:space="preserve"> </w:t>
      </w:r>
      <w:r w:rsidRPr="00FF6B7B">
        <w:rPr>
          <w:rFonts w:asciiTheme="minorHAnsi" w:eastAsiaTheme="minorHAnsi" w:hAnsiTheme="minorHAnsi" w:cstheme="minorBidi"/>
          <w:i/>
          <w:szCs w:val="22"/>
        </w:rPr>
        <w:t>not previously requested a grandfathering restriction nor provided any details of the numbers of patients who may be eli</w:t>
      </w:r>
      <w:r w:rsidR="009D07C1">
        <w:rPr>
          <w:rFonts w:asciiTheme="minorHAnsi" w:eastAsiaTheme="minorHAnsi" w:hAnsiTheme="minorHAnsi" w:cstheme="minorBidi"/>
          <w:i/>
          <w:szCs w:val="22"/>
        </w:rPr>
        <w:t xml:space="preserve">gible through previous access. </w:t>
      </w:r>
      <w:r w:rsidRPr="00FF6B7B">
        <w:rPr>
          <w:rFonts w:asciiTheme="minorHAnsi" w:eastAsiaTheme="minorHAnsi" w:hAnsiTheme="minorHAnsi" w:cstheme="minorBidi"/>
          <w:i/>
          <w:szCs w:val="22"/>
        </w:rPr>
        <w:t xml:space="preserve">AbbVie would need to make a separate submission requesting a grandfathering restriction stating the reasons why </w:t>
      </w:r>
      <w:r w:rsidR="009D07C1">
        <w:rPr>
          <w:rFonts w:asciiTheme="minorHAnsi" w:eastAsiaTheme="minorHAnsi" w:hAnsiTheme="minorHAnsi" w:cstheme="minorBidi"/>
          <w:i/>
          <w:szCs w:val="22"/>
        </w:rPr>
        <w:t>this</w:t>
      </w:r>
      <w:r w:rsidRPr="00FF6B7B">
        <w:rPr>
          <w:rFonts w:asciiTheme="minorHAnsi" w:eastAsiaTheme="minorHAnsi" w:hAnsiTheme="minorHAnsi" w:cstheme="minorBidi"/>
          <w:i/>
          <w:szCs w:val="22"/>
        </w:rPr>
        <w:t xml:space="preserve"> is requested and detailing the number of patients for whom </w:t>
      </w:r>
      <w:r w:rsidR="009D07C1">
        <w:rPr>
          <w:rFonts w:asciiTheme="minorHAnsi" w:eastAsiaTheme="minorHAnsi" w:hAnsiTheme="minorHAnsi" w:cstheme="minorBidi"/>
          <w:i/>
          <w:szCs w:val="22"/>
        </w:rPr>
        <w:t>i</w:t>
      </w:r>
      <w:r w:rsidRPr="00FF6B7B">
        <w:rPr>
          <w:rFonts w:asciiTheme="minorHAnsi" w:eastAsiaTheme="minorHAnsi" w:hAnsiTheme="minorHAnsi" w:cstheme="minorBidi"/>
          <w:i/>
          <w:szCs w:val="22"/>
        </w:rPr>
        <w:t xml:space="preserve">t would be applicable and how </w:t>
      </w:r>
      <w:r w:rsidR="009D07C1">
        <w:rPr>
          <w:rFonts w:asciiTheme="minorHAnsi" w:eastAsiaTheme="minorHAnsi" w:hAnsiTheme="minorHAnsi" w:cstheme="minorBidi"/>
          <w:i/>
          <w:szCs w:val="22"/>
        </w:rPr>
        <w:t>patients</w:t>
      </w:r>
      <w:r w:rsidRPr="00FF6B7B">
        <w:rPr>
          <w:rFonts w:asciiTheme="minorHAnsi" w:eastAsiaTheme="minorHAnsi" w:hAnsiTheme="minorHAnsi" w:cstheme="minorBidi"/>
          <w:i/>
          <w:szCs w:val="22"/>
        </w:rPr>
        <w:t xml:space="preserve"> would meet the recommended restriction at the time of commencement of treatment (i.e. after failure with a kinase inhibitor).</w:t>
      </w:r>
    </w:p>
    <w:p w:rsidR="002B3C2C" w:rsidRDefault="002B3C2C" w:rsidP="004B646D">
      <w:pPr>
        <w:spacing w:after="120"/>
        <w:rPr>
          <w:rFonts w:asciiTheme="minorHAnsi" w:eastAsiaTheme="minorHAnsi" w:hAnsiTheme="minorHAnsi" w:cstheme="minorBidi"/>
          <w:i/>
          <w:szCs w:val="22"/>
        </w:rPr>
      </w:pPr>
    </w:p>
    <w:p w:rsidR="002B3C2C" w:rsidRPr="002B3C2C" w:rsidRDefault="002B3C2C" w:rsidP="002B3C2C">
      <w:pPr>
        <w:widowControl w:val="0"/>
        <w:numPr>
          <w:ilvl w:val="0"/>
          <w:numId w:val="5"/>
        </w:numPr>
        <w:spacing w:before="240" w:after="120"/>
        <w:jc w:val="both"/>
        <w:outlineLvl w:val="0"/>
        <w:rPr>
          <w:rFonts w:asciiTheme="minorHAnsi" w:hAnsiTheme="minorHAnsi" w:cs="Arial"/>
          <w:b/>
          <w:bCs/>
          <w:snapToGrid w:val="0"/>
          <w:sz w:val="32"/>
          <w:szCs w:val="32"/>
        </w:rPr>
      </w:pPr>
      <w:r w:rsidRPr="002B3C2C">
        <w:rPr>
          <w:rFonts w:asciiTheme="minorHAnsi" w:hAnsiTheme="minorHAnsi" w:cs="Arial"/>
          <w:b/>
          <w:bCs/>
          <w:snapToGrid w:val="0"/>
          <w:sz w:val="32"/>
          <w:szCs w:val="32"/>
        </w:rPr>
        <w:t>Context for Decision</w:t>
      </w:r>
    </w:p>
    <w:p w:rsidR="002B3C2C" w:rsidRPr="002B3C2C" w:rsidRDefault="002B3C2C" w:rsidP="002B3C2C">
      <w:pPr>
        <w:spacing w:before="120" w:after="120"/>
        <w:jc w:val="both"/>
        <w:rPr>
          <w:rFonts w:ascii="Calibri" w:eastAsia="Calibri" w:hAnsi="Calibri" w:cs="Arial"/>
          <w:szCs w:val="22"/>
          <w:lang w:eastAsia="en-US"/>
        </w:rPr>
      </w:pPr>
      <w:r w:rsidRPr="002B3C2C">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B3C2C" w:rsidRPr="002B3C2C" w:rsidRDefault="002B3C2C" w:rsidP="002B3C2C">
      <w:pPr>
        <w:widowControl w:val="0"/>
        <w:numPr>
          <w:ilvl w:val="0"/>
          <w:numId w:val="5"/>
        </w:numPr>
        <w:spacing w:before="240" w:after="120"/>
        <w:jc w:val="both"/>
        <w:outlineLvl w:val="0"/>
        <w:rPr>
          <w:rFonts w:asciiTheme="minorHAnsi" w:hAnsiTheme="minorHAnsi" w:cs="Arial"/>
          <w:b/>
          <w:bCs/>
          <w:snapToGrid w:val="0"/>
          <w:sz w:val="32"/>
          <w:szCs w:val="32"/>
        </w:rPr>
      </w:pPr>
      <w:r w:rsidRPr="002B3C2C">
        <w:rPr>
          <w:rFonts w:asciiTheme="minorHAnsi" w:hAnsiTheme="minorHAnsi" w:cs="Arial"/>
          <w:b/>
          <w:bCs/>
          <w:snapToGrid w:val="0"/>
          <w:sz w:val="32"/>
          <w:szCs w:val="32"/>
        </w:rPr>
        <w:t>Sponsor’s Comment</w:t>
      </w:r>
    </w:p>
    <w:p w:rsidR="000A6B0F" w:rsidRPr="000A6B0F" w:rsidRDefault="000A6B0F" w:rsidP="000A6B0F">
      <w:pPr>
        <w:spacing w:after="120"/>
        <w:rPr>
          <w:rFonts w:asciiTheme="minorHAnsi" w:eastAsiaTheme="minorHAnsi" w:hAnsiTheme="minorHAnsi" w:cstheme="minorBidi"/>
          <w:szCs w:val="22"/>
        </w:rPr>
      </w:pPr>
      <w:r w:rsidRPr="000A6B0F">
        <w:rPr>
          <w:rFonts w:asciiTheme="minorHAnsi" w:eastAsiaTheme="minorHAnsi" w:hAnsiTheme="minorHAnsi" w:cstheme="minorBidi"/>
          <w:szCs w:val="22"/>
        </w:rPr>
        <w:t>AbbVie welcomes the Pharmaceutical Benefits Advisory Committee’s (PBAC) decision to recommend the listing of VENCLEXTA (venetoclax) for the treatment of relapsed or refractory chronic lymphocytic leukemia (CLL) in patients who have failed a kinase inhibitor.</w:t>
      </w:r>
    </w:p>
    <w:p w:rsidR="002B3C2C" w:rsidRPr="000A6B0F" w:rsidRDefault="000A6B0F" w:rsidP="000A6B0F">
      <w:pPr>
        <w:spacing w:after="120"/>
        <w:rPr>
          <w:rFonts w:asciiTheme="minorHAnsi" w:eastAsiaTheme="minorHAnsi" w:hAnsiTheme="minorHAnsi" w:cstheme="minorBidi"/>
          <w:szCs w:val="22"/>
        </w:rPr>
      </w:pPr>
      <w:r w:rsidRPr="000A6B0F">
        <w:rPr>
          <w:rFonts w:asciiTheme="minorHAnsi" w:eastAsiaTheme="minorHAnsi" w:hAnsiTheme="minorHAnsi" w:cstheme="minorBidi"/>
          <w:szCs w:val="22"/>
        </w:rPr>
        <w:t>AbbVie does not agree with PBAC’s assessment that venetoclax was likely to be similar in terms of effectiveness to idelalisib with rituximab in patients who have failed a kinase inhibitor and will continue to work on ensuring provision of access to patients in this area of high unmet need.</w:t>
      </w:r>
    </w:p>
    <w:sectPr w:rsidR="002B3C2C" w:rsidRPr="000A6B0F" w:rsidSect="000E2DD7">
      <w:pgSz w:w="11906" w:h="16838" w:code="9"/>
      <w:pgMar w:top="1440" w:right="1440" w:bottom="1418"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4C7043" w15:done="0"/>
  <w15:commentEx w15:paraId="777B64F9" w15:paraIdParent="084C70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C7043" w16cid:durableId="1DCD83AB"/>
  <w16cid:commentId w16cid:paraId="777B64F9" w16cid:durableId="1DCD84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CB" w:rsidRDefault="002E42CB">
      <w:r>
        <w:separator/>
      </w:r>
    </w:p>
    <w:p w:rsidR="002E42CB" w:rsidRDefault="002E42CB"/>
  </w:endnote>
  <w:endnote w:type="continuationSeparator" w:id="0">
    <w:p w:rsidR="002E42CB" w:rsidRDefault="002E42CB">
      <w:r>
        <w:continuationSeparator/>
      </w:r>
    </w:p>
    <w:p w:rsidR="002E42CB" w:rsidRDefault="002E4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12D71" w:rsidTr="005A3173">
      <w:trPr>
        <w:trHeight w:val="151"/>
      </w:trPr>
      <w:tc>
        <w:tcPr>
          <w:tcW w:w="2250" w:type="pct"/>
          <w:tcBorders>
            <w:top w:val="nil"/>
            <w:left w:val="nil"/>
            <w:bottom w:val="single" w:sz="4" w:space="0" w:color="4F81BD"/>
            <w:right w:val="nil"/>
          </w:tcBorders>
        </w:tcPr>
        <w:p w:rsidR="00712D71" w:rsidRPr="005A3173" w:rsidRDefault="00712D7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12D71" w:rsidRPr="005A3173" w:rsidRDefault="00712D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12D71" w:rsidRPr="005A3173" w:rsidRDefault="00712D71" w:rsidP="005A3173">
          <w:pPr>
            <w:pStyle w:val="Header"/>
            <w:spacing w:line="276" w:lineRule="auto"/>
            <w:rPr>
              <w:rFonts w:ascii="Calibri" w:eastAsia="MS Gothic" w:hAnsi="Calibri"/>
              <w:b/>
              <w:bCs/>
              <w:color w:val="4F81BD"/>
            </w:rPr>
          </w:pPr>
        </w:p>
      </w:tc>
    </w:tr>
    <w:tr w:rsidR="00712D71" w:rsidTr="005A3173">
      <w:trPr>
        <w:trHeight w:val="150"/>
      </w:trPr>
      <w:tc>
        <w:tcPr>
          <w:tcW w:w="2250" w:type="pct"/>
          <w:tcBorders>
            <w:top w:val="single" w:sz="4" w:space="0" w:color="4F81BD"/>
            <w:left w:val="nil"/>
            <w:bottom w:val="nil"/>
            <w:right w:val="nil"/>
          </w:tcBorders>
        </w:tcPr>
        <w:p w:rsidR="00712D71" w:rsidRPr="005A3173" w:rsidRDefault="00712D71" w:rsidP="005A3173">
          <w:pPr>
            <w:pStyle w:val="Header"/>
            <w:spacing w:line="276" w:lineRule="auto"/>
            <w:rPr>
              <w:rFonts w:ascii="Calibri" w:eastAsia="MS Gothic" w:hAnsi="Calibri"/>
              <w:b/>
              <w:bCs/>
              <w:color w:val="4F81BD"/>
            </w:rPr>
          </w:pPr>
        </w:p>
      </w:tc>
      <w:tc>
        <w:tcPr>
          <w:tcW w:w="0" w:type="auto"/>
          <w:vMerge/>
          <w:vAlign w:val="center"/>
          <w:hideMark/>
        </w:tcPr>
        <w:p w:rsidR="00712D71" w:rsidRPr="005A3173" w:rsidRDefault="00712D7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12D71" w:rsidRPr="005A3173" w:rsidRDefault="00712D71" w:rsidP="005A3173">
          <w:pPr>
            <w:pStyle w:val="Header"/>
            <w:spacing w:line="276" w:lineRule="auto"/>
            <w:rPr>
              <w:rFonts w:ascii="Calibri" w:eastAsia="MS Gothic" w:hAnsi="Calibri"/>
              <w:b/>
              <w:bCs/>
              <w:color w:val="4F81BD"/>
            </w:rPr>
          </w:pPr>
        </w:p>
      </w:tc>
    </w:tr>
  </w:tbl>
  <w:p w:rsidR="00712D71" w:rsidRDefault="00712D7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2D71" w:rsidRDefault="00712D71">
    <w:pPr>
      <w:pStyle w:val="Footer"/>
    </w:pPr>
  </w:p>
  <w:p w:rsidR="00712D71" w:rsidRDefault="00712D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570856"/>
      <w:docPartObj>
        <w:docPartGallery w:val="Page Numbers (Bottom of Page)"/>
        <w:docPartUnique/>
      </w:docPartObj>
    </w:sdtPr>
    <w:sdtEndPr>
      <w:rPr>
        <w:noProof/>
      </w:rPr>
    </w:sdtEndPr>
    <w:sdtContent>
      <w:p w:rsidR="00712D71" w:rsidRDefault="00712D71">
        <w:pPr>
          <w:pStyle w:val="Footer"/>
          <w:jc w:val="center"/>
        </w:pPr>
        <w:r>
          <w:fldChar w:fldCharType="begin"/>
        </w:r>
        <w:r>
          <w:instrText xml:space="preserve"> PAGE   \* MERGEFORMAT </w:instrText>
        </w:r>
        <w:r>
          <w:fldChar w:fldCharType="separate"/>
        </w:r>
        <w:r w:rsidR="002E42CB">
          <w:rPr>
            <w:noProof/>
          </w:rPr>
          <w:t>1</w:t>
        </w:r>
        <w:r>
          <w:rPr>
            <w:noProof/>
          </w:rPr>
          <w:fldChar w:fldCharType="end"/>
        </w:r>
      </w:p>
    </w:sdtContent>
  </w:sdt>
  <w:p w:rsidR="00712D71" w:rsidRDefault="00712D71"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12D71" w:rsidTr="005A3173">
      <w:trPr>
        <w:trHeight w:val="151"/>
      </w:trPr>
      <w:tc>
        <w:tcPr>
          <w:tcW w:w="2250" w:type="pct"/>
          <w:tcBorders>
            <w:top w:val="nil"/>
            <w:left w:val="nil"/>
            <w:bottom w:val="single" w:sz="4" w:space="0" w:color="4F81BD"/>
            <w:right w:val="nil"/>
          </w:tcBorders>
        </w:tcPr>
        <w:p w:rsidR="00712D71" w:rsidRPr="005A3173" w:rsidRDefault="00712D7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12D71" w:rsidRPr="005A3173" w:rsidRDefault="00712D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12D71" w:rsidRPr="005A3173" w:rsidRDefault="00712D71" w:rsidP="005A3173">
          <w:pPr>
            <w:pStyle w:val="Header"/>
            <w:spacing w:line="276" w:lineRule="auto"/>
            <w:rPr>
              <w:rFonts w:ascii="Calibri" w:eastAsia="MS Gothic" w:hAnsi="Calibri"/>
              <w:b/>
              <w:bCs/>
              <w:color w:val="4F81BD"/>
            </w:rPr>
          </w:pPr>
        </w:p>
      </w:tc>
    </w:tr>
    <w:tr w:rsidR="00712D71" w:rsidTr="005A3173">
      <w:trPr>
        <w:trHeight w:val="150"/>
      </w:trPr>
      <w:tc>
        <w:tcPr>
          <w:tcW w:w="2250" w:type="pct"/>
          <w:tcBorders>
            <w:top w:val="single" w:sz="4" w:space="0" w:color="4F81BD"/>
            <w:left w:val="nil"/>
            <w:bottom w:val="nil"/>
            <w:right w:val="nil"/>
          </w:tcBorders>
        </w:tcPr>
        <w:p w:rsidR="00712D71" w:rsidRPr="005A3173" w:rsidRDefault="00712D71" w:rsidP="005A3173">
          <w:pPr>
            <w:pStyle w:val="Header"/>
            <w:spacing w:line="276" w:lineRule="auto"/>
            <w:rPr>
              <w:rFonts w:ascii="Calibri" w:eastAsia="MS Gothic" w:hAnsi="Calibri"/>
              <w:b/>
              <w:bCs/>
              <w:color w:val="4F81BD"/>
            </w:rPr>
          </w:pPr>
        </w:p>
      </w:tc>
      <w:tc>
        <w:tcPr>
          <w:tcW w:w="0" w:type="auto"/>
          <w:vMerge/>
          <w:vAlign w:val="center"/>
          <w:hideMark/>
        </w:tcPr>
        <w:p w:rsidR="00712D71" w:rsidRPr="005A3173" w:rsidRDefault="00712D7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12D71" w:rsidRPr="005A3173" w:rsidRDefault="00712D7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12D71" w:rsidTr="005A3173">
      <w:trPr>
        <w:trHeight w:val="151"/>
      </w:trPr>
      <w:tc>
        <w:tcPr>
          <w:tcW w:w="2250" w:type="pct"/>
          <w:tcBorders>
            <w:top w:val="nil"/>
            <w:left w:val="nil"/>
            <w:bottom w:val="single" w:sz="4" w:space="0" w:color="4F81BD"/>
            <w:right w:val="nil"/>
          </w:tcBorders>
        </w:tcPr>
        <w:p w:rsidR="00712D71" w:rsidRPr="005A3173" w:rsidRDefault="00712D7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12D71" w:rsidRPr="005A3173" w:rsidRDefault="00712D7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12D71" w:rsidRPr="005A3173" w:rsidRDefault="00712D71" w:rsidP="005A3173">
          <w:pPr>
            <w:pStyle w:val="Header"/>
            <w:spacing w:line="276" w:lineRule="auto"/>
            <w:rPr>
              <w:rFonts w:ascii="Calibri" w:eastAsia="MS Gothic" w:hAnsi="Calibri"/>
              <w:b/>
              <w:bCs/>
              <w:color w:val="4F81BD"/>
            </w:rPr>
          </w:pPr>
        </w:p>
      </w:tc>
    </w:tr>
    <w:tr w:rsidR="00712D71" w:rsidTr="005A3173">
      <w:trPr>
        <w:trHeight w:val="150"/>
      </w:trPr>
      <w:tc>
        <w:tcPr>
          <w:tcW w:w="2250" w:type="pct"/>
          <w:tcBorders>
            <w:top w:val="single" w:sz="4" w:space="0" w:color="4F81BD"/>
            <w:left w:val="nil"/>
            <w:bottom w:val="nil"/>
            <w:right w:val="nil"/>
          </w:tcBorders>
        </w:tcPr>
        <w:p w:rsidR="00712D71" w:rsidRPr="005A3173" w:rsidRDefault="00712D71" w:rsidP="005A3173">
          <w:pPr>
            <w:pStyle w:val="Header"/>
            <w:spacing w:line="276" w:lineRule="auto"/>
            <w:rPr>
              <w:rFonts w:ascii="Calibri" w:eastAsia="MS Gothic" w:hAnsi="Calibri"/>
              <w:b/>
              <w:bCs/>
              <w:color w:val="4F81BD"/>
            </w:rPr>
          </w:pPr>
        </w:p>
      </w:tc>
      <w:tc>
        <w:tcPr>
          <w:tcW w:w="0" w:type="auto"/>
          <w:vMerge/>
          <w:vAlign w:val="center"/>
          <w:hideMark/>
        </w:tcPr>
        <w:p w:rsidR="00712D71" w:rsidRPr="005A3173" w:rsidRDefault="00712D7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12D71" w:rsidRPr="005A3173" w:rsidRDefault="00712D71" w:rsidP="005A3173">
          <w:pPr>
            <w:pStyle w:val="Header"/>
            <w:spacing w:line="276" w:lineRule="auto"/>
            <w:rPr>
              <w:rFonts w:ascii="Calibri" w:eastAsia="MS Gothic" w:hAnsi="Calibri"/>
              <w:b/>
              <w:bCs/>
              <w:color w:val="4F81BD"/>
            </w:rPr>
          </w:pPr>
        </w:p>
      </w:tc>
    </w:tr>
  </w:tbl>
  <w:p w:rsidR="00712D71" w:rsidRPr="007C0F57" w:rsidRDefault="00712D7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12D71" w:rsidRPr="007C0F57" w:rsidRDefault="00712D71" w:rsidP="007C0F57">
    <w:pPr>
      <w:pStyle w:val="Footer"/>
      <w:jc w:val="center"/>
      <w:rPr>
        <w:b/>
        <w:i/>
        <w:sz w:val="20"/>
        <w:szCs w:val="20"/>
      </w:rPr>
    </w:pPr>
    <w:r w:rsidRPr="007C0F57">
      <w:rPr>
        <w:b/>
        <w:i/>
        <w:sz w:val="20"/>
        <w:szCs w:val="20"/>
      </w:rPr>
      <w:t>Commercial-in-Confidence</w:t>
    </w:r>
  </w:p>
  <w:p w:rsidR="00712D71" w:rsidRDefault="00712D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CB" w:rsidRDefault="002E42CB">
      <w:r>
        <w:separator/>
      </w:r>
    </w:p>
    <w:p w:rsidR="002E42CB" w:rsidRDefault="002E42CB"/>
  </w:footnote>
  <w:footnote w:type="continuationSeparator" w:id="0">
    <w:p w:rsidR="002E42CB" w:rsidRDefault="002E42CB">
      <w:r>
        <w:continuationSeparator/>
      </w:r>
    </w:p>
    <w:p w:rsidR="002E42CB" w:rsidRDefault="002E42CB"/>
  </w:footnote>
  <w:footnote w:id="1">
    <w:p w:rsidR="00712D71" w:rsidRPr="00421253" w:rsidRDefault="00712D71">
      <w:pPr>
        <w:pStyle w:val="FootnoteText"/>
        <w:rPr>
          <w:rFonts w:asciiTheme="minorHAnsi" w:hAnsiTheme="minorHAnsi"/>
        </w:rPr>
      </w:pPr>
      <w:r>
        <w:rPr>
          <w:rStyle w:val="FootnoteReference"/>
        </w:rPr>
        <w:footnoteRef/>
      </w:r>
      <w:r>
        <w:t xml:space="preserve"> </w:t>
      </w:r>
      <w:r w:rsidRPr="00421253">
        <w:rPr>
          <w:rFonts w:asciiTheme="minorHAnsi" w:hAnsiTheme="minorHAnsi"/>
        </w:rPr>
        <w:t>www.pbs.gov.au/info/industry/listing/elements/pbac-meetings/pbac-outcomes/2015-03/march-2015-other-matters-managed-access-programme-framewk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12D71" w:rsidRPr="008E0D90" w:rsidTr="00A06225">
      <w:trPr>
        <w:trHeight w:val="151"/>
      </w:trPr>
      <w:tc>
        <w:tcPr>
          <w:tcW w:w="2389" w:type="pct"/>
          <w:tcBorders>
            <w:top w:val="nil"/>
            <w:left w:val="nil"/>
            <w:bottom w:val="single" w:sz="4" w:space="0" w:color="4F81BD"/>
            <w:right w:val="nil"/>
          </w:tcBorders>
        </w:tcPr>
        <w:p w:rsidR="00712D71" w:rsidRPr="00A06225" w:rsidRDefault="00712D71">
          <w:pPr>
            <w:pStyle w:val="Header"/>
            <w:spacing w:line="276" w:lineRule="auto"/>
            <w:rPr>
              <w:rFonts w:ascii="Cambria" w:eastAsia="MS Gothic" w:hAnsi="Cambria"/>
              <w:b/>
              <w:bCs/>
              <w:color w:val="4F81BD"/>
            </w:rPr>
          </w:pPr>
        </w:p>
      </w:tc>
      <w:tc>
        <w:tcPr>
          <w:tcW w:w="333" w:type="pct"/>
          <w:vMerge w:val="restart"/>
          <w:noWrap/>
          <w:vAlign w:val="center"/>
          <w:hideMark/>
        </w:tcPr>
        <w:p w:rsidR="00712D71" w:rsidRPr="00A06225" w:rsidRDefault="00712D7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12D71" w:rsidRPr="00A06225" w:rsidRDefault="00712D71">
          <w:pPr>
            <w:pStyle w:val="Header"/>
            <w:spacing w:line="276" w:lineRule="auto"/>
            <w:rPr>
              <w:rFonts w:ascii="Cambria" w:eastAsia="MS Gothic" w:hAnsi="Cambria"/>
              <w:b/>
              <w:bCs/>
              <w:color w:val="4F81BD"/>
            </w:rPr>
          </w:pPr>
        </w:p>
      </w:tc>
    </w:tr>
    <w:tr w:rsidR="00712D71" w:rsidRPr="008E0D90" w:rsidTr="00A06225">
      <w:trPr>
        <w:trHeight w:val="150"/>
      </w:trPr>
      <w:tc>
        <w:tcPr>
          <w:tcW w:w="2389" w:type="pct"/>
          <w:tcBorders>
            <w:top w:val="single" w:sz="4" w:space="0" w:color="4F81BD"/>
            <w:left w:val="nil"/>
            <w:bottom w:val="nil"/>
            <w:right w:val="nil"/>
          </w:tcBorders>
        </w:tcPr>
        <w:p w:rsidR="00712D71" w:rsidRPr="00A06225" w:rsidRDefault="00712D71">
          <w:pPr>
            <w:pStyle w:val="Header"/>
            <w:spacing w:line="276" w:lineRule="auto"/>
            <w:rPr>
              <w:rFonts w:ascii="Cambria" w:eastAsia="MS Gothic" w:hAnsi="Cambria"/>
              <w:b/>
              <w:bCs/>
              <w:color w:val="4F81BD"/>
            </w:rPr>
          </w:pPr>
        </w:p>
      </w:tc>
      <w:tc>
        <w:tcPr>
          <w:tcW w:w="0" w:type="auto"/>
          <w:vMerge/>
          <w:vAlign w:val="center"/>
          <w:hideMark/>
        </w:tcPr>
        <w:p w:rsidR="00712D71" w:rsidRPr="00A06225" w:rsidRDefault="00712D71">
          <w:pPr>
            <w:rPr>
              <w:rFonts w:ascii="Cambria" w:hAnsi="Cambria"/>
              <w:color w:val="4F81BD"/>
              <w:sz w:val="22"/>
              <w:szCs w:val="22"/>
            </w:rPr>
          </w:pPr>
        </w:p>
      </w:tc>
      <w:tc>
        <w:tcPr>
          <w:tcW w:w="2278" w:type="pct"/>
          <w:tcBorders>
            <w:top w:val="single" w:sz="4" w:space="0" w:color="4F81BD"/>
            <w:left w:val="nil"/>
            <w:bottom w:val="nil"/>
            <w:right w:val="nil"/>
          </w:tcBorders>
        </w:tcPr>
        <w:p w:rsidR="00712D71" w:rsidRPr="00A06225" w:rsidRDefault="00712D71">
          <w:pPr>
            <w:pStyle w:val="Header"/>
            <w:spacing w:line="276" w:lineRule="auto"/>
            <w:rPr>
              <w:rFonts w:ascii="Cambria" w:eastAsia="MS Gothic" w:hAnsi="Cambria"/>
              <w:b/>
              <w:bCs/>
              <w:color w:val="4F81BD"/>
            </w:rPr>
          </w:pPr>
        </w:p>
      </w:tc>
    </w:tr>
  </w:tbl>
  <w:p w:rsidR="00712D71" w:rsidRDefault="00712D71">
    <w:pPr>
      <w:pStyle w:val="Header"/>
    </w:pPr>
  </w:p>
  <w:p w:rsidR="00712D71" w:rsidRDefault="00712D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71" w:rsidRDefault="00712D71" w:rsidP="006A25B8">
    <w:pPr>
      <w:pStyle w:val="Header"/>
      <w:jc w:val="center"/>
      <w:rPr>
        <w:rFonts w:asciiTheme="minorHAnsi" w:hAnsiTheme="minorHAnsi" w:cs="Arial"/>
        <w:i/>
      </w:rPr>
    </w:pPr>
    <w:r>
      <w:rPr>
        <w:rFonts w:asciiTheme="minorHAnsi" w:hAnsiTheme="minorHAnsi" w:cs="Arial"/>
        <w:i/>
      </w:rPr>
      <w:t>Public Summary Document – November 2017 PBAC Meeting</w:t>
    </w:r>
  </w:p>
  <w:p w:rsidR="00712D71" w:rsidRPr="006A25B8" w:rsidRDefault="00712D71" w:rsidP="006A25B8">
    <w:pPr>
      <w:pStyle w:val="Header"/>
      <w:jc w:val="center"/>
      <w:rPr>
        <w:rFonts w:asciiTheme="minorHAnsi" w:hAnsiTheme="minorHAnsi" w:cs="Arial"/>
        <w:i/>
        <w:noProof/>
      </w:rPr>
    </w:pPr>
  </w:p>
  <w:p w:rsidR="00712D71" w:rsidRDefault="00712D71"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CB" w:rsidRDefault="002E4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9950AF"/>
    <w:multiLevelType w:val="hybridMultilevel"/>
    <w:tmpl w:val="0442DA9C"/>
    <w:lvl w:ilvl="0" w:tplc="0C090001">
      <w:start w:val="1"/>
      <w:numFmt w:val="bullet"/>
      <w:lvlText w:val=""/>
      <w:lvlJc w:val="left"/>
      <w:pPr>
        <w:ind w:left="2272" w:hanging="360"/>
      </w:pPr>
      <w:rPr>
        <w:rFonts w:ascii="Symbol" w:hAnsi="Symbol" w:hint="default"/>
      </w:rPr>
    </w:lvl>
    <w:lvl w:ilvl="1" w:tplc="0C090003" w:tentative="1">
      <w:start w:val="1"/>
      <w:numFmt w:val="bullet"/>
      <w:lvlText w:val="o"/>
      <w:lvlJc w:val="left"/>
      <w:pPr>
        <w:ind w:left="2992" w:hanging="360"/>
      </w:pPr>
      <w:rPr>
        <w:rFonts w:ascii="Courier New" w:hAnsi="Courier New" w:cs="Courier New" w:hint="default"/>
      </w:rPr>
    </w:lvl>
    <w:lvl w:ilvl="2" w:tplc="0C090005" w:tentative="1">
      <w:start w:val="1"/>
      <w:numFmt w:val="bullet"/>
      <w:lvlText w:val=""/>
      <w:lvlJc w:val="left"/>
      <w:pPr>
        <w:ind w:left="3712" w:hanging="360"/>
      </w:pPr>
      <w:rPr>
        <w:rFonts w:ascii="Wingdings" w:hAnsi="Wingdings" w:hint="default"/>
      </w:rPr>
    </w:lvl>
    <w:lvl w:ilvl="3" w:tplc="0C090001" w:tentative="1">
      <w:start w:val="1"/>
      <w:numFmt w:val="bullet"/>
      <w:lvlText w:val=""/>
      <w:lvlJc w:val="left"/>
      <w:pPr>
        <w:ind w:left="4432" w:hanging="360"/>
      </w:pPr>
      <w:rPr>
        <w:rFonts w:ascii="Symbol" w:hAnsi="Symbol" w:hint="default"/>
      </w:rPr>
    </w:lvl>
    <w:lvl w:ilvl="4" w:tplc="0C090003" w:tentative="1">
      <w:start w:val="1"/>
      <w:numFmt w:val="bullet"/>
      <w:lvlText w:val="o"/>
      <w:lvlJc w:val="left"/>
      <w:pPr>
        <w:ind w:left="5152" w:hanging="360"/>
      </w:pPr>
      <w:rPr>
        <w:rFonts w:ascii="Courier New" w:hAnsi="Courier New" w:cs="Courier New" w:hint="default"/>
      </w:rPr>
    </w:lvl>
    <w:lvl w:ilvl="5" w:tplc="0C090005" w:tentative="1">
      <w:start w:val="1"/>
      <w:numFmt w:val="bullet"/>
      <w:lvlText w:val=""/>
      <w:lvlJc w:val="left"/>
      <w:pPr>
        <w:ind w:left="5872" w:hanging="360"/>
      </w:pPr>
      <w:rPr>
        <w:rFonts w:ascii="Wingdings" w:hAnsi="Wingdings" w:hint="default"/>
      </w:rPr>
    </w:lvl>
    <w:lvl w:ilvl="6" w:tplc="0C090001" w:tentative="1">
      <w:start w:val="1"/>
      <w:numFmt w:val="bullet"/>
      <w:lvlText w:val=""/>
      <w:lvlJc w:val="left"/>
      <w:pPr>
        <w:ind w:left="6592" w:hanging="360"/>
      </w:pPr>
      <w:rPr>
        <w:rFonts w:ascii="Symbol" w:hAnsi="Symbol" w:hint="default"/>
      </w:rPr>
    </w:lvl>
    <w:lvl w:ilvl="7" w:tplc="0C090003" w:tentative="1">
      <w:start w:val="1"/>
      <w:numFmt w:val="bullet"/>
      <w:lvlText w:val="o"/>
      <w:lvlJc w:val="left"/>
      <w:pPr>
        <w:ind w:left="7312" w:hanging="360"/>
      </w:pPr>
      <w:rPr>
        <w:rFonts w:ascii="Courier New" w:hAnsi="Courier New" w:cs="Courier New" w:hint="default"/>
      </w:rPr>
    </w:lvl>
    <w:lvl w:ilvl="8" w:tplc="0C090005" w:tentative="1">
      <w:start w:val="1"/>
      <w:numFmt w:val="bullet"/>
      <w:lvlText w:val=""/>
      <w:lvlJc w:val="left"/>
      <w:pPr>
        <w:ind w:left="8032"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B271944"/>
    <w:multiLevelType w:val="hybridMultilevel"/>
    <w:tmpl w:val="0B0AF0E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5DC5638"/>
    <w:multiLevelType w:val="hybridMultilevel"/>
    <w:tmpl w:val="C5DC1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B6B175B"/>
    <w:multiLevelType w:val="hybridMultilevel"/>
    <w:tmpl w:val="7BFC1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D26853"/>
    <w:multiLevelType w:val="hybridMultilevel"/>
    <w:tmpl w:val="F4786A56"/>
    <w:lvl w:ilvl="0" w:tplc="4934E16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54200D7"/>
    <w:multiLevelType w:val="hybridMultilevel"/>
    <w:tmpl w:val="D0ACF9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AAC38CB"/>
    <w:multiLevelType w:val="hybridMultilevel"/>
    <w:tmpl w:val="6DFE0AA2"/>
    <w:lvl w:ilvl="0" w:tplc="903858AE">
      <w:start w:val="24"/>
      <w:numFmt w:val="bullet"/>
      <w:lvlText w:val="•"/>
      <w:lvlJc w:val="left"/>
      <w:pPr>
        <w:ind w:left="1069" w:hanging="360"/>
      </w:pPr>
      <w:rPr>
        <w:rFonts w:ascii="Calibri" w:eastAsiaTheme="minorHAnsi" w:hAnsi="Calibri" w:cstheme="minorBid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nsid w:val="5C492804"/>
    <w:multiLevelType w:val="hybridMultilevel"/>
    <w:tmpl w:val="9C0E709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nsid w:val="6FC94D28"/>
    <w:multiLevelType w:val="hybridMultilevel"/>
    <w:tmpl w:val="584E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4D033C"/>
    <w:multiLevelType w:val="multilevel"/>
    <w:tmpl w:val="1244F72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A9D193C"/>
    <w:multiLevelType w:val="hybridMultilevel"/>
    <w:tmpl w:val="7A6AD0BC"/>
    <w:lvl w:ilvl="0" w:tplc="FEE4013A">
      <w:start w:val="1"/>
      <w:numFmt w:val="bullet"/>
      <w:lvlText w:val="−"/>
      <w:lvlJc w:val="left"/>
      <w:pPr>
        <w:ind w:left="2138" w:hanging="360"/>
      </w:pPr>
      <w:rPr>
        <w:rFonts w:ascii="Arial" w:hAnsi="Aria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9"/>
  </w:num>
  <w:num w:numId="2">
    <w:abstractNumId w:val="2"/>
  </w:num>
  <w:num w:numId="3">
    <w:abstractNumId w:val="6"/>
  </w:num>
  <w:num w:numId="4">
    <w:abstractNumId w:val="14"/>
  </w:num>
  <w:num w:numId="5">
    <w:abstractNumId w:val="21"/>
  </w:num>
  <w:num w:numId="6">
    <w:abstractNumId w:val="8"/>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21"/>
  </w:num>
  <w:num w:numId="15">
    <w:abstractNumId w:val="16"/>
  </w:num>
  <w:num w:numId="16">
    <w:abstractNumId w:val="22"/>
  </w:num>
  <w:num w:numId="17">
    <w:abstractNumId w:val="20"/>
  </w:num>
  <w:num w:numId="18">
    <w:abstractNumId w:val="5"/>
  </w:num>
  <w:num w:numId="19">
    <w:abstractNumId w:val="3"/>
  </w:num>
  <w:num w:numId="20">
    <w:abstractNumId w:val="17"/>
  </w:num>
  <w:num w:numId="21">
    <w:abstractNumId w:val="7"/>
  </w:num>
  <w:num w:numId="22">
    <w:abstractNumId w:val="15"/>
  </w:num>
  <w:num w:numId="23">
    <w:abstractNumId w:val="19"/>
  </w:num>
  <w:num w:numId="24">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0830"/>
    <w:rsid w:val="00012FF7"/>
    <w:rsid w:val="0002464A"/>
    <w:rsid w:val="0003106B"/>
    <w:rsid w:val="000374B1"/>
    <w:rsid w:val="000421A1"/>
    <w:rsid w:val="0004240E"/>
    <w:rsid w:val="00045E26"/>
    <w:rsid w:val="0005024B"/>
    <w:rsid w:val="000514B5"/>
    <w:rsid w:val="00060E64"/>
    <w:rsid w:val="000622EE"/>
    <w:rsid w:val="00066755"/>
    <w:rsid w:val="00077143"/>
    <w:rsid w:val="00080B70"/>
    <w:rsid w:val="00082169"/>
    <w:rsid w:val="000856D2"/>
    <w:rsid w:val="000969AD"/>
    <w:rsid w:val="000A6B0F"/>
    <w:rsid w:val="000B558D"/>
    <w:rsid w:val="000B67C2"/>
    <w:rsid w:val="000C34B5"/>
    <w:rsid w:val="000C6996"/>
    <w:rsid w:val="000D23BA"/>
    <w:rsid w:val="000E2DD7"/>
    <w:rsid w:val="000E681E"/>
    <w:rsid w:val="000F0003"/>
    <w:rsid w:val="000F4E6A"/>
    <w:rsid w:val="000F654E"/>
    <w:rsid w:val="00101985"/>
    <w:rsid w:val="00104227"/>
    <w:rsid w:val="001107BF"/>
    <w:rsid w:val="001167EF"/>
    <w:rsid w:val="0012417C"/>
    <w:rsid w:val="00134EE0"/>
    <w:rsid w:val="00142395"/>
    <w:rsid w:val="00142714"/>
    <w:rsid w:val="001452ED"/>
    <w:rsid w:val="001614B8"/>
    <w:rsid w:val="00163329"/>
    <w:rsid w:val="00163C7F"/>
    <w:rsid w:val="00164623"/>
    <w:rsid w:val="00165B64"/>
    <w:rsid w:val="00174471"/>
    <w:rsid w:val="001830CE"/>
    <w:rsid w:val="0018643B"/>
    <w:rsid w:val="0019218C"/>
    <w:rsid w:val="00196307"/>
    <w:rsid w:val="0019735B"/>
    <w:rsid w:val="001A33EA"/>
    <w:rsid w:val="001A3C3C"/>
    <w:rsid w:val="001A576E"/>
    <w:rsid w:val="001B017F"/>
    <w:rsid w:val="001B1DAD"/>
    <w:rsid w:val="001B2BBC"/>
    <w:rsid w:val="001B5129"/>
    <w:rsid w:val="001C1195"/>
    <w:rsid w:val="001C5676"/>
    <w:rsid w:val="001D076F"/>
    <w:rsid w:val="001F1850"/>
    <w:rsid w:val="00203FAC"/>
    <w:rsid w:val="00206CBF"/>
    <w:rsid w:val="00213CFB"/>
    <w:rsid w:val="00217BE1"/>
    <w:rsid w:val="002257AD"/>
    <w:rsid w:val="00235B34"/>
    <w:rsid w:val="0024025E"/>
    <w:rsid w:val="00242249"/>
    <w:rsid w:val="0026220F"/>
    <w:rsid w:val="00271BA1"/>
    <w:rsid w:val="002762FA"/>
    <w:rsid w:val="00277505"/>
    <w:rsid w:val="00286602"/>
    <w:rsid w:val="00287346"/>
    <w:rsid w:val="0029458F"/>
    <w:rsid w:val="002A104C"/>
    <w:rsid w:val="002A4960"/>
    <w:rsid w:val="002B1AE6"/>
    <w:rsid w:val="002B2DE8"/>
    <w:rsid w:val="002B30F8"/>
    <w:rsid w:val="002B3C2C"/>
    <w:rsid w:val="002B5596"/>
    <w:rsid w:val="002C212F"/>
    <w:rsid w:val="002C2D44"/>
    <w:rsid w:val="002C5F80"/>
    <w:rsid w:val="002D2FB9"/>
    <w:rsid w:val="002D442E"/>
    <w:rsid w:val="002D4543"/>
    <w:rsid w:val="002E3153"/>
    <w:rsid w:val="002E42CB"/>
    <w:rsid w:val="002E72CA"/>
    <w:rsid w:val="002F0F76"/>
    <w:rsid w:val="00300AD6"/>
    <w:rsid w:val="0030228D"/>
    <w:rsid w:val="00305847"/>
    <w:rsid w:val="0031538A"/>
    <w:rsid w:val="00317C6C"/>
    <w:rsid w:val="00326E79"/>
    <w:rsid w:val="0033518A"/>
    <w:rsid w:val="003367EF"/>
    <w:rsid w:val="00341AE4"/>
    <w:rsid w:val="003466EE"/>
    <w:rsid w:val="00374843"/>
    <w:rsid w:val="003872CF"/>
    <w:rsid w:val="0039782C"/>
    <w:rsid w:val="003A0D0F"/>
    <w:rsid w:val="003A2018"/>
    <w:rsid w:val="003A304A"/>
    <w:rsid w:val="003A5B4A"/>
    <w:rsid w:val="003A5F42"/>
    <w:rsid w:val="003B23C5"/>
    <w:rsid w:val="003B2A75"/>
    <w:rsid w:val="003B6124"/>
    <w:rsid w:val="003C2FB5"/>
    <w:rsid w:val="003C3737"/>
    <w:rsid w:val="003D280B"/>
    <w:rsid w:val="003D4AC4"/>
    <w:rsid w:val="003D63B7"/>
    <w:rsid w:val="003E069C"/>
    <w:rsid w:val="003E468B"/>
    <w:rsid w:val="003F3228"/>
    <w:rsid w:val="003F510B"/>
    <w:rsid w:val="003F5C8C"/>
    <w:rsid w:val="003F7FA2"/>
    <w:rsid w:val="00403651"/>
    <w:rsid w:val="00421253"/>
    <w:rsid w:val="00424FC0"/>
    <w:rsid w:val="004252EC"/>
    <w:rsid w:val="00427E19"/>
    <w:rsid w:val="004359BC"/>
    <w:rsid w:val="004465BD"/>
    <w:rsid w:val="00447A0F"/>
    <w:rsid w:val="0045281F"/>
    <w:rsid w:val="00466ADA"/>
    <w:rsid w:val="00471363"/>
    <w:rsid w:val="00476245"/>
    <w:rsid w:val="00483035"/>
    <w:rsid w:val="00484CD3"/>
    <w:rsid w:val="00485940"/>
    <w:rsid w:val="004916C7"/>
    <w:rsid w:val="00491928"/>
    <w:rsid w:val="004A2310"/>
    <w:rsid w:val="004A2484"/>
    <w:rsid w:val="004A5A85"/>
    <w:rsid w:val="004A71D1"/>
    <w:rsid w:val="004B2A17"/>
    <w:rsid w:val="004B5640"/>
    <w:rsid w:val="004B646D"/>
    <w:rsid w:val="004C1BD7"/>
    <w:rsid w:val="004C31FE"/>
    <w:rsid w:val="004C691D"/>
    <w:rsid w:val="004C6C07"/>
    <w:rsid w:val="004E692D"/>
    <w:rsid w:val="00501554"/>
    <w:rsid w:val="00501AF3"/>
    <w:rsid w:val="0050313C"/>
    <w:rsid w:val="00505B72"/>
    <w:rsid w:val="005111DE"/>
    <w:rsid w:val="00514CD7"/>
    <w:rsid w:val="0052253E"/>
    <w:rsid w:val="005243B5"/>
    <w:rsid w:val="005319B2"/>
    <w:rsid w:val="00531DFF"/>
    <w:rsid w:val="00532402"/>
    <w:rsid w:val="00532C74"/>
    <w:rsid w:val="00534E2E"/>
    <w:rsid w:val="00544552"/>
    <w:rsid w:val="005675CA"/>
    <w:rsid w:val="00577C4D"/>
    <w:rsid w:val="00581932"/>
    <w:rsid w:val="005963BB"/>
    <w:rsid w:val="005A3173"/>
    <w:rsid w:val="005A3223"/>
    <w:rsid w:val="005A3DA3"/>
    <w:rsid w:val="005A52C4"/>
    <w:rsid w:val="005C56C1"/>
    <w:rsid w:val="005D03AB"/>
    <w:rsid w:val="005D0F30"/>
    <w:rsid w:val="005D139E"/>
    <w:rsid w:val="005D5017"/>
    <w:rsid w:val="005E1333"/>
    <w:rsid w:val="005F18DC"/>
    <w:rsid w:val="00601A91"/>
    <w:rsid w:val="00602BA3"/>
    <w:rsid w:val="00612E34"/>
    <w:rsid w:val="00614159"/>
    <w:rsid w:val="006155EB"/>
    <w:rsid w:val="00617C00"/>
    <w:rsid w:val="00624E81"/>
    <w:rsid w:val="006263BF"/>
    <w:rsid w:val="0062748A"/>
    <w:rsid w:val="00630A2C"/>
    <w:rsid w:val="00634A34"/>
    <w:rsid w:val="0063682E"/>
    <w:rsid w:val="006436CD"/>
    <w:rsid w:val="00651169"/>
    <w:rsid w:val="00653D69"/>
    <w:rsid w:val="00657F75"/>
    <w:rsid w:val="006670BE"/>
    <w:rsid w:val="00670A76"/>
    <w:rsid w:val="006711AA"/>
    <w:rsid w:val="00672B57"/>
    <w:rsid w:val="00675476"/>
    <w:rsid w:val="00675622"/>
    <w:rsid w:val="0067620A"/>
    <w:rsid w:val="0068261D"/>
    <w:rsid w:val="0069038C"/>
    <w:rsid w:val="006906DB"/>
    <w:rsid w:val="00691E6C"/>
    <w:rsid w:val="00696EAA"/>
    <w:rsid w:val="00697CF2"/>
    <w:rsid w:val="006A12A5"/>
    <w:rsid w:val="006A25B8"/>
    <w:rsid w:val="006B0D94"/>
    <w:rsid w:val="006B485D"/>
    <w:rsid w:val="006C25CD"/>
    <w:rsid w:val="006C708E"/>
    <w:rsid w:val="006D366F"/>
    <w:rsid w:val="006D6C4A"/>
    <w:rsid w:val="006D6EC7"/>
    <w:rsid w:val="006F5125"/>
    <w:rsid w:val="00702B6F"/>
    <w:rsid w:val="007071A5"/>
    <w:rsid w:val="00712D71"/>
    <w:rsid w:val="0071340B"/>
    <w:rsid w:val="007174BB"/>
    <w:rsid w:val="0072025D"/>
    <w:rsid w:val="00747CDD"/>
    <w:rsid w:val="00763C67"/>
    <w:rsid w:val="0076420C"/>
    <w:rsid w:val="007728D3"/>
    <w:rsid w:val="007753C2"/>
    <w:rsid w:val="00776326"/>
    <w:rsid w:val="007838B8"/>
    <w:rsid w:val="007A2FED"/>
    <w:rsid w:val="007A661C"/>
    <w:rsid w:val="007C0F57"/>
    <w:rsid w:val="007C40B6"/>
    <w:rsid w:val="007C729F"/>
    <w:rsid w:val="007D208F"/>
    <w:rsid w:val="007E1D28"/>
    <w:rsid w:val="007F2641"/>
    <w:rsid w:val="007F71D2"/>
    <w:rsid w:val="007F7C36"/>
    <w:rsid w:val="00802ABA"/>
    <w:rsid w:val="00805B31"/>
    <w:rsid w:val="00806796"/>
    <w:rsid w:val="008151D6"/>
    <w:rsid w:val="008211FF"/>
    <w:rsid w:val="008230D6"/>
    <w:rsid w:val="00825648"/>
    <w:rsid w:val="00826F6D"/>
    <w:rsid w:val="00827EEA"/>
    <w:rsid w:val="008306F3"/>
    <w:rsid w:val="00837B74"/>
    <w:rsid w:val="00843CBF"/>
    <w:rsid w:val="00856DDD"/>
    <w:rsid w:val="008606CC"/>
    <w:rsid w:val="0086149E"/>
    <w:rsid w:val="00863E68"/>
    <w:rsid w:val="00880A18"/>
    <w:rsid w:val="00882085"/>
    <w:rsid w:val="00883188"/>
    <w:rsid w:val="00896D64"/>
    <w:rsid w:val="00897D58"/>
    <w:rsid w:val="00897F22"/>
    <w:rsid w:val="008A1956"/>
    <w:rsid w:val="008A4937"/>
    <w:rsid w:val="008A50F1"/>
    <w:rsid w:val="008D1B5C"/>
    <w:rsid w:val="008D3C82"/>
    <w:rsid w:val="008D447E"/>
    <w:rsid w:val="008D67FE"/>
    <w:rsid w:val="008D6E67"/>
    <w:rsid w:val="008D7A41"/>
    <w:rsid w:val="008E3680"/>
    <w:rsid w:val="008E5870"/>
    <w:rsid w:val="008F1434"/>
    <w:rsid w:val="008F4EE1"/>
    <w:rsid w:val="008F7355"/>
    <w:rsid w:val="00904802"/>
    <w:rsid w:val="009067B7"/>
    <w:rsid w:val="009148B8"/>
    <w:rsid w:val="00915A4F"/>
    <w:rsid w:val="009263C3"/>
    <w:rsid w:val="00930937"/>
    <w:rsid w:val="00933AD7"/>
    <w:rsid w:val="00933E6C"/>
    <w:rsid w:val="00937958"/>
    <w:rsid w:val="00942160"/>
    <w:rsid w:val="00947EA7"/>
    <w:rsid w:val="0095146F"/>
    <w:rsid w:val="009522CD"/>
    <w:rsid w:val="009602C5"/>
    <w:rsid w:val="00962223"/>
    <w:rsid w:val="00963408"/>
    <w:rsid w:val="00965FC0"/>
    <w:rsid w:val="00966D0D"/>
    <w:rsid w:val="00974C21"/>
    <w:rsid w:val="009850FE"/>
    <w:rsid w:val="00996C11"/>
    <w:rsid w:val="009A5192"/>
    <w:rsid w:val="009B0F67"/>
    <w:rsid w:val="009B6B9B"/>
    <w:rsid w:val="009C703C"/>
    <w:rsid w:val="009D07C1"/>
    <w:rsid w:val="009D3CAA"/>
    <w:rsid w:val="009F4E46"/>
    <w:rsid w:val="009F5B65"/>
    <w:rsid w:val="009F5F2E"/>
    <w:rsid w:val="009F6856"/>
    <w:rsid w:val="00A001E1"/>
    <w:rsid w:val="00A06225"/>
    <w:rsid w:val="00A128E6"/>
    <w:rsid w:val="00A13292"/>
    <w:rsid w:val="00A14249"/>
    <w:rsid w:val="00A34E6C"/>
    <w:rsid w:val="00A37C8D"/>
    <w:rsid w:val="00A408E6"/>
    <w:rsid w:val="00A479D2"/>
    <w:rsid w:val="00A5273B"/>
    <w:rsid w:val="00A53A9D"/>
    <w:rsid w:val="00A55FEE"/>
    <w:rsid w:val="00A60420"/>
    <w:rsid w:val="00A622A0"/>
    <w:rsid w:val="00A62C1A"/>
    <w:rsid w:val="00A6426D"/>
    <w:rsid w:val="00A665C1"/>
    <w:rsid w:val="00A70622"/>
    <w:rsid w:val="00A70977"/>
    <w:rsid w:val="00A71D2D"/>
    <w:rsid w:val="00A76B00"/>
    <w:rsid w:val="00A77613"/>
    <w:rsid w:val="00A8390C"/>
    <w:rsid w:val="00A90AA6"/>
    <w:rsid w:val="00A928BD"/>
    <w:rsid w:val="00A97DE3"/>
    <w:rsid w:val="00AA4D1C"/>
    <w:rsid w:val="00AB67C7"/>
    <w:rsid w:val="00AC193C"/>
    <w:rsid w:val="00AC5206"/>
    <w:rsid w:val="00AD5D9E"/>
    <w:rsid w:val="00AE11A5"/>
    <w:rsid w:val="00AE13E2"/>
    <w:rsid w:val="00AE22D3"/>
    <w:rsid w:val="00AF5DDC"/>
    <w:rsid w:val="00AF62DF"/>
    <w:rsid w:val="00AF68CC"/>
    <w:rsid w:val="00B03AA8"/>
    <w:rsid w:val="00B03D9D"/>
    <w:rsid w:val="00B07E36"/>
    <w:rsid w:val="00B1059E"/>
    <w:rsid w:val="00B11A45"/>
    <w:rsid w:val="00B1238A"/>
    <w:rsid w:val="00B176C8"/>
    <w:rsid w:val="00B205AA"/>
    <w:rsid w:val="00B20F49"/>
    <w:rsid w:val="00B22E84"/>
    <w:rsid w:val="00B2572A"/>
    <w:rsid w:val="00B25F75"/>
    <w:rsid w:val="00B26B3F"/>
    <w:rsid w:val="00B26E92"/>
    <w:rsid w:val="00B37167"/>
    <w:rsid w:val="00B418F3"/>
    <w:rsid w:val="00B42E06"/>
    <w:rsid w:val="00B43E90"/>
    <w:rsid w:val="00B46591"/>
    <w:rsid w:val="00B467DC"/>
    <w:rsid w:val="00B56118"/>
    <w:rsid w:val="00B6773F"/>
    <w:rsid w:val="00B801BA"/>
    <w:rsid w:val="00BA2B02"/>
    <w:rsid w:val="00BA4EC0"/>
    <w:rsid w:val="00BB69F5"/>
    <w:rsid w:val="00BB7EC3"/>
    <w:rsid w:val="00BC4B9A"/>
    <w:rsid w:val="00BD3CF2"/>
    <w:rsid w:val="00BD784C"/>
    <w:rsid w:val="00BD7968"/>
    <w:rsid w:val="00BF4CB6"/>
    <w:rsid w:val="00BF5CDE"/>
    <w:rsid w:val="00C00DA7"/>
    <w:rsid w:val="00C02F47"/>
    <w:rsid w:val="00C12768"/>
    <w:rsid w:val="00C27B58"/>
    <w:rsid w:val="00C35996"/>
    <w:rsid w:val="00C37024"/>
    <w:rsid w:val="00C4747E"/>
    <w:rsid w:val="00C5342C"/>
    <w:rsid w:val="00C603D4"/>
    <w:rsid w:val="00C6256A"/>
    <w:rsid w:val="00C64898"/>
    <w:rsid w:val="00C715F3"/>
    <w:rsid w:val="00C77891"/>
    <w:rsid w:val="00C86D8C"/>
    <w:rsid w:val="00C91449"/>
    <w:rsid w:val="00C92D10"/>
    <w:rsid w:val="00C9750A"/>
    <w:rsid w:val="00C976FB"/>
    <w:rsid w:val="00CE033C"/>
    <w:rsid w:val="00CE10C4"/>
    <w:rsid w:val="00CE25B8"/>
    <w:rsid w:val="00CE27B5"/>
    <w:rsid w:val="00D0321E"/>
    <w:rsid w:val="00D10EE7"/>
    <w:rsid w:val="00D1455A"/>
    <w:rsid w:val="00D20267"/>
    <w:rsid w:val="00D3138B"/>
    <w:rsid w:val="00D3280C"/>
    <w:rsid w:val="00D3406A"/>
    <w:rsid w:val="00D4572C"/>
    <w:rsid w:val="00D469B2"/>
    <w:rsid w:val="00D54376"/>
    <w:rsid w:val="00D66165"/>
    <w:rsid w:val="00D71E79"/>
    <w:rsid w:val="00D741EB"/>
    <w:rsid w:val="00D80FCB"/>
    <w:rsid w:val="00D83605"/>
    <w:rsid w:val="00D84934"/>
    <w:rsid w:val="00D9003B"/>
    <w:rsid w:val="00D91271"/>
    <w:rsid w:val="00D94FC7"/>
    <w:rsid w:val="00D97BEE"/>
    <w:rsid w:val="00DA2CB5"/>
    <w:rsid w:val="00DA4BAC"/>
    <w:rsid w:val="00DB0417"/>
    <w:rsid w:val="00DB0E87"/>
    <w:rsid w:val="00DD7979"/>
    <w:rsid w:val="00DE6D27"/>
    <w:rsid w:val="00DF217D"/>
    <w:rsid w:val="00DF26A7"/>
    <w:rsid w:val="00DF52E1"/>
    <w:rsid w:val="00E004AD"/>
    <w:rsid w:val="00E06755"/>
    <w:rsid w:val="00E15627"/>
    <w:rsid w:val="00E164B3"/>
    <w:rsid w:val="00E16910"/>
    <w:rsid w:val="00E26119"/>
    <w:rsid w:val="00E35EEF"/>
    <w:rsid w:val="00E42BDB"/>
    <w:rsid w:val="00E47059"/>
    <w:rsid w:val="00E53841"/>
    <w:rsid w:val="00E57EEB"/>
    <w:rsid w:val="00E62D94"/>
    <w:rsid w:val="00E64F71"/>
    <w:rsid w:val="00E65E54"/>
    <w:rsid w:val="00E74239"/>
    <w:rsid w:val="00E75C4A"/>
    <w:rsid w:val="00E80155"/>
    <w:rsid w:val="00E8374A"/>
    <w:rsid w:val="00E848C0"/>
    <w:rsid w:val="00E86781"/>
    <w:rsid w:val="00E91B96"/>
    <w:rsid w:val="00E941A1"/>
    <w:rsid w:val="00E95CE3"/>
    <w:rsid w:val="00E95F2C"/>
    <w:rsid w:val="00EA2825"/>
    <w:rsid w:val="00EB4B25"/>
    <w:rsid w:val="00EB5088"/>
    <w:rsid w:val="00EC7BFA"/>
    <w:rsid w:val="00ED1644"/>
    <w:rsid w:val="00ED1657"/>
    <w:rsid w:val="00ED2593"/>
    <w:rsid w:val="00ED2D13"/>
    <w:rsid w:val="00ED7D9C"/>
    <w:rsid w:val="00ED7EC3"/>
    <w:rsid w:val="00EF44A0"/>
    <w:rsid w:val="00EF4FED"/>
    <w:rsid w:val="00F050BD"/>
    <w:rsid w:val="00F05657"/>
    <w:rsid w:val="00F05F28"/>
    <w:rsid w:val="00F17C9A"/>
    <w:rsid w:val="00F25578"/>
    <w:rsid w:val="00F258E5"/>
    <w:rsid w:val="00F300BC"/>
    <w:rsid w:val="00F3334E"/>
    <w:rsid w:val="00F36CC8"/>
    <w:rsid w:val="00F36CCB"/>
    <w:rsid w:val="00F374E5"/>
    <w:rsid w:val="00F411F6"/>
    <w:rsid w:val="00F43AF2"/>
    <w:rsid w:val="00F46EE5"/>
    <w:rsid w:val="00F50DD1"/>
    <w:rsid w:val="00F50EC4"/>
    <w:rsid w:val="00F550CF"/>
    <w:rsid w:val="00F57A6D"/>
    <w:rsid w:val="00F610F2"/>
    <w:rsid w:val="00F638CC"/>
    <w:rsid w:val="00F64CC1"/>
    <w:rsid w:val="00F711A9"/>
    <w:rsid w:val="00F71399"/>
    <w:rsid w:val="00F72317"/>
    <w:rsid w:val="00F7445A"/>
    <w:rsid w:val="00F80475"/>
    <w:rsid w:val="00F8247A"/>
    <w:rsid w:val="00F905AF"/>
    <w:rsid w:val="00F9629A"/>
    <w:rsid w:val="00FA060B"/>
    <w:rsid w:val="00FA0B2D"/>
    <w:rsid w:val="00FA5883"/>
    <w:rsid w:val="00FA6055"/>
    <w:rsid w:val="00FB322F"/>
    <w:rsid w:val="00FB442F"/>
    <w:rsid w:val="00FB4F38"/>
    <w:rsid w:val="00FC1929"/>
    <w:rsid w:val="00FC5B46"/>
    <w:rsid w:val="00FD14A5"/>
    <w:rsid w:val="00FD6D8E"/>
    <w:rsid w:val="00FE0E94"/>
    <w:rsid w:val="00FF00BD"/>
    <w:rsid w:val="00FF1ED4"/>
    <w:rsid w:val="00FF2801"/>
    <w:rsid w:val="00FF6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0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AF3"/>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uiPriority w:val="35"/>
    <w:locked/>
    <w:rsid w:val="004359BC"/>
    <w:rPr>
      <w:b/>
      <w:bCs/>
      <w:color w:val="4F81BD" w:themeColor="accent1"/>
      <w:sz w:val="18"/>
      <w:szCs w:val="18"/>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Bayer Capti"/>
    <w:basedOn w:val="Normal"/>
    <w:next w:val="Normal"/>
    <w:link w:val="CaptionChar1"/>
    <w:uiPriority w:val="35"/>
    <w:unhideWhenUsed/>
    <w:qFormat/>
    <w:rsid w:val="004359BC"/>
    <w:pPr>
      <w:spacing w:after="200"/>
    </w:pPr>
    <w:rPr>
      <w:b/>
      <w:bCs/>
      <w:color w:val="4F81BD" w:themeColor="accent1"/>
      <w:sz w:val="18"/>
      <w:szCs w:val="18"/>
    </w:rPr>
  </w:style>
  <w:style w:type="paragraph" w:styleId="Revision">
    <w:name w:val="Revision"/>
    <w:hidden/>
    <w:uiPriority w:val="71"/>
    <w:rsid w:val="00491928"/>
    <w:rPr>
      <w:sz w:val="24"/>
      <w:szCs w:val="24"/>
    </w:rPr>
  </w:style>
  <w:style w:type="paragraph" w:styleId="EndnoteText">
    <w:name w:val="endnote text"/>
    <w:basedOn w:val="Normal"/>
    <w:link w:val="EndnoteTextChar"/>
    <w:rsid w:val="00421253"/>
    <w:rPr>
      <w:sz w:val="20"/>
      <w:szCs w:val="20"/>
    </w:rPr>
  </w:style>
  <w:style w:type="character" w:customStyle="1" w:styleId="EndnoteTextChar">
    <w:name w:val="Endnote Text Char"/>
    <w:basedOn w:val="DefaultParagraphFont"/>
    <w:link w:val="EndnoteText"/>
    <w:rsid w:val="00421253"/>
  </w:style>
  <w:style w:type="character" w:styleId="EndnoteReference">
    <w:name w:val="endnote reference"/>
    <w:basedOn w:val="DefaultParagraphFont"/>
    <w:rsid w:val="00421253"/>
    <w:rPr>
      <w:vertAlign w:val="superscript"/>
    </w:rPr>
  </w:style>
  <w:style w:type="paragraph" w:styleId="FootnoteText">
    <w:name w:val="footnote text"/>
    <w:basedOn w:val="Normal"/>
    <w:link w:val="FootnoteTextChar"/>
    <w:rsid w:val="00421253"/>
    <w:rPr>
      <w:sz w:val="20"/>
      <w:szCs w:val="20"/>
    </w:rPr>
  </w:style>
  <w:style w:type="character" w:customStyle="1" w:styleId="FootnoteTextChar">
    <w:name w:val="Footnote Text Char"/>
    <w:basedOn w:val="DefaultParagraphFont"/>
    <w:link w:val="FootnoteText"/>
    <w:rsid w:val="00421253"/>
  </w:style>
  <w:style w:type="character" w:styleId="FootnoteReference">
    <w:name w:val="footnote reference"/>
    <w:basedOn w:val="DefaultParagraphFont"/>
    <w:rsid w:val="004212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AF3"/>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uiPriority w:val="35"/>
    <w:locked/>
    <w:rsid w:val="004359BC"/>
    <w:rPr>
      <w:b/>
      <w:bCs/>
      <w:color w:val="4F81BD" w:themeColor="accent1"/>
      <w:sz w:val="18"/>
      <w:szCs w:val="18"/>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Bayer Capti"/>
    <w:basedOn w:val="Normal"/>
    <w:next w:val="Normal"/>
    <w:link w:val="CaptionChar1"/>
    <w:uiPriority w:val="35"/>
    <w:unhideWhenUsed/>
    <w:qFormat/>
    <w:rsid w:val="004359BC"/>
    <w:pPr>
      <w:spacing w:after="200"/>
    </w:pPr>
    <w:rPr>
      <w:b/>
      <w:bCs/>
      <w:color w:val="4F81BD" w:themeColor="accent1"/>
      <w:sz w:val="18"/>
      <w:szCs w:val="18"/>
    </w:rPr>
  </w:style>
  <w:style w:type="paragraph" w:styleId="Revision">
    <w:name w:val="Revision"/>
    <w:hidden/>
    <w:uiPriority w:val="71"/>
    <w:rsid w:val="00491928"/>
    <w:rPr>
      <w:sz w:val="24"/>
      <w:szCs w:val="24"/>
    </w:rPr>
  </w:style>
  <w:style w:type="paragraph" w:styleId="EndnoteText">
    <w:name w:val="endnote text"/>
    <w:basedOn w:val="Normal"/>
    <w:link w:val="EndnoteTextChar"/>
    <w:rsid w:val="00421253"/>
    <w:rPr>
      <w:sz w:val="20"/>
      <w:szCs w:val="20"/>
    </w:rPr>
  </w:style>
  <w:style w:type="character" w:customStyle="1" w:styleId="EndnoteTextChar">
    <w:name w:val="Endnote Text Char"/>
    <w:basedOn w:val="DefaultParagraphFont"/>
    <w:link w:val="EndnoteText"/>
    <w:rsid w:val="00421253"/>
  </w:style>
  <w:style w:type="character" w:styleId="EndnoteReference">
    <w:name w:val="endnote reference"/>
    <w:basedOn w:val="DefaultParagraphFont"/>
    <w:rsid w:val="00421253"/>
    <w:rPr>
      <w:vertAlign w:val="superscript"/>
    </w:rPr>
  </w:style>
  <w:style w:type="paragraph" w:styleId="FootnoteText">
    <w:name w:val="footnote text"/>
    <w:basedOn w:val="Normal"/>
    <w:link w:val="FootnoteTextChar"/>
    <w:rsid w:val="00421253"/>
    <w:rPr>
      <w:sz w:val="20"/>
      <w:szCs w:val="20"/>
    </w:rPr>
  </w:style>
  <w:style w:type="character" w:customStyle="1" w:styleId="FootnoteTextChar">
    <w:name w:val="Footnote Text Char"/>
    <w:basedOn w:val="DefaultParagraphFont"/>
    <w:link w:val="FootnoteText"/>
    <w:rsid w:val="00421253"/>
  </w:style>
  <w:style w:type="character" w:styleId="FootnoteReference">
    <w:name w:val="footnote reference"/>
    <w:basedOn w:val="DefaultParagraphFont"/>
    <w:rsid w:val="00421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4383107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574760">
      <w:bodyDiv w:val="1"/>
      <w:marLeft w:val="0"/>
      <w:marRight w:val="0"/>
      <w:marTop w:val="0"/>
      <w:marBottom w:val="0"/>
      <w:divBdr>
        <w:top w:val="none" w:sz="0" w:space="0" w:color="auto"/>
        <w:left w:val="none" w:sz="0" w:space="0" w:color="auto"/>
        <w:bottom w:val="none" w:sz="0" w:space="0" w:color="auto"/>
        <w:right w:val="none" w:sz="0" w:space="0" w:color="auto"/>
      </w:divBdr>
    </w:div>
    <w:div w:id="1138916943">
      <w:bodyDiv w:val="1"/>
      <w:marLeft w:val="0"/>
      <w:marRight w:val="0"/>
      <w:marTop w:val="0"/>
      <w:marBottom w:val="0"/>
      <w:divBdr>
        <w:top w:val="none" w:sz="0" w:space="0" w:color="auto"/>
        <w:left w:val="none" w:sz="0" w:space="0" w:color="auto"/>
        <w:bottom w:val="none" w:sz="0" w:space="0" w:color="auto"/>
        <w:right w:val="none" w:sz="0" w:space="0" w:color="auto"/>
      </w:divBdr>
    </w:div>
    <w:div w:id="1152259167">
      <w:bodyDiv w:val="1"/>
      <w:marLeft w:val="0"/>
      <w:marRight w:val="0"/>
      <w:marTop w:val="0"/>
      <w:marBottom w:val="0"/>
      <w:divBdr>
        <w:top w:val="none" w:sz="0" w:space="0" w:color="auto"/>
        <w:left w:val="none" w:sz="0" w:space="0" w:color="auto"/>
        <w:bottom w:val="none" w:sz="0" w:space="0" w:color="auto"/>
        <w:right w:val="none" w:sz="0" w:space="0" w:color="auto"/>
      </w:divBdr>
    </w:div>
    <w:div w:id="1340892473">
      <w:bodyDiv w:val="1"/>
      <w:marLeft w:val="0"/>
      <w:marRight w:val="0"/>
      <w:marTop w:val="0"/>
      <w:marBottom w:val="0"/>
      <w:divBdr>
        <w:top w:val="none" w:sz="0" w:space="0" w:color="auto"/>
        <w:left w:val="none" w:sz="0" w:space="0" w:color="auto"/>
        <w:bottom w:val="none" w:sz="0" w:space="0" w:color="auto"/>
        <w:right w:val="none" w:sz="0" w:space="0" w:color="auto"/>
      </w:divBdr>
    </w:div>
    <w:div w:id="14595637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59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629E-E1EC-4947-9411-3A9BD9E6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2927</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2018-03-01T04:10:00Z</dcterms:created>
  <dcterms:modified xsi:type="dcterms:W3CDTF">2018-03-01T04:11:00Z</dcterms:modified>
</cp:coreProperties>
</file>